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28F14" w14:textId="77777777" w:rsidR="004B60BD" w:rsidRPr="004B2D24" w:rsidRDefault="459A8B0B" w:rsidP="004B60BD">
      <w:pPr>
        <w:spacing w:before="240"/>
        <w:rPr>
          <w:b/>
          <w:bCs/>
          <w:sz w:val="48"/>
        </w:rPr>
      </w:pPr>
      <w:r>
        <w:rPr>
          <w:noProof/>
        </w:rPr>
        <w:drawing>
          <wp:inline distT="0" distB="0" distL="0" distR="0" wp14:anchorId="66D752D0" wp14:editId="7322EBEE">
            <wp:extent cx="877824" cy="877824"/>
            <wp:effectExtent l="0" t="0" r="0" b="0"/>
            <wp:docPr id="1960732025" name="Picture 1"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732025" name="Picture 1" descr="Seal of the California Department of Education."/>
                    <pic:cNvPicPr/>
                  </pic:nvPicPr>
                  <pic:blipFill>
                    <a:blip r:embed="rId8">
                      <a:extLst>
                        <a:ext uri="{28A0092B-C50C-407E-A947-70E740481C1C}">
                          <a14:useLocalDpi xmlns:a14="http://schemas.microsoft.com/office/drawing/2010/main" val="0"/>
                        </a:ext>
                      </a:extLst>
                    </a:blip>
                    <a:stretch>
                      <a:fillRect/>
                    </a:stretch>
                  </pic:blipFill>
                  <pic:spPr>
                    <a:xfrm>
                      <a:off x="0" y="0"/>
                      <a:ext cx="877824" cy="877824"/>
                    </a:xfrm>
                    <a:prstGeom prst="rect">
                      <a:avLst/>
                    </a:prstGeom>
                  </pic:spPr>
                </pic:pic>
              </a:graphicData>
            </a:graphic>
          </wp:inline>
        </w:drawing>
      </w:r>
    </w:p>
    <w:p w14:paraId="2127B003" w14:textId="7702C0C0" w:rsidR="004B60BD" w:rsidRPr="004B2D24" w:rsidRDefault="004B60BD" w:rsidP="004B60BD">
      <w:pPr>
        <w:jc w:val="center"/>
        <w:rPr>
          <w:b/>
          <w:bCs/>
          <w:sz w:val="44"/>
          <w:szCs w:val="44"/>
        </w:rPr>
      </w:pPr>
      <w:r w:rsidRPr="004B2D24">
        <w:rPr>
          <w:b/>
          <w:bCs/>
          <w:sz w:val="44"/>
          <w:szCs w:val="44"/>
        </w:rPr>
        <w:t>California Department of Education Assessment Development &amp; Administration Division</w:t>
      </w:r>
    </w:p>
    <w:p w14:paraId="0A98157C" w14:textId="202EECF0" w:rsidR="004B60BD" w:rsidRPr="004B2D24" w:rsidRDefault="409AEFB8" w:rsidP="00943E4D">
      <w:pPr>
        <w:spacing w:before="480" w:after="480"/>
        <w:jc w:val="center"/>
        <w:rPr>
          <w:b/>
          <w:bCs/>
          <w:sz w:val="44"/>
          <w:szCs w:val="44"/>
        </w:rPr>
      </w:pPr>
      <w:r>
        <w:rPr>
          <w:noProof/>
        </w:rPr>
        <w:drawing>
          <wp:inline distT="0" distB="0" distL="0" distR="0" wp14:anchorId="69F21BFC" wp14:editId="04021638">
            <wp:extent cx="2651760" cy="1307592"/>
            <wp:effectExtent l="0" t="0" r="0" b="6985"/>
            <wp:docPr id="392164244" name="Picture 66" descr="California Assessment of Student Performance and Prog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64244" name="Picture 66" descr="California Assessment of Student Performance and Progress logo."/>
                    <pic:cNvPicPr/>
                  </pic:nvPicPr>
                  <pic:blipFill>
                    <a:blip r:embed="rId9">
                      <a:extLst>
                        <a:ext uri="{28A0092B-C50C-407E-A947-70E740481C1C}">
                          <a14:useLocalDpi xmlns:a14="http://schemas.microsoft.com/office/drawing/2010/main" val="0"/>
                        </a:ext>
                      </a:extLst>
                    </a:blip>
                    <a:stretch>
                      <a:fillRect/>
                    </a:stretch>
                  </pic:blipFill>
                  <pic:spPr>
                    <a:xfrm>
                      <a:off x="0" y="0"/>
                      <a:ext cx="2651760" cy="1307592"/>
                    </a:xfrm>
                    <a:prstGeom prst="rect">
                      <a:avLst/>
                    </a:prstGeom>
                  </pic:spPr>
                </pic:pic>
              </a:graphicData>
            </a:graphic>
          </wp:inline>
        </w:drawing>
      </w:r>
    </w:p>
    <w:p w14:paraId="5C19524E" w14:textId="30EF5DBA" w:rsidR="004B60BD" w:rsidRPr="004B2D24" w:rsidRDefault="004B60BD" w:rsidP="00943E4D">
      <w:pPr>
        <w:pStyle w:val="Heading1"/>
        <w:rPr>
          <w:szCs w:val="48"/>
        </w:rPr>
      </w:pPr>
      <w:r w:rsidRPr="004B2D24">
        <w:t>California Assessment of Student Performance and Progress</w:t>
      </w:r>
      <w:bookmarkStart w:id="1" w:name="_Toc17094630"/>
      <w:r w:rsidR="005A783A" w:rsidRPr="004B2D24">
        <w:t xml:space="preserve"> </w:t>
      </w:r>
      <w:r w:rsidRPr="004B2D24">
        <w:t>California</w:t>
      </w:r>
      <w:r w:rsidR="005A783A" w:rsidRPr="004B2D24">
        <w:t> </w:t>
      </w:r>
      <w:r w:rsidRPr="004B2D24">
        <w:t>Alternate Assessment for Science 2019–‍2020 Technical Report</w:t>
      </w:r>
      <w:bookmarkEnd w:id="1"/>
    </w:p>
    <w:p w14:paraId="487A142E" w14:textId="1463F732" w:rsidR="005A783A" w:rsidRPr="004B2D24" w:rsidRDefault="00A11B91" w:rsidP="004B60BD">
      <w:pPr>
        <w:jc w:val="center"/>
        <w:rPr>
          <w:b/>
          <w:sz w:val="32"/>
          <w:szCs w:val="32"/>
        </w:rPr>
      </w:pPr>
      <w:r>
        <w:rPr>
          <w:b/>
          <w:bCs/>
          <w:sz w:val="32"/>
          <w:szCs w:val="32"/>
        </w:rPr>
        <w:t>S</w:t>
      </w:r>
      <w:r w:rsidR="005A783A" w:rsidRPr="004B2D24">
        <w:rPr>
          <w:b/>
          <w:bCs/>
          <w:sz w:val="32"/>
          <w:szCs w:val="32"/>
        </w:rPr>
        <w:t xml:space="preserve">ubmitted </w:t>
      </w:r>
      <w:r w:rsidR="00EC52C1">
        <w:rPr>
          <w:b/>
          <w:bCs/>
          <w:sz w:val="32"/>
          <w:szCs w:val="32"/>
        </w:rPr>
        <w:t>July 2</w:t>
      </w:r>
      <w:r w:rsidR="00170920" w:rsidRPr="004B2D24">
        <w:rPr>
          <w:b/>
          <w:bCs/>
          <w:sz w:val="32"/>
          <w:szCs w:val="32"/>
        </w:rPr>
        <w:t>, 202</w:t>
      </w:r>
      <w:r w:rsidR="00666033">
        <w:rPr>
          <w:b/>
          <w:bCs/>
          <w:sz w:val="32"/>
          <w:szCs w:val="32"/>
        </w:rPr>
        <w:t>1</w:t>
      </w:r>
    </w:p>
    <w:p w14:paraId="4A16DF30" w14:textId="2C5908AF" w:rsidR="004B60BD" w:rsidRPr="004B2D24" w:rsidRDefault="006F0646" w:rsidP="004B60BD">
      <w:pPr>
        <w:jc w:val="center"/>
        <w:rPr>
          <w:b/>
          <w:sz w:val="32"/>
          <w:szCs w:val="32"/>
        </w:rPr>
      </w:pPr>
      <w:r>
        <w:rPr>
          <w:b/>
          <w:sz w:val="32"/>
          <w:szCs w:val="32"/>
        </w:rPr>
        <w:t xml:space="preserve">By </w:t>
      </w:r>
      <w:r w:rsidR="004B60BD" w:rsidRPr="004B2D24">
        <w:rPr>
          <w:b/>
          <w:sz w:val="32"/>
          <w:szCs w:val="32"/>
        </w:rPr>
        <w:t>ETS</w:t>
      </w:r>
    </w:p>
    <w:p w14:paraId="6A7D1B29" w14:textId="77777777" w:rsidR="004B60BD" w:rsidRPr="004B2D24" w:rsidRDefault="459A8B0B" w:rsidP="004B60BD">
      <w:pPr>
        <w:jc w:val="center"/>
        <w:rPr>
          <w:b/>
          <w:sz w:val="32"/>
          <w:szCs w:val="32"/>
        </w:rPr>
      </w:pPr>
      <w:r>
        <w:rPr>
          <w:noProof/>
        </w:rPr>
        <w:drawing>
          <wp:inline distT="0" distB="0" distL="0" distR="0" wp14:anchorId="5E7A179D" wp14:editId="3B46DFD5">
            <wp:extent cx="1194435" cy="784860"/>
            <wp:effectExtent l="0" t="0" r="5715" b="0"/>
            <wp:docPr id="317215062" name="Picture 2" descr="Educational Testing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215062" name="Picture 2" descr="Educational Testing Service logo."/>
                    <pic:cNvPicPr/>
                  </pic:nvPicPr>
                  <pic:blipFill>
                    <a:blip r:embed="rId10">
                      <a:extLst>
                        <a:ext uri="{28A0092B-C50C-407E-A947-70E740481C1C}">
                          <a14:useLocalDpi xmlns:a14="http://schemas.microsoft.com/office/drawing/2010/main" val="0"/>
                        </a:ext>
                      </a:extLst>
                    </a:blip>
                    <a:stretch>
                      <a:fillRect/>
                    </a:stretch>
                  </pic:blipFill>
                  <pic:spPr>
                    <a:xfrm>
                      <a:off x="0" y="0"/>
                      <a:ext cx="1194435" cy="784860"/>
                    </a:xfrm>
                    <a:prstGeom prst="rect">
                      <a:avLst/>
                    </a:prstGeom>
                  </pic:spPr>
                </pic:pic>
              </a:graphicData>
            </a:graphic>
          </wp:inline>
        </w:drawing>
      </w:r>
    </w:p>
    <w:p w14:paraId="4B58A34B" w14:textId="54DFA199" w:rsidR="005A6B98" w:rsidRPr="004B2D24" w:rsidRDefault="004B60BD" w:rsidP="000A797D">
      <w:pPr>
        <w:spacing w:before="120"/>
        <w:jc w:val="center"/>
      </w:pPr>
      <w:r w:rsidRPr="004B2D24">
        <w:rPr>
          <w:b/>
          <w:sz w:val="32"/>
          <w:szCs w:val="32"/>
        </w:rPr>
        <w:t>Contract #CN150012</w:t>
      </w:r>
    </w:p>
    <w:p w14:paraId="227D62FE" w14:textId="77777777" w:rsidR="005A6B98" w:rsidRPr="004B2D24" w:rsidRDefault="005A6B98" w:rsidP="005A6B98">
      <w:pPr>
        <w:sectPr w:rsidR="005A6B98" w:rsidRPr="004B2D24" w:rsidSect="008100CD">
          <w:footerReference w:type="even" r:id="rId11"/>
          <w:footerReference w:type="first" r:id="rId12"/>
          <w:type w:val="continuous"/>
          <w:pgSz w:w="12240" w:h="15840" w:code="1"/>
          <w:pgMar w:top="1152" w:right="1152" w:bottom="1152" w:left="1152" w:header="576" w:footer="360" w:gutter="0"/>
          <w:cols w:space="720"/>
          <w:titlePg/>
          <w:docGrid w:linePitch="360"/>
        </w:sectPr>
      </w:pPr>
    </w:p>
    <w:p w14:paraId="464EE236" w14:textId="77777777" w:rsidR="00C367F9" w:rsidRPr="00672C8C" w:rsidRDefault="005A6B98" w:rsidP="00672C8C">
      <w:pPr>
        <w:pStyle w:val="Heading2"/>
        <w:numPr>
          <w:ilvl w:val="0"/>
          <w:numId w:val="0"/>
        </w:numPr>
        <w:pBdr>
          <w:bottom w:val="none" w:sz="0" w:space="0" w:color="auto"/>
        </w:pBdr>
        <w:ind w:left="360" w:hanging="360"/>
        <w:rPr>
          <w:sz w:val="36"/>
          <w:szCs w:val="36"/>
        </w:rPr>
      </w:pPr>
      <w:bookmarkStart w:id="2" w:name="_Toc456691067"/>
      <w:bookmarkStart w:id="3" w:name="_Toc456898956"/>
      <w:bookmarkStart w:id="4" w:name="_Toc456903870"/>
      <w:r w:rsidRPr="00672C8C">
        <w:rPr>
          <w:sz w:val="36"/>
          <w:szCs w:val="36"/>
        </w:rPr>
        <w:lastRenderedPageBreak/>
        <w:t>Table of Contents</w:t>
      </w:r>
      <w:bookmarkEnd w:id="2"/>
      <w:bookmarkEnd w:id="3"/>
      <w:bookmarkEnd w:id="4"/>
    </w:p>
    <w:p w14:paraId="66ECE5F9" w14:textId="3ED07656" w:rsidR="00CA4A9A" w:rsidRDefault="005B042F">
      <w:pPr>
        <w:pStyle w:val="TOC1"/>
        <w:rPr>
          <w:rFonts w:asciiTheme="minorHAnsi" w:eastAsiaTheme="minorEastAsia" w:hAnsiTheme="minorHAnsi" w:cstheme="minorBidi"/>
          <w:b w:val="0"/>
          <w:color w:val="auto"/>
          <w:kern w:val="2"/>
          <w:sz w:val="22"/>
          <w:szCs w:val="22"/>
          <w14:ligatures w14:val="standardContextual"/>
        </w:rPr>
      </w:pPr>
      <w:r w:rsidRPr="004B2D24">
        <w:rPr>
          <w:b w:val="0"/>
        </w:rPr>
        <w:fldChar w:fldCharType="begin"/>
      </w:r>
      <w:r w:rsidRPr="004B2D24">
        <w:rPr>
          <w:b w:val="0"/>
        </w:rPr>
        <w:instrText xml:space="preserve"> TOC \h \z \t "Heading 2,1,Heading 3,2,Heading 4,3" </w:instrText>
      </w:r>
      <w:r w:rsidRPr="004B2D24">
        <w:rPr>
          <w:b w:val="0"/>
        </w:rPr>
        <w:fldChar w:fldCharType="separate"/>
      </w:r>
      <w:hyperlink w:anchor="_Toc182555081" w:history="1">
        <w:r w:rsidR="00CA4A9A" w:rsidRPr="009C3204">
          <w:rPr>
            <w:rStyle w:val="Hyperlink"/>
          </w:rPr>
          <w:t>Chapter 1: Introduction</w:t>
        </w:r>
        <w:r w:rsidR="00CA4A9A">
          <w:rPr>
            <w:webHidden/>
          </w:rPr>
          <w:tab/>
        </w:r>
        <w:r w:rsidR="00CA4A9A">
          <w:rPr>
            <w:webHidden/>
          </w:rPr>
          <w:fldChar w:fldCharType="begin"/>
        </w:r>
        <w:r w:rsidR="00CA4A9A">
          <w:rPr>
            <w:webHidden/>
          </w:rPr>
          <w:instrText xml:space="preserve"> PAGEREF _Toc182555081 \h </w:instrText>
        </w:r>
        <w:r w:rsidR="00CA4A9A">
          <w:rPr>
            <w:webHidden/>
          </w:rPr>
        </w:r>
        <w:r w:rsidR="00CA4A9A">
          <w:rPr>
            <w:webHidden/>
          </w:rPr>
          <w:fldChar w:fldCharType="separate"/>
        </w:r>
        <w:r w:rsidR="00672C8C">
          <w:rPr>
            <w:webHidden/>
          </w:rPr>
          <w:t>1</w:t>
        </w:r>
        <w:r w:rsidR="00CA4A9A">
          <w:rPr>
            <w:webHidden/>
          </w:rPr>
          <w:fldChar w:fldCharType="end"/>
        </w:r>
      </w:hyperlink>
    </w:p>
    <w:p w14:paraId="293F5DFF" w14:textId="39EC6B08"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082" w:history="1">
        <w:r w:rsidRPr="009C3204">
          <w:rPr>
            <w:rStyle w:val="Hyperlink"/>
          </w:rPr>
          <w:t>1.1. Background</w:t>
        </w:r>
        <w:r>
          <w:rPr>
            <w:webHidden/>
          </w:rPr>
          <w:tab/>
        </w:r>
        <w:r>
          <w:rPr>
            <w:webHidden/>
          </w:rPr>
          <w:fldChar w:fldCharType="begin"/>
        </w:r>
        <w:r>
          <w:rPr>
            <w:webHidden/>
          </w:rPr>
          <w:instrText xml:space="preserve"> PAGEREF _Toc182555082 \h </w:instrText>
        </w:r>
        <w:r>
          <w:rPr>
            <w:webHidden/>
          </w:rPr>
        </w:r>
        <w:r>
          <w:rPr>
            <w:webHidden/>
          </w:rPr>
          <w:fldChar w:fldCharType="separate"/>
        </w:r>
        <w:r w:rsidR="00672C8C">
          <w:rPr>
            <w:webHidden/>
          </w:rPr>
          <w:t>1</w:t>
        </w:r>
        <w:r>
          <w:rPr>
            <w:webHidden/>
          </w:rPr>
          <w:fldChar w:fldCharType="end"/>
        </w:r>
      </w:hyperlink>
    </w:p>
    <w:p w14:paraId="7F05BF9F" w14:textId="03B30E43"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083" w:history="1">
        <w:r w:rsidRPr="009C3204">
          <w:rPr>
            <w:rStyle w:val="Hyperlink"/>
          </w:rPr>
          <w:t>1.2. Test Purpose</w:t>
        </w:r>
        <w:r>
          <w:rPr>
            <w:webHidden/>
          </w:rPr>
          <w:tab/>
        </w:r>
        <w:r>
          <w:rPr>
            <w:webHidden/>
          </w:rPr>
          <w:fldChar w:fldCharType="begin"/>
        </w:r>
        <w:r>
          <w:rPr>
            <w:webHidden/>
          </w:rPr>
          <w:instrText xml:space="preserve"> PAGEREF _Toc182555083 \h </w:instrText>
        </w:r>
        <w:r>
          <w:rPr>
            <w:webHidden/>
          </w:rPr>
        </w:r>
        <w:r>
          <w:rPr>
            <w:webHidden/>
          </w:rPr>
          <w:fldChar w:fldCharType="separate"/>
        </w:r>
        <w:r w:rsidR="00672C8C">
          <w:rPr>
            <w:webHidden/>
          </w:rPr>
          <w:t>2</w:t>
        </w:r>
        <w:r>
          <w:rPr>
            <w:webHidden/>
          </w:rPr>
          <w:fldChar w:fldCharType="end"/>
        </w:r>
      </w:hyperlink>
    </w:p>
    <w:p w14:paraId="1A953B9D" w14:textId="5224015F"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084" w:history="1">
        <w:r w:rsidRPr="009C3204">
          <w:rPr>
            <w:rStyle w:val="Hyperlink"/>
          </w:rPr>
          <w:t>1.3. Content and Structure</w:t>
        </w:r>
        <w:r>
          <w:rPr>
            <w:webHidden/>
          </w:rPr>
          <w:tab/>
        </w:r>
        <w:r>
          <w:rPr>
            <w:webHidden/>
          </w:rPr>
          <w:fldChar w:fldCharType="begin"/>
        </w:r>
        <w:r>
          <w:rPr>
            <w:webHidden/>
          </w:rPr>
          <w:instrText xml:space="preserve"> PAGEREF _Toc182555084 \h </w:instrText>
        </w:r>
        <w:r>
          <w:rPr>
            <w:webHidden/>
          </w:rPr>
        </w:r>
        <w:r>
          <w:rPr>
            <w:webHidden/>
          </w:rPr>
          <w:fldChar w:fldCharType="separate"/>
        </w:r>
        <w:r w:rsidR="00672C8C">
          <w:rPr>
            <w:webHidden/>
          </w:rPr>
          <w:t>2</w:t>
        </w:r>
        <w:r>
          <w:rPr>
            <w:webHidden/>
          </w:rPr>
          <w:fldChar w:fldCharType="end"/>
        </w:r>
      </w:hyperlink>
    </w:p>
    <w:p w14:paraId="6A1CAB75" w14:textId="4B08C2B3"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085" w:history="1">
        <w:r w:rsidRPr="009C3204">
          <w:rPr>
            <w:rStyle w:val="Hyperlink"/>
            <w:noProof/>
          </w:rPr>
          <w:t>1.3.1. Assessment Model</w:t>
        </w:r>
        <w:r>
          <w:rPr>
            <w:noProof/>
            <w:webHidden/>
          </w:rPr>
          <w:tab/>
        </w:r>
        <w:r>
          <w:rPr>
            <w:noProof/>
            <w:webHidden/>
          </w:rPr>
          <w:fldChar w:fldCharType="begin"/>
        </w:r>
        <w:r>
          <w:rPr>
            <w:noProof/>
            <w:webHidden/>
          </w:rPr>
          <w:instrText xml:space="preserve"> PAGEREF _Toc182555085 \h </w:instrText>
        </w:r>
        <w:r>
          <w:rPr>
            <w:noProof/>
            <w:webHidden/>
          </w:rPr>
        </w:r>
        <w:r>
          <w:rPr>
            <w:noProof/>
            <w:webHidden/>
          </w:rPr>
          <w:fldChar w:fldCharType="separate"/>
        </w:r>
        <w:r w:rsidR="00672C8C">
          <w:rPr>
            <w:noProof/>
            <w:webHidden/>
          </w:rPr>
          <w:t>2</w:t>
        </w:r>
        <w:r>
          <w:rPr>
            <w:noProof/>
            <w:webHidden/>
          </w:rPr>
          <w:fldChar w:fldCharType="end"/>
        </w:r>
      </w:hyperlink>
    </w:p>
    <w:p w14:paraId="68EA94E6" w14:textId="7CF47140"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086" w:history="1">
        <w:r w:rsidRPr="009C3204">
          <w:rPr>
            <w:rStyle w:val="Hyperlink"/>
            <w:noProof/>
          </w:rPr>
          <w:t>1.3.2. California Next Generation Science Standards Core Content Connectors</w:t>
        </w:r>
        <w:r>
          <w:rPr>
            <w:noProof/>
            <w:webHidden/>
          </w:rPr>
          <w:tab/>
        </w:r>
        <w:r>
          <w:rPr>
            <w:noProof/>
            <w:webHidden/>
          </w:rPr>
          <w:fldChar w:fldCharType="begin"/>
        </w:r>
        <w:r>
          <w:rPr>
            <w:noProof/>
            <w:webHidden/>
          </w:rPr>
          <w:instrText xml:space="preserve"> PAGEREF _Toc182555086 \h </w:instrText>
        </w:r>
        <w:r>
          <w:rPr>
            <w:noProof/>
            <w:webHidden/>
          </w:rPr>
        </w:r>
        <w:r>
          <w:rPr>
            <w:noProof/>
            <w:webHidden/>
          </w:rPr>
          <w:fldChar w:fldCharType="separate"/>
        </w:r>
        <w:r w:rsidR="00672C8C">
          <w:rPr>
            <w:noProof/>
            <w:webHidden/>
          </w:rPr>
          <w:t>3</w:t>
        </w:r>
        <w:r>
          <w:rPr>
            <w:noProof/>
            <w:webHidden/>
          </w:rPr>
          <w:fldChar w:fldCharType="end"/>
        </w:r>
      </w:hyperlink>
    </w:p>
    <w:p w14:paraId="0A5F1CE4" w14:textId="0D5785C2"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087" w:history="1">
        <w:r w:rsidRPr="009C3204">
          <w:rPr>
            <w:rStyle w:val="Hyperlink"/>
            <w:noProof/>
          </w:rPr>
          <w:t>1.3.3. Test Components for the 2019–2020 Administration</w:t>
        </w:r>
        <w:r>
          <w:rPr>
            <w:noProof/>
            <w:webHidden/>
          </w:rPr>
          <w:tab/>
        </w:r>
        <w:r>
          <w:rPr>
            <w:noProof/>
            <w:webHidden/>
          </w:rPr>
          <w:fldChar w:fldCharType="begin"/>
        </w:r>
        <w:r>
          <w:rPr>
            <w:noProof/>
            <w:webHidden/>
          </w:rPr>
          <w:instrText xml:space="preserve"> PAGEREF _Toc182555087 \h </w:instrText>
        </w:r>
        <w:r>
          <w:rPr>
            <w:noProof/>
            <w:webHidden/>
          </w:rPr>
        </w:r>
        <w:r>
          <w:rPr>
            <w:noProof/>
            <w:webHidden/>
          </w:rPr>
          <w:fldChar w:fldCharType="separate"/>
        </w:r>
        <w:r w:rsidR="00672C8C">
          <w:rPr>
            <w:noProof/>
            <w:webHidden/>
          </w:rPr>
          <w:t>3</w:t>
        </w:r>
        <w:r>
          <w:rPr>
            <w:noProof/>
            <w:webHidden/>
          </w:rPr>
          <w:fldChar w:fldCharType="end"/>
        </w:r>
      </w:hyperlink>
    </w:p>
    <w:p w14:paraId="7DE4086D" w14:textId="5D73E62E"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088" w:history="1">
        <w:r w:rsidRPr="009C3204">
          <w:rPr>
            <w:rStyle w:val="Hyperlink"/>
          </w:rPr>
          <w:t>1.4. Intended Population</w:t>
        </w:r>
        <w:r>
          <w:rPr>
            <w:webHidden/>
          </w:rPr>
          <w:tab/>
        </w:r>
        <w:r>
          <w:rPr>
            <w:webHidden/>
          </w:rPr>
          <w:fldChar w:fldCharType="begin"/>
        </w:r>
        <w:r>
          <w:rPr>
            <w:webHidden/>
          </w:rPr>
          <w:instrText xml:space="preserve"> PAGEREF _Toc182555088 \h </w:instrText>
        </w:r>
        <w:r>
          <w:rPr>
            <w:webHidden/>
          </w:rPr>
        </w:r>
        <w:r>
          <w:rPr>
            <w:webHidden/>
          </w:rPr>
          <w:fldChar w:fldCharType="separate"/>
        </w:r>
        <w:r w:rsidR="00672C8C">
          <w:rPr>
            <w:webHidden/>
          </w:rPr>
          <w:t>4</w:t>
        </w:r>
        <w:r>
          <w:rPr>
            <w:webHidden/>
          </w:rPr>
          <w:fldChar w:fldCharType="end"/>
        </w:r>
      </w:hyperlink>
    </w:p>
    <w:p w14:paraId="3024473E" w14:textId="7C91FC52"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089" w:history="1">
        <w:r w:rsidRPr="009C3204">
          <w:rPr>
            <w:rStyle w:val="Hyperlink"/>
          </w:rPr>
          <w:t>1.5. Intended Use and Purpose of the Test Scores</w:t>
        </w:r>
        <w:r>
          <w:rPr>
            <w:webHidden/>
          </w:rPr>
          <w:tab/>
        </w:r>
        <w:r>
          <w:rPr>
            <w:webHidden/>
          </w:rPr>
          <w:fldChar w:fldCharType="begin"/>
        </w:r>
        <w:r>
          <w:rPr>
            <w:webHidden/>
          </w:rPr>
          <w:instrText xml:space="preserve"> PAGEREF _Toc182555089 \h </w:instrText>
        </w:r>
        <w:r>
          <w:rPr>
            <w:webHidden/>
          </w:rPr>
        </w:r>
        <w:r>
          <w:rPr>
            <w:webHidden/>
          </w:rPr>
          <w:fldChar w:fldCharType="separate"/>
        </w:r>
        <w:r w:rsidR="00672C8C">
          <w:rPr>
            <w:webHidden/>
          </w:rPr>
          <w:t>5</w:t>
        </w:r>
        <w:r>
          <w:rPr>
            <w:webHidden/>
          </w:rPr>
          <w:fldChar w:fldCharType="end"/>
        </w:r>
      </w:hyperlink>
    </w:p>
    <w:p w14:paraId="7ACDE2EC" w14:textId="026F6E11"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090" w:history="1">
        <w:r w:rsidRPr="009C3204">
          <w:rPr>
            <w:rStyle w:val="Hyperlink"/>
          </w:rPr>
          <w:t>1.6. Testing Window and the Impact of the Novel Coronavirus Disease 2019 Pandemic</w:t>
        </w:r>
        <w:r>
          <w:rPr>
            <w:webHidden/>
          </w:rPr>
          <w:tab/>
        </w:r>
        <w:r>
          <w:rPr>
            <w:webHidden/>
          </w:rPr>
          <w:fldChar w:fldCharType="begin"/>
        </w:r>
        <w:r>
          <w:rPr>
            <w:webHidden/>
          </w:rPr>
          <w:instrText xml:space="preserve"> PAGEREF _Toc182555090 \h </w:instrText>
        </w:r>
        <w:r>
          <w:rPr>
            <w:webHidden/>
          </w:rPr>
        </w:r>
        <w:r>
          <w:rPr>
            <w:webHidden/>
          </w:rPr>
          <w:fldChar w:fldCharType="separate"/>
        </w:r>
        <w:r w:rsidR="00672C8C">
          <w:rPr>
            <w:webHidden/>
          </w:rPr>
          <w:t>6</w:t>
        </w:r>
        <w:r>
          <w:rPr>
            <w:webHidden/>
          </w:rPr>
          <w:fldChar w:fldCharType="end"/>
        </w:r>
      </w:hyperlink>
    </w:p>
    <w:p w14:paraId="478769ED" w14:textId="232454DE"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091" w:history="1">
        <w:r w:rsidRPr="009C3204">
          <w:rPr>
            <w:rStyle w:val="Hyperlink"/>
          </w:rPr>
          <w:t>1.7. Significant Developments for the CAA for Science 2019–2020 Administration</w:t>
        </w:r>
        <w:r>
          <w:rPr>
            <w:webHidden/>
          </w:rPr>
          <w:tab/>
        </w:r>
        <w:r>
          <w:rPr>
            <w:webHidden/>
          </w:rPr>
          <w:fldChar w:fldCharType="begin"/>
        </w:r>
        <w:r>
          <w:rPr>
            <w:webHidden/>
          </w:rPr>
          <w:instrText xml:space="preserve"> PAGEREF _Toc182555091 \h </w:instrText>
        </w:r>
        <w:r>
          <w:rPr>
            <w:webHidden/>
          </w:rPr>
        </w:r>
        <w:r>
          <w:rPr>
            <w:webHidden/>
          </w:rPr>
          <w:fldChar w:fldCharType="separate"/>
        </w:r>
        <w:r w:rsidR="00672C8C">
          <w:rPr>
            <w:webHidden/>
          </w:rPr>
          <w:t>6</w:t>
        </w:r>
        <w:r>
          <w:rPr>
            <w:webHidden/>
          </w:rPr>
          <w:fldChar w:fldCharType="end"/>
        </w:r>
      </w:hyperlink>
    </w:p>
    <w:p w14:paraId="30F77C0B" w14:textId="263BAF9F"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092" w:history="1">
        <w:r w:rsidRPr="009C3204">
          <w:rPr>
            <w:rStyle w:val="Hyperlink"/>
            <w:noProof/>
          </w:rPr>
          <w:t>1.7.1.</w:t>
        </w:r>
        <w:r w:rsidRPr="009C3204">
          <w:rPr>
            <w:rStyle w:val="Hyperlink"/>
            <w:i/>
            <w:iCs/>
            <w:noProof/>
          </w:rPr>
          <w:t xml:space="preserve"> Mark as No Response</w:t>
        </w:r>
        <w:r w:rsidRPr="009C3204">
          <w:rPr>
            <w:rStyle w:val="Hyperlink"/>
            <w:noProof/>
          </w:rPr>
          <w:t xml:space="preserve"> Option</w:t>
        </w:r>
        <w:r>
          <w:rPr>
            <w:noProof/>
            <w:webHidden/>
          </w:rPr>
          <w:tab/>
        </w:r>
        <w:r>
          <w:rPr>
            <w:noProof/>
            <w:webHidden/>
          </w:rPr>
          <w:fldChar w:fldCharType="begin"/>
        </w:r>
        <w:r>
          <w:rPr>
            <w:noProof/>
            <w:webHidden/>
          </w:rPr>
          <w:instrText xml:space="preserve"> PAGEREF _Toc182555092 \h </w:instrText>
        </w:r>
        <w:r>
          <w:rPr>
            <w:noProof/>
            <w:webHidden/>
          </w:rPr>
        </w:r>
        <w:r>
          <w:rPr>
            <w:noProof/>
            <w:webHidden/>
          </w:rPr>
          <w:fldChar w:fldCharType="separate"/>
        </w:r>
        <w:r w:rsidR="00672C8C">
          <w:rPr>
            <w:noProof/>
            <w:webHidden/>
          </w:rPr>
          <w:t>6</w:t>
        </w:r>
        <w:r>
          <w:rPr>
            <w:noProof/>
            <w:webHidden/>
          </w:rPr>
          <w:fldChar w:fldCharType="end"/>
        </w:r>
      </w:hyperlink>
    </w:p>
    <w:p w14:paraId="215E8EC2" w14:textId="48645DE3"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093" w:history="1">
        <w:r w:rsidRPr="009C3204">
          <w:rPr>
            <w:rStyle w:val="Hyperlink"/>
            <w:noProof/>
          </w:rPr>
          <w:t>1.7.2. Updated Accessibility Resources</w:t>
        </w:r>
        <w:r>
          <w:rPr>
            <w:noProof/>
            <w:webHidden/>
          </w:rPr>
          <w:tab/>
        </w:r>
        <w:r>
          <w:rPr>
            <w:noProof/>
            <w:webHidden/>
          </w:rPr>
          <w:fldChar w:fldCharType="begin"/>
        </w:r>
        <w:r>
          <w:rPr>
            <w:noProof/>
            <w:webHidden/>
          </w:rPr>
          <w:instrText xml:space="preserve"> PAGEREF _Toc182555093 \h </w:instrText>
        </w:r>
        <w:r>
          <w:rPr>
            <w:noProof/>
            <w:webHidden/>
          </w:rPr>
        </w:r>
        <w:r>
          <w:rPr>
            <w:noProof/>
            <w:webHidden/>
          </w:rPr>
          <w:fldChar w:fldCharType="separate"/>
        </w:r>
        <w:r w:rsidR="00672C8C">
          <w:rPr>
            <w:noProof/>
            <w:webHidden/>
          </w:rPr>
          <w:t>6</w:t>
        </w:r>
        <w:r>
          <w:rPr>
            <w:noProof/>
            <w:webHidden/>
          </w:rPr>
          <w:fldChar w:fldCharType="end"/>
        </w:r>
      </w:hyperlink>
    </w:p>
    <w:p w14:paraId="43977D5F" w14:textId="3E80CBB8"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094" w:history="1">
        <w:r w:rsidRPr="009C3204">
          <w:rPr>
            <w:rStyle w:val="Hyperlink"/>
          </w:rPr>
          <w:t>1.8. Impact of the Novel Coronavirus Disease 2019 Pandemic on Psychometric Analyses and Reporting</w:t>
        </w:r>
        <w:r>
          <w:rPr>
            <w:webHidden/>
          </w:rPr>
          <w:tab/>
        </w:r>
        <w:r>
          <w:rPr>
            <w:webHidden/>
          </w:rPr>
          <w:fldChar w:fldCharType="begin"/>
        </w:r>
        <w:r>
          <w:rPr>
            <w:webHidden/>
          </w:rPr>
          <w:instrText xml:space="preserve"> PAGEREF _Toc182555094 \h </w:instrText>
        </w:r>
        <w:r>
          <w:rPr>
            <w:webHidden/>
          </w:rPr>
        </w:r>
        <w:r>
          <w:rPr>
            <w:webHidden/>
          </w:rPr>
          <w:fldChar w:fldCharType="separate"/>
        </w:r>
        <w:r w:rsidR="00672C8C">
          <w:rPr>
            <w:webHidden/>
          </w:rPr>
          <w:t>6</w:t>
        </w:r>
        <w:r>
          <w:rPr>
            <w:webHidden/>
          </w:rPr>
          <w:fldChar w:fldCharType="end"/>
        </w:r>
      </w:hyperlink>
    </w:p>
    <w:p w14:paraId="25B177A3" w14:textId="45261324"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095" w:history="1">
        <w:r w:rsidRPr="009C3204">
          <w:rPr>
            <w:rStyle w:val="Hyperlink"/>
          </w:rPr>
          <w:t>1.9. Groups and Organizations Involved with the Assessment</w:t>
        </w:r>
        <w:r>
          <w:rPr>
            <w:webHidden/>
          </w:rPr>
          <w:tab/>
        </w:r>
        <w:r>
          <w:rPr>
            <w:webHidden/>
          </w:rPr>
          <w:fldChar w:fldCharType="begin"/>
        </w:r>
        <w:r>
          <w:rPr>
            <w:webHidden/>
          </w:rPr>
          <w:instrText xml:space="preserve"> PAGEREF _Toc182555095 \h </w:instrText>
        </w:r>
        <w:r>
          <w:rPr>
            <w:webHidden/>
          </w:rPr>
        </w:r>
        <w:r>
          <w:rPr>
            <w:webHidden/>
          </w:rPr>
          <w:fldChar w:fldCharType="separate"/>
        </w:r>
        <w:r w:rsidR="00672C8C">
          <w:rPr>
            <w:webHidden/>
          </w:rPr>
          <w:t>7</w:t>
        </w:r>
        <w:r>
          <w:rPr>
            <w:webHidden/>
          </w:rPr>
          <w:fldChar w:fldCharType="end"/>
        </w:r>
      </w:hyperlink>
    </w:p>
    <w:p w14:paraId="24475EB1" w14:textId="37BA39BE"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096" w:history="1">
        <w:r w:rsidRPr="009C3204">
          <w:rPr>
            <w:rStyle w:val="Hyperlink"/>
            <w:noProof/>
          </w:rPr>
          <w:t>1.9.1. State Board of Education</w:t>
        </w:r>
        <w:r>
          <w:rPr>
            <w:noProof/>
            <w:webHidden/>
          </w:rPr>
          <w:tab/>
        </w:r>
        <w:r>
          <w:rPr>
            <w:noProof/>
            <w:webHidden/>
          </w:rPr>
          <w:fldChar w:fldCharType="begin"/>
        </w:r>
        <w:r>
          <w:rPr>
            <w:noProof/>
            <w:webHidden/>
          </w:rPr>
          <w:instrText xml:space="preserve"> PAGEREF _Toc182555096 \h </w:instrText>
        </w:r>
        <w:r>
          <w:rPr>
            <w:noProof/>
            <w:webHidden/>
          </w:rPr>
        </w:r>
        <w:r>
          <w:rPr>
            <w:noProof/>
            <w:webHidden/>
          </w:rPr>
          <w:fldChar w:fldCharType="separate"/>
        </w:r>
        <w:r w:rsidR="00672C8C">
          <w:rPr>
            <w:noProof/>
            <w:webHidden/>
          </w:rPr>
          <w:t>7</w:t>
        </w:r>
        <w:r>
          <w:rPr>
            <w:noProof/>
            <w:webHidden/>
          </w:rPr>
          <w:fldChar w:fldCharType="end"/>
        </w:r>
      </w:hyperlink>
    </w:p>
    <w:p w14:paraId="610861CC" w14:textId="10AB1073"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097" w:history="1">
        <w:r w:rsidRPr="009C3204">
          <w:rPr>
            <w:rStyle w:val="Hyperlink"/>
            <w:noProof/>
          </w:rPr>
          <w:t>1.9.2. California Department of Education</w:t>
        </w:r>
        <w:r>
          <w:rPr>
            <w:noProof/>
            <w:webHidden/>
          </w:rPr>
          <w:tab/>
        </w:r>
        <w:r>
          <w:rPr>
            <w:noProof/>
            <w:webHidden/>
          </w:rPr>
          <w:fldChar w:fldCharType="begin"/>
        </w:r>
        <w:r>
          <w:rPr>
            <w:noProof/>
            <w:webHidden/>
          </w:rPr>
          <w:instrText xml:space="preserve"> PAGEREF _Toc182555097 \h </w:instrText>
        </w:r>
        <w:r>
          <w:rPr>
            <w:noProof/>
            <w:webHidden/>
          </w:rPr>
        </w:r>
        <w:r>
          <w:rPr>
            <w:noProof/>
            <w:webHidden/>
          </w:rPr>
          <w:fldChar w:fldCharType="separate"/>
        </w:r>
        <w:r w:rsidR="00672C8C">
          <w:rPr>
            <w:noProof/>
            <w:webHidden/>
          </w:rPr>
          <w:t>7</w:t>
        </w:r>
        <w:r>
          <w:rPr>
            <w:noProof/>
            <w:webHidden/>
          </w:rPr>
          <w:fldChar w:fldCharType="end"/>
        </w:r>
      </w:hyperlink>
    </w:p>
    <w:p w14:paraId="199CC37A" w14:textId="09FBB150"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098" w:history="1">
        <w:r w:rsidRPr="009C3204">
          <w:rPr>
            <w:rStyle w:val="Hyperlink"/>
            <w:noProof/>
          </w:rPr>
          <w:t>1.9.3. California Educators</w:t>
        </w:r>
        <w:r>
          <w:rPr>
            <w:noProof/>
            <w:webHidden/>
          </w:rPr>
          <w:tab/>
        </w:r>
        <w:r>
          <w:rPr>
            <w:noProof/>
            <w:webHidden/>
          </w:rPr>
          <w:fldChar w:fldCharType="begin"/>
        </w:r>
        <w:r>
          <w:rPr>
            <w:noProof/>
            <w:webHidden/>
          </w:rPr>
          <w:instrText xml:space="preserve"> PAGEREF _Toc182555098 \h </w:instrText>
        </w:r>
        <w:r>
          <w:rPr>
            <w:noProof/>
            <w:webHidden/>
          </w:rPr>
        </w:r>
        <w:r>
          <w:rPr>
            <w:noProof/>
            <w:webHidden/>
          </w:rPr>
          <w:fldChar w:fldCharType="separate"/>
        </w:r>
        <w:r w:rsidR="00672C8C">
          <w:rPr>
            <w:noProof/>
            <w:webHidden/>
          </w:rPr>
          <w:t>7</w:t>
        </w:r>
        <w:r>
          <w:rPr>
            <w:noProof/>
            <w:webHidden/>
          </w:rPr>
          <w:fldChar w:fldCharType="end"/>
        </w:r>
      </w:hyperlink>
    </w:p>
    <w:p w14:paraId="2E03D62B" w14:textId="7213041F"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099" w:history="1">
        <w:r w:rsidRPr="009C3204">
          <w:rPr>
            <w:rStyle w:val="Hyperlink"/>
            <w:noProof/>
          </w:rPr>
          <w:t>1.9.4. Contractors</w:t>
        </w:r>
        <w:r>
          <w:rPr>
            <w:noProof/>
            <w:webHidden/>
          </w:rPr>
          <w:tab/>
        </w:r>
        <w:r>
          <w:rPr>
            <w:noProof/>
            <w:webHidden/>
          </w:rPr>
          <w:fldChar w:fldCharType="begin"/>
        </w:r>
        <w:r>
          <w:rPr>
            <w:noProof/>
            <w:webHidden/>
          </w:rPr>
          <w:instrText xml:space="preserve"> PAGEREF _Toc182555099 \h </w:instrText>
        </w:r>
        <w:r>
          <w:rPr>
            <w:noProof/>
            <w:webHidden/>
          </w:rPr>
        </w:r>
        <w:r>
          <w:rPr>
            <w:noProof/>
            <w:webHidden/>
          </w:rPr>
          <w:fldChar w:fldCharType="separate"/>
        </w:r>
        <w:r w:rsidR="00672C8C">
          <w:rPr>
            <w:noProof/>
            <w:webHidden/>
          </w:rPr>
          <w:t>8</w:t>
        </w:r>
        <w:r>
          <w:rPr>
            <w:noProof/>
            <w:webHidden/>
          </w:rPr>
          <w:fldChar w:fldCharType="end"/>
        </w:r>
      </w:hyperlink>
    </w:p>
    <w:p w14:paraId="643C07F6" w14:textId="622575EB"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00" w:history="1">
        <w:r w:rsidRPr="009C3204">
          <w:rPr>
            <w:rStyle w:val="Hyperlink"/>
          </w:rPr>
          <w:t>1.10. Systems Overview and Functionality</w:t>
        </w:r>
        <w:r>
          <w:rPr>
            <w:webHidden/>
          </w:rPr>
          <w:tab/>
        </w:r>
        <w:r>
          <w:rPr>
            <w:webHidden/>
          </w:rPr>
          <w:fldChar w:fldCharType="begin"/>
        </w:r>
        <w:r>
          <w:rPr>
            <w:webHidden/>
          </w:rPr>
          <w:instrText xml:space="preserve"> PAGEREF _Toc182555100 \h </w:instrText>
        </w:r>
        <w:r>
          <w:rPr>
            <w:webHidden/>
          </w:rPr>
        </w:r>
        <w:r>
          <w:rPr>
            <w:webHidden/>
          </w:rPr>
          <w:fldChar w:fldCharType="separate"/>
        </w:r>
        <w:r w:rsidR="00672C8C">
          <w:rPr>
            <w:webHidden/>
          </w:rPr>
          <w:t>9</w:t>
        </w:r>
        <w:r>
          <w:rPr>
            <w:webHidden/>
          </w:rPr>
          <w:fldChar w:fldCharType="end"/>
        </w:r>
      </w:hyperlink>
    </w:p>
    <w:p w14:paraId="6E0A4820" w14:textId="7F47C5EF"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01" w:history="1">
        <w:r w:rsidRPr="009C3204">
          <w:rPr>
            <w:rStyle w:val="Hyperlink"/>
            <w:noProof/>
          </w:rPr>
          <w:t>1.10.1. Test Operations Management System</w:t>
        </w:r>
        <w:r>
          <w:rPr>
            <w:noProof/>
            <w:webHidden/>
          </w:rPr>
          <w:tab/>
        </w:r>
        <w:r>
          <w:rPr>
            <w:noProof/>
            <w:webHidden/>
          </w:rPr>
          <w:fldChar w:fldCharType="begin"/>
        </w:r>
        <w:r>
          <w:rPr>
            <w:noProof/>
            <w:webHidden/>
          </w:rPr>
          <w:instrText xml:space="preserve"> PAGEREF _Toc182555101 \h </w:instrText>
        </w:r>
        <w:r>
          <w:rPr>
            <w:noProof/>
            <w:webHidden/>
          </w:rPr>
        </w:r>
        <w:r>
          <w:rPr>
            <w:noProof/>
            <w:webHidden/>
          </w:rPr>
          <w:fldChar w:fldCharType="separate"/>
        </w:r>
        <w:r w:rsidR="00672C8C">
          <w:rPr>
            <w:noProof/>
            <w:webHidden/>
          </w:rPr>
          <w:t>9</w:t>
        </w:r>
        <w:r>
          <w:rPr>
            <w:noProof/>
            <w:webHidden/>
          </w:rPr>
          <w:fldChar w:fldCharType="end"/>
        </w:r>
      </w:hyperlink>
    </w:p>
    <w:p w14:paraId="1B7DD2B6" w14:textId="2DF8A66C"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02" w:history="1">
        <w:r w:rsidRPr="009C3204">
          <w:rPr>
            <w:rStyle w:val="Hyperlink"/>
            <w:noProof/>
          </w:rPr>
          <w:t>1.10.2. Test Delivery System</w:t>
        </w:r>
        <w:r>
          <w:rPr>
            <w:noProof/>
            <w:webHidden/>
          </w:rPr>
          <w:tab/>
        </w:r>
        <w:r>
          <w:rPr>
            <w:noProof/>
            <w:webHidden/>
          </w:rPr>
          <w:fldChar w:fldCharType="begin"/>
        </w:r>
        <w:r>
          <w:rPr>
            <w:noProof/>
            <w:webHidden/>
          </w:rPr>
          <w:instrText xml:space="preserve"> PAGEREF _Toc182555102 \h </w:instrText>
        </w:r>
        <w:r>
          <w:rPr>
            <w:noProof/>
            <w:webHidden/>
          </w:rPr>
        </w:r>
        <w:r>
          <w:rPr>
            <w:noProof/>
            <w:webHidden/>
          </w:rPr>
          <w:fldChar w:fldCharType="separate"/>
        </w:r>
        <w:r w:rsidR="00672C8C">
          <w:rPr>
            <w:noProof/>
            <w:webHidden/>
          </w:rPr>
          <w:t>9</w:t>
        </w:r>
        <w:r>
          <w:rPr>
            <w:noProof/>
            <w:webHidden/>
          </w:rPr>
          <w:fldChar w:fldCharType="end"/>
        </w:r>
      </w:hyperlink>
    </w:p>
    <w:p w14:paraId="450956ED" w14:textId="2550EDD5"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03" w:history="1">
        <w:r w:rsidRPr="009C3204">
          <w:rPr>
            <w:rStyle w:val="Hyperlink"/>
            <w:noProof/>
          </w:rPr>
          <w:t>1.10.3. Practice and Training Tests</w:t>
        </w:r>
        <w:r>
          <w:rPr>
            <w:noProof/>
            <w:webHidden/>
          </w:rPr>
          <w:tab/>
        </w:r>
        <w:r>
          <w:rPr>
            <w:noProof/>
            <w:webHidden/>
          </w:rPr>
          <w:fldChar w:fldCharType="begin"/>
        </w:r>
        <w:r>
          <w:rPr>
            <w:noProof/>
            <w:webHidden/>
          </w:rPr>
          <w:instrText xml:space="preserve"> PAGEREF _Toc182555103 \h </w:instrText>
        </w:r>
        <w:r>
          <w:rPr>
            <w:noProof/>
            <w:webHidden/>
          </w:rPr>
        </w:r>
        <w:r>
          <w:rPr>
            <w:noProof/>
            <w:webHidden/>
          </w:rPr>
          <w:fldChar w:fldCharType="separate"/>
        </w:r>
        <w:r w:rsidR="00672C8C">
          <w:rPr>
            <w:noProof/>
            <w:webHidden/>
          </w:rPr>
          <w:t>10</w:t>
        </w:r>
        <w:r>
          <w:rPr>
            <w:noProof/>
            <w:webHidden/>
          </w:rPr>
          <w:fldChar w:fldCharType="end"/>
        </w:r>
      </w:hyperlink>
    </w:p>
    <w:p w14:paraId="12588E87" w14:textId="2D776C93"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04" w:history="1">
        <w:r w:rsidRPr="009C3204">
          <w:rPr>
            <w:rStyle w:val="Hyperlink"/>
          </w:rPr>
          <w:t>1.11. Overview of the Technical Report</w:t>
        </w:r>
        <w:r>
          <w:rPr>
            <w:webHidden/>
          </w:rPr>
          <w:tab/>
        </w:r>
        <w:r>
          <w:rPr>
            <w:webHidden/>
          </w:rPr>
          <w:fldChar w:fldCharType="begin"/>
        </w:r>
        <w:r>
          <w:rPr>
            <w:webHidden/>
          </w:rPr>
          <w:instrText xml:space="preserve"> PAGEREF _Toc182555104 \h </w:instrText>
        </w:r>
        <w:r>
          <w:rPr>
            <w:webHidden/>
          </w:rPr>
        </w:r>
        <w:r>
          <w:rPr>
            <w:webHidden/>
          </w:rPr>
          <w:fldChar w:fldCharType="separate"/>
        </w:r>
        <w:r w:rsidR="00672C8C">
          <w:rPr>
            <w:webHidden/>
          </w:rPr>
          <w:t>10</w:t>
        </w:r>
        <w:r>
          <w:rPr>
            <w:webHidden/>
          </w:rPr>
          <w:fldChar w:fldCharType="end"/>
        </w:r>
      </w:hyperlink>
    </w:p>
    <w:p w14:paraId="6A608F02" w14:textId="5E1A161F"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05" w:history="1">
        <w:r w:rsidRPr="009C3204">
          <w:rPr>
            <w:rStyle w:val="Hyperlink"/>
          </w:rPr>
          <w:t>References</w:t>
        </w:r>
        <w:r>
          <w:rPr>
            <w:webHidden/>
          </w:rPr>
          <w:tab/>
        </w:r>
        <w:r>
          <w:rPr>
            <w:webHidden/>
          </w:rPr>
          <w:fldChar w:fldCharType="begin"/>
        </w:r>
        <w:r>
          <w:rPr>
            <w:webHidden/>
          </w:rPr>
          <w:instrText xml:space="preserve"> PAGEREF _Toc182555105 \h </w:instrText>
        </w:r>
        <w:r>
          <w:rPr>
            <w:webHidden/>
          </w:rPr>
        </w:r>
        <w:r>
          <w:rPr>
            <w:webHidden/>
          </w:rPr>
          <w:fldChar w:fldCharType="separate"/>
        </w:r>
        <w:r w:rsidR="00672C8C">
          <w:rPr>
            <w:webHidden/>
          </w:rPr>
          <w:t>11</w:t>
        </w:r>
        <w:r>
          <w:rPr>
            <w:webHidden/>
          </w:rPr>
          <w:fldChar w:fldCharType="end"/>
        </w:r>
      </w:hyperlink>
    </w:p>
    <w:p w14:paraId="155B21E3" w14:textId="510C6757" w:rsidR="00CA4A9A" w:rsidRDefault="00CA4A9A">
      <w:pPr>
        <w:pStyle w:val="TOC1"/>
        <w:rPr>
          <w:rFonts w:asciiTheme="minorHAnsi" w:eastAsiaTheme="minorEastAsia" w:hAnsiTheme="minorHAnsi" w:cstheme="minorBidi"/>
          <w:b w:val="0"/>
          <w:color w:val="auto"/>
          <w:kern w:val="2"/>
          <w:sz w:val="22"/>
          <w:szCs w:val="22"/>
          <w14:ligatures w14:val="standardContextual"/>
        </w:rPr>
      </w:pPr>
      <w:hyperlink w:anchor="_Toc182555106" w:history="1">
        <w:r w:rsidRPr="009C3204">
          <w:rPr>
            <w:rStyle w:val="Hyperlink"/>
          </w:rPr>
          <w:t>Chapter 2: An Overview of the CAA for Science Processes</w:t>
        </w:r>
        <w:r>
          <w:rPr>
            <w:webHidden/>
          </w:rPr>
          <w:tab/>
        </w:r>
        <w:r>
          <w:rPr>
            <w:webHidden/>
          </w:rPr>
          <w:fldChar w:fldCharType="begin"/>
        </w:r>
        <w:r>
          <w:rPr>
            <w:webHidden/>
          </w:rPr>
          <w:instrText xml:space="preserve"> PAGEREF _Toc182555106 \h </w:instrText>
        </w:r>
        <w:r>
          <w:rPr>
            <w:webHidden/>
          </w:rPr>
        </w:r>
        <w:r>
          <w:rPr>
            <w:webHidden/>
          </w:rPr>
          <w:fldChar w:fldCharType="separate"/>
        </w:r>
        <w:r w:rsidR="00672C8C">
          <w:rPr>
            <w:webHidden/>
          </w:rPr>
          <w:t>12</w:t>
        </w:r>
        <w:r>
          <w:rPr>
            <w:webHidden/>
          </w:rPr>
          <w:fldChar w:fldCharType="end"/>
        </w:r>
      </w:hyperlink>
    </w:p>
    <w:p w14:paraId="642FB2FE" w14:textId="00D00D79"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07" w:history="1">
        <w:r w:rsidRPr="009C3204">
          <w:rPr>
            <w:rStyle w:val="Hyperlink"/>
          </w:rPr>
          <w:t>2.1. Embedded Performance Task and Item Development and Review</w:t>
        </w:r>
        <w:r>
          <w:rPr>
            <w:webHidden/>
          </w:rPr>
          <w:tab/>
        </w:r>
        <w:r>
          <w:rPr>
            <w:webHidden/>
          </w:rPr>
          <w:fldChar w:fldCharType="begin"/>
        </w:r>
        <w:r>
          <w:rPr>
            <w:webHidden/>
          </w:rPr>
          <w:instrText xml:space="preserve"> PAGEREF _Toc182555107 \h </w:instrText>
        </w:r>
        <w:r>
          <w:rPr>
            <w:webHidden/>
          </w:rPr>
        </w:r>
        <w:r>
          <w:rPr>
            <w:webHidden/>
          </w:rPr>
          <w:fldChar w:fldCharType="separate"/>
        </w:r>
        <w:r w:rsidR="00672C8C">
          <w:rPr>
            <w:webHidden/>
          </w:rPr>
          <w:t>12</w:t>
        </w:r>
        <w:r>
          <w:rPr>
            <w:webHidden/>
          </w:rPr>
          <w:fldChar w:fldCharType="end"/>
        </w:r>
      </w:hyperlink>
    </w:p>
    <w:p w14:paraId="14F29697" w14:textId="6D45C456"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08" w:history="1">
        <w:r w:rsidRPr="009C3204">
          <w:rPr>
            <w:rStyle w:val="Hyperlink"/>
            <w:noProof/>
          </w:rPr>
          <w:t>2.1.1. Selection of Science Connectors for Embedded Performance Task Development</w:t>
        </w:r>
        <w:r>
          <w:rPr>
            <w:noProof/>
            <w:webHidden/>
          </w:rPr>
          <w:tab/>
        </w:r>
        <w:r>
          <w:rPr>
            <w:noProof/>
            <w:webHidden/>
          </w:rPr>
          <w:fldChar w:fldCharType="begin"/>
        </w:r>
        <w:r>
          <w:rPr>
            <w:noProof/>
            <w:webHidden/>
          </w:rPr>
          <w:instrText xml:space="preserve"> PAGEREF _Toc182555108 \h </w:instrText>
        </w:r>
        <w:r>
          <w:rPr>
            <w:noProof/>
            <w:webHidden/>
          </w:rPr>
        </w:r>
        <w:r>
          <w:rPr>
            <w:noProof/>
            <w:webHidden/>
          </w:rPr>
          <w:fldChar w:fldCharType="separate"/>
        </w:r>
        <w:r w:rsidR="00672C8C">
          <w:rPr>
            <w:noProof/>
            <w:webHidden/>
          </w:rPr>
          <w:t>12</w:t>
        </w:r>
        <w:r>
          <w:rPr>
            <w:noProof/>
            <w:webHidden/>
          </w:rPr>
          <w:fldChar w:fldCharType="end"/>
        </w:r>
      </w:hyperlink>
    </w:p>
    <w:p w14:paraId="3987C9F1" w14:textId="4718EFF4"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09" w:history="1">
        <w:r w:rsidRPr="009C3204">
          <w:rPr>
            <w:rStyle w:val="Hyperlink"/>
            <w:noProof/>
          </w:rPr>
          <w:t>2.1.2. Embedded Performance Task Development for Grades Five and Eight and High School</w:t>
        </w:r>
        <w:r>
          <w:rPr>
            <w:noProof/>
            <w:webHidden/>
          </w:rPr>
          <w:tab/>
        </w:r>
        <w:r>
          <w:rPr>
            <w:noProof/>
            <w:webHidden/>
          </w:rPr>
          <w:fldChar w:fldCharType="begin"/>
        </w:r>
        <w:r>
          <w:rPr>
            <w:noProof/>
            <w:webHidden/>
          </w:rPr>
          <w:instrText xml:space="preserve"> PAGEREF _Toc182555109 \h </w:instrText>
        </w:r>
        <w:r>
          <w:rPr>
            <w:noProof/>
            <w:webHidden/>
          </w:rPr>
        </w:r>
        <w:r>
          <w:rPr>
            <w:noProof/>
            <w:webHidden/>
          </w:rPr>
          <w:fldChar w:fldCharType="separate"/>
        </w:r>
        <w:r w:rsidR="00672C8C">
          <w:rPr>
            <w:noProof/>
            <w:webHidden/>
          </w:rPr>
          <w:t>12</w:t>
        </w:r>
        <w:r>
          <w:rPr>
            <w:noProof/>
            <w:webHidden/>
          </w:rPr>
          <w:fldChar w:fldCharType="end"/>
        </w:r>
      </w:hyperlink>
    </w:p>
    <w:p w14:paraId="295AE709" w14:textId="1C98BA02"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10" w:history="1">
        <w:r w:rsidRPr="009C3204">
          <w:rPr>
            <w:rStyle w:val="Hyperlink"/>
            <w:noProof/>
          </w:rPr>
          <w:t>2.1.3. Universal Design Principles</w:t>
        </w:r>
        <w:r>
          <w:rPr>
            <w:noProof/>
            <w:webHidden/>
          </w:rPr>
          <w:tab/>
        </w:r>
        <w:r>
          <w:rPr>
            <w:noProof/>
            <w:webHidden/>
          </w:rPr>
          <w:fldChar w:fldCharType="begin"/>
        </w:r>
        <w:r>
          <w:rPr>
            <w:noProof/>
            <w:webHidden/>
          </w:rPr>
          <w:instrText xml:space="preserve"> PAGEREF _Toc182555110 \h </w:instrText>
        </w:r>
        <w:r>
          <w:rPr>
            <w:noProof/>
            <w:webHidden/>
          </w:rPr>
        </w:r>
        <w:r>
          <w:rPr>
            <w:noProof/>
            <w:webHidden/>
          </w:rPr>
          <w:fldChar w:fldCharType="separate"/>
        </w:r>
        <w:r w:rsidR="00672C8C">
          <w:rPr>
            <w:noProof/>
            <w:webHidden/>
          </w:rPr>
          <w:t>13</w:t>
        </w:r>
        <w:r>
          <w:rPr>
            <w:noProof/>
            <w:webHidden/>
          </w:rPr>
          <w:fldChar w:fldCharType="end"/>
        </w:r>
      </w:hyperlink>
    </w:p>
    <w:p w14:paraId="1F5E1EDC" w14:textId="2EEE957E"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11" w:history="1">
        <w:r w:rsidRPr="009C3204">
          <w:rPr>
            <w:rStyle w:val="Hyperlink"/>
          </w:rPr>
          <w:t>2.2. Test Assembly</w:t>
        </w:r>
        <w:r>
          <w:rPr>
            <w:webHidden/>
          </w:rPr>
          <w:tab/>
        </w:r>
        <w:r>
          <w:rPr>
            <w:webHidden/>
          </w:rPr>
          <w:fldChar w:fldCharType="begin"/>
        </w:r>
        <w:r>
          <w:rPr>
            <w:webHidden/>
          </w:rPr>
          <w:instrText xml:space="preserve"> PAGEREF _Toc182555111 \h </w:instrText>
        </w:r>
        <w:r>
          <w:rPr>
            <w:webHidden/>
          </w:rPr>
        </w:r>
        <w:r>
          <w:rPr>
            <w:webHidden/>
          </w:rPr>
          <w:fldChar w:fldCharType="separate"/>
        </w:r>
        <w:r w:rsidR="00672C8C">
          <w:rPr>
            <w:webHidden/>
          </w:rPr>
          <w:t>14</w:t>
        </w:r>
        <w:r>
          <w:rPr>
            <w:webHidden/>
          </w:rPr>
          <w:fldChar w:fldCharType="end"/>
        </w:r>
      </w:hyperlink>
    </w:p>
    <w:p w14:paraId="78D2A88C" w14:textId="14DFFAC3"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12" w:history="1">
        <w:r w:rsidRPr="009C3204">
          <w:rPr>
            <w:rStyle w:val="Hyperlink"/>
            <w:noProof/>
          </w:rPr>
          <w:t>2.2.1. Test Design</w:t>
        </w:r>
        <w:r>
          <w:rPr>
            <w:noProof/>
            <w:webHidden/>
          </w:rPr>
          <w:tab/>
        </w:r>
        <w:r>
          <w:rPr>
            <w:noProof/>
            <w:webHidden/>
          </w:rPr>
          <w:fldChar w:fldCharType="begin"/>
        </w:r>
        <w:r>
          <w:rPr>
            <w:noProof/>
            <w:webHidden/>
          </w:rPr>
          <w:instrText xml:space="preserve"> PAGEREF _Toc182555112 \h </w:instrText>
        </w:r>
        <w:r>
          <w:rPr>
            <w:noProof/>
            <w:webHidden/>
          </w:rPr>
        </w:r>
        <w:r>
          <w:rPr>
            <w:noProof/>
            <w:webHidden/>
          </w:rPr>
          <w:fldChar w:fldCharType="separate"/>
        </w:r>
        <w:r w:rsidR="00672C8C">
          <w:rPr>
            <w:noProof/>
            <w:webHidden/>
          </w:rPr>
          <w:t>14</w:t>
        </w:r>
        <w:r>
          <w:rPr>
            <w:noProof/>
            <w:webHidden/>
          </w:rPr>
          <w:fldChar w:fldCharType="end"/>
        </w:r>
      </w:hyperlink>
    </w:p>
    <w:p w14:paraId="4498FFC4" w14:textId="049CB191"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13" w:history="1">
        <w:r w:rsidRPr="009C3204">
          <w:rPr>
            <w:rStyle w:val="Hyperlink"/>
            <w:noProof/>
          </w:rPr>
          <w:t>2.2.2. Test Blueprints</w:t>
        </w:r>
        <w:r>
          <w:rPr>
            <w:noProof/>
            <w:webHidden/>
          </w:rPr>
          <w:tab/>
        </w:r>
        <w:r>
          <w:rPr>
            <w:noProof/>
            <w:webHidden/>
          </w:rPr>
          <w:fldChar w:fldCharType="begin"/>
        </w:r>
        <w:r>
          <w:rPr>
            <w:noProof/>
            <w:webHidden/>
          </w:rPr>
          <w:instrText xml:space="preserve"> PAGEREF _Toc182555113 \h </w:instrText>
        </w:r>
        <w:r>
          <w:rPr>
            <w:noProof/>
            <w:webHidden/>
          </w:rPr>
        </w:r>
        <w:r>
          <w:rPr>
            <w:noProof/>
            <w:webHidden/>
          </w:rPr>
          <w:fldChar w:fldCharType="separate"/>
        </w:r>
        <w:r w:rsidR="00672C8C">
          <w:rPr>
            <w:noProof/>
            <w:webHidden/>
          </w:rPr>
          <w:t>15</w:t>
        </w:r>
        <w:r>
          <w:rPr>
            <w:noProof/>
            <w:webHidden/>
          </w:rPr>
          <w:fldChar w:fldCharType="end"/>
        </w:r>
      </w:hyperlink>
    </w:p>
    <w:p w14:paraId="3C98D440" w14:textId="72F6EDF5"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14" w:history="1">
        <w:r w:rsidRPr="009C3204">
          <w:rPr>
            <w:rStyle w:val="Hyperlink"/>
            <w:noProof/>
          </w:rPr>
          <w:t>2.2.3. Test Length</w:t>
        </w:r>
        <w:r>
          <w:rPr>
            <w:noProof/>
            <w:webHidden/>
          </w:rPr>
          <w:tab/>
        </w:r>
        <w:r>
          <w:rPr>
            <w:noProof/>
            <w:webHidden/>
          </w:rPr>
          <w:fldChar w:fldCharType="begin"/>
        </w:r>
        <w:r>
          <w:rPr>
            <w:noProof/>
            <w:webHidden/>
          </w:rPr>
          <w:instrText xml:space="preserve"> PAGEREF _Toc182555114 \h </w:instrText>
        </w:r>
        <w:r>
          <w:rPr>
            <w:noProof/>
            <w:webHidden/>
          </w:rPr>
        </w:r>
        <w:r>
          <w:rPr>
            <w:noProof/>
            <w:webHidden/>
          </w:rPr>
          <w:fldChar w:fldCharType="separate"/>
        </w:r>
        <w:r w:rsidR="00672C8C">
          <w:rPr>
            <w:noProof/>
            <w:webHidden/>
          </w:rPr>
          <w:t>15</w:t>
        </w:r>
        <w:r>
          <w:rPr>
            <w:noProof/>
            <w:webHidden/>
          </w:rPr>
          <w:fldChar w:fldCharType="end"/>
        </w:r>
      </w:hyperlink>
    </w:p>
    <w:p w14:paraId="4E13711E" w14:textId="18D658DA"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15" w:history="1">
        <w:r w:rsidRPr="009C3204">
          <w:rPr>
            <w:rStyle w:val="Hyperlink"/>
          </w:rPr>
          <w:t>2.3. Test Administration</w:t>
        </w:r>
        <w:r>
          <w:rPr>
            <w:webHidden/>
          </w:rPr>
          <w:tab/>
        </w:r>
        <w:r>
          <w:rPr>
            <w:webHidden/>
          </w:rPr>
          <w:fldChar w:fldCharType="begin"/>
        </w:r>
        <w:r>
          <w:rPr>
            <w:webHidden/>
          </w:rPr>
          <w:instrText xml:space="preserve"> PAGEREF _Toc182555115 \h </w:instrText>
        </w:r>
        <w:r>
          <w:rPr>
            <w:webHidden/>
          </w:rPr>
        </w:r>
        <w:r>
          <w:rPr>
            <w:webHidden/>
          </w:rPr>
          <w:fldChar w:fldCharType="separate"/>
        </w:r>
        <w:r w:rsidR="00672C8C">
          <w:rPr>
            <w:webHidden/>
          </w:rPr>
          <w:t>15</w:t>
        </w:r>
        <w:r>
          <w:rPr>
            <w:webHidden/>
          </w:rPr>
          <w:fldChar w:fldCharType="end"/>
        </w:r>
      </w:hyperlink>
    </w:p>
    <w:p w14:paraId="5AE76BE1" w14:textId="53B152EE"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16" w:history="1">
        <w:r w:rsidRPr="009C3204">
          <w:rPr>
            <w:rStyle w:val="Hyperlink"/>
            <w:noProof/>
          </w:rPr>
          <w:t>2.3.1. Test Security and Confidentiality</w:t>
        </w:r>
        <w:r>
          <w:rPr>
            <w:noProof/>
            <w:webHidden/>
          </w:rPr>
          <w:tab/>
        </w:r>
        <w:r>
          <w:rPr>
            <w:noProof/>
            <w:webHidden/>
          </w:rPr>
          <w:fldChar w:fldCharType="begin"/>
        </w:r>
        <w:r>
          <w:rPr>
            <w:noProof/>
            <w:webHidden/>
          </w:rPr>
          <w:instrText xml:space="preserve"> PAGEREF _Toc182555116 \h </w:instrText>
        </w:r>
        <w:r>
          <w:rPr>
            <w:noProof/>
            <w:webHidden/>
          </w:rPr>
        </w:r>
        <w:r>
          <w:rPr>
            <w:noProof/>
            <w:webHidden/>
          </w:rPr>
          <w:fldChar w:fldCharType="separate"/>
        </w:r>
        <w:r w:rsidR="00672C8C">
          <w:rPr>
            <w:noProof/>
            <w:webHidden/>
          </w:rPr>
          <w:t>15</w:t>
        </w:r>
        <w:r>
          <w:rPr>
            <w:noProof/>
            <w:webHidden/>
          </w:rPr>
          <w:fldChar w:fldCharType="end"/>
        </w:r>
      </w:hyperlink>
    </w:p>
    <w:p w14:paraId="7B228AB9" w14:textId="4600410B"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17" w:history="1">
        <w:r w:rsidRPr="009C3204">
          <w:rPr>
            <w:rStyle w:val="Hyperlink"/>
            <w:noProof/>
          </w:rPr>
          <w:t>2.3.2. Procedures to Maintain Standardization</w:t>
        </w:r>
        <w:r>
          <w:rPr>
            <w:noProof/>
            <w:webHidden/>
          </w:rPr>
          <w:tab/>
        </w:r>
        <w:r>
          <w:rPr>
            <w:noProof/>
            <w:webHidden/>
          </w:rPr>
          <w:fldChar w:fldCharType="begin"/>
        </w:r>
        <w:r>
          <w:rPr>
            <w:noProof/>
            <w:webHidden/>
          </w:rPr>
          <w:instrText xml:space="preserve"> PAGEREF _Toc182555117 \h </w:instrText>
        </w:r>
        <w:r>
          <w:rPr>
            <w:noProof/>
            <w:webHidden/>
          </w:rPr>
        </w:r>
        <w:r>
          <w:rPr>
            <w:noProof/>
            <w:webHidden/>
          </w:rPr>
          <w:fldChar w:fldCharType="separate"/>
        </w:r>
        <w:r w:rsidR="00672C8C">
          <w:rPr>
            <w:noProof/>
            <w:webHidden/>
          </w:rPr>
          <w:t>16</w:t>
        </w:r>
        <w:r>
          <w:rPr>
            <w:noProof/>
            <w:webHidden/>
          </w:rPr>
          <w:fldChar w:fldCharType="end"/>
        </w:r>
      </w:hyperlink>
    </w:p>
    <w:p w14:paraId="7730E24D" w14:textId="26BF88C0"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18" w:history="1">
        <w:r w:rsidRPr="009C3204">
          <w:rPr>
            <w:rStyle w:val="Hyperlink"/>
          </w:rPr>
          <w:t>2.4. Test-Taking Rates</w:t>
        </w:r>
        <w:r>
          <w:rPr>
            <w:webHidden/>
          </w:rPr>
          <w:tab/>
        </w:r>
        <w:r>
          <w:rPr>
            <w:webHidden/>
          </w:rPr>
          <w:fldChar w:fldCharType="begin"/>
        </w:r>
        <w:r>
          <w:rPr>
            <w:webHidden/>
          </w:rPr>
          <w:instrText xml:space="preserve"> PAGEREF _Toc182555118 \h </w:instrText>
        </w:r>
        <w:r>
          <w:rPr>
            <w:webHidden/>
          </w:rPr>
        </w:r>
        <w:r>
          <w:rPr>
            <w:webHidden/>
          </w:rPr>
          <w:fldChar w:fldCharType="separate"/>
        </w:r>
        <w:r w:rsidR="00672C8C">
          <w:rPr>
            <w:webHidden/>
          </w:rPr>
          <w:t>16</w:t>
        </w:r>
        <w:r>
          <w:rPr>
            <w:webHidden/>
          </w:rPr>
          <w:fldChar w:fldCharType="end"/>
        </w:r>
      </w:hyperlink>
    </w:p>
    <w:p w14:paraId="296690FF" w14:textId="651AB511"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19" w:history="1">
        <w:r w:rsidRPr="009C3204">
          <w:rPr>
            <w:rStyle w:val="Hyperlink"/>
          </w:rPr>
          <w:t>2.5. Fairness and Accessibility</w:t>
        </w:r>
        <w:r>
          <w:rPr>
            <w:webHidden/>
          </w:rPr>
          <w:tab/>
        </w:r>
        <w:r>
          <w:rPr>
            <w:webHidden/>
          </w:rPr>
          <w:fldChar w:fldCharType="begin"/>
        </w:r>
        <w:r>
          <w:rPr>
            <w:webHidden/>
          </w:rPr>
          <w:instrText xml:space="preserve"> PAGEREF _Toc182555119 \h </w:instrText>
        </w:r>
        <w:r>
          <w:rPr>
            <w:webHidden/>
          </w:rPr>
        </w:r>
        <w:r>
          <w:rPr>
            <w:webHidden/>
          </w:rPr>
          <w:fldChar w:fldCharType="separate"/>
        </w:r>
        <w:r w:rsidR="00672C8C">
          <w:rPr>
            <w:webHidden/>
          </w:rPr>
          <w:t>18</w:t>
        </w:r>
        <w:r>
          <w:rPr>
            <w:webHidden/>
          </w:rPr>
          <w:fldChar w:fldCharType="end"/>
        </w:r>
      </w:hyperlink>
    </w:p>
    <w:p w14:paraId="5ED54533" w14:textId="0B1F2C90"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20" w:history="1">
        <w:r w:rsidRPr="009C3204">
          <w:rPr>
            <w:rStyle w:val="Hyperlink"/>
            <w:noProof/>
          </w:rPr>
          <w:t>2.5.1. Universal Tools, Designated Supports, and Accommodations</w:t>
        </w:r>
        <w:r>
          <w:rPr>
            <w:noProof/>
            <w:webHidden/>
          </w:rPr>
          <w:tab/>
        </w:r>
        <w:r>
          <w:rPr>
            <w:noProof/>
            <w:webHidden/>
          </w:rPr>
          <w:fldChar w:fldCharType="begin"/>
        </w:r>
        <w:r>
          <w:rPr>
            <w:noProof/>
            <w:webHidden/>
          </w:rPr>
          <w:instrText xml:space="preserve"> PAGEREF _Toc182555120 \h </w:instrText>
        </w:r>
        <w:r>
          <w:rPr>
            <w:noProof/>
            <w:webHidden/>
          </w:rPr>
        </w:r>
        <w:r>
          <w:rPr>
            <w:noProof/>
            <w:webHidden/>
          </w:rPr>
          <w:fldChar w:fldCharType="separate"/>
        </w:r>
        <w:r w:rsidR="00672C8C">
          <w:rPr>
            <w:noProof/>
            <w:webHidden/>
          </w:rPr>
          <w:t>18</w:t>
        </w:r>
        <w:r>
          <w:rPr>
            <w:noProof/>
            <w:webHidden/>
          </w:rPr>
          <w:fldChar w:fldCharType="end"/>
        </w:r>
      </w:hyperlink>
    </w:p>
    <w:p w14:paraId="36CCA911" w14:textId="458C5C21"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21" w:history="1">
        <w:r w:rsidRPr="009C3204">
          <w:rPr>
            <w:rStyle w:val="Hyperlink"/>
            <w:noProof/>
          </w:rPr>
          <w:t>2.5.2. Individualizations</w:t>
        </w:r>
        <w:r>
          <w:rPr>
            <w:noProof/>
            <w:webHidden/>
          </w:rPr>
          <w:tab/>
        </w:r>
        <w:r>
          <w:rPr>
            <w:noProof/>
            <w:webHidden/>
          </w:rPr>
          <w:fldChar w:fldCharType="begin"/>
        </w:r>
        <w:r>
          <w:rPr>
            <w:noProof/>
            <w:webHidden/>
          </w:rPr>
          <w:instrText xml:space="preserve"> PAGEREF _Toc182555121 \h </w:instrText>
        </w:r>
        <w:r>
          <w:rPr>
            <w:noProof/>
            <w:webHidden/>
          </w:rPr>
        </w:r>
        <w:r>
          <w:rPr>
            <w:noProof/>
            <w:webHidden/>
          </w:rPr>
          <w:fldChar w:fldCharType="separate"/>
        </w:r>
        <w:r w:rsidR="00672C8C">
          <w:rPr>
            <w:noProof/>
            <w:webHidden/>
          </w:rPr>
          <w:t>21</w:t>
        </w:r>
        <w:r>
          <w:rPr>
            <w:noProof/>
            <w:webHidden/>
          </w:rPr>
          <w:fldChar w:fldCharType="end"/>
        </w:r>
      </w:hyperlink>
    </w:p>
    <w:p w14:paraId="647ECE76" w14:textId="23BC54D3"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22" w:history="1">
        <w:r w:rsidRPr="009C3204">
          <w:rPr>
            <w:rStyle w:val="Hyperlink"/>
            <w:noProof/>
          </w:rPr>
          <w:t>2.5.3. Description of Differential Item Functioning Analyses</w:t>
        </w:r>
        <w:r>
          <w:rPr>
            <w:noProof/>
            <w:webHidden/>
          </w:rPr>
          <w:tab/>
        </w:r>
        <w:r>
          <w:rPr>
            <w:noProof/>
            <w:webHidden/>
          </w:rPr>
          <w:fldChar w:fldCharType="begin"/>
        </w:r>
        <w:r>
          <w:rPr>
            <w:noProof/>
            <w:webHidden/>
          </w:rPr>
          <w:instrText xml:space="preserve"> PAGEREF _Toc182555122 \h </w:instrText>
        </w:r>
        <w:r>
          <w:rPr>
            <w:noProof/>
            <w:webHidden/>
          </w:rPr>
        </w:r>
        <w:r>
          <w:rPr>
            <w:noProof/>
            <w:webHidden/>
          </w:rPr>
          <w:fldChar w:fldCharType="separate"/>
        </w:r>
        <w:r w:rsidR="00672C8C">
          <w:rPr>
            <w:noProof/>
            <w:webHidden/>
          </w:rPr>
          <w:t>21</w:t>
        </w:r>
        <w:r>
          <w:rPr>
            <w:noProof/>
            <w:webHidden/>
          </w:rPr>
          <w:fldChar w:fldCharType="end"/>
        </w:r>
      </w:hyperlink>
    </w:p>
    <w:p w14:paraId="6FC3642C" w14:textId="015205CF"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23" w:history="1">
        <w:r w:rsidRPr="009C3204">
          <w:rPr>
            <w:rStyle w:val="Hyperlink"/>
          </w:rPr>
          <w:t>2.6. Scores</w:t>
        </w:r>
        <w:r>
          <w:rPr>
            <w:webHidden/>
          </w:rPr>
          <w:tab/>
        </w:r>
        <w:r>
          <w:rPr>
            <w:webHidden/>
          </w:rPr>
          <w:fldChar w:fldCharType="begin"/>
        </w:r>
        <w:r>
          <w:rPr>
            <w:webHidden/>
          </w:rPr>
          <w:instrText xml:space="preserve"> PAGEREF _Toc182555123 \h </w:instrText>
        </w:r>
        <w:r>
          <w:rPr>
            <w:webHidden/>
          </w:rPr>
        </w:r>
        <w:r>
          <w:rPr>
            <w:webHidden/>
          </w:rPr>
          <w:fldChar w:fldCharType="separate"/>
        </w:r>
        <w:r w:rsidR="00672C8C">
          <w:rPr>
            <w:webHidden/>
          </w:rPr>
          <w:t>21</w:t>
        </w:r>
        <w:r>
          <w:rPr>
            <w:webHidden/>
          </w:rPr>
          <w:fldChar w:fldCharType="end"/>
        </w:r>
      </w:hyperlink>
    </w:p>
    <w:p w14:paraId="35E6EDFC" w14:textId="28846292"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24" w:history="1">
        <w:r w:rsidRPr="009C3204">
          <w:rPr>
            <w:rStyle w:val="Hyperlink"/>
            <w:noProof/>
          </w:rPr>
          <w:t>2.6.1. Score Reporting</w:t>
        </w:r>
        <w:r>
          <w:rPr>
            <w:noProof/>
            <w:webHidden/>
          </w:rPr>
          <w:tab/>
        </w:r>
        <w:r>
          <w:rPr>
            <w:noProof/>
            <w:webHidden/>
          </w:rPr>
          <w:fldChar w:fldCharType="begin"/>
        </w:r>
        <w:r>
          <w:rPr>
            <w:noProof/>
            <w:webHidden/>
          </w:rPr>
          <w:instrText xml:space="preserve"> PAGEREF _Toc182555124 \h </w:instrText>
        </w:r>
        <w:r>
          <w:rPr>
            <w:noProof/>
            <w:webHidden/>
          </w:rPr>
        </w:r>
        <w:r>
          <w:rPr>
            <w:noProof/>
            <w:webHidden/>
          </w:rPr>
          <w:fldChar w:fldCharType="separate"/>
        </w:r>
        <w:r w:rsidR="00672C8C">
          <w:rPr>
            <w:noProof/>
            <w:webHidden/>
          </w:rPr>
          <w:t>21</w:t>
        </w:r>
        <w:r>
          <w:rPr>
            <w:noProof/>
            <w:webHidden/>
          </w:rPr>
          <w:fldChar w:fldCharType="end"/>
        </w:r>
      </w:hyperlink>
    </w:p>
    <w:p w14:paraId="7744BC14" w14:textId="302D9C54"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25" w:history="1">
        <w:r w:rsidRPr="009C3204">
          <w:rPr>
            <w:rStyle w:val="Hyperlink"/>
          </w:rPr>
          <w:t>2.7. Overview of Psychometric Analyses</w:t>
        </w:r>
        <w:r>
          <w:rPr>
            <w:webHidden/>
          </w:rPr>
          <w:tab/>
        </w:r>
        <w:r>
          <w:rPr>
            <w:webHidden/>
          </w:rPr>
          <w:fldChar w:fldCharType="begin"/>
        </w:r>
        <w:r>
          <w:rPr>
            <w:webHidden/>
          </w:rPr>
          <w:instrText xml:space="preserve"> PAGEREF _Toc182555125 \h </w:instrText>
        </w:r>
        <w:r>
          <w:rPr>
            <w:webHidden/>
          </w:rPr>
        </w:r>
        <w:r>
          <w:rPr>
            <w:webHidden/>
          </w:rPr>
          <w:fldChar w:fldCharType="separate"/>
        </w:r>
        <w:r w:rsidR="00672C8C">
          <w:rPr>
            <w:webHidden/>
          </w:rPr>
          <w:t>21</w:t>
        </w:r>
        <w:r>
          <w:rPr>
            <w:webHidden/>
          </w:rPr>
          <w:fldChar w:fldCharType="end"/>
        </w:r>
      </w:hyperlink>
    </w:p>
    <w:p w14:paraId="22F03BCF" w14:textId="4D0BC285"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26" w:history="1">
        <w:r w:rsidRPr="009C3204">
          <w:rPr>
            <w:rStyle w:val="Hyperlink"/>
            <w:noProof/>
          </w:rPr>
          <w:t>2.7.1. Description of the Classical Item Analyses</w:t>
        </w:r>
        <w:r>
          <w:rPr>
            <w:noProof/>
            <w:webHidden/>
          </w:rPr>
          <w:tab/>
        </w:r>
        <w:r>
          <w:rPr>
            <w:noProof/>
            <w:webHidden/>
          </w:rPr>
          <w:fldChar w:fldCharType="begin"/>
        </w:r>
        <w:r>
          <w:rPr>
            <w:noProof/>
            <w:webHidden/>
          </w:rPr>
          <w:instrText xml:space="preserve"> PAGEREF _Toc182555126 \h </w:instrText>
        </w:r>
        <w:r>
          <w:rPr>
            <w:noProof/>
            <w:webHidden/>
          </w:rPr>
        </w:r>
        <w:r>
          <w:rPr>
            <w:noProof/>
            <w:webHidden/>
          </w:rPr>
          <w:fldChar w:fldCharType="separate"/>
        </w:r>
        <w:r w:rsidR="00672C8C">
          <w:rPr>
            <w:noProof/>
            <w:webHidden/>
          </w:rPr>
          <w:t>21</w:t>
        </w:r>
        <w:r>
          <w:rPr>
            <w:noProof/>
            <w:webHidden/>
          </w:rPr>
          <w:fldChar w:fldCharType="end"/>
        </w:r>
      </w:hyperlink>
    </w:p>
    <w:p w14:paraId="75334771" w14:textId="4C862FB5"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27" w:history="1">
        <w:r w:rsidRPr="009C3204">
          <w:rPr>
            <w:rStyle w:val="Hyperlink"/>
            <w:noProof/>
          </w:rPr>
          <w:t>2.7.2. Description of Item Response Theory Analyses</w:t>
        </w:r>
        <w:r>
          <w:rPr>
            <w:noProof/>
            <w:webHidden/>
          </w:rPr>
          <w:tab/>
        </w:r>
        <w:r>
          <w:rPr>
            <w:noProof/>
            <w:webHidden/>
          </w:rPr>
          <w:fldChar w:fldCharType="begin"/>
        </w:r>
        <w:r>
          <w:rPr>
            <w:noProof/>
            <w:webHidden/>
          </w:rPr>
          <w:instrText xml:space="preserve"> PAGEREF _Toc182555127 \h </w:instrText>
        </w:r>
        <w:r>
          <w:rPr>
            <w:noProof/>
            <w:webHidden/>
          </w:rPr>
        </w:r>
        <w:r>
          <w:rPr>
            <w:noProof/>
            <w:webHidden/>
          </w:rPr>
          <w:fldChar w:fldCharType="separate"/>
        </w:r>
        <w:r w:rsidR="00672C8C">
          <w:rPr>
            <w:noProof/>
            <w:webHidden/>
          </w:rPr>
          <w:t>22</w:t>
        </w:r>
        <w:r>
          <w:rPr>
            <w:noProof/>
            <w:webHidden/>
          </w:rPr>
          <w:fldChar w:fldCharType="end"/>
        </w:r>
      </w:hyperlink>
    </w:p>
    <w:p w14:paraId="4B48B2AF" w14:textId="7C4B0525"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28" w:history="1">
        <w:r w:rsidRPr="009C3204">
          <w:rPr>
            <w:rStyle w:val="Hyperlink"/>
          </w:rPr>
          <w:t>References</w:t>
        </w:r>
        <w:r>
          <w:rPr>
            <w:webHidden/>
          </w:rPr>
          <w:tab/>
        </w:r>
        <w:r>
          <w:rPr>
            <w:webHidden/>
          </w:rPr>
          <w:fldChar w:fldCharType="begin"/>
        </w:r>
        <w:r>
          <w:rPr>
            <w:webHidden/>
          </w:rPr>
          <w:instrText xml:space="preserve"> PAGEREF _Toc182555128 \h </w:instrText>
        </w:r>
        <w:r>
          <w:rPr>
            <w:webHidden/>
          </w:rPr>
        </w:r>
        <w:r>
          <w:rPr>
            <w:webHidden/>
          </w:rPr>
          <w:fldChar w:fldCharType="separate"/>
        </w:r>
        <w:r w:rsidR="00672C8C">
          <w:rPr>
            <w:webHidden/>
          </w:rPr>
          <w:t>23</w:t>
        </w:r>
        <w:r>
          <w:rPr>
            <w:webHidden/>
          </w:rPr>
          <w:fldChar w:fldCharType="end"/>
        </w:r>
      </w:hyperlink>
    </w:p>
    <w:p w14:paraId="3EFBCE7F" w14:textId="3E6B619E"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29" w:history="1">
        <w:r w:rsidRPr="009C3204">
          <w:rPr>
            <w:rStyle w:val="Hyperlink"/>
          </w:rPr>
          <w:t>Appendix 2.A: Accessibility</w:t>
        </w:r>
        <w:r>
          <w:rPr>
            <w:webHidden/>
          </w:rPr>
          <w:tab/>
        </w:r>
        <w:r>
          <w:rPr>
            <w:webHidden/>
          </w:rPr>
          <w:fldChar w:fldCharType="begin"/>
        </w:r>
        <w:r>
          <w:rPr>
            <w:webHidden/>
          </w:rPr>
          <w:instrText xml:space="preserve"> PAGEREF _Toc182555129 \h </w:instrText>
        </w:r>
        <w:r>
          <w:rPr>
            <w:webHidden/>
          </w:rPr>
        </w:r>
        <w:r>
          <w:rPr>
            <w:webHidden/>
          </w:rPr>
          <w:fldChar w:fldCharType="separate"/>
        </w:r>
        <w:r w:rsidR="00672C8C">
          <w:rPr>
            <w:webHidden/>
          </w:rPr>
          <w:t>24</w:t>
        </w:r>
        <w:r>
          <w:rPr>
            <w:webHidden/>
          </w:rPr>
          <w:fldChar w:fldCharType="end"/>
        </w:r>
      </w:hyperlink>
    </w:p>
    <w:p w14:paraId="5D2DBFB1" w14:textId="17AD621A" w:rsidR="00CA4A9A" w:rsidRDefault="00CA4A9A">
      <w:pPr>
        <w:pStyle w:val="TOC1"/>
        <w:rPr>
          <w:rFonts w:asciiTheme="minorHAnsi" w:eastAsiaTheme="minorEastAsia" w:hAnsiTheme="minorHAnsi" w:cstheme="minorBidi"/>
          <w:b w:val="0"/>
          <w:color w:val="auto"/>
          <w:kern w:val="2"/>
          <w:sz w:val="22"/>
          <w:szCs w:val="22"/>
          <w14:ligatures w14:val="standardContextual"/>
        </w:rPr>
      </w:pPr>
      <w:hyperlink w:anchor="_Toc182555130" w:history="1">
        <w:r w:rsidRPr="009C3204">
          <w:rPr>
            <w:rStyle w:val="Hyperlink"/>
          </w:rPr>
          <w:t>Chapter 3: Embedded Performance Task and Item Development and Review</w:t>
        </w:r>
        <w:r>
          <w:rPr>
            <w:webHidden/>
          </w:rPr>
          <w:tab/>
        </w:r>
        <w:r>
          <w:rPr>
            <w:webHidden/>
          </w:rPr>
          <w:fldChar w:fldCharType="begin"/>
        </w:r>
        <w:r>
          <w:rPr>
            <w:webHidden/>
          </w:rPr>
          <w:instrText xml:space="preserve"> PAGEREF _Toc182555130 \h </w:instrText>
        </w:r>
        <w:r>
          <w:rPr>
            <w:webHidden/>
          </w:rPr>
        </w:r>
        <w:r>
          <w:rPr>
            <w:webHidden/>
          </w:rPr>
          <w:fldChar w:fldCharType="separate"/>
        </w:r>
        <w:r w:rsidR="00672C8C">
          <w:rPr>
            <w:webHidden/>
          </w:rPr>
          <w:t>36</w:t>
        </w:r>
        <w:r>
          <w:rPr>
            <w:webHidden/>
          </w:rPr>
          <w:fldChar w:fldCharType="end"/>
        </w:r>
      </w:hyperlink>
    </w:p>
    <w:p w14:paraId="3F1FD62C" w14:textId="2488AED2"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31" w:history="1">
        <w:r w:rsidRPr="009C3204">
          <w:rPr>
            <w:rStyle w:val="Hyperlink"/>
          </w:rPr>
          <w:t>3.1. Embedded Performance Task and Item Development</w:t>
        </w:r>
        <w:r>
          <w:rPr>
            <w:webHidden/>
          </w:rPr>
          <w:tab/>
        </w:r>
        <w:r>
          <w:rPr>
            <w:webHidden/>
          </w:rPr>
          <w:fldChar w:fldCharType="begin"/>
        </w:r>
        <w:r>
          <w:rPr>
            <w:webHidden/>
          </w:rPr>
          <w:instrText xml:space="preserve"> PAGEREF _Toc182555131 \h </w:instrText>
        </w:r>
        <w:r>
          <w:rPr>
            <w:webHidden/>
          </w:rPr>
        </w:r>
        <w:r>
          <w:rPr>
            <w:webHidden/>
          </w:rPr>
          <w:fldChar w:fldCharType="separate"/>
        </w:r>
        <w:r w:rsidR="00672C8C">
          <w:rPr>
            <w:webHidden/>
          </w:rPr>
          <w:t>36</w:t>
        </w:r>
        <w:r>
          <w:rPr>
            <w:webHidden/>
          </w:rPr>
          <w:fldChar w:fldCharType="end"/>
        </w:r>
      </w:hyperlink>
    </w:p>
    <w:p w14:paraId="43682CE7" w14:textId="62606EAD"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32" w:history="1">
        <w:r w:rsidRPr="009C3204">
          <w:rPr>
            <w:rStyle w:val="Hyperlink"/>
            <w:noProof/>
          </w:rPr>
          <w:t>3.1.1. Overview</w:t>
        </w:r>
        <w:r>
          <w:rPr>
            <w:noProof/>
            <w:webHidden/>
          </w:rPr>
          <w:tab/>
        </w:r>
        <w:r>
          <w:rPr>
            <w:noProof/>
            <w:webHidden/>
          </w:rPr>
          <w:fldChar w:fldCharType="begin"/>
        </w:r>
        <w:r>
          <w:rPr>
            <w:noProof/>
            <w:webHidden/>
          </w:rPr>
          <w:instrText xml:space="preserve"> PAGEREF _Toc182555132 \h </w:instrText>
        </w:r>
        <w:r>
          <w:rPr>
            <w:noProof/>
            <w:webHidden/>
          </w:rPr>
        </w:r>
        <w:r>
          <w:rPr>
            <w:noProof/>
            <w:webHidden/>
          </w:rPr>
          <w:fldChar w:fldCharType="separate"/>
        </w:r>
        <w:r w:rsidR="00672C8C">
          <w:rPr>
            <w:noProof/>
            <w:webHidden/>
          </w:rPr>
          <w:t>36</w:t>
        </w:r>
        <w:r>
          <w:rPr>
            <w:noProof/>
            <w:webHidden/>
          </w:rPr>
          <w:fldChar w:fldCharType="end"/>
        </w:r>
      </w:hyperlink>
    </w:p>
    <w:p w14:paraId="0E8F685F" w14:textId="4A3405DC"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33" w:history="1">
        <w:r w:rsidRPr="009C3204">
          <w:rPr>
            <w:rStyle w:val="Hyperlink"/>
            <w:noProof/>
          </w:rPr>
          <w:t>3.1.2. Specifications for the Embedded Performance Tasks and Items</w:t>
        </w:r>
        <w:r>
          <w:rPr>
            <w:noProof/>
            <w:webHidden/>
          </w:rPr>
          <w:tab/>
        </w:r>
        <w:r>
          <w:rPr>
            <w:noProof/>
            <w:webHidden/>
          </w:rPr>
          <w:fldChar w:fldCharType="begin"/>
        </w:r>
        <w:r>
          <w:rPr>
            <w:noProof/>
            <w:webHidden/>
          </w:rPr>
          <w:instrText xml:space="preserve"> PAGEREF _Toc182555133 \h </w:instrText>
        </w:r>
        <w:r>
          <w:rPr>
            <w:noProof/>
            <w:webHidden/>
          </w:rPr>
        </w:r>
        <w:r>
          <w:rPr>
            <w:noProof/>
            <w:webHidden/>
          </w:rPr>
          <w:fldChar w:fldCharType="separate"/>
        </w:r>
        <w:r w:rsidR="00672C8C">
          <w:rPr>
            <w:noProof/>
            <w:webHidden/>
          </w:rPr>
          <w:t>36</w:t>
        </w:r>
        <w:r>
          <w:rPr>
            <w:noProof/>
            <w:webHidden/>
          </w:rPr>
          <w:fldChar w:fldCharType="end"/>
        </w:r>
      </w:hyperlink>
    </w:p>
    <w:p w14:paraId="2EA3BECF" w14:textId="3E7C3878"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34" w:history="1">
        <w:r w:rsidRPr="009C3204">
          <w:rPr>
            <w:rStyle w:val="Hyperlink"/>
            <w:noProof/>
          </w:rPr>
          <w:t>3.1.3. Five-Year Plan</w:t>
        </w:r>
        <w:r>
          <w:rPr>
            <w:noProof/>
            <w:webHidden/>
          </w:rPr>
          <w:tab/>
        </w:r>
        <w:r>
          <w:rPr>
            <w:noProof/>
            <w:webHidden/>
          </w:rPr>
          <w:fldChar w:fldCharType="begin"/>
        </w:r>
        <w:r>
          <w:rPr>
            <w:noProof/>
            <w:webHidden/>
          </w:rPr>
          <w:instrText xml:space="preserve"> PAGEREF _Toc182555134 \h </w:instrText>
        </w:r>
        <w:r>
          <w:rPr>
            <w:noProof/>
            <w:webHidden/>
          </w:rPr>
        </w:r>
        <w:r>
          <w:rPr>
            <w:noProof/>
            <w:webHidden/>
          </w:rPr>
          <w:fldChar w:fldCharType="separate"/>
        </w:r>
        <w:r w:rsidR="00672C8C">
          <w:rPr>
            <w:noProof/>
            <w:webHidden/>
          </w:rPr>
          <w:t>36</w:t>
        </w:r>
        <w:r>
          <w:rPr>
            <w:noProof/>
            <w:webHidden/>
          </w:rPr>
          <w:fldChar w:fldCharType="end"/>
        </w:r>
      </w:hyperlink>
    </w:p>
    <w:p w14:paraId="5ADBCAD0" w14:textId="10549EDD"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35" w:history="1">
        <w:r w:rsidRPr="009C3204">
          <w:rPr>
            <w:rStyle w:val="Hyperlink"/>
            <w:noProof/>
          </w:rPr>
          <w:t>3.1.4. Embedded Performance Task and Item Format</w:t>
        </w:r>
        <w:r>
          <w:rPr>
            <w:noProof/>
            <w:webHidden/>
          </w:rPr>
          <w:tab/>
        </w:r>
        <w:r>
          <w:rPr>
            <w:noProof/>
            <w:webHidden/>
          </w:rPr>
          <w:fldChar w:fldCharType="begin"/>
        </w:r>
        <w:r>
          <w:rPr>
            <w:noProof/>
            <w:webHidden/>
          </w:rPr>
          <w:instrText xml:space="preserve"> PAGEREF _Toc182555135 \h </w:instrText>
        </w:r>
        <w:r>
          <w:rPr>
            <w:noProof/>
            <w:webHidden/>
          </w:rPr>
        </w:r>
        <w:r>
          <w:rPr>
            <w:noProof/>
            <w:webHidden/>
          </w:rPr>
          <w:fldChar w:fldCharType="separate"/>
        </w:r>
        <w:r w:rsidR="00672C8C">
          <w:rPr>
            <w:noProof/>
            <w:webHidden/>
          </w:rPr>
          <w:t>37</w:t>
        </w:r>
        <w:r>
          <w:rPr>
            <w:noProof/>
            <w:webHidden/>
          </w:rPr>
          <w:fldChar w:fldCharType="end"/>
        </w:r>
      </w:hyperlink>
    </w:p>
    <w:p w14:paraId="3D006F92" w14:textId="3D1D20CA"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37" w:history="1">
        <w:r w:rsidRPr="009C3204">
          <w:rPr>
            <w:rStyle w:val="Hyperlink"/>
            <w:noProof/>
          </w:rPr>
          <w:t>3.1.5. Recruitment and Selection of Embedded Performance Task Item Writers</w:t>
        </w:r>
        <w:r>
          <w:rPr>
            <w:noProof/>
            <w:webHidden/>
          </w:rPr>
          <w:tab/>
        </w:r>
        <w:r>
          <w:rPr>
            <w:noProof/>
            <w:webHidden/>
          </w:rPr>
          <w:fldChar w:fldCharType="begin"/>
        </w:r>
        <w:r>
          <w:rPr>
            <w:noProof/>
            <w:webHidden/>
          </w:rPr>
          <w:instrText xml:space="preserve"> PAGEREF _Toc182555137 \h </w:instrText>
        </w:r>
        <w:r>
          <w:rPr>
            <w:noProof/>
            <w:webHidden/>
          </w:rPr>
        </w:r>
        <w:r>
          <w:rPr>
            <w:noProof/>
            <w:webHidden/>
          </w:rPr>
          <w:fldChar w:fldCharType="separate"/>
        </w:r>
        <w:r w:rsidR="00672C8C">
          <w:rPr>
            <w:noProof/>
            <w:webHidden/>
          </w:rPr>
          <w:t>38</w:t>
        </w:r>
        <w:r>
          <w:rPr>
            <w:noProof/>
            <w:webHidden/>
          </w:rPr>
          <w:fldChar w:fldCharType="end"/>
        </w:r>
      </w:hyperlink>
    </w:p>
    <w:p w14:paraId="54C4FDFE" w14:textId="34D21250"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38" w:history="1">
        <w:r w:rsidRPr="009C3204">
          <w:rPr>
            <w:rStyle w:val="Hyperlink"/>
            <w:noProof/>
          </w:rPr>
          <w:t>3.1.6. Embedded Performance Task Item Writer Training</w:t>
        </w:r>
        <w:r>
          <w:rPr>
            <w:noProof/>
            <w:webHidden/>
          </w:rPr>
          <w:tab/>
        </w:r>
        <w:r>
          <w:rPr>
            <w:noProof/>
            <w:webHidden/>
          </w:rPr>
          <w:fldChar w:fldCharType="begin"/>
        </w:r>
        <w:r>
          <w:rPr>
            <w:noProof/>
            <w:webHidden/>
          </w:rPr>
          <w:instrText xml:space="preserve"> PAGEREF _Toc182555138 \h </w:instrText>
        </w:r>
        <w:r>
          <w:rPr>
            <w:noProof/>
            <w:webHidden/>
          </w:rPr>
        </w:r>
        <w:r>
          <w:rPr>
            <w:noProof/>
            <w:webHidden/>
          </w:rPr>
          <w:fldChar w:fldCharType="separate"/>
        </w:r>
        <w:r w:rsidR="00672C8C">
          <w:rPr>
            <w:noProof/>
            <w:webHidden/>
          </w:rPr>
          <w:t>38</w:t>
        </w:r>
        <w:r>
          <w:rPr>
            <w:noProof/>
            <w:webHidden/>
          </w:rPr>
          <w:fldChar w:fldCharType="end"/>
        </w:r>
      </w:hyperlink>
    </w:p>
    <w:p w14:paraId="2450DDD4" w14:textId="3F0F621A"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39" w:history="1">
        <w:r w:rsidRPr="009C3204">
          <w:rPr>
            <w:rStyle w:val="Hyperlink"/>
          </w:rPr>
          <w:t>3.2. ETS Item Review Process</w:t>
        </w:r>
        <w:r>
          <w:rPr>
            <w:webHidden/>
          </w:rPr>
          <w:tab/>
        </w:r>
        <w:r>
          <w:rPr>
            <w:webHidden/>
          </w:rPr>
          <w:fldChar w:fldCharType="begin"/>
        </w:r>
        <w:r>
          <w:rPr>
            <w:webHidden/>
          </w:rPr>
          <w:instrText xml:space="preserve"> PAGEREF _Toc182555139 \h </w:instrText>
        </w:r>
        <w:r>
          <w:rPr>
            <w:webHidden/>
          </w:rPr>
        </w:r>
        <w:r>
          <w:rPr>
            <w:webHidden/>
          </w:rPr>
          <w:fldChar w:fldCharType="separate"/>
        </w:r>
        <w:r w:rsidR="00672C8C">
          <w:rPr>
            <w:webHidden/>
          </w:rPr>
          <w:t>39</w:t>
        </w:r>
        <w:r>
          <w:rPr>
            <w:webHidden/>
          </w:rPr>
          <w:fldChar w:fldCharType="end"/>
        </w:r>
      </w:hyperlink>
    </w:p>
    <w:p w14:paraId="4D5ADEB7" w14:textId="30B8157E"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40" w:history="1">
        <w:r w:rsidRPr="009C3204">
          <w:rPr>
            <w:rStyle w:val="Hyperlink"/>
            <w:noProof/>
          </w:rPr>
          <w:t>3.2.1. Overview</w:t>
        </w:r>
        <w:r>
          <w:rPr>
            <w:noProof/>
            <w:webHidden/>
          </w:rPr>
          <w:tab/>
        </w:r>
        <w:r>
          <w:rPr>
            <w:noProof/>
            <w:webHidden/>
          </w:rPr>
          <w:fldChar w:fldCharType="begin"/>
        </w:r>
        <w:r>
          <w:rPr>
            <w:noProof/>
            <w:webHidden/>
          </w:rPr>
          <w:instrText xml:space="preserve"> PAGEREF _Toc182555140 \h </w:instrText>
        </w:r>
        <w:r>
          <w:rPr>
            <w:noProof/>
            <w:webHidden/>
          </w:rPr>
        </w:r>
        <w:r>
          <w:rPr>
            <w:noProof/>
            <w:webHidden/>
          </w:rPr>
          <w:fldChar w:fldCharType="separate"/>
        </w:r>
        <w:r w:rsidR="00672C8C">
          <w:rPr>
            <w:noProof/>
            <w:webHidden/>
          </w:rPr>
          <w:t>39</w:t>
        </w:r>
        <w:r>
          <w:rPr>
            <w:noProof/>
            <w:webHidden/>
          </w:rPr>
          <w:fldChar w:fldCharType="end"/>
        </w:r>
      </w:hyperlink>
    </w:p>
    <w:p w14:paraId="321EDE02" w14:textId="6E14E016"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41" w:history="1">
        <w:r w:rsidRPr="009C3204">
          <w:rPr>
            <w:rStyle w:val="Hyperlink"/>
            <w:noProof/>
          </w:rPr>
          <w:t>3.2.2. ETS Content Review</w:t>
        </w:r>
        <w:r>
          <w:rPr>
            <w:noProof/>
            <w:webHidden/>
          </w:rPr>
          <w:tab/>
        </w:r>
        <w:r>
          <w:rPr>
            <w:noProof/>
            <w:webHidden/>
          </w:rPr>
          <w:fldChar w:fldCharType="begin"/>
        </w:r>
        <w:r>
          <w:rPr>
            <w:noProof/>
            <w:webHidden/>
          </w:rPr>
          <w:instrText xml:space="preserve"> PAGEREF _Toc182555141 \h </w:instrText>
        </w:r>
        <w:r>
          <w:rPr>
            <w:noProof/>
            <w:webHidden/>
          </w:rPr>
        </w:r>
        <w:r>
          <w:rPr>
            <w:noProof/>
            <w:webHidden/>
          </w:rPr>
          <w:fldChar w:fldCharType="separate"/>
        </w:r>
        <w:r w:rsidR="00672C8C">
          <w:rPr>
            <w:noProof/>
            <w:webHidden/>
          </w:rPr>
          <w:t>39</w:t>
        </w:r>
        <w:r>
          <w:rPr>
            <w:noProof/>
            <w:webHidden/>
          </w:rPr>
          <w:fldChar w:fldCharType="end"/>
        </w:r>
      </w:hyperlink>
    </w:p>
    <w:p w14:paraId="6537D029" w14:textId="216BEBBB"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42" w:history="1">
        <w:r w:rsidRPr="009C3204">
          <w:rPr>
            <w:rStyle w:val="Hyperlink"/>
            <w:noProof/>
          </w:rPr>
          <w:t>3.2.3. ETS Editorial Review</w:t>
        </w:r>
        <w:r>
          <w:rPr>
            <w:noProof/>
            <w:webHidden/>
          </w:rPr>
          <w:tab/>
        </w:r>
        <w:r>
          <w:rPr>
            <w:noProof/>
            <w:webHidden/>
          </w:rPr>
          <w:fldChar w:fldCharType="begin"/>
        </w:r>
        <w:r>
          <w:rPr>
            <w:noProof/>
            <w:webHidden/>
          </w:rPr>
          <w:instrText xml:space="preserve"> PAGEREF _Toc182555142 \h </w:instrText>
        </w:r>
        <w:r>
          <w:rPr>
            <w:noProof/>
            <w:webHidden/>
          </w:rPr>
        </w:r>
        <w:r>
          <w:rPr>
            <w:noProof/>
            <w:webHidden/>
          </w:rPr>
          <w:fldChar w:fldCharType="separate"/>
        </w:r>
        <w:r w:rsidR="00672C8C">
          <w:rPr>
            <w:noProof/>
            <w:webHidden/>
          </w:rPr>
          <w:t>40</w:t>
        </w:r>
        <w:r>
          <w:rPr>
            <w:noProof/>
            <w:webHidden/>
          </w:rPr>
          <w:fldChar w:fldCharType="end"/>
        </w:r>
      </w:hyperlink>
    </w:p>
    <w:p w14:paraId="2939A224" w14:textId="4CB5B9A7"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43" w:history="1">
        <w:r w:rsidRPr="009C3204">
          <w:rPr>
            <w:rStyle w:val="Hyperlink"/>
            <w:noProof/>
          </w:rPr>
          <w:t>3.2.4. ETS Sensitivity and Fairness Review</w:t>
        </w:r>
        <w:r>
          <w:rPr>
            <w:noProof/>
            <w:webHidden/>
          </w:rPr>
          <w:tab/>
        </w:r>
        <w:r>
          <w:rPr>
            <w:noProof/>
            <w:webHidden/>
          </w:rPr>
          <w:fldChar w:fldCharType="begin"/>
        </w:r>
        <w:r>
          <w:rPr>
            <w:noProof/>
            <w:webHidden/>
          </w:rPr>
          <w:instrText xml:space="preserve"> PAGEREF _Toc182555143 \h </w:instrText>
        </w:r>
        <w:r>
          <w:rPr>
            <w:noProof/>
            <w:webHidden/>
          </w:rPr>
        </w:r>
        <w:r>
          <w:rPr>
            <w:noProof/>
            <w:webHidden/>
          </w:rPr>
          <w:fldChar w:fldCharType="separate"/>
        </w:r>
        <w:r w:rsidR="00672C8C">
          <w:rPr>
            <w:noProof/>
            <w:webHidden/>
          </w:rPr>
          <w:t>40</w:t>
        </w:r>
        <w:r>
          <w:rPr>
            <w:noProof/>
            <w:webHidden/>
          </w:rPr>
          <w:fldChar w:fldCharType="end"/>
        </w:r>
      </w:hyperlink>
    </w:p>
    <w:p w14:paraId="230E127A" w14:textId="11720935"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44" w:history="1">
        <w:r w:rsidRPr="009C3204">
          <w:rPr>
            <w:rStyle w:val="Hyperlink"/>
          </w:rPr>
          <w:t>3.3. California Educator Review</w:t>
        </w:r>
        <w:r>
          <w:rPr>
            <w:webHidden/>
          </w:rPr>
          <w:tab/>
        </w:r>
        <w:r>
          <w:rPr>
            <w:webHidden/>
          </w:rPr>
          <w:fldChar w:fldCharType="begin"/>
        </w:r>
        <w:r>
          <w:rPr>
            <w:webHidden/>
          </w:rPr>
          <w:instrText xml:space="preserve"> PAGEREF _Toc182555144 \h </w:instrText>
        </w:r>
        <w:r>
          <w:rPr>
            <w:webHidden/>
          </w:rPr>
        </w:r>
        <w:r>
          <w:rPr>
            <w:webHidden/>
          </w:rPr>
          <w:fldChar w:fldCharType="separate"/>
        </w:r>
        <w:r w:rsidR="00672C8C">
          <w:rPr>
            <w:webHidden/>
          </w:rPr>
          <w:t>40</w:t>
        </w:r>
        <w:r>
          <w:rPr>
            <w:webHidden/>
          </w:rPr>
          <w:fldChar w:fldCharType="end"/>
        </w:r>
      </w:hyperlink>
    </w:p>
    <w:p w14:paraId="6DE78C2A" w14:textId="61B6F54D"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45" w:history="1">
        <w:r w:rsidRPr="009C3204">
          <w:rPr>
            <w:rStyle w:val="Hyperlink"/>
            <w:noProof/>
          </w:rPr>
          <w:t>3.3.1. California Educators as Content Experts</w:t>
        </w:r>
        <w:r>
          <w:rPr>
            <w:noProof/>
            <w:webHidden/>
          </w:rPr>
          <w:tab/>
        </w:r>
        <w:r>
          <w:rPr>
            <w:noProof/>
            <w:webHidden/>
          </w:rPr>
          <w:fldChar w:fldCharType="begin"/>
        </w:r>
        <w:r>
          <w:rPr>
            <w:noProof/>
            <w:webHidden/>
          </w:rPr>
          <w:instrText xml:space="preserve"> PAGEREF _Toc182555145 \h </w:instrText>
        </w:r>
        <w:r>
          <w:rPr>
            <w:noProof/>
            <w:webHidden/>
          </w:rPr>
        </w:r>
        <w:r>
          <w:rPr>
            <w:noProof/>
            <w:webHidden/>
          </w:rPr>
          <w:fldChar w:fldCharType="separate"/>
        </w:r>
        <w:r w:rsidR="00672C8C">
          <w:rPr>
            <w:noProof/>
            <w:webHidden/>
          </w:rPr>
          <w:t>40</w:t>
        </w:r>
        <w:r>
          <w:rPr>
            <w:noProof/>
            <w:webHidden/>
          </w:rPr>
          <w:fldChar w:fldCharType="end"/>
        </w:r>
      </w:hyperlink>
    </w:p>
    <w:p w14:paraId="66F909C9" w14:textId="618E796A"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46" w:history="1">
        <w:r w:rsidRPr="009C3204">
          <w:rPr>
            <w:rStyle w:val="Hyperlink"/>
            <w:noProof/>
          </w:rPr>
          <w:t>3.3.2. Composition of Item Review Panels</w:t>
        </w:r>
        <w:r>
          <w:rPr>
            <w:noProof/>
            <w:webHidden/>
          </w:rPr>
          <w:tab/>
        </w:r>
        <w:r>
          <w:rPr>
            <w:noProof/>
            <w:webHidden/>
          </w:rPr>
          <w:fldChar w:fldCharType="begin"/>
        </w:r>
        <w:r>
          <w:rPr>
            <w:noProof/>
            <w:webHidden/>
          </w:rPr>
          <w:instrText xml:space="preserve"> PAGEREF _Toc182555146 \h </w:instrText>
        </w:r>
        <w:r>
          <w:rPr>
            <w:noProof/>
            <w:webHidden/>
          </w:rPr>
        </w:r>
        <w:r>
          <w:rPr>
            <w:noProof/>
            <w:webHidden/>
          </w:rPr>
          <w:fldChar w:fldCharType="separate"/>
        </w:r>
        <w:r w:rsidR="00672C8C">
          <w:rPr>
            <w:noProof/>
            <w:webHidden/>
          </w:rPr>
          <w:t>41</w:t>
        </w:r>
        <w:r>
          <w:rPr>
            <w:noProof/>
            <w:webHidden/>
          </w:rPr>
          <w:fldChar w:fldCharType="end"/>
        </w:r>
      </w:hyperlink>
    </w:p>
    <w:p w14:paraId="7AF95ED3" w14:textId="71AB9C6D"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47" w:history="1">
        <w:r w:rsidRPr="009C3204">
          <w:rPr>
            <w:rStyle w:val="Hyperlink"/>
            <w:noProof/>
          </w:rPr>
          <w:t xml:space="preserve">3.3.3. Meetings for Review of CAA for Science Embedded Performance Tasks and </w:t>
        </w:r>
        <w:r w:rsidR="00672C8C">
          <w:rPr>
            <w:rStyle w:val="Hyperlink"/>
            <w:noProof/>
          </w:rPr>
          <w:br/>
        </w:r>
        <w:r w:rsidRPr="009C3204">
          <w:rPr>
            <w:rStyle w:val="Hyperlink"/>
            <w:noProof/>
          </w:rPr>
          <w:t>Items</w:t>
        </w:r>
        <w:r>
          <w:rPr>
            <w:noProof/>
            <w:webHidden/>
          </w:rPr>
          <w:tab/>
        </w:r>
        <w:r>
          <w:rPr>
            <w:noProof/>
            <w:webHidden/>
          </w:rPr>
          <w:fldChar w:fldCharType="begin"/>
        </w:r>
        <w:r>
          <w:rPr>
            <w:noProof/>
            <w:webHidden/>
          </w:rPr>
          <w:instrText xml:space="preserve"> PAGEREF _Toc182555147 \h </w:instrText>
        </w:r>
        <w:r>
          <w:rPr>
            <w:noProof/>
            <w:webHidden/>
          </w:rPr>
        </w:r>
        <w:r>
          <w:rPr>
            <w:noProof/>
            <w:webHidden/>
          </w:rPr>
          <w:fldChar w:fldCharType="separate"/>
        </w:r>
        <w:r w:rsidR="00672C8C">
          <w:rPr>
            <w:noProof/>
            <w:webHidden/>
          </w:rPr>
          <w:t>42</w:t>
        </w:r>
        <w:r>
          <w:rPr>
            <w:noProof/>
            <w:webHidden/>
          </w:rPr>
          <w:fldChar w:fldCharType="end"/>
        </w:r>
      </w:hyperlink>
    </w:p>
    <w:p w14:paraId="4BB7B9B1" w14:textId="36541A8E"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48" w:history="1">
        <w:r w:rsidRPr="009C3204">
          <w:rPr>
            <w:rStyle w:val="Hyperlink"/>
          </w:rPr>
          <w:t>3.4. Data Review Meeting</w:t>
        </w:r>
        <w:r>
          <w:rPr>
            <w:webHidden/>
          </w:rPr>
          <w:tab/>
        </w:r>
        <w:r>
          <w:rPr>
            <w:webHidden/>
          </w:rPr>
          <w:fldChar w:fldCharType="begin"/>
        </w:r>
        <w:r>
          <w:rPr>
            <w:webHidden/>
          </w:rPr>
          <w:instrText xml:space="preserve"> PAGEREF _Toc182555148 \h </w:instrText>
        </w:r>
        <w:r>
          <w:rPr>
            <w:webHidden/>
          </w:rPr>
        </w:r>
        <w:r>
          <w:rPr>
            <w:webHidden/>
          </w:rPr>
          <w:fldChar w:fldCharType="separate"/>
        </w:r>
        <w:r w:rsidR="00672C8C">
          <w:rPr>
            <w:webHidden/>
          </w:rPr>
          <w:t>43</w:t>
        </w:r>
        <w:r>
          <w:rPr>
            <w:webHidden/>
          </w:rPr>
          <w:fldChar w:fldCharType="end"/>
        </w:r>
      </w:hyperlink>
    </w:p>
    <w:p w14:paraId="625B8AA6" w14:textId="1F6A651A"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49" w:history="1">
        <w:r w:rsidRPr="009C3204">
          <w:rPr>
            <w:rStyle w:val="Hyperlink"/>
          </w:rPr>
          <w:t>Reference</w:t>
        </w:r>
        <w:r>
          <w:rPr>
            <w:webHidden/>
          </w:rPr>
          <w:tab/>
        </w:r>
        <w:r>
          <w:rPr>
            <w:webHidden/>
          </w:rPr>
          <w:fldChar w:fldCharType="begin"/>
        </w:r>
        <w:r>
          <w:rPr>
            <w:webHidden/>
          </w:rPr>
          <w:instrText xml:space="preserve"> PAGEREF _Toc182555149 \h </w:instrText>
        </w:r>
        <w:r>
          <w:rPr>
            <w:webHidden/>
          </w:rPr>
        </w:r>
        <w:r>
          <w:rPr>
            <w:webHidden/>
          </w:rPr>
          <w:fldChar w:fldCharType="separate"/>
        </w:r>
        <w:r w:rsidR="00672C8C">
          <w:rPr>
            <w:webHidden/>
          </w:rPr>
          <w:t>44</w:t>
        </w:r>
        <w:r>
          <w:rPr>
            <w:webHidden/>
          </w:rPr>
          <w:fldChar w:fldCharType="end"/>
        </w:r>
      </w:hyperlink>
    </w:p>
    <w:p w14:paraId="6CE2E9DA" w14:textId="34D4886B" w:rsidR="00CA4A9A" w:rsidRDefault="00CA4A9A">
      <w:pPr>
        <w:pStyle w:val="TOC1"/>
        <w:rPr>
          <w:rFonts w:asciiTheme="minorHAnsi" w:eastAsiaTheme="minorEastAsia" w:hAnsiTheme="minorHAnsi" w:cstheme="minorBidi"/>
          <w:b w:val="0"/>
          <w:color w:val="auto"/>
          <w:kern w:val="2"/>
          <w:sz w:val="22"/>
          <w:szCs w:val="22"/>
          <w14:ligatures w14:val="standardContextual"/>
        </w:rPr>
      </w:pPr>
      <w:hyperlink w:anchor="_Toc182555150" w:history="1">
        <w:r w:rsidRPr="009C3204">
          <w:rPr>
            <w:rStyle w:val="Hyperlink"/>
          </w:rPr>
          <w:t>Chapter 4: Test Assembly</w:t>
        </w:r>
        <w:r>
          <w:rPr>
            <w:webHidden/>
          </w:rPr>
          <w:tab/>
        </w:r>
        <w:r>
          <w:rPr>
            <w:webHidden/>
          </w:rPr>
          <w:fldChar w:fldCharType="begin"/>
        </w:r>
        <w:r>
          <w:rPr>
            <w:webHidden/>
          </w:rPr>
          <w:instrText xml:space="preserve"> PAGEREF _Toc182555150 \h </w:instrText>
        </w:r>
        <w:r>
          <w:rPr>
            <w:webHidden/>
          </w:rPr>
        </w:r>
        <w:r>
          <w:rPr>
            <w:webHidden/>
          </w:rPr>
          <w:fldChar w:fldCharType="separate"/>
        </w:r>
        <w:r w:rsidR="00672C8C">
          <w:rPr>
            <w:webHidden/>
          </w:rPr>
          <w:t>45</w:t>
        </w:r>
        <w:r>
          <w:rPr>
            <w:webHidden/>
          </w:rPr>
          <w:fldChar w:fldCharType="end"/>
        </w:r>
      </w:hyperlink>
    </w:p>
    <w:p w14:paraId="58325172" w14:textId="14C7B2FC"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51" w:history="1">
        <w:r w:rsidRPr="009C3204">
          <w:rPr>
            <w:rStyle w:val="Hyperlink"/>
          </w:rPr>
          <w:t>4.1. Overview</w:t>
        </w:r>
        <w:r>
          <w:rPr>
            <w:webHidden/>
          </w:rPr>
          <w:tab/>
        </w:r>
        <w:r>
          <w:rPr>
            <w:webHidden/>
          </w:rPr>
          <w:fldChar w:fldCharType="begin"/>
        </w:r>
        <w:r>
          <w:rPr>
            <w:webHidden/>
          </w:rPr>
          <w:instrText xml:space="preserve"> PAGEREF _Toc182555151 \h </w:instrText>
        </w:r>
        <w:r>
          <w:rPr>
            <w:webHidden/>
          </w:rPr>
        </w:r>
        <w:r>
          <w:rPr>
            <w:webHidden/>
          </w:rPr>
          <w:fldChar w:fldCharType="separate"/>
        </w:r>
        <w:r w:rsidR="00672C8C">
          <w:rPr>
            <w:webHidden/>
          </w:rPr>
          <w:t>45</w:t>
        </w:r>
        <w:r>
          <w:rPr>
            <w:webHidden/>
          </w:rPr>
          <w:fldChar w:fldCharType="end"/>
        </w:r>
      </w:hyperlink>
    </w:p>
    <w:p w14:paraId="1D6B68FE" w14:textId="763B8CA4"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52" w:history="1">
        <w:r w:rsidRPr="009C3204">
          <w:rPr>
            <w:rStyle w:val="Hyperlink"/>
          </w:rPr>
          <w:t>4.2. Test Blueprints and Test Content Specifications</w:t>
        </w:r>
        <w:r>
          <w:rPr>
            <w:webHidden/>
          </w:rPr>
          <w:tab/>
        </w:r>
        <w:r>
          <w:rPr>
            <w:webHidden/>
          </w:rPr>
          <w:fldChar w:fldCharType="begin"/>
        </w:r>
        <w:r>
          <w:rPr>
            <w:webHidden/>
          </w:rPr>
          <w:instrText xml:space="preserve"> PAGEREF _Toc182555152 \h </w:instrText>
        </w:r>
        <w:r>
          <w:rPr>
            <w:webHidden/>
          </w:rPr>
        </w:r>
        <w:r>
          <w:rPr>
            <w:webHidden/>
          </w:rPr>
          <w:fldChar w:fldCharType="separate"/>
        </w:r>
        <w:r w:rsidR="00672C8C">
          <w:rPr>
            <w:webHidden/>
          </w:rPr>
          <w:t>45</w:t>
        </w:r>
        <w:r>
          <w:rPr>
            <w:webHidden/>
          </w:rPr>
          <w:fldChar w:fldCharType="end"/>
        </w:r>
      </w:hyperlink>
    </w:p>
    <w:p w14:paraId="3CA7A54D" w14:textId="0B85DD84"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53" w:history="1">
        <w:r w:rsidRPr="009C3204">
          <w:rPr>
            <w:rStyle w:val="Hyperlink"/>
            <w:noProof/>
          </w:rPr>
          <w:t>4.2.1. Test Blueprints</w:t>
        </w:r>
        <w:r>
          <w:rPr>
            <w:noProof/>
            <w:webHidden/>
          </w:rPr>
          <w:tab/>
        </w:r>
        <w:r>
          <w:rPr>
            <w:noProof/>
            <w:webHidden/>
          </w:rPr>
          <w:fldChar w:fldCharType="begin"/>
        </w:r>
        <w:r>
          <w:rPr>
            <w:noProof/>
            <w:webHidden/>
          </w:rPr>
          <w:instrText xml:space="preserve"> PAGEREF _Toc182555153 \h </w:instrText>
        </w:r>
        <w:r>
          <w:rPr>
            <w:noProof/>
            <w:webHidden/>
          </w:rPr>
        </w:r>
        <w:r>
          <w:rPr>
            <w:noProof/>
            <w:webHidden/>
          </w:rPr>
          <w:fldChar w:fldCharType="separate"/>
        </w:r>
        <w:r w:rsidR="00672C8C">
          <w:rPr>
            <w:noProof/>
            <w:webHidden/>
          </w:rPr>
          <w:t>45</w:t>
        </w:r>
        <w:r>
          <w:rPr>
            <w:noProof/>
            <w:webHidden/>
          </w:rPr>
          <w:fldChar w:fldCharType="end"/>
        </w:r>
      </w:hyperlink>
    </w:p>
    <w:p w14:paraId="067D4A53" w14:textId="707178CE"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54" w:history="1">
        <w:r w:rsidRPr="009C3204">
          <w:rPr>
            <w:rStyle w:val="Hyperlink"/>
            <w:noProof/>
          </w:rPr>
          <w:t>4.2.2. Test Content Specifications</w:t>
        </w:r>
        <w:r>
          <w:rPr>
            <w:noProof/>
            <w:webHidden/>
          </w:rPr>
          <w:tab/>
        </w:r>
        <w:r>
          <w:rPr>
            <w:noProof/>
            <w:webHidden/>
          </w:rPr>
          <w:fldChar w:fldCharType="begin"/>
        </w:r>
        <w:r>
          <w:rPr>
            <w:noProof/>
            <w:webHidden/>
          </w:rPr>
          <w:instrText xml:space="preserve"> PAGEREF _Toc182555154 \h </w:instrText>
        </w:r>
        <w:r>
          <w:rPr>
            <w:noProof/>
            <w:webHidden/>
          </w:rPr>
        </w:r>
        <w:r>
          <w:rPr>
            <w:noProof/>
            <w:webHidden/>
          </w:rPr>
          <w:fldChar w:fldCharType="separate"/>
        </w:r>
        <w:r w:rsidR="00672C8C">
          <w:rPr>
            <w:noProof/>
            <w:webHidden/>
          </w:rPr>
          <w:t>46</w:t>
        </w:r>
        <w:r>
          <w:rPr>
            <w:noProof/>
            <w:webHidden/>
          </w:rPr>
          <w:fldChar w:fldCharType="end"/>
        </w:r>
      </w:hyperlink>
    </w:p>
    <w:p w14:paraId="0F991358" w14:textId="64D126E3"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55" w:history="1">
        <w:r w:rsidRPr="009C3204">
          <w:rPr>
            <w:rStyle w:val="Hyperlink"/>
          </w:rPr>
          <w:t>4.3. Test Production Process</w:t>
        </w:r>
        <w:r>
          <w:rPr>
            <w:webHidden/>
          </w:rPr>
          <w:tab/>
        </w:r>
        <w:r>
          <w:rPr>
            <w:webHidden/>
          </w:rPr>
          <w:fldChar w:fldCharType="begin"/>
        </w:r>
        <w:r>
          <w:rPr>
            <w:webHidden/>
          </w:rPr>
          <w:instrText xml:space="preserve"> PAGEREF _Toc182555155 \h </w:instrText>
        </w:r>
        <w:r>
          <w:rPr>
            <w:webHidden/>
          </w:rPr>
        </w:r>
        <w:r>
          <w:rPr>
            <w:webHidden/>
          </w:rPr>
          <w:fldChar w:fldCharType="separate"/>
        </w:r>
        <w:r w:rsidR="00672C8C">
          <w:rPr>
            <w:webHidden/>
          </w:rPr>
          <w:t>46</w:t>
        </w:r>
        <w:r>
          <w:rPr>
            <w:webHidden/>
          </w:rPr>
          <w:fldChar w:fldCharType="end"/>
        </w:r>
      </w:hyperlink>
    </w:p>
    <w:p w14:paraId="7E87CB7D" w14:textId="7A96AF39"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56" w:history="1">
        <w:r w:rsidRPr="009C3204">
          <w:rPr>
            <w:rStyle w:val="Hyperlink"/>
            <w:noProof/>
          </w:rPr>
          <w:t>4.3.1. Selection of Items</w:t>
        </w:r>
        <w:r>
          <w:rPr>
            <w:noProof/>
            <w:webHidden/>
          </w:rPr>
          <w:tab/>
        </w:r>
        <w:r>
          <w:rPr>
            <w:noProof/>
            <w:webHidden/>
          </w:rPr>
          <w:fldChar w:fldCharType="begin"/>
        </w:r>
        <w:r>
          <w:rPr>
            <w:noProof/>
            <w:webHidden/>
          </w:rPr>
          <w:instrText xml:space="preserve"> PAGEREF _Toc182555156 \h </w:instrText>
        </w:r>
        <w:r>
          <w:rPr>
            <w:noProof/>
            <w:webHidden/>
          </w:rPr>
        </w:r>
        <w:r>
          <w:rPr>
            <w:noProof/>
            <w:webHidden/>
          </w:rPr>
          <w:fldChar w:fldCharType="separate"/>
        </w:r>
        <w:r w:rsidR="00672C8C">
          <w:rPr>
            <w:noProof/>
            <w:webHidden/>
          </w:rPr>
          <w:t>46</w:t>
        </w:r>
        <w:r>
          <w:rPr>
            <w:noProof/>
            <w:webHidden/>
          </w:rPr>
          <w:fldChar w:fldCharType="end"/>
        </w:r>
      </w:hyperlink>
    </w:p>
    <w:p w14:paraId="3A968747" w14:textId="3BA8196D"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57" w:history="1">
        <w:r w:rsidRPr="009C3204">
          <w:rPr>
            <w:rStyle w:val="Hyperlink"/>
            <w:noProof/>
          </w:rPr>
          <w:t>4.3.2. Psychometric Criteria and Verification of Statistics</w:t>
        </w:r>
        <w:r>
          <w:rPr>
            <w:noProof/>
            <w:webHidden/>
          </w:rPr>
          <w:tab/>
        </w:r>
        <w:r>
          <w:rPr>
            <w:noProof/>
            <w:webHidden/>
          </w:rPr>
          <w:fldChar w:fldCharType="begin"/>
        </w:r>
        <w:r>
          <w:rPr>
            <w:noProof/>
            <w:webHidden/>
          </w:rPr>
          <w:instrText xml:space="preserve"> PAGEREF _Toc182555157 \h </w:instrText>
        </w:r>
        <w:r>
          <w:rPr>
            <w:noProof/>
            <w:webHidden/>
          </w:rPr>
        </w:r>
        <w:r>
          <w:rPr>
            <w:noProof/>
            <w:webHidden/>
          </w:rPr>
          <w:fldChar w:fldCharType="separate"/>
        </w:r>
        <w:r w:rsidR="00672C8C">
          <w:rPr>
            <w:noProof/>
            <w:webHidden/>
          </w:rPr>
          <w:t>46</w:t>
        </w:r>
        <w:r>
          <w:rPr>
            <w:noProof/>
            <w:webHidden/>
          </w:rPr>
          <w:fldChar w:fldCharType="end"/>
        </w:r>
      </w:hyperlink>
    </w:p>
    <w:p w14:paraId="3BD074DA" w14:textId="03AECA7E"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59" w:history="1">
        <w:r w:rsidRPr="009C3204">
          <w:rPr>
            <w:rStyle w:val="Hyperlink"/>
            <w:noProof/>
          </w:rPr>
          <w:t>4.3.3. Content Review of Forms</w:t>
        </w:r>
        <w:r>
          <w:rPr>
            <w:noProof/>
            <w:webHidden/>
          </w:rPr>
          <w:tab/>
        </w:r>
        <w:r>
          <w:rPr>
            <w:noProof/>
            <w:webHidden/>
          </w:rPr>
          <w:fldChar w:fldCharType="begin"/>
        </w:r>
        <w:r>
          <w:rPr>
            <w:noProof/>
            <w:webHidden/>
          </w:rPr>
          <w:instrText xml:space="preserve"> PAGEREF _Toc182555159 \h </w:instrText>
        </w:r>
        <w:r>
          <w:rPr>
            <w:noProof/>
            <w:webHidden/>
          </w:rPr>
        </w:r>
        <w:r>
          <w:rPr>
            <w:noProof/>
            <w:webHidden/>
          </w:rPr>
          <w:fldChar w:fldCharType="separate"/>
        </w:r>
        <w:r w:rsidR="00672C8C">
          <w:rPr>
            <w:noProof/>
            <w:webHidden/>
          </w:rPr>
          <w:t>47</w:t>
        </w:r>
        <w:r>
          <w:rPr>
            <w:noProof/>
            <w:webHidden/>
          </w:rPr>
          <w:fldChar w:fldCharType="end"/>
        </w:r>
      </w:hyperlink>
    </w:p>
    <w:p w14:paraId="471FA2AA" w14:textId="3994095D"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60" w:history="1">
        <w:r w:rsidRPr="009C3204">
          <w:rPr>
            <w:rStyle w:val="Hyperlink"/>
            <w:noProof/>
          </w:rPr>
          <w:t>4.3.4. California Department of Education Forms Review</w:t>
        </w:r>
        <w:r>
          <w:rPr>
            <w:noProof/>
            <w:webHidden/>
          </w:rPr>
          <w:tab/>
        </w:r>
        <w:r>
          <w:rPr>
            <w:noProof/>
            <w:webHidden/>
          </w:rPr>
          <w:fldChar w:fldCharType="begin"/>
        </w:r>
        <w:r>
          <w:rPr>
            <w:noProof/>
            <w:webHidden/>
          </w:rPr>
          <w:instrText xml:space="preserve"> PAGEREF _Toc182555160 \h </w:instrText>
        </w:r>
        <w:r>
          <w:rPr>
            <w:noProof/>
            <w:webHidden/>
          </w:rPr>
        </w:r>
        <w:r>
          <w:rPr>
            <w:noProof/>
            <w:webHidden/>
          </w:rPr>
          <w:fldChar w:fldCharType="separate"/>
        </w:r>
        <w:r w:rsidR="00672C8C">
          <w:rPr>
            <w:noProof/>
            <w:webHidden/>
          </w:rPr>
          <w:t>47</w:t>
        </w:r>
        <w:r>
          <w:rPr>
            <w:noProof/>
            <w:webHidden/>
          </w:rPr>
          <w:fldChar w:fldCharType="end"/>
        </w:r>
      </w:hyperlink>
    </w:p>
    <w:p w14:paraId="23B03AF0" w14:textId="560357DB"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61" w:history="1">
        <w:r w:rsidRPr="009C3204">
          <w:rPr>
            <w:rStyle w:val="Hyperlink"/>
            <w:noProof/>
          </w:rPr>
          <w:t>4.3.5. Configuration of the Test Delivery System</w:t>
        </w:r>
        <w:r>
          <w:rPr>
            <w:noProof/>
            <w:webHidden/>
          </w:rPr>
          <w:tab/>
        </w:r>
        <w:r>
          <w:rPr>
            <w:noProof/>
            <w:webHidden/>
          </w:rPr>
          <w:fldChar w:fldCharType="begin"/>
        </w:r>
        <w:r>
          <w:rPr>
            <w:noProof/>
            <w:webHidden/>
          </w:rPr>
          <w:instrText xml:space="preserve"> PAGEREF _Toc182555161 \h </w:instrText>
        </w:r>
        <w:r>
          <w:rPr>
            <w:noProof/>
            <w:webHidden/>
          </w:rPr>
        </w:r>
        <w:r>
          <w:rPr>
            <w:noProof/>
            <w:webHidden/>
          </w:rPr>
          <w:fldChar w:fldCharType="separate"/>
        </w:r>
        <w:r w:rsidR="00672C8C">
          <w:rPr>
            <w:noProof/>
            <w:webHidden/>
          </w:rPr>
          <w:t>48</w:t>
        </w:r>
        <w:r>
          <w:rPr>
            <w:noProof/>
            <w:webHidden/>
          </w:rPr>
          <w:fldChar w:fldCharType="end"/>
        </w:r>
      </w:hyperlink>
    </w:p>
    <w:p w14:paraId="3AD1C13C" w14:textId="1560AB44"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62" w:history="1">
        <w:r w:rsidRPr="009C3204">
          <w:rPr>
            <w:rStyle w:val="Hyperlink"/>
          </w:rPr>
          <w:t>References</w:t>
        </w:r>
        <w:r>
          <w:rPr>
            <w:webHidden/>
          </w:rPr>
          <w:tab/>
        </w:r>
        <w:r>
          <w:rPr>
            <w:webHidden/>
          </w:rPr>
          <w:fldChar w:fldCharType="begin"/>
        </w:r>
        <w:r>
          <w:rPr>
            <w:webHidden/>
          </w:rPr>
          <w:instrText xml:space="preserve"> PAGEREF _Toc182555162 \h </w:instrText>
        </w:r>
        <w:r>
          <w:rPr>
            <w:webHidden/>
          </w:rPr>
        </w:r>
        <w:r>
          <w:rPr>
            <w:webHidden/>
          </w:rPr>
          <w:fldChar w:fldCharType="separate"/>
        </w:r>
        <w:r w:rsidR="00672C8C">
          <w:rPr>
            <w:webHidden/>
          </w:rPr>
          <w:t>49</w:t>
        </w:r>
        <w:r>
          <w:rPr>
            <w:webHidden/>
          </w:rPr>
          <w:fldChar w:fldCharType="end"/>
        </w:r>
      </w:hyperlink>
    </w:p>
    <w:p w14:paraId="1BEEEF8B" w14:textId="6F4F87A0" w:rsidR="00CA4A9A" w:rsidRDefault="00CA4A9A">
      <w:pPr>
        <w:pStyle w:val="TOC1"/>
        <w:rPr>
          <w:rFonts w:asciiTheme="minorHAnsi" w:eastAsiaTheme="minorEastAsia" w:hAnsiTheme="minorHAnsi" w:cstheme="minorBidi"/>
          <w:b w:val="0"/>
          <w:color w:val="auto"/>
          <w:kern w:val="2"/>
          <w:sz w:val="22"/>
          <w:szCs w:val="22"/>
          <w14:ligatures w14:val="standardContextual"/>
        </w:rPr>
      </w:pPr>
      <w:hyperlink w:anchor="_Toc182555163" w:history="1">
        <w:r w:rsidRPr="009C3204">
          <w:rPr>
            <w:rStyle w:val="Hyperlink"/>
          </w:rPr>
          <w:t>Chapter 5: Test Administration</w:t>
        </w:r>
        <w:r>
          <w:rPr>
            <w:webHidden/>
          </w:rPr>
          <w:tab/>
        </w:r>
        <w:r>
          <w:rPr>
            <w:webHidden/>
          </w:rPr>
          <w:fldChar w:fldCharType="begin"/>
        </w:r>
        <w:r>
          <w:rPr>
            <w:webHidden/>
          </w:rPr>
          <w:instrText xml:space="preserve"> PAGEREF _Toc182555163 \h </w:instrText>
        </w:r>
        <w:r>
          <w:rPr>
            <w:webHidden/>
          </w:rPr>
        </w:r>
        <w:r>
          <w:rPr>
            <w:webHidden/>
          </w:rPr>
          <w:fldChar w:fldCharType="separate"/>
        </w:r>
        <w:r w:rsidR="00672C8C">
          <w:rPr>
            <w:webHidden/>
          </w:rPr>
          <w:t>50</w:t>
        </w:r>
        <w:r>
          <w:rPr>
            <w:webHidden/>
          </w:rPr>
          <w:fldChar w:fldCharType="end"/>
        </w:r>
      </w:hyperlink>
    </w:p>
    <w:p w14:paraId="38686BAE" w14:textId="3F94D99B"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64" w:history="1">
        <w:r w:rsidRPr="009C3204">
          <w:rPr>
            <w:rStyle w:val="Hyperlink"/>
          </w:rPr>
          <w:t>5.1. Student Test-Taking Requirements</w:t>
        </w:r>
        <w:r>
          <w:rPr>
            <w:webHidden/>
          </w:rPr>
          <w:tab/>
        </w:r>
        <w:r>
          <w:rPr>
            <w:webHidden/>
          </w:rPr>
          <w:fldChar w:fldCharType="begin"/>
        </w:r>
        <w:r>
          <w:rPr>
            <w:webHidden/>
          </w:rPr>
          <w:instrText xml:space="preserve"> PAGEREF _Toc182555164 \h </w:instrText>
        </w:r>
        <w:r>
          <w:rPr>
            <w:webHidden/>
          </w:rPr>
        </w:r>
        <w:r>
          <w:rPr>
            <w:webHidden/>
          </w:rPr>
          <w:fldChar w:fldCharType="separate"/>
        </w:r>
        <w:r w:rsidR="00672C8C">
          <w:rPr>
            <w:webHidden/>
          </w:rPr>
          <w:t>50</w:t>
        </w:r>
        <w:r>
          <w:rPr>
            <w:webHidden/>
          </w:rPr>
          <w:fldChar w:fldCharType="end"/>
        </w:r>
      </w:hyperlink>
    </w:p>
    <w:p w14:paraId="18F7D74B" w14:textId="6A96F20F"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65" w:history="1">
        <w:r w:rsidRPr="009C3204">
          <w:rPr>
            <w:rStyle w:val="Hyperlink"/>
          </w:rPr>
          <w:t>5.2. Administration Preparations</w:t>
        </w:r>
        <w:r>
          <w:rPr>
            <w:webHidden/>
          </w:rPr>
          <w:tab/>
        </w:r>
        <w:r>
          <w:rPr>
            <w:webHidden/>
          </w:rPr>
          <w:fldChar w:fldCharType="begin"/>
        </w:r>
        <w:r>
          <w:rPr>
            <w:webHidden/>
          </w:rPr>
          <w:instrText xml:space="preserve"> PAGEREF _Toc182555165 \h </w:instrText>
        </w:r>
        <w:r>
          <w:rPr>
            <w:webHidden/>
          </w:rPr>
        </w:r>
        <w:r>
          <w:rPr>
            <w:webHidden/>
          </w:rPr>
          <w:fldChar w:fldCharType="separate"/>
        </w:r>
        <w:r w:rsidR="00672C8C">
          <w:rPr>
            <w:webHidden/>
          </w:rPr>
          <w:t>50</w:t>
        </w:r>
        <w:r>
          <w:rPr>
            <w:webHidden/>
          </w:rPr>
          <w:fldChar w:fldCharType="end"/>
        </w:r>
      </w:hyperlink>
    </w:p>
    <w:p w14:paraId="770B0CFE" w14:textId="02C0636C"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66" w:history="1">
        <w:r w:rsidRPr="009C3204">
          <w:rPr>
            <w:rStyle w:val="Hyperlink"/>
            <w:noProof/>
          </w:rPr>
          <w:t>5.2.1. Resources for the CAA for Science</w:t>
        </w:r>
        <w:r>
          <w:rPr>
            <w:noProof/>
            <w:webHidden/>
          </w:rPr>
          <w:tab/>
        </w:r>
        <w:r>
          <w:rPr>
            <w:noProof/>
            <w:webHidden/>
          </w:rPr>
          <w:fldChar w:fldCharType="begin"/>
        </w:r>
        <w:r>
          <w:rPr>
            <w:noProof/>
            <w:webHidden/>
          </w:rPr>
          <w:instrText xml:space="preserve"> PAGEREF _Toc182555166 \h </w:instrText>
        </w:r>
        <w:r>
          <w:rPr>
            <w:noProof/>
            <w:webHidden/>
          </w:rPr>
        </w:r>
        <w:r>
          <w:rPr>
            <w:noProof/>
            <w:webHidden/>
          </w:rPr>
          <w:fldChar w:fldCharType="separate"/>
        </w:r>
        <w:r w:rsidR="00672C8C">
          <w:rPr>
            <w:noProof/>
            <w:webHidden/>
          </w:rPr>
          <w:t>50</w:t>
        </w:r>
        <w:r>
          <w:rPr>
            <w:noProof/>
            <w:webHidden/>
          </w:rPr>
          <w:fldChar w:fldCharType="end"/>
        </w:r>
      </w:hyperlink>
    </w:p>
    <w:p w14:paraId="7DFE67AD" w14:textId="7A1985B4"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67" w:history="1">
        <w:r w:rsidRPr="009C3204">
          <w:rPr>
            <w:rStyle w:val="Hyperlink"/>
            <w:noProof/>
          </w:rPr>
          <w:t>5.2.2. Practice and Training Tests</w:t>
        </w:r>
        <w:r>
          <w:rPr>
            <w:noProof/>
            <w:webHidden/>
          </w:rPr>
          <w:tab/>
        </w:r>
        <w:r>
          <w:rPr>
            <w:noProof/>
            <w:webHidden/>
          </w:rPr>
          <w:fldChar w:fldCharType="begin"/>
        </w:r>
        <w:r>
          <w:rPr>
            <w:noProof/>
            <w:webHidden/>
          </w:rPr>
          <w:instrText xml:space="preserve"> PAGEREF _Toc182555167 \h </w:instrText>
        </w:r>
        <w:r>
          <w:rPr>
            <w:noProof/>
            <w:webHidden/>
          </w:rPr>
        </w:r>
        <w:r>
          <w:rPr>
            <w:noProof/>
            <w:webHidden/>
          </w:rPr>
          <w:fldChar w:fldCharType="separate"/>
        </w:r>
        <w:r w:rsidR="00672C8C">
          <w:rPr>
            <w:noProof/>
            <w:webHidden/>
          </w:rPr>
          <w:t>51</w:t>
        </w:r>
        <w:r>
          <w:rPr>
            <w:noProof/>
            <w:webHidden/>
          </w:rPr>
          <w:fldChar w:fldCharType="end"/>
        </w:r>
      </w:hyperlink>
    </w:p>
    <w:p w14:paraId="23DC5E59" w14:textId="3D050AC9"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68" w:history="1">
        <w:r w:rsidRPr="009C3204">
          <w:rPr>
            <w:rStyle w:val="Hyperlink"/>
            <w:noProof/>
          </w:rPr>
          <w:t>5.2.3. Local Educational Agency Training</w:t>
        </w:r>
        <w:r>
          <w:rPr>
            <w:noProof/>
            <w:webHidden/>
          </w:rPr>
          <w:tab/>
        </w:r>
        <w:r>
          <w:rPr>
            <w:noProof/>
            <w:webHidden/>
          </w:rPr>
          <w:fldChar w:fldCharType="begin"/>
        </w:r>
        <w:r>
          <w:rPr>
            <w:noProof/>
            <w:webHidden/>
          </w:rPr>
          <w:instrText xml:space="preserve"> PAGEREF _Toc182555168 \h </w:instrText>
        </w:r>
        <w:r>
          <w:rPr>
            <w:noProof/>
            <w:webHidden/>
          </w:rPr>
        </w:r>
        <w:r>
          <w:rPr>
            <w:noProof/>
            <w:webHidden/>
          </w:rPr>
          <w:fldChar w:fldCharType="separate"/>
        </w:r>
        <w:r w:rsidR="00672C8C">
          <w:rPr>
            <w:noProof/>
            <w:webHidden/>
          </w:rPr>
          <w:t>51</w:t>
        </w:r>
        <w:r>
          <w:rPr>
            <w:noProof/>
            <w:webHidden/>
          </w:rPr>
          <w:fldChar w:fldCharType="end"/>
        </w:r>
      </w:hyperlink>
    </w:p>
    <w:p w14:paraId="581C319B" w14:textId="7B6A8B39"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69" w:history="1">
        <w:r w:rsidRPr="009C3204">
          <w:rPr>
            <w:rStyle w:val="Hyperlink"/>
          </w:rPr>
          <w:t>5.3. Administration of the Embedded Performance Tasks</w:t>
        </w:r>
        <w:r>
          <w:rPr>
            <w:webHidden/>
          </w:rPr>
          <w:tab/>
        </w:r>
        <w:r>
          <w:rPr>
            <w:webHidden/>
          </w:rPr>
          <w:fldChar w:fldCharType="begin"/>
        </w:r>
        <w:r>
          <w:rPr>
            <w:webHidden/>
          </w:rPr>
          <w:instrText xml:space="preserve"> PAGEREF _Toc182555169 \h </w:instrText>
        </w:r>
        <w:r>
          <w:rPr>
            <w:webHidden/>
          </w:rPr>
        </w:r>
        <w:r>
          <w:rPr>
            <w:webHidden/>
          </w:rPr>
          <w:fldChar w:fldCharType="separate"/>
        </w:r>
        <w:r w:rsidR="00672C8C">
          <w:rPr>
            <w:webHidden/>
          </w:rPr>
          <w:t>53</w:t>
        </w:r>
        <w:r>
          <w:rPr>
            <w:webHidden/>
          </w:rPr>
          <w:fldChar w:fldCharType="end"/>
        </w:r>
      </w:hyperlink>
    </w:p>
    <w:p w14:paraId="4CA7E6C4" w14:textId="6988F5AD"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70" w:history="1">
        <w:r w:rsidRPr="009C3204">
          <w:rPr>
            <w:rStyle w:val="Hyperlink"/>
            <w:noProof/>
          </w:rPr>
          <w:t>5.3.1. Administration of Orienting Activities</w:t>
        </w:r>
        <w:r>
          <w:rPr>
            <w:noProof/>
            <w:webHidden/>
          </w:rPr>
          <w:tab/>
        </w:r>
        <w:r>
          <w:rPr>
            <w:noProof/>
            <w:webHidden/>
          </w:rPr>
          <w:fldChar w:fldCharType="begin"/>
        </w:r>
        <w:r>
          <w:rPr>
            <w:noProof/>
            <w:webHidden/>
          </w:rPr>
          <w:instrText xml:space="preserve"> PAGEREF _Toc182555170 \h </w:instrText>
        </w:r>
        <w:r>
          <w:rPr>
            <w:noProof/>
            <w:webHidden/>
          </w:rPr>
        </w:r>
        <w:r>
          <w:rPr>
            <w:noProof/>
            <w:webHidden/>
          </w:rPr>
          <w:fldChar w:fldCharType="separate"/>
        </w:r>
        <w:r w:rsidR="00672C8C">
          <w:rPr>
            <w:noProof/>
            <w:webHidden/>
          </w:rPr>
          <w:t>53</w:t>
        </w:r>
        <w:r>
          <w:rPr>
            <w:noProof/>
            <w:webHidden/>
          </w:rPr>
          <w:fldChar w:fldCharType="end"/>
        </w:r>
      </w:hyperlink>
    </w:p>
    <w:p w14:paraId="604CD6C7" w14:textId="7EF2D85C"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71" w:history="1">
        <w:r w:rsidRPr="009C3204">
          <w:rPr>
            <w:rStyle w:val="Hyperlink"/>
            <w:noProof/>
          </w:rPr>
          <w:t>5.3.2. Administration of the Embedded Performance Tasks</w:t>
        </w:r>
        <w:r>
          <w:rPr>
            <w:noProof/>
            <w:webHidden/>
          </w:rPr>
          <w:tab/>
        </w:r>
        <w:r>
          <w:rPr>
            <w:noProof/>
            <w:webHidden/>
          </w:rPr>
          <w:fldChar w:fldCharType="begin"/>
        </w:r>
        <w:r>
          <w:rPr>
            <w:noProof/>
            <w:webHidden/>
          </w:rPr>
          <w:instrText xml:space="preserve"> PAGEREF _Toc182555171 \h </w:instrText>
        </w:r>
        <w:r>
          <w:rPr>
            <w:noProof/>
            <w:webHidden/>
          </w:rPr>
        </w:r>
        <w:r>
          <w:rPr>
            <w:noProof/>
            <w:webHidden/>
          </w:rPr>
          <w:fldChar w:fldCharType="separate"/>
        </w:r>
        <w:r w:rsidR="00672C8C">
          <w:rPr>
            <w:noProof/>
            <w:webHidden/>
          </w:rPr>
          <w:t>53</w:t>
        </w:r>
        <w:r>
          <w:rPr>
            <w:noProof/>
            <w:webHidden/>
          </w:rPr>
          <w:fldChar w:fldCharType="end"/>
        </w:r>
      </w:hyperlink>
    </w:p>
    <w:p w14:paraId="7ED86782" w14:textId="1217B03F"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72" w:history="1">
        <w:r w:rsidRPr="009C3204">
          <w:rPr>
            <w:rStyle w:val="Hyperlink"/>
            <w:noProof/>
          </w:rPr>
          <w:t>5.3.3. Administration of the Test Administration Survey</w:t>
        </w:r>
        <w:r>
          <w:rPr>
            <w:noProof/>
            <w:webHidden/>
          </w:rPr>
          <w:tab/>
        </w:r>
        <w:r>
          <w:rPr>
            <w:noProof/>
            <w:webHidden/>
          </w:rPr>
          <w:fldChar w:fldCharType="begin"/>
        </w:r>
        <w:r>
          <w:rPr>
            <w:noProof/>
            <w:webHidden/>
          </w:rPr>
          <w:instrText xml:space="preserve"> PAGEREF _Toc182555172 \h </w:instrText>
        </w:r>
        <w:r>
          <w:rPr>
            <w:noProof/>
            <w:webHidden/>
          </w:rPr>
        </w:r>
        <w:r>
          <w:rPr>
            <w:noProof/>
            <w:webHidden/>
          </w:rPr>
          <w:fldChar w:fldCharType="separate"/>
        </w:r>
        <w:r w:rsidR="00672C8C">
          <w:rPr>
            <w:noProof/>
            <w:webHidden/>
          </w:rPr>
          <w:t>53</w:t>
        </w:r>
        <w:r>
          <w:rPr>
            <w:noProof/>
            <w:webHidden/>
          </w:rPr>
          <w:fldChar w:fldCharType="end"/>
        </w:r>
      </w:hyperlink>
    </w:p>
    <w:p w14:paraId="4F07D08D" w14:textId="4C9DB9FD"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73" w:history="1">
        <w:r w:rsidRPr="009C3204">
          <w:rPr>
            <w:rStyle w:val="Hyperlink"/>
          </w:rPr>
          <w:t>5.4. Procedures to Maintain Standardization</w:t>
        </w:r>
        <w:r>
          <w:rPr>
            <w:webHidden/>
          </w:rPr>
          <w:tab/>
        </w:r>
        <w:r>
          <w:rPr>
            <w:webHidden/>
          </w:rPr>
          <w:fldChar w:fldCharType="begin"/>
        </w:r>
        <w:r>
          <w:rPr>
            <w:webHidden/>
          </w:rPr>
          <w:instrText xml:space="preserve"> PAGEREF _Toc182555173 \h </w:instrText>
        </w:r>
        <w:r>
          <w:rPr>
            <w:webHidden/>
          </w:rPr>
        </w:r>
        <w:r>
          <w:rPr>
            <w:webHidden/>
          </w:rPr>
          <w:fldChar w:fldCharType="separate"/>
        </w:r>
        <w:r w:rsidR="00672C8C">
          <w:rPr>
            <w:webHidden/>
          </w:rPr>
          <w:t>53</w:t>
        </w:r>
        <w:r>
          <w:rPr>
            <w:webHidden/>
          </w:rPr>
          <w:fldChar w:fldCharType="end"/>
        </w:r>
      </w:hyperlink>
    </w:p>
    <w:p w14:paraId="79D88178" w14:textId="1661D8F5"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74" w:history="1">
        <w:r w:rsidRPr="009C3204">
          <w:rPr>
            <w:rStyle w:val="Hyperlink"/>
            <w:noProof/>
          </w:rPr>
          <w:t>5.4.1. Local Educational Agency CAASPP Coordinator</w:t>
        </w:r>
        <w:r>
          <w:rPr>
            <w:noProof/>
            <w:webHidden/>
          </w:rPr>
          <w:tab/>
        </w:r>
        <w:r>
          <w:rPr>
            <w:noProof/>
            <w:webHidden/>
          </w:rPr>
          <w:fldChar w:fldCharType="begin"/>
        </w:r>
        <w:r>
          <w:rPr>
            <w:noProof/>
            <w:webHidden/>
          </w:rPr>
          <w:instrText xml:space="preserve"> PAGEREF _Toc182555174 \h </w:instrText>
        </w:r>
        <w:r>
          <w:rPr>
            <w:noProof/>
            <w:webHidden/>
          </w:rPr>
        </w:r>
        <w:r>
          <w:rPr>
            <w:noProof/>
            <w:webHidden/>
          </w:rPr>
          <w:fldChar w:fldCharType="separate"/>
        </w:r>
        <w:r w:rsidR="00672C8C">
          <w:rPr>
            <w:noProof/>
            <w:webHidden/>
          </w:rPr>
          <w:t>53</w:t>
        </w:r>
        <w:r>
          <w:rPr>
            <w:noProof/>
            <w:webHidden/>
          </w:rPr>
          <w:fldChar w:fldCharType="end"/>
        </w:r>
      </w:hyperlink>
    </w:p>
    <w:p w14:paraId="01EBC70B" w14:textId="2272DF9E"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75" w:history="1">
        <w:r w:rsidRPr="009C3204">
          <w:rPr>
            <w:rStyle w:val="Hyperlink"/>
            <w:noProof/>
          </w:rPr>
          <w:t>5.4.2. CAASPP Test Site Coordinator</w:t>
        </w:r>
        <w:r>
          <w:rPr>
            <w:noProof/>
            <w:webHidden/>
          </w:rPr>
          <w:tab/>
        </w:r>
        <w:r>
          <w:rPr>
            <w:noProof/>
            <w:webHidden/>
          </w:rPr>
          <w:fldChar w:fldCharType="begin"/>
        </w:r>
        <w:r>
          <w:rPr>
            <w:noProof/>
            <w:webHidden/>
          </w:rPr>
          <w:instrText xml:space="preserve"> PAGEREF _Toc182555175 \h </w:instrText>
        </w:r>
        <w:r>
          <w:rPr>
            <w:noProof/>
            <w:webHidden/>
          </w:rPr>
        </w:r>
        <w:r>
          <w:rPr>
            <w:noProof/>
            <w:webHidden/>
          </w:rPr>
          <w:fldChar w:fldCharType="separate"/>
        </w:r>
        <w:r w:rsidR="00672C8C">
          <w:rPr>
            <w:noProof/>
            <w:webHidden/>
          </w:rPr>
          <w:t>54</w:t>
        </w:r>
        <w:r>
          <w:rPr>
            <w:noProof/>
            <w:webHidden/>
          </w:rPr>
          <w:fldChar w:fldCharType="end"/>
        </w:r>
      </w:hyperlink>
    </w:p>
    <w:p w14:paraId="4D3F9A95" w14:textId="12D9B994"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76" w:history="1">
        <w:r w:rsidRPr="009C3204">
          <w:rPr>
            <w:rStyle w:val="Hyperlink"/>
            <w:noProof/>
          </w:rPr>
          <w:t>5.4.3. Test Examiners</w:t>
        </w:r>
        <w:r>
          <w:rPr>
            <w:noProof/>
            <w:webHidden/>
          </w:rPr>
          <w:tab/>
        </w:r>
        <w:r>
          <w:rPr>
            <w:noProof/>
            <w:webHidden/>
          </w:rPr>
          <w:fldChar w:fldCharType="begin"/>
        </w:r>
        <w:r>
          <w:rPr>
            <w:noProof/>
            <w:webHidden/>
          </w:rPr>
          <w:instrText xml:space="preserve"> PAGEREF _Toc182555176 \h </w:instrText>
        </w:r>
        <w:r>
          <w:rPr>
            <w:noProof/>
            <w:webHidden/>
          </w:rPr>
        </w:r>
        <w:r>
          <w:rPr>
            <w:noProof/>
            <w:webHidden/>
          </w:rPr>
          <w:fldChar w:fldCharType="separate"/>
        </w:r>
        <w:r w:rsidR="00672C8C">
          <w:rPr>
            <w:noProof/>
            <w:webHidden/>
          </w:rPr>
          <w:t>55</w:t>
        </w:r>
        <w:r>
          <w:rPr>
            <w:noProof/>
            <w:webHidden/>
          </w:rPr>
          <w:fldChar w:fldCharType="end"/>
        </w:r>
      </w:hyperlink>
    </w:p>
    <w:p w14:paraId="1C1A18B4" w14:textId="5F9D0758"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77" w:history="1">
        <w:r w:rsidRPr="009C3204">
          <w:rPr>
            <w:rStyle w:val="Hyperlink"/>
            <w:noProof/>
          </w:rPr>
          <w:t xml:space="preserve">5.4.4. Instructions for Test Examiners and Staff Involved in CAA for Science </w:t>
        </w:r>
        <w:r w:rsidR="00672C8C">
          <w:rPr>
            <w:rStyle w:val="Hyperlink"/>
            <w:noProof/>
          </w:rPr>
          <w:br/>
        </w:r>
        <w:r w:rsidRPr="009C3204">
          <w:rPr>
            <w:rStyle w:val="Hyperlink"/>
            <w:noProof/>
          </w:rPr>
          <w:t>Administration</w:t>
        </w:r>
        <w:r>
          <w:rPr>
            <w:noProof/>
            <w:webHidden/>
          </w:rPr>
          <w:tab/>
        </w:r>
        <w:r>
          <w:rPr>
            <w:noProof/>
            <w:webHidden/>
          </w:rPr>
          <w:fldChar w:fldCharType="begin"/>
        </w:r>
        <w:r>
          <w:rPr>
            <w:noProof/>
            <w:webHidden/>
          </w:rPr>
          <w:instrText xml:space="preserve"> PAGEREF _Toc182555177 \h </w:instrText>
        </w:r>
        <w:r>
          <w:rPr>
            <w:noProof/>
            <w:webHidden/>
          </w:rPr>
        </w:r>
        <w:r>
          <w:rPr>
            <w:noProof/>
            <w:webHidden/>
          </w:rPr>
          <w:fldChar w:fldCharType="separate"/>
        </w:r>
        <w:r w:rsidR="00672C8C">
          <w:rPr>
            <w:noProof/>
            <w:webHidden/>
          </w:rPr>
          <w:t>55</w:t>
        </w:r>
        <w:r>
          <w:rPr>
            <w:noProof/>
            <w:webHidden/>
          </w:rPr>
          <w:fldChar w:fldCharType="end"/>
        </w:r>
      </w:hyperlink>
    </w:p>
    <w:p w14:paraId="30328251" w14:textId="4025A983"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78" w:history="1">
        <w:r w:rsidRPr="009C3204">
          <w:rPr>
            <w:rStyle w:val="Hyperlink"/>
          </w:rPr>
          <w:t>5.5. Accessibility Features for the 2019–2020 Administration</w:t>
        </w:r>
        <w:r>
          <w:rPr>
            <w:webHidden/>
          </w:rPr>
          <w:tab/>
        </w:r>
        <w:r>
          <w:rPr>
            <w:webHidden/>
          </w:rPr>
          <w:fldChar w:fldCharType="begin"/>
        </w:r>
        <w:r>
          <w:rPr>
            <w:webHidden/>
          </w:rPr>
          <w:instrText xml:space="preserve"> PAGEREF _Toc182555178 \h </w:instrText>
        </w:r>
        <w:r>
          <w:rPr>
            <w:webHidden/>
          </w:rPr>
        </w:r>
        <w:r>
          <w:rPr>
            <w:webHidden/>
          </w:rPr>
          <w:fldChar w:fldCharType="separate"/>
        </w:r>
        <w:r w:rsidR="00672C8C">
          <w:rPr>
            <w:webHidden/>
          </w:rPr>
          <w:t>57</w:t>
        </w:r>
        <w:r>
          <w:rPr>
            <w:webHidden/>
          </w:rPr>
          <w:fldChar w:fldCharType="end"/>
        </w:r>
      </w:hyperlink>
    </w:p>
    <w:p w14:paraId="1CBE177F" w14:textId="50782713"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79" w:history="1">
        <w:r w:rsidRPr="009C3204">
          <w:rPr>
            <w:rStyle w:val="Hyperlink"/>
            <w:noProof/>
          </w:rPr>
          <w:t>5.5.1. Individualizations</w:t>
        </w:r>
        <w:r>
          <w:rPr>
            <w:noProof/>
            <w:webHidden/>
          </w:rPr>
          <w:tab/>
        </w:r>
        <w:r>
          <w:rPr>
            <w:noProof/>
            <w:webHidden/>
          </w:rPr>
          <w:fldChar w:fldCharType="begin"/>
        </w:r>
        <w:r>
          <w:rPr>
            <w:noProof/>
            <w:webHidden/>
          </w:rPr>
          <w:instrText xml:space="preserve"> PAGEREF _Toc182555179 \h </w:instrText>
        </w:r>
        <w:r>
          <w:rPr>
            <w:noProof/>
            <w:webHidden/>
          </w:rPr>
        </w:r>
        <w:r>
          <w:rPr>
            <w:noProof/>
            <w:webHidden/>
          </w:rPr>
          <w:fldChar w:fldCharType="separate"/>
        </w:r>
        <w:r w:rsidR="00672C8C">
          <w:rPr>
            <w:noProof/>
            <w:webHidden/>
          </w:rPr>
          <w:t>57</w:t>
        </w:r>
        <w:r>
          <w:rPr>
            <w:noProof/>
            <w:webHidden/>
          </w:rPr>
          <w:fldChar w:fldCharType="end"/>
        </w:r>
      </w:hyperlink>
    </w:p>
    <w:p w14:paraId="43983436" w14:textId="36E61706"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80" w:history="1">
        <w:r w:rsidRPr="009C3204">
          <w:rPr>
            <w:rStyle w:val="Hyperlink"/>
            <w:noProof/>
          </w:rPr>
          <w:t>5.5.2. Type and Level of Accommodations</w:t>
        </w:r>
        <w:r>
          <w:rPr>
            <w:noProof/>
            <w:webHidden/>
          </w:rPr>
          <w:tab/>
        </w:r>
        <w:r>
          <w:rPr>
            <w:noProof/>
            <w:webHidden/>
          </w:rPr>
          <w:fldChar w:fldCharType="begin"/>
        </w:r>
        <w:r>
          <w:rPr>
            <w:noProof/>
            <w:webHidden/>
          </w:rPr>
          <w:instrText xml:space="preserve"> PAGEREF _Toc182555180 \h </w:instrText>
        </w:r>
        <w:r>
          <w:rPr>
            <w:noProof/>
            <w:webHidden/>
          </w:rPr>
        </w:r>
        <w:r>
          <w:rPr>
            <w:noProof/>
            <w:webHidden/>
          </w:rPr>
          <w:fldChar w:fldCharType="separate"/>
        </w:r>
        <w:r w:rsidR="00672C8C">
          <w:rPr>
            <w:noProof/>
            <w:webHidden/>
          </w:rPr>
          <w:t>61</w:t>
        </w:r>
        <w:r>
          <w:rPr>
            <w:noProof/>
            <w:webHidden/>
          </w:rPr>
          <w:fldChar w:fldCharType="end"/>
        </w:r>
      </w:hyperlink>
    </w:p>
    <w:p w14:paraId="4117C3A0" w14:textId="19B6A762"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81" w:history="1">
        <w:r w:rsidRPr="009C3204">
          <w:rPr>
            <w:rStyle w:val="Hyperlink"/>
          </w:rPr>
          <w:t>5.6. Processing and Scoring</w:t>
        </w:r>
        <w:r>
          <w:rPr>
            <w:webHidden/>
          </w:rPr>
          <w:tab/>
        </w:r>
        <w:r>
          <w:rPr>
            <w:webHidden/>
          </w:rPr>
          <w:fldChar w:fldCharType="begin"/>
        </w:r>
        <w:r>
          <w:rPr>
            <w:webHidden/>
          </w:rPr>
          <w:instrText xml:space="preserve"> PAGEREF _Toc182555181 \h </w:instrText>
        </w:r>
        <w:r>
          <w:rPr>
            <w:webHidden/>
          </w:rPr>
        </w:r>
        <w:r>
          <w:rPr>
            <w:webHidden/>
          </w:rPr>
          <w:fldChar w:fldCharType="separate"/>
        </w:r>
        <w:r w:rsidR="00672C8C">
          <w:rPr>
            <w:webHidden/>
          </w:rPr>
          <w:t>61</w:t>
        </w:r>
        <w:r>
          <w:rPr>
            <w:webHidden/>
          </w:rPr>
          <w:fldChar w:fldCharType="end"/>
        </w:r>
      </w:hyperlink>
    </w:p>
    <w:p w14:paraId="47B899F5" w14:textId="709AAD58"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82" w:history="1">
        <w:r w:rsidRPr="009C3204">
          <w:rPr>
            <w:rStyle w:val="Hyperlink"/>
          </w:rPr>
          <w:t>5.7. Test Security and Confidentiality</w:t>
        </w:r>
        <w:r>
          <w:rPr>
            <w:webHidden/>
          </w:rPr>
          <w:tab/>
        </w:r>
        <w:r>
          <w:rPr>
            <w:webHidden/>
          </w:rPr>
          <w:fldChar w:fldCharType="begin"/>
        </w:r>
        <w:r>
          <w:rPr>
            <w:webHidden/>
          </w:rPr>
          <w:instrText xml:space="preserve"> PAGEREF _Toc182555182 \h </w:instrText>
        </w:r>
        <w:r>
          <w:rPr>
            <w:webHidden/>
          </w:rPr>
        </w:r>
        <w:r>
          <w:rPr>
            <w:webHidden/>
          </w:rPr>
          <w:fldChar w:fldCharType="separate"/>
        </w:r>
        <w:r w:rsidR="00672C8C">
          <w:rPr>
            <w:webHidden/>
          </w:rPr>
          <w:t>61</w:t>
        </w:r>
        <w:r>
          <w:rPr>
            <w:webHidden/>
          </w:rPr>
          <w:fldChar w:fldCharType="end"/>
        </w:r>
      </w:hyperlink>
    </w:p>
    <w:p w14:paraId="0FF714C3" w14:textId="76409E80"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83" w:history="1">
        <w:r w:rsidRPr="009C3204">
          <w:rPr>
            <w:rStyle w:val="Hyperlink"/>
            <w:noProof/>
          </w:rPr>
          <w:t>5.7.1. ETS’ Office of Testing Integrity</w:t>
        </w:r>
        <w:r>
          <w:rPr>
            <w:noProof/>
            <w:webHidden/>
          </w:rPr>
          <w:tab/>
        </w:r>
        <w:r>
          <w:rPr>
            <w:noProof/>
            <w:webHidden/>
          </w:rPr>
          <w:fldChar w:fldCharType="begin"/>
        </w:r>
        <w:r>
          <w:rPr>
            <w:noProof/>
            <w:webHidden/>
          </w:rPr>
          <w:instrText xml:space="preserve"> PAGEREF _Toc182555183 \h </w:instrText>
        </w:r>
        <w:r>
          <w:rPr>
            <w:noProof/>
            <w:webHidden/>
          </w:rPr>
        </w:r>
        <w:r>
          <w:rPr>
            <w:noProof/>
            <w:webHidden/>
          </w:rPr>
          <w:fldChar w:fldCharType="separate"/>
        </w:r>
        <w:r w:rsidR="00672C8C">
          <w:rPr>
            <w:noProof/>
            <w:webHidden/>
          </w:rPr>
          <w:t>61</w:t>
        </w:r>
        <w:r>
          <w:rPr>
            <w:noProof/>
            <w:webHidden/>
          </w:rPr>
          <w:fldChar w:fldCharType="end"/>
        </w:r>
      </w:hyperlink>
    </w:p>
    <w:p w14:paraId="14E43EA1" w14:textId="3E461352"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84" w:history="1">
        <w:r w:rsidRPr="009C3204">
          <w:rPr>
            <w:rStyle w:val="Hyperlink"/>
            <w:noProof/>
          </w:rPr>
          <w:t>5.7.2. Procedures to Maintain Standardization of Test Security</w:t>
        </w:r>
        <w:r>
          <w:rPr>
            <w:noProof/>
            <w:webHidden/>
          </w:rPr>
          <w:tab/>
        </w:r>
        <w:r>
          <w:rPr>
            <w:noProof/>
            <w:webHidden/>
          </w:rPr>
          <w:fldChar w:fldCharType="begin"/>
        </w:r>
        <w:r>
          <w:rPr>
            <w:noProof/>
            <w:webHidden/>
          </w:rPr>
          <w:instrText xml:space="preserve"> PAGEREF _Toc182555184 \h </w:instrText>
        </w:r>
        <w:r>
          <w:rPr>
            <w:noProof/>
            <w:webHidden/>
          </w:rPr>
        </w:r>
        <w:r>
          <w:rPr>
            <w:noProof/>
            <w:webHidden/>
          </w:rPr>
          <w:fldChar w:fldCharType="separate"/>
        </w:r>
        <w:r w:rsidR="00672C8C">
          <w:rPr>
            <w:noProof/>
            <w:webHidden/>
          </w:rPr>
          <w:t>62</w:t>
        </w:r>
        <w:r>
          <w:rPr>
            <w:noProof/>
            <w:webHidden/>
          </w:rPr>
          <w:fldChar w:fldCharType="end"/>
        </w:r>
      </w:hyperlink>
    </w:p>
    <w:p w14:paraId="13436C66" w14:textId="4D00993E"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85" w:history="1">
        <w:r w:rsidRPr="009C3204">
          <w:rPr>
            <w:rStyle w:val="Hyperlink"/>
            <w:noProof/>
          </w:rPr>
          <w:t>5.7.3. Security of Electronic Files Using a Firewall</w:t>
        </w:r>
        <w:r>
          <w:rPr>
            <w:noProof/>
            <w:webHidden/>
          </w:rPr>
          <w:tab/>
        </w:r>
        <w:r>
          <w:rPr>
            <w:noProof/>
            <w:webHidden/>
          </w:rPr>
          <w:fldChar w:fldCharType="begin"/>
        </w:r>
        <w:r>
          <w:rPr>
            <w:noProof/>
            <w:webHidden/>
          </w:rPr>
          <w:instrText xml:space="preserve"> PAGEREF _Toc182555185 \h </w:instrText>
        </w:r>
        <w:r>
          <w:rPr>
            <w:noProof/>
            <w:webHidden/>
          </w:rPr>
        </w:r>
        <w:r>
          <w:rPr>
            <w:noProof/>
            <w:webHidden/>
          </w:rPr>
          <w:fldChar w:fldCharType="separate"/>
        </w:r>
        <w:r w:rsidR="00672C8C">
          <w:rPr>
            <w:noProof/>
            <w:webHidden/>
          </w:rPr>
          <w:t>62</w:t>
        </w:r>
        <w:r>
          <w:rPr>
            <w:noProof/>
            <w:webHidden/>
          </w:rPr>
          <w:fldChar w:fldCharType="end"/>
        </w:r>
      </w:hyperlink>
    </w:p>
    <w:p w14:paraId="1CA24A97" w14:textId="7976AD6B"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86" w:history="1">
        <w:r w:rsidRPr="009C3204">
          <w:rPr>
            <w:rStyle w:val="Hyperlink"/>
            <w:noProof/>
          </w:rPr>
          <w:t>5.7.4. Transfer of Scores via Secure Data Exchange</w:t>
        </w:r>
        <w:r>
          <w:rPr>
            <w:noProof/>
            <w:webHidden/>
          </w:rPr>
          <w:tab/>
        </w:r>
        <w:r>
          <w:rPr>
            <w:noProof/>
            <w:webHidden/>
          </w:rPr>
          <w:fldChar w:fldCharType="begin"/>
        </w:r>
        <w:r>
          <w:rPr>
            <w:noProof/>
            <w:webHidden/>
          </w:rPr>
          <w:instrText xml:space="preserve"> PAGEREF _Toc182555186 \h </w:instrText>
        </w:r>
        <w:r>
          <w:rPr>
            <w:noProof/>
            <w:webHidden/>
          </w:rPr>
        </w:r>
        <w:r>
          <w:rPr>
            <w:noProof/>
            <w:webHidden/>
          </w:rPr>
          <w:fldChar w:fldCharType="separate"/>
        </w:r>
        <w:r w:rsidR="00672C8C">
          <w:rPr>
            <w:noProof/>
            <w:webHidden/>
          </w:rPr>
          <w:t>63</w:t>
        </w:r>
        <w:r>
          <w:rPr>
            <w:noProof/>
            <w:webHidden/>
          </w:rPr>
          <w:fldChar w:fldCharType="end"/>
        </w:r>
      </w:hyperlink>
    </w:p>
    <w:p w14:paraId="19144BEA" w14:textId="4A507970"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87" w:history="1">
        <w:r w:rsidRPr="009C3204">
          <w:rPr>
            <w:rStyle w:val="Hyperlink"/>
            <w:noProof/>
          </w:rPr>
          <w:t>5.7.5. Data Management in the Secure Database</w:t>
        </w:r>
        <w:r>
          <w:rPr>
            <w:noProof/>
            <w:webHidden/>
          </w:rPr>
          <w:tab/>
        </w:r>
        <w:r>
          <w:rPr>
            <w:noProof/>
            <w:webHidden/>
          </w:rPr>
          <w:fldChar w:fldCharType="begin"/>
        </w:r>
        <w:r>
          <w:rPr>
            <w:noProof/>
            <w:webHidden/>
          </w:rPr>
          <w:instrText xml:space="preserve"> PAGEREF _Toc182555187 \h </w:instrText>
        </w:r>
        <w:r>
          <w:rPr>
            <w:noProof/>
            <w:webHidden/>
          </w:rPr>
        </w:r>
        <w:r>
          <w:rPr>
            <w:noProof/>
            <w:webHidden/>
          </w:rPr>
          <w:fldChar w:fldCharType="separate"/>
        </w:r>
        <w:r w:rsidR="00672C8C">
          <w:rPr>
            <w:noProof/>
            <w:webHidden/>
          </w:rPr>
          <w:t>63</w:t>
        </w:r>
        <w:r>
          <w:rPr>
            <w:noProof/>
            <w:webHidden/>
          </w:rPr>
          <w:fldChar w:fldCharType="end"/>
        </w:r>
      </w:hyperlink>
    </w:p>
    <w:p w14:paraId="3AB1074E" w14:textId="38E0646D"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88" w:history="1">
        <w:r w:rsidRPr="009C3204">
          <w:rPr>
            <w:rStyle w:val="Hyperlink"/>
            <w:noProof/>
          </w:rPr>
          <w:t>5.7.6. Statistical Analysis on Secure Servers</w:t>
        </w:r>
        <w:r>
          <w:rPr>
            <w:noProof/>
            <w:webHidden/>
          </w:rPr>
          <w:tab/>
        </w:r>
        <w:r>
          <w:rPr>
            <w:noProof/>
            <w:webHidden/>
          </w:rPr>
          <w:fldChar w:fldCharType="begin"/>
        </w:r>
        <w:r>
          <w:rPr>
            <w:noProof/>
            <w:webHidden/>
          </w:rPr>
          <w:instrText xml:space="preserve"> PAGEREF _Toc182555188 \h </w:instrText>
        </w:r>
        <w:r>
          <w:rPr>
            <w:noProof/>
            <w:webHidden/>
          </w:rPr>
        </w:r>
        <w:r>
          <w:rPr>
            <w:noProof/>
            <w:webHidden/>
          </w:rPr>
          <w:fldChar w:fldCharType="separate"/>
        </w:r>
        <w:r w:rsidR="00672C8C">
          <w:rPr>
            <w:noProof/>
            <w:webHidden/>
          </w:rPr>
          <w:t>63</w:t>
        </w:r>
        <w:r>
          <w:rPr>
            <w:noProof/>
            <w:webHidden/>
          </w:rPr>
          <w:fldChar w:fldCharType="end"/>
        </w:r>
      </w:hyperlink>
    </w:p>
    <w:p w14:paraId="34721720" w14:textId="42C5251A"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89" w:history="1">
        <w:r w:rsidRPr="009C3204">
          <w:rPr>
            <w:rStyle w:val="Hyperlink"/>
            <w:noProof/>
          </w:rPr>
          <w:t>5.7.7. Student Confidentiality</w:t>
        </w:r>
        <w:r>
          <w:rPr>
            <w:noProof/>
            <w:webHidden/>
          </w:rPr>
          <w:tab/>
        </w:r>
        <w:r>
          <w:rPr>
            <w:noProof/>
            <w:webHidden/>
          </w:rPr>
          <w:fldChar w:fldCharType="begin"/>
        </w:r>
        <w:r>
          <w:rPr>
            <w:noProof/>
            <w:webHidden/>
          </w:rPr>
          <w:instrText xml:space="preserve"> PAGEREF _Toc182555189 \h </w:instrText>
        </w:r>
        <w:r>
          <w:rPr>
            <w:noProof/>
            <w:webHidden/>
          </w:rPr>
        </w:r>
        <w:r>
          <w:rPr>
            <w:noProof/>
            <w:webHidden/>
          </w:rPr>
          <w:fldChar w:fldCharType="separate"/>
        </w:r>
        <w:r w:rsidR="00672C8C">
          <w:rPr>
            <w:noProof/>
            <w:webHidden/>
          </w:rPr>
          <w:t>64</w:t>
        </w:r>
        <w:r>
          <w:rPr>
            <w:noProof/>
            <w:webHidden/>
          </w:rPr>
          <w:fldChar w:fldCharType="end"/>
        </w:r>
      </w:hyperlink>
    </w:p>
    <w:p w14:paraId="17EDEDA9" w14:textId="1FFA3798"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90" w:history="1">
        <w:r w:rsidRPr="009C3204">
          <w:rPr>
            <w:rStyle w:val="Hyperlink"/>
            <w:noProof/>
          </w:rPr>
          <w:t>5.7.8. Security and Test Administration Incident Reporting System Process</w:t>
        </w:r>
        <w:r>
          <w:rPr>
            <w:noProof/>
            <w:webHidden/>
          </w:rPr>
          <w:tab/>
        </w:r>
        <w:r>
          <w:rPr>
            <w:noProof/>
            <w:webHidden/>
          </w:rPr>
          <w:fldChar w:fldCharType="begin"/>
        </w:r>
        <w:r>
          <w:rPr>
            <w:noProof/>
            <w:webHidden/>
          </w:rPr>
          <w:instrText xml:space="preserve"> PAGEREF _Toc182555190 \h </w:instrText>
        </w:r>
        <w:r>
          <w:rPr>
            <w:noProof/>
            <w:webHidden/>
          </w:rPr>
        </w:r>
        <w:r>
          <w:rPr>
            <w:noProof/>
            <w:webHidden/>
          </w:rPr>
          <w:fldChar w:fldCharType="separate"/>
        </w:r>
        <w:r w:rsidR="00672C8C">
          <w:rPr>
            <w:noProof/>
            <w:webHidden/>
          </w:rPr>
          <w:t>64</w:t>
        </w:r>
        <w:r>
          <w:rPr>
            <w:noProof/>
            <w:webHidden/>
          </w:rPr>
          <w:fldChar w:fldCharType="end"/>
        </w:r>
      </w:hyperlink>
    </w:p>
    <w:p w14:paraId="1DC3275E" w14:textId="2D331749"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91" w:history="1">
        <w:r w:rsidRPr="009C3204">
          <w:rPr>
            <w:rStyle w:val="Hyperlink"/>
            <w:noProof/>
          </w:rPr>
          <w:t>5.7.9. Appeals</w:t>
        </w:r>
        <w:r>
          <w:rPr>
            <w:noProof/>
            <w:webHidden/>
          </w:rPr>
          <w:tab/>
        </w:r>
        <w:r>
          <w:rPr>
            <w:noProof/>
            <w:webHidden/>
          </w:rPr>
          <w:fldChar w:fldCharType="begin"/>
        </w:r>
        <w:r>
          <w:rPr>
            <w:noProof/>
            <w:webHidden/>
          </w:rPr>
          <w:instrText xml:space="preserve"> PAGEREF _Toc182555191 \h </w:instrText>
        </w:r>
        <w:r>
          <w:rPr>
            <w:noProof/>
            <w:webHidden/>
          </w:rPr>
        </w:r>
        <w:r>
          <w:rPr>
            <w:noProof/>
            <w:webHidden/>
          </w:rPr>
          <w:fldChar w:fldCharType="separate"/>
        </w:r>
        <w:r w:rsidR="00672C8C">
          <w:rPr>
            <w:noProof/>
            <w:webHidden/>
          </w:rPr>
          <w:t>65</w:t>
        </w:r>
        <w:r>
          <w:rPr>
            <w:noProof/>
            <w:webHidden/>
          </w:rPr>
          <w:fldChar w:fldCharType="end"/>
        </w:r>
      </w:hyperlink>
    </w:p>
    <w:p w14:paraId="62C9F2C0" w14:textId="39126C3E"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92" w:history="1">
        <w:r w:rsidRPr="009C3204">
          <w:rPr>
            <w:rStyle w:val="Hyperlink"/>
          </w:rPr>
          <w:t>5.8. Monitoring Assessment of Students</w:t>
        </w:r>
        <w:r>
          <w:rPr>
            <w:webHidden/>
          </w:rPr>
          <w:tab/>
        </w:r>
        <w:r>
          <w:rPr>
            <w:webHidden/>
          </w:rPr>
          <w:fldChar w:fldCharType="begin"/>
        </w:r>
        <w:r>
          <w:rPr>
            <w:webHidden/>
          </w:rPr>
          <w:instrText xml:space="preserve"> PAGEREF _Toc182555192 \h </w:instrText>
        </w:r>
        <w:r>
          <w:rPr>
            <w:webHidden/>
          </w:rPr>
        </w:r>
        <w:r>
          <w:rPr>
            <w:webHidden/>
          </w:rPr>
          <w:fldChar w:fldCharType="separate"/>
        </w:r>
        <w:r w:rsidR="00672C8C">
          <w:rPr>
            <w:webHidden/>
          </w:rPr>
          <w:t>66</w:t>
        </w:r>
        <w:r>
          <w:rPr>
            <w:webHidden/>
          </w:rPr>
          <w:fldChar w:fldCharType="end"/>
        </w:r>
      </w:hyperlink>
    </w:p>
    <w:p w14:paraId="78729307" w14:textId="08F97EE0"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93" w:history="1">
        <w:r w:rsidRPr="009C3204">
          <w:rPr>
            <w:rStyle w:val="Hyperlink"/>
            <w:noProof/>
          </w:rPr>
          <w:t>5.8.1. Universal Tools and Designated Supports for Students with Disabilities</w:t>
        </w:r>
        <w:r>
          <w:rPr>
            <w:noProof/>
            <w:webHidden/>
          </w:rPr>
          <w:tab/>
        </w:r>
        <w:r>
          <w:rPr>
            <w:noProof/>
            <w:webHidden/>
          </w:rPr>
          <w:fldChar w:fldCharType="begin"/>
        </w:r>
        <w:r>
          <w:rPr>
            <w:noProof/>
            <w:webHidden/>
          </w:rPr>
          <w:instrText xml:space="preserve"> PAGEREF _Toc182555193 \h </w:instrText>
        </w:r>
        <w:r>
          <w:rPr>
            <w:noProof/>
            <w:webHidden/>
          </w:rPr>
        </w:r>
        <w:r>
          <w:rPr>
            <w:noProof/>
            <w:webHidden/>
          </w:rPr>
          <w:fldChar w:fldCharType="separate"/>
        </w:r>
        <w:r w:rsidR="00672C8C">
          <w:rPr>
            <w:noProof/>
            <w:webHidden/>
          </w:rPr>
          <w:t>67</w:t>
        </w:r>
        <w:r>
          <w:rPr>
            <w:noProof/>
            <w:webHidden/>
          </w:rPr>
          <w:fldChar w:fldCharType="end"/>
        </w:r>
      </w:hyperlink>
    </w:p>
    <w:p w14:paraId="5E7F673B" w14:textId="17B713B9"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94" w:history="1">
        <w:r w:rsidRPr="009C3204">
          <w:rPr>
            <w:rStyle w:val="Hyperlink"/>
            <w:noProof/>
          </w:rPr>
          <w:t>5.8.2. Identification</w:t>
        </w:r>
        <w:r>
          <w:rPr>
            <w:noProof/>
            <w:webHidden/>
          </w:rPr>
          <w:tab/>
        </w:r>
        <w:r>
          <w:rPr>
            <w:noProof/>
            <w:webHidden/>
          </w:rPr>
          <w:fldChar w:fldCharType="begin"/>
        </w:r>
        <w:r>
          <w:rPr>
            <w:noProof/>
            <w:webHidden/>
          </w:rPr>
          <w:instrText xml:space="preserve"> PAGEREF _Toc182555194 \h </w:instrText>
        </w:r>
        <w:r>
          <w:rPr>
            <w:noProof/>
            <w:webHidden/>
          </w:rPr>
        </w:r>
        <w:r>
          <w:rPr>
            <w:noProof/>
            <w:webHidden/>
          </w:rPr>
          <w:fldChar w:fldCharType="separate"/>
        </w:r>
        <w:r w:rsidR="00672C8C">
          <w:rPr>
            <w:noProof/>
            <w:webHidden/>
          </w:rPr>
          <w:t>68</w:t>
        </w:r>
        <w:r>
          <w:rPr>
            <w:noProof/>
            <w:webHidden/>
          </w:rPr>
          <w:fldChar w:fldCharType="end"/>
        </w:r>
      </w:hyperlink>
    </w:p>
    <w:p w14:paraId="58A82DA8" w14:textId="1F6D2573"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95" w:history="1">
        <w:r w:rsidRPr="009C3204">
          <w:rPr>
            <w:rStyle w:val="Hyperlink"/>
            <w:noProof/>
          </w:rPr>
          <w:t>5.8.3. Assignment</w:t>
        </w:r>
        <w:r>
          <w:rPr>
            <w:noProof/>
            <w:webHidden/>
          </w:rPr>
          <w:tab/>
        </w:r>
        <w:r>
          <w:rPr>
            <w:noProof/>
            <w:webHidden/>
          </w:rPr>
          <w:fldChar w:fldCharType="begin"/>
        </w:r>
        <w:r>
          <w:rPr>
            <w:noProof/>
            <w:webHidden/>
          </w:rPr>
          <w:instrText xml:space="preserve"> PAGEREF _Toc182555195 \h </w:instrText>
        </w:r>
        <w:r>
          <w:rPr>
            <w:noProof/>
            <w:webHidden/>
          </w:rPr>
        </w:r>
        <w:r>
          <w:rPr>
            <w:noProof/>
            <w:webHidden/>
          </w:rPr>
          <w:fldChar w:fldCharType="separate"/>
        </w:r>
        <w:r w:rsidR="00672C8C">
          <w:rPr>
            <w:noProof/>
            <w:webHidden/>
          </w:rPr>
          <w:t>69</w:t>
        </w:r>
        <w:r>
          <w:rPr>
            <w:noProof/>
            <w:webHidden/>
          </w:rPr>
          <w:fldChar w:fldCharType="end"/>
        </w:r>
      </w:hyperlink>
    </w:p>
    <w:p w14:paraId="46EC5D19" w14:textId="5F400F0B"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196" w:history="1">
        <w:r w:rsidRPr="009C3204">
          <w:rPr>
            <w:rStyle w:val="Hyperlink"/>
            <w:noProof/>
          </w:rPr>
          <w:t>5.8.4. Accommodation Usage</w:t>
        </w:r>
        <w:r>
          <w:rPr>
            <w:noProof/>
            <w:webHidden/>
          </w:rPr>
          <w:tab/>
        </w:r>
        <w:r>
          <w:rPr>
            <w:noProof/>
            <w:webHidden/>
          </w:rPr>
          <w:fldChar w:fldCharType="begin"/>
        </w:r>
        <w:r>
          <w:rPr>
            <w:noProof/>
            <w:webHidden/>
          </w:rPr>
          <w:instrText xml:space="preserve"> PAGEREF _Toc182555196 \h </w:instrText>
        </w:r>
        <w:r>
          <w:rPr>
            <w:noProof/>
            <w:webHidden/>
          </w:rPr>
        </w:r>
        <w:r>
          <w:rPr>
            <w:noProof/>
            <w:webHidden/>
          </w:rPr>
          <w:fldChar w:fldCharType="separate"/>
        </w:r>
        <w:r w:rsidR="00672C8C">
          <w:rPr>
            <w:noProof/>
            <w:webHidden/>
          </w:rPr>
          <w:t>69</w:t>
        </w:r>
        <w:r>
          <w:rPr>
            <w:noProof/>
            <w:webHidden/>
          </w:rPr>
          <w:fldChar w:fldCharType="end"/>
        </w:r>
      </w:hyperlink>
    </w:p>
    <w:p w14:paraId="74BC6477" w14:textId="0E52A1BF"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97" w:history="1">
        <w:r w:rsidRPr="009C3204">
          <w:rPr>
            <w:rStyle w:val="Hyperlink"/>
          </w:rPr>
          <w:t>References</w:t>
        </w:r>
        <w:r>
          <w:rPr>
            <w:webHidden/>
          </w:rPr>
          <w:tab/>
        </w:r>
        <w:r>
          <w:rPr>
            <w:webHidden/>
          </w:rPr>
          <w:fldChar w:fldCharType="begin"/>
        </w:r>
        <w:r>
          <w:rPr>
            <w:webHidden/>
          </w:rPr>
          <w:instrText xml:space="preserve"> PAGEREF _Toc182555197 \h </w:instrText>
        </w:r>
        <w:r>
          <w:rPr>
            <w:webHidden/>
          </w:rPr>
        </w:r>
        <w:r>
          <w:rPr>
            <w:webHidden/>
          </w:rPr>
          <w:fldChar w:fldCharType="separate"/>
        </w:r>
        <w:r w:rsidR="00672C8C">
          <w:rPr>
            <w:webHidden/>
          </w:rPr>
          <w:t>72</w:t>
        </w:r>
        <w:r>
          <w:rPr>
            <w:webHidden/>
          </w:rPr>
          <w:fldChar w:fldCharType="end"/>
        </w:r>
      </w:hyperlink>
    </w:p>
    <w:p w14:paraId="7A672802" w14:textId="6DA9625D" w:rsidR="00CA4A9A" w:rsidRDefault="00CA4A9A">
      <w:pPr>
        <w:pStyle w:val="TOC1"/>
        <w:rPr>
          <w:rFonts w:asciiTheme="minorHAnsi" w:eastAsiaTheme="minorEastAsia" w:hAnsiTheme="minorHAnsi" w:cstheme="minorBidi"/>
          <w:b w:val="0"/>
          <w:color w:val="auto"/>
          <w:kern w:val="2"/>
          <w:sz w:val="22"/>
          <w:szCs w:val="22"/>
          <w14:ligatures w14:val="standardContextual"/>
        </w:rPr>
      </w:pPr>
      <w:hyperlink w:anchor="_Toc182555198" w:history="1">
        <w:r w:rsidRPr="009C3204">
          <w:rPr>
            <w:rStyle w:val="Hyperlink"/>
          </w:rPr>
          <w:t>Chapter 6: Scoring and Reporting</w:t>
        </w:r>
        <w:r>
          <w:rPr>
            <w:webHidden/>
          </w:rPr>
          <w:tab/>
        </w:r>
        <w:r>
          <w:rPr>
            <w:webHidden/>
          </w:rPr>
          <w:fldChar w:fldCharType="begin"/>
        </w:r>
        <w:r>
          <w:rPr>
            <w:webHidden/>
          </w:rPr>
          <w:instrText xml:space="preserve"> PAGEREF _Toc182555198 \h </w:instrText>
        </w:r>
        <w:r>
          <w:rPr>
            <w:webHidden/>
          </w:rPr>
        </w:r>
        <w:r>
          <w:rPr>
            <w:webHidden/>
          </w:rPr>
          <w:fldChar w:fldCharType="separate"/>
        </w:r>
        <w:r w:rsidR="00672C8C">
          <w:rPr>
            <w:webHidden/>
          </w:rPr>
          <w:t>73</w:t>
        </w:r>
        <w:r>
          <w:rPr>
            <w:webHidden/>
          </w:rPr>
          <w:fldChar w:fldCharType="end"/>
        </w:r>
      </w:hyperlink>
    </w:p>
    <w:p w14:paraId="6276BB74" w14:textId="4224E875"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199" w:history="1">
        <w:r w:rsidRPr="009C3204">
          <w:rPr>
            <w:rStyle w:val="Hyperlink"/>
          </w:rPr>
          <w:t>6.1. CAA for Science Scoring Process</w:t>
        </w:r>
        <w:r>
          <w:rPr>
            <w:webHidden/>
          </w:rPr>
          <w:tab/>
        </w:r>
        <w:r>
          <w:rPr>
            <w:webHidden/>
          </w:rPr>
          <w:fldChar w:fldCharType="begin"/>
        </w:r>
        <w:r>
          <w:rPr>
            <w:webHidden/>
          </w:rPr>
          <w:instrText xml:space="preserve"> PAGEREF _Toc182555199 \h </w:instrText>
        </w:r>
        <w:r>
          <w:rPr>
            <w:webHidden/>
          </w:rPr>
        </w:r>
        <w:r>
          <w:rPr>
            <w:webHidden/>
          </w:rPr>
          <w:fldChar w:fldCharType="separate"/>
        </w:r>
        <w:r w:rsidR="00672C8C">
          <w:rPr>
            <w:webHidden/>
          </w:rPr>
          <w:t>73</w:t>
        </w:r>
        <w:r>
          <w:rPr>
            <w:webHidden/>
          </w:rPr>
          <w:fldChar w:fldCharType="end"/>
        </w:r>
      </w:hyperlink>
    </w:p>
    <w:p w14:paraId="00022C2F" w14:textId="2A9F9835"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00" w:history="1">
        <w:r w:rsidRPr="009C3204">
          <w:rPr>
            <w:rStyle w:val="Hyperlink"/>
          </w:rPr>
          <w:t>6.2. Types of Scores</w:t>
        </w:r>
        <w:r>
          <w:rPr>
            <w:webHidden/>
          </w:rPr>
          <w:tab/>
        </w:r>
        <w:r>
          <w:rPr>
            <w:webHidden/>
          </w:rPr>
          <w:fldChar w:fldCharType="begin"/>
        </w:r>
        <w:r>
          <w:rPr>
            <w:webHidden/>
          </w:rPr>
          <w:instrText xml:space="preserve"> PAGEREF _Toc182555200 \h </w:instrText>
        </w:r>
        <w:r>
          <w:rPr>
            <w:webHidden/>
          </w:rPr>
        </w:r>
        <w:r>
          <w:rPr>
            <w:webHidden/>
          </w:rPr>
          <w:fldChar w:fldCharType="separate"/>
        </w:r>
        <w:r w:rsidR="00672C8C">
          <w:rPr>
            <w:webHidden/>
          </w:rPr>
          <w:t>73</w:t>
        </w:r>
        <w:r>
          <w:rPr>
            <w:webHidden/>
          </w:rPr>
          <w:fldChar w:fldCharType="end"/>
        </w:r>
      </w:hyperlink>
    </w:p>
    <w:p w14:paraId="6E65AEC9" w14:textId="2FC24D64"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01" w:history="1">
        <w:r w:rsidRPr="009C3204">
          <w:rPr>
            <w:rStyle w:val="Hyperlink"/>
            <w:noProof/>
          </w:rPr>
          <w:t>6.2.1. Percent Correct</w:t>
        </w:r>
        <w:r>
          <w:rPr>
            <w:noProof/>
            <w:webHidden/>
          </w:rPr>
          <w:tab/>
        </w:r>
        <w:r>
          <w:rPr>
            <w:noProof/>
            <w:webHidden/>
          </w:rPr>
          <w:fldChar w:fldCharType="begin"/>
        </w:r>
        <w:r>
          <w:rPr>
            <w:noProof/>
            <w:webHidden/>
          </w:rPr>
          <w:instrText xml:space="preserve"> PAGEREF _Toc182555201 \h </w:instrText>
        </w:r>
        <w:r>
          <w:rPr>
            <w:noProof/>
            <w:webHidden/>
          </w:rPr>
        </w:r>
        <w:r>
          <w:rPr>
            <w:noProof/>
            <w:webHidden/>
          </w:rPr>
          <w:fldChar w:fldCharType="separate"/>
        </w:r>
        <w:r w:rsidR="00672C8C">
          <w:rPr>
            <w:noProof/>
            <w:webHidden/>
          </w:rPr>
          <w:t>73</w:t>
        </w:r>
        <w:r>
          <w:rPr>
            <w:noProof/>
            <w:webHidden/>
          </w:rPr>
          <w:fldChar w:fldCharType="end"/>
        </w:r>
      </w:hyperlink>
    </w:p>
    <w:p w14:paraId="4DEF3933" w14:textId="39A5C3FA"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02" w:history="1">
        <w:r w:rsidRPr="009C3204">
          <w:rPr>
            <w:rStyle w:val="Hyperlink"/>
            <w:noProof/>
          </w:rPr>
          <w:t>6.2.2. Preliminary Indicator Categories</w:t>
        </w:r>
        <w:r>
          <w:rPr>
            <w:noProof/>
            <w:webHidden/>
          </w:rPr>
          <w:tab/>
        </w:r>
        <w:r>
          <w:rPr>
            <w:noProof/>
            <w:webHidden/>
          </w:rPr>
          <w:fldChar w:fldCharType="begin"/>
        </w:r>
        <w:r>
          <w:rPr>
            <w:noProof/>
            <w:webHidden/>
          </w:rPr>
          <w:instrText xml:space="preserve"> PAGEREF _Toc182555202 \h </w:instrText>
        </w:r>
        <w:r>
          <w:rPr>
            <w:noProof/>
            <w:webHidden/>
          </w:rPr>
        </w:r>
        <w:r>
          <w:rPr>
            <w:noProof/>
            <w:webHidden/>
          </w:rPr>
          <w:fldChar w:fldCharType="separate"/>
        </w:r>
        <w:r w:rsidR="00672C8C">
          <w:rPr>
            <w:noProof/>
            <w:webHidden/>
          </w:rPr>
          <w:t>74</w:t>
        </w:r>
        <w:r>
          <w:rPr>
            <w:noProof/>
            <w:webHidden/>
          </w:rPr>
          <w:fldChar w:fldCharType="end"/>
        </w:r>
      </w:hyperlink>
    </w:p>
    <w:p w14:paraId="6D723B9B" w14:textId="5F4074D0"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03" w:history="1">
        <w:r w:rsidRPr="009C3204">
          <w:rPr>
            <w:rStyle w:val="Hyperlink"/>
          </w:rPr>
          <w:t>Reference</w:t>
        </w:r>
        <w:r>
          <w:rPr>
            <w:webHidden/>
          </w:rPr>
          <w:tab/>
        </w:r>
        <w:r>
          <w:rPr>
            <w:webHidden/>
          </w:rPr>
          <w:fldChar w:fldCharType="begin"/>
        </w:r>
        <w:r>
          <w:rPr>
            <w:webHidden/>
          </w:rPr>
          <w:instrText xml:space="preserve"> PAGEREF _Toc182555203 \h </w:instrText>
        </w:r>
        <w:r>
          <w:rPr>
            <w:webHidden/>
          </w:rPr>
        </w:r>
        <w:r>
          <w:rPr>
            <w:webHidden/>
          </w:rPr>
          <w:fldChar w:fldCharType="separate"/>
        </w:r>
        <w:r w:rsidR="00672C8C">
          <w:rPr>
            <w:webHidden/>
          </w:rPr>
          <w:t>79</w:t>
        </w:r>
        <w:r>
          <w:rPr>
            <w:webHidden/>
          </w:rPr>
          <w:fldChar w:fldCharType="end"/>
        </w:r>
      </w:hyperlink>
    </w:p>
    <w:p w14:paraId="5265A098" w14:textId="6BDE5557"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04" w:history="1">
        <w:r w:rsidRPr="009C3204">
          <w:rPr>
            <w:rStyle w:val="Hyperlink"/>
          </w:rPr>
          <w:t>Accessibility Information</w:t>
        </w:r>
        <w:r>
          <w:rPr>
            <w:webHidden/>
          </w:rPr>
          <w:tab/>
        </w:r>
        <w:r>
          <w:rPr>
            <w:webHidden/>
          </w:rPr>
          <w:fldChar w:fldCharType="begin"/>
        </w:r>
        <w:r>
          <w:rPr>
            <w:webHidden/>
          </w:rPr>
          <w:instrText xml:space="preserve"> PAGEREF _Toc182555204 \h </w:instrText>
        </w:r>
        <w:r>
          <w:rPr>
            <w:webHidden/>
          </w:rPr>
        </w:r>
        <w:r>
          <w:rPr>
            <w:webHidden/>
          </w:rPr>
          <w:fldChar w:fldCharType="separate"/>
        </w:r>
        <w:r w:rsidR="00672C8C">
          <w:rPr>
            <w:webHidden/>
          </w:rPr>
          <w:t>80</w:t>
        </w:r>
        <w:r>
          <w:rPr>
            <w:webHidden/>
          </w:rPr>
          <w:fldChar w:fldCharType="end"/>
        </w:r>
      </w:hyperlink>
    </w:p>
    <w:p w14:paraId="1FCEC7A7" w14:textId="7A635825"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05" w:history="1">
        <w:r w:rsidRPr="009C3204">
          <w:rPr>
            <w:rStyle w:val="Hyperlink"/>
            <w:noProof/>
          </w:rPr>
          <w:t>Alternative Text for Equation 6.1</w:t>
        </w:r>
        <w:r>
          <w:rPr>
            <w:noProof/>
            <w:webHidden/>
          </w:rPr>
          <w:tab/>
        </w:r>
        <w:r>
          <w:rPr>
            <w:noProof/>
            <w:webHidden/>
          </w:rPr>
          <w:fldChar w:fldCharType="begin"/>
        </w:r>
        <w:r>
          <w:rPr>
            <w:noProof/>
            <w:webHidden/>
          </w:rPr>
          <w:instrText xml:space="preserve"> PAGEREF _Toc182555205 \h </w:instrText>
        </w:r>
        <w:r>
          <w:rPr>
            <w:noProof/>
            <w:webHidden/>
          </w:rPr>
        </w:r>
        <w:r>
          <w:rPr>
            <w:noProof/>
            <w:webHidden/>
          </w:rPr>
          <w:fldChar w:fldCharType="separate"/>
        </w:r>
        <w:r w:rsidR="00672C8C">
          <w:rPr>
            <w:noProof/>
            <w:webHidden/>
          </w:rPr>
          <w:t>80</w:t>
        </w:r>
        <w:r>
          <w:rPr>
            <w:noProof/>
            <w:webHidden/>
          </w:rPr>
          <w:fldChar w:fldCharType="end"/>
        </w:r>
      </w:hyperlink>
    </w:p>
    <w:p w14:paraId="5ACE22BD" w14:textId="62F0DD51"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06" w:history="1">
        <w:r w:rsidRPr="009C3204">
          <w:rPr>
            <w:rStyle w:val="Hyperlink"/>
          </w:rPr>
          <w:t>Appendix 6.A: Preliminary Indicator Summary</w:t>
        </w:r>
        <w:r>
          <w:rPr>
            <w:webHidden/>
          </w:rPr>
          <w:tab/>
        </w:r>
        <w:r>
          <w:rPr>
            <w:webHidden/>
          </w:rPr>
          <w:fldChar w:fldCharType="begin"/>
        </w:r>
        <w:r>
          <w:rPr>
            <w:webHidden/>
          </w:rPr>
          <w:instrText xml:space="preserve"> PAGEREF _Toc182555206 \h </w:instrText>
        </w:r>
        <w:r>
          <w:rPr>
            <w:webHidden/>
          </w:rPr>
        </w:r>
        <w:r>
          <w:rPr>
            <w:webHidden/>
          </w:rPr>
          <w:fldChar w:fldCharType="separate"/>
        </w:r>
        <w:r w:rsidR="00672C8C">
          <w:rPr>
            <w:webHidden/>
          </w:rPr>
          <w:t>81</w:t>
        </w:r>
        <w:r>
          <w:rPr>
            <w:webHidden/>
          </w:rPr>
          <w:fldChar w:fldCharType="end"/>
        </w:r>
      </w:hyperlink>
    </w:p>
    <w:p w14:paraId="31179B08" w14:textId="37CD43DF" w:rsidR="00CA4A9A" w:rsidRDefault="00CA4A9A">
      <w:pPr>
        <w:pStyle w:val="TOC1"/>
        <w:rPr>
          <w:rFonts w:asciiTheme="minorHAnsi" w:eastAsiaTheme="minorEastAsia" w:hAnsiTheme="minorHAnsi" w:cstheme="minorBidi"/>
          <w:b w:val="0"/>
          <w:color w:val="auto"/>
          <w:kern w:val="2"/>
          <w:sz w:val="22"/>
          <w:szCs w:val="22"/>
          <w14:ligatures w14:val="standardContextual"/>
        </w:rPr>
      </w:pPr>
      <w:hyperlink w:anchor="_Toc182555207" w:history="1">
        <w:r w:rsidRPr="009C3204">
          <w:rPr>
            <w:rStyle w:val="Hyperlink"/>
          </w:rPr>
          <w:t>Chapter 7: Psychometric Analyses</w:t>
        </w:r>
        <w:r>
          <w:rPr>
            <w:webHidden/>
          </w:rPr>
          <w:tab/>
        </w:r>
        <w:r>
          <w:rPr>
            <w:webHidden/>
          </w:rPr>
          <w:fldChar w:fldCharType="begin"/>
        </w:r>
        <w:r>
          <w:rPr>
            <w:webHidden/>
          </w:rPr>
          <w:instrText xml:space="preserve"> PAGEREF _Toc182555207 \h </w:instrText>
        </w:r>
        <w:r>
          <w:rPr>
            <w:webHidden/>
          </w:rPr>
        </w:r>
        <w:r>
          <w:rPr>
            <w:webHidden/>
          </w:rPr>
          <w:fldChar w:fldCharType="separate"/>
        </w:r>
        <w:r w:rsidR="00672C8C">
          <w:rPr>
            <w:webHidden/>
          </w:rPr>
          <w:t>82</w:t>
        </w:r>
        <w:r>
          <w:rPr>
            <w:webHidden/>
          </w:rPr>
          <w:fldChar w:fldCharType="end"/>
        </w:r>
      </w:hyperlink>
    </w:p>
    <w:p w14:paraId="71A34ABC" w14:textId="28A00287"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08" w:history="1">
        <w:r w:rsidRPr="009C3204">
          <w:rPr>
            <w:rStyle w:val="Hyperlink"/>
            <w:lang w:bidi="en-US"/>
          </w:rPr>
          <w:t>7.1. Overview</w:t>
        </w:r>
        <w:r>
          <w:rPr>
            <w:webHidden/>
          </w:rPr>
          <w:tab/>
        </w:r>
        <w:r>
          <w:rPr>
            <w:webHidden/>
          </w:rPr>
          <w:fldChar w:fldCharType="begin"/>
        </w:r>
        <w:r>
          <w:rPr>
            <w:webHidden/>
          </w:rPr>
          <w:instrText xml:space="preserve"> PAGEREF _Toc182555208 \h </w:instrText>
        </w:r>
        <w:r>
          <w:rPr>
            <w:webHidden/>
          </w:rPr>
        </w:r>
        <w:r>
          <w:rPr>
            <w:webHidden/>
          </w:rPr>
          <w:fldChar w:fldCharType="separate"/>
        </w:r>
        <w:r w:rsidR="00672C8C">
          <w:rPr>
            <w:webHidden/>
          </w:rPr>
          <w:t>82</w:t>
        </w:r>
        <w:r>
          <w:rPr>
            <w:webHidden/>
          </w:rPr>
          <w:fldChar w:fldCharType="end"/>
        </w:r>
      </w:hyperlink>
    </w:p>
    <w:p w14:paraId="2076FD6B" w14:textId="7A43E967"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09" w:history="1">
        <w:r w:rsidRPr="009C3204">
          <w:rPr>
            <w:rStyle w:val="Hyperlink"/>
            <w:noProof/>
          </w:rPr>
          <w:t>7.1.1. Summary of the Analyses</w:t>
        </w:r>
        <w:r>
          <w:rPr>
            <w:noProof/>
            <w:webHidden/>
          </w:rPr>
          <w:tab/>
        </w:r>
        <w:r>
          <w:rPr>
            <w:noProof/>
            <w:webHidden/>
          </w:rPr>
          <w:fldChar w:fldCharType="begin"/>
        </w:r>
        <w:r>
          <w:rPr>
            <w:noProof/>
            <w:webHidden/>
          </w:rPr>
          <w:instrText xml:space="preserve"> PAGEREF _Toc182555209 \h </w:instrText>
        </w:r>
        <w:r>
          <w:rPr>
            <w:noProof/>
            <w:webHidden/>
          </w:rPr>
        </w:r>
        <w:r>
          <w:rPr>
            <w:noProof/>
            <w:webHidden/>
          </w:rPr>
          <w:fldChar w:fldCharType="separate"/>
        </w:r>
        <w:r w:rsidR="00672C8C">
          <w:rPr>
            <w:noProof/>
            <w:webHidden/>
          </w:rPr>
          <w:t>82</w:t>
        </w:r>
        <w:r>
          <w:rPr>
            <w:noProof/>
            <w:webHidden/>
          </w:rPr>
          <w:fldChar w:fldCharType="end"/>
        </w:r>
      </w:hyperlink>
    </w:p>
    <w:p w14:paraId="0FE4B3BC" w14:textId="1937B2C1"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10" w:history="1">
        <w:r w:rsidRPr="009C3204">
          <w:rPr>
            <w:rStyle w:val="Hyperlink"/>
            <w:noProof/>
          </w:rPr>
          <w:t>7.1.2. Sample Used for the Analyses</w:t>
        </w:r>
        <w:r>
          <w:rPr>
            <w:noProof/>
            <w:webHidden/>
          </w:rPr>
          <w:tab/>
        </w:r>
        <w:r>
          <w:rPr>
            <w:noProof/>
            <w:webHidden/>
          </w:rPr>
          <w:fldChar w:fldCharType="begin"/>
        </w:r>
        <w:r>
          <w:rPr>
            <w:noProof/>
            <w:webHidden/>
          </w:rPr>
          <w:instrText xml:space="preserve"> PAGEREF _Toc182555210 \h </w:instrText>
        </w:r>
        <w:r>
          <w:rPr>
            <w:noProof/>
            <w:webHidden/>
          </w:rPr>
        </w:r>
        <w:r>
          <w:rPr>
            <w:noProof/>
            <w:webHidden/>
          </w:rPr>
          <w:fldChar w:fldCharType="separate"/>
        </w:r>
        <w:r w:rsidR="00672C8C">
          <w:rPr>
            <w:noProof/>
            <w:webHidden/>
          </w:rPr>
          <w:t>82</w:t>
        </w:r>
        <w:r>
          <w:rPr>
            <w:noProof/>
            <w:webHidden/>
          </w:rPr>
          <w:fldChar w:fldCharType="end"/>
        </w:r>
      </w:hyperlink>
    </w:p>
    <w:p w14:paraId="53D0002C" w14:textId="00363E60"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11" w:history="1">
        <w:r w:rsidRPr="009C3204">
          <w:rPr>
            <w:rStyle w:val="Hyperlink"/>
            <w:lang w:bidi="en-US"/>
          </w:rPr>
          <w:t>7.2. Classical Item Analyses</w:t>
        </w:r>
        <w:r>
          <w:rPr>
            <w:webHidden/>
          </w:rPr>
          <w:tab/>
        </w:r>
        <w:r>
          <w:rPr>
            <w:webHidden/>
          </w:rPr>
          <w:fldChar w:fldCharType="begin"/>
        </w:r>
        <w:r>
          <w:rPr>
            <w:webHidden/>
          </w:rPr>
          <w:instrText xml:space="preserve"> PAGEREF _Toc182555211 \h </w:instrText>
        </w:r>
        <w:r>
          <w:rPr>
            <w:webHidden/>
          </w:rPr>
        </w:r>
        <w:r>
          <w:rPr>
            <w:webHidden/>
          </w:rPr>
          <w:fldChar w:fldCharType="separate"/>
        </w:r>
        <w:r w:rsidR="00672C8C">
          <w:rPr>
            <w:webHidden/>
          </w:rPr>
          <w:t>83</w:t>
        </w:r>
        <w:r>
          <w:rPr>
            <w:webHidden/>
          </w:rPr>
          <w:fldChar w:fldCharType="end"/>
        </w:r>
      </w:hyperlink>
    </w:p>
    <w:p w14:paraId="6DA37FC2" w14:textId="5710F7BC"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12" w:history="1">
        <w:r w:rsidRPr="009C3204">
          <w:rPr>
            <w:rStyle w:val="Hyperlink"/>
            <w:noProof/>
          </w:rPr>
          <w:t>7.2.1. Classical Item Difficulty Indices (</w:t>
        </w:r>
        <w:r w:rsidRPr="009C3204">
          <w:rPr>
            <w:rStyle w:val="Hyperlink"/>
            <w:i/>
            <w:noProof/>
          </w:rPr>
          <w:t>p</w:t>
        </w:r>
        <w:r w:rsidRPr="009C3204">
          <w:rPr>
            <w:rStyle w:val="Hyperlink"/>
            <w:noProof/>
          </w:rPr>
          <w:t>-value and Average Item Score)</w:t>
        </w:r>
        <w:r>
          <w:rPr>
            <w:noProof/>
            <w:webHidden/>
          </w:rPr>
          <w:tab/>
        </w:r>
        <w:r>
          <w:rPr>
            <w:noProof/>
            <w:webHidden/>
          </w:rPr>
          <w:fldChar w:fldCharType="begin"/>
        </w:r>
        <w:r>
          <w:rPr>
            <w:noProof/>
            <w:webHidden/>
          </w:rPr>
          <w:instrText xml:space="preserve"> PAGEREF _Toc182555212 \h </w:instrText>
        </w:r>
        <w:r>
          <w:rPr>
            <w:noProof/>
            <w:webHidden/>
          </w:rPr>
        </w:r>
        <w:r>
          <w:rPr>
            <w:noProof/>
            <w:webHidden/>
          </w:rPr>
          <w:fldChar w:fldCharType="separate"/>
        </w:r>
        <w:r w:rsidR="00672C8C">
          <w:rPr>
            <w:noProof/>
            <w:webHidden/>
          </w:rPr>
          <w:t>83</w:t>
        </w:r>
        <w:r>
          <w:rPr>
            <w:noProof/>
            <w:webHidden/>
          </w:rPr>
          <w:fldChar w:fldCharType="end"/>
        </w:r>
      </w:hyperlink>
    </w:p>
    <w:p w14:paraId="34692545" w14:textId="43E78E06"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13" w:history="1">
        <w:r w:rsidRPr="009C3204">
          <w:rPr>
            <w:rStyle w:val="Hyperlink"/>
            <w:noProof/>
          </w:rPr>
          <w:t>7.2.2. Item Discrimination (Item-Total Correlation)</w:t>
        </w:r>
        <w:r>
          <w:rPr>
            <w:noProof/>
            <w:webHidden/>
          </w:rPr>
          <w:tab/>
        </w:r>
        <w:r>
          <w:rPr>
            <w:noProof/>
            <w:webHidden/>
          </w:rPr>
          <w:fldChar w:fldCharType="begin"/>
        </w:r>
        <w:r>
          <w:rPr>
            <w:noProof/>
            <w:webHidden/>
          </w:rPr>
          <w:instrText xml:space="preserve"> PAGEREF _Toc182555213 \h </w:instrText>
        </w:r>
        <w:r>
          <w:rPr>
            <w:noProof/>
            <w:webHidden/>
          </w:rPr>
        </w:r>
        <w:r>
          <w:rPr>
            <w:noProof/>
            <w:webHidden/>
          </w:rPr>
          <w:fldChar w:fldCharType="separate"/>
        </w:r>
        <w:r w:rsidR="00672C8C">
          <w:rPr>
            <w:noProof/>
            <w:webHidden/>
          </w:rPr>
          <w:t>84</w:t>
        </w:r>
        <w:r>
          <w:rPr>
            <w:noProof/>
            <w:webHidden/>
          </w:rPr>
          <w:fldChar w:fldCharType="end"/>
        </w:r>
      </w:hyperlink>
    </w:p>
    <w:p w14:paraId="40C7A235" w14:textId="4087CF36"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14" w:history="1">
        <w:r w:rsidRPr="009C3204">
          <w:rPr>
            <w:rStyle w:val="Hyperlink"/>
            <w:noProof/>
          </w:rPr>
          <w:t>7.2.3. Distribution of Item Scores</w:t>
        </w:r>
        <w:r>
          <w:rPr>
            <w:noProof/>
            <w:webHidden/>
          </w:rPr>
          <w:tab/>
        </w:r>
        <w:r>
          <w:rPr>
            <w:noProof/>
            <w:webHidden/>
          </w:rPr>
          <w:fldChar w:fldCharType="begin"/>
        </w:r>
        <w:r>
          <w:rPr>
            <w:noProof/>
            <w:webHidden/>
          </w:rPr>
          <w:instrText xml:space="preserve"> PAGEREF _Toc182555214 \h </w:instrText>
        </w:r>
        <w:r>
          <w:rPr>
            <w:noProof/>
            <w:webHidden/>
          </w:rPr>
        </w:r>
        <w:r>
          <w:rPr>
            <w:noProof/>
            <w:webHidden/>
          </w:rPr>
          <w:fldChar w:fldCharType="separate"/>
        </w:r>
        <w:r w:rsidR="00672C8C">
          <w:rPr>
            <w:noProof/>
            <w:webHidden/>
          </w:rPr>
          <w:t>85</w:t>
        </w:r>
        <w:r>
          <w:rPr>
            <w:noProof/>
            <w:webHidden/>
          </w:rPr>
          <w:fldChar w:fldCharType="end"/>
        </w:r>
      </w:hyperlink>
    </w:p>
    <w:p w14:paraId="45A69270" w14:textId="100394F7"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15" w:history="1">
        <w:r w:rsidRPr="009C3204">
          <w:rPr>
            <w:rStyle w:val="Hyperlink"/>
            <w:noProof/>
          </w:rPr>
          <w:t>7.2.4. Summary of Classical Item Analysis Flagging Criteria</w:t>
        </w:r>
        <w:r>
          <w:rPr>
            <w:noProof/>
            <w:webHidden/>
          </w:rPr>
          <w:tab/>
        </w:r>
        <w:r>
          <w:rPr>
            <w:noProof/>
            <w:webHidden/>
          </w:rPr>
          <w:fldChar w:fldCharType="begin"/>
        </w:r>
        <w:r>
          <w:rPr>
            <w:noProof/>
            <w:webHidden/>
          </w:rPr>
          <w:instrText xml:space="preserve"> PAGEREF _Toc182555215 \h </w:instrText>
        </w:r>
        <w:r>
          <w:rPr>
            <w:noProof/>
            <w:webHidden/>
          </w:rPr>
        </w:r>
        <w:r>
          <w:rPr>
            <w:noProof/>
            <w:webHidden/>
          </w:rPr>
          <w:fldChar w:fldCharType="separate"/>
        </w:r>
        <w:r w:rsidR="00672C8C">
          <w:rPr>
            <w:noProof/>
            <w:webHidden/>
          </w:rPr>
          <w:t>85</w:t>
        </w:r>
        <w:r>
          <w:rPr>
            <w:noProof/>
            <w:webHidden/>
          </w:rPr>
          <w:fldChar w:fldCharType="end"/>
        </w:r>
      </w:hyperlink>
    </w:p>
    <w:p w14:paraId="224C9B98" w14:textId="1CC3D8F2"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16" w:history="1">
        <w:r w:rsidRPr="009C3204">
          <w:rPr>
            <w:rStyle w:val="Hyperlink"/>
          </w:rPr>
          <w:t>7.3. Omission and Completion Rates</w:t>
        </w:r>
        <w:r>
          <w:rPr>
            <w:webHidden/>
          </w:rPr>
          <w:tab/>
        </w:r>
        <w:r>
          <w:rPr>
            <w:webHidden/>
          </w:rPr>
          <w:fldChar w:fldCharType="begin"/>
        </w:r>
        <w:r>
          <w:rPr>
            <w:webHidden/>
          </w:rPr>
          <w:instrText xml:space="preserve"> PAGEREF _Toc182555216 \h </w:instrText>
        </w:r>
        <w:r>
          <w:rPr>
            <w:webHidden/>
          </w:rPr>
        </w:r>
        <w:r>
          <w:rPr>
            <w:webHidden/>
          </w:rPr>
          <w:fldChar w:fldCharType="separate"/>
        </w:r>
        <w:r w:rsidR="00672C8C">
          <w:rPr>
            <w:webHidden/>
          </w:rPr>
          <w:t>85</w:t>
        </w:r>
        <w:r>
          <w:rPr>
            <w:webHidden/>
          </w:rPr>
          <w:fldChar w:fldCharType="end"/>
        </w:r>
      </w:hyperlink>
    </w:p>
    <w:p w14:paraId="6FF9E5F1" w14:textId="2F21925D"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17" w:history="1">
        <w:r w:rsidRPr="009C3204">
          <w:rPr>
            <w:rStyle w:val="Hyperlink"/>
            <w:noProof/>
          </w:rPr>
          <w:t>7.3.1. Omit Rates</w:t>
        </w:r>
        <w:r>
          <w:rPr>
            <w:noProof/>
            <w:webHidden/>
          </w:rPr>
          <w:tab/>
        </w:r>
        <w:r>
          <w:rPr>
            <w:noProof/>
            <w:webHidden/>
          </w:rPr>
          <w:fldChar w:fldCharType="begin"/>
        </w:r>
        <w:r>
          <w:rPr>
            <w:noProof/>
            <w:webHidden/>
          </w:rPr>
          <w:instrText xml:space="preserve"> PAGEREF _Toc182555217 \h </w:instrText>
        </w:r>
        <w:r>
          <w:rPr>
            <w:noProof/>
            <w:webHidden/>
          </w:rPr>
        </w:r>
        <w:r>
          <w:rPr>
            <w:noProof/>
            <w:webHidden/>
          </w:rPr>
          <w:fldChar w:fldCharType="separate"/>
        </w:r>
        <w:r w:rsidR="00672C8C">
          <w:rPr>
            <w:noProof/>
            <w:webHidden/>
          </w:rPr>
          <w:t>85</w:t>
        </w:r>
        <w:r>
          <w:rPr>
            <w:noProof/>
            <w:webHidden/>
          </w:rPr>
          <w:fldChar w:fldCharType="end"/>
        </w:r>
      </w:hyperlink>
    </w:p>
    <w:p w14:paraId="60F73294" w14:textId="0F010C9F"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18" w:history="1">
        <w:r w:rsidRPr="009C3204">
          <w:rPr>
            <w:rStyle w:val="Hyperlink"/>
            <w:noProof/>
          </w:rPr>
          <w:t>7.3.2. Completion Rates</w:t>
        </w:r>
        <w:r>
          <w:rPr>
            <w:noProof/>
            <w:webHidden/>
          </w:rPr>
          <w:tab/>
        </w:r>
        <w:r>
          <w:rPr>
            <w:noProof/>
            <w:webHidden/>
          </w:rPr>
          <w:fldChar w:fldCharType="begin"/>
        </w:r>
        <w:r>
          <w:rPr>
            <w:noProof/>
            <w:webHidden/>
          </w:rPr>
          <w:instrText xml:space="preserve"> PAGEREF _Toc182555218 \h </w:instrText>
        </w:r>
        <w:r>
          <w:rPr>
            <w:noProof/>
            <w:webHidden/>
          </w:rPr>
        </w:r>
        <w:r>
          <w:rPr>
            <w:noProof/>
            <w:webHidden/>
          </w:rPr>
          <w:fldChar w:fldCharType="separate"/>
        </w:r>
        <w:r w:rsidR="00672C8C">
          <w:rPr>
            <w:noProof/>
            <w:webHidden/>
          </w:rPr>
          <w:t>86</w:t>
        </w:r>
        <w:r>
          <w:rPr>
            <w:noProof/>
            <w:webHidden/>
          </w:rPr>
          <w:fldChar w:fldCharType="end"/>
        </w:r>
      </w:hyperlink>
    </w:p>
    <w:p w14:paraId="065C447E" w14:textId="3829B84A"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19" w:history="1">
        <w:r w:rsidRPr="009C3204">
          <w:rPr>
            <w:rStyle w:val="Hyperlink"/>
          </w:rPr>
          <w:t>7.4. Task Difficulty (Overall and by Embedded Performance Task)</w:t>
        </w:r>
        <w:r>
          <w:rPr>
            <w:webHidden/>
          </w:rPr>
          <w:tab/>
        </w:r>
        <w:r>
          <w:rPr>
            <w:webHidden/>
          </w:rPr>
          <w:fldChar w:fldCharType="begin"/>
        </w:r>
        <w:r>
          <w:rPr>
            <w:webHidden/>
          </w:rPr>
          <w:instrText xml:space="preserve"> PAGEREF _Toc182555219 \h </w:instrText>
        </w:r>
        <w:r>
          <w:rPr>
            <w:webHidden/>
          </w:rPr>
        </w:r>
        <w:r>
          <w:rPr>
            <w:webHidden/>
          </w:rPr>
          <w:fldChar w:fldCharType="separate"/>
        </w:r>
        <w:r w:rsidR="00672C8C">
          <w:rPr>
            <w:webHidden/>
          </w:rPr>
          <w:t>86</w:t>
        </w:r>
        <w:r>
          <w:rPr>
            <w:webHidden/>
          </w:rPr>
          <w:fldChar w:fldCharType="end"/>
        </w:r>
      </w:hyperlink>
    </w:p>
    <w:p w14:paraId="1CBC3865" w14:textId="01F93A93"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20" w:history="1">
        <w:r w:rsidRPr="009C3204">
          <w:rPr>
            <w:rStyle w:val="Hyperlink"/>
            <w:lang w:bidi="en-US"/>
          </w:rPr>
          <w:t>7.5. Differential Item Functioning Analyses</w:t>
        </w:r>
        <w:r>
          <w:rPr>
            <w:webHidden/>
          </w:rPr>
          <w:tab/>
        </w:r>
        <w:r>
          <w:rPr>
            <w:webHidden/>
          </w:rPr>
          <w:fldChar w:fldCharType="begin"/>
        </w:r>
        <w:r>
          <w:rPr>
            <w:webHidden/>
          </w:rPr>
          <w:instrText xml:space="preserve"> PAGEREF _Toc182555220 \h </w:instrText>
        </w:r>
        <w:r>
          <w:rPr>
            <w:webHidden/>
          </w:rPr>
        </w:r>
        <w:r>
          <w:rPr>
            <w:webHidden/>
          </w:rPr>
          <w:fldChar w:fldCharType="separate"/>
        </w:r>
        <w:r w:rsidR="00672C8C">
          <w:rPr>
            <w:webHidden/>
          </w:rPr>
          <w:t>88</w:t>
        </w:r>
        <w:r>
          <w:rPr>
            <w:webHidden/>
          </w:rPr>
          <w:fldChar w:fldCharType="end"/>
        </w:r>
      </w:hyperlink>
    </w:p>
    <w:p w14:paraId="7BCC2B04" w14:textId="600D0792"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21" w:history="1">
        <w:r w:rsidRPr="009C3204">
          <w:rPr>
            <w:rStyle w:val="Hyperlink"/>
            <w:noProof/>
          </w:rPr>
          <w:t>7.5.1. Differential Item Functioning Procedure for Dichotomous Items</w:t>
        </w:r>
        <w:r>
          <w:rPr>
            <w:noProof/>
            <w:webHidden/>
          </w:rPr>
          <w:tab/>
        </w:r>
        <w:r>
          <w:rPr>
            <w:noProof/>
            <w:webHidden/>
          </w:rPr>
          <w:fldChar w:fldCharType="begin"/>
        </w:r>
        <w:r>
          <w:rPr>
            <w:noProof/>
            <w:webHidden/>
          </w:rPr>
          <w:instrText xml:space="preserve"> PAGEREF _Toc182555221 \h </w:instrText>
        </w:r>
        <w:r>
          <w:rPr>
            <w:noProof/>
            <w:webHidden/>
          </w:rPr>
        </w:r>
        <w:r>
          <w:rPr>
            <w:noProof/>
            <w:webHidden/>
          </w:rPr>
          <w:fldChar w:fldCharType="separate"/>
        </w:r>
        <w:r w:rsidR="00672C8C">
          <w:rPr>
            <w:noProof/>
            <w:webHidden/>
          </w:rPr>
          <w:t>88</w:t>
        </w:r>
        <w:r>
          <w:rPr>
            <w:noProof/>
            <w:webHidden/>
          </w:rPr>
          <w:fldChar w:fldCharType="end"/>
        </w:r>
      </w:hyperlink>
    </w:p>
    <w:p w14:paraId="629B3EB9" w14:textId="0C5BE702"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22" w:history="1">
        <w:r w:rsidRPr="009C3204">
          <w:rPr>
            <w:rStyle w:val="Hyperlink"/>
            <w:noProof/>
          </w:rPr>
          <w:t>7.5.2. Differential Item Functioning Procedure for Polytomous Items</w:t>
        </w:r>
        <w:r>
          <w:rPr>
            <w:noProof/>
            <w:webHidden/>
          </w:rPr>
          <w:tab/>
        </w:r>
        <w:r>
          <w:rPr>
            <w:noProof/>
            <w:webHidden/>
          </w:rPr>
          <w:fldChar w:fldCharType="begin"/>
        </w:r>
        <w:r>
          <w:rPr>
            <w:noProof/>
            <w:webHidden/>
          </w:rPr>
          <w:instrText xml:space="preserve"> PAGEREF _Toc182555222 \h </w:instrText>
        </w:r>
        <w:r>
          <w:rPr>
            <w:noProof/>
            <w:webHidden/>
          </w:rPr>
        </w:r>
        <w:r>
          <w:rPr>
            <w:noProof/>
            <w:webHidden/>
          </w:rPr>
          <w:fldChar w:fldCharType="separate"/>
        </w:r>
        <w:r w:rsidR="00672C8C">
          <w:rPr>
            <w:noProof/>
            <w:webHidden/>
          </w:rPr>
          <w:t>89</w:t>
        </w:r>
        <w:r>
          <w:rPr>
            <w:noProof/>
            <w:webHidden/>
          </w:rPr>
          <w:fldChar w:fldCharType="end"/>
        </w:r>
      </w:hyperlink>
    </w:p>
    <w:p w14:paraId="78C22C39" w14:textId="2BCDF53D"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23" w:history="1">
        <w:r w:rsidRPr="009C3204">
          <w:rPr>
            <w:rStyle w:val="Hyperlink"/>
            <w:noProof/>
          </w:rPr>
          <w:t>7.5.3. Differential Item Functioning Categories and Definitions</w:t>
        </w:r>
        <w:r>
          <w:rPr>
            <w:noProof/>
            <w:webHidden/>
          </w:rPr>
          <w:tab/>
        </w:r>
        <w:r>
          <w:rPr>
            <w:noProof/>
            <w:webHidden/>
          </w:rPr>
          <w:fldChar w:fldCharType="begin"/>
        </w:r>
        <w:r>
          <w:rPr>
            <w:noProof/>
            <w:webHidden/>
          </w:rPr>
          <w:instrText xml:space="preserve"> PAGEREF _Toc182555223 \h </w:instrText>
        </w:r>
        <w:r>
          <w:rPr>
            <w:noProof/>
            <w:webHidden/>
          </w:rPr>
        </w:r>
        <w:r>
          <w:rPr>
            <w:noProof/>
            <w:webHidden/>
          </w:rPr>
          <w:fldChar w:fldCharType="separate"/>
        </w:r>
        <w:r w:rsidR="00672C8C">
          <w:rPr>
            <w:noProof/>
            <w:webHidden/>
          </w:rPr>
          <w:t>90</w:t>
        </w:r>
        <w:r>
          <w:rPr>
            <w:noProof/>
            <w:webHidden/>
          </w:rPr>
          <w:fldChar w:fldCharType="end"/>
        </w:r>
      </w:hyperlink>
    </w:p>
    <w:p w14:paraId="4C2791EC" w14:textId="7B42EC21"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25" w:history="1">
        <w:r w:rsidRPr="009C3204">
          <w:rPr>
            <w:rStyle w:val="Hyperlink"/>
            <w:lang w:bidi="en-US"/>
          </w:rPr>
          <w:t>7.6. Item Response Theory Analyses</w:t>
        </w:r>
        <w:r>
          <w:rPr>
            <w:webHidden/>
          </w:rPr>
          <w:tab/>
        </w:r>
        <w:r>
          <w:rPr>
            <w:webHidden/>
          </w:rPr>
          <w:fldChar w:fldCharType="begin"/>
        </w:r>
        <w:r>
          <w:rPr>
            <w:webHidden/>
          </w:rPr>
          <w:instrText xml:space="preserve"> PAGEREF _Toc182555225 \h </w:instrText>
        </w:r>
        <w:r>
          <w:rPr>
            <w:webHidden/>
          </w:rPr>
        </w:r>
        <w:r>
          <w:rPr>
            <w:webHidden/>
          </w:rPr>
          <w:fldChar w:fldCharType="separate"/>
        </w:r>
        <w:r w:rsidR="00672C8C">
          <w:rPr>
            <w:webHidden/>
          </w:rPr>
          <w:t>92</w:t>
        </w:r>
        <w:r>
          <w:rPr>
            <w:webHidden/>
          </w:rPr>
          <w:fldChar w:fldCharType="end"/>
        </w:r>
      </w:hyperlink>
    </w:p>
    <w:p w14:paraId="2515F775" w14:textId="23D0CFC7"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26" w:history="1">
        <w:r w:rsidRPr="009C3204">
          <w:rPr>
            <w:rStyle w:val="Hyperlink"/>
            <w:noProof/>
          </w:rPr>
          <w:t>7.6.1. Item Response Theory Models</w:t>
        </w:r>
        <w:r>
          <w:rPr>
            <w:noProof/>
            <w:webHidden/>
          </w:rPr>
          <w:tab/>
        </w:r>
        <w:r>
          <w:rPr>
            <w:noProof/>
            <w:webHidden/>
          </w:rPr>
          <w:fldChar w:fldCharType="begin"/>
        </w:r>
        <w:r>
          <w:rPr>
            <w:noProof/>
            <w:webHidden/>
          </w:rPr>
          <w:instrText xml:space="preserve"> PAGEREF _Toc182555226 \h </w:instrText>
        </w:r>
        <w:r>
          <w:rPr>
            <w:noProof/>
            <w:webHidden/>
          </w:rPr>
        </w:r>
        <w:r>
          <w:rPr>
            <w:noProof/>
            <w:webHidden/>
          </w:rPr>
          <w:fldChar w:fldCharType="separate"/>
        </w:r>
        <w:r w:rsidR="00672C8C">
          <w:rPr>
            <w:noProof/>
            <w:webHidden/>
          </w:rPr>
          <w:t>92</w:t>
        </w:r>
        <w:r>
          <w:rPr>
            <w:noProof/>
            <w:webHidden/>
          </w:rPr>
          <w:fldChar w:fldCharType="end"/>
        </w:r>
      </w:hyperlink>
    </w:p>
    <w:p w14:paraId="56C30C7C" w14:textId="37F10FA7"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27" w:history="1">
        <w:r w:rsidRPr="009C3204">
          <w:rPr>
            <w:rStyle w:val="Hyperlink"/>
            <w:noProof/>
          </w:rPr>
          <w:t>7.6.2. Item Calibration</w:t>
        </w:r>
        <w:r>
          <w:rPr>
            <w:noProof/>
            <w:webHidden/>
          </w:rPr>
          <w:tab/>
        </w:r>
        <w:r>
          <w:rPr>
            <w:noProof/>
            <w:webHidden/>
          </w:rPr>
          <w:fldChar w:fldCharType="begin"/>
        </w:r>
        <w:r>
          <w:rPr>
            <w:noProof/>
            <w:webHidden/>
          </w:rPr>
          <w:instrText xml:space="preserve"> PAGEREF _Toc182555227 \h </w:instrText>
        </w:r>
        <w:r>
          <w:rPr>
            <w:noProof/>
            <w:webHidden/>
          </w:rPr>
        </w:r>
        <w:r>
          <w:rPr>
            <w:noProof/>
            <w:webHidden/>
          </w:rPr>
          <w:fldChar w:fldCharType="separate"/>
        </w:r>
        <w:r w:rsidR="00672C8C">
          <w:rPr>
            <w:noProof/>
            <w:webHidden/>
          </w:rPr>
          <w:t>92</w:t>
        </w:r>
        <w:r>
          <w:rPr>
            <w:noProof/>
            <w:webHidden/>
          </w:rPr>
          <w:fldChar w:fldCharType="end"/>
        </w:r>
      </w:hyperlink>
    </w:p>
    <w:p w14:paraId="13C2C7BE" w14:textId="0EC2FBBE"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28" w:history="1">
        <w:r w:rsidRPr="009C3204">
          <w:rPr>
            <w:rStyle w:val="Hyperlink"/>
            <w:lang w:bidi="en-US"/>
          </w:rPr>
          <w:t>7.7. Reliability Analyses</w:t>
        </w:r>
        <w:r>
          <w:rPr>
            <w:webHidden/>
          </w:rPr>
          <w:tab/>
        </w:r>
        <w:r>
          <w:rPr>
            <w:webHidden/>
          </w:rPr>
          <w:fldChar w:fldCharType="begin"/>
        </w:r>
        <w:r>
          <w:rPr>
            <w:webHidden/>
          </w:rPr>
          <w:instrText xml:space="preserve"> PAGEREF _Toc182555228 \h </w:instrText>
        </w:r>
        <w:r>
          <w:rPr>
            <w:webHidden/>
          </w:rPr>
        </w:r>
        <w:r>
          <w:rPr>
            <w:webHidden/>
          </w:rPr>
          <w:fldChar w:fldCharType="separate"/>
        </w:r>
        <w:r w:rsidR="00672C8C">
          <w:rPr>
            <w:webHidden/>
          </w:rPr>
          <w:t>94</w:t>
        </w:r>
        <w:r>
          <w:rPr>
            <w:webHidden/>
          </w:rPr>
          <w:fldChar w:fldCharType="end"/>
        </w:r>
      </w:hyperlink>
    </w:p>
    <w:p w14:paraId="32757D92" w14:textId="3DFEC789"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29" w:history="1">
        <w:r w:rsidRPr="009C3204">
          <w:rPr>
            <w:rStyle w:val="Hyperlink"/>
            <w:noProof/>
          </w:rPr>
          <w:t>7.7.1. Internal Consistency Reliability</w:t>
        </w:r>
        <w:r>
          <w:rPr>
            <w:noProof/>
            <w:webHidden/>
          </w:rPr>
          <w:tab/>
        </w:r>
        <w:r>
          <w:rPr>
            <w:noProof/>
            <w:webHidden/>
          </w:rPr>
          <w:fldChar w:fldCharType="begin"/>
        </w:r>
        <w:r>
          <w:rPr>
            <w:noProof/>
            <w:webHidden/>
          </w:rPr>
          <w:instrText xml:space="preserve"> PAGEREF _Toc182555229 \h </w:instrText>
        </w:r>
        <w:r>
          <w:rPr>
            <w:noProof/>
            <w:webHidden/>
          </w:rPr>
        </w:r>
        <w:r>
          <w:rPr>
            <w:noProof/>
            <w:webHidden/>
          </w:rPr>
          <w:fldChar w:fldCharType="separate"/>
        </w:r>
        <w:r w:rsidR="00672C8C">
          <w:rPr>
            <w:noProof/>
            <w:webHidden/>
          </w:rPr>
          <w:t>94</w:t>
        </w:r>
        <w:r>
          <w:rPr>
            <w:noProof/>
            <w:webHidden/>
          </w:rPr>
          <w:fldChar w:fldCharType="end"/>
        </w:r>
      </w:hyperlink>
    </w:p>
    <w:p w14:paraId="605F10B2" w14:textId="1D3609BA"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30" w:history="1">
        <w:r w:rsidRPr="009C3204">
          <w:rPr>
            <w:rStyle w:val="Hyperlink"/>
            <w:noProof/>
          </w:rPr>
          <w:t>7.7.2. Standard Error of Measurement</w:t>
        </w:r>
        <w:r>
          <w:rPr>
            <w:noProof/>
            <w:webHidden/>
          </w:rPr>
          <w:tab/>
        </w:r>
        <w:r>
          <w:rPr>
            <w:noProof/>
            <w:webHidden/>
          </w:rPr>
          <w:fldChar w:fldCharType="begin"/>
        </w:r>
        <w:r>
          <w:rPr>
            <w:noProof/>
            <w:webHidden/>
          </w:rPr>
          <w:instrText xml:space="preserve"> PAGEREF _Toc182555230 \h </w:instrText>
        </w:r>
        <w:r>
          <w:rPr>
            <w:noProof/>
            <w:webHidden/>
          </w:rPr>
        </w:r>
        <w:r>
          <w:rPr>
            <w:noProof/>
            <w:webHidden/>
          </w:rPr>
          <w:fldChar w:fldCharType="separate"/>
        </w:r>
        <w:r w:rsidR="00672C8C">
          <w:rPr>
            <w:noProof/>
            <w:webHidden/>
          </w:rPr>
          <w:t>95</w:t>
        </w:r>
        <w:r>
          <w:rPr>
            <w:noProof/>
            <w:webHidden/>
          </w:rPr>
          <w:fldChar w:fldCharType="end"/>
        </w:r>
      </w:hyperlink>
    </w:p>
    <w:p w14:paraId="3A106185" w14:textId="0109E27A"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31" w:history="1">
        <w:r w:rsidRPr="009C3204">
          <w:rPr>
            <w:rStyle w:val="Hyperlink"/>
            <w:lang w:bidi="en-US"/>
          </w:rPr>
          <w:t>7.8. Validity Evidence</w:t>
        </w:r>
        <w:r>
          <w:rPr>
            <w:webHidden/>
          </w:rPr>
          <w:tab/>
        </w:r>
        <w:r>
          <w:rPr>
            <w:webHidden/>
          </w:rPr>
          <w:fldChar w:fldCharType="begin"/>
        </w:r>
        <w:r>
          <w:rPr>
            <w:webHidden/>
          </w:rPr>
          <w:instrText xml:space="preserve"> PAGEREF _Toc182555231 \h </w:instrText>
        </w:r>
        <w:r>
          <w:rPr>
            <w:webHidden/>
          </w:rPr>
        </w:r>
        <w:r>
          <w:rPr>
            <w:webHidden/>
          </w:rPr>
          <w:fldChar w:fldCharType="separate"/>
        </w:r>
        <w:r w:rsidR="00672C8C">
          <w:rPr>
            <w:webHidden/>
          </w:rPr>
          <w:t>96</w:t>
        </w:r>
        <w:r>
          <w:rPr>
            <w:webHidden/>
          </w:rPr>
          <w:fldChar w:fldCharType="end"/>
        </w:r>
      </w:hyperlink>
    </w:p>
    <w:p w14:paraId="2179F187" w14:textId="1508A2CA"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32" w:history="1">
        <w:r w:rsidRPr="009C3204">
          <w:rPr>
            <w:rStyle w:val="Hyperlink"/>
            <w:noProof/>
          </w:rPr>
          <w:t>7.8.1. Evidence in the Design of the CAA for Science</w:t>
        </w:r>
        <w:r>
          <w:rPr>
            <w:noProof/>
            <w:webHidden/>
          </w:rPr>
          <w:tab/>
        </w:r>
        <w:r>
          <w:rPr>
            <w:noProof/>
            <w:webHidden/>
          </w:rPr>
          <w:fldChar w:fldCharType="begin"/>
        </w:r>
        <w:r>
          <w:rPr>
            <w:noProof/>
            <w:webHidden/>
          </w:rPr>
          <w:instrText xml:space="preserve"> PAGEREF _Toc182555232 \h </w:instrText>
        </w:r>
        <w:r>
          <w:rPr>
            <w:noProof/>
            <w:webHidden/>
          </w:rPr>
        </w:r>
        <w:r>
          <w:rPr>
            <w:noProof/>
            <w:webHidden/>
          </w:rPr>
          <w:fldChar w:fldCharType="separate"/>
        </w:r>
        <w:r w:rsidR="00672C8C">
          <w:rPr>
            <w:noProof/>
            <w:webHidden/>
          </w:rPr>
          <w:t>96</w:t>
        </w:r>
        <w:r>
          <w:rPr>
            <w:noProof/>
            <w:webHidden/>
          </w:rPr>
          <w:fldChar w:fldCharType="end"/>
        </w:r>
      </w:hyperlink>
    </w:p>
    <w:p w14:paraId="5E338316" w14:textId="3189FFA6"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33" w:history="1">
        <w:r w:rsidRPr="009C3204">
          <w:rPr>
            <w:rStyle w:val="Hyperlink"/>
            <w:noProof/>
          </w:rPr>
          <w:t>7.8.2. Evidence Based on Test Content</w:t>
        </w:r>
        <w:r>
          <w:rPr>
            <w:noProof/>
            <w:webHidden/>
          </w:rPr>
          <w:tab/>
        </w:r>
        <w:r>
          <w:rPr>
            <w:noProof/>
            <w:webHidden/>
          </w:rPr>
          <w:fldChar w:fldCharType="begin"/>
        </w:r>
        <w:r>
          <w:rPr>
            <w:noProof/>
            <w:webHidden/>
          </w:rPr>
          <w:instrText xml:space="preserve"> PAGEREF _Toc182555233 \h </w:instrText>
        </w:r>
        <w:r>
          <w:rPr>
            <w:noProof/>
            <w:webHidden/>
          </w:rPr>
        </w:r>
        <w:r>
          <w:rPr>
            <w:noProof/>
            <w:webHidden/>
          </w:rPr>
          <w:fldChar w:fldCharType="separate"/>
        </w:r>
        <w:r w:rsidR="00672C8C">
          <w:rPr>
            <w:noProof/>
            <w:webHidden/>
          </w:rPr>
          <w:t>97</w:t>
        </w:r>
        <w:r>
          <w:rPr>
            <w:noProof/>
            <w:webHidden/>
          </w:rPr>
          <w:fldChar w:fldCharType="end"/>
        </w:r>
      </w:hyperlink>
    </w:p>
    <w:p w14:paraId="7938C1EC" w14:textId="3370BB00"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34" w:history="1">
        <w:r w:rsidRPr="009C3204">
          <w:rPr>
            <w:rStyle w:val="Hyperlink"/>
            <w:noProof/>
          </w:rPr>
          <w:t>7.8.3. Evidence Based on Response Processes</w:t>
        </w:r>
        <w:r>
          <w:rPr>
            <w:noProof/>
            <w:webHidden/>
          </w:rPr>
          <w:tab/>
        </w:r>
        <w:r>
          <w:rPr>
            <w:noProof/>
            <w:webHidden/>
          </w:rPr>
          <w:fldChar w:fldCharType="begin"/>
        </w:r>
        <w:r>
          <w:rPr>
            <w:noProof/>
            <w:webHidden/>
          </w:rPr>
          <w:instrText xml:space="preserve"> PAGEREF _Toc182555234 \h </w:instrText>
        </w:r>
        <w:r>
          <w:rPr>
            <w:noProof/>
            <w:webHidden/>
          </w:rPr>
        </w:r>
        <w:r>
          <w:rPr>
            <w:noProof/>
            <w:webHidden/>
          </w:rPr>
          <w:fldChar w:fldCharType="separate"/>
        </w:r>
        <w:r w:rsidR="00672C8C">
          <w:rPr>
            <w:noProof/>
            <w:webHidden/>
          </w:rPr>
          <w:t>98</w:t>
        </w:r>
        <w:r>
          <w:rPr>
            <w:noProof/>
            <w:webHidden/>
          </w:rPr>
          <w:fldChar w:fldCharType="end"/>
        </w:r>
      </w:hyperlink>
    </w:p>
    <w:p w14:paraId="11748043" w14:textId="2BA2265D"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35" w:history="1">
        <w:r w:rsidRPr="009C3204">
          <w:rPr>
            <w:rStyle w:val="Hyperlink"/>
            <w:noProof/>
          </w:rPr>
          <w:t>7.8.4. Evidence Based on Internal Structure</w:t>
        </w:r>
        <w:r>
          <w:rPr>
            <w:noProof/>
            <w:webHidden/>
          </w:rPr>
          <w:tab/>
        </w:r>
        <w:r>
          <w:rPr>
            <w:noProof/>
            <w:webHidden/>
          </w:rPr>
          <w:fldChar w:fldCharType="begin"/>
        </w:r>
        <w:r>
          <w:rPr>
            <w:noProof/>
            <w:webHidden/>
          </w:rPr>
          <w:instrText xml:space="preserve"> PAGEREF _Toc182555235 \h </w:instrText>
        </w:r>
        <w:r>
          <w:rPr>
            <w:noProof/>
            <w:webHidden/>
          </w:rPr>
        </w:r>
        <w:r>
          <w:rPr>
            <w:noProof/>
            <w:webHidden/>
          </w:rPr>
          <w:fldChar w:fldCharType="separate"/>
        </w:r>
        <w:r w:rsidR="00672C8C">
          <w:rPr>
            <w:noProof/>
            <w:webHidden/>
          </w:rPr>
          <w:t>99</w:t>
        </w:r>
        <w:r>
          <w:rPr>
            <w:noProof/>
            <w:webHidden/>
          </w:rPr>
          <w:fldChar w:fldCharType="end"/>
        </w:r>
      </w:hyperlink>
    </w:p>
    <w:p w14:paraId="3D6931D4" w14:textId="46FB74F3"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36" w:history="1">
        <w:r w:rsidRPr="009C3204">
          <w:rPr>
            <w:rStyle w:val="Hyperlink"/>
            <w:noProof/>
          </w:rPr>
          <w:t>7.8.5. Evidence Based on Relations to Other Variables</w:t>
        </w:r>
        <w:r>
          <w:rPr>
            <w:noProof/>
            <w:webHidden/>
          </w:rPr>
          <w:tab/>
        </w:r>
        <w:r>
          <w:rPr>
            <w:noProof/>
            <w:webHidden/>
          </w:rPr>
          <w:fldChar w:fldCharType="begin"/>
        </w:r>
        <w:r>
          <w:rPr>
            <w:noProof/>
            <w:webHidden/>
          </w:rPr>
          <w:instrText xml:space="preserve"> PAGEREF _Toc182555236 \h </w:instrText>
        </w:r>
        <w:r>
          <w:rPr>
            <w:noProof/>
            <w:webHidden/>
          </w:rPr>
        </w:r>
        <w:r>
          <w:rPr>
            <w:noProof/>
            <w:webHidden/>
          </w:rPr>
          <w:fldChar w:fldCharType="separate"/>
        </w:r>
        <w:r w:rsidR="00672C8C">
          <w:rPr>
            <w:noProof/>
            <w:webHidden/>
          </w:rPr>
          <w:t>99</w:t>
        </w:r>
        <w:r>
          <w:rPr>
            <w:noProof/>
            <w:webHidden/>
          </w:rPr>
          <w:fldChar w:fldCharType="end"/>
        </w:r>
      </w:hyperlink>
    </w:p>
    <w:p w14:paraId="07A9614B" w14:textId="45896F60"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37" w:history="1">
        <w:r w:rsidRPr="009C3204">
          <w:rPr>
            <w:rStyle w:val="Hyperlink"/>
          </w:rPr>
          <w:t>References</w:t>
        </w:r>
        <w:r>
          <w:rPr>
            <w:webHidden/>
          </w:rPr>
          <w:tab/>
        </w:r>
        <w:r>
          <w:rPr>
            <w:webHidden/>
          </w:rPr>
          <w:fldChar w:fldCharType="begin"/>
        </w:r>
        <w:r>
          <w:rPr>
            <w:webHidden/>
          </w:rPr>
          <w:instrText xml:space="preserve"> PAGEREF _Toc182555237 \h </w:instrText>
        </w:r>
        <w:r>
          <w:rPr>
            <w:webHidden/>
          </w:rPr>
        </w:r>
        <w:r>
          <w:rPr>
            <w:webHidden/>
          </w:rPr>
          <w:fldChar w:fldCharType="separate"/>
        </w:r>
        <w:r w:rsidR="00672C8C">
          <w:rPr>
            <w:webHidden/>
          </w:rPr>
          <w:t>100</w:t>
        </w:r>
        <w:r>
          <w:rPr>
            <w:webHidden/>
          </w:rPr>
          <w:fldChar w:fldCharType="end"/>
        </w:r>
      </w:hyperlink>
    </w:p>
    <w:p w14:paraId="08063478" w14:textId="3C0EDA7D"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38" w:history="1">
        <w:r w:rsidRPr="009C3204">
          <w:rPr>
            <w:rStyle w:val="Hyperlink"/>
          </w:rPr>
          <w:t>Accessibility Information</w:t>
        </w:r>
        <w:r>
          <w:rPr>
            <w:webHidden/>
          </w:rPr>
          <w:tab/>
        </w:r>
        <w:r>
          <w:rPr>
            <w:webHidden/>
          </w:rPr>
          <w:fldChar w:fldCharType="begin"/>
        </w:r>
        <w:r>
          <w:rPr>
            <w:webHidden/>
          </w:rPr>
          <w:instrText xml:space="preserve"> PAGEREF _Toc182555238 \h </w:instrText>
        </w:r>
        <w:r>
          <w:rPr>
            <w:webHidden/>
          </w:rPr>
        </w:r>
        <w:r>
          <w:rPr>
            <w:webHidden/>
          </w:rPr>
          <w:fldChar w:fldCharType="separate"/>
        </w:r>
        <w:r w:rsidR="00672C8C">
          <w:rPr>
            <w:webHidden/>
          </w:rPr>
          <w:t>102</w:t>
        </w:r>
        <w:r>
          <w:rPr>
            <w:webHidden/>
          </w:rPr>
          <w:fldChar w:fldCharType="end"/>
        </w:r>
      </w:hyperlink>
    </w:p>
    <w:p w14:paraId="7117983D" w14:textId="764E7277"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39" w:history="1">
        <w:r w:rsidRPr="009C3204">
          <w:rPr>
            <w:rStyle w:val="Hyperlink"/>
            <w:noProof/>
          </w:rPr>
          <w:t>Alternative Text for Equation 7.1</w:t>
        </w:r>
        <w:r>
          <w:rPr>
            <w:noProof/>
            <w:webHidden/>
          </w:rPr>
          <w:tab/>
        </w:r>
        <w:r>
          <w:rPr>
            <w:noProof/>
            <w:webHidden/>
          </w:rPr>
          <w:fldChar w:fldCharType="begin"/>
        </w:r>
        <w:r>
          <w:rPr>
            <w:noProof/>
            <w:webHidden/>
          </w:rPr>
          <w:instrText xml:space="preserve"> PAGEREF _Toc182555239 \h </w:instrText>
        </w:r>
        <w:r>
          <w:rPr>
            <w:noProof/>
            <w:webHidden/>
          </w:rPr>
        </w:r>
        <w:r>
          <w:rPr>
            <w:noProof/>
            <w:webHidden/>
          </w:rPr>
          <w:fldChar w:fldCharType="separate"/>
        </w:r>
        <w:r w:rsidR="00672C8C">
          <w:rPr>
            <w:noProof/>
            <w:webHidden/>
          </w:rPr>
          <w:t>102</w:t>
        </w:r>
        <w:r>
          <w:rPr>
            <w:noProof/>
            <w:webHidden/>
          </w:rPr>
          <w:fldChar w:fldCharType="end"/>
        </w:r>
      </w:hyperlink>
    </w:p>
    <w:p w14:paraId="3138424A" w14:textId="5E191A9F"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40" w:history="1">
        <w:r w:rsidRPr="009C3204">
          <w:rPr>
            <w:rStyle w:val="Hyperlink"/>
            <w:noProof/>
          </w:rPr>
          <w:t>Alternative Text for Equation 7.2</w:t>
        </w:r>
        <w:r>
          <w:rPr>
            <w:noProof/>
            <w:webHidden/>
          </w:rPr>
          <w:tab/>
        </w:r>
        <w:r>
          <w:rPr>
            <w:noProof/>
            <w:webHidden/>
          </w:rPr>
          <w:fldChar w:fldCharType="begin"/>
        </w:r>
        <w:r>
          <w:rPr>
            <w:noProof/>
            <w:webHidden/>
          </w:rPr>
          <w:instrText xml:space="preserve"> PAGEREF _Toc182555240 \h </w:instrText>
        </w:r>
        <w:r>
          <w:rPr>
            <w:noProof/>
            <w:webHidden/>
          </w:rPr>
        </w:r>
        <w:r>
          <w:rPr>
            <w:noProof/>
            <w:webHidden/>
          </w:rPr>
          <w:fldChar w:fldCharType="separate"/>
        </w:r>
        <w:r w:rsidR="00672C8C">
          <w:rPr>
            <w:noProof/>
            <w:webHidden/>
          </w:rPr>
          <w:t>102</w:t>
        </w:r>
        <w:r>
          <w:rPr>
            <w:noProof/>
            <w:webHidden/>
          </w:rPr>
          <w:fldChar w:fldCharType="end"/>
        </w:r>
      </w:hyperlink>
    </w:p>
    <w:p w14:paraId="5653DA89" w14:textId="76C2A8D0"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41" w:history="1">
        <w:r w:rsidRPr="009C3204">
          <w:rPr>
            <w:rStyle w:val="Hyperlink"/>
            <w:noProof/>
          </w:rPr>
          <w:t>Alternative Text for Equation 7.3</w:t>
        </w:r>
        <w:r>
          <w:rPr>
            <w:noProof/>
            <w:webHidden/>
          </w:rPr>
          <w:tab/>
        </w:r>
        <w:r>
          <w:rPr>
            <w:noProof/>
            <w:webHidden/>
          </w:rPr>
          <w:fldChar w:fldCharType="begin"/>
        </w:r>
        <w:r>
          <w:rPr>
            <w:noProof/>
            <w:webHidden/>
          </w:rPr>
          <w:instrText xml:space="preserve"> PAGEREF _Toc182555241 \h </w:instrText>
        </w:r>
        <w:r>
          <w:rPr>
            <w:noProof/>
            <w:webHidden/>
          </w:rPr>
        </w:r>
        <w:r>
          <w:rPr>
            <w:noProof/>
            <w:webHidden/>
          </w:rPr>
          <w:fldChar w:fldCharType="separate"/>
        </w:r>
        <w:r w:rsidR="00672C8C">
          <w:rPr>
            <w:noProof/>
            <w:webHidden/>
          </w:rPr>
          <w:t>102</w:t>
        </w:r>
        <w:r>
          <w:rPr>
            <w:noProof/>
            <w:webHidden/>
          </w:rPr>
          <w:fldChar w:fldCharType="end"/>
        </w:r>
      </w:hyperlink>
    </w:p>
    <w:p w14:paraId="69F3A8D0" w14:textId="3168AE5E"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42" w:history="1">
        <w:r w:rsidRPr="009C3204">
          <w:rPr>
            <w:rStyle w:val="Hyperlink"/>
            <w:noProof/>
          </w:rPr>
          <w:t>Alternative Text for Equation 7.4</w:t>
        </w:r>
        <w:r>
          <w:rPr>
            <w:noProof/>
            <w:webHidden/>
          </w:rPr>
          <w:tab/>
        </w:r>
        <w:r>
          <w:rPr>
            <w:noProof/>
            <w:webHidden/>
          </w:rPr>
          <w:fldChar w:fldCharType="begin"/>
        </w:r>
        <w:r>
          <w:rPr>
            <w:noProof/>
            <w:webHidden/>
          </w:rPr>
          <w:instrText xml:space="preserve"> PAGEREF _Toc182555242 \h </w:instrText>
        </w:r>
        <w:r>
          <w:rPr>
            <w:noProof/>
            <w:webHidden/>
          </w:rPr>
        </w:r>
        <w:r>
          <w:rPr>
            <w:noProof/>
            <w:webHidden/>
          </w:rPr>
          <w:fldChar w:fldCharType="separate"/>
        </w:r>
        <w:r w:rsidR="00672C8C">
          <w:rPr>
            <w:noProof/>
            <w:webHidden/>
          </w:rPr>
          <w:t>102</w:t>
        </w:r>
        <w:r>
          <w:rPr>
            <w:noProof/>
            <w:webHidden/>
          </w:rPr>
          <w:fldChar w:fldCharType="end"/>
        </w:r>
      </w:hyperlink>
    </w:p>
    <w:p w14:paraId="43A014BF" w14:textId="48C782AF"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43" w:history="1">
        <w:r w:rsidRPr="009C3204">
          <w:rPr>
            <w:rStyle w:val="Hyperlink"/>
            <w:noProof/>
          </w:rPr>
          <w:t>Alternative Text for Equation 7.5</w:t>
        </w:r>
        <w:r>
          <w:rPr>
            <w:noProof/>
            <w:webHidden/>
          </w:rPr>
          <w:tab/>
        </w:r>
        <w:r>
          <w:rPr>
            <w:noProof/>
            <w:webHidden/>
          </w:rPr>
          <w:fldChar w:fldCharType="begin"/>
        </w:r>
        <w:r>
          <w:rPr>
            <w:noProof/>
            <w:webHidden/>
          </w:rPr>
          <w:instrText xml:space="preserve"> PAGEREF _Toc182555243 \h </w:instrText>
        </w:r>
        <w:r>
          <w:rPr>
            <w:noProof/>
            <w:webHidden/>
          </w:rPr>
        </w:r>
        <w:r>
          <w:rPr>
            <w:noProof/>
            <w:webHidden/>
          </w:rPr>
          <w:fldChar w:fldCharType="separate"/>
        </w:r>
        <w:r w:rsidR="00672C8C">
          <w:rPr>
            <w:noProof/>
            <w:webHidden/>
          </w:rPr>
          <w:t>102</w:t>
        </w:r>
        <w:r>
          <w:rPr>
            <w:noProof/>
            <w:webHidden/>
          </w:rPr>
          <w:fldChar w:fldCharType="end"/>
        </w:r>
      </w:hyperlink>
    </w:p>
    <w:p w14:paraId="6F48AD6A" w14:textId="655EF7FF"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44" w:history="1">
        <w:r w:rsidRPr="009C3204">
          <w:rPr>
            <w:rStyle w:val="Hyperlink"/>
            <w:noProof/>
          </w:rPr>
          <w:t>Alternative Text for Equation 7.6</w:t>
        </w:r>
        <w:r>
          <w:rPr>
            <w:noProof/>
            <w:webHidden/>
          </w:rPr>
          <w:tab/>
        </w:r>
        <w:r>
          <w:rPr>
            <w:noProof/>
            <w:webHidden/>
          </w:rPr>
          <w:fldChar w:fldCharType="begin"/>
        </w:r>
        <w:r>
          <w:rPr>
            <w:noProof/>
            <w:webHidden/>
          </w:rPr>
          <w:instrText xml:space="preserve"> PAGEREF _Toc182555244 \h </w:instrText>
        </w:r>
        <w:r>
          <w:rPr>
            <w:noProof/>
            <w:webHidden/>
          </w:rPr>
        </w:r>
        <w:r>
          <w:rPr>
            <w:noProof/>
            <w:webHidden/>
          </w:rPr>
          <w:fldChar w:fldCharType="separate"/>
        </w:r>
        <w:r w:rsidR="00672C8C">
          <w:rPr>
            <w:noProof/>
            <w:webHidden/>
          </w:rPr>
          <w:t>102</w:t>
        </w:r>
        <w:r>
          <w:rPr>
            <w:noProof/>
            <w:webHidden/>
          </w:rPr>
          <w:fldChar w:fldCharType="end"/>
        </w:r>
      </w:hyperlink>
    </w:p>
    <w:p w14:paraId="5231A707" w14:textId="1C1C4F91"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45" w:history="1">
        <w:r w:rsidRPr="009C3204">
          <w:rPr>
            <w:rStyle w:val="Hyperlink"/>
            <w:noProof/>
          </w:rPr>
          <w:t>Alternative Text for Equation 7.7</w:t>
        </w:r>
        <w:r>
          <w:rPr>
            <w:noProof/>
            <w:webHidden/>
          </w:rPr>
          <w:tab/>
        </w:r>
        <w:r>
          <w:rPr>
            <w:noProof/>
            <w:webHidden/>
          </w:rPr>
          <w:fldChar w:fldCharType="begin"/>
        </w:r>
        <w:r>
          <w:rPr>
            <w:noProof/>
            <w:webHidden/>
          </w:rPr>
          <w:instrText xml:space="preserve"> PAGEREF _Toc182555245 \h </w:instrText>
        </w:r>
        <w:r>
          <w:rPr>
            <w:noProof/>
            <w:webHidden/>
          </w:rPr>
        </w:r>
        <w:r>
          <w:rPr>
            <w:noProof/>
            <w:webHidden/>
          </w:rPr>
          <w:fldChar w:fldCharType="separate"/>
        </w:r>
        <w:r w:rsidR="00672C8C">
          <w:rPr>
            <w:noProof/>
            <w:webHidden/>
          </w:rPr>
          <w:t>102</w:t>
        </w:r>
        <w:r>
          <w:rPr>
            <w:noProof/>
            <w:webHidden/>
          </w:rPr>
          <w:fldChar w:fldCharType="end"/>
        </w:r>
      </w:hyperlink>
    </w:p>
    <w:p w14:paraId="55E1AA8F" w14:textId="71335E56"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46" w:history="1">
        <w:r w:rsidRPr="009C3204">
          <w:rPr>
            <w:rStyle w:val="Hyperlink"/>
            <w:noProof/>
          </w:rPr>
          <w:t>Alternative Text for Equation 7.8</w:t>
        </w:r>
        <w:r>
          <w:rPr>
            <w:noProof/>
            <w:webHidden/>
          </w:rPr>
          <w:tab/>
        </w:r>
        <w:r>
          <w:rPr>
            <w:noProof/>
            <w:webHidden/>
          </w:rPr>
          <w:fldChar w:fldCharType="begin"/>
        </w:r>
        <w:r>
          <w:rPr>
            <w:noProof/>
            <w:webHidden/>
          </w:rPr>
          <w:instrText xml:space="preserve"> PAGEREF _Toc182555246 \h </w:instrText>
        </w:r>
        <w:r>
          <w:rPr>
            <w:noProof/>
            <w:webHidden/>
          </w:rPr>
        </w:r>
        <w:r>
          <w:rPr>
            <w:noProof/>
            <w:webHidden/>
          </w:rPr>
          <w:fldChar w:fldCharType="separate"/>
        </w:r>
        <w:r w:rsidR="00672C8C">
          <w:rPr>
            <w:noProof/>
            <w:webHidden/>
          </w:rPr>
          <w:t>103</w:t>
        </w:r>
        <w:r>
          <w:rPr>
            <w:noProof/>
            <w:webHidden/>
          </w:rPr>
          <w:fldChar w:fldCharType="end"/>
        </w:r>
      </w:hyperlink>
    </w:p>
    <w:p w14:paraId="4D5902D2" w14:textId="4E0989C2"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47" w:history="1">
        <w:r w:rsidRPr="009C3204">
          <w:rPr>
            <w:rStyle w:val="Hyperlink"/>
            <w:noProof/>
          </w:rPr>
          <w:t>Alternative Text for Equation 7.9</w:t>
        </w:r>
        <w:r>
          <w:rPr>
            <w:noProof/>
            <w:webHidden/>
          </w:rPr>
          <w:tab/>
        </w:r>
        <w:r>
          <w:rPr>
            <w:noProof/>
            <w:webHidden/>
          </w:rPr>
          <w:fldChar w:fldCharType="begin"/>
        </w:r>
        <w:r>
          <w:rPr>
            <w:noProof/>
            <w:webHidden/>
          </w:rPr>
          <w:instrText xml:space="preserve"> PAGEREF _Toc182555247 \h </w:instrText>
        </w:r>
        <w:r>
          <w:rPr>
            <w:noProof/>
            <w:webHidden/>
          </w:rPr>
        </w:r>
        <w:r>
          <w:rPr>
            <w:noProof/>
            <w:webHidden/>
          </w:rPr>
          <w:fldChar w:fldCharType="separate"/>
        </w:r>
        <w:r w:rsidR="00672C8C">
          <w:rPr>
            <w:noProof/>
            <w:webHidden/>
          </w:rPr>
          <w:t>103</w:t>
        </w:r>
        <w:r>
          <w:rPr>
            <w:noProof/>
            <w:webHidden/>
          </w:rPr>
          <w:fldChar w:fldCharType="end"/>
        </w:r>
      </w:hyperlink>
    </w:p>
    <w:p w14:paraId="6ACE0814" w14:textId="5865C8D6"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48" w:history="1">
        <w:r w:rsidRPr="009C3204">
          <w:rPr>
            <w:rStyle w:val="Hyperlink"/>
            <w:noProof/>
          </w:rPr>
          <w:t>Alternative Text for Equation 7.10</w:t>
        </w:r>
        <w:r>
          <w:rPr>
            <w:noProof/>
            <w:webHidden/>
          </w:rPr>
          <w:tab/>
        </w:r>
        <w:r>
          <w:rPr>
            <w:noProof/>
            <w:webHidden/>
          </w:rPr>
          <w:fldChar w:fldCharType="begin"/>
        </w:r>
        <w:r>
          <w:rPr>
            <w:noProof/>
            <w:webHidden/>
          </w:rPr>
          <w:instrText xml:space="preserve"> PAGEREF _Toc182555248 \h </w:instrText>
        </w:r>
        <w:r>
          <w:rPr>
            <w:noProof/>
            <w:webHidden/>
          </w:rPr>
        </w:r>
        <w:r>
          <w:rPr>
            <w:noProof/>
            <w:webHidden/>
          </w:rPr>
          <w:fldChar w:fldCharType="separate"/>
        </w:r>
        <w:r w:rsidR="00672C8C">
          <w:rPr>
            <w:noProof/>
            <w:webHidden/>
          </w:rPr>
          <w:t>103</w:t>
        </w:r>
        <w:r>
          <w:rPr>
            <w:noProof/>
            <w:webHidden/>
          </w:rPr>
          <w:fldChar w:fldCharType="end"/>
        </w:r>
      </w:hyperlink>
    </w:p>
    <w:p w14:paraId="7D18E6A4" w14:textId="3EC16DCC" w:rsidR="00CA4A9A" w:rsidRDefault="00CA4A9A">
      <w:pPr>
        <w:pStyle w:val="TOC1"/>
        <w:rPr>
          <w:rFonts w:asciiTheme="minorHAnsi" w:eastAsiaTheme="minorEastAsia" w:hAnsiTheme="minorHAnsi" w:cstheme="minorBidi"/>
          <w:b w:val="0"/>
          <w:color w:val="auto"/>
          <w:kern w:val="2"/>
          <w:sz w:val="22"/>
          <w:szCs w:val="22"/>
          <w14:ligatures w14:val="standardContextual"/>
        </w:rPr>
      </w:pPr>
      <w:hyperlink w:anchor="_Toc182555249" w:history="1">
        <w:r w:rsidRPr="009C3204">
          <w:rPr>
            <w:rStyle w:val="Hyperlink"/>
          </w:rPr>
          <w:t>Chapter 8: Surveys</w:t>
        </w:r>
        <w:r>
          <w:rPr>
            <w:webHidden/>
          </w:rPr>
          <w:tab/>
        </w:r>
        <w:r>
          <w:rPr>
            <w:webHidden/>
          </w:rPr>
          <w:fldChar w:fldCharType="begin"/>
        </w:r>
        <w:r>
          <w:rPr>
            <w:webHidden/>
          </w:rPr>
          <w:instrText xml:space="preserve"> PAGEREF _Toc182555249 \h </w:instrText>
        </w:r>
        <w:r>
          <w:rPr>
            <w:webHidden/>
          </w:rPr>
        </w:r>
        <w:r>
          <w:rPr>
            <w:webHidden/>
          </w:rPr>
          <w:fldChar w:fldCharType="separate"/>
        </w:r>
        <w:r w:rsidR="00672C8C">
          <w:rPr>
            <w:webHidden/>
          </w:rPr>
          <w:t>104</w:t>
        </w:r>
        <w:r>
          <w:rPr>
            <w:webHidden/>
          </w:rPr>
          <w:fldChar w:fldCharType="end"/>
        </w:r>
      </w:hyperlink>
    </w:p>
    <w:p w14:paraId="3F5519B0" w14:textId="657C14E1"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50" w:history="1">
        <w:r w:rsidRPr="009C3204">
          <w:rPr>
            <w:rStyle w:val="Hyperlink"/>
            <w:lang w:bidi="en-US"/>
          </w:rPr>
          <w:t>8.1.</w:t>
        </w:r>
        <w:r w:rsidRPr="009C3204">
          <w:rPr>
            <w:rStyle w:val="Hyperlink"/>
          </w:rPr>
          <w:t xml:space="preserve"> Survey </w:t>
        </w:r>
        <w:r w:rsidRPr="009C3204">
          <w:rPr>
            <w:rStyle w:val="Hyperlink"/>
            <w:lang w:bidi="en-US"/>
          </w:rPr>
          <w:t>Design and Development</w:t>
        </w:r>
        <w:r>
          <w:rPr>
            <w:webHidden/>
          </w:rPr>
          <w:tab/>
        </w:r>
        <w:r>
          <w:rPr>
            <w:webHidden/>
          </w:rPr>
          <w:fldChar w:fldCharType="begin"/>
        </w:r>
        <w:r>
          <w:rPr>
            <w:webHidden/>
          </w:rPr>
          <w:instrText xml:space="preserve"> PAGEREF _Toc182555250 \h </w:instrText>
        </w:r>
        <w:r>
          <w:rPr>
            <w:webHidden/>
          </w:rPr>
        </w:r>
        <w:r>
          <w:rPr>
            <w:webHidden/>
          </w:rPr>
          <w:fldChar w:fldCharType="separate"/>
        </w:r>
        <w:r w:rsidR="00672C8C">
          <w:rPr>
            <w:webHidden/>
          </w:rPr>
          <w:t>104</w:t>
        </w:r>
        <w:r>
          <w:rPr>
            <w:webHidden/>
          </w:rPr>
          <w:fldChar w:fldCharType="end"/>
        </w:r>
      </w:hyperlink>
    </w:p>
    <w:p w14:paraId="3EC7555F" w14:textId="6A564E08"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51" w:history="1">
        <w:r w:rsidRPr="009C3204">
          <w:rPr>
            <w:rStyle w:val="Hyperlink"/>
            <w:noProof/>
            <w:lang w:bidi="en-US"/>
          </w:rPr>
          <w:t>8.1.1. Survey on the Test Administration</w:t>
        </w:r>
        <w:r>
          <w:rPr>
            <w:noProof/>
            <w:webHidden/>
          </w:rPr>
          <w:tab/>
        </w:r>
        <w:r>
          <w:rPr>
            <w:noProof/>
            <w:webHidden/>
          </w:rPr>
          <w:fldChar w:fldCharType="begin"/>
        </w:r>
        <w:r>
          <w:rPr>
            <w:noProof/>
            <w:webHidden/>
          </w:rPr>
          <w:instrText xml:space="preserve"> PAGEREF _Toc182555251 \h </w:instrText>
        </w:r>
        <w:r>
          <w:rPr>
            <w:noProof/>
            <w:webHidden/>
          </w:rPr>
        </w:r>
        <w:r>
          <w:rPr>
            <w:noProof/>
            <w:webHidden/>
          </w:rPr>
          <w:fldChar w:fldCharType="separate"/>
        </w:r>
        <w:r w:rsidR="00672C8C">
          <w:rPr>
            <w:noProof/>
            <w:webHidden/>
          </w:rPr>
          <w:t>104</w:t>
        </w:r>
        <w:r>
          <w:rPr>
            <w:noProof/>
            <w:webHidden/>
          </w:rPr>
          <w:fldChar w:fldCharType="end"/>
        </w:r>
      </w:hyperlink>
    </w:p>
    <w:p w14:paraId="0022EE97" w14:textId="49101303" w:rsidR="00CA4A9A" w:rsidRDefault="00CA4A9A">
      <w:pPr>
        <w:pStyle w:val="TOC1"/>
        <w:rPr>
          <w:rFonts w:asciiTheme="minorHAnsi" w:eastAsiaTheme="minorEastAsia" w:hAnsiTheme="minorHAnsi" w:cstheme="minorBidi"/>
          <w:b w:val="0"/>
          <w:color w:val="auto"/>
          <w:kern w:val="2"/>
          <w:sz w:val="22"/>
          <w:szCs w:val="22"/>
          <w14:ligatures w14:val="standardContextual"/>
        </w:rPr>
      </w:pPr>
      <w:hyperlink w:anchor="_Toc182555252" w:history="1">
        <w:r w:rsidRPr="009C3204">
          <w:rPr>
            <w:rStyle w:val="Hyperlink"/>
          </w:rPr>
          <w:t>Chapter 9: Quality Control Procedures</w:t>
        </w:r>
        <w:r>
          <w:rPr>
            <w:webHidden/>
          </w:rPr>
          <w:tab/>
        </w:r>
        <w:r>
          <w:rPr>
            <w:webHidden/>
          </w:rPr>
          <w:fldChar w:fldCharType="begin"/>
        </w:r>
        <w:r>
          <w:rPr>
            <w:webHidden/>
          </w:rPr>
          <w:instrText xml:space="preserve"> PAGEREF _Toc182555252 \h </w:instrText>
        </w:r>
        <w:r>
          <w:rPr>
            <w:webHidden/>
          </w:rPr>
        </w:r>
        <w:r>
          <w:rPr>
            <w:webHidden/>
          </w:rPr>
          <w:fldChar w:fldCharType="separate"/>
        </w:r>
        <w:r w:rsidR="00672C8C">
          <w:rPr>
            <w:webHidden/>
          </w:rPr>
          <w:t>106</w:t>
        </w:r>
        <w:r>
          <w:rPr>
            <w:webHidden/>
          </w:rPr>
          <w:fldChar w:fldCharType="end"/>
        </w:r>
      </w:hyperlink>
    </w:p>
    <w:p w14:paraId="5727B87F" w14:textId="4452CED3"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53" w:history="1">
        <w:r w:rsidRPr="009C3204">
          <w:rPr>
            <w:rStyle w:val="Hyperlink"/>
          </w:rPr>
          <w:t>9.1. Quality Control of Embedded Performance Task Development</w:t>
        </w:r>
        <w:r>
          <w:rPr>
            <w:webHidden/>
          </w:rPr>
          <w:tab/>
        </w:r>
        <w:r>
          <w:rPr>
            <w:webHidden/>
          </w:rPr>
          <w:fldChar w:fldCharType="begin"/>
        </w:r>
        <w:r>
          <w:rPr>
            <w:webHidden/>
          </w:rPr>
          <w:instrText xml:space="preserve"> PAGEREF _Toc182555253 \h </w:instrText>
        </w:r>
        <w:r>
          <w:rPr>
            <w:webHidden/>
          </w:rPr>
        </w:r>
        <w:r>
          <w:rPr>
            <w:webHidden/>
          </w:rPr>
          <w:fldChar w:fldCharType="separate"/>
        </w:r>
        <w:r w:rsidR="00672C8C">
          <w:rPr>
            <w:webHidden/>
          </w:rPr>
          <w:t>106</w:t>
        </w:r>
        <w:r>
          <w:rPr>
            <w:webHidden/>
          </w:rPr>
          <w:fldChar w:fldCharType="end"/>
        </w:r>
      </w:hyperlink>
    </w:p>
    <w:p w14:paraId="29DDCF55" w14:textId="1FF32B29"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54" w:history="1">
        <w:r w:rsidRPr="009C3204">
          <w:rPr>
            <w:rStyle w:val="Hyperlink"/>
          </w:rPr>
          <w:t>9.2. Quality Control of Test Assembly and Delivery</w:t>
        </w:r>
        <w:r>
          <w:rPr>
            <w:webHidden/>
          </w:rPr>
          <w:tab/>
        </w:r>
        <w:r>
          <w:rPr>
            <w:webHidden/>
          </w:rPr>
          <w:fldChar w:fldCharType="begin"/>
        </w:r>
        <w:r>
          <w:rPr>
            <w:webHidden/>
          </w:rPr>
          <w:instrText xml:space="preserve"> PAGEREF _Toc182555254 \h </w:instrText>
        </w:r>
        <w:r>
          <w:rPr>
            <w:webHidden/>
          </w:rPr>
        </w:r>
        <w:r>
          <w:rPr>
            <w:webHidden/>
          </w:rPr>
          <w:fldChar w:fldCharType="separate"/>
        </w:r>
        <w:r w:rsidR="00672C8C">
          <w:rPr>
            <w:webHidden/>
          </w:rPr>
          <w:t>106</w:t>
        </w:r>
        <w:r>
          <w:rPr>
            <w:webHidden/>
          </w:rPr>
          <w:fldChar w:fldCharType="end"/>
        </w:r>
      </w:hyperlink>
    </w:p>
    <w:p w14:paraId="3D67C705" w14:textId="71CD240C"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55" w:history="1">
        <w:r w:rsidRPr="009C3204">
          <w:rPr>
            <w:rStyle w:val="Hyperlink"/>
            <w:noProof/>
          </w:rPr>
          <w:t>9.2.1. Quality Control of Test Form Development</w:t>
        </w:r>
        <w:r>
          <w:rPr>
            <w:noProof/>
            <w:webHidden/>
          </w:rPr>
          <w:tab/>
        </w:r>
        <w:r>
          <w:rPr>
            <w:noProof/>
            <w:webHidden/>
          </w:rPr>
          <w:fldChar w:fldCharType="begin"/>
        </w:r>
        <w:r>
          <w:rPr>
            <w:noProof/>
            <w:webHidden/>
          </w:rPr>
          <w:instrText xml:space="preserve"> PAGEREF _Toc182555255 \h </w:instrText>
        </w:r>
        <w:r>
          <w:rPr>
            <w:noProof/>
            <w:webHidden/>
          </w:rPr>
        </w:r>
        <w:r>
          <w:rPr>
            <w:noProof/>
            <w:webHidden/>
          </w:rPr>
          <w:fldChar w:fldCharType="separate"/>
        </w:r>
        <w:r w:rsidR="00672C8C">
          <w:rPr>
            <w:noProof/>
            <w:webHidden/>
          </w:rPr>
          <w:t>106</w:t>
        </w:r>
        <w:r>
          <w:rPr>
            <w:noProof/>
            <w:webHidden/>
          </w:rPr>
          <w:fldChar w:fldCharType="end"/>
        </w:r>
      </w:hyperlink>
    </w:p>
    <w:p w14:paraId="514AEE2C" w14:textId="7CB43DC2"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56" w:history="1">
        <w:r w:rsidRPr="009C3204">
          <w:rPr>
            <w:rStyle w:val="Hyperlink"/>
            <w:noProof/>
          </w:rPr>
          <w:t>9.2.2. Quality Control of Test Assignment</w:t>
        </w:r>
        <w:r>
          <w:rPr>
            <w:noProof/>
            <w:webHidden/>
          </w:rPr>
          <w:tab/>
        </w:r>
        <w:r>
          <w:rPr>
            <w:noProof/>
            <w:webHidden/>
          </w:rPr>
          <w:fldChar w:fldCharType="begin"/>
        </w:r>
        <w:r>
          <w:rPr>
            <w:noProof/>
            <w:webHidden/>
          </w:rPr>
          <w:instrText xml:space="preserve"> PAGEREF _Toc182555256 \h </w:instrText>
        </w:r>
        <w:r>
          <w:rPr>
            <w:noProof/>
            <w:webHidden/>
          </w:rPr>
        </w:r>
        <w:r>
          <w:rPr>
            <w:noProof/>
            <w:webHidden/>
          </w:rPr>
          <w:fldChar w:fldCharType="separate"/>
        </w:r>
        <w:r w:rsidR="00672C8C">
          <w:rPr>
            <w:noProof/>
            <w:webHidden/>
          </w:rPr>
          <w:t>107</w:t>
        </w:r>
        <w:r>
          <w:rPr>
            <w:noProof/>
            <w:webHidden/>
          </w:rPr>
          <w:fldChar w:fldCharType="end"/>
        </w:r>
      </w:hyperlink>
    </w:p>
    <w:p w14:paraId="429FE247" w14:textId="6390A95F"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57" w:history="1">
        <w:r w:rsidRPr="009C3204">
          <w:rPr>
            <w:rStyle w:val="Hyperlink"/>
            <w:noProof/>
          </w:rPr>
          <w:t>9.2.3. Quality Control of Test Administration</w:t>
        </w:r>
        <w:r>
          <w:rPr>
            <w:noProof/>
            <w:webHidden/>
          </w:rPr>
          <w:tab/>
        </w:r>
        <w:r>
          <w:rPr>
            <w:noProof/>
            <w:webHidden/>
          </w:rPr>
          <w:fldChar w:fldCharType="begin"/>
        </w:r>
        <w:r>
          <w:rPr>
            <w:noProof/>
            <w:webHidden/>
          </w:rPr>
          <w:instrText xml:space="preserve"> PAGEREF _Toc182555257 \h </w:instrText>
        </w:r>
        <w:r>
          <w:rPr>
            <w:noProof/>
            <w:webHidden/>
          </w:rPr>
        </w:r>
        <w:r>
          <w:rPr>
            <w:noProof/>
            <w:webHidden/>
          </w:rPr>
          <w:fldChar w:fldCharType="separate"/>
        </w:r>
        <w:r w:rsidR="00672C8C">
          <w:rPr>
            <w:noProof/>
            <w:webHidden/>
          </w:rPr>
          <w:t>108</w:t>
        </w:r>
        <w:r>
          <w:rPr>
            <w:noProof/>
            <w:webHidden/>
          </w:rPr>
          <w:fldChar w:fldCharType="end"/>
        </w:r>
      </w:hyperlink>
    </w:p>
    <w:p w14:paraId="0AB8A4E6" w14:textId="4FAACCAC"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58" w:history="1">
        <w:r w:rsidRPr="009C3204">
          <w:rPr>
            <w:rStyle w:val="Hyperlink"/>
            <w:noProof/>
          </w:rPr>
          <w:t>9.2.4. Quality Control of Machine-Scoring Procedures</w:t>
        </w:r>
        <w:r>
          <w:rPr>
            <w:noProof/>
            <w:webHidden/>
          </w:rPr>
          <w:tab/>
        </w:r>
        <w:r>
          <w:rPr>
            <w:noProof/>
            <w:webHidden/>
          </w:rPr>
          <w:fldChar w:fldCharType="begin"/>
        </w:r>
        <w:r>
          <w:rPr>
            <w:noProof/>
            <w:webHidden/>
          </w:rPr>
          <w:instrText xml:space="preserve"> PAGEREF _Toc182555258 \h </w:instrText>
        </w:r>
        <w:r>
          <w:rPr>
            <w:noProof/>
            <w:webHidden/>
          </w:rPr>
        </w:r>
        <w:r>
          <w:rPr>
            <w:noProof/>
            <w:webHidden/>
          </w:rPr>
          <w:fldChar w:fldCharType="separate"/>
        </w:r>
        <w:r w:rsidR="00672C8C">
          <w:rPr>
            <w:noProof/>
            <w:webHidden/>
          </w:rPr>
          <w:t>108</w:t>
        </w:r>
        <w:r>
          <w:rPr>
            <w:noProof/>
            <w:webHidden/>
          </w:rPr>
          <w:fldChar w:fldCharType="end"/>
        </w:r>
      </w:hyperlink>
    </w:p>
    <w:p w14:paraId="689ABCA1" w14:textId="7C7013D6"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59" w:history="1">
        <w:r w:rsidRPr="009C3204">
          <w:rPr>
            <w:rStyle w:val="Hyperlink"/>
          </w:rPr>
          <w:t>9.3. Quality Control of Test Materials</w:t>
        </w:r>
        <w:r>
          <w:rPr>
            <w:webHidden/>
          </w:rPr>
          <w:tab/>
        </w:r>
        <w:r>
          <w:rPr>
            <w:webHidden/>
          </w:rPr>
          <w:fldChar w:fldCharType="begin"/>
        </w:r>
        <w:r>
          <w:rPr>
            <w:webHidden/>
          </w:rPr>
          <w:instrText xml:space="preserve"> PAGEREF _Toc182555259 \h </w:instrText>
        </w:r>
        <w:r>
          <w:rPr>
            <w:webHidden/>
          </w:rPr>
        </w:r>
        <w:r>
          <w:rPr>
            <w:webHidden/>
          </w:rPr>
          <w:fldChar w:fldCharType="separate"/>
        </w:r>
        <w:r w:rsidR="00672C8C">
          <w:rPr>
            <w:webHidden/>
          </w:rPr>
          <w:t>108</w:t>
        </w:r>
        <w:r>
          <w:rPr>
            <w:webHidden/>
          </w:rPr>
          <w:fldChar w:fldCharType="end"/>
        </w:r>
      </w:hyperlink>
    </w:p>
    <w:p w14:paraId="13436BB8" w14:textId="2ADDF20D"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60" w:history="1">
        <w:r w:rsidRPr="009C3204">
          <w:rPr>
            <w:rStyle w:val="Hyperlink"/>
            <w:noProof/>
          </w:rPr>
          <w:t>9.3.1. Test Administration Manuals</w:t>
        </w:r>
        <w:r>
          <w:rPr>
            <w:noProof/>
            <w:webHidden/>
          </w:rPr>
          <w:tab/>
        </w:r>
        <w:r>
          <w:rPr>
            <w:noProof/>
            <w:webHidden/>
          </w:rPr>
          <w:fldChar w:fldCharType="begin"/>
        </w:r>
        <w:r>
          <w:rPr>
            <w:noProof/>
            <w:webHidden/>
          </w:rPr>
          <w:instrText xml:space="preserve"> PAGEREF _Toc182555260 \h </w:instrText>
        </w:r>
        <w:r>
          <w:rPr>
            <w:noProof/>
            <w:webHidden/>
          </w:rPr>
        </w:r>
        <w:r>
          <w:rPr>
            <w:noProof/>
            <w:webHidden/>
          </w:rPr>
          <w:fldChar w:fldCharType="separate"/>
        </w:r>
        <w:r w:rsidR="00672C8C">
          <w:rPr>
            <w:noProof/>
            <w:webHidden/>
          </w:rPr>
          <w:t>108</w:t>
        </w:r>
        <w:r>
          <w:rPr>
            <w:noProof/>
            <w:webHidden/>
          </w:rPr>
          <w:fldChar w:fldCharType="end"/>
        </w:r>
      </w:hyperlink>
    </w:p>
    <w:p w14:paraId="1C8835A8" w14:textId="157E9079"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61" w:history="1">
        <w:r w:rsidRPr="009C3204">
          <w:rPr>
            <w:rStyle w:val="Hyperlink"/>
            <w:noProof/>
          </w:rPr>
          <w:t>9.3.2. Processing Test Materials</w:t>
        </w:r>
        <w:r>
          <w:rPr>
            <w:noProof/>
            <w:webHidden/>
          </w:rPr>
          <w:tab/>
        </w:r>
        <w:r>
          <w:rPr>
            <w:noProof/>
            <w:webHidden/>
          </w:rPr>
          <w:fldChar w:fldCharType="begin"/>
        </w:r>
        <w:r>
          <w:rPr>
            <w:noProof/>
            <w:webHidden/>
          </w:rPr>
          <w:instrText xml:space="preserve"> PAGEREF _Toc182555261 \h </w:instrText>
        </w:r>
        <w:r>
          <w:rPr>
            <w:noProof/>
            <w:webHidden/>
          </w:rPr>
        </w:r>
        <w:r>
          <w:rPr>
            <w:noProof/>
            <w:webHidden/>
          </w:rPr>
          <w:fldChar w:fldCharType="separate"/>
        </w:r>
        <w:r w:rsidR="00672C8C">
          <w:rPr>
            <w:noProof/>
            <w:webHidden/>
          </w:rPr>
          <w:t>109</w:t>
        </w:r>
        <w:r>
          <w:rPr>
            <w:noProof/>
            <w:webHidden/>
          </w:rPr>
          <w:fldChar w:fldCharType="end"/>
        </w:r>
      </w:hyperlink>
    </w:p>
    <w:p w14:paraId="307F3045" w14:textId="344619AE"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62" w:history="1">
        <w:r w:rsidRPr="009C3204">
          <w:rPr>
            <w:rStyle w:val="Hyperlink"/>
          </w:rPr>
          <w:t>9.4. Quality Control of Psychometric Processes</w:t>
        </w:r>
        <w:r>
          <w:rPr>
            <w:webHidden/>
          </w:rPr>
          <w:tab/>
        </w:r>
        <w:r>
          <w:rPr>
            <w:webHidden/>
          </w:rPr>
          <w:fldChar w:fldCharType="begin"/>
        </w:r>
        <w:r>
          <w:rPr>
            <w:webHidden/>
          </w:rPr>
          <w:instrText xml:space="preserve"> PAGEREF _Toc182555262 \h </w:instrText>
        </w:r>
        <w:r>
          <w:rPr>
            <w:webHidden/>
          </w:rPr>
        </w:r>
        <w:r>
          <w:rPr>
            <w:webHidden/>
          </w:rPr>
          <w:fldChar w:fldCharType="separate"/>
        </w:r>
        <w:r w:rsidR="00672C8C">
          <w:rPr>
            <w:webHidden/>
          </w:rPr>
          <w:t>109</w:t>
        </w:r>
        <w:r>
          <w:rPr>
            <w:webHidden/>
          </w:rPr>
          <w:fldChar w:fldCharType="end"/>
        </w:r>
      </w:hyperlink>
    </w:p>
    <w:p w14:paraId="1A6B906C" w14:textId="758F4EE4"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63" w:history="1">
        <w:r w:rsidRPr="009C3204">
          <w:rPr>
            <w:rStyle w:val="Hyperlink"/>
            <w:noProof/>
          </w:rPr>
          <w:t>9.4.1. Development of Scoring Specifications</w:t>
        </w:r>
        <w:r>
          <w:rPr>
            <w:noProof/>
            <w:webHidden/>
          </w:rPr>
          <w:tab/>
        </w:r>
        <w:r>
          <w:rPr>
            <w:noProof/>
            <w:webHidden/>
          </w:rPr>
          <w:fldChar w:fldCharType="begin"/>
        </w:r>
        <w:r>
          <w:rPr>
            <w:noProof/>
            <w:webHidden/>
          </w:rPr>
          <w:instrText xml:space="preserve"> PAGEREF _Toc182555263 \h </w:instrText>
        </w:r>
        <w:r>
          <w:rPr>
            <w:noProof/>
            <w:webHidden/>
          </w:rPr>
        </w:r>
        <w:r>
          <w:rPr>
            <w:noProof/>
            <w:webHidden/>
          </w:rPr>
          <w:fldChar w:fldCharType="separate"/>
        </w:r>
        <w:r w:rsidR="00672C8C">
          <w:rPr>
            <w:noProof/>
            <w:webHidden/>
          </w:rPr>
          <w:t>109</w:t>
        </w:r>
        <w:r>
          <w:rPr>
            <w:noProof/>
            <w:webHidden/>
          </w:rPr>
          <w:fldChar w:fldCharType="end"/>
        </w:r>
      </w:hyperlink>
    </w:p>
    <w:p w14:paraId="2B905268" w14:textId="49807123"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64" w:history="1">
        <w:r w:rsidRPr="009C3204">
          <w:rPr>
            <w:rStyle w:val="Hyperlink"/>
            <w:noProof/>
          </w:rPr>
          <w:t>9.4.2. Development of Scoring Procedures</w:t>
        </w:r>
        <w:r>
          <w:rPr>
            <w:noProof/>
            <w:webHidden/>
          </w:rPr>
          <w:tab/>
        </w:r>
        <w:r>
          <w:rPr>
            <w:noProof/>
            <w:webHidden/>
          </w:rPr>
          <w:fldChar w:fldCharType="begin"/>
        </w:r>
        <w:r>
          <w:rPr>
            <w:noProof/>
            <w:webHidden/>
          </w:rPr>
          <w:instrText xml:space="preserve"> PAGEREF _Toc182555264 \h </w:instrText>
        </w:r>
        <w:r>
          <w:rPr>
            <w:noProof/>
            <w:webHidden/>
          </w:rPr>
        </w:r>
        <w:r>
          <w:rPr>
            <w:noProof/>
            <w:webHidden/>
          </w:rPr>
          <w:fldChar w:fldCharType="separate"/>
        </w:r>
        <w:r w:rsidR="00672C8C">
          <w:rPr>
            <w:noProof/>
            <w:webHidden/>
          </w:rPr>
          <w:t>109</w:t>
        </w:r>
        <w:r>
          <w:rPr>
            <w:noProof/>
            <w:webHidden/>
          </w:rPr>
          <w:fldChar w:fldCharType="end"/>
        </w:r>
      </w:hyperlink>
    </w:p>
    <w:p w14:paraId="5AB62B15" w14:textId="431098E8"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65" w:history="1">
        <w:r w:rsidRPr="009C3204">
          <w:rPr>
            <w:rStyle w:val="Hyperlink"/>
          </w:rPr>
          <w:t>9.5. Quality Control of Reporting</w:t>
        </w:r>
        <w:r>
          <w:rPr>
            <w:webHidden/>
          </w:rPr>
          <w:tab/>
        </w:r>
        <w:r>
          <w:rPr>
            <w:webHidden/>
          </w:rPr>
          <w:fldChar w:fldCharType="begin"/>
        </w:r>
        <w:r>
          <w:rPr>
            <w:webHidden/>
          </w:rPr>
          <w:instrText xml:space="preserve"> PAGEREF _Toc182555265 \h </w:instrText>
        </w:r>
        <w:r>
          <w:rPr>
            <w:webHidden/>
          </w:rPr>
        </w:r>
        <w:r>
          <w:rPr>
            <w:webHidden/>
          </w:rPr>
          <w:fldChar w:fldCharType="separate"/>
        </w:r>
        <w:r w:rsidR="00672C8C">
          <w:rPr>
            <w:webHidden/>
          </w:rPr>
          <w:t>110</w:t>
        </w:r>
        <w:r>
          <w:rPr>
            <w:webHidden/>
          </w:rPr>
          <w:fldChar w:fldCharType="end"/>
        </w:r>
      </w:hyperlink>
    </w:p>
    <w:p w14:paraId="199FB387" w14:textId="5624A346"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66" w:history="1">
        <w:r w:rsidRPr="009C3204">
          <w:rPr>
            <w:rStyle w:val="Hyperlink"/>
          </w:rPr>
          <w:t>9.6. End-to-End Testing for Operational Administration</w:t>
        </w:r>
        <w:r>
          <w:rPr>
            <w:webHidden/>
          </w:rPr>
          <w:tab/>
        </w:r>
        <w:r>
          <w:rPr>
            <w:webHidden/>
          </w:rPr>
          <w:fldChar w:fldCharType="begin"/>
        </w:r>
        <w:r>
          <w:rPr>
            <w:webHidden/>
          </w:rPr>
          <w:instrText xml:space="preserve"> PAGEREF _Toc182555266 \h </w:instrText>
        </w:r>
        <w:r>
          <w:rPr>
            <w:webHidden/>
          </w:rPr>
        </w:r>
        <w:r>
          <w:rPr>
            <w:webHidden/>
          </w:rPr>
          <w:fldChar w:fldCharType="separate"/>
        </w:r>
        <w:r w:rsidR="00672C8C">
          <w:rPr>
            <w:webHidden/>
          </w:rPr>
          <w:t>111</w:t>
        </w:r>
        <w:r>
          <w:rPr>
            <w:webHidden/>
          </w:rPr>
          <w:fldChar w:fldCharType="end"/>
        </w:r>
      </w:hyperlink>
    </w:p>
    <w:p w14:paraId="1EB6EEED" w14:textId="33C14278"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67" w:history="1">
        <w:r w:rsidRPr="009C3204">
          <w:rPr>
            <w:rStyle w:val="Hyperlink"/>
          </w:rPr>
          <w:t>References</w:t>
        </w:r>
        <w:r>
          <w:rPr>
            <w:webHidden/>
          </w:rPr>
          <w:tab/>
        </w:r>
        <w:r>
          <w:rPr>
            <w:webHidden/>
          </w:rPr>
          <w:fldChar w:fldCharType="begin"/>
        </w:r>
        <w:r>
          <w:rPr>
            <w:webHidden/>
          </w:rPr>
          <w:instrText xml:space="preserve"> PAGEREF _Toc182555267 \h </w:instrText>
        </w:r>
        <w:r>
          <w:rPr>
            <w:webHidden/>
          </w:rPr>
        </w:r>
        <w:r>
          <w:rPr>
            <w:webHidden/>
          </w:rPr>
          <w:fldChar w:fldCharType="separate"/>
        </w:r>
        <w:r w:rsidR="00672C8C">
          <w:rPr>
            <w:webHidden/>
          </w:rPr>
          <w:t>112</w:t>
        </w:r>
        <w:r>
          <w:rPr>
            <w:webHidden/>
          </w:rPr>
          <w:fldChar w:fldCharType="end"/>
        </w:r>
      </w:hyperlink>
    </w:p>
    <w:p w14:paraId="6AF8CC5E" w14:textId="3AF57F26" w:rsidR="00CA4A9A" w:rsidRDefault="00CA4A9A">
      <w:pPr>
        <w:pStyle w:val="TOC1"/>
        <w:rPr>
          <w:rFonts w:asciiTheme="minorHAnsi" w:eastAsiaTheme="minorEastAsia" w:hAnsiTheme="minorHAnsi" w:cstheme="minorBidi"/>
          <w:b w:val="0"/>
          <w:color w:val="auto"/>
          <w:kern w:val="2"/>
          <w:sz w:val="22"/>
          <w:szCs w:val="22"/>
          <w14:ligatures w14:val="standardContextual"/>
        </w:rPr>
      </w:pPr>
      <w:hyperlink w:anchor="_Toc182555268" w:history="1">
        <w:r w:rsidRPr="009C3204">
          <w:rPr>
            <w:rStyle w:val="Hyperlink"/>
          </w:rPr>
          <w:t>Chapter 10: Continuous and Systematic Improvements</w:t>
        </w:r>
        <w:r>
          <w:rPr>
            <w:webHidden/>
          </w:rPr>
          <w:tab/>
        </w:r>
        <w:r>
          <w:rPr>
            <w:webHidden/>
          </w:rPr>
          <w:fldChar w:fldCharType="begin"/>
        </w:r>
        <w:r>
          <w:rPr>
            <w:webHidden/>
          </w:rPr>
          <w:instrText xml:space="preserve"> PAGEREF _Toc182555268 \h </w:instrText>
        </w:r>
        <w:r>
          <w:rPr>
            <w:webHidden/>
          </w:rPr>
        </w:r>
        <w:r>
          <w:rPr>
            <w:webHidden/>
          </w:rPr>
          <w:fldChar w:fldCharType="separate"/>
        </w:r>
        <w:r w:rsidR="00672C8C">
          <w:rPr>
            <w:webHidden/>
          </w:rPr>
          <w:t>113</w:t>
        </w:r>
        <w:r>
          <w:rPr>
            <w:webHidden/>
          </w:rPr>
          <w:fldChar w:fldCharType="end"/>
        </w:r>
      </w:hyperlink>
    </w:p>
    <w:p w14:paraId="65C51CEB" w14:textId="4B97CAF1"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69" w:history="1">
        <w:r w:rsidRPr="009C3204">
          <w:rPr>
            <w:rStyle w:val="Hyperlink"/>
          </w:rPr>
          <w:t>10.1. Item Development</w:t>
        </w:r>
        <w:r>
          <w:rPr>
            <w:webHidden/>
          </w:rPr>
          <w:tab/>
        </w:r>
        <w:r>
          <w:rPr>
            <w:webHidden/>
          </w:rPr>
          <w:fldChar w:fldCharType="begin"/>
        </w:r>
        <w:r>
          <w:rPr>
            <w:webHidden/>
          </w:rPr>
          <w:instrText xml:space="preserve"> PAGEREF _Toc182555269 \h </w:instrText>
        </w:r>
        <w:r>
          <w:rPr>
            <w:webHidden/>
          </w:rPr>
        </w:r>
        <w:r>
          <w:rPr>
            <w:webHidden/>
          </w:rPr>
          <w:fldChar w:fldCharType="separate"/>
        </w:r>
        <w:r w:rsidR="00672C8C">
          <w:rPr>
            <w:webHidden/>
          </w:rPr>
          <w:t>113</w:t>
        </w:r>
        <w:r>
          <w:rPr>
            <w:webHidden/>
          </w:rPr>
          <w:fldChar w:fldCharType="end"/>
        </w:r>
      </w:hyperlink>
    </w:p>
    <w:p w14:paraId="55F35D6E" w14:textId="0130EE0B"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70" w:history="1">
        <w:r w:rsidRPr="009C3204">
          <w:rPr>
            <w:rStyle w:val="Hyperlink"/>
          </w:rPr>
          <w:t>10.2. Test Delivery</w:t>
        </w:r>
        <w:r>
          <w:rPr>
            <w:webHidden/>
          </w:rPr>
          <w:tab/>
        </w:r>
        <w:r>
          <w:rPr>
            <w:webHidden/>
          </w:rPr>
          <w:fldChar w:fldCharType="begin"/>
        </w:r>
        <w:r>
          <w:rPr>
            <w:webHidden/>
          </w:rPr>
          <w:instrText xml:space="preserve"> PAGEREF _Toc182555270 \h </w:instrText>
        </w:r>
        <w:r>
          <w:rPr>
            <w:webHidden/>
          </w:rPr>
        </w:r>
        <w:r>
          <w:rPr>
            <w:webHidden/>
          </w:rPr>
          <w:fldChar w:fldCharType="separate"/>
        </w:r>
        <w:r w:rsidR="00672C8C">
          <w:rPr>
            <w:webHidden/>
          </w:rPr>
          <w:t>113</w:t>
        </w:r>
        <w:r>
          <w:rPr>
            <w:webHidden/>
          </w:rPr>
          <w:fldChar w:fldCharType="end"/>
        </w:r>
      </w:hyperlink>
    </w:p>
    <w:p w14:paraId="74541AAD" w14:textId="0FA1605E"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71" w:history="1">
        <w:r w:rsidRPr="009C3204">
          <w:rPr>
            <w:rStyle w:val="Hyperlink"/>
            <w:noProof/>
          </w:rPr>
          <w:t>10.2.1. Stakeholder Feedback</w:t>
        </w:r>
        <w:r>
          <w:rPr>
            <w:noProof/>
            <w:webHidden/>
          </w:rPr>
          <w:tab/>
        </w:r>
        <w:r>
          <w:rPr>
            <w:noProof/>
            <w:webHidden/>
          </w:rPr>
          <w:fldChar w:fldCharType="begin"/>
        </w:r>
        <w:r>
          <w:rPr>
            <w:noProof/>
            <w:webHidden/>
          </w:rPr>
          <w:instrText xml:space="preserve"> PAGEREF _Toc182555271 \h </w:instrText>
        </w:r>
        <w:r>
          <w:rPr>
            <w:noProof/>
            <w:webHidden/>
          </w:rPr>
        </w:r>
        <w:r>
          <w:rPr>
            <w:noProof/>
            <w:webHidden/>
          </w:rPr>
          <w:fldChar w:fldCharType="separate"/>
        </w:r>
        <w:r w:rsidR="00672C8C">
          <w:rPr>
            <w:noProof/>
            <w:webHidden/>
          </w:rPr>
          <w:t>113</w:t>
        </w:r>
        <w:r>
          <w:rPr>
            <w:noProof/>
            <w:webHidden/>
          </w:rPr>
          <w:fldChar w:fldCharType="end"/>
        </w:r>
      </w:hyperlink>
    </w:p>
    <w:p w14:paraId="59905742" w14:textId="7B9C4C4A" w:rsidR="00CA4A9A" w:rsidRDefault="00CA4A9A">
      <w:pPr>
        <w:pStyle w:val="TOC3"/>
        <w:rPr>
          <w:rFonts w:asciiTheme="minorHAnsi" w:eastAsiaTheme="minorEastAsia" w:hAnsiTheme="minorHAnsi" w:cstheme="minorBidi"/>
          <w:noProof/>
          <w:color w:val="auto"/>
          <w:kern w:val="2"/>
          <w:sz w:val="22"/>
          <w:szCs w:val="22"/>
          <w14:ligatures w14:val="standardContextual"/>
        </w:rPr>
      </w:pPr>
      <w:hyperlink w:anchor="_Toc182555272" w:history="1">
        <w:r w:rsidRPr="009C3204">
          <w:rPr>
            <w:rStyle w:val="Hyperlink"/>
            <w:noProof/>
          </w:rPr>
          <w:t>10.2.2. Commitment to Preparation and Training Resources</w:t>
        </w:r>
        <w:r>
          <w:rPr>
            <w:noProof/>
            <w:webHidden/>
          </w:rPr>
          <w:tab/>
        </w:r>
        <w:r>
          <w:rPr>
            <w:noProof/>
            <w:webHidden/>
          </w:rPr>
          <w:fldChar w:fldCharType="begin"/>
        </w:r>
        <w:r>
          <w:rPr>
            <w:noProof/>
            <w:webHidden/>
          </w:rPr>
          <w:instrText xml:space="preserve"> PAGEREF _Toc182555272 \h </w:instrText>
        </w:r>
        <w:r>
          <w:rPr>
            <w:noProof/>
            <w:webHidden/>
          </w:rPr>
        </w:r>
        <w:r>
          <w:rPr>
            <w:noProof/>
            <w:webHidden/>
          </w:rPr>
          <w:fldChar w:fldCharType="separate"/>
        </w:r>
        <w:r w:rsidR="00672C8C">
          <w:rPr>
            <w:noProof/>
            <w:webHidden/>
          </w:rPr>
          <w:t>114</w:t>
        </w:r>
        <w:r>
          <w:rPr>
            <w:noProof/>
            <w:webHidden/>
          </w:rPr>
          <w:fldChar w:fldCharType="end"/>
        </w:r>
      </w:hyperlink>
    </w:p>
    <w:p w14:paraId="117054EC" w14:textId="6152E67F"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73" w:history="1">
        <w:r w:rsidRPr="009C3204">
          <w:rPr>
            <w:rStyle w:val="Hyperlink"/>
          </w:rPr>
          <w:t>10.3. Psychometric Analyses</w:t>
        </w:r>
        <w:r>
          <w:rPr>
            <w:webHidden/>
          </w:rPr>
          <w:tab/>
        </w:r>
        <w:r>
          <w:rPr>
            <w:webHidden/>
          </w:rPr>
          <w:fldChar w:fldCharType="begin"/>
        </w:r>
        <w:r>
          <w:rPr>
            <w:webHidden/>
          </w:rPr>
          <w:instrText xml:space="preserve"> PAGEREF _Toc182555273 \h </w:instrText>
        </w:r>
        <w:r>
          <w:rPr>
            <w:webHidden/>
          </w:rPr>
        </w:r>
        <w:r>
          <w:rPr>
            <w:webHidden/>
          </w:rPr>
          <w:fldChar w:fldCharType="separate"/>
        </w:r>
        <w:r w:rsidR="00672C8C">
          <w:rPr>
            <w:webHidden/>
          </w:rPr>
          <w:t>114</w:t>
        </w:r>
        <w:r>
          <w:rPr>
            <w:webHidden/>
          </w:rPr>
          <w:fldChar w:fldCharType="end"/>
        </w:r>
      </w:hyperlink>
    </w:p>
    <w:p w14:paraId="1D76A253" w14:textId="0D1C76D3" w:rsidR="00CA4A9A" w:rsidRDefault="00CA4A9A">
      <w:pPr>
        <w:pStyle w:val="TOC2"/>
        <w:rPr>
          <w:rFonts w:asciiTheme="minorHAnsi" w:eastAsiaTheme="minorEastAsia" w:hAnsiTheme="minorHAnsi" w:cstheme="minorBidi"/>
          <w:color w:val="auto"/>
          <w:kern w:val="2"/>
          <w:sz w:val="22"/>
          <w:szCs w:val="22"/>
          <w14:ligatures w14:val="standardContextual"/>
        </w:rPr>
      </w:pPr>
      <w:hyperlink w:anchor="_Toc182555274" w:history="1">
        <w:r w:rsidRPr="009C3204">
          <w:rPr>
            <w:rStyle w:val="Hyperlink"/>
          </w:rPr>
          <w:t>10.4. Research-based Operational Work</w:t>
        </w:r>
        <w:r>
          <w:rPr>
            <w:webHidden/>
          </w:rPr>
          <w:tab/>
        </w:r>
        <w:r>
          <w:rPr>
            <w:webHidden/>
          </w:rPr>
          <w:fldChar w:fldCharType="begin"/>
        </w:r>
        <w:r>
          <w:rPr>
            <w:webHidden/>
          </w:rPr>
          <w:instrText xml:space="preserve"> PAGEREF _Toc182555274 \h </w:instrText>
        </w:r>
        <w:r>
          <w:rPr>
            <w:webHidden/>
          </w:rPr>
        </w:r>
        <w:r>
          <w:rPr>
            <w:webHidden/>
          </w:rPr>
          <w:fldChar w:fldCharType="separate"/>
        </w:r>
        <w:r w:rsidR="00672C8C">
          <w:rPr>
            <w:webHidden/>
          </w:rPr>
          <w:t>114</w:t>
        </w:r>
        <w:r>
          <w:rPr>
            <w:webHidden/>
          </w:rPr>
          <w:fldChar w:fldCharType="end"/>
        </w:r>
      </w:hyperlink>
    </w:p>
    <w:p w14:paraId="24020EC4" w14:textId="0FC91247" w:rsidR="005A6B98" w:rsidRPr="004B2D24" w:rsidRDefault="00CA4A9A" w:rsidP="00A66E92">
      <w:pPr>
        <w:pStyle w:val="TOC2"/>
      </w:pPr>
      <w:hyperlink w:anchor="_Toc182555275" w:history="1">
        <w:r w:rsidRPr="009C3204">
          <w:rPr>
            <w:rStyle w:val="Hyperlink"/>
          </w:rPr>
          <w:t>10.5. Accessibility</w:t>
        </w:r>
        <w:r>
          <w:rPr>
            <w:webHidden/>
          </w:rPr>
          <w:tab/>
        </w:r>
        <w:r>
          <w:rPr>
            <w:webHidden/>
          </w:rPr>
          <w:fldChar w:fldCharType="begin"/>
        </w:r>
        <w:r>
          <w:rPr>
            <w:webHidden/>
          </w:rPr>
          <w:instrText xml:space="preserve"> PAGEREF _Toc182555275 \h </w:instrText>
        </w:r>
        <w:r>
          <w:rPr>
            <w:webHidden/>
          </w:rPr>
        </w:r>
        <w:r>
          <w:rPr>
            <w:webHidden/>
          </w:rPr>
          <w:fldChar w:fldCharType="separate"/>
        </w:r>
        <w:r w:rsidR="00672C8C">
          <w:rPr>
            <w:webHidden/>
          </w:rPr>
          <w:t>115</w:t>
        </w:r>
        <w:r>
          <w:rPr>
            <w:webHidden/>
          </w:rPr>
          <w:fldChar w:fldCharType="end"/>
        </w:r>
      </w:hyperlink>
      <w:r w:rsidR="005B042F" w:rsidRPr="004B2D24">
        <w:rPr>
          <w:b/>
        </w:rPr>
        <w:fldChar w:fldCharType="end"/>
      </w:r>
    </w:p>
    <w:p w14:paraId="7DFD4406" w14:textId="77777777" w:rsidR="005A6B98" w:rsidRPr="004B2D24" w:rsidRDefault="005A6B98" w:rsidP="00672C8C">
      <w:pPr>
        <w:pStyle w:val="Heading3"/>
        <w:numPr>
          <w:ilvl w:val="0"/>
          <w:numId w:val="0"/>
        </w:numPr>
        <w:ind w:left="450" w:hanging="450"/>
      </w:pPr>
      <w:bookmarkStart w:id="5" w:name="_Toc456691068"/>
      <w:bookmarkStart w:id="6" w:name="_Toc456898957"/>
      <w:bookmarkStart w:id="7" w:name="_Toc456903871"/>
      <w:r w:rsidRPr="004B2D24">
        <w:t>List of Tables</w:t>
      </w:r>
      <w:bookmarkEnd w:id="5"/>
      <w:bookmarkEnd w:id="6"/>
      <w:bookmarkEnd w:id="7"/>
    </w:p>
    <w:bookmarkStart w:id="8" w:name="_Toc519757940"/>
    <w:bookmarkStart w:id="9" w:name="_Toc12959982"/>
    <w:bookmarkStart w:id="10" w:name="_Toc38901370"/>
    <w:bookmarkStart w:id="11" w:name="_Toc67319679"/>
    <w:p w14:paraId="1D6F5FB8" w14:textId="200388B3" w:rsidR="00672C8C" w:rsidRDefault="007A2A57">
      <w:pPr>
        <w:pStyle w:val="TOC8"/>
        <w:rPr>
          <w:rFonts w:asciiTheme="minorHAnsi" w:eastAsiaTheme="minorEastAsia" w:hAnsiTheme="minorHAnsi" w:cstheme="minorBidi"/>
          <w:noProof/>
          <w:color w:val="auto"/>
          <w:kern w:val="2"/>
          <w14:ligatures w14:val="standardContextual"/>
        </w:rPr>
      </w:pPr>
      <w:r>
        <w:rPr>
          <w:bCs/>
          <w:noProof/>
          <w:szCs w:val="22"/>
          <w:lang w:eastAsia="zh-CN"/>
        </w:rPr>
        <w:fldChar w:fldCharType="begin"/>
      </w:r>
      <w:r>
        <w:instrText xml:space="preserve"> TOC \h \z \t "Caption,8" </w:instrText>
      </w:r>
      <w:r>
        <w:rPr>
          <w:bCs/>
          <w:noProof/>
          <w:szCs w:val="22"/>
          <w:lang w:eastAsia="zh-CN"/>
        </w:rPr>
        <w:fldChar w:fldCharType="separate"/>
      </w:r>
      <w:hyperlink w:anchor="_Toc220498683" w:history="1">
        <w:r w:rsidR="00672C8C" w:rsidRPr="006A600D">
          <w:rPr>
            <w:rStyle w:val="Hyperlink"/>
            <w:noProof/>
          </w:rPr>
          <w:t xml:space="preserve">Acronyms and Initialisms Used in the </w:t>
        </w:r>
        <w:r w:rsidR="00672C8C" w:rsidRPr="006A600D">
          <w:rPr>
            <w:rStyle w:val="Hyperlink"/>
            <w:i/>
            <w:noProof/>
          </w:rPr>
          <w:t>California Alternate Assessment for Science Technical Report</w:t>
        </w:r>
        <w:r w:rsidR="00672C8C">
          <w:rPr>
            <w:noProof/>
            <w:webHidden/>
          </w:rPr>
          <w:tab/>
        </w:r>
        <w:r w:rsidR="00672C8C">
          <w:rPr>
            <w:noProof/>
            <w:webHidden/>
          </w:rPr>
          <w:fldChar w:fldCharType="begin"/>
        </w:r>
        <w:r w:rsidR="00672C8C">
          <w:rPr>
            <w:noProof/>
            <w:webHidden/>
          </w:rPr>
          <w:instrText xml:space="preserve"> PAGEREF _Toc220498683 \h </w:instrText>
        </w:r>
        <w:r w:rsidR="00672C8C">
          <w:rPr>
            <w:noProof/>
            <w:webHidden/>
          </w:rPr>
        </w:r>
        <w:r w:rsidR="00672C8C">
          <w:rPr>
            <w:noProof/>
            <w:webHidden/>
          </w:rPr>
          <w:fldChar w:fldCharType="separate"/>
        </w:r>
        <w:r w:rsidR="00672C8C">
          <w:rPr>
            <w:noProof/>
            <w:webHidden/>
          </w:rPr>
          <w:t>viii</w:t>
        </w:r>
        <w:r w:rsidR="00672C8C">
          <w:rPr>
            <w:noProof/>
            <w:webHidden/>
          </w:rPr>
          <w:fldChar w:fldCharType="end"/>
        </w:r>
      </w:hyperlink>
    </w:p>
    <w:p w14:paraId="54B7E917" w14:textId="1030F2A3" w:rsidR="00672C8C" w:rsidRDefault="00672C8C">
      <w:pPr>
        <w:pStyle w:val="TOC8"/>
        <w:rPr>
          <w:rFonts w:asciiTheme="minorHAnsi" w:eastAsiaTheme="minorEastAsia" w:hAnsiTheme="minorHAnsi" w:cstheme="minorBidi"/>
          <w:noProof/>
          <w:color w:val="auto"/>
          <w:kern w:val="2"/>
          <w14:ligatures w14:val="standardContextual"/>
        </w:rPr>
      </w:pPr>
      <w:hyperlink w:anchor="_Toc220498684" w:history="1">
        <w:r w:rsidRPr="006A600D">
          <w:rPr>
            <w:rStyle w:val="Hyperlink"/>
            <w:noProof/>
          </w:rPr>
          <w:t>Table 1.1  Organization of the Science Connectors</w:t>
        </w:r>
        <w:r>
          <w:rPr>
            <w:noProof/>
            <w:webHidden/>
          </w:rPr>
          <w:tab/>
        </w:r>
        <w:r>
          <w:rPr>
            <w:noProof/>
            <w:webHidden/>
          </w:rPr>
          <w:fldChar w:fldCharType="begin"/>
        </w:r>
        <w:r>
          <w:rPr>
            <w:noProof/>
            <w:webHidden/>
          </w:rPr>
          <w:instrText xml:space="preserve"> PAGEREF _Toc220498684 \h </w:instrText>
        </w:r>
        <w:r>
          <w:rPr>
            <w:noProof/>
            <w:webHidden/>
          </w:rPr>
        </w:r>
        <w:r>
          <w:rPr>
            <w:noProof/>
            <w:webHidden/>
          </w:rPr>
          <w:fldChar w:fldCharType="separate"/>
        </w:r>
        <w:r>
          <w:rPr>
            <w:noProof/>
            <w:webHidden/>
          </w:rPr>
          <w:t>3</w:t>
        </w:r>
        <w:r>
          <w:rPr>
            <w:noProof/>
            <w:webHidden/>
          </w:rPr>
          <w:fldChar w:fldCharType="end"/>
        </w:r>
      </w:hyperlink>
    </w:p>
    <w:p w14:paraId="2E75E9A1" w14:textId="628A2DD0" w:rsidR="00672C8C" w:rsidRDefault="00672C8C">
      <w:pPr>
        <w:pStyle w:val="TOC8"/>
        <w:rPr>
          <w:rFonts w:asciiTheme="minorHAnsi" w:eastAsiaTheme="minorEastAsia" w:hAnsiTheme="minorHAnsi" w:cstheme="minorBidi"/>
          <w:noProof/>
          <w:color w:val="auto"/>
          <w:kern w:val="2"/>
          <w14:ligatures w14:val="standardContextual"/>
        </w:rPr>
      </w:pPr>
      <w:hyperlink w:anchor="_Toc220498685" w:history="1">
        <w:r w:rsidRPr="006A600D">
          <w:rPr>
            <w:rStyle w:val="Hyperlink"/>
            <w:noProof/>
          </w:rPr>
          <w:t>Table 2.1  CAA for Science Test-Taking Rates—Registered Students</w:t>
        </w:r>
        <w:r>
          <w:rPr>
            <w:noProof/>
            <w:webHidden/>
          </w:rPr>
          <w:tab/>
        </w:r>
        <w:r>
          <w:rPr>
            <w:noProof/>
            <w:webHidden/>
          </w:rPr>
          <w:fldChar w:fldCharType="begin"/>
        </w:r>
        <w:r>
          <w:rPr>
            <w:noProof/>
            <w:webHidden/>
          </w:rPr>
          <w:instrText xml:space="preserve"> PAGEREF _Toc220498685 \h </w:instrText>
        </w:r>
        <w:r>
          <w:rPr>
            <w:noProof/>
            <w:webHidden/>
          </w:rPr>
        </w:r>
        <w:r>
          <w:rPr>
            <w:noProof/>
            <w:webHidden/>
          </w:rPr>
          <w:fldChar w:fldCharType="separate"/>
        </w:r>
        <w:r>
          <w:rPr>
            <w:noProof/>
            <w:webHidden/>
          </w:rPr>
          <w:t>17</w:t>
        </w:r>
        <w:r>
          <w:rPr>
            <w:noProof/>
            <w:webHidden/>
          </w:rPr>
          <w:fldChar w:fldCharType="end"/>
        </w:r>
      </w:hyperlink>
    </w:p>
    <w:p w14:paraId="7C9089E5" w14:textId="7CAD2C1D" w:rsidR="00672C8C" w:rsidRDefault="00672C8C">
      <w:pPr>
        <w:pStyle w:val="TOC8"/>
        <w:rPr>
          <w:rFonts w:asciiTheme="minorHAnsi" w:eastAsiaTheme="minorEastAsia" w:hAnsiTheme="minorHAnsi" w:cstheme="minorBidi"/>
          <w:noProof/>
          <w:color w:val="auto"/>
          <w:kern w:val="2"/>
          <w14:ligatures w14:val="standardContextual"/>
        </w:rPr>
      </w:pPr>
      <w:hyperlink w:anchor="_Toc220498686" w:history="1">
        <w:r w:rsidRPr="006A600D">
          <w:rPr>
            <w:rStyle w:val="Hyperlink"/>
            <w:noProof/>
          </w:rPr>
          <w:t>Table 2.2  Percentage of Students in Each Grade Level or Grade Band Completing Embedded PTs</w:t>
        </w:r>
        <w:r>
          <w:rPr>
            <w:noProof/>
            <w:webHidden/>
          </w:rPr>
          <w:tab/>
        </w:r>
        <w:r>
          <w:rPr>
            <w:noProof/>
            <w:webHidden/>
          </w:rPr>
          <w:fldChar w:fldCharType="begin"/>
        </w:r>
        <w:r>
          <w:rPr>
            <w:noProof/>
            <w:webHidden/>
          </w:rPr>
          <w:instrText xml:space="preserve"> PAGEREF _Toc220498686 \h </w:instrText>
        </w:r>
        <w:r>
          <w:rPr>
            <w:noProof/>
            <w:webHidden/>
          </w:rPr>
        </w:r>
        <w:r>
          <w:rPr>
            <w:noProof/>
            <w:webHidden/>
          </w:rPr>
          <w:fldChar w:fldCharType="separate"/>
        </w:r>
        <w:r>
          <w:rPr>
            <w:noProof/>
            <w:webHidden/>
          </w:rPr>
          <w:t>18</w:t>
        </w:r>
        <w:r>
          <w:rPr>
            <w:noProof/>
            <w:webHidden/>
          </w:rPr>
          <w:fldChar w:fldCharType="end"/>
        </w:r>
      </w:hyperlink>
    </w:p>
    <w:p w14:paraId="5007102D" w14:textId="14FF6827" w:rsidR="00672C8C" w:rsidRDefault="00672C8C">
      <w:pPr>
        <w:pStyle w:val="TOC8"/>
        <w:rPr>
          <w:rFonts w:asciiTheme="minorHAnsi" w:eastAsiaTheme="minorEastAsia" w:hAnsiTheme="minorHAnsi" w:cstheme="minorBidi"/>
          <w:noProof/>
          <w:color w:val="auto"/>
          <w:kern w:val="2"/>
          <w14:ligatures w14:val="standardContextual"/>
        </w:rPr>
      </w:pPr>
      <w:hyperlink w:anchor="_Toc220498687" w:history="1">
        <w:r w:rsidRPr="006A600D">
          <w:rPr>
            <w:rStyle w:val="Hyperlink"/>
            <w:noProof/>
          </w:rPr>
          <w:t>Table 2.A.1  Assignment of Designated Supports and Accommodations—Grades Five and Eight for Earth and Space Sciences</w:t>
        </w:r>
        <w:r>
          <w:rPr>
            <w:noProof/>
            <w:webHidden/>
          </w:rPr>
          <w:tab/>
        </w:r>
        <w:r>
          <w:rPr>
            <w:noProof/>
            <w:webHidden/>
          </w:rPr>
          <w:fldChar w:fldCharType="begin"/>
        </w:r>
        <w:r>
          <w:rPr>
            <w:noProof/>
            <w:webHidden/>
          </w:rPr>
          <w:instrText xml:space="preserve"> PAGEREF _Toc220498687 \h </w:instrText>
        </w:r>
        <w:r>
          <w:rPr>
            <w:noProof/>
            <w:webHidden/>
          </w:rPr>
        </w:r>
        <w:r>
          <w:rPr>
            <w:noProof/>
            <w:webHidden/>
          </w:rPr>
          <w:fldChar w:fldCharType="separate"/>
        </w:r>
        <w:r>
          <w:rPr>
            <w:noProof/>
            <w:webHidden/>
          </w:rPr>
          <w:t>24</w:t>
        </w:r>
        <w:r>
          <w:rPr>
            <w:noProof/>
            <w:webHidden/>
          </w:rPr>
          <w:fldChar w:fldCharType="end"/>
        </w:r>
      </w:hyperlink>
    </w:p>
    <w:p w14:paraId="3A045D19" w14:textId="55929596" w:rsidR="00672C8C" w:rsidRDefault="00672C8C">
      <w:pPr>
        <w:pStyle w:val="TOC8"/>
        <w:rPr>
          <w:rFonts w:asciiTheme="minorHAnsi" w:eastAsiaTheme="minorEastAsia" w:hAnsiTheme="minorHAnsi" w:cstheme="minorBidi"/>
          <w:noProof/>
          <w:color w:val="auto"/>
          <w:kern w:val="2"/>
          <w14:ligatures w14:val="standardContextual"/>
        </w:rPr>
      </w:pPr>
      <w:hyperlink w:anchor="_Toc220498688" w:history="1">
        <w:r w:rsidRPr="006A600D">
          <w:rPr>
            <w:rStyle w:val="Hyperlink"/>
            <w:noProof/>
          </w:rPr>
          <w:t>Table 2.A.2  Assignment of Designated Supports and Accommodations—Grades Five and Eight for Physical Sciences</w:t>
        </w:r>
        <w:r>
          <w:rPr>
            <w:noProof/>
            <w:webHidden/>
          </w:rPr>
          <w:tab/>
        </w:r>
        <w:r>
          <w:rPr>
            <w:noProof/>
            <w:webHidden/>
          </w:rPr>
          <w:fldChar w:fldCharType="begin"/>
        </w:r>
        <w:r>
          <w:rPr>
            <w:noProof/>
            <w:webHidden/>
          </w:rPr>
          <w:instrText xml:space="preserve"> PAGEREF _Toc220498688 \h </w:instrText>
        </w:r>
        <w:r>
          <w:rPr>
            <w:noProof/>
            <w:webHidden/>
          </w:rPr>
        </w:r>
        <w:r>
          <w:rPr>
            <w:noProof/>
            <w:webHidden/>
          </w:rPr>
          <w:fldChar w:fldCharType="separate"/>
        </w:r>
        <w:r>
          <w:rPr>
            <w:noProof/>
            <w:webHidden/>
          </w:rPr>
          <w:t>26</w:t>
        </w:r>
        <w:r>
          <w:rPr>
            <w:noProof/>
            <w:webHidden/>
          </w:rPr>
          <w:fldChar w:fldCharType="end"/>
        </w:r>
      </w:hyperlink>
    </w:p>
    <w:p w14:paraId="54745E40" w14:textId="4B229129" w:rsidR="00672C8C" w:rsidRDefault="00672C8C">
      <w:pPr>
        <w:pStyle w:val="TOC8"/>
        <w:rPr>
          <w:rFonts w:asciiTheme="minorHAnsi" w:eastAsiaTheme="minorEastAsia" w:hAnsiTheme="minorHAnsi" w:cstheme="minorBidi"/>
          <w:noProof/>
          <w:color w:val="auto"/>
          <w:kern w:val="2"/>
          <w14:ligatures w14:val="standardContextual"/>
        </w:rPr>
      </w:pPr>
      <w:hyperlink w:anchor="_Toc220498689" w:history="1">
        <w:r w:rsidRPr="006A600D">
          <w:rPr>
            <w:rStyle w:val="Hyperlink"/>
            <w:noProof/>
          </w:rPr>
          <w:t>Table 2.A.3  Assignment of Designated Supports and Accommodations—Grades Five and Eight for Life Sciences</w:t>
        </w:r>
        <w:r>
          <w:rPr>
            <w:noProof/>
            <w:webHidden/>
          </w:rPr>
          <w:tab/>
        </w:r>
        <w:r>
          <w:rPr>
            <w:noProof/>
            <w:webHidden/>
          </w:rPr>
          <w:fldChar w:fldCharType="begin"/>
        </w:r>
        <w:r>
          <w:rPr>
            <w:noProof/>
            <w:webHidden/>
          </w:rPr>
          <w:instrText xml:space="preserve"> PAGEREF _Toc220498689 \h </w:instrText>
        </w:r>
        <w:r>
          <w:rPr>
            <w:noProof/>
            <w:webHidden/>
          </w:rPr>
        </w:r>
        <w:r>
          <w:rPr>
            <w:noProof/>
            <w:webHidden/>
          </w:rPr>
          <w:fldChar w:fldCharType="separate"/>
        </w:r>
        <w:r>
          <w:rPr>
            <w:noProof/>
            <w:webHidden/>
          </w:rPr>
          <w:t>28</w:t>
        </w:r>
        <w:r>
          <w:rPr>
            <w:noProof/>
            <w:webHidden/>
          </w:rPr>
          <w:fldChar w:fldCharType="end"/>
        </w:r>
      </w:hyperlink>
    </w:p>
    <w:p w14:paraId="0F5092BF" w14:textId="737E6DC7" w:rsidR="00672C8C" w:rsidRDefault="00672C8C">
      <w:pPr>
        <w:pStyle w:val="TOC8"/>
        <w:rPr>
          <w:rFonts w:asciiTheme="minorHAnsi" w:eastAsiaTheme="minorEastAsia" w:hAnsiTheme="minorHAnsi" w:cstheme="minorBidi"/>
          <w:noProof/>
          <w:color w:val="auto"/>
          <w:kern w:val="2"/>
          <w14:ligatures w14:val="standardContextual"/>
        </w:rPr>
      </w:pPr>
      <w:hyperlink w:anchor="_Toc220498690" w:history="1">
        <w:r w:rsidRPr="006A600D">
          <w:rPr>
            <w:rStyle w:val="Hyperlink"/>
            <w:noProof/>
          </w:rPr>
          <w:t>Table 2.A.4  Assignment of Designated Supports and Accommodations—High School for Earth and Space Sciences</w:t>
        </w:r>
        <w:r>
          <w:rPr>
            <w:noProof/>
            <w:webHidden/>
          </w:rPr>
          <w:tab/>
        </w:r>
        <w:r>
          <w:rPr>
            <w:noProof/>
            <w:webHidden/>
          </w:rPr>
          <w:fldChar w:fldCharType="begin"/>
        </w:r>
        <w:r>
          <w:rPr>
            <w:noProof/>
            <w:webHidden/>
          </w:rPr>
          <w:instrText xml:space="preserve"> PAGEREF _Toc220498690 \h </w:instrText>
        </w:r>
        <w:r>
          <w:rPr>
            <w:noProof/>
            <w:webHidden/>
          </w:rPr>
        </w:r>
        <w:r>
          <w:rPr>
            <w:noProof/>
            <w:webHidden/>
          </w:rPr>
          <w:fldChar w:fldCharType="separate"/>
        </w:r>
        <w:r>
          <w:rPr>
            <w:noProof/>
            <w:webHidden/>
          </w:rPr>
          <w:t>30</w:t>
        </w:r>
        <w:r>
          <w:rPr>
            <w:noProof/>
            <w:webHidden/>
          </w:rPr>
          <w:fldChar w:fldCharType="end"/>
        </w:r>
      </w:hyperlink>
    </w:p>
    <w:p w14:paraId="211A6688" w14:textId="2C51BBFD" w:rsidR="00672C8C" w:rsidRDefault="00672C8C">
      <w:pPr>
        <w:pStyle w:val="TOC8"/>
        <w:rPr>
          <w:rFonts w:asciiTheme="minorHAnsi" w:eastAsiaTheme="minorEastAsia" w:hAnsiTheme="minorHAnsi" w:cstheme="minorBidi"/>
          <w:noProof/>
          <w:color w:val="auto"/>
          <w:kern w:val="2"/>
          <w14:ligatures w14:val="standardContextual"/>
        </w:rPr>
      </w:pPr>
      <w:hyperlink w:anchor="_Toc220498691" w:history="1">
        <w:r w:rsidRPr="006A600D">
          <w:rPr>
            <w:rStyle w:val="Hyperlink"/>
            <w:noProof/>
          </w:rPr>
          <w:t>Table 2.A.5  Assignment of Designated Supports and Accommodations—High School for Physical Sciences</w:t>
        </w:r>
        <w:r>
          <w:rPr>
            <w:noProof/>
            <w:webHidden/>
          </w:rPr>
          <w:tab/>
        </w:r>
        <w:r>
          <w:rPr>
            <w:noProof/>
            <w:webHidden/>
          </w:rPr>
          <w:fldChar w:fldCharType="begin"/>
        </w:r>
        <w:r>
          <w:rPr>
            <w:noProof/>
            <w:webHidden/>
          </w:rPr>
          <w:instrText xml:space="preserve"> PAGEREF _Toc220498691 \h </w:instrText>
        </w:r>
        <w:r>
          <w:rPr>
            <w:noProof/>
            <w:webHidden/>
          </w:rPr>
        </w:r>
        <w:r>
          <w:rPr>
            <w:noProof/>
            <w:webHidden/>
          </w:rPr>
          <w:fldChar w:fldCharType="separate"/>
        </w:r>
        <w:r>
          <w:rPr>
            <w:noProof/>
            <w:webHidden/>
          </w:rPr>
          <w:t>32</w:t>
        </w:r>
        <w:r>
          <w:rPr>
            <w:noProof/>
            <w:webHidden/>
          </w:rPr>
          <w:fldChar w:fldCharType="end"/>
        </w:r>
      </w:hyperlink>
    </w:p>
    <w:p w14:paraId="0CDC2B47" w14:textId="2C54721B" w:rsidR="00672C8C" w:rsidRDefault="00672C8C">
      <w:pPr>
        <w:pStyle w:val="TOC8"/>
        <w:rPr>
          <w:rFonts w:asciiTheme="minorHAnsi" w:eastAsiaTheme="minorEastAsia" w:hAnsiTheme="minorHAnsi" w:cstheme="minorBidi"/>
          <w:noProof/>
          <w:color w:val="auto"/>
          <w:kern w:val="2"/>
          <w14:ligatures w14:val="standardContextual"/>
        </w:rPr>
      </w:pPr>
      <w:hyperlink w:anchor="_Toc220498692" w:history="1">
        <w:r w:rsidRPr="006A600D">
          <w:rPr>
            <w:rStyle w:val="Hyperlink"/>
            <w:noProof/>
          </w:rPr>
          <w:t>Table 2.A.6  Assignment of Designated Supports and Accommodations—High School for Life Sciences</w:t>
        </w:r>
        <w:r>
          <w:rPr>
            <w:noProof/>
            <w:webHidden/>
          </w:rPr>
          <w:tab/>
        </w:r>
        <w:r>
          <w:rPr>
            <w:noProof/>
            <w:webHidden/>
          </w:rPr>
          <w:fldChar w:fldCharType="begin"/>
        </w:r>
        <w:r>
          <w:rPr>
            <w:noProof/>
            <w:webHidden/>
          </w:rPr>
          <w:instrText xml:space="preserve"> PAGEREF _Toc220498692 \h </w:instrText>
        </w:r>
        <w:r>
          <w:rPr>
            <w:noProof/>
            <w:webHidden/>
          </w:rPr>
        </w:r>
        <w:r>
          <w:rPr>
            <w:noProof/>
            <w:webHidden/>
          </w:rPr>
          <w:fldChar w:fldCharType="separate"/>
        </w:r>
        <w:r>
          <w:rPr>
            <w:noProof/>
            <w:webHidden/>
          </w:rPr>
          <w:t>34</w:t>
        </w:r>
        <w:r>
          <w:rPr>
            <w:noProof/>
            <w:webHidden/>
          </w:rPr>
          <w:fldChar w:fldCharType="end"/>
        </w:r>
      </w:hyperlink>
    </w:p>
    <w:p w14:paraId="7574FB49" w14:textId="25DB4F32" w:rsidR="00672C8C" w:rsidRDefault="00672C8C">
      <w:pPr>
        <w:pStyle w:val="TOC8"/>
        <w:rPr>
          <w:rFonts w:asciiTheme="minorHAnsi" w:eastAsiaTheme="minorEastAsia" w:hAnsiTheme="minorHAnsi" w:cstheme="minorBidi"/>
          <w:noProof/>
          <w:color w:val="auto"/>
          <w:kern w:val="2"/>
          <w14:ligatures w14:val="standardContextual"/>
        </w:rPr>
      </w:pPr>
      <w:hyperlink w:anchor="_Toc220498693" w:history="1">
        <w:r w:rsidRPr="006A600D">
          <w:rPr>
            <w:rStyle w:val="Hyperlink"/>
            <w:noProof/>
          </w:rPr>
          <w:t>Table 3.1  Number of Items and Points for Each</w:t>
        </w:r>
        <w:r w:rsidRPr="006A600D">
          <w:rPr>
            <w:rStyle w:val="Hyperlink"/>
            <w:rFonts w:eastAsia="Calibri"/>
            <w:noProof/>
          </w:rPr>
          <w:t xml:space="preserve"> Embedded</w:t>
        </w:r>
        <w:r w:rsidRPr="006A600D">
          <w:rPr>
            <w:rStyle w:val="Hyperlink"/>
            <w:noProof/>
          </w:rPr>
          <w:t xml:space="preserve"> PT</w:t>
        </w:r>
        <w:r>
          <w:rPr>
            <w:noProof/>
            <w:webHidden/>
          </w:rPr>
          <w:tab/>
        </w:r>
        <w:r>
          <w:rPr>
            <w:noProof/>
            <w:webHidden/>
          </w:rPr>
          <w:fldChar w:fldCharType="begin"/>
        </w:r>
        <w:r>
          <w:rPr>
            <w:noProof/>
            <w:webHidden/>
          </w:rPr>
          <w:instrText xml:space="preserve"> PAGEREF _Toc220498693 \h </w:instrText>
        </w:r>
        <w:r>
          <w:rPr>
            <w:noProof/>
            <w:webHidden/>
          </w:rPr>
        </w:r>
        <w:r>
          <w:rPr>
            <w:noProof/>
            <w:webHidden/>
          </w:rPr>
          <w:fldChar w:fldCharType="separate"/>
        </w:r>
        <w:r>
          <w:rPr>
            <w:noProof/>
            <w:webHidden/>
          </w:rPr>
          <w:t>38</w:t>
        </w:r>
        <w:r>
          <w:rPr>
            <w:noProof/>
            <w:webHidden/>
          </w:rPr>
          <w:fldChar w:fldCharType="end"/>
        </w:r>
      </w:hyperlink>
    </w:p>
    <w:p w14:paraId="23D91E13" w14:textId="06FFB9D4" w:rsidR="00672C8C" w:rsidRDefault="00672C8C">
      <w:pPr>
        <w:pStyle w:val="TOC8"/>
        <w:rPr>
          <w:rFonts w:asciiTheme="minorHAnsi" w:eastAsiaTheme="minorEastAsia" w:hAnsiTheme="minorHAnsi" w:cstheme="minorBidi"/>
          <w:noProof/>
          <w:color w:val="auto"/>
          <w:kern w:val="2"/>
          <w14:ligatures w14:val="standardContextual"/>
        </w:rPr>
      </w:pPr>
      <w:hyperlink w:anchor="_Toc220498694" w:history="1">
        <w:r w:rsidRPr="006A600D">
          <w:rPr>
            <w:rStyle w:val="Hyperlink"/>
            <w:noProof/>
          </w:rPr>
          <w:t>Table 3.2  Number of Item Reviewers with Each Qualification</w:t>
        </w:r>
        <w:r>
          <w:rPr>
            <w:noProof/>
            <w:webHidden/>
          </w:rPr>
          <w:tab/>
        </w:r>
        <w:r>
          <w:rPr>
            <w:noProof/>
            <w:webHidden/>
          </w:rPr>
          <w:fldChar w:fldCharType="begin"/>
        </w:r>
        <w:r>
          <w:rPr>
            <w:noProof/>
            <w:webHidden/>
          </w:rPr>
          <w:instrText xml:space="preserve"> PAGEREF _Toc220498694 \h </w:instrText>
        </w:r>
        <w:r>
          <w:rPr>
            <w:noProof/>
            <w:webHidden/>
          </w:rPr>
        </w:r>
        <w:r>
          <w:rPr>
            <w:noProof/>
            <w:webHidden/>
          </w:rPr>
          <w:fldChar w:fldCharType="separate"/>
        </w:r>
        <w:r>
          <w:rPr>
            <w:noProof/>
            <w:webHidden/>
          </w:rPr>
          <w:t>41</w:t>
        </w:r>
        <w:r>
          <w:rPr>
            <w:noProof/>
            <w:webHidden/>
          </w:rPr>
          <w:fldChar w:fldCharType="end"/>
        </w:r>
      </w:hyperlink>
    </w:p>
    <w:p w14:paraId="5B6390CC" w14:textId="64CAF413" w:rsidR="00672C8C" w:rsidRDefault="00672C8C">
      <w:pPr>
        <w:pStyle w:val="TOC8"/>
        <w:rPr>
          <w:rFonts w:asciiTheme="minorHAnsi" w:eastAsiaTheme="minorEastAsia" w:hAnsiTheme="minorHAnsi" w:cstheme="minorBidi"/>
          <w:noProof/>
          <w:color w:val="auto"/>
          <w:kern w:val="2"/>
          <w14:ligatures w14:val="standardContextual"/>
        </w:rPr>
      </w:pPr>
      <w:hyperlink w:anchor="_Toc220498695" w:history="1">
        <w:r w:rsidRPr="006A600D">
          <w:rPr>
            <w:rStyle w:val="Hyperlink"/>
            <w:noProof/>
          </w:rPr>
          <w:t>Table 4.1  Number of Forms and Items Reviewed Psychometrically</w:t>
        </w:r>
        <w:r>
          <w:rPr>
            <w:noProof/>
            <w:webHidden/>
          </w:rPr>
          <w:tab/>
        </w:r>
        <w:r>
          <w:rPr>
            <w:noProof/>
            <w:webHidden/>
          </w:rPr>
          <w:fldChar w:fldCharType="begin"/>
        </w:r>
        <w:r>
          <w:rPr>
            <w:noProof/>
            <w:webHidden/>
          </w:rPr>
          <w:instrText xml:space="preserve"> PAGEREF _Toc220498695 \h </w:instrText>
        </w:r>
        <w:r>
          <w:rPr>
            <w:noProof/>
            <w:webHidden/>
          </w:rPr>
        </w:r>
        <w:r>
          <w:rPr>
            <w:noProof/>
            <w:webHidden/>
          </w:rPr>
          <w:fldChar w:fldCharType="separate"/>
        </w:r>
        <w:r>
          <w:rPr>
            <w:noProof/>
            <w:webHidden/>
          </w:rPr>
          <w:t>47</w:t>
        </w:r>
        <w:r>
          <w:rPr>
            <w:noProof/>
            <w:webHidden/>
          </w:rPr>
          <w:fldChar w:fldCharType="end"/>
        </w:r>
      </w:hyperlink>
    </w:p>
    <w:p w14:paraId="15B6D068" w14:textId="4BA69319" w:rsidR="00672C8C" w:rsidRDefault="00672C8C">
      <w:pPr>
        <w:pStyle w:val="TOC8"/>
        <w:rPr>
          <w:rFonts w:asciiTheme="minorHAnsi" w:eastAsiaTheme="minorEastAsia" w:hAnsiTheme="minorHAnsi" w:cstheme="minorBidi"/>
          <w:noProof/>
          <w:color w:val="auto"/>
          <w:kern w:val="2"/>
          <w14:ligatures w14:val="standardContextual"/>
        </w:rPr>
      </w:pPr>
      <w:hyperlink w:anchor="_Toc220498696" w:history="1">
        <w:r w:rsidRPr="006A600D">
          <w:rPr>
            <w:rStyle w:val="Hyperlink"/>
            <w:noProof/>
          </w:rPr>
          <w:t>Table 5.1  Individualizations—Grade Five</w:t>
        </w:r>
        <w:r>
          <w:rPr>
            <w:noProof/>
            <w:webHidden/>
          </w:rPr>
          <w:tab/>
        </w:r>
        <w:r>
          <w:rPr>
            <w:noProof/>
            <w:webHidden/>
          </w:rPr>
          <w:fldChar w:fldCharType="begin"/>
        </w:r>
        <w:r>
          <w:rPr>
            <w:noProof/>
            <w:webHidden/>
          </w:rPr>
          <w:instrText xml:space="preserve"> PAGEREF _Toc220498696 \h </w:instrText>
        </w:r>
        <w:r>
          <w:rPr>
            <w:noProof/>
            <w:webHidden/>
          </w:rPr>
        </w:r>
        <w:r>
          <w:rPr>
            <w:noProof/>
            <w:webHidden/>
          </w:rPr>
          <w:fldChar w:fldCharType="separate"/>
        </w:r>
        <w:r>
          <w:rPr>
            <w:noProof/>
            <w:webHidden/>
          </w:rPr>
          <w:t>58</w:t>
        </w:r>
        <w:r>
          <w:rPr>
            <w:noProof/>
            <w:webHidden/>
          </w:rPr>
          <w:fldChar w:fldCharType="end"/>
        </w:r>
      </w:hyperlink>
    </w:p>
    <w:p w14:paraId="2165E7A5" w14:textId="745FAF2C" w:rsidR="00672C8C" w:rsidRDefault="00672C8C">
      <w:pPr>
        <w:pStyle w:val="TOC8"/>
        <w:rPr>
          <w:rFonts w:asciiTheme="minorHAnsi" w:eastAsiaTheme="minorEastAsia" w:hAnsiTheme="minorHAnsi" w:cstheme="minorBidi"/>
          <w:noProof/>
          <w:color w:val="auto"/>
          <w:kern w:val="2"/>
          <w14:ligatures w14:val="standardContextual"/>
        </w:rPr>
      </w:pPr>
      <w:hyperlink w:anchor="_Toc220498697" w:history="1">
        <w:r w:rsidRPr="006A600D">
          <w:rPr>
            <w:rStyle w:val="Hyperlink"/>
            <w:noProof/>
          </w:rPr>
          <w:t>Table 5.2  Individualizations—Grade Eight</w:t>
        </w:r>
        <w:r>
          <w:rPr>
            <w:noProof/>
            <w:webHidden/>
          </w:rPr>
          <w:tab/>
        </w:r>
        <w:r>
          <w:rPr>
            <w:noProof/>
            <w:webHidden/>
          </w:rPr>
          <w:fldChar w:fldCharType="begin"/>
        </w:r>
        <w:r>
          <w:rPr>
            <w:noProof/>
            <w:webHidden/>
          </w:rPr>
          <w:instrText xml:space="preserve"> PAGEREF _Toc220498697 \h </w:instrText>
        </w:r>
        <w:r>
          <w:rPr>
            <w:noProof/>
            <w:webHidden/>
          </w:rPr>
        </w:r>
        <w:r>
          <w:rPr>
            <w:noProof/>
            <w:webHidden/>
          </w:rPr>
          <w:fldChar w:fldCharType="separate"/>
        </w:r>
        <w:r>
          <w:rPr>
            <w:noProof/>
            <w:webHidden/>
          </w:rPr>
          <w:t>59</w:t>
        </w:r>
        <w:r>
          <w:rPr>
            <w:noProof/>
            <w:webHidden/>
          </w:rPr>
          <w:fldChar w:fldCharType="end"/>
        </w:r>
      </w:hyperlink>
    </w:p>
    <w:p w14:paraId="5D7471D1" w14:textId="6A13706D" w:rsidR="00672C8C" w:rsidRDefault="00672C8C">
      <w:pPr>
        <w:pStyle w:val="TOC8"/>
        <w:rPr>
          <w:rFonts w:asciiTheme="minorHAnsi" w:eastAsiaTheme="minorEastAsia" w:hAnsiTheme="minorHAnsi" w:cstheme="minorBidi"/>
          <w:noProof/>
          <w:color w:val="auto"/>
          <w:kern w:val="2"/>
          <w14:ligatures w14:val="standardContextual"/>
        </w:rPr>
      </w:pPr>
      <w:hyperlink w:anchor="_Toc220498698" w:history="1">
        <w:r w:rsidRPr="006A600D">
          <w:rPr>
            <w:rStyle w:val="Hyperlink"/>
            <w:noProof/>
          </w:rPr>
          <w:t>Table 5.3  Individualizations—High School</w:t>
        </w:r>
        <w:r>
          <w:rPr>
            <w:noProof/>
            <w:webHidden/>
          </w:rPr>
          <w:tab/>
        </w:r>
        <w:r>
          <w:rPr>
            <w:noProof/>
            <w:webHidden/>
          </w:rPr>
          <w:fldChar w:fldCharType="begin"/>
        </w:r>
        <w:r>
          <w:rPr>
            <w:noProof/>
            <w:webHidden/>
          </w:rPr>
          <w:instrText xml:space="preserve"> PAGEREF _Toc220498698 \h </w:instrText>
        </w:r>
        <w:r>
          <w:rPr>
            <w:noProof/>
            <w:webHidden/>
          </w:rPr>
        </w:r>
        <w:r>
          <w:rPr>
            <w:noProof/>
            <w:webHidden/>
          </w:rPr>
          <w:fldChar w:fldCharType="separate"/>
        </w:r>
        <w:r>
          <w:rPr>
            <w:noProof/>
            <w:webHidden/>
          </w:rPr>
          <w:t>60</w:t>
        </w:r>
        <w:r>
          <w:rPr>
            <w:noProof/>
            <w:webHidden/>
          </w:rPr>
          <w:fldChar w:fldCharType="end"/>
        </w:r>
      </w:hyperlink>
    </w:p>
    <w:p w14:paraId="573F46B3" w14:textId="00AC8EEF" w:rsidR="00672C8C" w:rsidRDefault="00672C8C">
      <w:pPr>
        <w:pStyle w:val="TOC8"/>
        <w:rPr>
          <w:rFonts w:asciiTheme="minorHAnsi" w:eastAsiaTheme="minorEastAsia" w:hAnsiTheme="minorHAnsi" w:cstheme="minorBidi"/>
          <w:noProof/>
          <w:color w:val="auto"/>
          <w:kern w:val="2"/>
          <w14:ligatures w14:val="standardContextual"/>
        </w:rPr>
      </w:pPr>
      <w:hyperlink w:anchor="_Toc220498699" w:history="1">
        <w:r w:rsidRPr="006A600D">
          <w:rPr>
            <w:rStyle w:val="Hyperlink"/>
            <w:noProof/>
          </w:rPr>
          <w:t>Table 5.4  Types of Appeals in CAASPP Testing</w:t>
        </w:r>
        <w:r>
          <w:rPr>
            <w:noProof/>
            <w:webHidden/>
          </w:rPr>
          <w:tab/>
        </w:r>
        <w:r>
          <w:rPr>
            <w:noProof/>
            <w:webHidden/>
          </w:rPr>
          <w:fldChar w:fldCharType="begin"/>
        </w:r>
        <w:r>
          <w:rPr>
            <w:noProof/>
            <w:webHidden/>
          </w:rPr>
          <w:instrText xml:space="preserve"> PAGEREF _Toc220498699 \h </w:instrText>
        </w:r>
        <w:r>
          <w:rPr>
            <w:noProof/>
            <w:webHidden/>
          </w:rPr>
        </w:r>
        <w:r>
          <w:rPr>
            <w:noProof/>
            <w:webHidden/>
          </w:rPr>
          <w:fldChar w:fldCharType="separate"/>
        </w:r>
        <w:r>
          <w:rPr>
            <w:noProof/>
            <w:webHidden/>
          </w:rPr>
          <w:t>65</w:t>
        </w:r>
        <w:r>
          <w:rPr>
            <w:noProof/>
            <w:webHidden/>
          </w:rPr>
          <w:fldChar w:fldCharType="end"/>
        </w:r>
      </w:hyperlink>
    </w:p>
    <w:p w14:paraId="318830D2" w14:textId="10119196" w:rsidR="00672C8C" w:rsidRDefault="00672C8C">
      <w:pPr>
        <w:pStyle w:val="TOC8"/>
        <w:rPr>
          <w:rFonts w:asciiTheme="minorHAnsi" w:eastAsiaTheme="minorEastAsia" w:hAnsiTheme="minorHAnsi" w:cstheme="minorBidi"/>
          <w:noProof/>
          <w:color w:val="auto"/>
          <w:kern w:val="2"/>
          <w14:ligatures w14:val="standardContextual"/>
        </w:rPr>
      </w:pPr>
      <w:hyperlink w:anchor="_Toc220498700" w:history="1">
        <w:r w:rsidRPr="006A600D">
          <w:rPr>
            <w:rStyle w:val="Hyperlink"/>
            <w:noProof/>
          </w:rPr>
          <w:t>Table 5.5  Number of Appeals in STAIRS in the 2019–2020 Administration—All Grades</w:t>
        </w:r>
        <w:r>
          <w:rPr>
            <w:noProof/>
            <w:webHidden/>
          </w:rPr>
          <w:tab/>
        </w:r>
        <w:r>
          <w:rPr>
            <w:noProof/>
            <w:webHidden/>
          </w:rPr>
          <w:fldChar w:fldCharType="begin"/>
        </w:r>
        <w:r>
          <w:rPr>
            <w:noProof/>
            <w:webHidden/>
          </w:rPr>
          <w:instrText xml:space="preserve"> PAGEREF _Toc220498700 \h </w:instrText>
        </w:r>
        <w:r>
          <w:rPr>
            <w:noProof/>
            <w:webHidden/>
          </w:rPr>
        </w:r>
        <w:r>
          <w:rPr>
            <w:noProof/>
            <w:webHidden/>
          </w:rPr>
          <w:fldChar w:fldCharType="separate"/>
        </w:r>
        <w:r>
          <w:rPr>
            <w:noProof/>
            <w:webHidden/>
          </w:rPr>
          <w:t>66</w:t>
        </w:r>
        <w:r>
          <w:rPr>
            <w:noProof/>
            <w:webHidden/>
          </w:rPr>
          <w:fldChar w:fldCharType="end"/>
        </w:r>
      </w:hyperlink>
    </w:p>
    <w:p w14:paraId="50C5C26D" w14:textId="74626F0E" w:rsidR="00672C8C" w:rsidRDefault="00672C8C">
      <w:pPr>
        <w:pStyle w:val="TOC8"/>
        <w:rPr>
          <w:rFonts w:asciiTheme="minorHAnsi" w:eastAsiaTheme="minorEastAsia" w:hAnsiTheme="minorHAnsi" w:cstheme="minorBidi"/>
          <w:noProof/>
          <w:color w:val="auto"/>
          <w:kern w:val="2"/>
          <w14:ligatures w14:val="standardContextual"/>
        </w:rPr>
      </w:pPr>
      <w:hyperlink w:anchor="_Toc220498701" w:history="1">
        <w:r w:rsidRPr="006A600D">
          <w:rPr>
            <w:rStyle w:val="Hyperlink"/>
            <w:noProof/>
          </w:rPr>
          <w:t>Table 5.6  Number of Testing Issues Reported in STAIRS by Type</w:t>
        </w:r>
        <w:r>
          <w:rPr>
            <w:noProof/>
            <w:webHidden/>
          </w:rPr>
          <w:tab/>
        </w:r>
        <w:r>
          <w:rPr>
            <w:noProof/>
            <w:webHidden/>
          </w:rPr>
          <w:fldChar w:fldCharType="begin"/>
        </w:r>
        <w:r>
          <w:rPr>
            <w:noProof/>
            <w:webHidden/>
          </w:rPr>
          <w:instrText xml:space="preserve"> PAGEREF _Toc220498701 \h </w:instrText>
        </w:r>
        <w:r>
          <w:rPr>
            <w:noProof/>
            <w:webHidden/>
          </w:rPr>
        </w:r>
        <w:r>
          <w:rPr>
            <w:noProof/>
            <w:webHidden/>
          </w:rPr>
          <w:fldChar w:fldCharType="separate"/>
        </w:r>
        <w:r>
          <w:rPr>
            <w:noProof/>
            <w:webHidden/>
          </w:rPr>
          <w:t>66</w:t>
        </w:r>
        <w:r>
          <w:rPr>
            <w:noProof/>
            <w:webHidden/>
          </w:rPr>
          <w:fldChar w:fldCharType="end"/>
        </w:r>
      </w:hyperlink>
    </w:p>
    <w:p w14:paraId="4DC0BD24" w14:textId="0BE2207F" w:rsidR="00672C8C" w:rsidRDefault="00672C8C">
      <w:pPr>
        <w:pStyle w:val="TOC8"/>
        <w:rPr>
          <w:rFonts w:asciiTheme="minorHAnsi" w:eastAsiaTheme="minorEastAsia" w:hAnsiTheme="minorHAnsi" w:cstheme="minorBidi"/>
          <w:noProof/>
          <w:color w:val="auto"/>
          <w:kern w:val="2"/>
          <w14:ligatures w14:val="standardContextual"/>
        </w:rPr>
      </w:pPr>
      <w:hyperlink w:anchor="_Toc220498702" w:history="1">
        <w:r w:rsidRPr="006A600D">
          <w:rPr>
            <w:rStyle w:val="Hyperlink"/>
            <w:noProof/>
          </w:rPr>
          <w:t xml:space="preserve">Table 5.7  </w:t>
        </w:r>
        <w:r w:rsidRPr="006A600D">
          <w:rPr>
            <w:rStyle w:val="Hyperlink"/>
            <w:noProof/>
            <w:lang w:eastAsia="zh-CN"/>
          </w:rPr>
          <w:t>Summary of Accommodations and Designated Supports Used by Students, Grade Five</w:t>
        </w:r>
        <w:r>
          <w:rPr>
            <w:noProof/>
            <w:webHidden/>
          </w:rPr>
          <w:tab/>
        </w:r>
        <w:r>
          <w:rPr>
            <w:noProof/>
            <w:webHidden/>
          </w:rPr>
          <w:fldChar w:fldCharType="begin"/>
        </w:r>
        <w:r>
          <w:rPr>
            <w:noProof/>
            <w:webHidden/>
          </w:rPr>
          <w:instrText xml:space="preserve"> PAGEREF _Toc220498702 \h </w:instrText>
        </w:r>
        <w:r>
          <w:rPr>
            <w:noProof/>
            <w:webHidden/>
          </w:rPr>
        </w:r>
        <w:r>
          <w:rPr>
            <w:noProof/>
            <w:webHidden/>
          </w:rPr>
          <w:fldChar w:fldCharType="separate"/>
        </w:r>
        <w:r>
          <w:rPr>
            <w:noProof/>
            <w:webHidden/>
          </w:rPr>
          <w:t>70</w:t>
        </w:r>
        <w:r>
          <w:rPr>
            <w:noProof/>
            <w:webHidden/>
          </w:rPr>
          <w:fldChar w:fldCharType="end"/>
        </w:r>
      </w:hyperlink>
    </w:p>
    <w:p w14:paraId="7624FD58" w14:textId="5011794B" w:rsidR="00672C8C" w:rsidRDefault="00672C8C">
      <w:pPr>
        <w:pStyle w:val="TOC8"/>
        <w:rPr>
          <w:rFonts w:asciiTheme="minorHAnsi" w:eastAsiaTheme="minorEastAsia" w:hAnsiTheme="minorHAnsi" w:cstheme="minorBidi"/>
          <w:noProof/>
          <w:color w:val="auto"/>
          <w:kern w:val="2"/>
          <w14:ligatures w14:val="standardContextual"/>
        </w:rPr>
      </w:pPr>
      <w:hyperlink w:anchor="_Toc220498703" w:history="1">
        <w:r w:rsidRPr="006A600D">
          <w:rPr>
            <w:rStyle w:val="Hyperlink"/>
            <w:noProof/>
          </w:rPr>
          <w:t xml:space="preserve">Table 5.8  </w:t>
        </w:r>
        <w:r w:rsidRPr="006A600D">
          <w:rPr>
            <w:rStyle w:val="Hyperlink"/>
            <w:noProof/>
            <w:lang w:eastAsia="zh-CN"/>
          </w:rPr>
          <w:t>Summary of Accommodations and Designated Supports Used by Students, Grade Eight</w:t>
        </w:r>
        <w:r>
          <w:rPr>
            <w:noProof/>
            <w:webHidden/>
          </w:rPr>
          <w:tab/>
        </w:r>
        <w:r>
          <w:rPr>
            <w:noProof/>
            <w:webHidden/>
          </w:rPr>
          <w:fldChar w:fldCharType="begin"/>
        </w:r>
        <w:r>
          <w:rPr>
            <w:noProof/>
            <w:webHidden/>
          </w:rPr>
          <w:instrText xml:space="preserve"> PAGEREF _Toc220498703 \h </w:instrText>
        </w:r>
        <w:r>
          <w:rPr>
            <w:noProof/>
            <w:webHidden/>
          </w:rPr>
        </w:r>
        <w:r>
          <w:rPr>
            <w:noProof/>
            <w:webHidden/>
          </w:rPr>
          <w:fldChar w:fldCharType="separate"/>
        </w:r>
        <w:r>
          <w:rPr>
            <w:noProof/>
            <w:webHidden/>
          </w:rPr>
          <w:t>70</w:t>
        </w:r>
        <w:r>
          <w:rPr>
            <w:noProof/>
            <w:webHidden/>
          </w:rPr>
          <w:fldChar w:fldCharType="end"/>
        </w:r>
      </w:hyperlink>
    </w:p>
    <w:p w14:paraId="04180F0F" w14:textId="14BCD1D6" w:rsidR="00672C8C" w:rsidRDefault="00672C8C">
      <w:pPr>
        <w:pStyle w:val="TOC8"/>
        <w:rPr>
          <w:rFonts w:asciiTheme="minorHAnsi" w:eastAsiaTheme="minorEastAsia" w:hAnsiTheme="minorHAnsi" w:cstheme="minorBidi"/>
          <w:noProof/>
          <w:color w:val="auto"/>
          <w:kern w:val="2"/>
          <w14:ligatures w14:val="standardContextual"/>
        </w:rPr>
      </w:pPr>
      <w:hyperlink w:anchor="_Toc220498704" w:history="1">
        <w:r w:rsidRPr="006A600D">
          <w:rPr>
            <w:rStyle w:val="Hyperlink"/>
            <w:noProof/>
          </w:rPr>
          <w:t xml:space="preserve">Table 5.9  </w:t>
        </w:r>
        <w:r w:rsidRPr="006A600D">
          <w:rPr>
            <w:rStyle w:val="Hyperlink"/>
            <w:noProof/>
            <w:lang w:eastAsia="zh-CN"/>
          </w:rPr>
          <w:t>Summary of Accommodations and Designated Supports Used by Students, High School</w:t>
        </w:r>
        <w:r>
          <w:rPr>
            <w:noProof/>
            <w:webHidden/>
          </w:rPr>
          <w:tab/>
        </w:r>
        <w:r>
          <w:rPr>
            <w:noProof/>
            <w:webHidden/>
          </w:rPr>
          <w:fldChar w:fldCharType="begin"/>
        </w:r>
        <w:r>
          <w:rPr>
            <w:noProof/>
            <w:webHidden/>
          </w:rPr>
          <w:instrText xml:space="preserve"> PAGEREF _Toc220498704 \h </w:instrText>
        </w:r>
        <w:r>
          <w:rPr>
            <w:noProof/>
            <w:webHidden/>
          </w:rPr>
        </w:r>
        <w:r>
          <w:rPr>
            <w:noProof/>
            <w:webHidden/>
          </w:rPr>
          <w:fldChar w:fldCharType="separate"/>
        </w:r>
        <w:r>
          <w:rPr>
            <w:noProof/>
            <w:webHidden/>
          </w:rPr>
          <w:t>71</w:t>
        </w:r>
        <w:r>
          <w:rPr>
            <w:noProof/>
            <w:webHidden/>
          </w:rPr>
          <w:fldChar w:fldCharType="end"/>
        </w:r>
      </w:hyperlink>
    </w:p>
    <w:p w14:paraId="2A06701E" w14:textId="3C94267B" w:rsidR="00672C8C" w:rsidRDefault="00672C8C">
      <w:pPr>
        <w:pStyle w:val="TOC8"/>
        <w:rPr>
          <w:rFonts w:asciiTheme="minorHAnsi" w:eastAsiaTheme="minorEastAsia" w:hAnsiTheme="minorHAnsi" w:cstheme="minorBidi"/>
          <w:noProof/>
          <w:color w:val="auto"/>
          <w:kern w:val="2"/>
          <w14:ligatures w14:val="standardContextual"/>
        </w:rPr>
      </w:pPr>
      <w:hyperlink w:anchor="_Toc220498705" w:history="1">
        <w:r w:rsidRPr="006A600D">
          <w:rPr>
            <w:rStyle w:val="Hyperlink"/>
            <w:noProof/>
          </w:rPr>
          <w:t>Table 6.1  Indicator Categories</w:t>
        </w:r>
        <w:r>
          <w:rPr>
            <w:noProof/>
            <w:webHidden/>
          </w:rPr>
          <w:tab/>
        </w:r>
        <w:r>
          <w:rPr>
            <w:noProof/>
            <w:webHidden/>
          </w:rPr>
          <w:fldChar w:fldCharType="begin"/>
        </w:r>
        <w:r>
          <w:rPr>
            <w:noProof/>
            <w:webHidden/>
          </w:rPr>
          <w:instrText xml:space="preserve"> PAGEREF _Toc220498705 \h </w:instrText>
        </w:r>
        <w:r>
          <w:rPr>
            <w:noProof/>
            <w:webHidden/>
          </w:rPr>
        </w:r>
        <w:r>
          <w:rPr>
            <w:noProof/>
            <w:webHidden/>
          </w:rPr>
          <w:fldChar w:fldCharType="separate"/>
        </w:r>
        <w:r>
          <w:rPr>
            <w:noProof/>
            <w:webHidden/>
          </w:rPr>
          <w:t>74</w:t>
        </w:r>
        <w:r>
          <w:rPr>
            <w:noProof/>
            <w:webHidden/>
          </w:rPr>
          <w:fldChar w:fldCharType="end"/>
        </w:r>
      </w:hyperlink>
    </w:p>
    <w:p w14:paraId="5407F52E" w14:textId="669ECC8E" w:rsidR="00672C8C" w:rsidRDefault="00672C8C">
      <w:pPr>
        <w:pStyle w:val="TOC8"/>
        <w:rPr>
          <w:rFonts w:asciiTheme="minorHAnsi" w:eastAsiaTheme="minorEastAsia" w:hAnsiTheme="minorHAnsi" w:cstheme="minorBidi"/>
          <w:noProof/>
          <w:color w:val="auto"/>
          <w:kern w:val="2"/>
          <w14:ligatures w14:val="standardContextual"/>
        </w:rPr>
      </w:pPr>
      <w:hyperlink w:anchor="_Toc220498706" w:history="1">
        <w:r w:rsidRPr="006A600D">
          <w:rPr>
            <w:rStyle w:val="Hyperlink"/>
            <w:noProof/>
          </w:rPr>
          <w:t>Table 6.2  Threshold Scores for Preliminary Categories</w:t>
        </w:r>
        <w:r>
          <w:rPr>
            <w:noProof/>
            <w:webHidden/>
          </w:rPr>
          <w:tab/>
        </w:r>
        <w:r>
          <w:rPr>
            <w:noProof/>
            <w:webHidden/>
          </w:rPr>
          <w:fldChar w:fldCharType="begin"/>
        </w:r>
        <w:r>
          <w:rPr>
            <w:noProof/>
            <w:webHidden/>
          </w:rPr>
          <w:instrText xml:space="preserve"> PAGEREF _Toc220498706 \h </w:instrText>
        </w:r>
        <w:r>
          <w:rPr>
            <w:noProof/>
            <w:webHidden/>
          </w:rPr>
        </w:r>
        <w:r>
          <w:rPr>
            <w:noProof/>
            <w:webHidden/>
          </w:rPr>
          <w:fldChar w:fldCharType="separate"/>
        </w:r>
        <w:r>
          <w:rPr>
            <w:noProof/>
            <w:webHidden/>
          </w:rPr>
          <w:t>74</w:t>
        </w:r>
        <w:r>
          <w:rPr>
            <w:noProof/>
            <w:webHidden/>
          </w:rPr>
          <w:fldChar w:fldCharType="end"/>
        </w:r>
      </w:hyperlink>
    </w:p>
    <w:p w14:paraId="5055CE16" w14:textId="0BFB0188" w:rsidR="00672C8C" w:rsidRDefault="00672C8C">
      <w:pPr>
        <w:pStyle w:val="TOC8"/>
        <w:rPr>
          <w:rFonts w:asciiTheme="minorHAnsi" w:eastAsiaTheme="minorEastAsia" w:hAnsiTheme="minorHAnsi" w:cstheme="minorBidi"/>
          <w:noProof/>
          <w:color w:val="auto"/>
          <w:kern w:val="2"/>
          <w14:ligatures w14:val="standardContextual"/>
        </w:rPr>
      </w:pPr>
      <w:hyperlink w:anchor="_Toc220498707" w:history="1">
        <w:r w:rsidRPr="006A600D">
          <w:rPr>
            <w:rStyle w:val="Hyperlink"/>
            <w:noProof/>
          </w:rPr>
          <w:t>Table 6.3  Grade Five Preliminary Indicator Conversion Table</w:t>
        </w:r>
        <w:r>
          <w:rPr>
            <w:noProof/>
            <w:webHidden/>
          </w:rPr>
          <w:tab/>
        </w:r>
        <w:r>
          <w:rPr>
            <w:noProof/>
            <w:webHidden/>
          </w:rPr>
          <w:fldChar w:fldCharType="begin"/>
        </w:r>
        <w:r>
          <w:rPr>
            <w:noProof/>
            <w:webHidden/>
          </w:rPr>
          <w:instrText xml:space="preserve"> PAGEREF _Toc220498707 \h </w:instrText>
        </w:r>
        <w:r>
          <w:rPr>
            <w:noProof/>
            <w:webHidden/>
          </w:rPr>
        </w:r>
        <w:r>
          <w:rPr>
            <w:noProof/>
            <w:webHidden/>
          </w:rPr>
          <w:fldChar w:fldCharType="separate"/>
        </w:r>
        <w:r>
          <w:rPr>
            <w:noProof/>
            <w:webHidden/>
          </w:rPr>
          <w:t>75</w:t>
        </w:r>
        <w:r>
          <w:rPr>
            <w:noProof/>
            <w:webHidden/>
          </w:rPr>
          <w:fldChar w:fldCharType="end"/>
        </w:r>
      </w:hyperlink>
    </w:p>
    <w:p w14:paraId="06CFFCCF" w14:textId="54804DD8" w:rsidR="00672C8C" w:rsidRDefault="00672C8C">
      <w:pPr>
        <w:pStyle w:val="TOC8"/>
        <w:rPr>
          <w:rFonts w:asciiTheme="minorHAnsi" w:eastAsiaTheme="minorEastAsia" w:hAnsiTheme="minorHAnsi" w:cstheme="minorBidi"/>
          <w:noProof/>
          <w:color w:val="auto"/>
          <w:kern w:val="2"/>
          <w14:ligatures w14:val="standardContextual"/>
        </w:rPr>
      </w:pPr>
      <w:hyperlink w:anchor="_Toc220498708" w:history="1">
        <w:r w:rsidRPr="006A600D">
          <w:rPr>
            <w:rStyle w:val="Hyperlink"/>
            <w:noProof/>
          </w:rPr>
          <w:t>Table 6.4  Grade Eight Preliminary Indicator Conversion Table</w:t>
        </w:r>
        <w:r>
          <w:rPr>
            <w:noProof/>
            <w:webHidden/>
          </w:rPr>
          <w:tab/>
        </w:r>
        <w:r>
          <w:rPr>
            <w:noProof/>
            <w:webHidden/>
          </w:rPr>
          <w:fldChar w:fldCharType="begin"/>
        </w:r>
        <w:r>
          <w:rPr>
            <w:noProof/>
            <w:webHidden/>
          </w:rPr>
          <w:instrText xml:space="preserve"> PAGEREF _Toc220498708 \h </w:instrText>
        </w:r>
        <w:r>
          <w:rPr>
            <w:noProof/>
            <w:webHidden/>
          </w:rPr>
        </w:r>
        <w:r>
          <w:rPr>
            <w:noProof/>
            <w:webHidden/>
          </w:rPr>
          <w:fldChar w:fldCharType="separate"/>
        </w:r>
        <w:r>
          <w:rPr>
            <w:noProof/>
            <w:webHidden/>
          </w:rPr>
          <w:t>76</w:t>
        </w:r>
        <w:r>
          <w:rPr>
            <w:noProof/>
            <w:webHidden/>
          </w:rPr>
          <w:fldChar w:fldCharType="end"/>
        </w:r>
      </w:hyperlink>
    </w:p>
    <w:p w14:paraId="74224A5E" w14:textId="3662AA40" w:rsidR="00672C8C" w:rsidRDefault="00672C8C">
      <w:pPr>
        <w:pStyle w:val="TOC8"/>
        <w:rPr>
          <w:rFonts w:asciiTheme="minorHAnsi" w:eastAsiaTheme="minorEastAsia" w:hAnsiTheme="minorHAnsi" w:cstheme="minorBidi"/>
          <w:noProof/>
          <w:color w:val="auto"/>
          <w:kern w:val="2"/>
          <w14:ligatures w14:val="standardContextual"/>
        </w:rPr>
      </w:pPr>
      <w:hyperlink w:anchor="_Toc220498709" w:history="1">
        <w:r w:rsidRPr="006A600D">
          <w:rPr>
            <w:rStyle w:val="Hyperlink"/>
            <w:noProof/>
          </w:rPr>
          <w:t>Table 6.5  High School Preliminary Indicator Conversion Table</w:t>
        </w:r>
        <w:r>
          <w:rPr>
            <w:noProof/>
            <w:webHidden/>
          </w:rPr>
          <w:tab/>
        </w:r>
        <w:r>
          <w:rPr>
            <w:noProof/>
            <w:webHidden/>
          </w:rPr>
          <w:fldChar w:fldCharType="begin"/>
        </w:r>
        <w:r>
          <w:rPr>
            <w:noProof/>
            <w:webHidden/>
          </w:rPr>
          <w:instrText xml:space="preserve"> PAGEREF _Toc220498709 \h </w:instrText>
        </w:r>
        <w:r>
          <w:rPr>
            <w:noProof/>
            <w:webHidden/>
          </w:rPr>
        </w:r>
        <w:r>
          <w:rPr>
            <w:noProof/>
            <w:webHidden/>
          </w:rPr>
          <w:fldChar w:fldCharType="separate"/>
        </w:r>
        <w:r>
          <w:rPr>
            <w:noProof/>
            <w:webHidden/>
          </w:rPr>
          <w:t>77</w:t>
        </w:r>
        <w:r>
          <w:rPr>
            <w:noProof/>
            <w:webHidden/>
          </w:rPr>
          <w:fldChar w:fldCharType="end"/>
        </w:r>
      </w:hyperlink>
    </w:p>
    <w:p w14:paraId="628BE8B0" w14:textId="2686DB95" w:rsidR="00672C8C" w:rsidRDefault="00672C8C">
      <w:pPr>
        <w:pStyle w:val="TOC8"/>
        <w:rPr>
          <w:rFonts w:asciiTheme="minorHAnsi" w:eastAsiaTheme="minorEastAsia" w:hAnsiTheme="minorHAnsi" w:cstheme="minorBidi"/>
          <w:noProof/>
          <w:color w:val="auto"/>
          <w:kern w:val="2"/>
          <w14:ligatures w14:val="standardContextual"/>
        </w:rPr>
      </w:pPr>
      <w:hyperlink w:anchor="_Toc220498710" w:history="1">
        <w:r w:rsidRPr="006A600D">
          <w:rPr>
            <w:rStyle w:val="Hyperlink"/>
            <w:noProof/>
          </w:rPr>
          <w:t>Table 6.A.1  Number and Percentage of Students in the Preliminary Indicator Categories</w:t>
        </w:r>
        <w:r>
          <w:rPr>
            <w:noProof/>
            <w:webHidden/>
          </w:rPr>
          <w:tab/>
        </w:r>
        <w:r>
          <w:rPr>
            <w:noProof/>
            <w:webHidden/>
          </w:rPr>
          <w:fldChar w:fldCharType="begin"/>
        </w:r>
        <w:r>
          <w:rPr>
            <w:noProof/>
            <w:webHidden/>
          </w:rPr>
          <w:instrText xml:space="preserve"> PAGEREF _Toc220498710 \h </w:instrText>
        </w:r>
        <w:r>
          <w:rPr>
            <w:noProof/>
            <w:webHidden/>
          </w:rPr>
        </w:r>
        <w:r>
          <w:rPr>
            <w:noProof/>
            <w:webHidden/>
          </w:rPr>
          <w:fldChar w:fldCharType="separate"/>
        </w:r>
        <w:r>
          <w:rPr>
            <w:noProof/>
            <w:webHidden/>
          </w:rPr>
          <w:t>81</w:t>
        </w:r>
        <w:r>
          <w:rPr>
            <w:noProof/>
            <w:webHidden/>
          </w:rPr>
          <w:fldChar w:fldCharType="end"/>
        </w:r>
      </w:hyperlink>
    </w:p>
    <w:p w14:paraId="2C6AA18C" w14:textId="62B73019" w:rsidR="00672C8C" w:rsidRDefault="00672C8C">
      <w:pPr>
        <w:pStyle w:val="TOC8"/>
        <w:rPr>
          <w:rFonts w:asciiTheme="minorHAnsi" w:eastAsiaTheme="minorEastAsia" w:hAnsiTheme="minorHAnsi" w:cstheme="minorBidi"/>
          <w:noProof/>
          <w:color w:val="auto"/>
          <w:kern w:val="2"/>
          <w14:ligatures w14:val="standardContextual"/>
        </w:rPr>
      </w:pPr>
      <w:hyperlink w:anchor="_Toc220498711" w:history="1">
        <w:r w:rsidRPr="006A600D">
          <w:rPr>
            <w:rStyle w:val="Hyperlink"/>
            <w:noProof/>
          </w:rPr>
          <w:t>Table 7.1  Raw Score Summary for Each Embedded PT—Grade Five</w:t>
        </w:r>
        <w:r>
          <w:rPr>
            <w:noProof/>
            <w:webHidden/>
          </w:rPr>
          <w:tab/>
        </w:r>
        <w:r>
          <w:rPr>
            <w:noProof/>
            <w:webHidden/>
          </w:rPr>
          <w:fldChar w:fldCharType="begin"/>
        </w:r>
        <w:r>
          <w:rPr>
            <w:noProof/>
            <w:webHidden/>
          </w:rPr>
          <w:instrText xml:space="preserve"> PAGEREF _Toc220498711 \h </w:instrText>
        </w:r>
        <w:r>
          <w:rPr>
            <w:noProof/>
            <w:webHidden/>
          </w:rPr>
        </w:r>
        <w:r>
          <w:rPr>
            <w:noProof/>
            <w:webHidden/>
          </w:rPr>
          <w:fldChar w:fldCharType="separate"/>
        </w:r>
        <w:r>
          <w:rPr>
            <w:noProof/>
            <w:webHidden/>
          </w:rPr>
          <w:t>86</w:t>
        </w:r>
        <w:r>
          <w:rPr>
            <w:noProof/>
            <w:webHidden/>
          </w:rPr>
          <w:fldChar w:fldCharType="end"/>
        </w:r>
      </w:hyperlink>
    </w:p>
    <w:p w14:paraId="11C44A22" w14:textId="77E3ADB4" w:rsidR="00672C8C" w:rsidRDefault="00672C8C">
      <w:pPr>
        <w:pStyle w:val="TOC8"/>
        <w:rPr>
          <w:rFonts w:asciiTheme="minorHAnsi" w:eastAsiaTheme="minorEastAsia" w:hAnsiTheme="minorHAnsi" w:cstheme="minorBidi"/>
          <w:noProof/>
          <w:color w:val="auto"/>
          <w:kern w:val="2"/>
          <w14:ligatures w14:val="standardContextual"/>
        </w:rPr>
      </w:pPr>
      <w:hyperlink w:anchor="_Toc220498712" w:history="1">
        <w:r w:rsidRPr="006A600D">
          <w:rPr>
            <w:rStyle w:val="Hyperlink"/>
            <w:noProof/>
          </w:rPr>
          <w:t>Table 7.2  Raw Score Summary for Each Embedded PT—Grade Eight</w:t>
        </w:r>
        <w:r>
          <w:rPr>
            <w:noProof/>
            <w:webHidden/>
          </w:rPr>
          <w:tab/>
        </w:r>
        <w:r>
          <w:rPr>
            <w:noProof/>
            <w:webHidden/>
          </w:rPr>
          <w:fldChar w:fldCharType="begin"/>
        </w:r>
        <w:r>
          <w:rPr>
            <w:noProof/>
            <w:webHidden/>
          </w:rPr>
          <w:instrText xml:space="preserve"> PAGEREF _Toc220498712 \h </w:instrText>
        </w:r>
        <w:r>
          <w:rPr>
            <w:noProof/>
            <w:webHidden/>
          </w:rPr>
        </w:r>
        <w:r>
          <w:rPr>
            <w:noProof/>
            <w:webHidden/>
          </w:rPr>
          <w:fldChar w:fldCharType="separate"/>
        </w:r>
        <w:r>
          <w:rPr>
            <w:noProof/>
            <w:webHidden/>
          </w:rPr>
          <w:t>87</w:t>
        </w:r>
        <w:r>
          <w:rPr>
            <w:noProof/>
            <w:webHidden/>
          </w:rPr>
          <w:fldChar w:fldCharType="end"/>
        </w:r>
      </w:hyperlink>
    </w:p>
    <w:p w14:paraId="325CBEC3" w14:textId="32B6476B" w:rsidR="00672C8C" w:rsidRDefault="00672C8C">
      <w:pPr>
        <w:pStyle w:val="TOC8"/>
        <w:rPr>
          <w:rFonts w:asciiTheme="minorHAnsi" w:eastAsiaTheme="minorEastAsia" w:hAnsiTheme="minorHAnsi" w:cstheme="minorBidi"/>
          <w:noProof/>
          <w:color w:val="auto"/>
          <w:kern w:val="2"/>
          <w14:ligatures w14:val="standardContextual"/>
        </w:rPr>
      </w:pPr>
      <w:hyperlink w:anchor="_Toc220498713" w:history="1">
        <w:r w:rsidRPr="006A600D">
          <w:rPr>
            <w:rStyle w:val="Hyperlink"/>
            <w:noProof/>
          </w:rPr>
          <w:t>Table 7.3  Raw Score Summary for Each Embedded PT—High School</w:t>
        </w:r>
        <w:r>
          <w:rPr>
            <w:noProof/>
            <w:webHidden/>
          </w:rPr>
          <w:tab/>
        </w:r>
        <w:r>
          <w:rPr>
            <w:noProof/>
            <w:webHidden/>
          </w:rPr>
          <w:fldChar w:fldCharType="begin"/>
        </w:r>
        <w:r>
          <w:rPr>
            <w:noProof/>
            <w:webHidden/>
          </w:rPr>
          <w:instrText xml:space="preserve"> PAGEREF _Toc220498713 \h </w:instrText>
        </w:r>
        <w:r>
          <w:rPr>
            <w:noProof/>
            <w:webHidden/>
          </w:rPr>
        </w:r>
        <w:r>
          <w:rPr>
            <w:noProof/>
            <w:webHidden/>
          </w:rPr>
          <w:fldChar w:fldCharType="separate"/>
        </w:r>
        <w:r>
          <w:rPr>
            <w:noProof/>
            <w:webHidden/>
          </w:rPr>
          <w:t>87</w:t>
        </w:r>
        <w:r>
          <w:rPr>
            <w:noProof/>
            <w:webHidden/>
          </w:rPr>
          <w:fldChar w:fldCharType="end"/>
        </w:r>
      </w:hyperlink>
    </w:p>
    <w:p w14:paraId="2B0F1276" w14:textId="194B0158" w:rsidR="00672C8C" w:rsidRDefault="00672C8C">
      <w:pPr>
        <w:pStyle w:val="TOC8"/>
        <w:rPr>
          <w:rFonts w:asciiTheme="minorHAnsi" w:eastAsiaTheme="minorEastAsia" w:hAnsiTheme="minorHAnsi" w:cstheme="minorBidi"/>
          <w:noProof/>
          <w:color w:val="auto"/>
          <w:kern w:val="2"/>
          <w14:ligatures w14:val="standardContextual"/>
        </w:rPr>
      </w:pPr>
      <w:hyperlink w:anchor="_Toc220498714" w:history="1">
        <w:r w:rsidRPr="006A600D">
          <w:rPr>
            <w:rStyle w:val="Hyperlink"/>
            <w:noProof/>
          </w:rPr>
          <w:t>Table 7.4  DIF Categories for Dichotomous Items</w:t>
        </w:r>
        <w:r>
          <w:rPr>
            <w:noProof/>
            <w:webHidden/>
          </w:rPr>
          <w:tab/>
        </w:r>
        <w:r>
          <w:rPr>
            <w:noProof/>
            <w:webHidden/>
          </w:rPr>
          <w:fldChar w:fldCharType="begin"/>
        </w:r>
        <w:r>
          <w:rPr>
            <w:noProof/>
            <w:webHidden/>
          </w:rPr>
          <w:instrText xml:space="preserve"> PAGEREF _Toc220498714 \h </w:instrText>
        </w:r>
        <w:r>
          <w:rPr>
            <w:noProof/>
            <w:webHidden/>
          </w:rPr>
        </w:r>
        <w:r>
          <w:rPr>
            <w:noProof/>
            <w:webHidden/>
          </w:rPr>
          <w:fldChar w:fldCharType="separate"/>
        </w:r>
        <w:r>
          <w:rPr>
            <w:noProof/>
            <w:webHidden/>
          </w:rPr>
          <w:t>90</w:t>
        </w:r>
        <w:r>
          <w:rPr>
            <w:noProof/>
            <w:webHidden/>
          </w:rPr>
          <w:fldChar w:fldCharType="end"/>
        </w:r>
      </w:hyperlink>
    </w:p>
    <w:p w14:paraId="7C44079D" w14:textId="4A16B633" w:rsidR="00672C8C" w:rsidRDefault="00672C8C">
      <w:pPr>
        <w:pStyle w:val="TOC8"/>
        <w:rPr>
          <w:rFonts w:asciiTheme="minorHAnsi" w:eastAsiaTheme="minorEastAsia" w:hAnsiTheme="minorHAnsi" w:cstheme="minorBidi"/>
          <w:noProof/>
          <w:color w:val="auto"/>
          <w:kern w:val="2"/>
          <w14:ligatures w14:val="standardContextual"/>
        </w:rPr>
      </w:pPr>
      <w:hyperlink w:anchor="_Toc220498715" w:history="1">
        <w:r w:rsidRPr="006A600D">
          <w:rPr>
            <w:rStyle w:val="Hyperlink"/>
            <w:noProof/>
          </w:rPr>
          <w:t>Table 7.5  DIF Categories for Polytomous Items</w:t>
        </w:r>
        <w:r>
          <w:rPr>
            <w:noProof/>
            <w:webHidden/>
          </w:rPr>
          <w:tab/>
        </w:r>
        <w:r>
          <w:rPr>
            <w:noProof/>
            <w:webHidden/>
          </w:rPr>
          <w:fldChar w:fldCharType="begin"/>
        </w:r>
        <w:r>
          <w:rPr>
            <w:noProof/>
            <w:webHidden/>
          </w:rPr>
          <w:instrText xml:space="preserve"> PAGEREF _Toc220498715 \h </w:instrText>
        </w:r>
        <w:r>
          <w:rPr>
            <w:noProof/>
            <w:webHidden/>
          </w:rPr>
        </w:r>
        <w:r>
          <w:rPr>
            <w:noProof/>
            <w:webHidden/>
          </w:rPr>
          <w:fldChar w:fldCharType="separate"/>
        </w:r>
        <w:r>
          <w:rPr>
            <w:noProof/>
            <w:webHidden/>
          </w:rPr>
          <w:t>90</w:t>
        </w:r>
        <w:r>
          <w:rPr>
            <w:noProof/>
            <w:webHidden/>
          </w:rPr>
          <w:fldChar w:fldCharType="end"/>
        </w:r>
      </w:hyperlink>
    </w:p>
    <w:p w14:paraId="58E50E91" w14:textId="38A6FA79" w:rsidR="00672C8C" w:rsidRDefault="00672C8C">
      <w:pPr>
        <w:pStyle w:val="TOC8"/>
        <w:rPr>
          <w:rFonts w:asciiTheme="minorHAnsi" w:eastAsiaTheme="minorEastAsia" w:hAnsiTheme="minorHAnsi" w:cstheme="minorBidi"/>
          <w:noProof/>
          <w:color w:val="auto"/>
          <w:kern w:val="2"/>
          <w14:ligatures w14:val="standardContextual"/>
        </w:rPr>
      </w:pPr>
      <w:hyperlink w:anchor="_Toc220498716" w:history="1">
        <w:r w:rsidRPr="006A600D">
          <w:rPr>
            <w:rStyle w:val="Hyperlink"/>
            <w:noProof/>
          </w:rPr>
          <w:t>Table 7.6  Student Groups for DIF Comparison</w:t>
        </w:r>
        <w:r>
          <w:rPr>
            <w:noProof/>
            <w:webHidden/>
          </w:rPr>
          <w:tab/>
        </w:r>
        <w:r>
          <w:rPr>
            <w:noProof/>
            <w:webHidden/>
          </w:rPr>
          <w:fldChar w:fldCharType="begin"/>
        </w:r>
        <w:r>
          <w:rPr>
            <w:noProof/>
            <w:webHidden/>
          </w:rPr>
          <w:instrText xml:space="preserve"> PAGEREF _Toc220498716 \h </w:instrText>
        </w:r>
        <w:r>
          <w:rPr>
            <w:noProof/>
            <w:webHidden/>
          </w:rPr>
        </w:r>
        <w:r>
          <w:rPr>
            <w:noProof/>
            <w:webHidden/>
          </w:rPr>
          <w:fldChar w:fldCharType="separate"/>
        </w:r>
        <w:r>
          <w:rPr>
            <w:noProof/>
            <w:webHidden/>
          </w:rPr>
          <w:t>91</w:t>
        </w:r>
        <w:r>
          <w:rPr>
            <w:noProof/>
            <w:webHidden/>
          </w:rPr>
          <w:fldChar w:fldCharType="end"/>
        </w:r>
      </w:hyperlink>
    </w:p>
    <w:p w14:paraId="0D2831A0" w14:textId="666CA651" w:rsidR="008100CD" w:rsidRPr="00C34C12" w:rsidRDefault="007A2A57" w:rsidP="007A2A57">
      <w:pPr>
        <w:pStyle w:val="Caption"/>
        <w:pageBreakBefore/>
      </w:pPr>
      <w:r>
        <w:lastRenderedPageBreak/>
        <w:fldChar w:fldCharType="end"/>
      </w:r>
      <w:bookmarkStart w:id="12" w:name="_Toc220498683"/>
      <w:r w:rsidR="008100CD" w:rsidRPr="00C34C12">
        <w:t xml:space="preserve">Acronyms and Initialisms Used in the </w:t>
      </w:r>
      <w:r w:rsidR="008100CD" w:rsidRPr="00C34C12">
        <w:rPr>
          <w:i/>
        </w:rPr>
        <w:t>California Alternate Assessment for Science Technical Report</w:t>
      </w:r>
      <w:bookmarkEnd w:id="8"/>
      <w:bookmarkEnd w:id="9"/>
      <w:bookmarkEnd w:id="10"/>
      <w:bookmarkEnd w:id="11"/>
      <w:bookmarkEnd w:id="12"/>
    </w:p>
    <w:tbl>
      <w:tblPr>
        <w:tblStyle w:val="TRsBorders"/>
        <w:tblW w:w="0" w:type="auto"/>
        <w:tblLook w:val="01E0" w:firstRow="1" w:lastRow="1" w:firstColumn="1" w:lastColumn="1" w:noHBand="0" w:noVBand="0"/>
        <w:tblDescription w:val="Acronyms and Initialisms Used in the California Alternate Assessment for Science Technical Report"/>
      </w:tblPr>
      <w:tblGrid>
        <w:gridCol w:w="2448"/>
        <w:gridCol w:w="7200"/>
      </w:tblGrid>
      <w:tr w:rsidR="008100CD" w:rsidRPr="00C34C12" w14:paraId="0DF42E09" w14:textId="77777777" w:rsidTr="00CA4A9A">
        <w:trPr>
          <w:cnfStyle w:val="100000000000" w:firstRow="1" w:lastRow="0" w:firstColumn="0" w:lastColumn="0" w:oddVBand="0" w:evenVBand="0" w:oddHBand="0" w:evenHBand="0" w:firstRowFirstColumn="0" w:firstRowLastColumn="0" w:lastRowFirstColumn="0" w:lastRowLastColumn="0"/>
          <w:cantSplit/>
        </w:trPr>
        <w:tc>
          <w:tcPr>
            <w:tcW w:w="2448" w:type="dxa"/>
          </w:tcPr>
          <w:p w14:paraId="5A047235" w14:textId="77777777" w:rsidR="008100CD" w:rsidRPr="00C34C12" w:rsidRDefault="008100CD" w:rsidP="00BE67AD">
            <w:pPr>
              <w:pStyle w:val="TableText"/>
              <w:jc w:val="center"/>
              <w:rPr>
                <w:b w:val="0"/>
                <w:noProof w:val="0"/>
              </w:rPr>
            </w:pPr>
            <w:r w:rsidRPr="00C34C12">
              <w:rPr>
                <w:noProof w:val="0"/>
              </w:rPr>
              <w:t>Term</w:t>
            </w:r>
          </w:p>
        </w:tc>
        <w:tc>
          <w:tcPr>
            <w:tcW w:w="7200" w:type="dxa"/>
          </w:tcPr>
          <w:p w14:paraId="779E4619" w14:textId="77777777" w:rsidR="008100CD" w:rsidRPr="00C34C12" w:rsidRDefault="008100CD" w:rsidP="00BE67AD">
            <w:pPr>
              <w:pStyle w:val="TableText"/>
              <w:jc w:val="center"/>
              <w:rPr>
                <w:b w:val="0"/>
                <w:noProof w:val="0"/>
              </w:rPr>
            </w:pPr>
            <w:r w:rsidRPr="00C34C12">
              <w:rPr>
                <w:noProof w:val="0"/>
              </w:rPr>
              <w:t>Definition</w:t>
            </w:r>
          </w:p>
        </w:tc>
      </w:tr>
      <w:tr w:rsidR="008100CD" w:rsidRPr="00C34C12" w14:paraId="2DBFB1F2" w14:textId="77777777" w:rsidTr="00CA4A9A">
        <w:tc>
          <w:tcPr>
            <w:tcW w:w="2448" w:type="dxa"/>
          </w:tcPr>
          <w:p w14:paraId="6B96D9F9" w14:textId="77777777" w:rsidR="008100CD" w:rsidRPr="00C34C12" w:rsidRDefault="008100CD" w:rsidP="00BE67AD">
            <w:pPr>
              <w:pStyle w:val="TableText"/>
              <w:rPr>
                <w:noProof w:val="0"/>
              </w:rPr>
            </w:pPr>
            <w:r w:rsidRPr="00C34C12">
              <w:rPr>
                <w:noProof w:val="0"/>
              </w:rPr>
              <w:t>1PL</w:t>
            </w:r>
          </w:p>
        </w:tc>
        <w:tc>
          <w:tcPr>
            <w:tcW w:w="7200" w:type="dxa"/>
          </w:tcPr>
          <w:p w14:paraId="153502F8" w14:textId="3978DD8E" w:rsidR="008100CD" w:rsidRPr="00C34C12" w:rsidRDefault="008100CD" w:rsidP="00BE67AD">
            <w:pPr>
              <w:pStyle w:val="TableText"/>
              <w:jc w:val="left"/>
              <w:rPr>
                <w:noProof w:val="0"/>
              </w:rPr>
            </w:pPr>
            <w:r w:rsidRPr="00C34C12">
              <w:rPr>
                <w:noProof w:val="0"/>
              </w:rPr>
              <w:t>one</w:t>
            </w:r>
            <w:r w:rsidR="008C0E34">
              <w:rPr>
                <w:noProof w:val="0"/>
              </w:rPr>
              <w:t>-</w:t>
            </w:r>
            <w:r w:rsidRPr="00C34C12">
              <w:rPr>
                <w:noProof w:val="0"/>
              </w:rPr>
              <w:t>parameter logistic</w:t>
            </w:r>
          </w:p>
        </w:tc>
      </w:tr>
      <w:tr w:rsidR="006C5505" w:rsidRPr="00C34C12" w14:paraId="2C4B8ED7" w14:textId="77777777" w:rsidTr="00CA4A9A">
        <w:tc>
          <w:tcPr>
            <w:tcW w:w="2448" w:type="dxa"/>
          </w:tcPr>
          <w:p w14:paraId="1CC258B8" w14:textId="7EC541CC" w:rsidR="006C5505" w:rsidRPr="00C34C12" w:rsidRDefault="006C5505" w:rsidP="00BE67AD">
            <w:pPr>
              <w:pStyle w:val="TableText"/>
              <w:rPr>
                <w:noProof w:val="0"/>
              </w:rPr>
            </w:pPr>
            <w:r w:rsidRPr="006C5505">
              <w:rPr>
                <w:noProof w:val="0"/>
              </w:rPr>
              <w:t>1PL-IRT</w:t>
            </w:r>
          </w:p>
        </w:tc>
        <w:tc>
          <w:tcPr>
            <w:tcW w:w="7200" w:type="dxa"/>
          </w:tcPr>
          <w:p w14:paraId="66D2491B" w14:textId="327E28E4" w:rsidR="006C5505" w:rsidRDefault="006C5505" w:rsidP="00BE67AD">
            <w:pPr>
              <w:pStyle w:val="TableText"/>
              <w:jc w:val="left"/>
              <w:rPr>
                <w:noProof w:val="0"/>
              </w:rPr>
            </w:pPr>
            <w:r w:rsidRPr="006C5505">
              <w:rPr>
                <w:noProof w:val="0"/>
              </w:rPr>
              <w:t>one-parameter logistic item response theory</w:t>
            </w:r>
          </w:p>
        </w:tc>
      </w:tr>
      <w:tr w:rsidR="008100CD" w:rsidRPr="00C34C12" w14:paraId="379988D4" w14:textId="77777777" w:rsidTr="00CA4A9A">
        <w:tc>
          <w:tcPr>
            <w:tcW w:w="2448" w:type="dxa"/>
          </w:tcPr>
          <w:p w14:paraId="2E1A6031" w14:textId="77777777" w:rsidR="008100CD" w:rsidRPr="00C34C12" w:rsidRDefault="008100CD" w:rsidP="00BE67AD">
            <w:pPr>
              <w:pStyle w:val="TableText"/>
              <w:rPr>
                <w:noProof w:val="0"/>
              </w:rPr>
            </w:pPr>
            <w:r w:rsidRPr="00C34C12">
              <w:rPr>
                <w:noProof w:val="0"/>
              </w:rPr>
              <w:t>AERA</w:t>
            </w:r>
          </w:p>
        </w:tc>
        <w:tc>
          <w:tcPr>
            <w:tcW w:w="7200" w:type="dxa"/>
          </w:tcPr>
          <w:p w14:paraId="44E8F205" w14:textId="77777777" w:rsidR="008100CD" w:rsidRPr="00C34C12" w:rsidRDefault="008100CD" w:rsidP="00BE67AD">
            <w:pPr>
              <w:pStyle w:val="TableText"/>
              <w:jc w:val="left"/>
              <w:rPr>
                <w:noProof w:val="0"/>
              </w:rPr>
            </w:pPr>
            <w:r w:rsidRPr="00C34C12">
              <w:rPr>
                <w:noProof w:val="0"/>
                <w:lang w:eastAsia="ko-KR"/>
              </w:rPr>
              <w:t>American Educational Research Association</w:t>
            </w:r>
          </w:p>
        </w:tc>
      </w:tr>
      <w:tr w:rsidR="008100CD" w:rsidRPr="00C34C12" w14:paraId="72B57A82" w14:textId="77777777" w:rsidTr="00CA4A9A">
        <w:tc>
          <w:tcPr>
            <w:tcW w:w="2448" w:type="dxa"/>
          </w:tcPr>
          <w:p w14:paraId="40626DE2" w14:textId="77777777" w:rsidR="008100CD" w:rsidRPr="00C34C12" w:rsidRDefault="008100CD" w:rsidP="00BE67AD">
            <w:pPr>
              <w:pStyle w:val="TableText"/>
              <w:rPr>
                <w:noProof w:val="0"/>
              </w:rPr>
            </w:pPr>
            <w:r w:rsidRPr="00C34C12">
              <w:rPr>
                <w:noProof w:val="0"/>
              </w:rPr>
              <w:t>AIS</w:t>
            </w:r>
          </w:p>
        </w:tc>
        <w:tc>
          <w:tcPr>
            <w:tcW w:w="7200" w:type="dxa"/>
          </w:tcPr>
          <w:p w14:paraId="1B1E4122" w14:textId="77777777" w:rsidR="008100CD" w:rsidRPr="00C34C12" w:rsidRDefault="008100CD" w:rsidP="00BE67AD">
            <w:pPr>
              <w:pStyle w:val="TableText"/>
              <w:jc w:val="left"/>
              <w:rPr>
                <w:noProof w:val="0"/>
              </w:rPr>
            </w:pPr>
            <w:r w:rsidRPr="00C34C12">
              <w:rPr>
                <w:noProof w:val="0"/>
              </w:rPr>
              <w:t>average item score</w:t>
            </w:r>
          </w:p>
        </w:tc>
      </w:tr>
      <w:tr w:rsidR="006C5505" w:rsidRPr="00C34C12" w14:paraId="52B581C5" w14:textId="77777777" w:rsidTr="00CA4A9A">
        <w:tc>
          <w:tcPr>
            <w:tcW w:w="2448" w:type="dxa"/>
          </w:tcPr>
          <w:p w14:paraId="01039928" w14:textId="100A32B8" w:rsidR="006C5505" w:rsidRPr="00C34C12" w:rsidRDefault="006C5505" w:rsidP="00BE67AD">
            <w:pPr>
              <w:pStyle w:val="TableText"/>
              <w:rPr>
                <w:noProof w:val="0"/>
              </w:rPr>
            </w:pPr>
            <w:r w:rsidRPr="006C5505">
              <w:rPr>
                <w:noProof w:val="0"/>
              </w:rPr>
              <w:t>ALTRD</w:t>
            </w:r>
          </w:p>
        </w:tc>
        <w:tc>
          <w:tcPr>
            <w:tcW w:w="7200" w:type="dxa"/>
          </w:tcPr>
          <w:p w14:paraId="02174B6F" w14:textId="63FF96FC" w:rsidR="006C5505" w:rsidRPr="00C34C12" w:rsidRDefault="006C5505" w:rsidP="00BE67AD">
            <w:pPr>
              <w:pStyle w:val="TableText"/>
              <w:jc w:val="left"/>
              <w:rPr>
                <w:noProof w:val="0"/>
              </w:rPr>
            </w:pPr>
            <w:r w:rsidRPr="006C5505">
              <w:rPr>
                <w:noProof w:val="0"/>
              </w:rPr>
              <w:t>Assessment and Learning Technology Research &amp; Development</w:t>
            </w:r>
          </w:p>
        </w:tc>
      </w:tr>
      <w:tr w:rsidR="008100CD" w:rsidRPr="00C34C12" w14:paraId="2EB99756" w14:textId="77777777" w:rsidTr="00CA4A9A">
        <w:tc>
          <w:tcPr>
            <w:tcW w:w="2448" w:type="dxa"/>
          </w:tcPr>
          <w:p w14:paraId="3729C02B" w14:textId="77777777" w:rsidR="008100CD" w:rsidRPr="00C34C12" w:rsidRDefault="008100CD" w:rsidP="00BE67AD">
            <w:pPr>
              <w:pStyle w:val="TableText"/>
              <w:rPr>
                <w:noProof w:val="0"/>
              </w:rPr>
            </w:pPr>
            <w:r w:rsidRPr="00C34C12">
              <w:rPr>
                <w:noProof w:val="0"/>
              </w:rPr>
              <w:t>APA</w:t>
            </w:r>
          </w:p>
        </w:tc>
        <w:tc>
          <w:tcPr>
            <w:tcW w:w="7200" w:type="dxa"/>
          </w:tcPr>
          <w:p w14:paraId="57BDFDAC" w14:textId="77777777" w:rsidR="008100CD" w:rsidRPr="00C34C12" w:rsidRDefault="008100CD" w:rsidP="00BE67AD">
            <w:pPr>
              <w:pStyle w:val="TableText"/>
              <w:jc w:val="left"/>
              <w:rPr>
                <w:noProof w:val="0"/>
              </w:rPr>
            </w:pPr>
            <w:r w:rsidRPr="00C34C12">
              <w:rPr>
                <w:noProof w:val="0"/>
              </w:rPr>
              <w:t>American Psychological Association</w:t>
            </w:r>
          </w:p>
        </w:tc>
      </w:tr>
      <w:tr w:rsidR="008100CD" w:rsidRPr="00C34C12" w14:paraId="2F3D5824" w14:textId="77777777" w:rsidTr="00CA4A9A">
        <w:tc>
          <w:tcPr>
            <w:tcW w:w="2448" w:type="dxa"/>
          </w:tcPr>
          <w:p w14:paraId="20EF8EA4" w14:textId="77777777" w:rsidR="008100CD" w:rsidRPr="00C34C12" w:rsidRDefault="008100CD" w:rsidP="00BE67AD">
            <w:pPr>
              <w:pStyle w:val="TableText"/>
              <w:rPr>
                <w:noProof w:val="0"/>
              </w:rPr>
            </w:pPr>
            <w:r w:rsidRPr="00C34C12">
              <w:rPr>
                <w:noProof w:val="0"/>
              </w:rPr>
              <w:t>CA NGSS</w:t>
            </w:r>
          </w:p>
        </w:tc>
        <w:tc>
          <w:tcPr>
            <w:tcW w:w="7200" w:type="dxa"/>
          </w:tcPr>
          <w:p w14:paraId="213FFF99" w14:textId="77777777" w:rsidR="008100CD" w:rsidRPr="00C34C12" w:rsidRDefault="008100CD" w:rsidP="00BE67AD">
            <w:pPr>
              <w:pStyle w:val="TableText"/>
              <w:jc w:val="left"/>
              <w:rPr>
                <w:noProof w:val="0"/>
              </w:rPr>
            </w:pPr>
            <w:r w:rsidRPr="00C34C12">
              <w:rPr>
                <w:noProof w:val="0"/>
              </w:rPr>
              <w:t>California Next Generation Science Standards</w:t>
            </w:r>
          </w:p>
        </w:tc>
      </w:tr>
      <w:tr w:rsidR="008100CD" w:rsidRPr="00C34C12" w14:paraId="5FCC3E3C" w14:textId="77777777" w:rsidTr="00CA4A9A">
        <w:tc>
          <w:tcPr>
            <w:tcW w:w="2448" w:type="dxa"/>
          </w:tcPr>
          <w:p w14:paraId="5F6B2276" w14:textId="77777777" w:rsidR="008100CD" w:rsidRPr="00C34C12" w:rsidRDefault="008100CD" w:rsidP="00BE67AD">
            <w:pPr>
              <w:pStyle w:val="TableText"/>
              <w:rPr>
                <w:noProof w:val="0"/>
              </w:rPr>
            </w:pPr>
            <w:r w:rsidRPr="00C34C12">
              <w:rPr>
                <w:noProof w:val="0"/>
              </w:rPr>
              <w:t>CAA</w:t>
            </w:r>
          </w:p>
        </w:tc>
        <w:tc>
          <w:tcPr>
            <w:tcW w:w="7200" w:type="dxa"/>
          </w:tcPr>
          <w:p w14:paraId="2C15EA5A" w14:textId="77777777" w:rsidR="008100CD" w:rsidRPr="00C34C12" w:rsidRDefault="008100CD" w:rsidP="00BE67AD">
            <w:pPr>
              <w:pStyle w:val="TableText"/>
              <w:jc w:val="left"/>
              <w:rPr>
                <w:noProof w:val="0"/>
              </w:rPr>
            </w:pPr>
            <w:r w:rsidRPr="00C34C12">
              <w:rPr>
                <w:noProof w:val="0"/>
              </w:rPr>
              <w:t>California Alternate Assessment</w:t>
            </w:r>
          </w:p>
        </w:tc>
      </w:tr>
      <w:tr w:rsidR="008100CD" w:rsidRPr="00C34C12" w14:paraId="399F071B" w14:textId="77777777" w:rsidTr="00CA4A9A">
        <w:tc>
          <w:tcPr>
            <w:tcW w:w="2448" w:type="dxa"/>
          </w:tcPr>
          <w:p w14:paraId="397C5ED6" w14:textId="77777777" w:rsidR="008100CD" w:rsidRPr="00C34C12" w:rsidRDefault="008100CD" w:rsidP="00BE67AD">
            <w:pPr>
              <w:pStyle w:val="TableText"/>
              <w:rPr>
                <w:noProof w:val="0"/>
              </w:rPr>
            </w:pPr>
            <w:r w:rsidRPr="00C34C12">
              <w:rPr>
                <w:noProof w:val="0"/>
              </w:rPr>
              <w:t>CAASPP</w:t>
            </w:r>
          </w:p>
        </w:tc>
        <w:tc>
          <w:tcPr>
            <w:tcW w:w="7200" w:type="dxa"/>
          </w:tcPr>
          <w:p w14:paraId="734F05D1" w14:textId="77777777" w:rsidR="008100CD" w:rsidRPr="00C34C12" w:rsidRDefault="008100CD" w:rsidP="00BE67AD">
            <w:pPr>
              <w:pStyle w:val="TableText"/>
              <w:jc w:val="left"/>
              <w:rPr>
                <w:noProof w:val="0"/>
              </w:rPr>
            </w:pPr>
            <w:r w:rsidRPr="00C34C12">
              <w:rPr>
                <w:noProof w:val="0"/>
              </w:rPr>
              <w:t>California Assessment of Student Performance and Progress</w:t>
            </w:r>
          </w:p>
        </w:tc>
      </w:tr>
      <w:tr w:rsidR="006347D1" w:rsidRPr="00C34C12" w14:paraId="2FDB426B" w14:textId="77777777" w:rsidTr="00CA4A9A">
        <w:tc>
          <w:tcPr>
            <w:tcW w:w="2448" w:type="dxa"/>
          </w:tcPr>
          <w:p w14:paraId="7BEE9936" w14:textId="25E893A6" w:rsidR="006347D1" w:rsidRPr="00C34C12" w:rsidRDefault="006347D1" w:rsidP="00BE67AD">
            <w:pPr>
              <w:pStyle w:val="TableText"/>
              <w:rPr>
                <w:noProof w:val="0"/>
              </w:rPr>
            </w:pPr>
            <w:r>
              <w:rPr>
                <w:noProof w:val="0"/>
              </w:rPr>
              <w:t>CAC</w:t>
            </w:r>
          </w:p>
        </w:tc>
        <w:tc>
          <w:tcPr>
            <w:tcW w:w="7200" w:type="dxa"/>
          </w:tcPr>
          <w:p w14:paraId="0B78AEEC" w14:textId="138F5C90" w:rsidR="006347D1" w:rsidRPr="00C34C12" w:rsidRDefault="006347D1" w:rsidP="00BE67AD">
            <w:pPr>
              <w:pStyle w:val="TableText"/>
              <w:jc w:val="left"/>
              <w:rPr>
                <w:noProof w:val="0"/>
              </w:rPr>
            </w:pPr>
            <w:r>
              <w:rPr>
                <w:noProof w:val="0"/>
              </w:rPr>
              <w:t>California Assessment Conference</w:t>
            </w:r>
          </w:p>
        </w:tc>
      </w:tr>
      <w:tr w:rsidR="008100CD" w:rsidRPr="00C34C12" w14:paraId="66B6F14C" w14:textId="77777777" w:rsidTr="00CA4A9A">
        <w:tc>
          <w:tcPr>
            <w:tcW w:w="2448" w:type="dxa"/>
          </w:tcPr>
          <w:p w14:paraId="24E06B1B" w14:textId="77777777" w:rsidR="008100CD" w:rsidRPr="00C34C12" w:rsidRDefault="008100CD" w:rsidP="00BE67AD">
            <w:pPr>
              <w:pStyle w:val="TableText"/>
              <w:rPr>
                <w:noProof w:val="0"/>
              </w:rPr>
            </w:pPr>
            <w:r w:rsidRPr="00C34C12">
              <w:rPr>
                <w:noProof w:val="0"/>
              </w:rPr>
              <w:t>CALPADS</w:t>
            </w:r>
          </w:p>
        </w:tc>
        <w:tc>
          <w:tcPr>
            <w:tcW w:w="7200" w:type="dxa"/>
          </w:tcPr>
          <w:p w14:paraId="5079AB8C" w14:textId="77777777" w:rsidR="008100CD" w:rsidRPr="00C34C12" w:rsidRDefault="008100CD" w:rsidP="00BE67AD">
            <w:pPr>
              <w:pStyle w:val="TableText"/>
              <w:jc w:val="left"/>
              <w:rPr>
                <w:noProof w:val="0"/>
              </w:rPr>
            </w:pPr>
            <w:r w:rsidRPr="00C34C12">
              <w:rPr>
                <w:noProof w:val="0"/>
              </w:rPr>
              <w:t>California Longitudinal Pupil Achievement Data System</w:t>
            </w:r>
          </w:p>
        </w:tc>
      </w:tr>
      <w:tr w:rsidR="00E16397" w:rsidRPr="00C34C12" w14:paraId="3523853C" w14:textId="77777777" w:rsidTr="00CA4A9A">
        <w:tc>
          <w:tcPr>
            <w:tcW w:w="2448" w:type="dxa"/>
          </w:tcPr>
          <w:p w14:paraId="6EE77626" w14:textId="3DE3C857" w:rsidR="00E16397" w:rsidRPr="00C34C12" w:rsidRDefault="00E16397" w:rsidP="00BE67AD">
            <w:pPr>
              <w:pStyle w:val="TableText"/>
              <w:rPr>
                <w:noProof w:val="0"/>
              </w:rPr>
            </w:pPr>
            <w:r>
              <w:rPr>
                <w:noProof w:val="0"/>
              </w:rPr>
              <w:t>C</w:t>
            </w:r>
            <w:r>
              <w:t>AI</w:t>
            </w:r>
          </w:p>
        </w:tc>
        <w:tc>
          <w:tcPr>
            <w:tcW w:w="7200" w:type="dxa"/>
          </w:tcPr>
          <w:p w14:paraId="40AC82D2" w14:textId="41D87BDC" w:rsidR="00E16397" w:rsidRPr="00C34C12" w:rsidRDefault="00E16397" w:rsidP="00BE67AD">
            <w:pPr>
              <w:pStyle w:val="TableText"/>
              <w:jc w:val="left"/>
              <w:rPr>
                <w:noProof w:val="0"/>
              </w:rPr>
            </w:pPr>
            <w:r>
              <w:rPr>
                <w:noProof w:val="0"/>
              </w:rPr>
              <w:t>C</w:t>
            </w:r>
            <w:r>
              <w:t>ambium Assessment, Inc.</w:t>
            </w:r>
          </w:p>
        </w:tc>
      </w:tr>
      <w:tr w:rsidR="008100CD" w:rsidRPr="00C34C12" w14:paraId="1D22CF9C" w14:textId="77777777" w:rsidTr="00CA4A9A">
        <w:tc>
          <w:tcPr>
            <w:tcW w:w="2448" w:type="dxa"/>
          </w:tcPr>
          <w:p w14:paraId="1353EFD7" w14:textId="77777777" w:rsidR="008100CD" w:rsidRPr="00C34C12" w:rsidRDefault="008100CD" w:rsidP="00BE67AD">
            <w:pPr>
              <w:pStyle w:val="TableText"/>
              <w:rPr>
                <w:noProof w:val="0"/>
              </w:rPr>
            </w:pPr>
            <w:r w:rsidRPr="00C34C12">
              <w:rPr>
                <w:noProof w:val="0"/>
              </w:rPr>
              <w:t>CalTAC</w:t>
            </w:r>
          </w:p>
        </w:tc>
        <w:tc>
          <w:tcPr>
            <w:tcW w:w="7200" w:type="dxa"/>
          </w:tcPr>
          <w:p w14:paraId="1624CEEB" w14:textId="77777777" w:rsidR="008100CD" w:rsidRPr="00C34C12" w:rsidRDefault="008100CD" w:rsidP="00BE67AD">
            <w:pPr>
              <w:pStyle w:val="TableText"/>
              <w:jc w:val="left"/>
              <w:rPr>
                <w:noProof w:val="0"/>
              </w:rPr>
            </w:pPr>
            <w:r w:rsidRPr="00C34C12">
              <w:rPr>
                <w:noProof w:val="0"/>
              </w:rPr>
              <w:t>California Technical Assistance Center</w:t>
            </w:r>
          </w:p>
        </w:tc>
      </w:tr>
      <w:tr w:rsidR="008100CD" w:rsidRPr="00C34C12" w14:paraId="37193FC9" w14:textId="77777777" w:rsidTr="00CA4A9A">
        <w:tc>
          <w:tcPr>
            <w:tcW w:w="2448" w:type="dxa"/>
          </w:tcPr>
          <w:p w14:paraId="5B835D06" w14:textId="77777777" w:rsidR="008100CD" w:rsidRPr="00C34C12" w:rsidRDefault="008100CD" w:rsidP="00BE67AD">
            <w:pPr>
              <w:pStyle w:val="TableText"/>
              <w:rPr>
                <w:noProof w:val="0"/>
              </w:rPr>
            </w:pPr>
            <w:r w:rsidRPr="00C34C12">
              <w:rPr>
                <w:noProof w:val="0"/>
              </w:rPr>
              <w:t>CAST</w:t>
            </w:r>
          </w:p>
        </w:tc>
        <w:tc>
          <w:tcPr>
            <w:tcW w:w="7200" w:type="dxa"/>
          </w:tcPr>
          <w:p w14:paraId="5994A8B6" w14:textId="77777777" w:rsidR="008100CD" w:rsidRPr="00C34C12" w:rsidRDefault="008100CD" w:rsidP="00BE67AD">
            <w:pPr>
              <w:pStyle w:val="TableText"/>
              <w:jc w:val="left"/>
              <w:rPr>
                <w:noProof w:val="0"/>
              </w:rPr>
            </w:pPr>
            <w:r w:rsidRPr="00C34C12">
              <w:rPr>
                <w:noProof w:val="0"/>
              </w:rPr>
              <w:t>California Science Test</w:t>
            </w:r>
          </w:p>
        </w:tc>
      </w:tr>
      <w:tr w:rsidR="008100CD" w:rsidRPr="00C34C12" w14:paraId="149D0BDE" w14:textId="77777777" w:rsidTr="00CA4A9A">
        <w:tc>
          <w:tcPr>
            <w:tcW w:w="2448" w:type="dxa"/>
          </w:tcPr>
          <w:p w14:paraId="5EB0CA8C" w14:textId="77777777" w:rsidR="008100CD" w:rsidRPr="00C34C12" w:rsidRDefault="008100CD" w:rsidP="00BE67AD">
            <w:pPr>
              <w:pStyle w:val="TableText"/>
              <w:rPr>
                <w:i/>
                <w:noProof w:val="0"/>
              </w:rPr>
            </w:pPr>
            <w:r w:rsidRPr="00C34C12">
              <w:rPr>
                <w:i/>
                <w:noProof w:val="0"/>
              </w:rPr>
              <w:t>CCR</w:t>
            </w:r>
          </w:p>
        </w:tc>
        <w:tc>
          <w:tcPr>
            <w:tcW w:w="7200" w:type="dxa"/>
          </w:tcPr>
          <w:p w14:paraId="3F575678" w14:textId="77777777" w:rsidR="008100CD" w:rsidRPr="00C34C12" w:rsidRDefault="008100CD" w:rsidP="00BE67AD">
            <w:pPr>
              <w:pStyle w:val="TableText"/>
              <w:jc w:val="left"/>
              <w:rPr>
                <w:i/>
                <w:noProof w:val="0"/>
              </w:rPr>
            </w:pPr>
            <w:r w:rsidRPr="00C34C12">
              <w:rPr>
                <w:i/>
                <w:noProof w:val="0"/>
              </w:rPr>
              <w:t>California Code of Regulations</w:t>
            </w:r>
          </w:p>
        </w:tc>
      </w:tr>
      <w:tr w:rsidR="008100CD" w:rsidRPr="00C34C12" w14:paraId="5FCEB049" w14:textId="77777777" w:rsidTr="00CA4A9A">
        <w:tc>
          <w:tcPr>
            <w:tcW w:w="2448" w:type="dxa"/>
          </w:tcPr>
          <w:p w14:paraId="67DD080E" w14:textId="77777777" w:rsidR="008100CD" w:rsidRPr="00C34C12" w:rsidRDefault="008100CD" w:rsidP="00BE67AD">
            <w:pPr>
              <w:pStyle w:val="TableText"/>
              <w:rPr>
                <w:noProof w:val="0"/>
              </w:rPr>
            </w:pPr>
            <w:r w:rsidRPr="00C34C12">
              <w:rPr>
                <w:noProof w:val="0"/>
              </w:rPr>
              <w:t>CCSS</w:t>
            </w:r>
          </w:p>
        </w:tc>
        <w:tc>
          <w:tcPr>
            <w:tcW w:w="7200" w:type="dxa"/>
          </w:tcPr>
          <w:p w14:paraId="258AFB12" w14:textId="77777777" w:rsidR="008100CD" w:rsidRPr="00C34C12" w:rsidRDefault="008100CD" w:rsidP="00BE67AD">
            <w:pPr>
              <w:pStyle w:val="TableText"/>
              <w:jc w:val="left"/>
              <w:rPr>
                <w:noProof w:val="0"/>
              </w:rPr>
            </w:pPr>
            <w:r w:rsidRPr="00C34C12">
              <w:rPr>
                <w:noProof w:val="0"/>
              </w:rPr>
              <w:t>Common Core State Standards</w:t>
            </w:r>
          </w:p>
        </w:tc>
      </w:tr>
      <w:tr w:rsidR="008100CD" w:rsidRPr="00C34C12" w14:paraId="4C6F4E7C" w14:textId="77777777" w:rsidTr="00CA4A9A">
        <w:tc>
          <w:tcPr>
            <w:tcW w:w="2448" w:type="dxa"/>
          </w:tcPr>
          <w:p w14:paraId="174DDD0E" w14:textId="77777777" w:rsidR="008100CD" w:rsidRPr="00C34C12" w:rsidRDefault="008100CD" w:rsidP="00BE67AD">
            <w:pPr>
              <w:pStyle w:val="TableText"/>
              <w:rPr>
                <w:noProof w:val="0"/>
              </w:rPr>
            </w:pPr>
            <w:r w:rsidRPr="00C34C12">
              <w:rPr>
                <w:noProof w:val="0"/>
              </w:rPr>
              <w:t>CDE</w:t>
            </w:r>
          </w:p>
        </w:tc>
        <w:tc>
          <w:tcPr>
            <w:tcW w:w="7200" w:type="dxa"/>
          </w:tcPr>
          <w:p w14:paraId="21261138" w14:textId="77777777" w:rsidR="008100CD" w:rsidRPr="00C34C12" w:rsidRDefault="008100CD" w:rsidP="00BE67AD">
            <w:pPr>
              <w:pStyle w:val="TableText"/>
              <w:jc w:val="left"/>
              <w:rPr>
                <w:noProof w:val="0"/>
              </w:rPr>
            </w:pPr>
            <w:r w:rsidRPr="00C34C12">
              <w:rPr>
                <w:noProof w:val="0"/>
              </w:rPr>
              <w:t>California Department of Education</w:t>
            </w:r>
          </w:p>
        </w:tc>
      </w:tr>
      <w:tr w:rsidR="008100CD" w:rsidRPr="00C34C12" w14:paraId="7CA80DDB" w14:textId="77777777" w:rsidTr="00CA4A9A">
        <w:tc>
          <w:tcPr>
            <w:tcW w:w="2448" w:type="dxa"/>
          </w:tcPr>
          <w:p w14:paraId="6522CD47" w14:textId="77777777" w:rsidR="008100CD" w:rsidRPr="00C34C12" w:rsidRDefault="008100CD" w:rsidP="00BE67AD">
            <w:pPr>
              <w:pStyle w:val="TableText"/>
              <w:rPr>
                <w:noProof w:val="0"/>
              </w:rPr>
            </w:pPr>
            <w:r w:rsidRPr="00C34C12">
              <w:rPr>
                <w:noProof w:val="0"/>
              </w:rPr>
              <w:t>CERS</w:t>
            </w:r>
          </w:p>
        </w:tc>
        <w:tc>
          <w:tcPr>
            <w:tcW w:w="7200" w:type="dxa"/>
          </w:tcPr>
          <w:p w14:paraId="0329FBA8" w14:textId="77777777" w:rsidR="008100CD" w:rsidRPr="00C34C12" w:rsidRDefault="008100CD" w:rsidP="00BE67AD">
            <w:pPr>
              <w:pStyle w:val="TableText"/>
              <w:jc w:val="left"/>
              <w:rPr>
                <w:noProof w:val="0"/>
              </w:rPr>
            </w:pPr>
            <w:r w:rsidRPr="00C34C12">
              <w:rPr>
                <w:noProof w:val="0"/>
              </w:rPr>
              <w:t>California Educator Reporting System</w:t>
            </w:r>
          </w:p>
        </w:tc>
      </w:tr>
      <w:tr w:rsidR="001000AC" w:rsidRPr="00C34C12" w14:paraId="21F6759A" w14:textId="77777777" w:rsidTr="00CA4A9A">
        <w:tc>
          <w:tcPr>
            <w:tcW w:w="2448" w:type="dxa"/>
          </w:tcPr>
          <w:p w14:paraId="32856688" w14:textId="019795BA" w:rsidR="001000AC" w:rsidRPr="00C34C12" w:rsidRDefault="001000AC" w:rsidP="00BE67AD">
            <w:pPr>
              <w:pStyle w:val="TableText"/>
              <w:rPr>
                <w:noProof w:val="0"/>
              </w:rPr>
            </w:pPr>
            <w:r>
              <w:rPr>
                <w:noProof w:val="0"/>
              </w:rPr>
              <w:t>COVID-19</w:t>
            </w:r>
          </w:p>
        </w:tc>
        <w:tc>
          <w:tcPr>
            <w:tcW w:w="7200" w:type="dxa"/>
          </w:tcPr>
          <w:p w14:paraId="42BB2E92" w14:textId="00DC0110" w:rsidR="001000AC" w:rsidRPr="00C34C12" w:rsidRDefault="001000AC" w:rsidP="00BE67AD">
            <w:pPr>
              <w:pStyle w:val="TableText"/>
              <w:jc w:val="left"/>
              <w:rPr>
                <w:noProof w:val="0"/>
              </w:rPr>
            </w:pPr>
            <w:r>
              <w:t>novel coronavirus disease 2019</w:t>
            </w:r>
          </w:p>
        </w:tc>
      </w:tr>
      <w:tr w:rsidR="008100CD" w:rsidRPr="00C34C12" w14:paraId="4DA79A20" w14:textId="77777777" w:rsidTr="00CA4A9A">
        <w:tc>
          <w:tcPr>
            <w:tcW w:w="2448" w:type="dxa"/>
          </w:tcPr>
          <w:p w14:paraId="7FEB2A2F" w14:textId="77777777" w:rsidR="008100CD" w:rsidRPr="00C34C12" w:rsidRDefault="008100CD" w:rsidP="00BE67AD">
            <w:pPr>
              <w:pStyle w:val="TableText"/>
              <w:rPr>
                <w:noProof w:val="0"/>
              </w:rPr>
            </w:pPr>
            <w:r w:rsidRPr="00C34C12">
              <w:rPr>
                <w:i/>
                <w:noProof w:val="0"/>
              </w:rPr>
              <w:t>DFA</w:t>
            </w:r>
          </w:p>
        </w:tc>
        <w:tc>
          <w:tcPr>
            <w:tcW w:w="7200" w:type="dxa"/>
          </w:tcPr>
          <w:p w14:paraId="7BBE469B" w14:textId="77777777" w:rsidR="008100CD" w:rsidRPr="00C34C12" w:rsidRDefault="008100CD" w:rsidP="00BE67AD">
            <w:pPr>
              <w:pStyle w:val="TableText"/>
              <w:jc w:val="left"/>
              <w:rPr>
                <w:noProof w:val="0"/>
              </w:rPr>
            </w:pPr>
            <w:r w:rsidRPr="00C34C12">
              <w:rPr>
                <w:i/>
                <w:noProof w:val="0"/>
              </w:rPr>
              <w:t>Directions for Administration</w:t>
            </w:r>
          </w:p>
        </w:tc>
      </w:tr>
      <w:tr w:rsidR="008100CD" w:rsidRPr="00C34C12" w14:paraId="531D211E" w14:textId="77777777" w:rsidTr="00CA4A9A">
        <w:tc>
          <w:tcPr>
            <w:tcW w:w="2448" w:type="dxa"/>
          </w:tcPr>
          <w:p w14:paraId="31D0942B" w14:textId="77777777" w:rsidR="008100CD" w:rsidRPr="00C34C12" w:rsidRDefault="008100CD" w:rsidP="00BE67AD">
            <w:pPr>
              <w:pStyle w:val="TableText"/>
              <w:rPr>
                <w:i/>
                <w:noProof w:val="0"/>
              </w:rPr>
            </w:pPr>
            <w:r w:rsidRPr="00C34C12">
              <w:rPr>
                <w:noProof w:val="0"/>
              </w:rPr>
              <w:t>DIF</w:t>
            </w:r>
          </w:p>
        </w:tc>
        <w:tc>
          <w:tcPr>
            <w:tcW w:w="7200" w:type="dxa"/>
          </w:tcPr>
          <w:p w14:paraId="29D10798" w14:textId="77777777" w:rsidR="008100CD" w:rsidRPr="00C34C12" w:rsidRDefault="008100CD" w:rsidP="00BE67AD">
            <w:pPr>
              <w:pStyle w:val="TableText"/>
              <w:jc w:val="left"/>
              <w:rPr>
                <w:i/>
                <w:noProof w:val="0"/>
              </w:rPr>
            </w:pPr>
            <w:r w:rsidRPr="00C34C12">
              <w:rPr>
                <w:noProof w:val="0"/>
              </w:rPr>
              <w:t>differential item functioning</w:t>
            </w:r>
          </w:p>
        </w:tc>
      </w:tr>
      <w:tr w:rsidR="008100CD" w:rsidRPr="00C34C12" w14:paraId="6302124A" w14:textId="77777777" w:rsidTr="00CA4A9A">
        <w:tc>
          <w:tcPr>
            <w:tcW w:w="2448" w:type="dxa"/>
          </w:tcPr>
          <w:p w14:paraId="1F8C6001" w14:textId="77777777" w:rsidR="008100CD" w:rsidRPr="00C34C12" w:rsidRDefault="008100CD" w:rsidP="00BE67AD">
            <w:pPr>
              <w:pStyle w:val="TableText"/>
              <w:rPr>
                <w:noProof w:val="0"/>
              </w:rPr>
            </w:pPr>
            <w:r w:rsidRPr="00C34C12">
              <w:rPr>
                <w:i/>
                <w:noProof w:val="0"/>
              </w:rPr>
              <w:t>EC</w:t>
            </w:r>
          </w:p>
        </w:tc>
        <w:tc>
          <w:tcPr>
            <w:tcW w:w="7200" w:type="dxa"/>
          </w:tcPr>
          <w:p w14:paraId="674BD39D" w14:textId="77777777" w:rsidR="008100CD" w:rsidRPr="00C34C12" w:rsidRDefault="008100CD" w:rsidP="00BE67AD">
            <w:pPr>
              <w:pStyle w:val="TableText"/>
              <w:jc w:val="left"/>
              <w:rPr>
                <w:noProof w:val="0"/>
              </w:rPr>
            </w:pPr>
            <w:r w:rsidRPr="00C34C12">
              <w:rPr>
                <w:i/>
                <w:noProof w:val="0"/>
              </w:rPr>
              <w:t>Education Code</w:t>
            </w:r>
          </w:p>
        </w:tc>
      </w:tr>
      <w:tr w:rsidR="008100CD" w:rsidRPr="00C34C12" w14:paraId="236DEF29" w14:textId="77777777" w:rsidTr="00CA4A9A">
        <w:tc>
          <w:tcPr>
            <w:tcW w:w="2448" w:type="dxa"/>
          </w:tcPr>
          <w:p w14:paraId="61847C12" w14:textId="77777777" w:rsidR="008100CD" w:rsidRPr="00C34C12" w:rsidRDefault="008100CD" w:rsidP="00BE67AD">
            <w:pPr>
              <w:pStyle w:val="TableText"/>
              <w:rPr>
                <w:noProof w:val="0"/>
              </w:rPr>
            </w:pPr>
            <w:r w:rsidRPr="00C34C12">
              <w:rPr>
                <w:noProof w:val="0"/>
              </w:rPr>
              <w:t>ELA</w:t>
            </w:r>
          </w:p>
        </w:tc>
        <w:tc>
          <w:tcPr>
            <w:tcW w:w="7200" w:type="dxa"/>
          </w:tcPr>
          <w:p w14:paraId="32989A8D" w14:textId="77777777" w:rsidR="008100CD" w:rsidRPr="00C34C12" w:rsidRDefault="008100CD" w:rsidP="00BE67AD">
            <w:pPr>
              <w:pStyle w:val="TableText"/>
              <w:jc w:val="left"/>
              <w:rPr>
                <w:noProof w:val="0"/>
              </w:rPr>
            </w:pPr>
            <w:r w:rsidRPr="00C34C12">
              <w:rPr>
                <w:noProof w:val="0"/>
              </w:rPr>
              <w:t>English language arts/literacy</w:t>
            </w:r>
          </w:p>
        </w:tc>
      </w:tr>
      <w:tr w:rsidR="008100CD" w:rsidRPr="00C34C12" w14:paraId="69102297" w14:textId="77777777" w:rsidTr="00CA4A9A">
        <w:tc>
          <w:tcPr>
            <w:tcW w:w="2448" w:type="dxa"/>
          </w:tcPr>
          <w:p w14:paraId="4B7CCCDD" w14:textId="77777777" w:rsidR="008100CD" w:rsidRPr="00C34C12" w:rsidRDefault="008100CD" w:rsidP="00BE67AD">
            <w:pPr>
              <w:pStyle w:val="TableText"/>
              <w:rPr>
                <w:noProof w:val="0"/>
              </w:rPr>
            </w:pPr>
            <w:r w:rsidRPr="00C34C12">
              <w:rPr>
                <w:noProof w:val="0"/>
              </w:rPr>
              <w:t>ELD</w:t>
            </w:r>
          </w:p>
        </w:tc>
        <w:tc>
          <w:tcPr>
            <w:tcW w:w="7200" w:type="dxa"/>
          </w:tcPr>
          <w:p w14:paraId="0DCC1361" w14:textId="77777777" w:rsidR="008100CD" w:rsidRPr="00C34C12" w:rsidRDefault="008100CD" w:rsidP="00BE67AD">
            <w:pPr>
              <w:pStyle w:val="TableText"/>
              <w:jc w:val="left"/>
              <w:rPr>
                <w:noProof w:val="0"/>
              </w:rPr>
            </w:pPr>
            <w:r w:rsidRPr="00C34C12">
              <w:rPr>
                <w:noProof w:val="0"/>
              </w:rPr>
              <w:t>English Language Development</w:t>
            </w:r>
          </w:p>
        </w:tc>
      </w:tr>
      <w:tr w:rsidR="006D3E50" w:rsidRPr="00C34C12" w14:paraId="115F195F" w14:textId="77777777" w:rsidTr="00CA4A9A">
        <w:tc>
          <w:tcPr>
            <w:tcW w:w="2448" w:type="dxa"/>
          </w:tcPr>
          <w:p w14:paraId="51DABE8F" w14:textId="484ECFD2" w:rsidR="006D3E50" w:rsidRPr="00C34C12" w:rsidRDefault="006D3E50" w:rsidP="00BE67AD">
            <w:pPr>
              <w:pStyle w:val="TableText"/>
              <w:rPr>
                <w:noProof w:val="0"/>
              </w:rPr>
            </w:pPr>
            <w:r w:rsidRPr="006D3E50">
              <w:rPr>
                <w:noProof w:val="0"/>
              </w:rPr>
              <w:t>ELPAC</w:t>
            </w:r>
          </w:p>
        </w:tc>
        <w:tc>
          <w:tcPr>
            <w:tcW w:w="7200" w:type="dxa"/>
          </w:tcPr>
          <w:p w14:paraId="4FCD4865" w14:textId="59A0D4FD" w:rsidR="006D3E50" w:rsidRPr="00C34C12" w:rsidRDefault="006D3E50" w:rsidP="00BE67AD">
            <w:pPr>
              <w:pStyle w:val="TableText"/>
              <w:jc w:val="left"/>
              <w:rPr>
                <w:noProof w:val="0"/>
              </w:rPr>
            </w:pPr>
            <w:r w:rsidRPr="006D3E50">
              <w:rPr>
                <w:noProof w:val="0"/>
              </w:rPr>
              <w:t>English Language Proficiency Assessments for California</w:t>
            </w:r>
          </w:p>
        </w:tc>
      </w:tr>
      <w:tr w:rsidR="008100CD" w:rsidRPr="00C34C12" w14:paraId="51C13322" w14:textId="77777777" w:rsidTr="00CA4A9A">
        <w:tc>
          <w:tcPr>
            <w:tcW w:w="2448" w:type="dxa"/>
          </w:tcPr>
          <w:p w14:paraId="2B0BD718" w14:textId="77777777" w:rsidR="008100CD" w:rsidRPr="00C34C12" w:rsidRDefault="008100CD" w:rsidP="00BE67AD">
            <w:pPr>
              <w:pStyle w:val="TableText"/>
              <w:rPr>
                <w:noProof w:val="0"/>
              </w:rPr>
            </w:pPr>
            <w:r w:rsidRPr="00C34C12">
              <w:rPr>
                <w:noProof w:val="0"/>
              </w:rPr>
              <w:t>eSKM</w:t>
            </w:r>
          </w:p>
        </w:tc>
        <w:tc>
          <w:tcPr>
            <w:tcW w:w="7200" w:type="dxa"/>
          </w:tcPr>
          <w:p w14:paraId="00477E34" w14:textId="77777777" w:rsidR="008100CD" w:rsidRPr="00C34C12" w:rsidRDefault="008100CD" w:rsidP="00BE67AD">
            <w:pPr>
              <w:pStyle w:val="TableText"/>
              <w:jc w:val="left"/>
              <w:rPr>
                <w:noProof w:val="0"/>
              </w:rPr>
            </w:pPr>
            <w:r w:rsidRPr="00C34C12">
              <w:rPr>
                <w:noProof w:val="0"/>
              </w:rPr>
              <w:t>Enterprise Score Key Management</w:t>
            </w:r>
          </w:p>
        </w:tc>
      </w:tr>
      <w:tr w:rsidR="008100CD" w:rsidRPr="00C34C12" w14:paraId="71A4B2FD" w14:textId="77777777" w:rsidTr="00CA4A9A">
        <w:tc>
          <w:tcPr>
            <w:tcW w:w="2448" w:type="dxa"/>
          </w:tcPr>
          <w:p w14:paraId="6CAFBD86" w14:textId="77777777" w:rsidR="008100CD" w:rsidRPr="00C34C12" w:rsidRDefault="008100CD" w:rsidP="00BE67AD">
            <w:pPr>
              <w:pStyle w:val="TableText"/>
              <w:rPr>
                <w:noProof w:val="0"/>
              </w:rPr>
            </w:pPr>
            <w:r w:rsidRPr="00C34C12">
              <w:rPr>
                <w:noProof w:val="0"/>
              </w:rPr>
              <w:t>EUs</w:t>
            </w:r>
          </w:p>
        </w:tc>
        <w:tc>
          <w:tcPr>
            <w:tcW w:w="7200" w:type="dxa"/>
          </w:tcPr>
          <w:p w14:paraId="2D069C3E" w14:textId="77777777" w:rsidR="008100CD" w:rsidRPr="00C34C12" w:rsidRDefault="008100CD" w:rsidP="00BE67AD">
            <w:pPr>
              <w:pStyle w:val="TableText"/>
              <w:jc w:val="left"/>
              <w:rPr>
                <w:noProof w:val="0"/>
              </w:rPr>
            </w:pPr>
            <w:r w:rsidRPr="00C34C12">
              <w:rPr>
                <w:noProof w:val="0"/>
              </w:rPr>
              <w:t>essential understandings</w:t>
            </w:r>
          </w:p>
        </w:tc>
      </w:tr>
      <w:tr w:rsidR="008100CD" w:rsidRPr="00C34C12" w14:paraId="5CFFE5AC" w14:textId="77777777" w:rsidTr="00CA4A9A">
        <w:tc>
          <w:tcPr>
            <w:tcW w:w="2448" w:type="dxa"/>
          </w:tcPr>
          <w:p w14:paraId="56738427" w14:textId="77777777" w:rsidR="008100CD" w:rsidRPr="00C34C12" w:rsidRDefault="008100CD" w:rsidP="00BE67AD">
            <w:pPr>
              <w:pStyle w:val="TableText"/>
              <w:rPr>
                <w:noProof w:val="0"/>
              </w:rPr>
            </w:pPr>
            <w:r w:rsidRPr="00C34C12">
              <w:rPr>
                <w:noProof w:val="0"/>
              </w:rPr>
              <w:t>FKSA</w:t>
            </w:r>
          </w:p>
        </w:tc>
        <w:tc>
          <w:tcPr>
            <w:tcW w:w="7200" w:type="dxa"/>
          </w:tcPr>
          <w:p w14:paraId="28A1A9E8" w14:textId="77777777" w:rsidR="008100CD" w:rsidRPr="00C34C12" w:rsidRDefault="008100CD" w:rsidP="00BE67AD">
            <w:pPr>
              <w:pStyle w:val="TableText"/>
              <w:jc w:val="left"/>
              <w:rPr>
                <w:noProof w:val="0"/>
                <w:highlight w:val="yellow"/>
              </w:rPr>
            </w:pPr>
            <w:r w:rsidRPr="00C34C12">
              <w:rPr>
                <w:noProof w:val="0"/>
              </w:rPr>
              <w:t>focal knowledge, skills, and abilities</w:t>
            </w:r>
          </w:p>
        </w:tc>
      </w:tr>
      <w:tr w:rsidR="008100CD" w:rsidRPr="00C34C12" w14:paraId="20036385" w14:textId="77777777" w:rsidTr="00CA4A9A">
        <w:tc>
          <w:tcPr>
            <w:tcW w:w="2448" w:type="dxa"/>
          </w:tcPr>
          <w:p w14:paraId="601AE0C2" w14:textId="77777777" w:rsidR="008100CD" w:rsidRPr="00C34C12" w:rsidRDefault="008100CD" w:rsidP="00BE67AD">
            <w:pPr>
              <w:pStyle w:val="TableText"/>
              <w:rPr>
                <w:noProof w:val="0"/>
              </w:rPr>
            </w:pPr>
            <w:r w:rsidRPr="00C34C12">
              <w:rPr>
                <w:noProof w:val="0"/>
              </w:rPr>
              <w:t>GPCM</w:t>
            </w:r>
          </w:p>
        </w:tc>
        <w:tc>
          <w:tcPr>
            <w:tcW w:w="7200" w:type="dxa"/>
          </w:tcPr>
          <w:p w14:paraId="022D5430" w14:textId="77777777" w:rsidR="008100CD" w:rsidRPr="00C34C12" w:rsidRDefault="008100CD" w:rsidP="00BE67AD">
            <w:pPr>
              <w:pStyle w:val="TableText"/>
              <w:jc w:val="left"/>
              <w:rPr>
                <w:noProof w:val="0"/>
              </w:rPr>
            </w:pPr>
            <w:r w:rsidRPr="00C34C12">
              <w:rPr>
                <w:noProof w:val="0"/>
              </w:rPr>
              <w:t>generalized partial credit model</w:t>
            </w:r>
          </w:p>
        </w:tc>
      </w:tr>
      <w:tr w:rsidR="008100CD" w:rsidRPr="00C34C12" w14:paraId="270F01DF" w14:textId="77777777" w:rsidTr="00CA4A9A">
        <w:tc>
          <w:tcPr>
            <w:tcW w:w="2448" w:type="dxa"/>
          </w:tcPr>
          <w:p w14:paraId="3D0DB3FE" w14:textId="77777777" w:rsidR="008100CD" w:rsidRPr="00C34C12" w:rsidRDefault="008100CD" w:rsidP="00BE67AD">
            <w:pPr>
              <w:pStyle w:val="TableText"/>
              <w:rPr>
                <w:noProof w:val="0"/>
              </w:rPr>
            </w:pPr>
            <w:r w:rsidRPr="00C34C12">
              <w:rPr>
                <w:noProof w:val="0"/>
              </w:rPr>
              <w:t>IEP</w:t>
            </w:r>
          </w:p>
        </w:tc>
        <w:tc>
          <w:tcPr>
            <w:tcW w:w="7200" w:type="dxa"/>
          </w:tcPr>
          <w:p w14:paraId="51BEFD7A" w14:textId="77777777" w:rsidR="008100CD" w:rsidRPr="00C34C12" w:rsidRDefault="008100CD" w:rsidP="00BE67AD">
            <w:pPr>
              <w:pStyle w:val="TableText"/>
              <w:jc w:val="left"/>
              <w:rPr>
                <w:noProof w:val="0"/>
              </w:rPr>
            </w:pPr>
            <w:r w:rsidRPr="00C34C12">
              <w:rPr>
                <w:noProof w:val="0"/>
              </w:rPr>
              <w:t>individualized education program</w:t>
            </w:r>
          </w:p>
        </w:tc>
      </w:tr>
      <w:tr w:rsidR="008100CD" w:rsidRPr="00C34C12" w14:paraId="6004A242" w14:textId="77777777" w:rsidTr="00CA4A9A">
        <w:tc>
          <w:tcPr>
            <w:tcW w:w="2448" w:type="dxa"/>
          </w:tcPr>
          <w:p w14:paraId="05C7859B" w14:textId="77777777" w:rsidR="008100CD" w:rsidRPr="00C34C12" w:rsidRDefault="008100CD" w:rsidP="00BE67AD">
            <w:pPr>
              <w:pStyle w:val="TableText"/>
              <w:rPr>
                <w:noProof w:val="0"/>
              </w:rPr>
            </w:pPr>
            <w:r w:rsidRPr="00C34C12">
              <w:rPr>
                <w:noProof w:val="0"/>
              </w:rPr>
              <w:t>IRT</w:t>
            </w:r>
          </w:p>
        </w:tc>
        <w:tc>
          <w:tcPr>
            <w:tcW w:w="7200" w:type="dxa"/>
          </w:tcPr>
          <w:p w14:paraId="525D4A9F" w14:textId="77777777" w:rsidR="008100CD" w:rsidRPr="00C34C12" w:rsidRDefault="008100CD" w:rsidP="00BE67AD">
            <w:pPr>
              <w:pStyle w:val="TableText"/>
              <w:jc w:val="left"/>
              <w:rPr>
                <w:noProof w:val="0"/>
              </w:rPr>
            </w:pPr>
            <w:r w:rsidRPr="00C34C12">
              <w:rPr>
                <w:noProof w:val="0"/>
              </w:rPr>
              <w:t>item response theory</w:t>
            </w:r>
          </w:p>
        </w:tc>
      </w:tr>
      <w:tr w:rsidR="008100CD" w:rsidRPr="00C34C12" w14:paraId="0F9C5C1A" w14:textId="77777777" w:rsidTr="00CA4A9A">
        <w:tc>
          <w:tcPr>
            <w:tcW w:w="2448" w:type="dxa"/>
          </w:tcPr>
          <w:p w14:paraId="2CD1986B" w14:textId="77777777" w:rsidR="008100CD" w:rsidRPr="00C34C12" w:rsidRDefault="008100CD" w:rsidP="00BE67AD">
            <w:pPr>
              <w:pStyle w:val="TableText"/>
              <w:rPr>
                <w:noProof w:val="0"/>
              </w:rPr>
            </w:pPr>
            <w:r w:rsidRPr="00C34C12">
              <w:rPr>
                <w:noProof w:val="0"/>
              </w:rPr>
              <w:t>ISAAP</w:t>
            </w:r>
          </w:p>
        </w:tc>
        <w:tc>
          <w:tcPr>
            <w:tcW w:w="7200" w:type="dxa"/>
          </w:tcPr>
          <w:p w14:paraId="7FD0FD8F" w14:textId="77777777" w:rsidR="008100CD" w:rsidRPr="00C34C12" w:rsidRDefault="008100CD" w:rsidP="00BE67AD">
            <w:pPr>
              <w:pStyle w:val="TableText"/>
              <w:jc w:val="left"/>
              <w:rPr>
                <w:noProof w:val="0"/>
              </w:rPr>
            </w:pPr>
            <w:r w:rsidRPr="00C34C12">
              <w:rPr>
                <w:noProof w:val="0"/>
              </w:rPr>
              <w:t>Individual Student Assessment Accessibility Profile</w:t>
            </w:r>
          </w:p>
        </w:tc>
      </w:tr>
      <w:tr w:rsidR="006D3E50" w:rsidRPr="00C34C12" w14:paraId="5A5799AC" w14:textId="77777777" w:rsidTr="00CA4A9A">
        <w:tc>
          <w:tcPr>
            <w:tcW w:w="2448" w:type="dxa"/>
          </w:tcPr>
          <w:p w14:paraId="2BBABEF8" w14:textId="3C8AD34A" w:rsidR="006D3E50" w:rsidRPr="00C34C12" w:rsidRDefault="006D3E50" w:rsidP="00BE67AD">
            <w:pPr>
              <w:pStyle w:val="TableText"/>
              <w:rPr>
                <w:noProof w:val="0"/>
              </w:rPr>
            </w:pPr>
            <w:r w:rsidRPr="006D3E50">
              <w:rPr>
                <w:noProof w:val="0"/>
              </w:rPr>
              <w:t>JAWS</w:t>
            </w:r>
          </w:p>
        </w:tc>
        <w:tc>
          <w:tcPr>
            <w:tcW w:w="7200" w:type="dxa"/>
          </w:tcPr>
          <w:p w14:paraId="363CECDD" w14:textId="5C4068DA" w:rsidR="006D3E50" w:rsidRPr="00C34C12" w:rsidRDefault="006D3E50" w:rsidP="00BE67AD">
            <w:pPr>
              <w:pStyle w:val="TableText"/>
              <w:jc w:val="left"/>
              <w:rPr>
                <w:noProof w:val="0"/>
              </w:rPr>
            </w:pPr>
            <w:r w:rsidRPr="006D3E50">
              <w:rPr>
                <w:noProof w:val="0"/>
              </w:rPr>
              <w:t>Job Access With Speech</w:t>
            </w:r>
          </w:p>
        </w:tc>
      </w:tr>
      <w:tr w:rsidR="008100CD" w:rsidRPr="00C34C12" w14:paraId="39697EA3" w14:textId="77777777" w:rsidTr="00CA4A9A">
        <w:tc>
          <w:tcPr>
            <w:tcW w:w="2448" w:type="dxa"/>
          </w:tcPr>
          <w:p w14:paraId="7C85FC60" w14:textId="77777777" w:rsidR="008100CD" w:rsidRPr="00C34C12" w:rsidRDefault="008100CD" w:rsidP="00BE67AD">
            <w:pPr>
              <w:pStyle w:val="TableText"/>
              <w:rPr>
                <w:noProof w:val="0"/>
              </w:rPr>
            </w:pPr>
            <w:r w:rsidRPr="00C34C12">
              <w:rPr>
                <w:noProof w:val="0"/>
              </w:rPr>
              <w:t>LEA</w:t>
            </w:r>
          </w:p>
        </w:tc>
        <w:tc>
          <w:tcPr>
            <w:tcW w:w="7200" w:type="dxa"/>
          </w:tcPr>
          <w:p w14:paraId="3B2FF226" w14:textId="77777777" w:rsidR="008100CD" w:rsidRPr="00C34C12" w:rsidRDefault="008100CD" w:rsidP="00BE67AD">
            <w:pPr>
              <w:pStyle w:val="TableText"/>
              <w:jc w:val="left"/>
              <w:rPr>
                <w:noProof w:val="0"/>
              </w:rPr>
            </w:pPr>
            <w:r w:rsidRPr="00C34C12">
              <w:rPr>
                <w:noProof w:val="0"/>
              </w:rPr>
              <w:t>local educational agency</w:t>
            </w:r>
          </w:p>
        </w:tc>
      </w:tr>
      <w:tr w:rsidR="006D3E50" w:rsidRPr="00C34C12" w14:paraId="52970A15" w14:textId="77777777" w:rsidTr="00CA4A9A">
        <w:tc>
          <w:tcPr>
            <w:tcW w:w="2448" w:type="dxa"/>
          </w:tcPr>
          <w:p w14:paraId="602D2FF6" w14:textId="02E7A79B" w:rsidR="006D3E50" w:rsidRPr="00C34C12" w:rsidRDefault="006D3E50" w:rsidP="00BE67AD">
            <w:pPr>
              <w:pStyle w:val="TableText"/>
              <w:rPr>
                <w:noProof w:val="0"/>
              </w:rPr>
            </w:pPr>
            <w:r w:rsidRPr="006D3E50">
              <w:rPr>
                <w:noProof w:val="0"/>
              </w:rPr>
              <w:t>MH</w:t>
            </w:r>
          </w:p>
        </w:tc>
        <w:tc>
          <w:tcPr>
            <w:tcW w:w="7200" w:type="dxa"/>
          </w:tcPr>
          <w:p w14:paraId="4095EC4D" w14:textId="5115D9D7" w:rsidR="006D3E50" w:rsidRPr="00C34C12" w:rsidRDefault="006D3E50" w:rsidP="00BE67AD">
            <w:pPr>
              <w:pStyle w:val="TableText"/>
              <w:jc w:val="left"/>
              <w:rPr>
                <w:noProof w:val="0"/>
              </w:rPr>
            </w:pPr>
            <w:r w:rsidRPr="006D3E50">
              <w:rPr>
                <w:noProof w:val="0"/>
              </w:rPr>
              <w:t>Mantel-Haenszel</w:t>
            </w:r>
          </w:p>
        </w:tc>
      </w:tr>
      <w:tr w:rsidR="008100CD" w:rsidRPr="00C34C12" w14:paraId="2A55974B" w14:textId="77777777" w:rsidTr="00CA4A9A">
        <w:tc>
          <w:tcPr>
            <w:tcW w:w="2448" w:type="dxa"/>
          </w:tcPr>
          <w:p w14:paraId="09BDCDB8" w14:textId="77777777" w:rsidR="008100CD" w:rsidRPr="00C34C12" w:rsidRDefault="008100CD" w:rsidP="00BE67AD">
            <w:pPr>
              <w:pStyle w:val="TableText"/>
              <w:rPr>
                <w:noProof w:val="0"/>
              </w:rPr>
            </w:pPr>
            <w:r w:rsidRPr="00C34C12">
              <w:rPr>
                <w:noProof w:val="0"/>
              </w:rPr>
              <w:t>NCME</w:t>
            </w:r>
          </w:p>
        </w:tc>
        <w:tc>
          <w:tcPr>
            <w:tcW w:w="7200" w:type="dxa"/>
          </w:tcPr>
          <w:p w14:paraId="5189B0EF" w14:textId="77777777" w:rsidR="008100CD" w:rsidRPr="00C34C12" w:rsidRDefault="008100CD" w:rsidP="00BE67AD">
            <w:pPr>
              <w:pStyle w:val="TableText"/>
              <w:jc w:val="left"/>
              <w:rPr>
                <w:noProof w:val="0"/>
              </w:rPr>
            </w:pPr>
            <w:r w:rsidRPr="00C34C12">
              <w:rPr>
                <w:noProof w:val="0"/>
              </w:rPr>
              <w:t>National Council on Measurement in Education</w:t>
            </w:r>
          </w:p>
        </w:tc>
      </w:tr>
      <w:tr w:rsidR="008100CD" w:rsidRPr="00C34C12" w14:paraId="6861F7CB" w14:textId="77777777" w:rsidTr="00CA4A9A">
        <w:tc>
          <w:tcPr>
            <w:tcW w:w="2448" w:type="dxa"/>
          </w:tcPr>
          <w:p w14:paraId="3099E340" w14:textId="77777777" w:rsidR="008100CD" w:rsidRPr="00C34C12" w:rsidRDefault="008100CD" w:rsidP="00BE67AD">
            <w:pPr>
              <w:pStyle w:val="TableText"/>
              <w:rPr>
                <w:noProof w:val="0"/>
              </w:rPr>
            </w:pPr>
            <w:r w:rsidRPr="00C34C12">
              <w:rPr>
                <w:noProof w:val="0"/>
              </w:rPr>
              <w:t>ORS</w:t>
            </w:r>
          </w:p>
        </w:tc>
        <w:tc>
          <w:tcPr>
            <w:tcW w:w="7200" w:type="dxa"/>
          </w:tcPr>
          <w:p w14:paraId="1AAFE146" w14:textId="77777777" w:rsidR="008100CD" w:rsidRPr="00C34C12" w:rsidRDefault="008100CD" w:rsidP="00BE67AD">
            <w:pPr>
              <w:pStyle w:val="TableText"/>
              <w:jc w:val="left"/>
              <w:rPr>
                <w:noProof w:val="0"/>
              </w:rPr>
            </w:pPr>
            <w:r w:rsidRPr="00C34C12">
              <w:rPr>
                <w:noProof w:val="0"/>
              </w:rPr>
              <w:t>Online Reporting System</w:t>
            </w:r>
          </w:p>
        </w:tc>
      </w:tr>
      <w:tr w:rsidR="008100CD" w:rsidRPr="00C34C12" w14:paraId="0B857BE6" w14:textId="77777777" w:rsidTr="00CA4A9A">
        <w:tc>
          <w:tcPr>
            <w:tcW w:w="2448" w:type="dxa"/>
          </w:tcPr>
          <w:p w14:paraId="116C1DE3" w14:textId="77777777" w:rsidR="008100CD" w:rsidRPr="00C34C12" w:rsidRDefault="008100CD" w:rsidP="00BE67AD">
            <w:pPr>
              <w:pStyle w:val="TableText"/>
              <w:rPr>
                <w:noProof w:val="0"/>
              </w:rPr>
            </w:pPr>
            <w:r w:rsidRPr="00C34C12">
              <w:rPr>
                <w:noProof w:val="0"/>
              </w:rPr>
              <w:t>OTI</w:t>
            </w:r>
          </w:p>
        </w:tc>
        <w:tc>
          <w:tcPr>
            <w:tcW w:w="7200" w:type="dxa"/>
          </w:tcPr>
          <w:p w14:paraId="7BC33998" w14:textId="77777777" w:rsidR="008100CD" w:rsidRPr="00C34C12" w:rsidRDefault="008100CD" w:rsidP="00BE67AD">
            <w:pPr>
              <w:pStyle w:val="TableText"/>
              <w:jc w:val="left"/>
              <w:rPr>
                <w:noProof w:val="0"/>
              </w:rPr>
            </w:pPr>
            <w:r w:rsidRPr="00C34C12">
              <w:rPr>
                <w:noProof w:val="0"/>
              </w:rPr>
              <w:t>Office of Testing Integrity</w:t>
            </w:r>
          </w:p>
        </w:tc>
      </w:tr>
      <w:tr w:rsidR="006D3E50" w:rsidRPr="00C34C12" w14:paraId="07DACAC7" w14:textId="77777777" w:rsidTr="00CA4A9A">
        <w:tc>
          <w:tcPr>
            <w:tcW w:w="2448" w:type="dxa"/>
          </w:tcPr>
          <w:p w14:paraId="668A28D7" w14:textId="77777777" w:rsidR="006D3E50" w:rsidRPr="00C34C12" w:rsidRDefault="006D3E50" w:rsidP="00BF73D1">
            <w:pPr>
              <w:pStyle w:val="TableText"/>
              <w:rPr>
                <w:noProof w:val="0"/>
              </w:rPr>
            </w:pPr>
            <w:r w:rsidRPr="00C34C12">
              <w:rPr>
                <w:noProof w:val="0"/>
              </w:rPr>
              <w:lastRenderedPageBreak/>
              <w:t>PCM</w:t>
            </w:r>
          </w:p>
        </w:tc>
        <w:tc>
          <w:tcPr>
            <w:tcW w:w="7200" w:type="dxa"/>
          </w:tcPr>
          <w:p w14:paraId="5D4DAC60" w14:textId="77777777" w:rsidR="006D3E50" w:rsidRPr="00C34C12" w:rsidRDefault="006D3E50" w:rsidP="00BF73D1">
            <w:pPr>
              <w:pStyle w:val="TableText"/>
              <w:jc w:val="left"/>
              <w:rPr>
                <w:noProof w:val="0"/>
              </w:rPr>
            </w:pPr>
            <w:r w:rsidRPr="00C34C12">
              <w:rPr>
                <w:noProof w:val="0"/>
              </w:rPr>
              <w:t>partial credit model</w:t>
            </w:r>
          </w:p>
        </w:tc>
      </w:tr>
      <w:tr w:rsidR="00220260" w:rsidRPr="00C34C12" w14:paraId="2FF3983A" w14:textId="77777777" w:rsidTr="00CA4A9A">
        <w:tc>
          <w:tcPr>
            <w:tcW w:w="2448" w:type="dxa"/>
          </w:tcPr>
          <w:p w14:paraId="4E63B38C" w14:textId="2CC98DB0" w:rsidR="00220260" w:rsidRPr="00C34C12" w:rsidRDefault="00220260" w:rsidP="00220260">
            <w:pPr>
              <w:pStyle w:val="TableText"/>
              <w:rPr>
                <w:noProof w:val="0"/>
              </w:rPr>
            </w:pPr>
            <w:r w:rsidRPr="00C34C12">
              <w:rPr>
                <w:noProof w:val="0"/>
              </w:rPr>
              <w:t>PE</w:t>
            </w:r>
          </w:p>
        </w:tc>
        <w:tc>
          <w:tcPr>
            <w:tcW w:w="7200" w:type="dxa"/>
          </w:tcPr>
          <w:p w14:paraId="61EBD913" w14:textId="4B4D5FF8" w:rsidR="00220260" w:rsidRPr="00C34C12" w:rsidRDefault="00220260" w:rsidP="00220260">
            <w:pPr>
              <w:pStyle w:val="TableText"/>
              <w:jc w:val="left"/>
              <w:rPr>
                <w:noProof w:val="0"/>
              </w:rPr>
            </w:pPr>
            <w:r w:rsidRPr="00C34C12">
              <w:rPr>
                <w:noProof w:val="0"/>
              </w:rPr>
              <w:t>performance expectation</w:t>
            </w:r>
          </w:p>
        </w:tc>
      </w:tr>
      <w:tr w:rsidR="008100CD" w:rsidRPr="00C34C12" w14:paraId="5E8A727B" w14:textId="77777777" w:rsidTr="00CA4A9A">
        <w:tc>
          <w:tcPr>
            <w:tcW w:w="2448" w:type="dxa"/>
          </w:tcPr>
          <w:p w14:paraId="71F0C689" w14:textId="77777777" w:rsidR="008100CD" w:rsidRPr="00C34C12" w:rsidRDefault="008100CD" w:rsidP="00BE67AD">
            <w:pPr>
              <w:pStyle w:val="TableText"/>
              <w:rPr>
                <w:noProof w:val="0"/>
              </w:rPr>
            </w:pPr>
            <w:r w:rsidRPr="00C34C12">
              <w:rPr>
                <w:noProof w:val="0"/>
              </w:rPr>
              <w:t>PT</w:t>
            </w:r>
          </w:p>
        </w:tc>
        <w:tc>
          <w:tcPr>
            <w:tcW w:w="7200" w:type="dxa"/>
          </w:tcPr>
          <w:p w14:paraId="3CFD5AA0" w14:textId="77777777" w:rsidR="008100CD" w:rsidRPr="00C34C12" w:rsidRDefault="008100CD" w:rsidP="00BE67AD">
            <w:pPr>
              <w:pStyle w:val="TableText"/>
              <w:jc w:val="left"/>
              <w:rPr>
                <w:noProof w:val="0"/>
              </w:rPr>
            </w:pPr>
            <w:r w:rsidRPr="00C34C12">
              <w:rPr>
                <w:noProof w:val="0"/>
              </w:rPr>
              <w:t>performance task</w:t>
            </w:r>
          </w:p>
        </w:tc>
      </w:tr>
      <w:tr w:rsidR="008100CD" w:rsidRPr="00C34C12" w14:paraId="0C9E5CB6" w14:textId="77777777" w:rsidTr="00CA4A9A">
        <w:tc>
          <w:tcPr>
            <w:tcW w:w="2448" w:type="dxa"/>
          </w:tcPr>
          <w:p w14:paraId="0056C808" w14:textId="77777777" w:rsidR="008100CD" w:rsidRPr="00C34C12" w:rsidRDefault="008100CD" w:rsidP="00BE67AD">
            <w:pPr>
              <w:pStyle w:val="TableText"/>
              <w:rPr>
                <w:noProof w:val="0"/>
              </w:rPr>
            </w:pPr>
            <w:r w:rsidRPr="00C34C12">
              <w:rPr>
                <w:noProof w:val="0"/>
              </w:rPr>
              <w:t>QA</w:t>
            </w:r>
          </w:p>
        </w:tc>
        <w:tc>
          <w:tcPr>
            <w:tcW w:w="7200" w:type="dxa"/>
          </w:tcPr>
          <w:p w14:paraId="1C448B3D" w14:textId="77777777" w:rsidR="008100CD" w:rsidRPr="00C34C12" w:rsidRDefault="008100CD" w:rsidP="00BE67AD">
            <w:pPr>
              <w:pStyle w:val="TableText"/>
              <w:jc w:val="left"/>
              <w:rPr>
                <w:noProof w:val="0"/>
              </w:rPr>
            </w:pPr>
            <w:r w:rsidRPr="00C34C12">
              <w:rPr>
                <w:noProof w:val="0"/>
              </w:rPr>
              <w:t>quality assurance</w:t>
            </w:r>
          </w:p>
        </w:tc>
      </w:tr>
      <w:tr w:rsidR="008100CD" w:rsidRPr="00C34C12" w14:paraId="329FE8B6" w14:textId="77777777" w:rsidTr="00CA4A9A">
        <w:tc>
          <w:tcPr>
            <w:tcW w:w="2448" w:type="dxa"/>
          </w:tcPr>
          <w:p w14:paraId="2274EA98" w14:textId="77777777" w:rsidR="008100CD" w:rsidRPr="00C34C12" w:rsidRDefault="008100CD" w:rsidP="00BE67AD">
            <w:pPr>
              <w:pStyle w:val="TableText"/>
              <w:rPr>
                <w:noProof w:val="0"/>
              </w:rPr>
            </w:pPr>
            <w:r w:rsidRPr="00C34C12">
              <w:rPr>
                <w:noProof w:val="0"/>
              </w:rPr>
              <w:t>RMSEA</w:t>
            </w:r>
          </w:p>
        </w:tc>
        <w:tc>
          <w:tcPr>
            <w:tcW w:w="7200" w:type="dxa"/>
          </w:tcPr>
          <w:p w14:paraId="7A58902C" w14:textId="77777777" w:rsidR="008100CD" w:rsidRPr="00C34C12" w:rsidRDefault="008100CD" w:rsidP="00BE67AD">
            <w:pPr>
              <w:pStyle w:val="TableText"/>
              <w:jc w:val="left"/>
              <w:rPr>
                <w:noProof w:val="0"/>
              </w:rPr>
            </w:pPr>
            <w:r w:rsidRPr="00C34C12">
              <w:rPr>
                <w:noProof w:val="0"/>
              </w:rPr>
              <w:t>root mean square error of approximation</w:t>
            </w:r>
          </w:p>
        </w:tc>
      </w:tr>
      <w:tr w:rsidR="008100CD" w:rsidRPr="00C34C12" w14:paraId="53E549BD" w14:textId="77777777" w:rsidTr="00CA4A9A">
        <w:tc>
          <w:tcPr>
            <w:tcW w:w="2448" w:type="dxa"/>
          </w:tcPr>
          <w:p w14:paraId="3BAF6A5B" w14:textId="77777777" w:rsidR="008100CD" w:rsidRPr="00C34C12" w:rsidRDefault="008100CD" w:rsidP="00BE67AD">
            <w:pPr>
              <w:pStyle w:val="TableText"/>
              <w:rPr>
                <w:noProof w:val="0"/>
              </w:rPr>
            </w:pPr>
            <w:r w:rsidRPr="00C34C12">
              <w:rPr>
                <w:noProof w:val="0"/>
              </w:rPr>
              <w:t>SBE</w:t>
            </w:r>
          </w:p>
        </w:tc>
        <w:tc>
          <w:tcPr>
            <w:tcW w:w="7200" w:type="dxa"/>
          </w:tcPr>
          <w:p w14:paraId="538FEF89" w14:textId="77777777" w:rsidR="008100CD" w:rsidRPr="00C34C12" w:rsidRDefault="008100CD" w:rsidP="00BE67AD">
            <w:pPr>
              <w:pStyle w:val="TableText"/>
              <w:jc w:val="left"/>
              <w:rPr>
                <w:noProof w:val="0"/>
              </w:rPr>
            </w:pPr>
            <w:r w:rsidRPr="00C34C12">
              <w:rPr>
                <w:noProof w:val="0"/>
              </w:rPr>
              <w:t>State Board of Education</w:t>
            </w:r>
          </w:p>
        </w:tc>
      </w:tr>
      <w:tr w:rsidR="008100CD" w:rsidRPr="00C34C12" w14:paraId="59657BD3" w14:textId="77777777" w:rsidTr="00CA4A9A">
        <w:tc>
          <w:tcPr>
            <w:tcW w:w="2448" w:type="dxa"/>
          </w:tcPr>
          <w:p w14:paraId="1E4AB1E0" w14:textId="77777777" w:rsidR="008100CD" w:rsidRPr="00C34C12" w:rsidRDefault="008100CD" w:rsidP="00BE67AD">
            <w:pPr>
              <w:pStyle w:val="TableText"/>
              <w:rPr>
                <w:noProof w:val="0"/>
              </w:rPr>
            </w:pPr>
            <w:r w:rsidRPr="00C34C12">
              <w:rPr>
                <w:noProof w:val="0"/>
              </w:rPr>
              <w:t>Science Connectors</w:t>
            </w:r>
          </w:p>
        </w:tc>
        <w:tc>
          <w:tcPr>
            <w:tcW w:w="7200" w:type="dxa"/>
          </w:tcPr>
          <w:p w14:paraId="3296AC87" w14:textId="77777777" w:rsidR="008100CD" w:rsidRPr="00C34C12" w:rsidRDefault="008100CD" w:rsidP="00BE67AD">
            <w:pPr>
              <w:pStyle w:val="TableText"/>
              <w:jc w:val="left"/>
              <w:rPr>
                <w:noProof w:val="0"/>
              </w:rPr>
            </w:pPr>
            <w:r w:rsidRPr="00C34C12">
              <w:rPr>
                <w:noProof w:val="0"/>
              </w:rPr>
              <w:t>Science Core Content Connectors</w:t>
            </w:r>
          </w:p>
        </w:tc>
      </w:tr>
      <w:tr w:rsidR="00E075D8" w:rsidRPr="00C34C12" w14:paraId="5C4D0048" w14:textId="77777777" w:rsidTr="00CA4A9A">
        <w:tc>
          <w:tcPr>
            <w:tcW w:w="2448" w:type="dxa"/>
          </w:tcPr>
          <w:p w14:paraId="0DEFB27E" w14:textId="2C41AA06" w:rsidR="00E075D8" w:rsidRPr="00C34C12" w:rsidRDefault="00E075D8" w:rsidP="00BE67AD">
            <w:pPr>
              <w:pStyle w:val="TableText"/>
              <w:rPr>
                <w:noProof w:val="0"/>
              </w:rPr>
            </w:pPr>
            <w:r>
              <w:rPr>
                <w:noProof w:val="0"/>
              </w:rPr>
              <w:t>SCOE</w:t>
            </w:r>
          </w:p>
        </w:tc>
        <w:tc>
          <w:tcPr>
            <w:tcW w:w="7200" w:type="dxa"/>
          </w:tcPr>
          <w:p w14:paraId="3F9F45FE" w14:textId="25DE5C3F" w:rsidR="00E075D8" w:rsidRPr="00C34C12" w:rsidRDefault="00E075D8" w:rsidP="00BE67AD">
            <w:pPr>
              <w:pStyle w:val="TableText"/>
              <w:jc w:val="left"/>
              <w:rPr>
                <w:noProof w:val="0"/>
              </w:rPr>
            </w:pPr>
            <w:r>
              <w:rPr>
                <w:noProof w:val="0"/>
              </w:rPr>
              <w:t xml:space="preserve">Sacramento County </w:t>
            </w:r>
            <w:r w:rsidR="00D5380B">
              <w:rPr>
                <w:noProof w:val="0"/>
              </w:rPr>
              <w:t>Office of Education</w:t>
            </w:r>
          </w:p>
        </w:tc>
      </w:tr>
      <w:tr w:rsidR="008100CD" w:rsidRPr="00C34C12" w14:paraId="51DB9709" w14:textId="77777777" w:rsidTr="00CA4A9A">
        <w:tc>
          <w:tcPr>
            <w:tcW w:w="2448" w:type="dxa"/>
          </w:tcPr>
          <w:p w14:paraId="254C441E" w14:textId="77777777" w:rsidR="008100CD" w:rsidRPr="00C34C12" w:rsidRDefault="008100CD" w:rsidP="00BE67AD">
            <w:pPr>
              <w:pStyle w:val="TableText"/>
              <w:rPr>
                <w:noProof w:val="0"/>
              </w:rPr>
            </w:pPr>
            <w:r w:rsidRPr="00C34C12">
              <w:rPr>
                <w:noProof w:val="0"/>
              </w:rPr>
              <w:t>SD</w:t>
            </w:r>
          </w:p>
        </w:tc>
        <w:tc>
          <w:tcPr>
            <w:tcW w:w="7200" w:type="dxa"/>
          </w:tcPr>
          <w:p w14:paraId="79DDED0A" w14:textId="77777777" w:rsidR="008100CD" w:rsidRPr="00C34C12" w:rsidRDefault="008100CD" w:rsidP="00BE67AD">
            <w:pPr>
              <w:pStyle w:val="TableText"/>
              <w:jc w:val="left"/>
              <w:rPr>
                <w:noProof w:val="0"/>
              </w:rPr>
            </w:pPr>
            <w:r w:rsidRPr="00C34C12">
              <w:rPr>
                <w:noProof w:val="0"/>
              </w:rPr>
              <w:t>standard deviation</w:t>
            </w:r>
          </w:p>
        </w:tc>
      </w:tr>
      <w:tr w:rsidR="008100CD" w:rsidRPr="00C34C12" w14:paraId="1E5F4CF5" w14:textId="77777777" w:rsidTr="00CA4A9A">
        <w:tc>
          <w:tcPr>
            <w:tcW w:w="2448" w:type="dxa"/>
          </w:tcPr>
          <w:p w14:paraId="703E1E97" w14:textId="77777777" w:rsidR="008100CD" w:rsidRPr="00C34C12" w:rsidRDefault="008100CD" w:rsidP="00BE67AD">
            <w:pPr>
              <w:pStyle w:val="TableText"/>
              <w:rPr>
                <w:noProof w:val="0"/>
              </w:rPr>
            </w:pPr>
            <w:r w:rsidRPr="00C34C12">
              <w:rPr>
                <w:noProof w:val="0"/>
              </w:rPr>
              <w:t>SEM</w:t>
            </w:r>
          </w:p>
        </w:tc>
        <w:tc>
          <w:tcPr>
            <w:tcW w:w="7200" w:type="dxa"/>
          </w:tcPr>
          <w:p w14:paraId="1A287D65" w14:textId="77777777" w:rsidR="008100CD" w:rsidRPr="00C34C12" w:rsidRDefault="008100CD" w:rsidP="00BE67AD">
            <w:pPr>
              <w:pStyle w:val="TableText"/>
              <w:jc w:val="left"/>
              <w:rPr>
                <w:noProof w:val="0"/>
              </w:rPr>
            </w:pPr>
            <w:r w:rsidRPr="00C34C12">
              <w:rPr>
                <w:noProof w:val="0"/>
              </w:rPr>
              <w:t>standard error of measurement</w:t>
            </w:r>
          </w:p>
        </w:tc>
      </w:tr>
      <w:tr w:rsidR="008100CD" w:rsidRPr="00C34C12" w14:paraId="4AADB4C0" w14:textId="77777777" w:rsidTr="00CA4A9A">
        <w:tc>
          <w:tcPr>
            <w:tcW w:w="2448" w:type="dxa"/>
          </w:tcPr>
          <w:p w14:paraId="49180E7F" w14:textId="77777777" w:rsidR="008100CD" w:rsidRPr="00C34C12" w:rsidRDefault="008100CD" w:rsidP="00BE67AD">
            <w:pPr>
              <w:pStyle w:val="TableText"/>
              <w:rPr>
                <w:noProof w:val="0"/>
              </w:rPr>
            </w:pPr>
            <w:r w:rsidRPr="00C34C12">
              <w:rPr>
                <w:noProof w:val="0"/>
              </w:rPr>
              <w:t>SFTP</w:t>
            </w:r>
          </w:p>
        </w:tc>
        <w:tc>
          <w:tcPr>
            <w:tcW w:w="7200" w:type="dxa"/>
          </w:tcPr>
          <w:p w14:paraId="3AF10085" w14:textId="77777777" w:rsidR="008100CD" w:rsidRPr="00C34C12" w:rsidRDefault="008100CD" w:rsidP="00BE67AD">
            <w:pPr>
              <w:pStyle w:val="TableText"/>
              <w:jc w:val="left"/>
              <w:rPr>
                <w:noProof w:val="0"/>
              </w:rPr>
            </w:pPr>
            <w:r w:rsidRPr="00C34C12">
              <w:rPr>
                <w:noProof w:val="0"/>
              </w:rPr>
              <w:t>Secure File Transfer Protocol</w:t>
            </w:r>
          </w:p>
        </w:tc>
      </w:tr>
      <w:tr w:rsidR="008100CD" w:rsidRPr="00C34C12" w14:paraId="12B43FDE" w14:textId="77777777" w:rsidTr="00CA4A9A">
        <w:tc>
          <w:tcPr>
            <w:tcW w:w="2448" w:type="dxa"/>
          </w:tcPr>
          <w:p w14:paraId="04FBF9B4" w14:textId="77777777" w:rsidR="008100CD" w:rsidRPr="00C34C12" w:rsidRDefault="008100CD" w:rsidP="00BE67AD">
            <w:pPr>
              <w:pStyle w:val="TableText"/>
              <w:rPr>
                <w:noProof w:val="0"/>
              </w:rPr>
            </w:pPr>
            <w:r w:rsidRPr="00C34C12">
              <w:rPr>
                <w:noProof w:val="0"/>
              </w:rPr>
              <w:t>SMD</w:t>
            </w:r>
          </w:p>
        </w:tc>
        <w:tc>
          <w:tcPr>
            <w:tcW w:w="7200" w:type="dxa"/>
          </w:tcPr>
          <w:p w14:paraId="51A71A99" w14:textId="77777777" w:rsidR="008100CD" w:rsidRPr="00C34C12" w:rsidRDefault="008100CD" w:rsidP="00BE67AD">
            <w:pPr>
              <w:pStyle w:val="TableText"/>
              <w:jc w:val="left"/>
              <w:rPr>
                <w:noProof w:val="0"/>
              </w:rPr>
            </w:pPr>
            <w:r w:rsidRPr="00C34C12">
              <w:rPr>
                <w:noProof w:val="0"/>
              </w:rPr>
              <w:t>standardized mean difference</w:t>
            </w:r>
          </w:p>
        </w:tc>
      </w:tr>
      <w:tr w:rsidR="008100CD" w:rsidRPr="00C34C12" w14:paraId="0035AC27" w14:textId="77777777" w:rsidTr="00CA4A9A">
        <w:tc>
          <w:tcPr>
            <w:tcW w:w="2448" w:type="dxa"/>
          </w:tcPr>
          <w:p w14:paraId="2802EAC9" w14:textId="41C2A943" w:rsidR="008100CD" w:rsidRPr="00C34C12" w:rsidRDefault="008100CD" w:rsidP="00BE67AD">
            <w:pPr>
              <w:pStyle w:val="TableText"/>
              <w:rPr>
                <w:noProof w:val="0"/>
              </w:rPr>
            </w:pPr>
            <w:r w:rsidRPr="00C34C12">
              <w:rPr>
                <w:noProof w:val="0"/>
              </w:rPr>
              <w:t>SR</w:t>
            </w:r>
          </w:p>
        </w:tc>
        <w:tc>
          <w:tcPr>
            <w:tcW w:w="7200" w:type="dxa"/>
          </w:tcPr>
          <w:p w14:paraId="12F5F145" w14:textId="2AC0CE9A" w:rsidR="008100CD" w:rsidRPr="00C34C12" w:rsidRDefault="008100CD" w:rsidP="00BE67AD">
            <w:pPr>
              <w:pStyle w:val="TableText"/>
              <w:jc w:val="left"/>
              <w:rPr>
                <w:noProof w:val="0"/>
              </w:rPr>
            </w:pPr>
            <w:r w:rsidRPr="00C34C12">
              <w:rPr>
                <w:noProof w:val="0"/>
              </w:rPr>
              <w:t>selected response</w:t>
            </w:r>
          </w:p>
        </w:tc>
      </w:tr>
      <w:tr w:rsidR="006D3E50" w:rsidRPr="00C34C12" w14:paraId="1FF26305" w14:textId="77777777" w:rsidTr="00CA4A9A">
        <w:tc>
          <w:tcPr>
            <w:tcW w:w="2448" w:type="dxa"/>
          </w:tcPr>
          <w:p w14:paraId="6AD5A8C0" w14:textId="3CF7D52B" w:rsidR="006D3E50" w:rsidRPr="00C34C12" w:rsidRDefault="006D3E50" w:rsidP="00BE67AD">
            <w:pPr>
              <w:pStyle w:val="TableText"/>
              <w:rPr>
                <w:noProof w:val="0"/>
              </w:rPr>
            </w:pPr>
            <w:r w:rsidRPr="006D3E50">
              <w:rPr>
                <w:noProof w:val="0"/>
              </w:rPr>
              <w:t>SSID</w:t>
            </w:r>
          </w:p>
        </w:tc>
        <w:tc>
          <w:tcPr>
            <w:tcW w:w="7200" w:type="dxa"/>
          </w:tcPr>
          <w:p w14:paraId="21B7B6F4" w14:textId="1164E39B" w:rsidR="006D3E50" w:rsidRPr="00C34C12" w:rsidRDefault="006D3E50" w:rsidP="00BE67AD">
            <w:pPr>
              <w:pStyle w:val="TableText"/>
              <w:jc w:val="left"/>
              <w:rPr>
                <w:noProof w:val="0"/>
              </w:rPr>
            </w:pPr>
            <w:r w:rsidRPr="006D3E50">
              <w:rPr>
                <w:noProof w:val="0"/>
              </w:rPr>
              <w:t>Statewide Student Identifier</w:t>
            </w:r>
          </w:p>
        </w:tc>
      </w:tr>
      <w:tr w:rsidR="008100CD" w:rsidRPr="00C34C12" w14:paraId="0D2C7FD1" w14:textId="77777777" w:rsidTr="00CA4A9A">
        <w:tc>
          <w:tcPr>
            <w:tcW w:w="2448" w:type="dxa"/>
          </w:tcPr>
          <w:p w14:paraId="0B11C983" w14:textId="77777777" w:rsidR="008100CD" w:rsidRPr="00C34C12" w:rsidRDefault="008100CD" w:rsidP="00BE67AD">
            <w:pPr>
              <w:pStyle w:val="TableText"/>
              <w:keepNext/>
              <w:rPr>
                <w:noProof w:val="0"/>
              </w:rPr>
            </w:pPr>
            <w:r w:rsidRPr="00C34C12">
              <w:rPr>
                <w:noProof w:val="0"/>
              </w:rPr>
              <w:t>STAIRS</w:t>
            </w:r>
          </w:p>
        </w:tc>
        <w:tc>
          <w:tcPr>
            <w:tcW w:w="7200" w:type="dxa"/>
          </w:tcPr>
          <w:p w14:paraId="446C635B" w14:textId="77777777" w:rsidR="008100CD" w:rsidRPr="00C34C12" w:rsidRDefault="008100CD" w:rsidP="00BE67AD">
            <w:pPr>
              <w:pStyle w:val="TableText"/>
              <w:jc w:val="left"/>
              <w:rPr>
                <w:noProof w:val="0"/>
              </w:rPr>
            </w:pPr>
            <w:r w:rsidRPr="00C34C12">
              <w:rPr>
                <w:noProof w:val="0"/>
              </w:rPr>
              <w:t>Security and Test Administration Incident Reporting System</w:t>
            </w:r>
          </w:p>
        </w:tc>
      </w:tr>
      <w:tr w:rsidR="008100CD" w:rsidRPr="00C34C12" w14:paraId="2D8EFF55" w14:textId="77777777" w:rsidTr="00CA4A9A">
        <w:tc>
          <w:tcPr>
            <w:tcW w:w="2448" w:type="dxa"/>
          </w:tcPr>
          <w:p w14:paraId="7F301BA9" w14:textId="77777777" w:rsidR="008100CD" w:rsidRPr="00C34C12" w:rsidRDefault="008100CD" w:rsidP="00BE67AD">
            <w:pPr>
              <w:pStyle w:val="TableText"/>
              <w:keepNext/>
              <w:rPr>
                <w:noProof w:val="0"/>
              </w:rPr>
            </w:pPr>
            <w:r w:rsidRPr="00C34C12">
              <w:rPr>
                <w:noProof w:val="0"/>
              </w:rPr>
              <w:t>TDS</w:t>
            </w:r>
          </w:p>
        </w:tc>
        <w:tc>
          <w:tcPr>
            <w:tcW w:w="7200" w:type="dxa"/>
          </w:tcPr>
          <w:p w14:paraId="73A21F13" w14:textId="77777777" w:rsidR="008100CD" w:rsidRPr="00C34C12" w:rsidRDefault="008100CD" w:rsidP="00BE67AD">
            <w:pPr>
              <w:pStyle w:val="TableText"/>
              <w:jc w:val="left"/>
              <w:rPr>
                <w:noProof w:val="0"/>
              </w:rPr>
            </w:pPr>
            <w:r w:rsidRPr="00C34C12">
              <w:rPr>
                <w:noProof w:val="0"/>
              </w:rPr>
              <w:t>test delivery system</w:t>
            </w:r>
          </w:p>
        </w:tc>
      </w:tr>
      <w:tr w:rsidR="00706D0D" w:rsidRPr="00C34C12" w14:paraId="3F2C72E5" w14:textId="77777777" w:rsidTr="00CA4A9A">
        <w:tc>
          <w:tcPr>
            <w:tcW w:w="2448" w:type="dxa"/>
          </w:tcPr>
          <w:p w14:paraId="119A8445" w14:textId="49F78D9E" w:rsidR="00706D0D" w:rsidRPr="00C34C12" w:rsidRDefault="00706D0D" w:rsidP="00BE67AD">
            <w:pPr>
              <w:pStyle w:val="TableText"/>
              <w:keepNext/>
              <w:rPr>
                <w:noProof w:val="0"/>
              </w:rPr>
            </w:pPr>
            <w:r>
              <w:rPr>
                <w:noProof w:val="0"/>
              </w:rPr>
              <w:t>TEI</w:t>
            </w:r>
          </w:p>
        </w:tc>
        <w:tc>
          <w:tcPr>
            <w:tcW w:w="7200" w:type="dxa"/>
          </w:tcPr>
          <w:p w14:paraId="6FD0FAA5" w14:textId="2F06E1CB" w:rsidR="00706D0D" w:rsidRPr="00C34C12" w:rsidRDefault="00FF3C58" w:rsidP="00BE67AD">
            <w:pPr>
              <w:pStyle w:val="TableText"/>
              <w:jc w:val="left"/>
              <w:rPr>
                <w:noProof w:val="0"/>
              </w:rPr>
            </w:pPr>
            <w:r>
              <w:rPr>
                <w:noProof w:val="0"/>
              </w:rPr>
              <w:t>technology</w:t>
            </w:r>
            <w:r w:rsidR="004F2157">
              <w:rPr>
                <w:noProof w:val="0"/>
              </w:rPr>
              <w:t>-enhanced items</w:t>
            </w:r>
          </w:p>
        </w:tc>
      </w:tr>
      <w:tr w:rsidR="008100CD" w:rsidRPr="00C34C12" w14:paraId="71FCFC27" w14:textId="77777777" w:rsidTr="00CA4A9A">
        <w:tc>
          <w:tcPr>
            <w:tcW w:w="2448" w:type="dxa"/>
          </w:tcPr>
          <w:p w14:paraId="61E63B37" w14:textId="77777777" w:rsidR="008100CD" w:rsidRPr="00C34C12" w:rsidRDefault="008100CD" w:rsidP="00BE67AD">
            <w:pPr>
              <w:pStyle w:val="TableText"/>
              <w:rPr>
                <w:noProof w:val="0"/>
              </w:rPr>
            </w:pPr>
            <w:r w:rsidRPr="00C34C12">
              <w:rPr>
                <w:noProof w:val="0"/>
              </w:rPr>
              <w:t>TOMS</w:t>
            </w:r>
          </w:p>
        </w:tc>
        <w:tc>
          <w:tcPr>
            <w:tcW w:w="7200" w:type="dxa"/>
          </w:tcPr>
          <w:p w14:paraId="587A96EE" w14:textId="77777777" w:rsidR="008100CD" w:rsidRPr="00C34C12" w:rsidRDefault="008100CD" w:rsidP="00BE67AD">
            <w:pPr>
              <w:pStyle w:val="TableText"/>
              <w:jc w:val="left"/>
              <w:rPr>
                <w:noProof w:val="0"/>
              </w:rPr>
            </w:pPr>
            <w:r w:rsidRPr="00C34C12">
              <w:rPr>
                <w:noProof w:val="0"/>
              </w:rPr>
              <w:t>Test Operations Management System</w:t>
            </w:r>
          </w:p>
        </w:tc>
      </w:tr>
      <w:tr w:rsidR="008100CD" w:rsidRPr="00C34C12" w14:paraId="2CEFBE7B" w14:textId="77777777" w:rsidTr="00CA4A9A">
        <w:tc>
          <w:tcPr>
            <w:tcW w:w="2448" w:type="dxa"/>
          </w:tcPr>
          <w:p w14:paraId="11626041" w14:textId="77777777" w:rsidR="008100CD" w:rsidRPr="00C34C12" w:rsidRDefault="008100CD" w:rsidP="00BE67AD">
            <w:pPr>
              <w:pStyle w:val="TableText"/>
              <w:rPr>
                <w:noProof w:val="0"/>
              </w:rPr>
            </w:pPr>
            <w:r w:rsidRPr="00C34C12">
              <w:rPr>
                <w:noProof w:val="0"/>
              </w:rPr>
              <w:t>UAT</w:t>
            </w:r>
          </w:p>
        </w:tc>
        <w:tc>
          <w:tcPr>
            <w:tcW w:w="7200" w:type="dxa"/>
          </w:tcPr>
          <w:p w14:paraId="0613494D" w14:textId="77777777" w:rsidR="008100CD" w:rsidRPr="00C34C12" w:rsidRDefault="008100CD" w:rsidP="00BE67AD">
            <w:pPr>
              <w:pStyle w:val="TableText"/>
              <w:jc w:val="left"/>
              <w:rPr>
                <w:noProof w:val="0"/>
              </w:rPr>
            </w:pPr>
            <w:r w:rsidRPr="00C34C12">
              <w:rPr>
                <w:noProof w:val="0"/>
              </w:rPr>
              <w:t>user acceptance testing</w:t>
            </w:r>
          </w:p>
        </w:tc>
      </w:tr>
      <w:tr w:rsidR="008100CD" w:rsidRPr="00C34C12" w14:paraId="00C2451B" w14:textId="77777777" w:rsidTr="00CA4A9A">
        <w:tc>
          <w:tcPr>
            <w:tcW w:w="2448" w:type="dxa"/>
          </w:tcPr>
          <w:p w14:paraId="046B2E4F" w14:textId="77777777" w:rsidR="008100CD" w:rsidRPr="00C34C12" w:rsidRDefault="008100CD" w:rsidP="00BE67AD">
            <w:pPr>
              <w:pStyle w:val="TableText"/>
              <w:rPr>
                <w:noProof w:val="0"/>
              </w:rPr>
            </w:pPr>
            <w:r w:rsidRPr="00C34C12">
              <w:rPr>
                <w:noProof w:val="0"/>
              </w:rPr>
              <w:t>USC</w:t>
            </w:r>
          </w:p>
        </w:tc>
        <w:tc>
          <w:tcPr>
            <w:tcW w:w="7200" w:type="dxa"/>
          </w:tcPr>
          <w:p w14:paraId="1EDC33F7" w14:textId="77777777" w:rsidR="008100CD" w:rsidRPr="00C34C12" w:rsidRDefault="008100CD" w:rsidP="00BE67AD">
            <w:pPr>
              <w:pStyle w:val="TableText"/>
              <w:jc w:val="left"/>
              <w:rPr>
                <w:noProof w:val="0"/>
              </w:rPr>
            </w:pPr>
            <w:r w:rsidRPr="00C34C12">
              <w:rPr>
                <w:noProof w:val="0"/>
              </w:rPr>
              <w:t>United States Code</w:t>
            </w:r>
          </w:p>
        </w:tc>
      </w:tr>
    </w:tbl>
    <w:p w14:paraId="64C4143F" w14:textId="74908EB1" w:rsidR="008100CD" w:rsidRPr="00A272D5" w:rsidRDefault="00A272D5" w:rsidP="00A272D5">
      <w:pPr>
        <w:pageBreakBefore/>
        <w:jc w:val="center"/>
        <w:rPr>
          <w:b/>
          <w:bCs/>
        </w:rPr>
      </w:pPr>
      <w:r w:rsidRPr="00A272D5">
        <w:rPr>
          <w:b/>
          <w:bCs/>
        </w:rPr>
        <w:lastRenderedPageBreak/>
        <w:t>This page is intentionally left blank.</w:t>
      </w:r>
    </w:p>
    <w:p w14:paraId="50573B26" w14:textId="38C5FA80" w:rsidR="008100CD" w:rsidRPr="008100CD" w:rsidRDefault="008100CD" w:rsidP="008100CD">
      <w:pPr>
        <w:sectPr w:rsidR="008100CD" w:rsidRPr="008100CD" w:rsidSect="008100C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576" w:footer="360" w:gutter="0"/>
          <w:pgNumType w:fmt="lowerRoman"/>
          <w:cols w:space="720"/>
          <w:titlePg/>
          <w:docGrid w:linePitch="360"/>
        </w:sectPr>
      </w:pPr>
    </w:p>
    <w:p w14:paraId="7CFF8CDB" w14:textId="5E501F95" w:rsidR="00B432F9" w:rsidRPr="004B2D24" w:rsidRDefault="232B609B" w:rsidP="00670FD2">
      <w:pPr>
        <w:pStyle w:val="Heading2"/>
      </w:pPr>
      <w:bookmarkStart w:id="13" w:name="_Chapter_1:_Introduction"/>
      <w:bookmarkStart w:id="14" w:name="_Introduction"/>
      <w:bookmarkStart w:id="15" w:name="_Toc182555081"/>
      <w:bookmarkEnd w:id="13"/>
      <w:bookmarkEnd w:id="14"/>
      <w:r>
        <w:lastRenderedPageBreak/>
        <w:t>Introduction</w:t>
      </w:r>
      <w:bookmarkEnd w:id="15"/>
    </w:p>
    <w:p w14:paraId="48C8DB4C" w14:textId="45F4C8A3" w:rsidR="00B451D1" w:rsidRPr="00EC5786" w:rsidRDefault="00B451D1" w:rsidP="00B451D1">
      <w:r w:rsidRPr="00EC5786">
        <w:t xml:space="preserve">This chapter provides an overview of the </w:t>
      </w:r>
      <w:r>
        <w:t>California Alternate Assessment (CAA) for Science</w:t>
      </w:r>
      <w:r w:rsidRPr="00EC5786">
        <w:t xml:space="preserve"> program, including background information, the purpose of the test, the intended population, and organizations and systems involved.</w:t>
      </w:r>
      <w:r w:rsidR="00C54395" w:rsidRPr="00C54395">
        <w:t xml:space="preserve"> </w:t>
      </w:r>
      <w:r w:rsidR="00C54395">
        <w:t>Additionally, this chapter provides a summary of the impact of the n</w:t>
      </w:r>
      <w:r w:rsidR="00C54395" w:rsidRPr="009D0244">
        <w:t xml:space="preserve">ovel </w:t>
      </w:r>
      <w:r w:rsidR="00C54395">
        <w:t>c</w:t>
      </w:r>
      <w:r w:rsidR="00C54395" w:rsidRPr="009D0244">
        <w:t xml:space="preserve">oronavirus </w:t>
      </w:r>
      <w:r w:rsidR="00C54395">
        <w:t>d</w:t>
      </w:r>
      <w:r w:rsidR="00C54395" w:rsidRPr="009D0244">
        <w:t>isease 2019</w:t>
      </w:r>
      <w:r w:rsidR="00C54395">
        <w:t xml:space="preserve"> (COVID-19) pandemic on psychometric analyses and reporting (refer to section </w:t>
      </w:r>
      <w:hyperlink w:anchor="_Impact_of_the" w:history="1">
        <w:r w:rsidR="00C54395" w:rsidRPr="00136FCE">
          <w:rPr>
            <w:rStyle w:val="Hyperlink"/>
            <w:i/>
            <w:iCs/>
          </w:rPr>
          <w:t>1.8 Impact of the Novel Coronavirus Disease 2019 Pandemic on Psychometric Analyses and Reporting</w:t>
        </w:r>
      </w:hyperlink>
      <w:r w:rsidR="00C54395">
        <w:t>).</w:t>
      </w:r>
    </w:p>
    <w:p w14:paraId="0B1DC048" w14:textId="72E63DF5" w:rsidR="00DF44CC" w:rsidRDefault="00E16AE1" w:rsidP="00670FD2">
      <w:pPr>
        <w:pStyle w:val="Heading3"/>
      </w:pPr>
      <w:bookmarkStart w:id="16" w:name="_Toc66787306"/>
      <w:bookmarkStart w:id="17" w:name="_Toc66787766"/>
      <w:bookmarkStart w:id="18" w:name="_Toc67035359"/>
      <w:bookmarkStart w:id="19" w:name="_Toc67319223"/>
      <w:bookmarkStart w:id="20" w:name="_Toc67382335"/>
      <w:bookmarkStart w:id="21" w:name="_Toc67465893"/>
      <w:bookmarkStart w:id="22" w:name="_Toc68088878"/>
      <w:bookmarkStart w:id="23" w:name="_Toc68107727"/>
      <w:bookmarkStart w:id="24" w:name="_Toc182555082"/>
      <w:bookmarkEnd w:id="16"/>
      <w:bookmarkEnd w:id="17"/>
      <w:bookmarkEnd w:id="18"/>
      <w:bookmarkEnd w:id="19"/>
      <w:bookmarkEnd w:id="20"/>
      <w:bookmarkEnd w:id="21"/>
      <w:bookmarkEnd w:id="22"/>
      <w:bookmarkEnd w:id="23"/>
      <w:r w:rsidRPr="004B2D24">
        <w:t>Background</w:t>
      </w:r>
      <w:bookmarkEnd w:id="24"/>
    </w:p>
    <w:p w14:paraId="456607A2" w14:textId="77777777" w:rsidR="009B1068" w:rsidRPr="00C34C12" w:rsidRDefault="009B1068" w:rsidP="009B1068">
      <w:r w:rsidRPr="00C34C12">
        <w:t>In October 2013, Assembly Bill 484 established the California Assessment of Student Performance and Progress (CAASPP) as the new student assessment system that replaced the Standardized Testing and Reporting program. The primary purpose of the CAASPP System of assessments is to assist teachers, administrators, and students and their parents/‌guardians by promoting high-quality teaching and learning through the use of a variety of item types and assessment approaches. These tests provide the foundation for the state’s school accountability system.</w:t>
      </w:r>
    </w:p>
    <w:p w14:paraId="763FAD1C" w14:textId="6417882D" w:rsidR="009B1068" w:rsidRPr="00C34C12" w:rsidRDefault="009B1068" w:rsidP="009B1068">
      <w:pPr>
        <w:rPr>
          <w:rFonts w:eastAsia="Calibri"/>
        </w:rPr>
      </w:pPr>
      <w:r w:rsidRPr="00C34C12">
        <w:t>California adopted the California Next Generation Science Standards (CA NGSS) in September 2013. The CAA for Science is an assessment aligned with the Science Core Content Connectors (Science Connectors) derived from the CA NGSS. Its field test was administered during the 2018–</w:t>
      </w:r>
      <w:bookmarkStart w:id="25" w:name="_Hlk34396929"/>
      <w:r w:rsidRPr="00C34C12">
        <w:t>20</w:t>
      </w:r>
      <w:bookmarkEnd w:id="25"/>
      <w:r w:rsidRPr="00C34C12">
        <w:t>19 CAASPP administration.</w:t>
      </w:r>
    </w:p>
    <w:p w14:paraId="03E11485" w14:textId="75D0207A" w:rsidR="009B1068" w:rsidRPr="00C34C12" w:rsidRDefault="009B1068" w:rsidP="009B1068">
      <w:r w:rsidRPr="00C34C12">
        <w:t xml:space="preserve">The CAA for Science is designed for students with the most significant cognitive disabilities and measures what students know and can do in science. The purposes of the CAA for Science are to measure what students know and can do based on the Science Connectors linked to the CA NGSS across the three science domains and </w:t>
      </w:r>
      <w:r w:rsidRPr="00C34C12">
        <w:rPr>
          <w:rFonts w:ascii="Helvetica" w:hAnsi="Helvetica" w:cs="Helvetica"/>
          <w:shd w:val="clear" w:color="auto" w:fill="FFFFFF"/>
        </w:rPr>
        <w:t>help identify and address gaps in knowledge or skills early so students can receive the support they need (California Department of Education [CDE], 2020</w:t>
      </w:r>
      <w:r w:rsidR="00BD1552">
        <w:rPr>
          <w:rFonts w:ascii="Helvetica" w:hAnsi="Helvetica" w:cs="Helvetica"/>
          <w:shd w:val="clear" w:color="auto" w:fill="FFFFFF"/>
        </w:rPr>
        <w:t>b</w:t>
      </w:r>
      <w:r w:rsidRPr="00C34C12">
        <w:rPr>
          <w:rFonts w:ascii="Helvetica" w:hAnsi="Helvetica" w:cs="Helvetica"/>
          <w:shd w:val="clear" w:color="auto" w:fill="FFFFFF"/>
        </w:rPr>
        <w:t>)</w:t>
      </w:r>
      <w:r w:rsidRPr="00C34C12">
        <w:t>.</w:t>
      </w:r>
    </w:p>
    <w:p w14:paraId="6CDCE3D7" w14:textId="1870A3CE" w:rsidR="009B1068" w:rsidRPr="00C34C12" w:rsidRDefault="009B1068" w:rsidP="009B1068">
      <w:bookmarkStart w:id="26" w:name="_Hlk67383111"/>
      <w:r w:rsidRPr="00C34C12">
        <w:t>The CAA for Science is for students in grades five and eight and in high school whose individualized education program (IEP) teams have determined that alternate assessments are appropriate for the student (CDE, 20</w:t>
      </w:r>
      <w:r w:rsidR="00BD1552">
        <w:t>20a</w:t>
      </w:r>
      <w:r w:rsidRPr="00C34C12">
        <w:t xml:space="preserve">). Note that this technical report focuses on the </w:t>
      </w:r>
      <w:bookmarkEnd w:id="26"/>
      <w:r w:rsidRPr="00C34C12">
        <w:t xml:space="preserve">CAA for Science and </w:t>
      </w:r>
      <w:r w:rsidRPr="00C34C12">
        <w:rPr>
          <w:i/>
          <w:iCs/>
        </w:rPr>
        <w:t>not</w:t>
      </w:r>
      <w:r w:rsidRPr="00C34C12">
        <w:t xml:space="preserve"> the CAAs for English language arts/literacy (ELA) and mathematics, which are reported upon separately.</w:t>
      </w:r>
    </w:p>
    <w:p w14:paraId="711DB1C7" w14:textId="34CEDE82" w:rsidR="009B1068" w:rsidRPr="00C34C12" w:rsidRDefault="5B59E34B" w:rsidP="009B1068">
      <w:r>
        <w:t>During the</w:t>
      </w:r>
      <w:r w:rsidR="14122AE7">
        <w:t xml:space="preserve"> </w:t>
      </w:r>
      <w:r w:rsidR="6231648D">
        <w:t>2019</w:t>
      </w:r>
      <w:r w:rsidR="14122AE7">
        <w:t>–</w:t>
      </w:r>
      <w:r w:rsidR="6231648D">
        <w:t>2020</w:t>
      </w:r>
      <w:r>
        <w:t xml:space="preserve"> administration</w:t>
      </w:r>
      <w:r w:rsidR="14122AE7">
        <w:t>, the CAASPP System comprised the following assessments:</w:t>
      </w:r>
    </w:p>
    <w:p w14:paraId="1B3A171B" w14:textId="77777777" w:rsidR="009B1068" w:rsidRPr="00C34C12" w:rsidRDefault="009B1068" w:rsidP="00B33B75">
      <w:pPr>
        <w:pStyle w:val="bullets"/>
        <w:numPr>
          <w:ilvl w:val="0"/>
          <w:numId w:val="69"/>
        </w:numPr>
        <w:tabs>
          <w:tab w:val="clear" w:pos="727"/>
        </w:tabs>
        <w:ind w:left="864" w:hanging="288"/>
      </w:pPr>
      <w:r w:rsidRPr="00C34C12">
        <w:t>Smarter Balanced assessments and tools for the general student population:</w:t>
      </w:r>
    </w:p>
    <w:p w14:paraId="1E952B5F" w14:textId="77777777" w:rsidR="009B1068" w:rsidRPr="00C34C12" w:rsidRDefault="009B1068" w:rsidP="00B33B75">
      <w:pPr>
        <w:pStyle w:val="bullets2"/>
        <w:numPr>
          <w:ilvl w:val="0"/>
          <w:numId w:val="68"/>
        </w:numPr>
        <w:ind w:left="1224"/>
      </w:pPr>
      <w:r w:rsidRPr="00C34C12">
        <w:t>Summative Assessments—Online assessments for ELA and mathematics in grades three through eight and grade eleven</w:t>
      </w:r>
    </w:p>
    <w:p w14:paraId="5BAD96B4" w14:textId="7F3AEBC7" w:rsidR="009B1068" w:rsidRPr="00C34C12" w:rsidRDefault="009B1068" w:rsidP="00B33B75">
      <w:pPr>
        <w:pStyle w:val="bullets2"/>
        <w:numPr>
          <w:ilvl w:val="0"/>
          <w:numId w:val="68"/>
        </w:numPr>
        <w:ind w:left="1224"/>
      </w:pPr>
      <w:r w:rsidRPr="00C34C12">
        <w:t>Interim Assessments—Optional resources developed for grades three through eight and grade eleven designed to inform and promote teaching and learning by providing information that can be used to monitor student progress toward mastery of the Common Core State Standards that may be administered to students at any grade level</w:t>
      </w:r>
    </w:p>
    <w:p w14:paraId="2D7B6443" w14:textId="24673ED7" w:rsidR="009B1068" w:rsidRPr="00C34C12" w:rsidRDefault="009B1068" w:rsidP="00B33B75">
      <w:pPr>
        <w:pStyle w:val="bullets2"/>
        <w:numPr>
          <w:ilvl w:val="0"/>
          <w:numId w:val="68"/>
        </w:numPr>
        <w:ind w:left="1224"/>
      </w:pPr>
      <w:r w:rsidRPr="00C34C12">
        <w:t>Digital Library</w:t>
      </w:r>
      <w:r w:rsidR="00614E60">
        <w:t xml:space="preserve"> (now Tools for Teachers)</w:t>
      </w:r>
      <w:r w:rsidRPr="00C34C12">
        <w:t>—Professional development materials and instructional resources designed to help teachers use formative assessment processes for improved teaching and learning in all grades</w:t>
      </w:r>
    </w:p>
    <w:p w14:paraId="71C23541" w14:textId="77777777" w:rsidR="009B1068" w:rsidRPr="00C34C12" w:rsidRDefault="009B1068" w:rsidP="00B33B75">
      <w:pPr>
        <w:pStyle w:val="bullets"/>
        <w:numPr>
          <w:ilvl w:val="0"/>
          <w:numId w:val="69"/>
        </w:numPr>
        <w:tabs>
          <w:tab w:val="clear" w:pos="727"/>
        </w:tabs>
        <w:ind w:left="864" w:hanging="288"/>
      </w:pPr>
      <w:r w:rsidRPr="00C34C12">
        <w:lastRenderedPageBreak/>
        <w:t>CAAs for ELA and mathematics in grades three through eight and grade eleven for students with significant cognitive disabilities</w:t>
      </w:r>
    </w:p>
    <w:p w14:paraId="4281F36D" w14:textId="77777777" w:rsidR="009B1068" w:rsidRPr="00C34C12" w:rsidRDefault="009B1068" w:rsidP="00B33B75">
      <w:pPr>
        <w:pStyle w:val="bullets"/>
        <w:numPr>
          <w:ilvl w:val="0"/>
          <w:numId w:val="69"/>
        </w:numPr>
        <w:tabs>
          <w:tab w:val="clear" w:pos="727"/>
        </w:tabs>
        <w:ind w:left="864" w:hanging="288"/>
      </w:pPr>
      <w:r w:rsidRPr="00C34C12">
        <w:t>Science assessments in grad</w:t>
      </w:r>
      <w:r w:rsidRPr="00F52632">
        <w:t>es five and eight and high school (grade t</w:t>
      </w:r>
      <w:r w:rsidRPr="00C34C12">
        <w:t>en, eleven, or twelve; these are the California Science Test [CAST] and the CAA for Science)</w:t>
      </w:r>
    </w:p>
    <w:p w14:paraId="0E647D55" w14:textId="1274273C" w:rsidR="009B1068" w:rsidRPr="00C34C12" w:rsidRDefault="009B1068" w:rsidP="00B33B75">
      <w:pPr>
        <w:pStyle w:val="bullets"/>
        <w:numPr>
          <w:ilvl w:val="0"/>
          <w:numId w:val="69"/>
        </w:numPr>
        <w:tabs>
          <w:tab w:val="clear" w:pos="727"/>
        </w:tabs>
        <w:ind w:left="864" w:hanging="288"/>
        <w:rPr>
          <w:rFonts w:eastAsiaTheme="minorEastAsia"/>
        </w:rPr>
      </w:pPr>
      <w:r w:rsidRPr="00C34C12">
        <w:t>The California Spanish Assessment, optional for eligible students in grades three through eight and high school and designed to measure a student’s Spanish competency in reading, writing mechanics, and listening, as well as a high school measure suitable to be used in part for the California Seal of Biliteracy</w:t>
      </w:r>
    </w:p>
    <w:p w14:paraId="4028EC76" w14:textId="6FACE64D" w:rsidR="009B1068" w:rsidRPr="00C34C12" w:rsidRDefault="009B1068" w:rsidP="009B1068">
      <w:r w:rsidRPr="00C34C12">
        <w:t xml:space="preserve">More background information about the CAASPP System can be found on the CAASPP Description – </w:t>
      </w:r>
      <w:r w:rsidRPr="00C34C12">
        <w:rPr>
          <w:i/>
        </w:rPr>
        <w:t>CalEdFacts</w:t>
      </w:r>
      <w:r w:rsidRPr="00C34C12">
        <w:t xml:space="preserve"> web page.</w:t>
      </w:r>
    </w:p>
    <w:p w14:paraId="0F664953" w14:textId="0E0E9940" w:rsidR="004A5CD3" w:rsidRDefault="00146254" w:rsidP="00670FD2">
      <w:pPr>
        <w:pStyle w:val="Heading3"/>
      </w:pPr>
      <w:bookmarkStart w:id="27" w:name="_Toc182555083"/>
      <w:r w:rsidRPr="004B2D24">
        <w:t>Test Purpose</w:t>
      </w:r>
      <w:bookmarkEnd w:id="27"/>
    </w:p>
    <w:p w14:paraId="3571DB45" w14:textId="3AB72455" w:rsidR="009B1068" w:rsidRPr="00C34C12" w:rsidRDefault="009B1068" w:rsidP="009B1068">
      <w:pPr>
        <w:rPr>
          <w:lang w:eastAsia="zh-CN"/>
        </w:rPr>
      </w:pPr>
      <w:bookmarkStart w:id="28" w:name="_Hlk67383134"/>
      <w:r w:rsidRPr="00C34C12">
        <w:rPr>
          <w:lang w:eastAsia="zh-CN"/>
        </w:rPr>
        <w:t xml:space="preserve">The purpose of the CAA for Science </w:t>
      </w:r>
      <w:r w:rsidR="00006B26">
        <w:rPr>
          <w:lang w:eastAsia="zh-CN"/>
        </w:rPr>
        <w:t>i</w:t>
      </w:r>
      <w:r w:rsidRPr="00C34C12">
        <w:rPr>
          <w:lang w:eastAsia="zh-CN"/>
        </w:rPr>
        <w:t xml:space="preserve">s to </w:t>
      </w:r>
      <w:r w:rsidR="00AA65A6">
        <w:rPr>
          <w:lang w:eastAsia="zh-CN"/>
        </w:rPr>
        <w:t>measure what</w:t>
      </w:r>
      <w:r w:rsidR="003E78EB">
        <w:rPr>
          <w:lang w:eastAsia="zh-CN"/>
        </w:rPr>
        <w:t xml:space="preserve"> students know and can do</w:t>
      </w:r>
      <w:r w:rsidR="00236B5A">
        <w:rPr>
          <w:lang w:eastAsia="zh-CN"/>
        </w:rPr>
        <w:t>. These measures help identify and address gaps in knowledge or s</w:t>
      </w:r>
      <w:r w:rsidR="00236B5A" w:rsidRPr="00BD1552">
        <w:rPr>
          <w:lang w:eastAsia="zh-CN"/>
        </w:rPr>
        <w:t>kill</w:t>
      </w:r>
      <w:r w:rsidR="00C40A6F" w:rsidRPr="00BD1552">
        <w:rPr>
          <w:lang w:eastAsia="zh-CN"/>
        </w:rPr>
        <w:t>s</w:t>
      </w:r>
      <w:r w:rsidR="00236B5A" w:rsidRPr="00BD1552">
        <w:rPr>
          <w:lang w:eastAsia="zh-CN"/>
        </w:rPr>
        <w:t xml:space="preserve"> (CDE, 20</w:t>
      </w:r>
      <w:r w:rsidR="00BD1552" w:rsidRPr="00BD1552">
        <w:rPr>
          <w:lang w:eastAsia="zh-CN"/>
        </w:rPr>
        <w:t>20</w:t>
      </w:r>
      <w:r w:rsidR="00BD1552">
        <w:rPr>
          <w:lang w:eastAsia="zh-CN"/>
        </w:rPr>
        <w:t>a</w:t>
      </w:r>
      <w:r w:rsidR="00236B5A" w:rsidRPr="00BD1552">
        <w:rPr>
          <w:lang w:eastAsia="zh-CN"/>
        </w:rPr>
        <w:t>)</w:t>
      </w:r>
      <w:r w:rsidR="00C64278" w:rsidRPr="00BD1552">
        <w:rPr>
          <w:lang w:eastAsia="zh-CN"/>
        </w:rPr>
        <w:t xml:space="preserve">. </w:t>
      </w:r>
      <w:r w:rsidR="00DF40EF" w:rsidRPr="00BD1552">
        <w:rPr>
          <w:lang w:eastAsia="zh-CN"/>
        </w:rPr>
        <w:t>Th</w:t>
      </w:r>
      <w:r w:rsidR="00DF40EF">
        <w:rPr>
          <w:lang w:eastAsia="zh-CN"/>
        </w:rPr>
        <w:t>e</w:t>
      </w:r>
      <w:r w:rsidR="00236B5A">
        <w:rPr>
          <w:lang w:eastAsia="zh-CN"/>
        </w:rPr>
        <w:t xml:space="preserve"> </w:t>
      </w:r>
      <w:r w:rsidR="007B4A6B">
        <w:rPr>
          <w:lang w:eastAsia="zh-CN"/>
        </w:rPr>
        <w:t xml:space="preserve">CAA for Science </w:t>
      </w:r>
      <w:r w:rsidR="00DF40EF">
        <w:rPr>
          <w:lang w:eastAsia="zh-CN"/>
        </w:rPr>
        <w:t>assess</w:t>
      </w:r>
      <w:r w:rsidR="007B4A6B">
        <w:rPr>
          <w:lang w:eastAsia="zh-CN"/>
        </w:rPr>
        <w:t>es</w:t>
      </w:r>
      <w:r w:rsidRPr="00C34C12">
        <w:rPr>
          <w:lang w:eastAsia="zh-CN"/>
        </w:rPr>
        <w:t xml:space="preserve"> the Science Connectors derived from the CA NGSS for the CAA-eligible </w:t>
      </w:r>
      <w:bookmarkEnd w:id="28"/>
      <w:r w:rsidRPr="00C34C12">
        <w:rPr>
          <w:lang w:eastAsia="zh-CN"/>
        </w:rPr>
        <w:t xml:space="preserve">student population. </w:t>
      </w:r>
      <w:r w:rsidRPr="00C34C12">
        <w:t>The Science Connectors provide learning goals that are aligned appropriately with the needs of students with the most significant cognitive disabilities and serve as the basis for the state’s CA</w:t>
      </w:r>
      <w:r w:rsidR="00006B26">
        <w:t xml:space="preserve"> </w:t>
      </w:r>
      <w:r w:rsidRPr="00C34C12">
        <w:t>NGSS alternate summative science assessments for eligible students.</w:t>
      </w:r>
    </w:p>
    <w:p w14:paraId="6217AD59" w14:textId="12A13B35" w:rsidR="00536FB9" w:rsidRDefault="08CF0020" w:rsidP="00670FD2">
      <w:pPr>
        <w:pStyle w:val="Heading3"/>
      </w:pPr>
      <w:bookmarkStart w:id="29" w:name="_Toc66787309"/>
      <w:bookmarkStart w:id="30" w:name="_Toc66787769"/>
      <w:bookmarkStart w:id="31" w:name="_Toc67035362"/>
      <w:bookmarkStart w:id="32" w:name="_Toc67319226"/>
      <w:bookmarkStart w:id="33" w:name="_Toc67382338"/>
      <w:bookmarkStart w:id="34" w:name="_Toc67465896"/>
      <w:bookmarkStart w:id="35" w:name="_Toc68088881"/>
      <w:bookmarkStart w:id="36" w:name="_Toc68107730"/>
      <w:bookmarkStart w:id="37" w:name="_Toc66787310"/>
      <w:bookmarkStart w:id="38" w:name="_Toc66787770"/>
      <w:bookmarkStart w:id="39" w:name="_Toc67035363"/>
      <w:bookmarkStart w:id="40" w:name="_Toc67319227"/>
      <w:bookmarkStart w:id="41" w:name="_Toc67382339"/>
      <w:bookmarkStart w:id="42" w:name="_Toc67465897"/>
      <w:bookmarkStart w:id="43" w:name="_Toc68088882"/>
      <w:bookmarkStart w:id="44" w:name="_Toc68107731"/>
      <w:bookmarkStart w:id="45" w:name="_Toc66787311"/>
      <w:bookmarkStart w:id="46" w:name="_Toc66787771"/>
      <w:bookmarkStart w:id="47" w:name="_Toc67035364"/>
      <w:bookmarkStart w:id="48" w:name="_Toc67319228"/>
      <w:bookmarkStart w:id="49" w:name="_Toc67382340"/>
      <w:bookmarkStart w:id="50" w:name="_Toc67465898"/>
      <w:bookmarkStart w:id="51" w:name="_Toc68088883"/>
      <w:bookmarkStart w:id="52" w:name="_Toc68107732"/>
      <w:bookmarkStart w:id="53" w:name="_Toc66787312"/>
      <w:bookmarkStart w:id="54" w:name="_Toc66787772"/>
      <w:bookmarkStart w:id="55" w:name="_Toc67035365"/>
      <w:bookmarkStart w:id="56" w:name="_Toc67319229"/>
      <w:bookmarkStart w:id="57" w:name="_Toc67382341"/>
      <w:bookmarkStart w:id="58" w:name="_Toc67465899"/>
      <w:bookmarkStart w:id="59" w:name="_Toc68088884"/>
      <w:bookmarkStart w:id="60" w:name="_Toc68107733"/>
      <w:bookmarkStart w:id="61" w:name="_Toc182555084"/>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t>Content and</w:t>
      </w:r>
      <w:r w:rsidR="679FF97A">
        <w:t xml:space="preserve"> Structure</w:t>
      </w:r>
      <w:bookmarkEnd w:id="61"/>
    </w:p>
    <w:p w14:paraId="0D1138A2" w14:textId="77777777" w:rsidR="00231F95" w:rsidRPr="00C34C12" w:rsidRDefault="00231F95" w:rsidP="00231F95">
      <w:pPr>
        <w:keepNext/>
        <w:keepLines/>
        <w:rPr>
          <w:rFonts w:eastAsia="Calibri"/>
        </w:rPr>
      </w:pPr>
      <w:r w:rsidRPr="00C34C12">
        <w:rPr>
          <w:rFonts w:eastAsia="Calibri"/>
        </w:rPr>
        <w:t>The California State Board of Education (SBE) approved the conceptual design for the CAA for Science in July 2016. This design uses an embedded</w:t>
      </w:r>
      <w:r>
        <w:rPr>
          <w:rFonts w:eastAsia="Calibri"/>
        </w:rPr>
        <w:t xml:space="preserve"> </w:t>
      </w:r>
      <w:r w:rsidRPr="00C34C12">
        <w:t>performance task</w:t>
      </w:r>
      <w:r w:rsidRPr="00C34C12">
        <w:rPr>
          <w:rFonts w:eastAsia="Calibri"/>
        </w:rPr>
        <w:t xml:space="preserve"> </w:t>
      </w:r>
      <w:r>
        <w:rPr>
          <w:rFonts w:eastAsia="Calibri"/>
        </w:rPr>
        <w:t>(</w:t>
      </w:r>
      <w:r w:rsidRPr="00C34C12">
        <w:rPr>
          <w:rFonts w:eastAsia="Calibri"/>
        </w:rPr>
        <w:t>PT</w:t>
      </w:r>
      <w:r>
        <w:rPr>
          <w:rFonts w:eastAsia="Calibri"/>
        </w:rPr>
        <w:t>)</w:t>
      </w:r>
      <w:r w:rsidRPr="00C34C12">
        <w:rPr>
          <w:rFonts w:eastAsia="Calibri"/>
        </w:rPr>
        <w:t xml:space="preserve"> design, meaning that each embedded PT is expected to be administered shortly after content related to the Science Connectors has been taught. Test examiners administer a set of test questions measuring two Science Connectors from one of the three science domains (CDE, 2018).</w:t>
      </w:r>
    </w:p>
    <w:p w14:paraId="41621203" w14:textId="3BF35385" w:rsidR="007251E1" w:rsidRDefault="007251E1" w:rsidP="005526D6">
      <w:pPr>
        <w:pStyle w:val="Heading4"/>
      </w:pPr>
      <w:bookmarkStart w:id="62" w:name="_Toc182555085"/>
      <w:r w:rsidRPr="004B2D24">
        <w:t>Assessment Model</w:t>
      </w:r>
      <w:bookmarkEnd w:id="62"/>
    </w:p>
    <w:p w14:paraId="639C560B" w14:textId="77777777" w:rsidR="009B1068" w:rsidRPr="00C34C12" w:rsidRDefault="009B1068" w:rsidP="009B1068">
      <w:bookmarkStart w:id="63" w:name="_Hlk30078188"/>
      <w:bookmarkEnd w:id="63"/>
      <w:r w:rsidRPr="00C34C12">
        <w:rPr>
          <w:rFonts w:eastAsia="Calibri"/>
        </w:rPr>
        <w:t>In cases where implementation has been particularly successful, alternate assessments based on a collection of embedded PTs (sometimes referred to as a “body of evidence”)</w:t>
      </w:r>
      <w:r w:rsidRPr="00C34C12">
        <w:rPr>
          <w:rFonts w:eastAsia="Calibri"/>
          <w:i/>
        </w:rPr>
        <w:t xml:space="preserve"> </w:t>
      </w:r>
      <w:bookmarkStart w:id="64" w:name="_Hlk67383161"/>
      <w:r w:rsidRPr="00C34C12">
        <w:rPr>
          <w:rFonts w:eastAsia="Calibri"/>
        </w:rPr>
        <w:t>have been shown to leverage higher academic learning expectations for students taking an alternate assessment while promoting enhanced curricular and instructional supports for teachers (Gong &amp; Marion, 2006).</w:t>
      </w:r>
    </w:p>
    <w:bookmarkEnd w:id="64"/>
    <w:p w14:paraId="7F9DD882" w14:textId="77777777" w:rsidR="009B1068" w:rsidRPr="00C34C12" w:rsidRDefault="009B1068" w:rsidP="009B1068">
      <w:r w:rsidRPr="00C34C12">
        <w:rPr>
          <w:rFonts w:eastAsia="Calibri"/>
        </w:rPr>
        <w:t>The guiding principles adopted for the CAA for Science are that these assessments</w:t>
      </w:r>
    </w:p>
    <w:p w14:paraId="6587DE5F" w14:textId="77777777" w:rsidR="009B1068" w:rsidRPr="00C34C12" w:rsidRDefault="009B1068" w:rsidP="00B33B75">
      <w:pPr>
        <w:pStyle w:val="bullets"/>
        <w:numPr>
          <w:ilvl w:val="0"/>
          <w:numId w:val="69"/>
        </w:numPr>
        <w:tabs>
          <w:tab w:val="clear" w:pos="727"/>
        </w:tabs>
        <w:ind w:left="864" w:hanging="288"/>
      </w:pPr>
      <w:r w:rsidRPr="00C34C12">
        <w:t>support and promote teachers’ implementation of the CA NGSS;</w:t>
      </w:r>
    </w:p>
    <w:p w14:paraId="286AD920" w14:textId="77777777" w:rsidR="009B1068" w:rsidRPr="00C34C12" w:rsidRDefault="009B1068" w:rsidP="00B33B75">
      <w:pPr>
        <w:pStyle w:val="bullets"/>
        <w:numPr>
          <w:ilvl w:val="0"/>
          <w:numId w:val="69"/>
        </w:numPr>
        <w:tabs>
          <w:tab w:val="clear" w:pos="727"/>
        </w:tabs>
        <w:ind w:left="864" w:hanging="288"/>
      </w:pPr>
      <w:r w:rsidRPr="00C34C12">
        <w:t>embed summative assessment into instructional practice;</w:t>
      </w:r>
    </w:p>
    <w:p w14:paraId="261868B5" w14:textId="77777777" w:rsidR="009B1068" w:rsidRPr="00C34C12" w:rsidRDefault="009B1068" w:rsidP="00B33B75">
      <w:pPr>
        <w:pStyle w:val="bullets"/>
        <w:numPr>
          <w:ilvl w:val="0"/>
          <w:numId w:val="69"/>
        </w:numPr>
        <w:tabs>
          <w:tab w:val="clear" w:pos="727"/>
        </w:tabs>
        <w:ind w:left="864" w:hanging="288"/>
      </w:pPr>
      <w:r w:rsidRPr="00C34C12">
        <w:t>offer a developmentally appropriate opportunity for students with the most significant cognitive disabilities to be assessed on their science knowledge, skills, and abilities; and</w:t>
      </w:r>
    </w:p>
    <w:p w14:paraId="1175B78E" w14:textId="77777777" w:rsidR="009B1068" w:rsidRPr="00C34C12" w:rsidRDefault="009B1068" w:rsidP="00B33B75">
      <w:pPr>
        <w:pStyle w:val="bullets"/>
        <w:numPr>
          <w:ilvl w:val="0"/>
          <w:numId w:val="69"/>
        </w:numPr>
        <w:tabs>
          <w:tab w:val="clear" w:pos="727"/>
        </w:tabs>
        <w:ind w:left="864" w:hanging="288"/>
      </w:pPr>
      <w:r w:rsidRPr="00C34C12">
        <w:t>provide meaningful information about academic performance to both parents/‌guardians and teachers.</w:t>
      </w:r>
    </w:p>
    <w:p w14:paraId="6C0F8738" w14:textId="77777777" w:rsidR="009B1068" w:rsidRPr="00C34C12" w:rsidRDefault="009B1068" w:rsidP="009B1068">
      <w:r w:rsidRPr="00C34C12">
        <w:lastRenderedPageBreak/>
        <w:t>California’s relatively small population of students with the most significant cognitive disabilities who are eligible for an alternate science assessment</w:t>
      </w:r>
      <w:r w:rsidRPr="00C34C12">
        <w:rPr>
          <w:vertAlign w:val="superscript"/>
        </w:rPr>
        <w:footnoteReference w:id="2"/>
      </w:r>
      <w:r w:rsidRPr="00C34C12">
        <w:t xml:space="preserve"> also makes the use of this assessment model reasonable.</w:t>
      </w:r>
    </w:p>
    <w:p w14:paraId="6A59DF65" w14:textId="5062F718" w:rsidR="007251E1" w:rsidRDefault="007251E1" w:rsidP="005526D6">
      <w:pPr>
        <w:pStyle w:val="Heading4"/>
      </w:pPr>
      <w:bookmarkStart w:id="65" w:name="_Toc182555086"/>
      <w:r w:rsidRPr="004B2D24">
        <w:t>California Next Generation Science Standards Core Content Connectors</w:t>
      </w:r>
      <w:bookmarkEnd w:id="65"/>
    </w:p>
    <w:p w14:paraId="272EEDE0" w14:textId="14FE428E" w:rsidR="009B1068" w:rsidRPr="00C34C12" w:rsidRDefault="009B1068" w:rsidP="009B1068">
      <w:pPr>
        <w:keepNext/>
        <w:keepLines/>
      </w:pPr>
      <w:bookmarkStart w:id="66" w:name="_Ref525493860"/>
      <w:r w:rsidRPr="00C34C12">
        <w:rPr>
          <w:rFonts w:eastAsia="Times New Roman"/>
        </w:rPr>
        <w:t xml:space="preserve">The assessment is aligned with the Science Connectors. The Science Connectors are the appropriate standards for the student population assigned to take the CAA for Science. The Science Connectors </w:t>
      </w:r>
      <w:r w:rsidRPr="00C34C12">
        <w:t>bridge</w:t>
      </w:r>
      <w:r w:rsidRPr="00C34C12">
        <w:rPr>
          <w:rFonts w:eastAsia="Times New Roman"/>
        </w:rPr>
        <w:t xml:space="preserve"> the CA NGSS performance expectations (PEs) for the standard student population to the expectations developed to provide appropriate levels of challenge and rigor for students with the most significant cognitive disabilities</w:t>
      </w:r>
      <w:r w:rsidRPr="00DF7FD3">
        <w:rPr>
          <w:rFonts w:eastAsia="Times New Roman"/>
        </w:rPr>
        <w:t xml:space="preserve">. </w:t>
      </w:r>
      <w:r w:rsidRPr="007C431E">
        <w:rPr>
          <w:rStyle w:val="Cross-Reference"/>
        </w:rPr>
        <w:fldChar w:fldCharType="begin"/>
      </w:r>
      <w:r w:rsidRPr="007C431E">
        <w:rPr>
          <w:rStyle w:val="Cross-Reference"/>
          <w:highlight w:val="magenta"/>
        </w:rPr>
        <w:instrText xml:space="preserve"> REF _Ref22134500 \h  \* MERGEFORMAT </w:instrText>
      </w:r>
      <w:r w:rsidRPr="007C431E">
        <w:rPr>
          <w:rStyle w:val="Cross-Reference"/>
        </w:rPr>
      </w:r>
      <w:r w:rsidRPr="007C431E">
        <w:rPr>
          <w:rStyle w:val="Cross-Reference"/>
        </w:rPr>
        <w:fldChar w:fldCharType="separate"/>
      </w:r>
      <w:r w:rsidR="00812442" w:rsidRPr="00812442">
        <w:rPr>
          <w:rStyle w:val="Cross-Reference"/>
        </w:rPr>
        <w:t>Table 1.1</w:t>
      </w:r>
      <w:r w:rsidRPr="007C431E">
        <w:rPr>
          <w:rStyle w:val="Cross-Reference"/>
        </w:rPr>
        <w:fldChar w:fldCharType="end"/>
      </w:r>
      <w:r w:rsidRPr="00C34C12">
        <w:t xml:space="preserve"> summarizes the structure and organization of the Science Connectors.</w:t>
      </w:r>
      <w:bookmarkStart w:id="67" w:name="_Ref451420388"/>
      <w:bookmarkStart w:id="68" w:name="_Toc451427786"/>
    </w:p>
    <w:p w14:paraId="4E686B30" w14:textId="09572477" w:rsidR="009B1068" w:rsidRPr="00C34C12" w:rsidRDefault="009B1068" w:rsidP="009B1068">
      <w:pPr>
        <w:pStyle w:val="Caption"/>
        <w:keepLines/>
      </w:pPr>
      <w:bookmarkStart w:id="69" w:name="_Ref22134500"/>
      <w:bookmarkStart w:id="70" w:name="_Toc30414264"/>
      <w:bookmarkStart w:id="71" w:name="_Toc38901371"/>
      <w:bookmarkStart w:id="72" w:name="_Toc67319680"/>
      <w:bookmarkStart w:id="73" w:name="_Toc220498684"/>
      <w:bookmarkEnd w:id="66"/>
      <w:bookmarkEnd w:id="67"/>
      <w:bookmarkEnd w:id="68"/>
      <w:r w:rsidRPr="00C34C12">
        <w:t xml:space="preserve">Table </w:t>
      </w:r>
      <w:r>
        <w:fldChar w:fldCharType="begin"/>
      </w:r>
      <w:r>
        <w:instrText>STYLEREF 2 \s</w:instrText>
      </w:r>
      <w:r>
        <w:fldChar w:fldCharType="separate"/>
      </w:r>
      <w:r w:rsidR="00961502">
        <w:rPr>
          <w:noProof/>
        </w:rPr>
        <w:t>1</w:t>
      </w:r>
      <w:r>
        <w:fldChar w:fldCharType="end"/>
      </w:r>
      <w:r w:rsidR="00A40753">
        <w:t>.</w:t>
      </w:r>
      <w:r>
        <w:fldChar w:fldCharType="begin"/>
      </w:r>
      <w:r>
        <w:instrText>SEQ Table \* ARABIC \s 2</w:instrText>
      </w:r>
      <w:r>
        <w:fldChar w:fldCharType="separate"/>
      </w:r>
      <w:r w:rsidR="00961502">
        <w:rPr>
          <w:noProof/>
        </w:rPr>
        <w:t>1</w:t>
      </w:r>
      <w:r>
        <w:fldChar w:fldCharType="end"/>
      </w:r>
      <w:bookmarkEnd w:id="69"/>
      <w:r w:rsidRPr="00C34C12">
        <w:t xml:space="preserve">  Organization of the Science Connectors</w:t>
      </w:r>
      <w:bookmarkEnd w:id="70"/>
      <w:bookmarkEnd w:id="71"/>
      <w:bookmarkEnd w:id="72"/>
      <w:bookmarkEnd w:id="73"/>
    </w:p>
    <w:tbl>
      <w:tblPr>
        <w:tblStyle w:val="TRsBorders"/>
        <w:tblW w:w="9283" w:type="dxa"/>
        <w:tblLayout w:type="fixed"/>
        <w:tblLook w:val="04A0" w:firstRow="1" w:lastRow="0" w:firstColumn="1" w:lastColumn="0" w:noHBand="0" w:noVBand="1"/>
        <w:tblDescription w:val="Organization of the Science Connectors"/>
      </w:tblPr>
      <w:tblGrid>
        <w:gridCol w:w="3055"/>
        <w:gridCol w:w="6228"/>
      </w:tblGrid>
      <w:tr w:rsidR="009B1068" w:rsidRPr="00C34C12" w14:paraId="454724F3" w14:textId="77777777" w:rsidTr="00903992">
        <w:trPr>
          <w:cnfStyle w:val="100000000000" w:firstRow="1" w:lastRow="0" w:firstColumn="0" w:lastColumn="0" w:oddVBand="0" w:evenVBand="0" w:oddHBand="0" w:evenHBand="0" w:firstRowFirstColumn="0" w:firstRowLastColumn="0" w:lastRowFirstColumn="0" w:lastRowLastColumn="0"/>
          <w:cantSplit/>
          <w:trHeight w:val="557"/>
        </w:trPr>
        <w:tc>
          <w:tcPr>
            <w:tcW w:w="3055" w:type="dxa"/>
          </w:tcPr>
          <w:p w14:paraId="16E4EEDA" w14:textId="77777777" w:rsidR="009B1068" w:rsidRPr="00C34C12" w:rsidRDefault="009B1068" w:rsidP="00DD76DC">
            <w:pPr>
              <w:pStyle w:val="TableHead"/>
              <w:keepNext/>
              <w:keepLines/>
              <w:rPr>
                <w:noProof w:val="0"/>
              </w:rPr>
            </w:pPr>
            <w:r w:rsidRPr="00C34C12">
              <w:rPr>
                <w:noProof w:val="0"/>
              </w:rPr>
              <w:t>Assessment Components</w:t>
            </w:r>
          </w:p>
        </w:tc>
        <w:tc>
          <w:tcPr>
            <w:tcW w:w="6228" w:type="dxa"/>
          </w:tcPr>
          <w:p w14:paraId="67ABCF93" w14:textId="1F6BFAEF" w:rsidR="009B1068" w:rsidRPr="00C34C12" w:rsidRDefault="00EC46EE" w:rsidP="00DD76DC">
            <w:pPr>
              <w:pStyle w:val="TableHead"/>
              <w:keepNext/>
              <w:keepLines/>
              <w:rPr>
                <w:noProof w:val="0"/>
              </w:rPr>
            </w:pPr>
            <w:r>
              <w:rPr>
                <w:noProof w:val="0"/>
              </w:rPr>
              <w:t>Description</w:t>
            </w:r>
          </w:p>
        </w:tc>
      </w:tr>
      <w:tr w:rsidR="009B1068" w:rsidRPr="00C34C12" w14:paraId="2EF4EE08" w14:textId="77777777" w:rsidTr="00903992">
        <w:tc>
          <w:tcPr>
            <w:tcW w:w="3055" w:type="dxa"/>
          </w:tcPr>
          <w:p w14:paraId="5561635B" w14:textId="77777777" w:rsidR="009B1068" w:rsidRPr="00C34C12" w:rsidRDefault="009B1068" w:rsidP="00BE67AD">
            <w:pPr>
              <w:pStyle w:val="TableText"/>
              <w:keepNext/>
              <w:keepLines/>
              <w:rPr>
                <w:noProof w:val="0"/>
                <w:highlight w:val="green"/>
              </w:rPr>
            </w:pPr>
            <w:r w:rsidRPr="00C34C12">
              <w:rPr>
                <w:noProof w:val="0"/>
              </w:rPr>
              <w:t>Performance Expectation</w:t>
            </w:r>
          </w:p>
        </w:tc>
        <w:tc>
          <w:tcPr>
            <w:tcW w:w="6228" w:type="dxa"/>
          </w:tcPr>
          <w:p w14:paraId="142D752D" w14:textId="77777777" w:rsidR="009B1068" w:rsidRPr="00C34C12" w:rsidRDefault="009B1068" w:rsidP="00BE67AD">
            <w:pPr>
              <w:pStyle w:val="TableTextLeft"/>
              <w:keepNext/>
              <w:keepLines/>
              <w:rPr>
                <w:noProof w:val="0"/>
                <w:highlight w:val="green"/>
              </w:rPr>
            </w:pPr>
            <w:r w:rsidRPr="00C34C12">
              <w:rPr>
                <w:noProof w:val="0"/>
              </w:rPr>
              <w:t>Incorporates a disciplinary core idea, a science and engineering practice, and a crosscutting concept into an assessable statement of what students should know and be able to accomplish with regard to the four domains (i.e., Life Sciences; Physical Sciences; Earth and Space Sciences; and Engineering, Technology, and Applications of Science)</w:t>
            </w:r>
          </w:p>
        </w:tc>
      </w:tr>
      <w:tr w:rsidR="009B1068" w:rsidRPr="00C34C12" w14:paraId="537FC4BE" w14:textId="77777777" w:rsidTr="00903992">
        <w:tc>
          <w:tcPr>
            <w:tcW w:w="3055" w:type="dxa"/>
          </w:tcPr>
          <w:p w14:paraId="055C629B" w14:textId="77777777" w:rsidR="009B1068" w:rsidRPr="00C34C12" w:rsidRDefault="009B1068" w:rsidP="00BE67AD">
            <w:pPr>
              <w:pStyle w:val="TableText"/>
              <w:keepNext/>
              <w:keepLines/>
              <w:rPr>
                <w:noProof w:val="0"/>
                <w:highlight w:val="green"/>
              </w:rPr>
            </w:pPr>
            <w:r w:rsidRPr="00C34C12">
              <w:rPr>
                <w:noProof w:val="0"/>
              </w:rPr>
              <w:t>Science Connector</w:t>
            </w:r>
          </w:p>
        </w:tc>
        <w:tc>
          <w:tcPr>
            <w:tcW w:w="6228" w:type="dxa"/>
          </w:tcPr>
          <w:p w14:paraId="443F828A" w14:textId="77777777" w:rsidR="009B1068" w:rsidRPr="00C34C12" w:rsidRDefault="009B1068" w:rsidP="00BE67AD">
            <w:pPr>
              <w:pStyle w:val="TableTextLeft"/>
              <w:keepNext/>
              <w:keepLines/>
              <w:rPr>
                <w:noProof w:val="0"/>
                <w:highlight w:val="green"/>
              </w:rPr>
            </w:pPr>
            <w:r w:rsidRPr="00C34C12">
              <w:rPr>
                <w:noProof w:val="0"/>
              </w:rPr>
              <w:t>Builds a bridge to the content of a CA NGSS PE</w:t>
            </w:r>
          </w:p>
        </w:tc>
      </w:tr>
      <w:tr w:rsidR="009B1068" w:rsidRPr="00C34C12" w14:paraId="4D7924F7" w14:textId="77777777" w:rsidTr="00903992">
        <w:tc>
          <w:tcPr>
            <w:tcW w:w="3055" w:type="dxa"/>
          </w:tcPr>
          <w:p w14:paraId="67AB9A57" w14:textId="77777777" w:rsidR="009B1068" w:rsidRPr="00C34C12" w:rsidRDefault="009B1068" w:rsidP="00BE67AD">
            <w:pPr>
              <w:pStyle w:val="TableText"/>
              <w:rPr>
                <w:noProof w:val="0"/>
                <w:highlight w:val="green"/>
              </w:rPr>
            </w:pPr>
            <w:r w:rsidRPr="00C34C12">
              <w:rPr>
                <w:noProof w:val="0"/>
              </w:rPr>
              <w:t>Focal Knowledge, Skills, and Abilities (FKSA)</w:t>
            </w:r>
          </w:p>
        </w:tc>
        <w:tc>
          <w:tcPr>
            <w:tcW w:w="6228" w:type="dxa"/>
          </w:tcPr>
          <w:p w14:paraId="3D4CFC55" w14:textId="77777777" w:rsidR="009B1068" w:rsidRPr="00C34C12" w:rsidRDefault="009B1068" w:rsidP="00BE67AD">
            <w:pPr>
              <w:pStyle w:val="TableTextLeft"/>
              <w:rPr>
                <w:noProof w:val="0"/>
                <w:highlight w:val="green"/>
              </w:rPr>
            </w:pPr>
            <w:r w:rsidRPr="00C34C12">
              <w:rPr>
                <w:noProof w:val="0"/>
              </w:rPr>
              <w:t>Describes what students should know and be able to do in terms of the Science Connector (FKSA1 up to FKSA6)</w:t>
            </w:r>
          </w:p>
        </w:tc>
      </w:tr>
      <w:tr w:rsidR="009B1068" w:rsidRPr="00C34C12" w14:paraId="1D440F48" w14:textId="77777777" w:rsidTr="00903992">
        <w:tc>
          <w:tcPr>
            <w:tcW w:w="3055" w:type="dxa"/>
          </w:tcPr>
          <w:p w14:paraId="3B8BFAA3" w14:textId="77777777" w:rsidR="009B1068" w:rsidRPr="00C34C12" w:rsidRDefault="009B1068" w:rsidP="00BE67AD">
            <w:pPr>
              <w:pStyle w:val="TableText"/>
              <w:rPr>
                <w:noProof w:val="0"/>
              </w:rPr>
            </w:pPr>
            <w:r w:rsidRPr="00C34C12">
              <w:rPr>
                <w:noProof w:val="0"/>
              </w:rPr>
              <w:t>Essential Understanding</w:t>
            </w:r>
          </w:p>
        </w:tc>
        <w:tc>
          <w:tcPr>
            <w:tcW w:w="6228" w:type="dxa"/>
          </w:tcPr>
          <w:p w14:paraId="041B1011" w14:textId="77777777" w:rsidR="009B1068" w:rsidRPr="00C34C12" w:rsidRDefault="009B1068" w:rsidP="00BE67AD">
            <w:pPr>
              <w:pStyle w:val="TableTextLeft"/>
              <w:rPr>
                <w:noProof w:val="0"/>
              </w:rPr>
            </w:pPr>
            <w:r w:rsidRPr="00C34C12">
              <w:rPr>
                <w:noProof w:val="0"/>
              </w:rPr>
              <w:t>Defines a basic, foundational key idea or concept</w:t>
            </w:r>
          </w:p>
        </w:tc>
      </w:tr>
    </w:tbl>
    <w:p w14:paraId="14DC0B86" w14:textId="727004AA" w:rsidR="007251E1" w:rsidRDefault="007251E1" w:rsidP="005526D6">
      <w:pPr>
        <w:pStyle w:val="Heading4"/>
      </w:pPr>
      <w:bookmarkStart w:id="74" w:name="_Toc182555087"/>
      <w:r w:rsidRPr="004B2D24">
        <w:t xml:space="preserve">Test Components for </w:t>
      </w:r>
      <w:r w:rsidR="004A36C9" w:rsidRPr="004B2D24">
        <w:t xml:space="preserve">the </w:t>
      </w:r>
      <w:r w:rsidR="00030039" w:rsidRPr="004B2D24">
        <w:t>2019</w:t>
      </w:r>
      <w:r w:rsidR="00235738" w:rsidRPr="004B2D24">
        <w:t>–</w:t>
      </w:r>
      <w:r w:rsidR="00030039" w:rsidRPr="004B2D24">
        <w:t xml:space="preserve">2020 </w:t>
      </w:r>
      <w:r w:rsidR="006A4B34" w:rsidRPr="004B2D24">
        <w:t>Administration</w:t>
      </w:r>
      <w:bookmarkEnd w:id="74"/>
    </w:p>
    <w:p w14:paraId="09E2FA76" w14:textId="3AC4C808" w:rsidR="009B1068" w:rsidRPr="00C34C12" w:rsidRDefault="009B1068" w:rsidP="009B1068">
      <w:r w:rsidRPr="00C34C12">
        <w:rPr>
          <w:rFonts w:eastAsia="Calibri"/>
        </w:rPr>
        <w:t xml:space="preserve">The </w:t>
      </w:r>
      <w:r w:rsidR="00AE0782" w:rsidRPr="00C34C12">
        <w:rPr>
          <w:rFonts w:eastAsia="Calibri"/>
        </w:rPr>
        <w:t>201</w:t>
      </w:r>
      <w:r w:rsidR="00AE0782">
        <w:rPr>
          <w:rFonts w:eastAsia="Calibri"/>
        </w:rPr>
        <w:t>9</w:t>
      </w:r>
      <w:r w:rsidRPr="00C34C12">
        <w:rPr>
          <w:rFonts w:eastAsia="Calibri"/>
        </w:rPr>
        <w:t>–</w:t>
      </w:r>
      <w:r w:rsidR="00AE0782" w:rsidRPr="00C34C12">
        <w:t>20</w:t>
      </w:r>
      <w:r w:rsidR="00AE0782">
        <w:rPr>
          <w:rFonts w:eastAsia="Calibri"/>
        </w:rPr>
        <w:t>20</w:t>
      </w:r>
      <w:r w:rsidR="00AE0782" w:rsidRPr="00C34C12">
        <w:rPr>
          <w:rFonts w:eastAsia="Calibri"/>
        </w:rPr>
        <w:t xml:space="preserve"> </w:t>
      </w:r>
      <w:r w:rsidRPr="00C34C12">
        <w:rPr>
          <w:rFonts w:eastAsia="Calibri"/>
        </w:rPr>
        <w:t xml:space="preserve">CAA for Science involved </w:t>
      </w:r>
      <w:r w:rsidR="004F0B20">
        <w:rPr>
          <w:rFonts w:eastAsia="Calibri"/>
        </w:rPr>
        <w:t>three</w:t>
      </w:r>
      <w:r w:rsidR="004F0B20" w:rsidRPr="00C34C12">
        <w:rPr>
          <w:rFonts w:eastAsia="Calibri"/>
        </w:rPr>
        <w:t xml:space="preserve"> </w:t>
      </w:r>
      <w:r w:rsidRPr="00C34C12">
        <w:rPr>
          <w:rFonts w:eastAsia="Calibri"/>
        </w:rPr>
        <w:t>components:</w:t>
      </w:r>
    </w:p>
    <w:p w14:paraId="63AF475F" w14:textId="464B0B03" w:rsidR="009B1068" w:rsidRPr="00C34C12" w:rsidRDefault="004F0B20" w:rsidP="00AD2904">
      <w:pPr>
        <w:pStyle w:val="Numbered"/>
      </w:pPr>
      <w:r>
        <w:t>Four</w:t>
      </w:r>
      <w:r w:rsidRPr="00C34C12">
        <w:t xml:space="preserve"> </w:t>
      </w:r>
      <w:r w:rsidR="009B1068" w:rsidRPr="00C34C12">
        <w:t>embedded PTs</w:t>
      </w:r>
      <w:r w:rsidR="00C63BED">
        <w:t xml:space="preserve"> (Refer to section </w:t>
      </w:r>
      <w:hyperlink w:anchor="_Test_Administration_1" w:history="1">
        <w:r w:rsidR="00C63BED" w:rsidRPr="00AD2904">
          <w:rPr>
            <w:rStyle w:val="Hyperlink"/>
            <w:i/>
            <w:iCs/>
          </w:rPr>
          <w:t>5.3 Administration of the Embedded Performance Tasks</w:t>
        </w:r>
      </w:hyperlink>
      <w:r w:rsidR="00C63BED">
        <w:t xml:space="preserve"> for a description of how these were administered.)</w:t>
      </w:r>
    </w:p>
    <w:p w14:paraId="565204CA" w14:textId="3EB679F9" w:rsidR="009B1068" w:rsidRPr="00C34C12" w:rsidRDefault="009B1068" w:rsidP="00AD2904">
      <w:pPr>
        <w:pStyle w:val="Numbered"/>
      </w:pPr>
      <w:r w:rsidRPr="00C34C12">
        <w:t>A brief survey</w:t>
      </w:r>
      <w:r w:rsidR="003363B2">
        <w:t xml:space="preserve"> </w:t>
      </w:r>
      <w:r w:rsidR="002D6744">
        <w:t xml:space="preserve">to collect information about the student’s responsiveness to the </w:t>
      </w:r>
      <w:r w:rsidR="00E93A55">
        <w:t xml:space="preserve">embedded </w:t>
      </w:r>
      <w:r w:rsidR="002D6744">
        <w:t xml:space="preserve">performance task </w:t>
      </w:r>
      <w:r w:rsidR="00C63BED">
        <w:t xml:space="preserve">(Refer to </w:t>
      </w:r>
      <w:hyperlink w:anchor="_Surveys" w:history="1">
        <w:r w:rsidR="00C63BED" w:rsidRPr="00AD2904">
          <w:rPr>
            <w:rStyle w:val="Hyperlink"/>
            <w:i/>
            <w:iCs/>
          </w:rPr>
          <w:t>Chapter 8: Surveys</w:t>
        </w:r>
      </w:hyperlink>
      <w:r w:rsidR="00C63BED">
        <w:t xml:space="preserve"> for detailed information about survey development, content, and administration.)</w:t>
      </w:r>
    </w:p>
    <w:p w14:paraId="33BD94D3" w14:textId="79721088" w:rsidR="009B1068" w:rsidRPr="00C34C12" w:rsidRDefault="00653DB4" w:rsidP="00AD2904">
      <w:pPr>
        <w:pStyle w:val="Numbered"/>
        <w:rPr>
          <w:rFonts w:eastAsia="Calibri"/>
        </w:rPr>
      </w:pPr>
      <w:r>
        <w:t>Optional</w:t>
      </w:r>
      <w:r w:rsidR="009B1068" w:rsidRPr="00C34C12">
        <w:t xml:space="preserve"> </w:t>
      </w:r>
      <w:r w:rsidR="00AE1E19">
        <w:t xml:space="preserve">practice or </w:t>
      </w:r>
      <w:r w:rsidR="009B1068" w:rsidRPr="00C34C12">
        <w:t>training</w:t>
      </w:r>
      <w:r w:rsidR="009B1068" w:rsidRPr="00C34C12">
        <w:rPr>
          <w:rFonts w:eastAsia="Calibri"/>
        </w:rPr>
        <w:t xml:space="preserve"> </w:t>
      </w:r>
      <w:r w:rsidR="005163BA">
        <w:rPr>
          <w:rFonts w:eastAsia="Calibri"/>
        </w:rPr>
        <w:t>test</w:t>
      </w:r>
      <w:r w:rsidR="00D60FFA">
        <w:rPr>
          <w:rFonts w:eastAsia="Calibri"/>
        </w:rPr>
        <w:t xml:space="preserve"> content</w:t>
      </w:r>
      <w:r w:rsidR="00C63BED" w:rsidRPr="73AF174F">
        <w:rPr>
          <w:rFonts w:eastAsia="Calibri"/>
        </w:rPr>
        <w:t xml:space="preserve"> (Refer to </w:t>
      </w:r>
      <w:r w:rsidR="00A40565" w:rsidRPr="73AF174F">
        <w:rPr>
          <w:rFonts w:eastAsia="Calibri"/>
        </w:rPr>
        <w:t xml:space="preserve">subsection </w:t>
      </w:r>
      <w:hyperlink w:anchor="_Toc66787402" w:history="1">
        <w:r w:rsidR="00A40565" w:rsidRPr="00AD2904">
          <w:rPr>
            <w:rStyle w:val="Hyperlink"/>
            <w:rFonts w:eastAsia="Calibri"/>
            <w:i/>
            <w:iCs/>
          </w:rPr>
          <w:t>5.2.2 Practice and Training Tests</w:t>
        </w:r>
      </w:hyperlink>
      <w:r w:rsidR="00A40565" w:rsidRPr="73AF174F">
        <w:rPr>
          <w:rFonts w:eastAsia="Calibri"/>
        </w:rPr>
        <w:t xml:space="preserve"> for additional information.)</w:t>
      </w:r>
    </w:p>
    <w:p w14:paraId="4DDA20DF" w14:textId="65D164B2" w:rsidR="008B0309" w:rsidRDefault="008B0309" w:rsidP="005526D6">
      <w:pPr>
        <w:pStyle w:val="Heading5"/>
      </w:pPr>
      <w:r w:rsidRPr="004B2D24">
        <w:lastRenderedPageBreak/>
        <w:t xml:space="preserve">Embedded </w:t>
      </w:r>
      <w:r w:rsidR="00CD6B3A" w:rsidRPr="004B2D24">
        <w:t>P</w:t>
      </w:r>
      <w:r w:rsidR="00EF7EB0">
        <w:t xml:space="preserve">erformance </w:t>
      </w:r>
      <w:r w:rsidR="00CD6B3A" w:rsidRPr="004B2D24">
        <w:t>T</w:t>
      </w:r>
      <w:r w:rsidR="00EF7EB0">
        <w:t>ask</w:t>
      </w:r>
      <w:r w:rsidR="00CD6B3A" w:rsidRPr="004B2D24">
        <w:t>s</w:t>
      </w:r>
    </w:p>
    <w:p w14:paraId="5FBC20C9" w14:textId="77777777" w:rsidR="009B1068" w:rsidRPr="00C34C12" w:rsidRDefault="009B1068" w:rsidP="009B1068">
      <w:r w:rsidRPr="00C34C12">
        <w:rPr>
          <w:lang w:eastAsia="zh-CN"/>
        </w:rPr>
        <w:t xml:space="preserve">An embedded PT represents the model of assessment known as curriculum-embedded PTs. The intent behind this assessment model is to have educators embedding PTs as summative assessments following </w:t>
      </w:r>
      <w:bookmarkStart w:id="75" w:name="_Hlk32231777"/>
      <w:r w:rsidRPr="00C34C12">
        <w:rPr>
          <w:lang w:eastAsia="zh-CN"/>
        </w:rPr>
        <w:t>classroom instructional activities</w:t>
      </w:r>
      <w:bookmarkEnd w:id="75"/>
      <w:r w:rsidRPr="00C34C12">
        <w:rPr>
          <w:lang w:eastAsia="zh-CN"/>
        </w:rPr>
        <w:t xml:space="preserve"> relating to the Science Connectors.</w:t>
      </w:r>
    </w:p>
    <w:p w14:paraId="4F42A512" w14:textId="24D8A2AB" w:rsidR="009B1068" w:rsidRPr="00C34C12" w:rsidRDefault="009B1068" w:rsidP="009B1068">
      <w:pPr>
        <w:tabs>
          <w:tab w:val="left" w:pos="1476"/>
        </w:tabs>
        <w:rPr>
          <w:lang w:eastAsia="zh-CN"/>
        </w:rPr>
      </w:pPr>
      <w:r w:rsidRPr="00C34C12">
        <w:rPr>
          <w:lang w:eastAsia="zh-CN"/>
        </w:rPr>
        <w:t xml:space="preserve">For the </w:t>
      </w:r>
      <w:r w:rsidR="00C72036" w:rsidRPr="00C34C12">
        <w:rPr>
          <w:lang w:eastAsia="zh-CN"/>
        </w:rPr>
        <w:t>201</w:t>
      </w:r>
      <w:r w:rsidR="00EE22FF">
        <w:rPr>
          <w:lang w:eastAsia="zh-CN"/>
        </w:rPr>
        <w:t>9</w:t>
      </w:r>
      <w:r w:rsidRPr="00C34C12">
        <w:rPr>
          <w:lang w:eastAsia="zh-CN"/>
        </w:rPr>
        <w:t>–</w:t>
      </w:r>
      <w:r w:rsidR="00C72036" w:rsidRPr="00C34C12">
        <w:t>20</w:t>
      </w:r>
      <w:r w:rsidR="00C72036">
        <w:rPr>
          <w:lang w:eastAsia="zh-CN"/>
        </w:rPr>
        <w:t>20</w:t>
      </w:r>
      <w:r w:rsidR="00C72036" w:rsidRPr="00C34C12">
        <w:rPr>
          <w:lang w:eastAsia="zh-CN"/>
        </w:rPr>
        <w:t xml:space="preserve"> </w:t>
      </w:r>
      <w:r w:rsidRPr="00C34C12">
        <w:rPr>
          <w:lang w:eastAsia="zh-CN"/>
        </w:rPr>
        <w:t xml:space="preserve">CAASPP administration, </w:t>
      </w:r>
      <w:r w:rsidRPr="00C34C12">
        <w:rPr>
          <w:rFonts w:eastAsia="Calibri"/>
        </w:rPr>
        <w:t>embedded</w:t>
      </w:r>
      <w:r w:rsidRPr="00C34C12">
        <w:rPr>
          <w:lang w:eastAsia="zh-CN"/>
        </w:rPr>
        <w:t xml:space="preserve"> PTs were tested for the CAA for Science: </w:t>
      </w:r>
      <w:r w:rsidR="00ED7F0F">
        <w:rPr>
          <w:lang w:eastAsia="zh-CN"/>
        </w:rPr>
        <w:t>four</w:t>
      </w:r>
      <w:r w:rsidR="00A52264">
        <w:rPr>
          <w:lang w:eastAsia="zh-CN"/>
        </w:rPr>
        <w:t xml:space="preserve"> embedded</w:t>
      </w:r>
      <w:r w:rsidR="00ED7F0F" w:rsidRPr="00C34C12">
        <w:rPr>
          <w:lang w:eastAsia="zh-CN"/>
        </w:rPr>
        <w:t xml:space="preserve"> </w:t>
      </w:r>
      <w:r w:rsidR="00A52264">
        <w:rPr>
          <w:lang w:eastAsia="zh-CN"/>
        </w:rPr>
        <w:t xml:space="preserve">PTs </w:t>
      </w:r>
      <w:r w:rsidRPr="00C34C12">
        <w:rPr>
          <w:lang w:eastAsia="zh-CN"/>
        </w:rPr>
        <w:t xml:space="preserve">for grade five, </w:t>
      </w:r>
      <w:r w:rsidR="00ED7F0F">
        <w:rPr>
          <w:lang w:eastAsia="zh-CN"/>
        </w:rPr>
        <w:t>four</w:t>
      </w:r>
      <w:r w:rsidR="00ED7F0F" w:rsidRPr="00C34C12">
        <w:rPr>
          <w:lang w:eastAsia="zh-CN"/>
        </w:rPr>
        <w:t xml:space="preserve"> </w:t>
      </w:r>
      <w:r w:rsidR="00A52264">
        <w:rPr>
          <w:lang w:eastAsia="zh-CN"/>
        </w:rPr>
        <w:t>embedded</w:t>
      </w:r>
      <w:r w:rsidR="00A52264" w:rsidRPr="00C34C12">
        <w:rPr>
          <w:lang w:eastAsia="zh-CN"/>
        </w:rPr>
        <w:t xml:space="preserve"> </w:t>
      </w:r>
      <w:r w:rsidR="00A52264">
        <w:rPr>
          <w:lang w:eastAsia="zh-CN"/>
        </w:rPr>
        <w:t xml:space="preserve">PTs </w:t>
      </w:r>
      <w:r w:rsidRPr="00C34C12">
        <w:rPr>
          <w:lang w:eastAsia="zh-CN"/>
        </w:rPr>
        <w:t xml:space="preserve">for grade eight, and </w:t>
      </w:r>
      <w:r w:rsidR="00ED7F0F">
        <w:rPr>
          <w:lang w:eastAsia="zh-CN"/>
        </w:rPr>
        <w:t>four</w:t>
      </w:r>
      <w:r w:rsidR="00ED7F0F" w:rsidRPr="00C34C12">
        <w:rPr>
          <w:lang w:eastAsia="zh-CN"/>
        </w:rPr>
        <w:t xml:space="preserve"> </w:t>
      </w:r>
      <w:r w:rsidR="00A52264">
        <w:rPr>
          <w:lang w:eastAsia="zh-CN"/>
        </w:rPr>
        <w:t>embedded</w:t>
      </w:r>
      <w:r w:rsidR="00A52264" w:rsidRPr="00C34C12">
        <w:rPr>
          <w:lang w:eastAsia="zh-CN"/>
        </w:rPr>
        <w:t xml:space="preserve"> </w:t>
      </w:r>
      <w:r w:rsidR="00A52264">
        <w:rPr>
          <w:lang w:eastAsia="zh-CN"/>
        </w:rPr>
        <w:t xml:space="preserve">PTs </w:t>
      </w:r>
      <w:r w:rsidRPr="00C34C12">
        <w:rPr>
          <w:lang w:eastAsia="zh-CN"/>
        </w:rPr>
        <w:t xml:space="preserve">for high school (i.e., grade ten, eleven, or twelve). Each </w:t>
      </w:r>
      <w:r w:rsidRPr="00C34C12">
        <w:rPr>
          <w:rFonts w:eastAsia="Calibri"/>
        </w:rPr>
        <w:t>embedded</w:t>
      </w:r>
      <w:r w:rsidRPr="00C34C12">
        <w:rPr>
          <w:lang w:eastAsia="zh-CN"/>
        </w:rPr>
        <w:t xml:space="preserve"> PT included information for the test examiner, describing the hands-on activity and how to administer the </w:t>
      </w:r>
      <w:r w:rsidRPr="00C34C12">
        <w:rPr>
          <w:rFonts w:eastAsia="Calibri"/>
        </w:rPr>
        <w:t>embedded</w:t>
      </w:r>
      <w:r w:rsidRPr="00C34C12">
        <w:rPr>
          <w:lang w:eastAsia="zh-CN"/>
        </w:rPr>
        <w:t xml:space="preserve"> PT items. The </w:t>
      </w:r>
      <w:r w:rsidRPr="00C34C12">
        <w:rPr>
          <w:rFonts w:eastAsia="Calibri"/>
        </w:rPr>
        <w:t>embedded</w:t>
      </w:r>
      <w:r w:rsidRPr="00C34C12">
        <w:rPr>
          <w:lang w:eastAsia="zh-CN"/>
        </w:rPr>
        <w:t xml:space="preserve"> PT item types included </w:t>
      </w:r>
      <w:r w:rsidRPr="00C34C12">
        <w:t xml:space="preserve">selected-response, match, and grid </w:t>
      </w:r>
      <w:r w:rsidRPr="00C34C12">
        <w:rPr>
          <w:lang w:eastAsia="zh-CN"/>
        </w:rPr>
        <w:t xml:space="preserve">items; these are described </w:t>
      </w:r>
      <w:r w:rsidRPr="00AF19CA">
        <w:rPr>
          <w:lang w:eastAsia="zh-CN"/>
        </w:rPr>
        <w:t xml:space="preserve">in subsection </w:t>
      </w:r>
      <w:hyperlink w:anchor="_Embedded_PT_and">
        <w:r w:rsidR="1D2A2A2D" w:rsidRPr="00AF19CA">
          <w:rPr>
            <w:rStyle w:val="Hyperlink"/>
            <w:i/>
            <w:iCs/>
            <w:lang w:eastAsia="zh-CN"/>
          </w:rPr>
          <w:t>3.1.</w:t>
        </w:r>
        <w:r w:rsidR="00812442">
          <w:rPr>
            <w:rStyle w:val="Hyperlink"/>
            <w:i/>
            <w:iCs/>
            <w:lang w:eastAsia="zh-CN"/>
          </w:rPr>
          <w:t>4</w:t>
        </w:r>
        <w:r w:rsidR="1D2A2A2D" w:rsidRPr="00AF19CA">
          <w:rPr>
            <w:rStyle w:val="Hyperlink"/>
            <w:i/>
            <w:iCs/>
            <w:lang w:eastAsia="zh-CN"/>
          </w:rPr>
          <w:t xml:space="preserve"> Embedded P</w:t>
        </w:r>
        <w:r w:rsidR="00AF19CA">
          <w:rPr>
            <w:rStyle w:val="Hyperlink"/>
            <w:i/>
            <w:iCs/>
            <w:lang w:eastAsia="zh-CN"/>
          </w:rPr>
          <w:t xml:space="preserve">erformance </w:t>
        </w:r>
        <w:r w:rsidR="1D2A2A2D" w:rsidRPr="00AF19CA">
          <w:rPr>
            <w:rStyle w:val="Hyperlink"/>
            <w:i/>
            <w:iCs/>
            <w:lang w:eastAsia="zh-CN"/>
          </w:rPr>
          <w:t>T</w:t>
        </w:r>
        <w:r w:rsidR="00AF19CA">
          <w:rPr>
            <w:rStyle w:val="Hyperlink"/>
            <w:i/>
            <w:iCs/>
            <w:lang w:eastAsia="zh-CN"/>
          </w:rPr>
          <w:t>ask</w:t>
        </w:r>
        <w:r w:rsidR="1D2A2A2D" w:rsidRPr="00AF19CA">
          <w:rPr>
            <w:rStyle w:val="Hyperlink"/>
            <w:i/>
            <w:iCs/>
            <w:lang w:eastAsia="zh-CN"/>
          </w:rPr>
          <w:t xml:space="preserve"> and Item Format</w:t>
        </w:r>
      </w:hyperlink>
      <w:r w:rsidRPr="00AF19CA">
        <w:rPr>
          <w:lang w:eastAsia="zh-CN"/>
        </w:rPr>
        <w:t>.</w:t>
      </w:r>
    </w:p>
    <w:p w14:paraId="4AC38C83" w14:textId="005BECB3" w:rsidR="009B1068" w:rsidRPr="00C34C12" w:rsidRDefault="009B1068" w:rsidP="009B1068">
      <w:pPr>
        <w:tabs>
          <w:tab w:val="left" w:pos="1476"/>
        </w:tabs>
        <w:rPr>
          <w:lang w:eastAsia="zh-CN"/>
        </w:rPr>
      </w:pPr>
      <w:r w:rsidRPr="00C34C12">
        <w:rPr>
          <w:lang w:eastAsia="zh-CN"/>
        </w:rPr>
        <w:t>The secure embedded PTs were delivered to students through the CAASPP test delivery system (TDS)</w:t>
      </w:r>
      <w:r w:rsidR="00B5608D">
        <w:rPr>
          <w:lang w:eastAsia="zh-CN"/>
        </w:rPr>
        <w:t>.</w:t>
      </w:r>
      <w:r w:rsidRPr="00C34C12">
        <w:rPr>
          <w:lang w:eastAsia="zh-CN"/>
        </w:rPr>
        <w:t xml:space="preserve"> </w:t>
      </w:r>
      <w:r w:rsidR="00B5608D">
        <w:rPr>
          <w:lang w:eastAsia="zh-CN"/>
        </w:rPr>
        <w:t>T</w:t>
      </w:r>
      <w:r w:rsidRPr="00C34C12">
        <w:rPr>
          <w:lang w:eastAsia="zh-CN"/>
        </w:rPr>
        <w:t xml:space="preserve">he </w:t>
      </w:r>
      <w:r w:rsidRPr="00C34C12">
        <w:rPr>
          <w:i/>
          <w:lang w:eastAsia="zh-CN"/>
        </w:rPr>
        <w:t>Directions for Administration</w:t>
      </w:r>
      <w:r w:rsidRPr="00C34C12">
        <w:rPr>
          <w:lang w:eastAsia="zh-CN"/>
        </w:rPr>
        <w:t xml:space="preserve"> (</w:t>
      </w:r>
      <w:r w:rsidRPr="00C34C12">
        <w:rPr>
          <w:i/>
          <w:lang w:eastAsia="zh-CN"/>
        </w:rPr>
        <w:t>DFAs</w:t>
      </w:r>
      <w:r w:rsidRPr="00C34C12">
        <w:rPr>
          <w:lang w:eastAsia="zh-CN"/>
        </w:rPr>
        <w:t xml:space="preserve">) were delivered to </w:t>
      </w:r>
      <w:r w:rsidR="00142D74">
        <w:rPr>
          <w:lang w:eastAsia="zh-CN"/>
        </w:rPr>
        <w:t>local education</w:t>
      </w:r>
      <w:r w:rsidR="00556853">
        <w:rPr>
          <w:lang w:eastAsia="zh-CN"/>
        </w:rPr>
        <w:t>al</w:t>
      </w:r>
      <w:r w:rsidR="00142D74">
        <w:rPr>
          <w:lang w:eastAsia="zh-CN"/>
        </w:rPr>
        <w:t xml:space="preserve"> agencies (</w:t>
      </w:r>
      <w:r w:rsidRPr="00C34C12">
        <w:rPr>
          <w:lang w:eastAsia="zh-CN"/>
        </w:rPr>
        <w:t>LEAs</w:t>
      </w:r>
      <w:r w:rsidR="00142D74">
        <w:rPr>
          <w:lang w:eastAsia="zh-CN"/>
        </w:rPr>
        <w:t>)</w:t>
      </w:r>
      <w:r w:rsidRPr="00C34C12">
        <w:rPr>
          <w:lang w:eastAsia="zh-CN"/>
        </w:rPr>
        <w:t xml:space="preserve"> as downloadable PDFs within the Test Operations Management System (TOMS). Test examiners administered the embedded PTs in one-on-one sessions</w:t>
      </w:r>
      <w:r w:rsidR="00B5608D">
        <w:rPr>
          <w:lang w:eastAsia="zh-CN"/>
        </w:rPr>
        <w:t>,</w:t>
      </w:r>
      <w:r w:rsidRPr="00C34C12">
        <w:rPr>
          <w:lang w:eastAsia="zh-CN"/>
        </w:rPr>
        <w:t xml:space="preserve"> with the answers recorded in the TDS.</w:t>
      </w:r>
    </w:p>
    <w:p w14:paraId="1B654A4A" w14:textId="0E7BF773" w:rsidR="008B0309" w:rsidRDefault="008B0309" w:rsidP="005526D6">
      <w:pPr>
        <w:pStyle w:val="Heading5"/>
      </w:pPr>
      <w:r w:rsidRPr="004B2D24">
        <w:t xml:space="preserve">Survey </w:t>
      </w:r>
      <w:r w:rsidR="00C5080C" w:rsidRPr="004B2D24">
        <w:t xml:space="preserve">on </w:t>
      </w:r>
      <w:r w:rsidR="00CE2660" w:rsidRPr="004B2D24">
        <w:t>the Test Administration</w:t>
      </w:r>
    </w:p>
    <w:p w14:paraId="031D6391" w14:textId="2439030A" w:rsidR="00CC171A" w:rsidRPr="00C34C12" w:rsidRDefault="00CC171A" w:rsidP="00CC171A">
      <w:r>
        <w:t xml:space="preserve">During the 2019–2020 administration year, test examiners were asked to respond to a survey about their students. After </w:t>
      </w:r>
      <w:r w:rsidR="00232502">
        <w:t>each</w:t>
      </w:r>
      <w:r w:rsidR="00C1041D">
        <w:t xml:space="preserve"> embedded</w:t>
      </w:r>
      <w:r>
        <w:t xml:space="preserve"> </w:t>
      </w:r>
      <w:r w:rsidR="00C1041D">
        <w:t>PT</w:t>
      </w:r>
      <w:r>
        <w:t xml:space="preserve"> was administered to the student, test examiners </w:t>
      </w:r>
      <w:r w:rsidR="009C290E">
        <w:t xml:space="preserve">were presented with two surveys, with the instruction to only administer one of the surveys </w:t>
      </w:r>
      <w:r w:rsidR="00B5608D">
        <w:t>on the basis of</w:t>
      </w:r>
      <w:r>
        <w:t xml:space="preserve"> whether or not their student had been responsive during the testing session. The purpose of the survey was to collect basic information about students’ experiences with the assessment process.</w:t>
      </w:r>
      <w:r w:rsidRPr="00714AB4">
        <w:t xml:space="preserve"> </w:t>
      </w:r>
    </w:p>
    <w:p w14:paraId="34022E89" w14:textId="3BC0E671" w:rsidR="009B1068" w:rsidRPr="00C34C12" w:rsidRDefault="009B1068" w:rsidP="009B1068">
      <w:pPr>
        <w:rPr>
          <w:lang w:eastAsia="ja-JP"/>
        </w:rPr>
      </w:pPr>
      <w:r w:rsidRPr="00C34C12">
        <w:rPr>
          <w:lang w:eastAsia="ja-JP"/>
        </w:rPr>
        <w:t xml:space="preserve">Refer to </w:t>
      </w:r>
      <w:hyperlink w:anchor="_Surveys" w:history="1">
        <w:r w:rsidRPr="00C34C12">
          <w:rPr>
            <w:rStyle w:val="Hyperlink"/>
            <w:lang w:eastAsia="ja-JP"/>
          </w:rPr>
          <w:t>chapter 8</w:t>
        </w:r>
      </w:hyperlink>
      <w:r w:rsidRPr="00C34C12">
        <w:rPr>
          <w:lang w:eastAsia="ja-JP"/>
        </w:rPr>
        <w:t xml:space="preserve"> for additional information about the student survey design.</w:t>
      </w:r>
    </w:p>
    <w:p w14:paraId="518B5BDD" w14:textId="0A081CFD" w:rsidR="008B0309" w:rsidRDefault="3A3CCABB" w:rsidP="005526D6">
      <w:pPr>
        <w:pStyle w:val="Heading5"/>
      </w:pPr>
      <w:r>
        <w:t>Practice</w:t>
      </w:r>
      <w:r w:rsidR="1C06D071">
        <w:t xml:space="preserve"> </w:t>
      </w:r>
      <w:r w:rsidR="006A00A1">
        <w:t>and Training</w:t>
      </w:r>
      <w:r w:rsidR="29C13A66">
        <w:t xml:space="preserve"> </w:t>
      </w:r>
      <w:r w:rsidR="3B1C2DF2">
        <w:t>Tests</w:t>
      </w:r>
    </w:p>
    <w:p w14:paraId="1BF3AA53" w14:textId="72554654" w:rsidR="0007470A" w:rsidRPr="00380C0B" w:rsidRDefault="07DB40D3" w:rsidP="0007470A">
      <w:r>
        <w:t xml:space="preserve">Practice tests for each individual grade for all </w:t>
      </w:r>
      <w:r w:rsidR="00DA4067">
        <w:t xml:space="preserve">tested </w:t>
      </w:r>
      <w:r>
        <w:t>grade levels in</w:t>
      </w:r>
      <w:r w:rsidR="00DA4067">
        <w:t xml:space="preserve"> all content domains</w:t>
      </w:r>
      <w:r>
        <w:t xml:space="preserve"> were provided to LEAs to prepare students and LEA staff for the CAAs.</w:t>
      </w:r>
      <w:r w:rsidR="00DA4067">
        <w:t xml:space="preserve"> A training embedded PT was also available in each tested grade</w:t>
      </w:r>
      <w:r w:rsidR="00FC05E3">
        <w:t xml:space="preserve"> level</w:t>
      </w:r>
      <w:r w:rsidR="00DA4067">
        <w:t>.</w:t>
      </w:r>
      <w:r>
        <w:t xml:space="preserve"> Students, teachers, and the public may access them using a web browser.</w:t>
      </w:r>
    </w:p>
    <w:p w14:paraId="6DD9FEF4" w14:textId="4C77F715" w:rsidR="0007470A" w:rsidRPr="00380C0B" w:rsidRDefault="07DB40D3" w:rsidP="0007470A">
      <w:r>
        <w:t>These tests simulate the experience of the CAA online assessments and allow students and test examiners to become familiar with the user interface, item formats and functionality, available accessibility resources, and components of the TDS, as well as with the process of starting and completing a testing session. Unlike the summative</w:t>
      </w:r>
      <w:r w:rsidR="00DA4067">
        <w:t xml:space="preserve"> CAA for Science</w:t>
      </w:r>
      <w:r>
        <w:t xml:space="preserve">, the practice </w:t>
      </w:r>
      <w:r w:rsidR="0007470A">
        <w:t>and training</w:t>
      </w:r>
      <w:r>
        <w:t xml:space="preserve"> tests do not assess standards, gauge student success on the operational </w:t>
      </w:r>
      <w:r w:rsidR="007B2A45">
        <w:t>assessment</w:t>
      </w:r>
      <w:r>
        <w:t>, or produce scores.</w:t>
      </w:r>
    </w:p>
    <w:p w14:paraId="58B2C163" w14:textId="07BD2934" w:rsidR="00B2366C" w:rsidRDefault="00B2366C" w:rsidP="00670FD2">
      <w:pPr>
        <w:pStyle w:val="Heading3"/>
      </w:pPr>
      <w:bookmarkStart w:id="76" w:name="_Toc182555088"/>
      <w:r w:rsidRPr="004B2D24">
        <w:t>Intended Population</w:t>
      </w:r>
      <w:bookmarkEnd w:id="76"/>
    </w:p>
    <w:p w14:paraId="13E84C60" w14:textId="77777777" w:rsidR="009B1068" w:rsidRPr="00C34C12" w:rsidRDefault="009B1068" w:rsidP="009B1068">
      <w:bookmarkStart w:id="77" w:name="_Hlk67383181"/>
      <w:r w:rsidRPr="00C34C12">
        <w:t>All eligible students enrolled in grades five, eight, and high school whose IEP indicated an alternate assessment were selected by the LEA to take the CAA for Science (</w:t>
      </w:r>
      <w:r w:rsidRPr="00C34C12">
        <w:rPr>
          <w:i/>
          <w:iCs/>
        </w:rPr>
        <w:t>California Code of Regulations</w:t>
      </w:r>
      <w:r w:rsidRPr="00C34C12">
        <w:t>, Title 5 [5</w:t>
      </w:r>
      <w:r w:rsidRPr="00C34C12">
        <w:rPr>
          <w:i/>
          <w:iCs/>
        </w:rPr>
        <w:t> CCR</w:t>
      </w:r>
      <w:r w:rsidRPr="00C34C12">
        <w:t>]</w:t>
      </w:r>
      <w:r w:rsidRPr="00C34C12">
        <w:rPr>
          <w:rFonts w:eastAsia="Times New Roman"/>
          <w:i/>
          <w:iCs/>
        </w:rPr>
        <w:t xml:space="preserve"> </w:t>
      </w:r>
      <w:r w:rsidRPr="00C34C12">
        <w:rPr>
          <w:rFonts w:eastAsia="Times New Roman"/>
        </w:rPr>
        <w:t xml:space="preserve">Education, Division 1, Chapter 2, Subchapter 3.75, Article 1, </w:t>
      </w:r>
      <w:r w:rsidRPr="00C34C12">
        <w:t xml:space="preserve">Section 851.5[c]). High school students in an ungraded program whose calculated </w:t>
      </w:r>
      <w:bookmarkEnd w:id="77"/>
      <w:r w:rsidRPr="00C34C12">
        <w:t>grade was twelve might also have taken this assessment, as did students in grades ten or eleven, if selected by the LEA to test.</w:t>
      </w:r>
    </w:p>
    <w:p w14:paraId="51C6AE3B" w14:textId="77777777" w:rsidR="009B1068" w:rsidRPr="00C34C12" w:rsidRDefault="009B1068" w:rsidP="009B1068">
      <w:r w:rsidRPr="00C34C12">
        <w:lastRenderedPageBreak/>
        <w:t xml:space="preserve">For students with significant cognitive disabilities, the decision to administer the CAST or the CAA for Science was made by their IEP team. Parents/Guardians may submit a written </w:t>
      </w:r>
      <w:bookmarkStart w:id="78" w:name="_Hlk67383191"/>
      <w:r w:rsidRPr="00C34C12">
        <w:t>request to have their child opted out from taking any or all parts of the CAAs. Students whose parents/guardians submit a written request may opt out of taking the tests (</w:t>
      </w:r>
      <w:r w:rsidRPr="00C34C12">
        <w:rPr>
          <w:i/>
          <w:iCs/>
        </w:rPr>
        <w:t>Education Code [EC]</w:t>
      </w:r>
      <w:r w:rsidRPr="00C34C12">
        <w:t xml:space="preserve"> Section 60615).</w:t>
      </w:r>
    </w:p>
    <w:p w14:paraId="74905C84" w14:textId="0590DCB9" w:rsidR="00816FB2" w:rsidRDefault="00816FB2" w:rsidP="00670FD2">
      <w:pPr>
        <w:pStyle w:val="Heading3"/>
      </w:pPr>
      <w:bookmarkStart w:id="79" w:name="_Toc182555089"/>
      <w:bookmarkEnd w:id="78"/>
      <w:r w:rsidRPr="004B2D24">
        <w:t>Intended Use and Purpose of the Test Scores</w:t>
      </w:r>
      <w:bookmarkEnd w:id="79"/>
    </w:p>
    <w:p w14:paraId="6EDA3335" w14:textId="02A0B369" w:rsidR="0007470A" w:rsidRPr="00380C0B" w:rsidRDefault="0007470A" w:rsidP="0007470A">
      <w:bookmarkStart w:id="80" w:name="_Hlk67383213"/>
      <w:r w:rsidRPr="00380C0B">
        <w:t xml:space="preserve">The results of tests within the CAASPP System, including </w:t>
      </w:r>
      <w:r w:rsidRPr="007725E3">
        <w:t xml:space="preserve">the </w:t>
      </w:r>
      <w:r w:rsidRPr="00840FBF">
        <w:t xml:space="preserve">CAA for </w:t>
      </w:r>
      <w:r w:rsidR="00DA3BF0" w:rsidRPr="00840FBF">
        <w:t>Science</w:t>
      </w:r>
      <w:r w:rsidRPr="007725E3">
        <w:t>, are</w:t>
      </w:r>
      <w:r w:rsidRPr="00380C0B">
        <w:t xml:space="preserve"> used for two primary purposes as described in </w:t>
      </w:r>
      <w:r w:rsidRPr="00380C0B">
        <w:rPr>
          <w:i/>
        </w:rPr>
        <w:t>EC</w:t>
      </w:r>
      <w:r w:rsidRPr="00380C0B">
        <w:t xml:space="preserve"> sections 60602.5(a) and (a)(4). (Excerpted from the </w:t>
      </w:r>
      <w:r w:rsidRPr="00380C0B">
        <w:rPr>
          <w:i/>
        </w:rPr>
        <w:t xml:space="preserve">EC </w:t>
      </w:r>
      <w:r w:rsidRPr="00380C0B">
        <w:t>Section 60602 web page.)</w:t>
      </w:r>
    </w:p>
    <w:bookmarkEnd w:id="80"/>
    <w:p w14:paraId="43EB5A09" w14:textId="77777777" w:rsidR="0007470A" w:rsidRPr="00380C0B" w:rsidRDefault="0007470A" w:rsidP="0007470A">
      <w:pPr>
        <w:pStyle w:val="NormalIndent2"/>
      </w:pPr>
      <w:r w:rsidRPr="00380C0B">
        <w:t>“60602.5(a) It is the intent of the Legislature in enacting this chapter to provide a system of assessments of pupils that has the primary purposes of assisting teachers, administrators, and pupils and their parents; improving teaching and learning; and promoting high-quality teaching and learning using a variety of assessment approaches and item types. The assessments, where applicable and valid, will produce scores that can be aggregated and disaggregated for the purpose of holding schools and local educational agencies accountable for the achievement of all their pupils in learning the California academic content standards.”</w:t>
      </w:r>
    </w:p>
    <w:p w14:paraId="36E9E6C2" w14:textId="77777777" w:rsidR="0007470A" w:rsidRPr="00380C0B" w:rsidRDefault="0007470A" w:rsidP="0007470A">
      <w:pPr>
        <w:pStyle w:val="NormalIndent2"/>
      </w:pPr>
      <w:r w:rsidRPr="00380C0B">
        <w:t>“60602.5(a)(4) Provide information to pupils, parents and guardians, teachers, schools, and local educational agencies on a timely basis so that the information can be used to further the development of the pupil and to improve the educational program.”</w:t>
      </w:r>
    </w:p>
    <w:p w14:paraId="46467200" w14:textId="77777777" w:rsidR="0007470A" w:rsidRPr="00380C0B" w:rsidRDefault="0007470A" w:rsidP="0007470A">
      <w:r w:rsidRPr="00380C0B">
        <w:t>In other words, results for tests within the CAASPP System are used for two primary purposes:</w:t>
      </w:r>
    </w:p>
    <w:p w14:paraId="17903575" w14:textId="51F4406D" w:rsidR="0007470A" w:rsidRPr="00380C0B" w:rsidRDefault="0007470A" w:rsidP="00B33B75">
      <w:pPr>
        <w:pStyle w:val="Numbered"/>
        <w:numPr>
          <w:ilvl w:val="0"/>
          <w:numId w:val="70"/>
        </w:numPr>
        <w:spacing w:before="0"/>
        <w:ind w:left="864" w:hanging="288"/>
      </w:pPr>
      <w:bookmarkStart w:id="81" w:name="_Toc418955029"/>
      <w:bookmarkStart w:id="82" w:name="_Toc421195787"/>
      <w:bookmarkStart w:id="83" w:name="_Toc421689155"/>
      <w:bookmarkStart w:id="84" w:name="_Toc453438842"/>
      <w:bookmarkStart w:id="85" w:name="_Toc453511858"/>
      <w:bookmarkStart w:id="86" w:name="_Toc457304935"/>
      <w:bookmarkStart w:id="87" w:name="_Toc468782794"/>
      <w:r w:rsidRPr="00380C0B">
        <w:t>To communicate students’ progress in achieving the state’s academic standards to students, parents and guardians, and teachers</w:t>
      </w:r>
    </w:p>
    <w:p w14:paraId="125F799C" w14:textId="77777777" w:rsidR="0007470A" w:rsidRPr="00380C0B" w:rsidRDefault="0007470A" w:rsidP="00B33B75">
      <w:pPr>
        <w:pStyle w:val="Numbered"/>
        <w:numPr>
          <w:ilvl w:val="0"/>
          <w:numId w:val="70"/>
        </w:numPr>
        <w:spacing w:before="0"/>
        <w:ind w:left="864" w:hanging="288"/>
      </w:pPr>
      <w:r w:rsidRPr="00380C0B">
        <w:t>To inform decisions that teachers and administrators make about improving the educational program</w:t>
      </w:r>
    </w:p>
    <w:bookmarkEnd w:id="81"/>
    <w:bookmarkEnd w:id="82"/>
    <w:bookmarkEnd w:id="83"/>
    <w:bookmarkEnd w:id="84"/>
    <w:bookmarkEnd w:id="85"/>
    <w:bookmarkEnd w:id="86"/>
    <w:bookmarkEnd w:id="87"/>
    <w:p w14:paraId="73C920AC" w14:textId="0BEDD977" w:rsidR="0007470A" w:rsidRPr="00380C0B" w:rsidRDefault="0007470A" w:rsidP="0007470A">
      <w:r w:rsidRPr="00380C0B">
        <w:t>Sections 60602.5(c) and (d) provide additional information regarding use and purpose of test scores for the system of assessments:</w:t>
      </w:r>
    </w:p>
    <w:p w14:paraId="05F75FDF" w14:textId="77777777" w:rsidR="0007470A" w:rsidRPr="00380C0B" w:rsidRDefault="0007470A" w:rsidP="0007470A">
      <w:pPr>
        <w:pStyle w:val="NormalIndent2"/>
      </w:pPr>
      <w:r w:rsidRPr="00380C0B">
        <w:t>“60602.5(c) It is the intent of the Legislature that parents, classroom teachers, other educators, pupil representatives, institutions of higher education, business community members, and the public be involved, in an active and ongoing basis, in the design and implementation of the statewide pupil assessment system and the development of assessment instruments.”</w:t>
      </w:r>
    </w:p>
    <w:p w14:paraId="7E25AB60" w14:textId="4EAD3D93" w:rsidR="0007470A" w:rsidRDefault="0007470A" w:rsidP="0007470A">
      <w:pPr>
        <w:pStyle w:val="NormalIndent2"/>
      </w:pPr>
      <w:r w:rsidRPr="00380C0B">
        <w:t>“60602.5(d) It is the intent of the Legislature, insofar as is practically feasible and following the completion of annual testing, that the content, test structure, and test items in the assessments that are part of the statewide pupil assessment system become open and transparent to teachers, parents, and pupils, to assist stakeholders in working together to demonstrate improvement in pupil academic achievement. A planned change in annual test content, format, or design should be made available to educators and the public well before the beginning of the school year in which the change will be implemented.”</w:t>
      </w:r>
    </w:p>
    <w:p w14:paraId="67202045" w14:textId="4C6371A9" w:rsidR="008B0C06" w:rsidRPr="00380C0B" w:rsidRDefault="009806E4" w:rsidP="00AE1ED0">
      <w:r>
        <w:t>However, n</w:t>
      </w:r>
      <w:r w:rsidR="008B0C06">
        <w:t>o test scores were reported for the 2019</w:t>
      </w:r>
      <w:r w:rsidR="008B0C06" w:rsidRPr="00C34C12">
        <w:t>–</w:t>
      </w:r>
      <w:r w:rsidR="008B0C06">
        <w:t xml:space="preserve">2020 administration </w:t>
      </w:r>
      <w:r w:rsidR="008E378B">
        <w:t xml:space="preserve">because testing </w:t>
      </w:r>
      <w:r w:rsidR="006A28B2">
        <w:t xml:space="preserve">was </w:t>
      </w:r>
      <w:r w:rsidR="008B0C06">
        <w:t>s</w:t>
      </w:r>
      <w:r w:rsidR="006A28B2">
        <w:t>uspended</w:t>
      </w:r>
      <w:r w:rsidR="008B0C06">
        <w:t xml:space="preserve"> on March 18, 2020.</w:t>
      </w:r>
      <w:r w:rsidR="005004D9">
        <w:t xml:space="preserve"> More information on the</w:t>
      </w:r>
      <w:r>
        <w:t xml:space="preserve"> suspension of</w:t>
      </w:r>
      <w:r w:rsidR="005004D9">
        <w:t xml:space="preserve"> testing is provided in the next section.</w:t>
      </w:r>
    </w:p>
    <w:p w14:paraId="5AAD11E9" w14:textId="0ACC2012" w:rsidR="00AF3F0C" w:rsidRDefault="00B2366C" w:rsidP="00670FD2">
      <w:pPr>
        <w:pStyle w:val="Heading3"/>
      </w:pPr>
      <w:bookmarkStart w:id="88" w:name="_Ref54770995"/>
      <w:bookmarkStart w:id="89" w:name="_Toc182555090"/>
      <w:r w:rsidRPr="004B2D24">
        <w:lastRenderedPageBreak/>
        <w:t>Testing Window</w:t>
      </w:r>
      <w:bookmarkEnd w:id="88"/>
      <w:r w:rsidR="005004D9">
        <w:t xml:space="preserve"> and</w:t>
      </w:r>
      <w:r w:rsidR="001E23E3">
        <w:t xml:space="preserve"> the</w:t>
      </w:r>
      <w:r w:rsidR="005004D9">
        <w:t xml:space="preserve"> Impact of</w:t>
      </w:r>
      <w:r w:rsidR="009806E4">
        <w:t xml:space="preserve"> the</w:t>
      </w:r>
      <w:r w:rsidR="005004D9">
        <w:t xml:space="preserve"> </w:t>
      </w:r>
      <w:r w:rsidR="001000AC">
        <w:t>Novel Coronavirus Disease 2019</w:t>
      </w:r>
      <w:r w:rsidR="009806E4">
        <w:t xml:space="preserve"> Pandemic</w:t>
      </w:r>
      <w:bookmarkEnd w:id="89"/>
    </w:p>
    <w:p w14:paraId="452B3295" w14:textId="02DEBEC0" w:rsidR="009B1068" w:rsidRPr="00C34C12" w:rsidRDefault="009B1068" w:rsidP="009B1068">
      <w:pPr>
        <w:keepLines/>
      </w:pPr>
      <w:bookmarkStart w:id="90" w:name="_Hlk67383230"/>
      <w:r w:rsidRPr="00C34C12">
        <w:t xml:space="preserve">For the </w:t>
      </w:r>
      <w:r w:rsidR="00F62675" w:rsidRPr="00C34C12">
        <w:t>201</w:t>
      </w:r>
      <w:r w:rsidR="00F62675">
        <w:t>9</w:t>
      </w:r>
      <w:r w:rsidRPr="00C34C12">
        <w:t>–</w:t>
      </w:r>
      <w:r w:rsidR="00F62675" w:rsidRPr="00C34C12">
        <w:t>20</w:t>
      </w:r>
      <w:r w:rsidR="00F62675">
        <w:t>20</w:t>
      </w:r>
      <w:r w:rsidR="00F62675" w:rsidRPr="00C34C12">
        <w:t xml:space="preserve"> </w:t>
      </w:r>
      <w:r w:rsidRPr="00C34C12">
        <w:t>CAASPP administration, the CAA for Science embedded PTs were</w:t>
      </w:r>
      <w:r w:rsidR="003D7A4E" w:rsidRPr="00C34C12">
        <w:t xml:space="preserve"> </w:t>
      </w:r>
      <w:r w:rsidRPr="00C34C12">
        <w:t xml:space="preserve">available for administration on or after </w:t>
      </w:r>
      <w:r w:rsidR="003D7A4E">
        <w:t>September 10</w:t>
      </w:r>
      <w:r w:rsidRPr="00C34C12">
        <w:t xml:space="preserve">, 2019, </w:t>
      </w:r>
      <w:r w:rsidR="003D7A4E">
        <w:t>and w</w:t>
      </w:r>
      <w:r w:rsidR="005004D9">
        <w:t>ere</w:t>
      </w:r>
      <w:r w:rsidR="003D7A4E">
        <w:t xml:space="preserve"> scheduled to </w:t>
      </w:r>
      <w:r w:rsidR="009806E4">
        <w:t>be available for administration</w:t>
      </w:r>
      <w:r w:rsidR="003D7A4E">
        <w:t xml:space="preserve"> </w:t>
      </w:r>
      <w:r w:rsidRPr="00C34C12">
        <w:t>through the last day of instruction at the LEA or July 15, 20</w:t>
      </w:r>
      <w:r w:rsidR="00C158A5">
        <w:t>20</w:t>
      </w:r>
      <w:r w:rsidRPr="00C34C12">
        <w:t>, whichever came first (</w:t>
      </w:r>
      <w:r w:rsidRPr="00C34C12">
        <w:rPr>
          <w:rFonts w:eastAsia="Times New Roman"/>
        </w:rPr>
        <w:t xml:space="preserve">5 </w:t>
      </w:r>
      <w:r w:rsidRPr="00C34C12">
        <w:rPr>
          <w:rFonts w:eastAsia="Times New Roman"/>
          <w:i/>
        </w:rPr>
        <w:t>CCR,</w:t>
      </w:r>
      <w:r w:rsidRPr="00C34C12">
        <w:rPr>
          <w:rFonts w:eastAsia="Times New Roman"/>
        </w:rPr>
        <w:t xml:space="preserve"> Section 855[a][2])</w:t>
      </w:r>
      <w:r w:rsidRPr="00C34C12">
        <w:t>.</w:t>
      </w:r>
      <w:r w:rsidR="003D7A4E">
        <w:t xml:space="preserve"> </w:t>
      </w:r>
      <w:r w:rsidR="0009242D" w:rsidRPr="00124D70">
        <w:t>However, most of the schools in California halted in-person instruction after March 13, 2020. Then, on March 18, 2020, Governor Gavin Newsom signed an order suspending the CAASPP for all students in California (Office of Governor Gavin Newsom, 2020)</w:t>
      </w:r>
      <w:r w:rsidR="0009242D">
        <w:t>.</w:t>
      </w:r>
    </w:p>
    <w:bookmarkEnd w:id="90"/>
    <w:p w14:paraId="2540551F" w14:textId="5D13E1E2" w:rsidR="009B1068" w:rsidRPr="00C34C12" w:rsidRDefault="009B1068" w:rsidP="009B1068">
      <w:r w:rsidRPr="00C34C12">
        <w:t xml:space="preserve">Similar to other CAASPP assessments, the CAA for Science </w:t>
      </w:r>
      <w:r w:rsidRPr="00C34C12">
        <w:rPr>
          <w:rFonts w:eastAsia="Calibri"/>
        </w:rPr>
        <w:t>embedded</w:t>
      </w:r>
      <w:r w:rsidRPr="00C34C12">
        <w:t xml:space="preserve"> PTs were untimed for test takers. This assessment was administered individually, and testing time varied from one student to another on the basis of factors such as the student’s response time and attention span. Administration of the CAA for Science </w:t>
      </w:r>
      <w:r w:rsidRPr="00C34C12">
        <w:rPr>
          <w:rFonts w:eastAsia="Calibri"/>
        </w:rPr>
        <w:t>embedded</w:t>
      </w:r>
      <w:r w:rsidRPr="00C34C12">
        <w:t xml:space="preserve"> PTs occurred over as many days as required to meet a student’s needs.</w:t>
      </w:r>
    </w:p>
    <w:p w14:paraId="0E6F87EE" w14:textId="53627245" w:rsidR="00967B18" w:rsidRDefault="00967B18" w:rsidP="00670FD2">
      <w:pPr>
        <w:pStyle w:val="Heading3"/>
      </w:pPr>
      <w:bookmarkStart w:id="91" w:name="_Ref54773280"/>
      <w:bookmarkStart w:id="92" w:name="_Toc182555091"/>
      <w:r w:rsidRPr="004B2D24">
        <w:t xml:space="preserve">Significant Developments for the CAA for Science </w:t>
      </w:r>
      <w:r w:rsidR="00E67578" w:rsidRPr="004B2D24">
        <w:t>201</w:t>
      </w:r>
      <w:r w:rsidR="00C5194D" w:rsidRPr="004B2D24">
        <w:t>9</w:t>
      </w:r>
      <w:r w:rsidR="00541864" w:rsidRPr="004B2D24">
        <w:t>–</w:t>
      </w:r>
      <w:r w:rsidR="00C5194D" w:rsidRPr="004B2D24">
        <w:t>2020 Administration</w:t>
      </w:r>
      <w:bookmarkEnd w:id="91"/>
      <w:bookmarkEnd w:id="92"/>
    </w:p>
    <w:p w14:paraId="02C6A939" w14:textId="06D5FC0D" w:rsidR="005526D6" w:rsidRPr="005526D6" w:rsidRDefault="006C316F" w:rsidP="005526D6">
      <w:r>
        <w:t xml:space="preserve">The </w:t>
      </w:r>
      <w:r w:rsidR="004224E5" w:rsidRPr="004224E5">
        <w:t xml:space="preserve">CAA for Science 2019–2020 </w:t>
      </w:r>
      <w:r w:rsidR="009D0CDA">
        <w:t>a</w:t>
      </w:r>
      <w:r w:rsidR="004224E5" w:rsidRPr="004224E5">
        <w:t>dministration</w:t>
      </w:r>
      <w:r w:rsidR="004224E5">
        <w:t xml:space="preserve"> had a number of significant developments. As the test moved to its first operational year, the number of embedded PTs that students took increased from three to four. The fourth</w:t>
      </w:r>
      <w:r w:rsidR="00C1041D">
        <w:t xml:space="preserve"> embedded</w:t>
      </w:r>
      <w:r w:rsidR="004224E5">
        <w:t xml:space="preserve"> PT was comprised entirely of field test content so that students could have one operational</w:t>
      </w:r>
      <w:r w:rsidR="00C1041D">
        <w:t xml:space="preserve"> embedded</w:t>
      </w:r>
      <w:r w:rsidR="004224E5">
        <w:t xml:space="preserve"> PT in each domain while still </w:t>
      </w:r>
      <w:r w:rsidR="00BB6B66">
        <w:t>field</w:t>
      </w:r>
      <w:r w:rsidR="009D0CDA">
        <w:t xml:space="preserve"> </w:t>
      </w:r>
      <w:r w:rsidR="00BB6B66">
        <w:t>testing</w:t>
      </w:r>
      <w:r w:rsidR="004224E5">
        <w:t xml:space="preserve"> items</w:t>
      </w:r>
      <w:r w:rsidR="000E2643">
        <w:t xml:space="preserve"> for future </w:t>
      </w:r>
      <w:r w:rsidR="00C86BAF">
        <w:t>administrations</w:t>
      </w:r>
      <w:r w:rsidR="004224E5">
        <w:t xml:space="preserve">. Additionally, the test itself </w:t>
      </w:r>
      <w:r w:rsidR="00BB6B66">
        <w:t xml:space="preserve">used a functionality called the </w:t>
      </w:r>
      <w:r w:rsidR="00B300E4" w:rsidRPr="00667B8C">
        <w:rPr>
          <w:i/>
          <w:iCs/>
        </w:rPr>
        <w:t>Mark as N</w:t>
      </w:r>
      <w:r w:rsidR="00BB6B66" w:rsidRPr="00667B8C">
        <w:rPr>
          <w:i/>
          <w:iCs/>
        </w:rPr>
        <w:t xml:space="preserve">o </w:t>
      </w:r>
      <w:r w:rsidR="00B300E4" w:rsidRPr="00667B8C">
        <w:rPr>
          <w:i/>
          <w:iCs/>
        </w:rPr>
        <w:t>R</w:t>
      </w:r>
      <w:r w:rsidR="00BB6B66" w:rsidRPr="00667B8C">
        <w:rPr>
          <w:i/>
          <w:iCs/>
        </w:rPr>
        <w:t>esponse</w:t>
      </w:r>
      <w:r w:rsidR="00BB6B66">
        <w:t xml:space="preserve"> option.</w:t>
      </w:r>
    </w:p>
    <w:p w14:paraId="1703511D" w14:textId="7465DD80" w:rsidR="00E16693" w:rsidRDefault="00B300E4" w:rsidP="005526D6">
      <w:pPr>
        <w:pStyle w:val="Heading4"/>
      </w:pPr>
      <w:bookmarkStart w:id="93" w:name="_Toc182555092"/>
      <w:r w:rsidRPr="00736E36">
        <w:rPr>
          <w:i/>
          <w:iCs/>
        </w:rPr>
        <w:t xml:space="preserve">Mark as </w:t>
      </w:r>
      <w:r w:rsidR="00E16693" w:rsidRPr="00736E36">
        <w:rPr>
          <w:i/>
          <w:iCs/>
        </w:rPr>
        <w:t>No Response</w:t>
      </w:r>
      <w:r w:rsidR="00E16693" w:rsidRPr="004B2D24">
        <w:t xml:space="preserve"> </w:t>
      </w:r>
      <w:r w:rsidR="00985D0B" w:rsidRPr="004B2D24">
        <w:t>Option</w:t>
      </w:r>
      <w:bookmarkEnd w:id="93"/>
    </w:p>
    <w:p w14:paraId="768E8735" w14:textId="1974B097" w:rsidR="005526D6" w:rsidRPr="005526D6" w:rsidRDefault="00BB6B66" w:rsidP="005526D6">
      <w:r>
        <w:t xml:space="preserve">The </w:t>
      </w:r>
      <w:r w:rsidR="00B300E4" w:rsidRPr="00667B8C">
        <w:rPr>
          <w:i/>
          <w:iCs/>
        </w:rPr>
        <w:t>Mark as N</w:t>
      </w:r>
      <w:r w:rsidRPr="00667B8C">
        <w:rPr>
          <w:i/>
          <w:iCs/>
        </w:rPr>
        <w:t xml:space="preserve">o </w:t>
      </w:r>
      <w:r w:rsidR="00B300E4" w:rsidRPr="00667B8C">
        <w:rPr>
          <w:i/>
          <w:iCs/>
        </w:rPr>
        <w:t>R</w:t>
      </w:r>
      <w:r w:rsidRPr="00667B8C">
        <w:rPr>
          <w:i/>
          <w:iCs/>
        </w:rPr>
        <w:t>esponse</w:t>
      </w:r>
      <w:r>
        <w:t xml:space="preserve"> option is available on every item of the test within the </w:t>
      </w:r>
      <w:r w:rsidR="00515839">
        <w:t>TDS</w:t>
      </w:r>
      <w:r>
        <w:t xml:space="preserve">. If a student does not orient to an item, then the test examiner will select the </w:t>
      </w:r>
      <w:r w:rsidR="00B300E4" w:rsidRPr="00667B8C">
        <w:rPr>
          <w:i/>
          <w:iCs/>
        </w:rPr>
        <w:t>Mark as N</w:t>
      </w:r>
      <w:r w:rsidRPr="00667B8C">
        <w:rPr>
          <w:i/>
          <w:iCs/>
        </w:rPr>
        <w:t xml:space="preserve">o </w:t>
      </w:r>
      <w:r w:rsidR="00B300E4" w:rsidRPr="00667B8C">
        <w:rPr>
          <w:i/>
          <w:iCs/>
        </w:rPr>
        <w:t>R</w:t>
      </w:r>
      <w:r w:rsidRPr="00667B8C">
        <w:rPr>
          <w:i/>
          <w:iCs/>
        </w:rPr>
        <w:t>esponse</w:t>
      </w:r>
      <w:r>
        <w:t xml:space="preserve"> option, indicat</w:t>
      </w:r>
      <w:r w:rsidR="00C062DA">
        <w:t>ing that the student was presented with the item in question but did not respond. Previously, a test examiner would have just skipped ahead in the test, but this option allows for greater detail in the data gathered from the test</w:t>
      </w:r>
      <w:r w:rsidR="00BF79F2">
        <w:t>;</w:t>
      </w:r>
      <w:r w:rsidR="00C062DA">
        <w:t xml:space="preserve"> </w:t>
      </w:r>
      <w:r w:rsidR="00BF79F2">
        <w:t>n</w:t>
      </w:r>
      <w:r w:rsidR="00C062DA">
        <w:t>ow it can be determined whether a student was presented an item.</w:t>
      </w:r>
    </w:p>
    <w:p w14:paraId="66B8A220" w14:textId="77777777" w:rsidR="008868F6" w:rsidRPr="00D356CF" w:rsidRDefault="008868F6" w:rsidP="008868F6">
      <w:pPr>
        <w:pStyle w:val="Heading4"/>
        <w:keepLines/>
        <w:ind w:left="0" w:firstLine="0"/>
      </w:pPr>
      <w:bookmarkStart w:id="94" w:name="_Toc520202608"/>
      <w:bookmarkStart w:id="95" w:name="_Toc38541698"/>
      <w:bookmarkStart w:id="96" w:name="_Toc182555093"/>
      <w:r w:rsidRPr="00D356CF">
        <w:t>Updated Accessibility Resources</w:t>
      </w:r>
      <w:bookmarkEnd w:id="94"/>
      <w:bookmarkEnd w:id="95"/>
      <w:bookmarkEnd w:id="96"/>
    </w:p>
    <w:p w14:paraId="5430A454" w14:textId="279E0265" w:rsidR="008868F6" w:rsidRPr="00596FBE" w:rsidRDefault="008868F6" w:rsidP="008868F6">
      <w:pPr>
        <w:keepNext/>
        <w:keepLines/>
      </w:pPr>
      <w:r w:rsidRPr="00596FBE">
        <w:t xml:space="preserve">The following </w:t>
      </w:r>
      <w:r>
        <w:t>changes</w:t>
      </w:r>
      <w:r w:rsidRPr="00596FBE">
        <w:t xml:space="preserve"> were made to the list of </w:t>
      </w:r>
      <w:r>
        <w:t>CAA for Science</w:t>
      </w:r>
      <w:r w:rsidRPr="00596FBE">
        <w:t xml:space="preserve"> accessibility resources:</w:t>
      </w:r>
    </w:p>
    <w:p w14:paraId="691D0A46" w14:textId="77777777" w:rsidR="008868F6" w:rsidRDefault="008868F6" w:rsidP="008868F6">
      <w:pPr>
        <w:pStyle w:val="bullets"/>
        <w:keepNext/>
        <w:keepLines/>
        <w:numPr>
          <w:ilvl w:val="0"/>
          <w:numId w:val="69"/>
        </w:numPr>
        <w:tabs>
          <w:tab w:val="clear" w:pos="727"/>
        </w:tabs>
        <w:spacing w:before="10"/>
        <w:ind w:left="864" w:hanging="288"/>
      </w:pPr>
      <w:r>
        <w:t>Streamline was reassigned as an embedded designated support.</w:t>
      </w:r>
    </w:p>
    <w:p w14:paraId="1A1FFE84" w14:textId="77777777" w:rsidR="008868F6" w:rsidRDefault="008868F6" w:rsidP="008868F6">
      <w:pPr>
        <w:pStyle w:val="bullets"/>
        <w:keepNext/>
        <w:keepLines/>
        <w:numPr>
          <w:ilvl w:val="0"/>
          <w:numId w:val="69"/>
        </w:numPr>
        <w:tabs>
          <w:tab w:val="clear" w:pos="727"/>
        </w:tabs>
        <w:spacing w:before="10"/>
        <w:ind w:left="864" w:hanging="288"/>
        <w:rPr>
          <w:rFonts w:asciiTheme="minorHAnsi" w:eastAsiaTheme="minorEastAsia" w:hAnsiTheme="minorHAnsi" w:cstheme="minorBidi"/>
          <w:color w:val="000000" w:themeColor="text1"/>
        </w:rPr>
      </w:pPr>
      <w:r>
        <w:t>“Medical supports” replaced the name for the “medical device” as a non-embedded designated support for all assessments.</w:t>
      </w:r>
    </w:p>
    <w:p w14:paraId="2247C92B" w14:textId="77777777" w:rsidR="00C54395" w:rsidRDefault="00C54395" w:rsidP="00C54395">
      <w:pPr>
        <w:pStyle w:val="Heading3"/>
      </w:pPr>
      <w:bookmarkStart w:id="97" w:name="_Impact_of_the"/>
      <w:bookmarkStart w:id="98" w:name="_Toc70077988"/>
      <w:bookmarkStart w:id="99" w:name="_Toc182555094"/>
      <w:bookmarkEnd w:id="97"/>
      <w:r>
        <w:t>Impact of the Novel Coronavirus Disease 2019 Pandemic on Psychometric Analyses and Reporting</w:t>
      </w:r>
      <w:bookmarkEnd w:id="98"/>
      <w:bookmarkEnd w:id="99"/>
    </w:p>
    <w:p w14:paraId="36FD3FD4" w14:textId="58B13C56" w:rsidR="00C54395" w:rsidRDefault="00C54395" w:rsidP="00C54395">
      <w:r>
        <w:t>COVID-19 significantly impacted the 2019–2020 administration of the CAA for Science, as the testing window’s suspension on March 18, 2020, occurred before most students were scheduled to test for this administration.</w:t>
      </w:r>
    </w:p>
    <w:p w14:paraId="02E6675F" w14:textId="40170F8C" w:rsidR="0087415E" w:rsidRPr="005526D6" w:rsidRDefault="0087415E" w:rsidP="00D263E0">
      <w:r>
        <w:t xml:space="preserve">The number of test-takers was drastically lower than what was expected; only 367 grade five students, 435 grade eight students, and 512 high school students completed the CAA </w:t>
      </w:r>
      <w:r>
        <w:lastRenderedPageBreak/>
        <w:t>for Science even though over 4,000 students were registered to take each CAA for Science test. Due to the small numbers of students completing the CAA for Science ETS was unable to conduct the full data analyses—no classical item analyses, item response theory analyses, or reliability analyses were conducted. Additionally, without</w:t>
      </w:r>
      <w:r w:rsidDel="009806E4">
        <w:t xml:space="preserve"> </w:t>
      </w:r>
      <w:r>
        <w:t>this data, standard setting could not be conducted as planned. The data gleaned from the students who did test is used in this report, but the sample is not representative of the population as a whol</w:t>
      </w:r>
      <w:r w:rsidRPr="009D0CDA">
        <w:t xml:space="preserve">e. </w:t>
      </w:r>
      <w:r w:rsidR="00D263E0" w:rsidRPr="00D263E0">
        <w:rPr>
          <w:rStyle w:val="Cross-Reference"/>
        </w:rPr>
        <w:fldChar w:fldCharType="begin"/>
      </w:r>
      <w:r w:rsidR="00D263E0" w:rsidRPr="00D263E0">
        <w:rPr>
          <w:rStyle w:val="Cross-Reference"/>
        </w:rPr>
        <w:instrText xml:space="preserve"> REF _Ref182485715 \h </w:instrText>
      </w:r>
      <w:r w:rsidR="00D263E0">
        <w:rPr>
          <w:rStyle w:val="Cross-Reference"/>
        </w:rPr>
        <w:instrText xml:space="preserve"> \* MERGEFORMAT </w:instrText>
      </w:r>
      <w:r w:rsidR="00D263E0" w:rsidRPr="00D263E0">
        <w:rPr>
          <w:rStyle w:val="Cross-Reference"/>
        </w:rPr>
      </w:r>
      <w:r w:rsidR="00D263E0" w:rsidRPr="00D263E0">
        <w:rPr>
          <w:rStyle w:val="Cross-Reference"/>
        </w:rPr>
        <w:fldChar w:fldCharType="separate"/>
      </w:r>
      <w:r w:rsidR="001D26B1" w:rsidRPr="001D26B1">
        <w:rPr>
          <w:rStyle w:val="Cross-Reference"/>
        </w:rPr>
        <w:t>Table 2.1</w:t>
      </w:r>
      <w:r w:rsidR="00D263E0" w:rsidRPr="00D263E0">
        <w:rPr>
          <w:rStyle w:val="Cross-Reference"/>
        </w:rPr>
        <w:fldChar w:fldCharType="end"/>
      </w:r>
      <w:r w:rsidRPr="009D0CDA">
        <w:t xml:space="preserve"> p</w:t>
      </w:r>
      <w:r>
        <w:t>rovides the number of students who were registered to take the CAA for Science and the percentage of students who completed the assessment.</w:t>
      </w:r>
    </w:p>
    <w:p w14:paraId="3C1A03CC" w14:textId="4E3DF3B1" w:rsidR="00C54395" w:rsidRPr="00466D98" w:rsidRDefault="00C54395" w:rsidP="00C54395">
      <w:r>
        <w:t>To ensure the accuracy of all student scores, two members of the ETS Psychometric Analysis &amp; Research team conducted independent, parallel checks of</w:t>
      </w:r>
      <w:r w:rsidR="00BD22BC">
        <w:t xml:space="preserve"> the percent correct and preliminary indicators</w:t>
      </w:r>
      <w:r>
        <w:t>.</w:t>
      </w:r>
    </w:p>
    <w:p w14:paraId="45463FC5" w14:textId="1CF0F2EF" w:rsidR="00E16AE1" w:rsidRPr="004B2D24" w:rsidRDefault="00E16AE1" w:rsidP="00670FD2">
      <w:pPr>
        <w:pStyle w:val="Heading3"/>
      </w:pPr>
      <w:bookmarkStart w:id="100" w:name="_Toc182555095"/>
      <w:r w:rsidRPr="004B2D24">
        <w:t>Groups and Organizations Involved</w:t>
      </w:r>
      <w:r w:rsidR="004A5CD3" w:rsidRPr="004B2D24">
        <w:t xml:space="preserve"> with the </w:t>
      </w:r>
      <w:r w:rsidR="007251E1" w:rsidRPr="004B2D24">
        <w:t>Assessment</w:t>
      </w:r>
      <w:bookmarkEnd w:id="100"/>
    </w:p>
    <w:p w14:paraId="5DFED7E5" w14:textId="5ECD83ED" w:rsidR="00967B18" w:rsidRDefault="00967B18" w:rsidP="005526D6">
      <w:pPr>
        <w:pStyle w:val="Heading4"/>
      </w:pPr>
      <w:bookmarkStart w:id="101" w:name="_Toc182555096"/>
      <w:r w:rsidRPr="004B2D24">
        <w:t>State Board of Education</w:t>
      </w:r>
      <w:bookmarkEnd w:id="101"/>
    </w:p>
    <w:p w14:paraId="52C90343" w14:textId="77777777" w:rsidR="009B1068" w:rsidRPr="00C34C12" w:rsidRDefault="009B1068" w:rsidP="009B1068">
      <w:r w:rsidRPr="00C34C12">
        <w:t xml:space="preserve">The SBE is the state agency that establishes educational policy for kindergarten through grade twelve in the areas of standards, instructional materials, assessment, and accountability. The SBE adopts textbooks for kindergarten through grade eight, adopts regulations to implement legislation, and has the authority to grant waivers of the </w:t>
      </w:r>
      <w:r w:rsidRPr="00C34C12">
        <w:rPr>
          <w:i/>
          <w:iCs/>
        </w:rPr>
        <w:t>EC</w:t>
      </w:r>
      <w:r w:rsidRPr="00C34C12">
        <w:t>.</w:t>
      </w:r>
    </w:p>
    <w:p w14:paraId="048F1136" w14:textId="75CE74DC" w:rsidR="009B1068" w:rsidRPr="00C34C12" w:rsidRDefault="009B1068" w:rsidP="009B1068">
      <w:bookmarkStart w:id="102" w:name="_Hlk67383244"/>
      <w:r w:rsidRPr="00C34C12">
        <w:t>In addition to adopting the rules and regulations for itself, its appointees, and California’s public schools, the SBE also is the state educational agency responsible for overseeing California’s compliance with the Every Student Succeeds Act and the state’s Public School Accountability Act, which measures the academic performance and progress of schools on a variety of academic metrics (CDE, 2020</w:t>
      </w:r>
      <w:r w:rsidR="00BD1552">
        <w:t>c</w:t>
      </w:r>
      <w:r w:rsidRPr="00C34C12">
        <w:t>).</w:t>
      </w:r>
    </w:p>
    <w:p w14:paraId="14AD61C2" w14:textId="7A3C4C3F" w:rsidR="00967B18" w:rsidRDefault="00967B18" w:rsidP="005526D6">
      <w:pPr>
        <w:pStyle w:val="Heading4"/>
      </w:pPr>
      <w:bookmarkStart w:id="103" w:name="_Toc182555097"/>
      <w:bookmarkEnd w:id="102"/>
      <w:r w:rsidRPr="004B2D24">
        <w:t>California Department of Education</w:t>
      </w:r>
      <w:bookmarkEnd w:id="103"/>
    </w:p>
    <w:p w14:paraId="143E5B2E" w14:textId="7645FE66" w:rsidR="009B1068" w:rsidRPr="00C34C12" w:rsidRDefault="009B1068" w:rsidP="009B1068">
      <w:r w:rsidRPr="00C34C12">
        <w:t>The CDE oversees California’s public school system, which is responsible for the education of more than 6,</w:t>
      </w:r>
      <w:r w:rsidR="00BA3C6A">
        <w:t>16</w:t>
      </w:r>
      <w:r w:rsidRPr="00C34C12">
        <w:t>0,000 children and young adults in more than 10,500 schools.</w:t>
      </w:r>
      <w:r w:rsidRPr="00C34C12">
        <w:rPr>
          <w:rStyle w:val="FootnoteReference"/>
        </w:rPr>
        <w:footnoteReference w:id="3"/>
      </w:r>
      <w:r w:rsidRPr="00C34C12">
        <w:t xml:space="preserve"> California aims to provide a world-class education for all students, from early childhood to adulthood. The CDE serves the state by innovating and collaborating with educators, school staff, parents/guardians, and community partners which together, as a team, prepares students to live, work, and thrive in a highly connected world.</w:t>
      </w:r>
    </w:p>
    <w:p w14:paraId="373CC1F0" w14:textId="763D9672" w:rsidR="009B1068" w:rsidRPr="00C34C12" w:rsidRDefault="009B1068" w:rsidP="009B1068">
      <w:bookmarkStart w:id="104" w:name="_Hlk67383254"/>
      <w:r w:rsidRPr="00C34C12">
        <w:t xml:space="preserve">Within the CDE, it is the Instruction &amp; Measurement branch that oversees programs promoting improved student achievement. Programs include oversight of statewide assessments and the collection and reporting of educational data (CDE, </w:t>
      </w:r>
      <w:r w:rsidR="00BD1552" w:rsidRPr="00C34C12">
        <w:t>202</w:t>
      </w:r>
      <w:r w:rsidR="00BD1552">
        <w:t>1</w:t>
      </w:r>
      <w:r w:rsidRPr="00C34C12">
        <w:t>).</w:t>
      </w:r>
    </w:p>
    <w:p w14:paraId="48517CB3" w14:textId="7DFEB63A" w:rsidR="00967B18" w:rsidRDefault="00967B18" w:rsidP="005526D6">
      <w:pPr>
        <w:pStyle w:val="Heading4"/>
      </w:pPr>
      <w:bookmarkStart w:id="105" w:name="_Toc182555098"/>
      <w:bookmarkEnd w:id="104"/>
      <w:r w:rsidRPr="004B2D24">
        <w:t>California Educators</w:t>
      </w:r>
      <w:bookmarkEnd w:id="105"/>
    </w:p>
    <w:p w14:paraId="596657D8" w14:textId="16CEBA3A" w:rsidR="009B1068" w:rsidRPr="00C34C12" w:rsidRDefault="009B1068" w:rsidP="009B1068">
      <w:pPr>
        <w:keepLines/>
      </w:pPr>
      <w:r w:rsidRPr="00C34C12">
        <w:t>A variety of California educators, including school administrators and teachers experienced in teaching students with cognitive disabilities—who were selected based on their qualifications, experience, demographics, and geographic locations—were invited to participate in the entire CAA for Science assessment development process. This included defining the purpose and scope of the assessment, assessment design, item development, data review, and score reporting.</w:t>
      </w:r>
    </w:p>
    <w:p w14:paraId="7332C6CD" w14:textId="7DCC285C" w:rsidR="005526D6" w:rsidRPr="005526D6" w:rsidRDefault="00967B18" w:rsidP="00BE67AD">
      <w:pPr>
        <w:pStyle w:val="Heading4"/>
      </w:pPr>
      <w:bookmarkStart w:id="106" w:name="_Toc182555099"/>
      <w:r w:rsidRPr="004B2D24">
        <w:lastRenderedPageBreak/>
        <w:t>Contractors</w:t>
      </w:r>
      <w:bookmarkEnd w:id="106"/>
    </w:p>
    <w:p w14:paraId="1FCDF80D" w14:textId="66FE2059" w:rsidR="00967B18" w:rsidRDefault="001D23CE" w:rsidP="005526D6">
      <w:pPr>
        <w:pStyle w:val="Heading5"/>
      </w:pPr>
      <w:r w:rsidRPr="001D23CE">
        <w:t xml:space="preserve">Primary </w:t>
      </w:r>
      <w:r w:rsidR="007528D6">
        <w:t xml:space="preserve">Testing </w:t>
      </w:r>
      <w:r w:rsidRPr="001D23CE">
        <w:t>Contractor—</w:t>
      </w:r>
      <w:r w:rsidR="00967B18" w:rsidRPr="004B2D24">
        <w:t>ETS</w:t>
      </w:r>
    </w:p>
    <w:p w14:paraId="5DC98350" w14:textId="1DE1438C" w:rsidR="009B1068" w:rsidRPr="00C34C12" w:rsidRDefault="009B1068" w:rsidP="009B1068">
      <w:r w:rsidRPr="00C34C12">
        <w:t>The CDE and the SBE contract with ETS to develop and administer the CAA for Science. As the prim</w:t>
      </w:r>
      <w:r w:rsidR="007528D6">
        <w:t>ary testing</w:t>
      </w:r>
      <w:r w:rsidRPr="00C34C12">
        <w:t xml:space="preserve"> contractor, ETS has the overall responsibility for working with the CDE to implement and maintain an effective assessment system and coordinat</w:t>
      </w:r>
      <w:r w:rsidR="003C4E5B">
        <w:t>ing</w:t>
      </w:r>
      <w:r w:rsidRPr="00C34C12">
        <w:t xml:space="preserve"> </w:t>
      </w:r>
      <w:r w:rsidR="003C4E5B">
        <w:t>ETS’</w:t>
      </w:r>
      <w:r w:rsidRPr="00C34C12">
        <w:t xml:space="preserve"> work </w:t>
      </w:r>
      <w:r w:rsidR="003C4E5B">
        <w:t>with</w:t>
      </w:r>
      <w:r w:rsidRPr="00C34C12">
        <w:t xml:space="preserve"> its subcontractors. Activities conducted</w:t>
      </w:r>
      <w:r w:rsidR="003C4E5B" w:rsidRPr="00C34C12">
        <w:t xml:space="preserve"> directly</w:t>
      </w:r>
      <w:r w:rsidRPr="00C34C12">
        <w:t xml:space="preserve"> by ETS include</w:t>
      </w:r>
      <w:r w:rsidR="003C4E5B">
        <w:t>,</w:t>
      </w:r>
      <w:r w:rsidRPr="00C34C12">
        <w:t xml:space="preserve"> but are not limited to</w:t>
      </w:r>
      <w:r w:rsidR="003C4E5B">
        <w:t>,</w:t>
      </w:r>
      <w:r w:rsidRPr="00C34C12">
        <w:t xml:space="preserve"> the following:</w:t>
      </w:r>
    </w:p>
    <w:p w14:paraId="16BF794B" w14:textId="77777777" w:rsidR="009B1068" w:rsidRPr="00C34C12" w:rsidRDefault="009B1068" w:rsidP="00B33B75">
      <w:pPr>
        <w:pStyle w:val="bullets"/>
        <w:numPr>
          <w:ilvl w:val="0"/>
          <w:numId w:val="69"/>
        </w:numPr>
        <w:tabs>
          <w:tab w:val="clear" w:pos="727"/>
        </w:tabs>
        <w:ind w:left="864" w:hanging="288"/>
      </w:pPr>
      <w:r w:rsidRPr="00C34C12">
        <w:t>Providing management of the program activities</w:t>
      </w:r>
    </w:p>
    <w:p w14:paraId="4A9CF4EF" w14:textId="77777777" w:rsidR="009B1068" w:rsidRPr="00C34C12" w:rsidRDefault="009B1068" w:rsidP="00B33B75">
      <w:pPr>
        <w:pStyle w:val="bullets"/>
        <w:numPr>
          <w:ilvl w:val="0"/>
          <w:numId w:val="69"/>
        </w:numPr>
        <w:tabs>
          <w:tab w:val="clear" w:pos="727"/>
        </w:tabs>
        <w:ind w:left="864" w:hanging="288"/>
      </w:pPr>
      <w:r w:rsidRPr="00C34C12">
        <w:t>Supporting and training counties, LEAs, and direct funded charter schools</w:t>
      </w:r>
    </w:p>
    <w:p w14:paraId="026D41A1" w14:textId="15B6E4D2" w:rsidR="009B1068" w:rsidRPr="00C34C12" w:rsidRDefault="009B1068" w:rsidP="00B33B75">
      <w:pPr>
        <w:pStyle w:val="bullets"/>
        <w:numPr>
          <w:ilvl w:val="0"/>
          <w:numId w:val="69"/>
        </w:numPr>
        <w:tabs>
          <w:tab w:val="clear" w:pos="727"/>
        </w:tabs>
        <w:ind w:left="864" w:hanging="288"/>
      </w:pPr>
      <w:r w:rsidRPr="00C34C12">
        <w:t>Providing tiered help</w:t>
      </w:r>
      <w:r w:rsidR="00475B28">
        <w:t xml:space="preserve"> </w:t>
      </w:r>
      <w:r w:rsidRPr="00C34C12">
        <w:t>desk support to LEAs</w:t>
      </w:r>
    </w:p>
    <w:p w14:paraId="347B77EF" w14:textId="77777777" w:rsidR="009B1068" w:rsidRPr="00C34C12" w:rsidRDefault="009B1068" w:rsidP="00B33B75">
      <w:pPr>
        <w:pStyle w:val="bullets"/>
        <w:numPr>
          <w:ilvl w:val="0"/>
          <w:numId w:val="69"/>
        </w:numPr>
        <w:tabs>
          <w:tab w:val="clear" w:pos="727"/>
        </w:tabs>
        <w:ind w:left="864" w:hanging="288"/>
      </w:pPr>
      <w:r w:rsidRPr="00C34C12">
        <w:t>Hosting and maintaining a website with resources for LEA CAASPP coordinators</w:t>
      </w:r>
    </w:p>
    <w:p w14:paraId="7FB4D960" w14:textId="39F497D0" w:rsidR="009B1068" w:rsidRPr="00C34C12" w:rsidRDefault="009B1068" w:rsidP="00B33B75">
      <w:pPr>
        <w:pStyle w:val="bullets"/>
        <w:numPr>
          <w:ilvl w:val="0"/>
          <w:numId w:val="69"/>
        </w:numPr>
        <w:tabs>
          <w:tab w:val="clear" w:pos="727"/>
        </w:tabs>
        <w:ind w:left="864" w:hanging="288"/>
      </w:pPr>
      <w:r w:rsidRPr="00C34C12">
        <w:t>Developing, hosting, and providing support for TOMS</w:t>
      </w:r>
    </w:p>
    <w:p w14:paraId="580428A4" w14:textId="77777777" w:rsidR="009B1068" w:rsidRPr="00C34C12" w:rsidRDefault="009B1068" w:rsidP="00B33B75">
      <w:pPr>
        <w:pStyle w:val="bullets"/>
        <w:numPr>
          <w:ilvl w:val="0"/>
          <w:numId w:val="69"/>
        </w:numPr>
        <w:tabs>
          <w:tab w:val="clear" w:pos="727"/>
        </w:tabs>
        <w:ind w:left="864" w:hanging="288"/>
      </w:pPr>
      <w:r w:rsidRPr="00C34C12">
        <w:t>Developing all CAA for Science embedded PTs</w:t>
      </w:r>
    </w:p>
    <w:p w14:paraId="329803A8" w14:textId="77777777" w:rsidR="009B1068" w:rsidRPr="00C34C12" w:rsidRDefault="009B1068" w:rsidP="00B33B75">
      <w:pPr>
        <w:pStyle w:val="bullets"/>
        <w:numPr>
          <w:ilvl w:val="0"/>
          <w:numId w:val="69"/>
        </w:numPr>
        <w:tabs>
          <w:tab w:val="clear" w:pos="727"/>
        </w:tabs>
        <w:ind w:left="864" w:hanging="288"/>
      </w:pPr>
      <w:r w:rsidRPr="00C34C12">
        <w:t xml:space="preserve">Constructing, producing, and controlling the quality of CAASPP test forms and related test materials, including grade- and content-specific </w:t>
      </w:r>
      <w:r w:rsidRPr="00C34C12">
        <w:rPr>
          <w:i/>
          <w:iCs/>
        </w:rPr>
        <w:t>DFAs</w:t>
      </w:r>
    </w:p>
    <w:p w14:paraId="0CD102F9" w14:textId="77777777" w:rsidR="009B1068" w:rsidRPr="00C34C12" w:rsidRDefault="009B1068" w:rsidP="00B33B75">
      <w:pPr>
        <w:pStyle w:val="bullets"/>
        <w:numPr>
          <w:ilvl w:val="0"/>
          <w:numId w:val="69"/>
        </w:numPr>
        <w:tabs>
          <w:tab w:val="clear" w:pos="727"/>
        </w:tabs>
        <w:ind w:left="864" w:hanging="288"/>
      </w:pPr>
      <w:r w:rsidRPr="00C34C12">
        <w:t>Processing student test assignments</w:t>
      </w:r>
    </w:p>
    <w:p w14:paraId="496BD41C" w14:textId="77777777" w:rsidR="009B1068" w:rsidRPr="00C34C12" w:rsidRDefault="009B1068" w:rsidP="00B33B75">
      <w:pPr>
        <w:pStyle w:val="bullets"/>
        <w:numPr>
          <w:ilvl w:val="0"/>
          <w:numId w:val="69"/>
        </w:numPr>
        <w:tabs>
          <w:tab w:val="clear" w:pos="727"/>
        </w:tabs>
        <w:ind w:left="864" w:hanging="288"/>
      </w:pPr>
      <w:r w:rsidRPr="00C34C12">
        <w:t>Completing all psychometric procedures</w:t>
      </w:r>
    </w:p>
    <w:p w14:paraId="48B52537" w14:textId="77777777" w:rsidR="009B1068" w:rsidRPr="00C34C12" w:rsidRDefault="009B1068" w:rsidP="00B33B75">
      <w:pPr>
        <w:pStyle w:val="bullets"/>
        <w:numPr>
          <w:ilvl w:val="0"/>
          <w:numId w:val="69"/>
        </w:numPr>
        <w:tabs>
          <w:tab w:val="clear" w:pos="727"/>
        </w:tabs>
        <w:ind w:left="864" w:hanging="288"/>
      </w:pPr>
      <w:r w:rsidRPr="00C34C12">
        <w:t>Producing and distributing score reports</w:t>
      </w:r>
    </w:p>
    <w:p w14:paraId="68619029" w14:textId="77777777" w:rsidR="009B1068" w:rsidRPr="00C34C12" w:rsidRDefault="009B1068" w:rsidP="00B33B75">
      <w:pPr>
        <w:pStyle w:val="bullets"/>
        <w:numPr>
          <w:ilvl w:val="0"/>
          <w:numId w:val="69"/>
        </w:numPr>
        <w:tabs>
          <w:tab w:val="clear" w:pos="727"/>
        </w:tabs>
        <w:ind w:left="864" w:hanging="288"/>
      </w:pPr>
      <w:r w:rsidRPr="00C34C12">
        <w:t>Developing a score reporting website that can be viewed by the public</w:t>
      </w:r>
    </w:p>
    <w:p w14:paraId="2C7300DB" w14:textId="4CCF99A9" w:rsidR="00967B18" w:rsidRDefault="00081E9D" w:rsidP="005526D6">
      <w:pPr>
        <w:pStyle w:val="Heading5"/>
      </w:pPr>
      <w:r w:rsidRPr="00081E9D">
        <w:t>Subcontractor—</w:t>
      </w:r>
      <w:r w:rsidR="006731D7" w:rsidRPr="004B2D24">
        <w:t>Cambium</w:t>
      </w:r>
      <w:r w:rsidR="001375DA">
        <w:t xml:space="preserve"> Assessment, Inc.</w:t>
      </w:r>
    </w:p>
    <w:p w14:paraId="19BD3FD2" w14:textId="3E83566E" w:rsidR="009B1068" w:rsidRPr="00C34C12" w:rsidRDefault="009B1068" w:rsidP="009B1068">
      <w:r w:rsidRPr="00C34C12">
        <w:t>ETS also monitors and manages the work of Cambium Assessment</w:t>
      </w:r>
      <w:r w:rsidR="001375DA">
        <w:t xml:space="preserve"> Inc. (CAI</w:t>
      </w:r>
      <w:r w:rsidR="00D51E48">
        <w:t>; formerly American Institutes for Research</w:t>
      </w:r>
      <w:r w:rsidR="001375DA">
        <w:t>)</w:t>
      </w:r>
      <w:r w:rsidRPr="00C34C12">
        <w:t xml:space="preserve">, subcontractor to ETS for the CAASPP System of online assessments. Activities conducted by </w:t>
      </w:r>
      <w:r w:rsidR="00D51E48">
        <w:t>CAI</w:t>
      </w:r>
      <w:r w:rsidR="00D51E48" w:rsidRPr="00C34C12">
        <w:t xml:space="preserve"> </w:t>
      </w:r>
      <w:r w:rsidRPr="00C34C12">
        <w:t>include</w:t>
      </w:r>
    </w:p>
    <w:p w14:paraId="0C461716" w14:textId="036A4408" w:rsidR="009B1068" w:rsidRPr="00C34C12" w:rsidRDefault="009B1068" w:rsidP="00B33B75">
      <w:pPr>
        <w:pStyle w:val="bullets"/>
        <w:numPr>
          <w:ilvl w:val="0"/>
          <w:numId w:val="69"/>
        </w:numPr>
        <w:tabs>
          <w:tab w:val="clear" w:pos="727"/>
        </w:tabs>
        <w:ind w:left="864" w:hanging="288"/>
      </w:pPr>
      <w:r w:rsidRPr="00C34C12">
        <w:t xml:space="preserve">providing the </w:t>
      </w:r>
      <w:r w:rsidR="00D51E48">
        <w:t>CAI</w:t>
      </w:r>
      <w:r w:rsidR="00D51E48" w:rsidRPr="00C34C12">
        <w:t xml:space="preserve"> </w:t>
      </w:r>
      <w:r w:rsidRPr="00C34C12">
        <w:t>proprietary TDS, including the Student Testing Interface, Test Administrator Interface, secure browser, and training tests;</w:t>
      </w:r>
    </w:p>
    <w:p w14:paraId="77F05884" w14:textId="191B18BB" w:rsidR="009B1068" w:rsidRPr="00C34C12" w:rsidRDefault="009B1068" w:rsidP="00B33B75">
      <w:pPr>
        <w:pStyle w:val="bullets"/>
        <w:numPr>
          <w:ilvl w:val="0"/>
          <w:numId w:val="69"/>
        </w:numPr>
        <w:tabs>
          <w:tab w:val="clear" w:pos="727"/>
        </w:tabs>
        <w:ind w:left="864" w:hanging="288"/>
      </w:pPr>
      <w:r w:rsidRPr="00C34C12">
        <w:t>hosting and providing support for its TDS and the Online Reporting System (ORS),</w:t>
      </w:r>
      <w:r w:rsidR="00240802">
        <w:rPr>
          <w:rStyle w:val="FootnoteReference"/>
        </w:rPr>
        <w:footnoteReference w:id="4"/>
      </w:r>
      <w:r w:rsidRPr="00C34C12">
        <w:t xml:space="preserve"> a component of the overall CAASPP Assessment Delivery System;</w:t>
      </w:r>
      <w:bookmarkStart w:id="107" w:name="_Hlk32231945"/>
      <w:bookmarkEnd w:id="107"/>
    </w:p>
    <w:p w14:paraId="5A80C2A0" w14:textId="77777777" w:rsidR="009B1068" w:rsidRPr="00C34C12" w:rsidRDefault="009B1068" w:rsidP="00B33B75">
      <w:pPr>
        <w:pStyle w:val="bullets"/>
        <w:numPr>
          <w:ilvl w:val="0"/>
          <w:numId w:val="69"/>
        </w:numPr>
        <w:tabs>
          <w:tab w:val="clear" w:pos="727"/>
        </w:tabs>
        <w:ind w:left="864" w:hanging="288"/>
      </w:pPr>
      <w:r w:rsidRPr="00C34C12">
        <w:t>scoring machine-scorable items; and</w:t>
      </w:r>
    </w:p>
    <w:p w14:paraId="18B76BF0" w14:textId="1EC08DCC" w:rsidR="009B1068" w:rsidRPr="00C34C12" w:rsidRDefault="009B1068" w:rsidP="00B33B75">
      <w:pPr>
        <w:pStyle w:val="bullets"/>
        <w:numPr>
          <w:ilvl w:val="0"/>
          <w:numId w:val="69"/>
        </w:numPr>
        <w:tabs>
          <w:tab w:val="clear" w:pos="727"/>
        </w:tabs>
        <w:ind w:left="864" w:hanging="288"/>
      </w:pPr>
      <w:r w:rsidRPr="00C34C12">
        <w:t xml:space="preserve">providing </w:t>
      </w:r>
      <w:r w:rsidR="00E45F2A">
        <w:t>high-l</w:t>
      </w:r>
      <w:r w:rsidR="00E45F2A" w:rsidRPr="00131485">
        <w:t>evel</w:t>
      </w:r>
      <w:r w:rsidRPr="00C34C12">
        <w:t xml:space="preserve"> technology help desk support to LEAs</w:t>
      </w:r>
      <w:r w:rsidR="00E45F2A" w:rsidRPr="001B3D00">
        <w:t xml:space="preserve"> </w:t>
      </w:r>
      <w:r w:rsidR="00E45F2A" w:rsidRPr="00131485">
        <w:t>for technology issues directly related to the TDS</w:t>
      </w:r>
      <w:r w:rsidRPr="00C34C12">
        <w:t>.</w:t>
      </w:r>
    </w:p>
    <w:p w14:paraId="330936F1" w14:textId="4D996BBE" w:rsidR="00B2366C" w:rsidRDefault="00B2366C" w:rsidP="00670FD2">
      <w:pPr>
        <w:pStyle w:val="Heading3"/>
      </w:pPr>
      <w:bookmarkStart w:id="108" w:name="_Systems_Overview_and"/>
      <w:bookmarkStart w:id="109" w:name="_Toc182555100"/>
      <w:bookmarkEnd w:id="108"/>
      <w:r w:rsidRPr="004B2D24">
        <w:lastRenderedPageBreak/>
        <w:t>Systems Overview and Functionality</w:t>
      </w:r>
      <w:bookmarkEnd w:id="109"/>
    </w:p>
    <w:p w14:paraId="7BAB5173" w14:textId="0C4BED31" w:rsidR="00967B18" w:rsidRDefault="00967B18" w:rsidP="005526D6">
      <w:pPr>
        <w:pStyle w:val="Heading4"/>
      </w:pPr>
      <w:bookmarkStart w:id="110" w:name="_Toc182555101"/>
      <w:r w:rsidRPr="004B2D24">
        <w:t>Test Operation</w:t>
      </w:r>
      <w:r w:rsidR="00CD04DA">
        <w:t>s</w:t>
      </w:r>
      <w:r w:rsidRPr="004B2D24">
        <w:t xml:space="preserve"> Management System</w:t>
      </w:r>
      <w:bookmarkEnd w:id="110"/>
    </w:p>
    <w:p w14:paraId="31F0C1B7" w14:textId="25971A7B" w:rsidR="00BF2F0B" w:rsidRPr="00C34C12" w:rsidRDefault="00BF2F0B" w:rsidP="00BF2F0B">
      <w:pPr>
        <w:keepNext/>
        <w:keepLines/>
      </w:pPr>
      <w:r w:rsidRPr="00C34C12">
        <w:t>TOMS is the password-protected, web-based system used by LEAs to manage all aspects of CAASPP testing. TOMS serves various functions for the CAAs, including</w:t>
      </w:r>
      <w:r w:rsidR="001118A1">
        <w:t>,</w:t>
      </w:r>
      <w:r w:rsidRPr="00C34C12">
        <w:t xml:space="preserve"> but not limited to</w:t>
      </w:r>
      <w:r w:rsidR="001118A1">
        <w:t>,</w:t>
      </w:r>
      <w:r w:rsidRPr="00C34C12">
        <w:t xml:space="preserve"> the following:</w:t>
      </w:r>
    </w:p>
    <w:p w14:paraId="7C4449C4" w14:textId="77777777" w:rsidR="00BF2F0B" w:rsidRPr="00C34C12" w:rsidRDefault="00BF2F0B" w:rsidP="00B33B75">
      <w:pPr>
        <w:pStyle w:val="bullets"/>
        <w:numPr>
          <w:ilvl w:val="0"/>
          <w:numId w:val="69"/>
        </w:numPr>
        <w:tabs>
          <w:tab w:val="clear" w:pos="727"/>
        </w:tabs>
        <w:ind w:left="864" w:hanging="288"/>
      </w:pPr>
      <w:r w:rsidRPr="00C34C12">
        <w:t>Managing test administration windows</w:t>
      </w:r>
    </w:p>
    <w:p w14:paraId="62CEDE8F" w14:textId="77777777" w:rsidR="00BF2F0B" w:rsidRPr="00C34C12" w:rsidRDefault="00BF2F0B" w:rsidP="00B33B75">
      <w:pPr>
        <w:pStyle w:val="bullets"/>
        <w:numPr>
          <w:ilvl w:val="0"/>
          <w:numId w:val="69"/>
        </w:numPr>
        <w:tabs>
          <w:tab w:val="clear" w:pos="727"/>
        </w:tabs>
        <w:ind w:left="864" w:hanging="288"/>
      </w:pPr>
      <w:r w:rsidRPr="00C34C12">
        <w:t>Assigning CAA test examiner user roles</w:t>
      </w:r>
    </w:p>
    <w:p w14:paraId="353D059E" w14:textId="77777777" w:rsidR="00BF2F0B" w:rsidRPr="00C34C12" w:rsidRDefault="00BF2F0B" w:rsidP="00B33B75">
      <w:pPr>
        <w:pStyle w:val="bullets"/>
        <w:numPr>
          <w:ilvl w:val="0"/>
          <w:numId w:val="69"/>
        </w:numPr>
        <w:tabs>
          <w:tab w:val="clear" w:pos="727"/>
        </w:tabs>
        <w:ind w:left="864" w:hanging="288"/>
      </w:pPr>
      <w:r w:rsidRPr="00C34C12">
        <w:t>Managing student test assignments and accessibility resources</w:t>
      </w:r>
    </w:p>
    <w:p w14:paraId="010D46EF" w14:textId="77777777" w:rsidR="00BF2F0B" w:rsidRPr="00C34C12" w:rsidRDefault="00BF2F0B" w:rsidP="00B33B75">
      <w:pPr>
        <w:pStyle w:val="bullets"/>
        <w:numPr>
          <w:ilvl w:val="0"/>
          <w:numId w:val="69"/>
        </w:numPr>
        <w:tabs>
          <w:tab w:val="clear" w:pos="727"/>
        </w:tabs>
        <w:ind w:left="864" w:hanging="288"/>
      </w:pPr>
      <w:r w:rsidRPr="00C34C12">
        <w:t>Viewing and downloading reports</w:t>
      </w:r>
    </w:p>
    <w:p w14:paraId="7566EBB4" w14:textId="77777777" w:rsidR="00BF2F0B" w:rsidRPr="00C34C12" w:rsidRDefault="00BF2F0B" w:rsidP="00B33B75">
      <w:pPr>
        <w:pStyle w:val="bullets"/>
        <w:numPr>
          <w:ilvl w:val="0"/>
          <w:numId w:val="69"/>
        </w:numPr>
        <w:tabs>
          <w:tab w:val="clear" w:pos="727"/>
        </w:tabs>
        <w:ind w:left="864" w:hanging="288"/>
      </w:pPr>
      <w:r w:rsidRPr="00C34C12">
        <w:t xml:space="preserve">Providing a platform for authorized user access to secure materials such as CAA for Science </w:t>
      </w:r>
      <w:r w:rsidRPr="00C34C12">
        <w:rPr>
          <w:i/>
          <w:iCs/>
        </w:rPr>
        <w:t>DFAs</w:t>
      </w:r>
      <w:r w:rsidRPr="00C34C12">
        <w:t xml:space="preserve">, CAASPP user information, and access to the </w:t>
      </w:r>
      <w:r w:rsidRPr="00C34C12">
        <w:rPr>
          <w:i/>
          <w:iCs/>
        </w:rPr>
        <w:t xml:space="preserve">CAASPP Security and Test Administration Incident Reporting System </w:t>
      </w:r>
      <w:r w:rsidRPr="00C34C12">
        <w:t>form</w:t>
      </w:r>
    </w:p>
    <w:p w14:paraId="086D5108" w14:textId="3AD71F60" w:rsidR="00BF2F0B" w:rsidRPr="00C34C12" w:rsidRDefault="00BF2F0B" w:rsidP="00BF2F0B">
      <w:r w:rsidRPr="00C34C12">
        <w:t>TOMS receives student enrollment data</w:t>
      </w:r>
      <w:r w:rsidR="00191C12">
        <w:t>, including</w:t>
      </w:r>
      <w:r w:rsidRPr="00C34C12">
        <w:t xml:space="preserve"> LEA and school hierarchy data</w:t>
      </w:r>
      <w:r w:rsidR="00191C12">
        <w:t>,</w:t>
      </w:r>
      <w:r w:rsidRPr="00C34C12">
        <w:t xml:space="preserve"> from the California Longitudinal Pupil Achievement Data System (CALPADS) via a daily feed. CALPADS is “a longitudinal data system used to maintain individual-level data including student demographics, course data, discipline, assessments, staff assignments, and other data for state and federal reporting.”</w:t>
      </w:r>
      <w:r w:rsidRPr="00C34C12">
        <w:rPr>
          <w:rStyle w:val="FootnoteReference"/>
          <w:rFonts w:ascii="Helvetica" w:hAnsi="Helvetica" w:cs="Helvetica"/>
          <w:shd w:val="clear" w:color="auto" w:fill="F7F4EE"/>
        </w:rPr>
        <w:footnoteReference w:id="5"/>
      </w:r>
      <w:r w:rsidRPr="00C34C12">
        <w:t xml:space="preserve"> LEA staff involved in the administration of the CAA for Science—such as LEA CAASPP coordinators, CAASPP test site coordinators, and test </w:t>
      </w:r>
      <w:bookmarkStart w:id="111" w:name="_Hlk67383271"/>
      <w:r w:rsidRPr="00C34C12">
        <w:t xml:space="preserve">examiners—are assigned varying levels of access to TOMS. For example, only an LEA CAASPP coordinator is given permission to set up the LEA’s test administration window; a test examiner cannot download student reports. A description of user roles is explained more extensively in the </w:t>
      </w:r>
      <w:r w:rsidR="00CE7911" w:rsidRPr="00C34C12">
        <w:rPr>
          <w:i/>
        </w:rPr>
        <w:t>201</w:t>
      </w:r>
      <w:r w:rsidR="00CE7911">
        <w:rPr>
          <w:i/>
        </w:rPr>
        <w:t>9</w:t>
      </w:r>
      <w:r w:rsidRPr="00C34C12">
        <w:rPr>
          <w:i/>
        </w:rPr>
        <w:t>–</w:t>
      </w:r>
      <w:r w:rsidR="00812023">
        <w:rPr>
          <w:i/>
        </w:rPr>
        <w:t>20</w:t>
      </w:r>
      <w:r w:rsidR="00CE7911">
        <w:rPr>
          <w:i/>
        </w:rPr>
        <w:t>20</w:t>
      </w:r>
      <w:r w:rsidR="00CE7911" w:rsidRPr="00C34C12">
        <w:rPr>
          <w:i/>
        </w:rPr>
        <w:t xml:space="preserve"> </w:t>
      </w:r>
      <w:r w:rsidRPr="00C34C12">
        <w:rPr>
          <w:i/>
        </w:rPr>
        <w:t>CAASPP Online Test Administration Manual</w:t>
      </w:r>
      <w:r w:rsidRPr="00C34C12">
        <w:t xml:space="preserve"> (CDE, </w:t>
      </w:r>
      <w:r w:rsidRPr="00BD1552">
        <w:t>20</w:t>
      </w:r>
      <w:r w:rsidR="005E1E52" w:rsidRPr="00BD1552">
        <w:t>20</w:t>
      </w:r>
      <w:r w:rsidR="00BD1552">
        <w:t>a</w:t>
      </w:r>
      <w:r w:rsidRPr="00BD1552">
        <w:t>)</w:t>
      </w:r>
      <w:r w:rsidRPr="00C34C12">
        <w:t>.</w:t>
      </w:r>
    </w:p>
    <w:p w14:paraId="27FB22E1" w14:textId="3B4A9DDA" w:rsidR="00967B18" w:rsidRDefault="00967B18" w:rsidP="005526D6">
      <w:pPr>
        <w:pStyle w:val="Heading4"/>
      </w:pPr>
      <w:bookmarkStart w:id="112" w:name="_Toc182555102"/>
      <w:bookmarkEnd w:id="111"/>
      <w:r w:rsidRPr="004B2D24">
        <w:t>Test Delivery System</w:t>
      </w:r>
      <w:bookmarkEnd w:id="112"/>
    </w:p>
    <w:p w14:paraId="31064392" w14:textId="389690F5" w:rsidR="00BF2F0B" w:rsidRPr="00C34C12" w:rsidRDefault="00BF2F0B" w:rsidP="00BF2F0B">
      <w:r w:rsidRPr="00C34C12">
        <w:t>The TDS is the means by which the statewide online assessments are delivered to students. Components of the TDS include</w:t>
      </w:r>
    </w:p>
    <w:p w14:paraId="585AF2DC" w14:textId="34C70F25" w:rsidR="00BF2F0B" w:rsidRPr="00C34C12" w:rsidRDefault="00BF2F0B" w:rsidP="00B33B75">
      <w:pPr>
        <w:pStyle w:val="bullets"/>
        <w:numPr>
          <w:ilvl w:val="0"/>
          <w:numId w:val="69"/>
        </w:numPr>
        <w:tabs>
          <w:tab w:val="clear" w:pos="727"/>
        </w:tabs>
        <w:ind w:left="864" w:hanging="288"/>
      </w:pPr>
      <w:r w:rsidRPr="00C34C12">
        <w:t>the Test Administrator Interface, the web browser–based application that allows test administrators and test examiners to activate student tests and monitor student testing;</w:t>
      </w:r>
    </w:p>
    <w:p w14:paraId="3423B774" w14:textId="02BFF312" w:rsidR="00BF2F0B" w:rsidRPr="00C34C12" w:rsidRDefault="00BF2F0B" w:rsidP="00B33B75">
      <w:pPr>
        <w:pStyle w:val="bullets"/>
        <w:numPr>
          <w:ilvl w:val="0"/>
          <w:numId w:val="69"/>
        </w:numPr>
        <w:tabs>
          <w:tab w:val="clear" w:pos="727"/>
        </w:tabs>
        <w:ind w:left="864" w:hanging="288"/>
      </w:pPr>
      <w:r w:rsidRPr="00C34C12">
        <w:t>the Student Testing Interface, on which students take the CAA for Science using the secure browser and with assistance from the test examiner as needed; and</w:t>
      </w:r>
    </w:p>
    <w:p w14:paraId="5941B0E9" w14:textId="77777777" w:rsidR="00BF2F0B" w:rsidRPr="00C34C12" w:rsidRDefault="00BF2F0B" w:rsidP="00B33B75">
      <w:pPr>
        <w:pStyle w:val="bullets"/>
        <w:numPr>
          <w:ilvl w:val="0"/>
          <w:numId w:val="69"/>
        </w:numPr>
        <w:tabs>
          <w:tab w:val="clear" w:pos="727"/>
        </w:tabs>
        <w:ind w:left="864" w:hanging="288"/>
      </w:pPr>
      <w:r w:rsidRPr="00C34C12">
        <w:t>the secure browser, the online application through which the Student Testing Interface may be accessed. The secure browser prevents students from accessing other applications during testing.</w:t>
      </w:r>
    </w:p>
    <w:p w14:paraId="0BC7C1E0" w14:textId="77641EB8" w:rsidR="00967B18" w:rsidRDefault="00967B18" w:rsidP="005526D6">
      <w:pPr>
        <w:pStyle w:val="Heading4"/>
      </w:pPr>
      <w:bookmarkStart w:id="113" w:name="_Toc182555103"/>
      <w:r w:rsidRPr="004B2D24">
        <w:lastRenderedPageBreak/>
        <w:t>Practice and Training Tests</w:t>
      </w:r>
      <w:bookmarkEnd w:id="113"/>
    </w:p>
    <w:p w14:paraId="24E0C730" w14:textId="2F30B8FC" w:rsidR="00BF2F0B" w:rsidRPr="00C34C12" w:rsidRDefault="00BF2F0B" w:rsidP="00903992">
      <w:pPr>
        <w:keepLines/>
      </w:pPr>
      <w:r w:rsidRPr="00C34C12">
        <w:t>The publicly available</w:t>
      </w:r>
      <w:r w:rsidR="005F37F4">
        <w:t xml:space="preserve"> practice and</w:t>
      </w:r>
      <w:r w:rsidRPr="00C34C12">
        <w:t xml:space="preserve"> training test</w:t>
      </w:r>
      <w:r w:rsidR="005F37F4">
        <w:t>s</w:t>
      </w:r>
      <w:r w:rsidRPr="00C34C12">
        <w:t xml:space="preserve"> </w:t>
      </w:r>
      <w:r w:rsidR="005F37F4">
        <w:t>are</w:t>
      </w:r>
      <w:r w:rsidR="005F37F4" w:rsidRPr="00C34C12">
        <w:t xml:space="preserve"> </w:t>
      </w:r>
      <w:r w:rsidRPr="00C34C12">
        <w:t xml:space="preserve">provided to prepare students for the summative assessment. </w:t>
      </w:r>
      <w:r w:rsidR="005F37F4" w:rsidRPr="00C34C12">
        <w:t>Th</w:t>
      </w:r>
      <w:r w:rsidR="005F37F4">
        <w:t>ese</w:t>
      </w:r>
      <w:r w:rsidR="005F37F4" w:rsidRPr="00C34C12">
        <w:t xml:space="preserve"> </w:t>
      </w:r>
      <w:r w:rsidRPr="00C34C12">
        <w:t>test</w:t>
      </w:r>
      <w:r w:rsidR="005F37F4">
        <w:t>s</w:t>
      </w:r>
      <w:r w:rsidRPr="00C34C12">
        <w:t>, available for grades five and eight and high school, simulate the experience of the CAA for Science online assessments. T</w:t>
      </w:r>
      <w:r w:rsidR="00764E45">
        <w:t>he practice</w:t>
      </w:r>
      <w:r w:rsidR="00764E45" w:rsidRPr="00764E45">
        <w:t xml:space="preserve"> </w:t>
      </w:r>
      <w:r w:rsidR="00764E45">
        <w:t>and t</w:t>
      </w:r>
      <w:r w:rsidRPr="00C34C12">
        <w:t>raining</w:t>
      </w:r>
      <w:r w:rsidR="005F37F4">
        <w:t xml:space="preserve"> </w:t>
      </w:r>
      <w:r w:rsidRPr="00C34C12">
        <w:t>tests align with PEs but do not produce scores. Students may access them using a web browser.</w:t>
      </w:r>
    </w:p>
    <w:p w14:paraId="5E463921" w14:textId="7B357994" w:rsidR="00BF2F0B" w:rsidRPr="00C34C12" w:rsidRDefault="00BF2F0B" w:rsidP="00BF2F0B">
      <w:r w:rsidRPr="00C34C12">
        <w:t xml:space="preserve">The purposes of the </w:t>
      </w:r>
      <w:r w:rsidR="005B5C5F">
        <w:t>practice</w:t>
      </w:r>
      <w:r w:rsidR="005B5C5F" w:rsidRPr="00C34C12">
        <w:t xml:space="preserve"> </w:t>
      </w:r>
      <w:r w:rsidR="005B5C5F">
        <w:t>and</w:t>
      </w:r>
      <w:r w:rsidR="005B5C5F" w:rsidRPr="00C34C12">
        <w:t xml:space="preserve"> </w:t>
      </w:r>
      <w:r w:rsidRPr="00C34C12">
        <w:t>training test</w:t>
      </w:r>
      <w:r w:rsidR="005F37F4">
        <w:t>s</w:t>
      </w:r>
      <w:r w:rsidRPr="00C34C12">
        <w:t xml:space="preserve"> are to</w:t>
      </w:r>
    </w:p>
    <w:p w14:paraId="470A85C6" w14:textId="77777777" w:rsidR="00BF2F0B" w:rsidRPr="00C34C12" w:rsidRDefault="00BF2F0B" w:rsidP="00B33B75">
      <w:pPr>
        <w:pStyle w:val="bullets"/>
        <w:numPr>
          <w:ilvl w:val="0"/>
          <w:numId w:val="69"/>
        </w:numPr>
        <w:tabs>
          <w:tab w:val="clear" w:pos="727"/>
        </w:tabs>
        <w:ind w:left="864" w:hanging="288"/>
      </w:pPr>
      <w:r w:rsidRPr="00C34C12">
        <w:t>allow students and administrators to quickly become familiar with the user interface and components of the TDS and the process of starting and completing a testing session; and</w:t>
      </w:r>
    </w:p>
    <w:p w14:paraId="79BACE26" w14:textId="4D862165" w:rsidR="00BF2F0B" w:rsidRPr="00C34C12" w:rsidRDefault="00BF2F0B" w:rsidP="00B33B75">
      <w:pPr>
        <w:pStyle w:val="bullets"/>
        <w:numPr>
          <w:ilvl w:val="0"/>
          <w:numId w:val="69"/>
        </w:numPr>
        <w:tabs>
          <w:tab w:val="clear" w:pos="727"/>
        </w:tabs>
        <w:ind w:left="864" w:hanging="288"/>
      </w:pPr>
      <w:r w:rsidRPr="00C34C12">
        <w:t xml:space="preserve">introduce students and administrators to new grade-specific items similar to those on the operational </w:t>
      </w:r>
      <w:r w:rsidR="007B2A45">
        <w:t>assessment</w:t>
      </w:r>
      <w:r w:rsidRPr="00C34C12">
        <w:t xml:space="preserve">, which included discrete items and </w:t>
      </w:r>
      <w:r w:rsidRPr="00C34C12">
        <w:rPr>
          <w:rFonts w:eastAsia="Calibri"/>
        </w:rPr>
        <w:t>embedded</w:t>
      </w:r>
      <w:r w:rsidRPr="00C34C12">
        <w:t xml:space="preserve"> PTs.</w:t>
      </w:r>
    </w:p>
    <w:p w14:paraId="56FB7BAB" w14:textId="15A5CF5B" w:rsidR="005526D6" w:rsidRPr="00191C12" w:rsidRDefault="00BC07FF" w:rsidP="007B0745">
      <w:bookmarkStart w:id="114" w:name="_Toc38901189"/>
      <w:r>
        <w:t xml:space="preserve">Details on practice and training tests are presented in subsection </w:t>
      </w:r>
      <w:hyperlink w:anchor="_Practice_and_Training" w:history="1">
        <w:r>
          <w:rPr>
            <w:rStyle w:val="Hyperlink"/>
            <w:i/>
          </w:rPr>
          <w:t>5.2.</w:t>
        </w:r>
        <w:r w:rsidR="002A5AAE">
          <w:rPr>
            <w:rStyle w:val="Hyperlink"/>
            <w:i/>
          </w:rPr>
          <w:t>2</w:t>
        </w:r>
        <w:r>
          <w:rPr>
            <w:rStyle w:val="Hyperlink"/>
            <w:i/>
          </w:rPr>
          <w:t xml:space="preserve"> Practice and Training Tests</w:t>
        </w:r>
      </w:hyperlink>
      <w:r>
        <w:t>.</w:t>
      </w:r>
      <w:bookmarkEnd w:id="114"/>
    </w:p>
    <w:p w14:paraId="038D953E" w14:textId="37124FC5" w:rsidR="007251E1" w:rsidRDefault="007251E1" w:rsidP="00670FD2">
      <w:pPr>
        <w:pStyle w:val="Heading3"/>
      </w:pPr>
      <w:bookmarkStart w:id="115" w:name="_Toc182555104"/>
      <w:r w:rsidRPr="004B2D24">
        <w:t>Overview of the Technical Report</w:t>
      </w:r>
      <w:bookmarkEnd w:id="115"/>
    </w:p>
    <w:p w14:paraId="23F54978" w14:textId="09E24909" w:rsidR="00BF2F0B" w:rsidRPr="00C34C12" w:rsidRDefault="00BF2F0B" w:rsidP="00BF2F0B">
      <w:r w:rsidRPr="00C34C12">
        <w:t xml:space="preserve">This technical report addresses the characteristics of the CAAs for Science administered </w:t>
      </w:r>
      <w:r w:rsidR="00B45243">
        <w:t>from</w:t>
      </w:r>
      <w:r w:rsidRPr="00C34C12">
        <w:t xml:space="preserve"> </w:t>
      </w:r>
      <w:r w:rsidR="00F122A1">
        <w:t>Sept</w:t>
      </w:r>
      <w:r w:rsidR="002670AF">
        <w:t>e</w:t>
      </w:r>
      <w:r w:rsidR="00F122A1">
        <w:t>mber</w:t>
      </w:r>
      <w:r w:rsidR="00F122A1" w:rsidRPr="00C34C12">
        <w:t xml:space="preserve"> </w:t>
      </w:r>
      <w:r w:rsidRPr="00C34C12">
        <w:t xml:space="preserve">2019 </w:t>
      </w:r>
      <w:r w:rsidR="002670AF">
        <w:t xml:space="preserve">through March 2020 </w:t>
      </w:r>
      <w:r w:rsidRPr="00C34C12">
        <w:t xml:space="preserve">and contains </w:t>
      </w:r>
      <w:r w:rsidR="00FF41F1">
        <w:t>nine</w:t>
      </w:r>
      <w:r w:rsidRPr="00C34C12">
        <w:t xml:space="preserve"> additional chapters as follows:</w:t>
      </w:r>
    </w:p>
    <w:p w14:paraId="14104AC7" w14:textId="0AEA4CBE" w:rsidR="00BF2F0B" w:rsidRPr="00C34C12" w:rsidRDefault="00BF2F0B" w:rsidP="00B33B75">
      <w:pPr>
        <w:pStyle w:val="bullets"/>
        <w:numPr>
          <w:ilvl w:val="0"/>
          <w:numId w:val="69"/>
        </w:numPr>
        <w:tabs>
          <w:tab w:val="clear" w:pos="727"/>
        </w:tabs>
        <w:ind w:left="864" w:hanging="288"/>
      </w:pPr>
      <w:hyperlink w:anchor="_Chapter_2:_Overview" w:history="1">
        <w:r w:rsidRPr="00792316">
          <w:rPr>
            <w:rStyle w:val="Hyperlink"/>
          </w:rPr>
          <w:t>Chapter 2</w:t>
        </w:r>
      </w:hyperlink>
      <w:r w:rsidRPr="00C34C12">
        <w:t xml:space="preserve"> presents an overview of processes involved in the CAA for Science, including descriptions of item development, test administration, and psychometric analyses.</w:t>
      </w:r>
    </w:p>
    <w:p w14:paraId="50116106" w14:textId="519E51C9" w:rsidR="00BF2F0B" w:rsidRPr="00C34C12" w:rsidRDefault="00BF2F0B" w:rsidP="00B33B75">
      <w:pPr>
        <w:pStyle w:val="bullets"/>
        <w:numPr>
          <w:ilvl w:val="0"/>
          <w:numId w:val="69"/>
        </w:numPr>
        <w:tabs>
          <w:tab w:val="clear" w:pos="727"/>
        </w:tabs>
        <w:ind w:left="864" w:hanging="288"/>
      </w:pPr>
      <w:hyperlink w:anchor="_Embedded_PT_and_1" w:history="1">
        <w:r w:rsidRPr="00792316">
          <w:rPr>
            <w:rStyle w:val="Hyperlink"/>
          </w:rPr>
          <w:t>Chapter 3</w:t>
        </w:r>
      </w:hyperlink>
      <w:r w:rsidRPr="00C34C12">
        <w:t xml:space="preserve"> discusses the detailed procedures of embedded PT development for the CAA for Science.</w:t>
      </w:r>
    </w:p>
    <w:p w14:paraId="45C40DE1" w14:textId="32E6D216" w:rsidR="00BF2F0B" w:rsidRPr="00C34C12" w:rsidRDefault="00BF2F0B" w:rsidP="00B33B75">
      <w:pPr>
        <w:pStyle w:val="bullets"/>
        <w:numPr>
          <w:ilvl w:val="0"/>
          <w:numId w:val="69"/>
        </w:numPr>
        <w:tabs>
          <w:tab w:val="clear" w:pos="727"/>
        </w:tabs>
        <w:ind w:left="864" w:hanging="288"/>
      </w:pPr>
      <w:hyperlink w:anchor="_Test_Assembly_1" w:history="1">
        <w:r w:rsidRPr="00792316">
          <w:rPr>
            <w:rStyle w:val="Hyperlink"/>
          </w:rPr>
          <w:t>Chapter 4</w:t>
        </w:r>
      </w:hyperlink>
      <w:r w:rsidRPr="00C34C12">
        <w:t xml:space="preserve"> describes the process of test assembly for the CAA for Science.</w:t>
      </w:r>
    </w:p>
    <w:p w14:paraId="0D553D65" w14:textId="0664E593" w:rsidR="00BF2F0B" w:rsidRPr="00C34C12" w:rsidRDefault="00BF2F0B" w:rsidP="00B33B75">
      <w:pPr>
        <w:pStyle w:val="bullets"/>
        <w:numPr>
          <w:ilvl w:val="0"/>
          <w:numId w:val="69"/>
        </w:numPr>
        <w:tabs>
          <w:tab w:val="clear" w:pos="727"/>
        </w:tabs>
        <w:ind w:left="864" w:hanging="288"/>
      </w:pPr>
      <w:hyperlink w:anchor="_Test_Administration" w:history="1">
        <w:r w:rsidRPr="00792316">
          <w:rPr>
            <w:rStyle w:val="Hyperlink"/>
          </w:rPr>
          <w:t>Chapter 5</w:t>
        </w:r>
      </w:hyperlink>
      <w:r w:rsidRPr="00C34C12">
        <w:t xml:space="preserve"> describes the details of administering the embedded PTs for the CAA for Science, as well as the procedures followed by ETS to ensure test security.</w:t>
      </w:r>
    </w:p>
    <w:p w14:paraId="1A20F834" w14:textId="708243F7" w:rsidR="00BF2F0B" w:rsidRPr="00C34C12" w:rsidRDefault="00BF2F0B" w:rsidP="00B33B75">
      <w:pPr>
        <w:pStyle w:val="bullets"/>
        <w:numPr>
          <w:ilvl w:val="0"/>
          <w:numId w:val="69"/>
        </w:numPr>
        <w:tabs>
          <w:tab w:val="clear" w:pos="727"/>
        </w:tabs>
        <w:ind w:left="864" w:hanging="288"/>
      </w:pPr>
      <w:hyperlink w:anchor="_Scoring_and_Reporting" w:history="1">
        <w:r w:rsidRPr="00792316">
          <w:rPr>
            <w:rStyle w:val="Hyperlink"/>
          </w:rPr>
          <w:t>Chapter 6</w:t>
        </w:r>
      </w:hyperlink>
      <w:r w:rsidRPr="00C34C12">
        <w:t xml:space="preserve"> summarizes the scoring approaches and type of scores that are reported for the CAA for Science.</w:t>
      </w:r>
    </w:p>
    <w:p w14:paraId="7DDE9251" w14:textId="21DFCDE8" w:rsidR="00BF2F0B" w:rsidRPr="00C34C12" w:rsidRDefault="00BF2F0B" w:rsidP="00B33B75">
      <w:pPr>
        <w:pStyle w:val="bullets"/>
        <w:numPr>
          <w:ilvl w:val="0"/>
          <w:numId w:val="69"/>
        </w:numPr>
        <w:tabs>
          <w:tab w:val="clear" w:pos="727"/>
        </w:tabs>
        <w:ind w:left="864" w:hanging="288"/>
      </w:pPr>
      <w:hyperlink w:anchor="_Chapter_7:_Psychometric" w:history="1">
        <w:r w:rsidRPr="00792316">
          <w:rPr>
            <w:rStyle w:val="Hyperlink"/>
          </w:rPr>
          <w:t>Chapter 7</w:t>
        </w:r>
      </w:hyperlink>
      <w:r w:rsidRPr="00C34C12">
        <w:t xml:space="preserve"> summarizes the statistical procedures and results for 2018–2019, including classical item analyses, test completion rates and analyses, and differential item functioning analyses.</w:t>
      </w:r>
    </w:p>
    <w:p w14:paraId="5EA02CCD" w14:textId="50331EEA" w:rsidR="00BF2F0B" w:rsidRPr="00C34C12" w:rsidRDefault="00BF2F0B" w:rsidP="00B33B75">
      <w:pPr>
        <w:pStyle w:val="bullets"/>
        <w:numPr>
          <w:ilvl w:val="0"/>
          <w:numId w:val="69"/>
        </w:numPr>
        <w:tabs>
          <w:tab w:val="clear" w:pos="727"/>
        </w:tabs>
        <w:ind w:left="864" w:hanging="288"/>
      </w:pPr>
      <w:hyperlink w:anchor="_Surveys" w:history="1">
        <w:r w:rsidRPr="00792316">
          <w:rPr>
            <w:rStyle w:val="Hyperlink"/>
          </w:rPr>
          <w:t>Chapter 8</w:t>
        </w:r>
      </w:hyperlink>
      <w:r w:rsidRPr="00C34C12">
        <w:t xml:space="preserve"> </w:t>
      </w:r>
      <w:r w:rsidRPr="00C34C12">
        <w:rPr>
          <w:lang w:bidi="en-US"/>
        </w:rPr>
        <w:t xml:space="preserve">describes the development and administration of the survey questionnaires for test examiners and the results of analyses </w:t>
      </w:r>
      <w:r w:rsidR="00B45243">
        <w:rPr>
          <w:lang w:bidi="en-US"/>
        </w:rPr>
        <w:t xml:space="preserve">conducted </w:t>
      </w:r>
      <w:r w:rsidRPr="00C34C12">
        <w:rPr>
          <w:lang w:bidi="en-US"/>
        </w:rPr>
        <w:t>on their responses.</w:t>
      </w:r>
    </w:p>
    <w:p w14:paraId="41E3AC95" w14:textId="50275A6A" w:rsidR="00BF2F0B" w:rsidRPr="00C34C12" w:rsidRDefault="00BF2F0B" w:rsidP="00287179">
      <w:pPr>
        <w:pStyle w:val="bullets"/>
        <w:keepNext/>
        <w:numPr>
          <w:ilvl w:val="0"/>
          <w:numId w:val="69"/>
        </w:numPr>
        <w:tabs>
          <w:tab w:val="clear" w:pos="727"/>
        </w:tabs>
        <w:ind w:left="864" w:hanging="288"/>
      </w:pPr>
      <w:hyperlink w:anchor="_Quality_Control_Procedures" w:history="1">
        <w:r w:rsidRPr="00792316">
          <w:rPr>
            <w:rStyle w:val="Hyperlink"/>
          </w:rPr>
          <w:t>Chapter 9</w:t>
        </w:r>
      </w:hyperlink>
      <w:r w:rsidRPr="00C34C12">
        <w:t xml:space="preserve"> </w:t>
      </w:r>
      <w:r w:rsidR="005355A2" w:rsidRPr="005355A2">
        <w:t>discusses the various procedures used to ensure the quality of the CAA for Science.</w:t>
      </w:r>
    </w:p>
    <w:p w14:paraId="5660B07C" w14:textId="10C486ED" w:rsidR="00BF2F0B" w:rsidRPr="00C34C12" w:rsidRDefault="00BF2F0B" w:rsidP="00B33B75">
      <w:pPr>
        <w:pStyle w:val="bullets"/>
        <w:numPr>
          <w:ilvl w:val="0"/>
          <w:numId w:val="69"/>
        </w:numPr>
        <w:tabs>
          <w:tab w:val="clear" w:pos="727"/>
        </w:tabs>
        <w:ind w:left="864" w:hanging="288"/>
      </w:pPr>
      <w:hyperlink w:anchor="_Continuous_and_Systematic" w:history="1">
        <w:r w:rsidRPr="00792316">
          <w:rPr>
            <w:rStyle w:val="Hyperlink"/>
          </w:rPr>
          <w:t>Chapter 10</w:t>
        </w:r>
      </w:hyperlink>
      <w:r w:rsidRPr="00C34C12">
        <w:t xml:space="preserve"> </w:t>
      </w:r>
      <w:r w:rsidR="005355A2" w:rsidRPr="00BF2F0B">
        <w:t>discusses the various procedures used to gather information to improve the CAA for Science</w:t>
      </w:r>
      <w:r w:rsidR="009408F0">
        <w:t>,</w:t>
      </w:r>
      <w:r w:rsidR="005355A2" w:rsidRPr="00BF2F0B">
        <w:t xml:space="preserve"> as well as strategies to implement possible improvements.</w:t>
      </w:r>
    </w:p>
    <w:p w14:paraId="69A32F42" w14:textId="4DA4D016" w:rsidR="007251E1" w:rsidRDefault="007251E1" w:rsidP="00670FD2">
      <w:pPr>
        <w:pStyle w:val="Heading3"/>
        <w:pageBreakBefore/>
        <w:numPr>
          <w:ilvl w:val="0"/>
          <w:numId w:val="0"/>
        </w:numPr>
      </w:pPr>
      <w:bookmarkStart w:id="116" w:name="_Toc182555105"/>
      <w:r w:rsidRPr="004B2D24">
        <w:lastRenderedPageBreak/>
        <w:t>Refer</w:t>
      </w:r>
      <w:r w:rsidR="00B71112" w:rsidRPr="004B2D24">
        <w:t>e</w:t>
      </w:r>
      <w:r w:rsidRPr="004B2D24">
        <w:t>nces</w:t>
      </w:r>
      <w:bookmarkEnd w:id="116"/>
    </w:p>
    <w:p w14:paraId="1AF8A15E" w14:textId="272FCCC0" w:rsidR="00BF2F0B" w:rsidRPr="009677F8" w:rsidRDefault="00BF2F0B" w:rsidP="00BF2F0B">
      <w:pPr>
        <w:pStyle w:val="References"/>
        <w:rPr>
          <w:u w:val="single"/>
        </w:rPr>
      </w:pPr>
      <w:bookmarkStart w:id="117" w:name="_Hlk34832060"/>
      <w:r w:rsidRPr="009677F8">
        <w:rPr>
          <w:i/>
        </w:rPr>
        <w:t>California</w:t>
      </w:r>
      <w:r w:rsidRPr="009677F8">
        <w:t xml:space="preserve"> </w:t>
      </w:r>
      <w:r w:rsidRPr="009677F8">
        <w:rPr>
          <w:i/>
        </w:rPr>
        <w:t xml:space="preserve">Code of Regulations, </w:t>
      </w:r>
      <w:r w:rsidRPr="009677F8">
        <w:t>Title 5, Education, Division 1, Chapter 2, Subchapter 3.75, Article 2.</w:t>
      </w:r>
      <w:r w:rsidR="007A6728" w:rsidRPr="009677F8" w:rsidDel="007A6728">
        <w:t xml:space="preserve"> </w:t>
      </w:r>
    </w:p>
    <w:p w14:paraId="4F534F17" w14:textId="6DE41B88" w:rsidR="00BF2F0B" w:rsidRPr="009677F8" w:rsidRDefault="00BF2F0B" w:rsidP="00BF2F0B">
      <w:pPr>
        <w:pStyle w:val="References"/>
      </w:pPr>
      <w:bookmarkStart w:id="118" w:name="_Hlk34889414"/>
      <w:bookmarkStart w:id="119" w:name="_Hlk7530295"/>
      <w:r w:rsidRPr="0080758D">
        <w:t>California Departm</w:t>
      </w:r>
      <w:r w:rsidRPr="007E34AA">
        <w:t>ent of Edu</w:t>
      </w:r>
      <w:r w:rsidRPr="00B97936">
        <w:t xml:space="preserve">cation. (2018). </w:t>
      </w:r>
      <w:r w:rsidRPr="00C60F15">
        <w:rPr>
          <w:i/>
        </w:rPr>
        <w:t>California Alternate Assessment for Science blueprint</w:t>
      </w:r>
      <w:r w:rsidRPr="00FC2486">
        <w:t>. Sacrament</w:t>
      </w:r>
      <w:r w:rsidR="00035C6C">
        <w:t>o</w:t>
      </w:r>
      <w:r w:rsidRPr="00FC2486">
        <w:t xml:space="preserve">, CA: California Department of Education. </w:t>
      </w:r>
    </w:p>
    <w:bookmarkEnd w:id="118"/>
    <w:p w14:paraId="4A0E0B2F" w14:textId="6E95A6FE" w:rsidR="00BF2F0B" w:rsidRPr="009677F8" w:rsidRDefault="00BF2F0B" w:rsidP="00BF2F0B">
      <w:pPr>
        <w:pStyle w:val="References"/>
      </w:pPr>
      <w:r w:rsidRPr="009677F8">
        <w:t>California Department of Education. (20</w:t>
      </w:r>
      <w:r w:rsidR="005E1E52" w:rsidRPr="009677F8">
        <w:t>20</w:t>
      </w:r>
      <w:r w:rsidR="00BD1552" w:rsidRPr="009677F8">
        <w:t>a</w:t>
      </w:r>
      <w:r w:rsidRPr="009677F8">
        <w:t xml:space="preserve">). </w:t>
      </w:r>
      <w:r w:rsidRPr="009677F8">
        <w:rPr>
          <w:i/>
        </w:rPr>
        <w:t>CAASPP online test administration manual, 20</w:t>
      </w:r>
      <w:r w:rsidR="00812023" w:rsidRPr="009677F8">
        <w:rPr>
          <w:i/>
        </w:rPr>
        <w:t>19</w:t>
      </w:r>
      <w:r w:rsidRPr="009677F8">
        <w:rPr>
          <w:i/>
        </w:rPr>
        <w:t>–</w:t>
      </w:r>
      <w:r w:rsidR="00812023" w:rsidRPr="009677F8">
        <w:rPr>
          <w:i/>
        </w:rPr>
        <w:t>2020 test</w:t>
      </w:r>
      <w:r w:rsidRPr="009677F8">
        <w:rPr>
          <w:i/>
        </w:rPr>
        <w:t xml:space="preserve"> administration.</w:t>
      </w:r>
      <w:r w:rsidRPr="009677F8">
        <w:t xml:space="preserve"> Sacramento, CA: California Department of Education. </w:t>
      </w:r>
    </w:p>
    <w:p w14:paraId="17CFDE26" w14:textId="327057B6" w:rsidR="00BF2F0B" w:rsidRPr="009677F8" w:rsidRDefault="00BF2F0B" w:rsidP="00BF2F0B">
      <w:pPr>
        <w:pStyle w:val="References"/>
      </w:pPr>
      <w:r w:rsidRPr="009677F8">
        <w:t>California Department of Education. (2020</w:t>
      </w:r>
      <w:r w:rsidR="00BD1552" w:rsidRPr="009677F8">
        <w:t>b</w:t>
      </w:r>
      <w:r w:rsidRPr="009677F8">
        <w:t xml:space="preserve">). </w:t>
      </w:r>
      <w:r w:rsidRPr="009677F8">
        <w:rPr>
          <w:i/>
        </w:rPr>
        <w:t>California Alternate Assessment for Science</w:t>
      </w:r>
      <w:r w:rsidRPr="009677F8">
        <w:t xml:space="preserve">. Sacramento, CA: California Department of Education. </w:t>
      </w:r>
    </w:p>
    <w:p w14:paraId="75BA6804" w14:textId="45C81E59" w:rsidR="00BF2F0B" w:rsidRPr="009677F8" w:rsidRDefault="00BF2F0B" w:rsidP="00BF2F0B">
      <w:pPr>
        <w:pStyle w:val="References"/>
      </w:pPr>
      <w:r w:rsidRPr="009677F8">
        <w:t>California Department of Education. (2020</w:t>
      </w:r>
      <w:r w:rsidR="00BD1552" w:rsidRPr="009677F8">
        <w:t>c</w:t>
      </w:r>
      <w:r w:rsidRPr="009677F8">
        <w:t xml:space="preserve">). </w:t>
      </w:r>
      <w:r w:rsidRPr="009677F8">
        <w:rPr>
          <w:i/>
        </w:rPr>
        <w:t xml:space="preserve">SBE responsibilities. </w:t>
      </w:r>
    </w:p>
    <w:bookmarkEnd w:id="119"/>
    <w:p w14:paraId="52BC54F2" w14:textId="10E95A4C" w:rsidR="00BD1552" w:rsidRPr="009677F8" w:rsidRDefault="00BD1552" w:rsidP="002C2E93">
      <w:pPr>
        <w:pStyle w:val="References"/>
      </w:pPr>
      <w:r w:rsidRPr="009677F8">
        <w:t xml:space="preserve">California Department of Education. (2021). </w:t>
      </w:r>
      <w:r w:rsidRPr="009677F8">
        <w:rPr>
          <w:i/>
        </w:rPr>
        <w:t>Organization.</w:t>
      </w:r>
      <w:r w:rsidR="007A6728" w:rsidRPr="009677F8" w:rsidDel="007A6728">
        <w:rPr>
          <w:i/>
        </w:rPr>
        <w:t xml:space="preserve"> </w:t>
      </w:r>
    </w:p>
    <w:p w14:paraId="0B355F90" w14:textId="34B04EAE" w:rsidR="002C2E93" w:rsidRPr="009677F8" w:rsidRDefault="002C2E93" w:rsidP="002C2E93">
      <w:pPr>
        <w:pStyle w:val="References"/>
      </w:pPr>
      <w:r w:rsidRPr="009677F8">
        <w:t xml:space="preserve">Gong, B., &amp; Marion, S. (2006). Dealing with flexibility in assessments for students with significant cognitive disabilities. </w:t>
      </w:r>
      <w:r w:rsidRPr="009677F8">
        <w:rPr>
          <w:i/>
        </w:rPr>
        <w:t>Synthesis Report, 60</w:t>
      </w:r>
      <w:r w:rsidRPr="009677F8">
        <w:t xml:space="preserve">. </w:t>
      </w:r>
    </w:p>
    <w:p w14:paraId="77E1A651" w14:textId="4D4B8F91" w:rsidR="002C2E93" w:rsidRDefault="002C2E93" w:rsidP="00BF2F0B">
      <w:pPr>
        <w:pStyle w:val="References"/>
      </w:pPr>
      <w:r w:rsidRPr="009677F8">
        <w:rPr>
          <w:rFonts w:eastAsia="Arial"/>
          <w:color w:val="000000" w:themeColor="text1"/>
        </w:rPr>
        <w:t xml:space="preserve">Office of Governor Gavin Newsom. (2020). </w:t>
      </w:r>
      <w:r w:rsidRPr="009677F8">
        <w:rPr>
          <w:rFonts w:eastAsia="Arial"/>
          <w:i/>
          <w:iCs/>
          <w:color w:val="000000" w:themeColor="text1"/>
        </w:rPr>
        <w:t>Governor Newsom issues executive order to suspend standardized testing for students in response to COVID-19 outbreak</w:t>
      </w:r>
      <w:r w:rsidRPr="009677F8">
        <w:rPr>
          <w:rFonts w:eastAsia="Arial"/>
          <w:color w:val="000000" w:themeColor="text1"/>
        </w:rPr>
        <w:t xml:space="preserve"> </w:t>
      </w:r>
      <w:r w:rsidR="00A479C8">
        <w:rPr>
          <w:rFonts w:eastAsia="Arial"/>
          <w:color w:val="000000" w:themeColor="text1"/>
        </w:rPr>
        <w:t>[</w:t>
      </w:r>
      <w:r w:rsidRPr="009677F8">
        <w:rPr>
          <w:rFonts w:eastAsia="Arial"/>
          <w:color w:val="000000" w:themeColor="text1"/>
        </w:rPr>
        <w:t>Press release</w:t>
      </w:r>
      <w:r w:rsidR="00A479C8">
        <w:rPr>
          <w:rFonts w:eastAsia="Arial"/>
          <w:color w:val="000000" w:themeColor="text1"/>
        </w:rPr>
        <w:t>]</w:t>
      </w:r>
      <w:r w:rsidRPr="009677F8">
        <w:rPr>
          <w:rFonts w:eastAsia="Arial"/>
          <w:color w:val="000000" w:themeColor="text1"/>
        </w:rPr>
        <w:t>.</w:t>
      </w:r>
      <w:r w:rsidR="007A6728" w:rsidRPr="009677F8" w:rsidDel="007A6728">
        <w:rPr>
          <w:rFonts w:eastAsia="Arial"/>
          <w:color w:val="000000" w:themeColor="text1"/>
        </w:rPr>
        <w:t xml:space="preserve"> </w:t>
      </w:r>
    </w:p>
    <w:p w14:paraId="3458D89C" w14:textId="7FDA1A4C" w:rsidR="00B2366C" w:rsidRPr="004B2D24" w:rsidRDefault="009D5D9F" w:rsidP="00670FD2">
      <w:pPr>
        <w:pStyle w:val="Heading2"/>
      </w:pPr>
      <w:bookmarkStart w:id="120" w:name="_Chapter_2:_Overview"/>
      <w:bookmarkStart w:id="121" w:name="_An_Overview_of"/>
      <w:bookmarkStart w:id="122" w:name="_Toc182555106"/>
      <w:bookmarkEnd w:id="117"/>
      <w:bookmarkEnd w:id="120"/>
      <w:bookmarkEnd w:id="121"/>
      <w:r w:rsidRPr="004B2D24">
        <w:lastRenderedPageBreak/>
        <w:t xml:space="preserve">An </w:t>
      </w:r>
      <w:r w:rsidR="00B2366C" w:rsidRPr="004B2D24">
        <w:t xml:space="preserve">Overview of the </w:t>
      </w:r>
      <w:r w:rsidR="007251E1" w:rsidRPr="004B2D24">
        <w:t xml:space="preserve">CAA </w:t>
      </w:r>
      <w:r w:rsidR="009F6DB4" w:rsidRPr="004B2D24">
        <w:t xml:space="preserve">for Science </w:t>
      </w:r>
      <w:r w:rsidR="00CD3664" w:rsidRPr="004B2D24">
        <w:t>Process</w:t>
      </w:r>
      <w:r w:rsidR="00EE6928" w:rsidRPr="004B2D24">
        <w:t>es</w:t>
      </w:r>
      <w:bookmarkEnd w:id="122"/>
    </w:p>
    <w:p w14:paraId="4F7AA626" w14:textId="0BCAB3DD" w:rsidR="003D7025" w:rsidRDefault="003D7025" w:rsidP="003D7025">
      <w:r w:rsidRPr="004B2D24">
        <w:t xml:space="preserve">This chapter </w:t>
      </w:r>
      <w:r w:rsidR="00902343">
        <w:t>provides</w:t>
      </w:r>
      <w:r w:rsidR="00902343" w:rsidRPr="004B2D24">
        <w:t xml:space="preserve"> </w:t>
      </w:r>
      <w:r w:rsidR="007251E1" w:rsidRPr="004B2D24">
        <w:t xml:space="preserve">an overview of processes </w:t>
      </w:r>
      <w:r w:rsidR="00712CC1" w:rsidRPr="00C34C12">
        <w:t>implemented by ETS during the full testing cycle for the</w:t>
      </w:r>
      <w:r w:rsidR="007251E1" w:rsidRPr="004B2D24">
        <w:t xml:space="preserve"> </w:t>
      </w:r>
      <w:r w:rsidR="00030039" w:rsidRPr="004B2D24">
        <w:t>2019</w:t>
      </w:r>
      <w:r w:rsidR="00235738" w:rsidRPr="004B2D24">
        <w:t>–‍</w:t>
      </w:r>
      <w:r w:rsidR="00030039" w:rsidRPr="004B2D24">
        <w:t xml:space="preserve">2020 </w:t>
      </w:r>
      <w:r w:rsidR="00D81A46" w:rsidRPr="00C34C12">
        <w:t>California Alternate Assessment (CAA) for Science</w:t>
      </w:r>
      <w:r w:rsidR="00D81A46" w:rsidRPr="004B2D24">
        <w:t xml:space="preserve"> </w:t>
      </w:r>
      <w:r w:rsidR="00030039" w:rsidRPr="004B2D24">
        <w:t>administration</w:t>
      </w:r>
      <w:r w:rsidR="007251E1" w:rsidRPr="004B2D24">
        <w:t>, including descriptions of item development, test administration</w:t>
      </w:r>
      <w:r w:rsidR="006F0B0E" w:rsidRPr="004B2D24">
        <w:t>,</w:t>
      </w:r>
      <w:r w:rsidR="00BE67AD">
        <w:t xml:space="preserve"> and</w:t>
      </w:r>
      <w:r w:rsidR="00341ECC" w:rsidRPr="004B2D24">
        <w:t xml:space="preserve"> </w:t>
      </w:r>
      <w:r w:rsidR="00E507A4" w:rsidRPr="00C34C12">
        <w:t>accessibility resources.</w:t>
      </w:r>
    </w:p>
    <w:p w14:paraId="2F44D29A" w14:textId="0FF836A5" w:rsidR="000974FB" w:rsidRDefault="006F0B0E" w:rsidP="00AA4AA9">
      <w:pPr>
        <w:pStyle w:val="Heading3"/>
        <w:ind w:left="630" w:hanging="630"/>
      </w:pPr>
      <w:bookmarkStart w:id="123" w:name="_Toc66787337"/>
      <w:bookmarkStart w:id="124" w:name="_Toc66787796"/>
      <w:bookmarkStart w:id="125" w:name="_Toc182555107"/>
      <w:bookmarkEnd w:id="123"/>
      <w:bookmarkEnd w:id="124"/>
      <w:r w:rsidRPr="004B2D24">
        <w:t>Embedded P</w:t>
      </w:r>
      <w:r w:rsidR="00EF69B0">
        <w:t xml:space="preserve">erformance </w:t>
      </w:r>
      <w:r w:rsidRPr="004B2D24">
        <w:t>T</w:t>
      </w:r>
      <w:r w:rsidR="00EF69B0">
        <w:t>ask</w:t>
      </w:r>
      <w:r w:rsidRPr="004B2D24">
        <w:t xml:space="preserve"> </w:t>
      </w:r>
      <w:r w:rsidR="00911A83" w:rsidRPr="004B2D24">
        <w:t xml:space="preserve">and Item </w:t>
      </w:r>
      <w:r w:rsidR="007251E1" w:rsidRPr="004B2D24">
        <w:t>Development and Review</w:t>
      </w:r>
      <w:bookmarkEnd w:id="125"/>
    </w:p>
    <w:p w14:paraId="43823547" w14:textId="554E1167" w:rsidR="00E507A4" w:rsidRPr="00C34C12" w:rsidRDefault="00E507A4" w:rsidP="00E507A4">
      <w:r w:rsidRPr="00C34C12">
        <w:t xml:space="preserve">As part of the adaptation and alignment process, ETS developed all embedded </w:t>
      </w:r>
      <w:r w:rsidR="003019E1">
        <w:t>performance tasks (</w:t>
      </w:r>
      <w:r w:rsidRPr="00C34C12">
        <w:t>PTs</w:t>
      </w:r>
      <w:r w:rsidR="003019E1">
        <w:t>)</w:t>
      </w:r>
      <w:r w:rsidRPr="00C34C12">
        <w:t xml:space="preserve"> for the CAA for Science in accordance with the </w:t>
      </w:r>
      <w:r w:rsidRPr="00C34C12">
        <w:rPr>
          <w:i/>
        </w:rPr>
        <w:t>ETS</w:t>
      </w:r>
      <w:r w:rsidRPr="00C34C12">
        <w:t xml:space="preserve"> </w:t>
      </w:r>
      <w:r w:rsidRPr="00C34C12">
        <w:rPr>
          <w:i/>
        </w:rPr>
        <w:t xml:space="preserve">Standards for Quality and Fairness </w:t>
      </w:r>
      <w:r w:rsidRPr="00C34C12">
        <w:t>(2014).</w:t>
      </w:r>
    </w:p>
    <w:p w14:paraId="2D00CECF" w14:textId="09F29A69" w:rsidR="00967B18" w:rsidRDefault="00967B18" w:rsidP="004F2F2C">
      <w:pPr>
        <w:pStyle w:val="Heading4"/>
      </w:pPr>
      <w:bookmarkStart w:id="126" w:name="_Toc182555108"/>
      <w:r w:rsidRPr="004B2D24">
        <w:t xml:space="preserve">Selection of </w:t>
      </w:r>
      <w:r w:rsidR="00541864" w:rsidRPr="004B2D24">
        <w:t>Science</w:t>
      </w:r>
      <w:r w:rsidRPr="004B2D24">
        <w:t xml:space="preserve"> Connectors for Embedded P</w:t>
      </w:r>
      <w:r w:rsidR="00EF69B0">
        <w:t xml:space="preserve">erformance </w:t>
      </w:r>
      <w:r w:rsidRPr="004B2D24">
        <w:t>T</w:t>
      </w:r>
      <w:r w:rsidR="00EF69B0">
        <w:t>ask</w:t>
      </w:r>
      <w:r w:rsidRPr="004B2D24">
        <w:t xml:space="preserve"> Development</w:t>
      </w:r>
      <w:bookmarkEnd w:id="126"/>
    </w:p>
    <w:p w14:paraId="4949CAB5" w14:textId="4C69ADFF" w:rsidR="00E507A4" w:rsidRPr="00C34C12" w:rsidRDefault="00E507A4" w:rsidP="00E507A4">
      <w:r>
        <w:t xml:space="preserve">ETS developed </w:t>
      </w:r>
      <w:r w:rsidR="003019E1">
        <w:t xml:space="preserve">four </w:t>
      </w:r>
      <w:r>
        <w:t>embedded PTs for each grade</w:t>
      </w:r>
      <w:r w:rsidR="00EF69B0">
        <w:t xml:space="preserve"> level</w:t>
      </w:r>
      <w:r>
        <w:t xml:space="preserve"> or grade band according to the blueprint (California Department of Education [CDE], 2018)</w:t>
      </w:r>
      <w:r w:rsidR="00CF39EA">
        <w:t>:</w:t>
      </w:r>
      <w:r w:rsidR="003019E1">
        <w:t xml:space="preserve"> three operational embedded PTs and one field test</w:t>
      </w:r>
      <w:r w:rsidR="00C1041D">
        <w:t xml:space="preserve"> embedded</w:t>
      </w:r>
      <w:r w:rsidR="003019E1">
        <w:t xml:space="preserve"> PT</w:t>
      </w:r>
      <w:r>
        <w:t>. The State Board of Education (SBE)–approved blueprint document identifies the California Next Generation Science Standards (CA NGSS) Core Content Connectors (Science Connectors) eligible to be assessed through embedded PTs. The blueprint was developed in consultation with the CDE. It consists of a Science Connector prioritization plan based on input from California educators</w:t>
      </w:r>
      <w:r w:rsidR="36E40A5E">
        <w:t xml:space="preserve"> and</w:t>
      </w:r>
      <w:r>
        <w:t xml:space="preserve"> other internal and external experts on both the CA NGSS and alternate assessments. Each of the embedded PTs assesses two of these Science Connectors.</w:t>
      </w:r>
    </w:p>
    <w:p w14:paraId="7B117E7B" w14:textId="0ADBF150" w:rsidR="00DE59AB" w:rsidRDefault="00DE59AB" w:rsidP="004F2F2C">
      <w:pPr>
        <w:pStyle w:val="Heading4"/>
      </w:pPr>
      <w:bookmarkStart w:id="127" w:name="_Toc182555109"/>
      <w:r w:rsidRPr="004B2D24">
        <w:t>Embedded P</w:t>
      </w:r>
      <w:r w:rsidR="00EF69B0" w:rsidRPr="00EF69B0">
        <w:t xml:space="preserve">erformance </w:t>
      </w:r>
      <w:r w:rsidRPr="004B2D24">
        <w:t>T</w:t>
      </w:r>
      <w:r w:rsidR="00EF69B0" w:rsidRPr="00EF69B0">
        <w:t>ask</w:t>
      </w:r>
      <w:r w:rsidRPr="004B2D24">
        <w:t xml:space="preserve"> Develop</w:t>
      </w:r>
      <w:r w:rsidR="00967B18" w:rsidRPr="004B2D24">
        <w:t>ment</w:t>
      </w:r>
      <w:r w:rsidRPr="004B2D24">
        <w:t xml:space="preserve"> for Grade</w:t>
      </w:r>
      <w:r w:rsidR="00541864" w:rsidRPr="004B2D24">
        <w:t>s</w:t>
      </w:r>
      <w:r w:rsidRPr="004B2D24">
        <w:t xml:space="preserve"> Five</w:t>
      </w:r>
      <w:r w:rsidR="00541864" w:rsidRPr="004B2D24">
        <w:t xml:space="preserve"> and</w:t>
      </w:r>
      <w:r w:rsidRPr="004B2D24">
        <w:t xml:space="preserve"> Eight and High School</w:t>
      </w:r>
      <w:bookmarkEnd w:id="127"/>
    </w:p>
    <w:p w14:paraId="0BC46885" w14:textId="56753192" w:rsidR="00E507A4" w:rsidRPr="00C34C12" w:rsidRDefault="00E507A4" w:rsidP="00E507A4">
      <w:r>
        <w:t xml:space="preserve">ETS developed each embedded PT </w:t>
      </w:r>
      <w:r w:rsidR="006E5152">
        <w:t>with two</w:t>
      </w:r>
      <w:r>
        <w:t xml:space="preserve"> set</w:t>
      </w:r>
      <w:r w:rsidR="006E5152">
        <w:t>s</w:t>
      </w:r>
      <w:r>
        <w:t xml:space="preserve"> of items</w:t>
      </w:r>
      <w:r w:rsidR="004E1654">
        <w:t xml:space="preserve">, </w:t>
      </w:r>
      <w:r w:rsidR="006E5152">
        <w:t>each set</w:t>
      </w:r>
      <w:r>
        <w:t xml:space="preserve"> assessing a particular Science Connector</w:t>
      </w:r>
      <w:r w:rsidRPr="6F4241DE">
        <w:rPr>
          <w:rFonts w:eastAsia="Times New Roman"/>
        </w:rPr>
        <w:t>. The concept</w:t>
      </w:r>
      <w:r w:rsidR="20825CF2" w:rsidRPr="6F4241DE">
        <w:rPr>
          <w:rFonts w:eastAsia="Times New Roman"/>
        </w:rPr>
        <w:t>s</w:t>
      </w:r>
      <w:r w:rsidRPr="6F4241DE">
        <w:rPr>
          <w:rFonts w:eastAsia="Times New Roman"/>
        </w:rPr>
        <w:t xml:space="preserve"> or topic</w:t>
      </w:r>
      <w:r w:rsidR="3C94766F" w:rsidRPr="6F4241DE">
        <w:rPr>
          <w:rFonts w:eastAsia="Times New Roman"/>
        </w:rPr>
        <w:t xml:space="preserve">s that serve as the context for each item </w:t>
      </w:r>
      <w:r w:rsidR="323D8DAC" w:rsidRPr="6F4241DE">
        <w:rPr>
          <w:rFonts w:eastAsia="Times New Roman"/>
        </w:rPr>
        <w:t>we</w:t>
      </w:r>
      <w:r w:rsidR="3C94766F" w:rsidRPr="6F4241DE">
        <w:rPr>
          <w:rFonts w:eastAsia="Times New Roman"/>
        </w:rPr>
        <w:t>re</w:t>
      </w:r>
      <w:r w:rsidRPr="6F4241DE">
        <w:rPr>
          <w:rFonts w:eastAsia="Times New Roman"/>
        </w:rPr>
        <w:t xml:space="preserve"> reviewed </w:t>
      </w:r>
      <w:r>
        <w:t>to ensure that the content and presentation were accessible to, and developmentally appropriate for, students with the most significant cognitive disabilities.</w:t>
      </w:r>
    </w:p>
    <w:p w14:paraId="08EA659A" w14:textId="1960A6D6" w:rsidR="00E507A4" w:rsidRPr="00C34C12" w:rsidRDefault="00E507A4" w:rsidP="00E507A4">
      <w:r w:rsidRPr="00C34C12">
        <w:t xml:space="preserve">A full review of the process to develop embedded PTs, including the number of items and the type of items, can be found in </w:t>
      </w:r>
      <w:hyperlink w:anchor="_Embedded_PT_and_1" w:history="1">
        <w:r w:rsidRPr="00C34C12">
          <w:rPr>
            <w:rStyle w:val="Hyperlink"/>
          </w:rPr>
          <w:t>chapter 3</w:t>
        </w:r>
      </w:hyperlink>
      <w:r w:rsidRPr="00C34C12">
        <w:t>.</w:t>
      </w:r>
    </w:p>
    <w:p w14:paraId="4DEB2B2A" w14:textId="68FB9D28" w:rsidR="00911A83" w:rsidRDefault="001E36A0" w:rsidP="004F2F2C">
      <w:pPr>
        <w:pStyle w:val="Heading5"/>
      </w:pPr>
      <w:r>
        <w:t>Item</w:t>
      </w:r>
      <w:r w:rsidR="00C3040F" w:rsidRPr="004B2D24">
        <w:t xml:space="preserve"> </w:t>
      </w:r>
      <w:r w:rsidR="00911A83" w:rsidRPr="004B2D24">
        <w:t>Format</w:t>
      </w:r>
    </w:p>
    <w:p w14:paraId="47DBA73A" w14:textId="77777777" w:rsidR="00E507A4" w:rsidRPr="00C34C12" w:rsidRDefault="00E507A4" w:rsidP="00E507A4">
      <w:pPr>
        <w:rPr>
          <w:lang w:eastAsia="x-none"/>
        </w:rPr>
      </w:pPr>
      <w:r w:rsidRPr="00C34C12">
        <w:rPr>
          <w:lang w:eastAsia="x-none"/>
        </w:rPr>
        <w:t>The CAA for Science includes the following primary online item formats:</w:t>
      </w:r>
    </w:p>
    <w:p w14:paraId="50AB3D2D" w14:textId="17C8EFAF" w:rsidR="00E507A4" w:rsidRPr="00C34C12" w:rsidRDefault="00E507A4" w:rsidP="00B33B75">
      <w:pPr>
        <w:pStyle w:val="bullets"/>
        <w:numPr>
          <w:ilvl w:val="0"/>
          <w:numId w:val="69"/>
        </w:numPr>
        <w:tabs>
          <w:tab w:val="clear" w:pos="727"/>
        </w:tabs>
        <w:ind w:left="864" w:hanging="288"/>
      </w:pPr>
      <w:r w:rsidRPr="00C34C12">
        <w:rPr>
          <w:b/>
          <w:bCs/>
        </w:rPr>
        <w:t>Selected</w:t>
      </w:r>
      <w:r w:rsidR="007C4A9D">
        <w:rPr>
          <w:b/>
          <w:bCs/>
        </w:rPr>
        <w:t>-</w:t>
      </w:r>
      <w:r w:rsidRPr="00C34C12">
        <w:rPr>
          <w:b/>
          <w:bCs/>
        </w:rPr>
        <w:t>response (SR) items—</w:t>
      </w:r>
      <w:r w:rsidRPr="00C34C12">
        <w:t>Students are instructed to select one or more choices. Most CAA items have two or three options; a few items have four options.</w:t>
      </w:r>
    </w:p>
    <w:p w14:paraId="5456D0C5" w14:textId="1CFAC78A" w:rsidR="00E507A4" w:rsidRPr="00A45276" w:rsidRDefault="00E507A4" w:rsidP="00B33B75">
      <w:pPr>
        <w:pStyle w:val="bullets"/>
        <w:numPr>
          <w:ilvl w:val="0"/>
          <w:numId w:val="69"/>
        </w:numPr>
        <w:tabs>
          <w:tab w:val="clear" w:pos="727"/>
        </w:tabs>
        <w:ind w:left="864" w:hanging="288"/>
      </w:pPr>
      <w:r w:rsidRPr="00C34C12">
        <w:rPr>
          <w:b/>
          <w:bCs/>
        </w:rPr>
        <w:t>Technology-enhanced items</w:t>
      </w:r>
      <w:r w:rsidR="009D323C">
        <w:rPr>
          <w:b/>
          <w:bCs/>
        </w:rPr>
        <w:t xml:space="preserve"> (TEIs)</w:t>
      </w:r>
      <w:r w:rsidRPr="00EF69B0">
        <w:rPr>
          <w:b/>
          <w:bCs/>
        </w:rPr>
        <w:t>—</w:t>
      </w:r>
      <w:r w:rsidRPr="00C34C12">
        <w:t xml:space="preserve">Technology beyond simple option selection is incorporated in some items. These items can resemble </w:t>
      </w:r>
      <w:r w:rsidRPr="00A45276">
        <w:t>simple classroom activities in which students might complete a diagram or make a selection from information in a chart.</w:t>
      </w:r>
    </w:p>
    <w:p w14:paraId="21940536" w14:textId="78DD1023" w:rsidR="00E507A4" w:rsidRPr="00C34C12" w:rsidRDefault="00E507A4" w:rsidP="00E507A4">
      <w:r w:rsidRPr="00C34C12">
        <w:t xml:space="preserve">Detailed information on item format is included in subsection </w:t>
      </w:r>
      <w:hyperlink w:anchor="_Embedded_PT_and" w:history="1">
        <w:r w:rsidRPr="00EF69B0">
          <w:rPr>
            <w:rStyle w:val="Hyperlink"/>
            <w:i/>
            <w:iCs/>
          </w:rPr>
          <w:t>3.1.</w:t>
        </w:r>
        <w:r w:rsidR="00C00FA7">
          <w:rPr>
            <w:rStyle w:val="Hyperlink"/>
            <w:i/>
            <w:iCs/>
          </w:rPr>
          <w:t>4</w:t>
        </w:r>
        <w:r w:rsidRPr="00EF69B0">
          <w:rPr>
            <w:rStyle w:val="Hyperlink"/>
            <w:i/>
            <w:iCs/>
          </w:rPr>
          <w:t xml:space="preserve"> Embedded P</w:t>
        </w:r>
        <w:r w:rsidR="00EF69B0">
          <w:rPr>
            <w:rStyle w:val="Hyperlink"/>
            <w:i/>
            <w:iCs/>
          </w:rPr>
          <w:t xml:space="preserve">erformance </w:t>
        </w:r>
        <w:r w:rsidRPr="00EF69B0">
          <w:rPr>
            <w:rStyle w:val="Hyperlink"/>
            <w:i/>
            <w:iCs/>
          </w:rPr>
          <w:t>T</w:t>
        </w:r>
        <w:r w:rsidR="00EF69B0">
          <w:rPr>
            <w:rStyle w:val="Hyperlink"/>
            <w:i/>
            <w:iCs/>
          </w:rPr>
          <w:t>ask</w:t>
        </w:r>
        <w:r w:rsidRPr="00EF69B0">
          <w:rPr>
            <w:rStyle w:val="Hyperlink"/>
            <w:i/>
            <w:iCs/>
          </w:rPr>
          <w:t xml:space="preserve"> and Item Format</w:t>
        </w:r>
      </w:hyperlink>
      <w:r w:rsidRPr="00C34C12">
        <w:t xml:space="preserve"> in </w:t>
      </w:r>
      <w:hyperlink w:anchor="_Embedded_PT_and_1" w:history="1">
        <w:r w:rsidRPr="00C74703">
          <w:rPr>
            <w:rStyle w:val="Hyperlink"/>
            <w:i/>
            <w:iCs/>
          </w:rPr>
          <w:t>Chapter 3: Embedded P</w:t>
        </w:r>
        <w:r w:rsidR="00EF69B0">
          <w:rPr>
            <w:rStyle w:val="Hyperlink"/>
            <w:i/>
            <w:iCs/>
          </w:rPr>
          <w:t xml:space="preserve">erformance </w:t>
        </w:r>
        <w:r w:rsidRPr="00C74703">
          <w:rPr>
            <w:rStyle w:val="Hyperlink"/>
            <w:i/>
            <w:iCs/>
          </w:rPr>
          <w:t>T</w:t>
        </w:r>
        <w:r w:rsidR="00EF69B0">
          <w:rPr>
            <w:rStyle w:val="Hyperlink"/>
            <w:i/>
            <w:iCs/>
          </w:rPr>
          <w:t>ask and Item</w:t>
        </w:r>
        <w:r w:rsidRPr="00C74703">
          <w:rPr>
            <w:rStyle w:val="Hyperlink"/>
            <w:i/>
            <w:iCs/>
          </w:rPr>
          <w:t xml:space="preserve"> Development and Review</w:t>
        </w:r>
      </w:hyperlink>
      <w:r w:rsidRPr="00C34C12">
        <w:t>.</w:t>
      </w:r>
    </w:p>
    <w:p w14:paraId="4698B4D2" w14:textId="129FD27C" w:rsidR="00E507A4" w:rsidRPr="00C34C12" w:rsidRDefault="00E507A4" w:rsidP="00E507A4">
      <w:r w:rsidRPr="00C34C12">
        <w:lastRenderedPageBreak/>
        <w:t xml:space="preserve">SR and </w:t>
      </w:r>
      <w:r w:rsidR="009D323C">
        <w:t>TEIs</w:t>
      </w:r>
      <w:r w:rsidRPr="00C34C12">
        <w:t xml:space="preserve"> have either one or two points and are machine-scored.</w:t>
      </w:r>
    </w:p>
    <w:p w14:paraId="54D721DB" w14:textId="6A987918" w:rsidR="00911A83" w:rsidRDefault="00C604E2" w:rsidP="004F2F2C">
      <w:pPr>
        <w:pStyle w:val="Heading5"/>
      </w:pPr>
      <w:r w:rsidRPr="004B2D24">
        <w:t>Item</w:t>
      </w:r>
      <w:r w:rsidR="00C3040F" w:rsidRPr="004B2D24">
        <w:t xml:space="preserve"> </w:t>
      </w:r>
      <w:r w:rsidR="00911A83" w:rsidRPr="004B2D24">
        <w:t>Specifications</w:t>
      </w:r>
    </w:p>
    <w:p w14:paraId="5B76ABD9" w14:textId="185AA495" w:rsidR="00E507A4" w:rsidRPr="00C34C12" w:rsidRDefault="00E507A4" w:rsidP="00E507A4">
      <w:r w:rsidRPr="00C34C12">
        <w:t xml:space="preserve">The CAA item specifications provide descriptions of item characteristics that are intended to measure each content standard consistently. They were developed </w:t>
      </w:r>
      <w:r w:rsidRPr="00C34C12">
        <w:rPr>
          <w:rFonts w:eastAsia="TimesNewRomanMTStd"/>
        </w:rPr>
        <w:t xml:space="preserve">based on the </w:t>
      </w:r>
      <w:r w:rsidRPr="00C34C12">
        <w:t>CA NGSS</w:t>
      </w:r>
      <w:r w:rsidRPr="00C34C12">
        <w:rPr>
          <w:rFonts w:eastAsia="TimesNewRomanMTStd"/>
        </w:rPr>
        <w:t xml:space="preserve"> guidelines and clarifications from the Science Connectors</w:t>
      </w:r>
      <w:r w:rsidR="00F30019">
        <w:rPr>
          <w:rFonts w:eastAsia="TimesNewRomanMTStd"/>
        </w:rPr>
        <w:t>;</w:t>
      </w:r>
      <w:r w:rsidRPr="00C34C12">
        <w:rPr>
          <w:rFonts w:eastAsia="TimesNewRomanMTStd"/>
        </w:rPr>
        <w:t xml:space="preserve"> </w:t>
      </w:r>
      <w:r w:rsidR="3505F7A7" w:rsidRPr="13D3F79C">
        <w:rPr>
          <w:rFonts w:eastAsia="TimesNewRomanMTStd"/>
        </w:rPr>
        <w:t>the focal knowledge, skills</w:t>
      </w:r>
      <w:r w:rsidR="00F30019">
        <w:rPr>
          <w:rFonts w:eastAsia="TimesNewRomanMTStd"/>
        </w:rPr>
        <w:t>,</w:t>
      </w:r>
      <w:r w:rsidR="3505F7A7" w:rsidRPr="13D3F79C">
        <w:rPr>
          <w:rFonts w:eastAsia="TimesNewRomanMTStd"/>
        </w:rPr>
        <w:t xml:space="preserve"> and abilities </w:t>
      </w:r>
      <w:r w:rsidR="00F30019">
        <w:rPr>
          <w:rFonts w:eastAsia="TimesNewRomanMTStd"/>
        </w:rPr>
        <w:t>(</w:t>
      </w:r>
      <w:r w:rsidR="50ED9B87" w:rsidRPr="13D3F79C">
        <w:rPr>
          <w:rFonts w:eastAsia="TimesNewRomanMTStd"/>
        </w:rPr>
        <w:t>FKSAs)</w:t>
      </w:r>
      <w:r w:rsidR="00F30019">
        <w:rPr>
          <w:rFonts w:eastAsia="TimesNewRomanMTStd"/>
        </w:rPr>
        <w:t>;</w:t>
      </w:r>
      <w:r w:rsidR="50ED9B87" w:rsidRPr="13D3F79C">
        <w:rPr>
          <w:rFonts w:eastAsia="TimesNewRomanMTStd"/>
        </w:rPr>
        <w:t xml:space="preserve"> and</w:t>
      </w:r>
      <w:r w:rsidRPr="13D3F79C">
        <w:rPr>
          <w:rFonts w:eastAsia="TimesNewRomanMTStd"/>
        </w:rPr>
        <w:t xml:space="preserve"> </w:t>
      </w:r>
      <w:r w:rsidRPr="00C34C12">
        <w:rPr>
          <w:rFonts w:eastAsia="TimesNewRomanMTStd"/>
        </w:rPr>
        <w:t xml:space="preserve">essential understandings (EUs). </w:t>
      </w:r>
      <w:r w:rsidRPr="00C34C12">
        <w:t>During item development, item developers were provided</w:t>
      </w:r>
      <w:r w:rsidR="00F30019">
        <w:t xml:space="preserve"> with</w:t>
      </w:r>
      <w:r w:rsidRPr="00C34C12">
        <w:t xml:space="preserve"> CAA item specifications and a CAA style guide that contained detailed information about the consistency in item development and item review processes. </w:t>
      </w:r>
      <w:r>
        <w:t xml:space="preserve">Refer to subsection </w:t>
      </w:r>
      <w:hyperlink w:anchor="_Specifications_for_the">
        <w:r w:rsidRPr="13D3F79C">
          <w:rPr>
            <w:rStyle w:val="Hyperlink"/>
            <w:i/>
            <w:iCs/>
          </w:rPr>
          <w:t>3.1.</w:t>
        </w:r>
        <w:r w:rsidR="00D332AB">
          <w:rPr>
            <w:rStyle w:val="Hyperlink"/>
            <w:i/>
            <w:iCs/>
          </w:rPr>
          <w:t>2</w:t>
        </w:r>
        <w:r w:rsidRPr="13D3F79C">
          <w:rPr>
            <w:rStyle w:val="Hyperlink"/>
            <w:i/>
            <w:iCs/>
          </w:rPr>
          <w:t xml:space="preserve"> Specifications for the Embedded P</w:t>
        </w:r>
        <w:r w:rsidR="00F30019">
          <w:rPr>
            <w:rStyle w:val="Hyperlink"/>
            <w:i/>
            <w:iCs/>
          </w:rPr>
          <w:t xml:space="preserve">erformance </w:t>
        </w:r>
        <w:r w:rsidRPr="13D3F79C">
          <w:rPr>
            <w:rStyle w:val="Hyperlink"/>
            <w:i/>
            <w:iCs/>
          </w:rPr>
          <w:t>T</w:t>
        </w:r>
        <w:r w:rsidR="00F30019">
          <w:rPr>
            <w:rStyle w:val="Hyperlink"/>
            <w:i/>
            <w:iCs/>
          </w:rPr>
          <w:t>ask</w:t>
        </w:r>
        <w:r w:rsidRPr="13D3F79C">
          <w:rPr>
            <w:rStyle w:val="Hyperlink"/>
            <w:i/>
            <w:iCs/>
          </w:rPr>
          <w:t>s and Items</w:t>
        </w:r>
      </w:hyperlink>
      <w:r>
        <w:t xml:space="preserve"> in </w:t>
      </w:r>
      <w:hyperlink w:anchor="_Embedded_Performance_Task">
        <w:r w:rsidRPr="13D3F79C">
          <w:rPr>
            <w:rStyle w:val="Hyperlink"/>
          </w:rPr>
          <w:t>chapter 3</w:t>
        </w:r>
      </w:hyperlink>
      <w:r>
        <w:t xml:space="preserve"> for detailed information about item specifications.</w:t>
      </w:r>
    </w:p>
    <w:p w14:paraId="5582B2E0" w14:textId="11CBF6D2" w:rsidR="00911A83" w:rsidRDefault="00911A83" w:rsidP="004F2F2C">
      <w:pPr>
        <w:pStyle w:val="Heading5"/>
      </w:pPr>
      <w:r w:rsidRPr="004B2D24">
        <w:t>Item Banking</w:t>
      </w:r>
    </w:p>
    <w:p w14:paraId="47F1844C" w14:textId="7E072B7E" w:rsidR="00E507A4" w:rsidRPr="00C34C12" w:rsidRDefault="00F55642" w:rsidP="00E507A4">
      <w:pPr>
        <w:rPr>
          <w:lang w:eastAsia="x-none"/>
        </w:rPr>
      </w:pPr>
      <w:r>
        <w:t>Typically</w:t>
      </w:r>
      <w:r w:rsidR="002533E2">
        <w:t>,</w:t>
      </w:r>
      <w:r>
        <w:t xml:space="preserve"> after each</w:t>
      </w:r>
      <w:r w:rsidR="00E507A4" w:rsidRPr="00C34C12">
        <w:t xml:space="preserve"> CAA</w:t>
      </w:r>
      <w:r w:rsidR="0045336B">
        <w:t xml:space="preserve"> for Science</w:t>
      </w:r>
      <w:r w:rsidR="00E507A4" w:rsidRPr="00C34C12">
        <w:t xml:space="preserve"> administration, item analyses </w:t>
      </w:r>
      <w:r>
        <w:t>are</w:t>
      </w:r>
      <w:r w:rsidRPr="00C34C12">
        <w:t xml:space="preserve"> </w:t>
      </w:r>
      <w:r w:rsidR="00E507A4" w:rsidRPr="00C34C12">
        <w:t xml:space="preserve">implemented and the results </w:t>
      </w:r>
      <w:r>
        <w:t>are</w:t>
      </w:r>
      <w:r w:rsidRPr="00C34C12">
        <w:t xml:space="preserve"> </w:t>
      </w:r>
      <w:r w:rsidR="00E507A4" w:rsidRPr="00C34C12">
        <w:t xml:space="preserve">reviewed by ETS psychometric and assessment development staff, who provide recommendations to the CDE on whether the items should be included or excluded </w:t>
      </w:r>
      <w:r>
        <w:t xml:space="preserve">in the pool of items for future administrations. </w:t>
      </w:r>
      <w:r w:rsidR="00E507A4" w:rsidRPr="00C34C12">
        <w:rPr>
          <w:lang w:eastAsia="x-none"/>
        </w:rPr>
        <w:t>Content experts</w:t>
      </w:r>
      <w:r w:rsidR="00E507A4" w:rsidRPr="00C34C12">
        <w:t xml:space="preserve"> from ETS and the CDE, as well as selected California educators, </w:t>
      </w:r>
      <w:r>
        <w:t xml:space="preserve">usually </w:t>
      </w:r>
      <w:r w:rsidR="00E507A4" w:rsidRPr="00C34C12">
        <w:t xml:space="preserve">review the associated item statistics and evaluate the performance of items during the annual data review meeting. </w:t>
      </w:r>
      <w:r w:rsidR="00E507A4" w:rsidRPr="00C34C12">
        <w:rPr>
          <w:lang w:eastAsia="x-none"/>
        </w:rPr>
        <w:t>They also review the flagged items—those whose statistics fall beyond expected ranges—and work to provide plausible explanations for these particular items based on their knowledge of the student population.</w:t>
      </w:r>
    </w:p>
    <w:p w14:paraId="176D4024" w14:textId="4BE6E3C1" w:rsidR="00E507A4" w:rsidRPr="00C34C12" w:rsidRDefault="00E507A4" w:rsidP="00E507A4">
      <w:r w:rsidRPr="00C34C12">
        <w:rPr>
          <w:lang w:eastAsia="x-none"/>
        </w:rPr>
        <w:t xml:space="preserve">With the CDE’s approval, the items, together with their statistical information, </w:t>
      </w:r>
      <w:r w:rsidR="002533E2">
        <w:rPr>
          <w:lang w:eastAsia="x-none"/>
        </w:rPr>
        <w:t>are</w:t>
      </w:r>
      <w:r w:rsidR="002533E2" w:rsidRPr="00C34C12">
        <w:rPr>
          <w:lang w:eastAsia="x-none"/>
        </w:rPr>
        <w:t xml:space="preserve"> </w:t>
      </w:r>
      <w:r w:rsidRPr="00C34C12">
        <w:rPr>
          <w:lang w:eastAsia="x-none"/>
        </w:rPr>
        <w:t xml:space="preserve">entered into the item bank for form assembly in future administrations. It is expected that </w:t>
      </w:r>
      <w:r w:rsidRPr="00C34C12">
        <w:t xml:space="preserve">more new items will be developed, field-tested, and entered into the item bank after </w:t>
      </w:r>
      <w:r w:rsidR="00B03FDC">
        <w:t>each</w:t>
      </w:r>
      <w:r w:rsidRPr="00C34C12">
        <w:t xml:space="preserve"> administration. In this way, the item bank will expand gradually to support future operational forms.</w:t>
      </w:r>
    </w:p>
    <w:p w14:paraId="7587F0D6" w14:textId="2164FC6C" w:rsidR="007251E1" w:rsidRDefault="007251E1" w:rsidP="004F2F2C">
      <w:pPr>
        <w:pStyle w:val="Heading4"/>
      </w:pPr>
      <w:bookmarkStart w:id="128" w:name="_Toc182555110"/>
      <w:r w:rsidRPr="004B2D24">
        <w:t>Universal Design Principles</w:t>
      </w:r>
      <w:bookmarkEnd w:id="128"/>
    </w:p>
    <w:p w14:paraId="7A8D8913" w14:textId="77777777" w:rsidR="00E507A4" w:rsidRPr="00C34C12" w:rsidRDefault="00E507A4" w:rsidP="00E507A4">
      <w:r w:rsidRPr="00C34C12">
        <w:t>The application of universal design in assessment development involves establishing that tests and testing environments are usable by all students to the greatest extent possible. To allow for the widest possible range of students taking the CAA for Science, ETS trains all item writers to follow the principles of universal design in their development and revision of test items. These principles include, but are not limited to</w:t>
      </w:r>
    </w:p>
    <w:p w14:paraId="22D08DEC" w14:textId="77777777" w:rsidR="00E507A4" w:rsidRPr="00C34C12" w:rsidRDefault="00E507A4" w:rsidP="00B33B75">
      <w:pPr>
        <w:pStyle w:val="bullets"/>
        <w:numPr>
          <w:ilvl w:val="0"/>
          <w:numId w:val="69"/>
        </w:numPr>
        <w:tabs>
          <w:tab w:val="clear" w:pos="727"/>
        </w:tabs>
        <w:ind w:left="864" w:hanging="288"/>
      </w:pPr>
      <w:r w:rsidRPr="00C34C12">
        <w:t>reducing wordiness;</w:t>
      </w:r>
    </w:p>
    <w:p w14:paraId="35E15F7E" w14:textId="77777777" w:rsidR="00E507A4" w:rsidRPr="00C34C12" w:rsidRDefault="00E507A4" w:rsidP="00B33B75">
      <w:pPr>
        <w:pStyle w:val="bullets"/>
        <w:numPr>
          <w:ilvl w:val="0"/>
          <w:numId w:val="69"/>
        </w:numPr>
        <w:tabs>
          <w:tab w:val="clear" w:pos="727"/>
        </w:tabs>
        <w:ind w:left="864" w:hanging="288"/>
      </w:pPr>
      <w:r w:rsidRPr="00C34C12">
        <w:t>avoiding complex sentence structures and sentences that begin with dependent clauses;</w:t>
      </w:r>
    </w:p>
    <w:p w14:paraId="22192690" w14:textId="77777777" w:rsidR="00E507A4" w:rsidRPr="00C34C12" w:rsidRDefault="00E507A4" w:rsidP="00B33B75">
      <w:pPr>
        <w:pStyle w:val="bullets"/>
        <w:numPr>
          <w:ilvl w:val="0"/>
          <w:numId w:val="69"/>
        </w:numPr>
        <w:tabs>
          <w:tab w:val="clear" w:pos="727"/>
        </w:tabs>
        <w:ind w:left="864" w:hanging="288"/>
      </w:pPr>
      <w:r w:rsidRPr="00C34C12">
        <w:t>avoiding ambiguity;</w:t>
      </w:r>
    </w:p>
    <w:p w14:paraId="39E92839" w14:textId="77777777" w:rsidR="00E507A4" w:rsidRPr="00C34C12" w:rsidRDefault="00E507A4" w:rsidP="00B33B75">
      <w:pPr>
        <w:pStyle w:val="bullets"/>
        <w:numPr>
          <w:ilvl w:val="0"/>
          <w:numId w:val="69"/>
        </w:numPr>
        <w:tabs>
          <w:tab w:val="clear" w:pos="727"/>
        </w:tabs>
        <w:ind w:left="864" w:hanging="288"/>
      </w:pPr>
      <w:r w:rsidRPr="00C34C12">
        <w:t>breaking up compound sentences;</w:t>
      </w:r>
    </w:p>
    <w:p w14:paraId="40B8D83E" w14:textId="77777777" w:rsidR="00E507A4" w:rsidRPr="00C34C12" w:rsidRDefault="00E507A4" w:rsidP="00B33B75">
      <w:pPr>
        <w:pStyle w:val="bullets"/>
        <w:numPr>
          <w:ilvl w:val="0"/>
          <w:numId w:val="69"/>
        </w:numPr>
        <w:tabs>
          <w:tab w:val="clear" w:pos="727"/>
        </w:tabs>
        <w:ind w:left="864" w:hanging="288"/>
      </w:pPr>
      <w:r w:rsidRPr="00C34C12">
        <w:t>avoiding colloquialisms and words with double meanings;</w:t>
      </w:r>
    </w:p>
    <w:p w14:paraId="0E4C8B95" w14:textId="77777777" w:rsidR="00E507A4" w:rsidRPr="00C34C12" w:rsidRDefault="00E507A4" w:rsidP="00B33B75">
      <w:pPr>
        <w:pStyle w:val="bullets"/>
        <w:numPr>
          <w:ilvl w:val="0"/>
          <w:numId w:val="69"/>
        </w:numPr>
        <w:tabs>
          <w:tab w:val="clear" w:pos="727"/>
        </w:tabs>
        <w:ind w:left="864" w:hanging="288"/>
      </w:pPr>
      <w:r w:rsidRPr="00C34C12">
        <w:t>using active tense when possible;</w:t>
      </w:r>
    </w:p>
    <w:p w14:paraId="29938A6D" w14:textId="77777777" w:rsidR="00E507A4" w:rsidRPr="00C34C12" w:rsidRDefault="00E507A4" w:rsidP="008F1B03">
      <w:pPr>
        <w:pStyle w:val="bullets"/>
        <w:keepNext/>
        <w:keepLines/>
        <w:numPr>
          <w:ilvl w:val="0"/>
          <w:numId w:val="69"/>
        </w:numPr>
        <w:tabs>
          <w:tab w:val="clear" w:pos="727"/>
        </w:tabs>
        <w:ind w:left="864" w:hanging="288"/>
      </w:pPr>
      <w:r w:rsidRPr="00C34C12">
        <w:t>selecting developmentally appropriate text levels and terminology; and</w:t>
      </w:r>
    </w:p>
    <w:p w14:paraId="1C325363" w14:textId="77777777" w:rsidR="00E507A4" w:rsidRPr="00C34C12" w:rsidRDefault="00E507A4" w:rsidP="00B33B75">
      <w:pPr>
        <w:pStyle w:val="bullets"/>
        <w:numPr>
          <w:ilvl w:val="0"/>
          <w:numId w:val="69"/>
        </w:numPr>
        <w:tabs>
          <w:tab w:val="clear" w:pos="727"/>
        </w:tabs>
        <w:ind w:left="864" w:hanging="288"/>
      </w:pPr>
      <w:r w:rsidRPr="00C34C12">
        <w:t>consistently applying concept names and graphic conventions.</w:t>
      </w:r>
    </w:p>
    <w:p w14:paraId="51B5C3FF" w14:textId="77777777" w:rsidR="00E507A4" w:rsidRPr="00C34C12" w:rsidRDefault="00E507A4" w:rsidP="00E507A4">
      <w:r w:rsidRPr="00C34C12">
        <w:lastRenderedPageBreak/>
        <w:t xml:space="preserve">Universal design principles also inform decisions about test layout and design, including such features as type size, line length, spacing, and graphics. These principles provide flexibility for the ways information is presented as well as for the ways students are engaged with, and respond to, that information. The goal is to reduce barriers in assessing </w:t>
      </w:r>
      <w:r w:rsidRPr="00C34C12">
        <w:rPr>
          <w:i/>
          <w:iCs/>
        </w:rPr>
        <w:t>all</w:t>
      </w:r>
      <w:r w:rsidRPr="00C34C12">
        <w:t xml:space="preserve"> students.</w:t>
      </w:r>
    </w:p>
    <w:p w14:paraId="6A301A7F" w14:textId="3011BC78" w:rsidR="00911A83" w:rsidRDefault="00911A83" w:rsidP="004F2F2C">
      <w:pPr>
        <w:pStyle w:val="Heading3"/>
      </w:pPr>
      <w:bookmarkStart w:id="129" w:name="_Toc182555111"/>
      <w:r w:rsidRPr="004B2D24">
        <w:t>Test Assembly</w:t>
      </w:r>
      <w:bookmarkEnd w:id="129"/>
    </w:p>
    <w:p w14:paraId="3A941518" w14:textId="1D1FE026" w:rsidR="00E507A4" w:rsidRPr="00C34C12" w:rsidRDefault="00E507A4" w:rsidP="00E507A4">
      <w:bookmarkStart w:id="130" w:name="_Hlk67386353"/>
      <w:r>
        <w:t xml:space="preserve">The </w:t>
      </w:r>
      <w:r w:rsidR="636D219F">
        <w:t>2019</w:t>
      </w:r>
      <w:r w:rsidR="001036AD" w:rsidRPr="00C34C12">
        <w:t>–</w:t>
      </w:r>
      <w:r w:rsidR="636D219F">
        <w:t>2020 operational</w:t>
      </w:r>
      <w:r>
        <w:t xml:space="preserve"> </w:t>
      </w:r>
      <w:r w:rsidR="007B2A45">
        <w:t>assessment</w:t>
      </w:r>
      <w:r>
        <w:t xml:space="preserve"> was assembled in accordance with the CAA for Science blueprint, which was approved by the SBE in January 2018 (CDE, 2018). The </w:t>
      </w:r>
      <w:bookmarkEnd w:id="130"/>
      <w:r>
        <w:t>CAA for Science is a linear form comprised of three embedded PTs, each comprised of two Connector sets that assess Science Connectors from one of the three science domains</w:t>
      </w:r>
      <w:r w:rsidR="00B53029" w:rsidRPr="00C34C12">
        <w:t xml:space="preserve"> of Life Sciences, Physical Sciences, and Earth and Space Sciences</w:t>
      </w:r>
      <w:r>
        <w:t>.</w:t>
      </w:r>
    </w:p>
    <w:p w14:paraId="5DFA11D5" w14:textId="06E5C4DC" w:rsidR="00E507A4" w:rsidRPr="00C34C12" w:rsidRDefault="00E507A4" w:rsidP="00E507A4">
      <w:r>
        <w:t xml:space="preserve">The assembly began with selection of approved </w:t>
      </w:r>
      <w:r w:rsidR="049EE129">
        <w:t>anchor</w:t>
      </w:r>
      <w:r>
        <w:t xml:space="preserve"> items from the item bank. </w:t>
      </w:r>
      <w:r w:rsidR="01732806">
        <w:t xml:space="preserve">For each embedded PT, a Connector </w:t>
      </w:r>
      <w:r w:rsidR="00F30019">
        <w:t>s</w:t>
      </w:r>
      <w:r w:rsidR="01732806">
        <w:t xml:space="preserve">et of five anchor items was paired with a </w:t>
      </w:r>
      <w:r w:rsidR="6394537A">
        <w:t xml:space="preserve">Connector </w:t>
      </w:r>
      <w:r w:rsidR="00F30019">
        <w:t>s</w:t>
      </w:r>
      <w:r w:rsidR="01732806">
        <w:t xml:space="preserve">et of five operational field test items. </w:t>
      </w:r>
      <w:r>
        <w:t>After the initial assembly, test developers reviewed the assembled forms using comprehensive checklists to evaluate blueprint alignment, item content, clueing and content overlap, and overall balance of content with regard to gender and ethnicity representation, variety of item types, and so forth.</w:t>
      </w:r>
    </w:p>
    <w:p w14:paraId="5D8B0998" w14:textId="37BDDCA0" w:rsidR="00E507A4" w:rsidRPr="00C34C12" w:rsidRDefault="00E507A4" w:rsidP="00E507A4">
      <w:r w:rsidRPr="00C34C12">
        <w:t>After test developers assembled and reviewed the draft test forms, the forms were submitted for psychometric review and approval.</w:t>
      </w:r>
      <w:r w:rsidRPr="009164B9">
        <w:t xml:space="preserve"> </w:t>
      </w:r>
      <w:r w:rsidRPr="00C34C12">
        <w:t xml:space="preserve">Approved forms then received additional content and editorial reviews, including key checks and review of scoring files, before being submitted to the CDE for review and feedback. After responding to feedback from the CDE, forms received a final content review to ensure any requested revisions were </w:t>
      </w:r>
      <w:r w:rsidR="00551635">
        <w:t>implemented</w:t>
      </w:r>
      <w:r w:rsidRPr="00C34C12">
        <w:t xml:space="preserve"> accurately before submittal to the CDE for their approval.</w:t>
      </w:r>
    </w:p>
    <w:p w14:paraId="527576D1" w14:textId="7D78E15A" w:rsidR="00911A83" w:rsidRDefault="00911A83" w:rsidP="004F2F2C">
      <w:pPr>
        <w:pStyle w:val="Heading4"/>
      </w:pPr>
      <w:bookmarkStart w:id="131" w:name="_Toc182555112"/>
      <w:r w:rsidRPr="004B2D24">
        <w:t>Test Design</w:t>
      </w:r>
      <w:bookmarkEnd w:id="131"/>
    </w:p>
    <w:p w14:paraId="18C65021" w14:textId="02C3F402" w:rsidR="00E507A4" w:rsidRPr="00C34C12" w:rsidRDefault="00E507A4" w:rsidP="00E507A4">
      <w:r w:rsidRPr="00C34C12">
        <w:t>The CAA for Science is based on a linear design comprised of three</w:t>
      </w:r>
      <w:r w:rsidR="00FA6283">
        <w:t xml:space="preserve"> operational</w:t>
      </w:r>
      <w:r w:rsidRPr="00C34C12">
        <w:t xml:space="preserve"> embedded PTs, each comprised of two Connector sets that assess standards from one of the three science domains. The Connector sets also incorporate contexts aligned to the Engineering, Technology, and Application</w:t>
      </w:r>
      <w:r w:rsidR="00B53029">
        <w:t>s</w:t>
      </w:r>
      <w:r w:rsidRPr="00C34C12">
        <w:t xml:space="preserve"> of Science domain. </w:t>
      </w:r>
      <w:r w:rsidR="008956E3">
        <w:t>There is an additional</w:t>
      </w:r>
      <w:r w:rsidR="007E2DDE">
        <w:t>,</w:t>
      </w:r>
      <w:r w:rsidR="008956E3">
        <w:t xml:space="preserve"> fourth embedded PT of field test items that do not count toward the student’s total raw score.</w:t>
      </w:r>
    </w:p>
    <w:p w14:paraId="0AFCB34B" w14:textId="77777777" w:rsidR="00E507A4" w:rsidRPr="00C34C12" w:rsidRDefault="00E507A4" w:rsidP="00E507A4">
      <w:pPr>
        <w:rPr>
          <w:color w:val="000000" w:themeColor="text1"/>
        </w:rPr>
      </w:pPr>
      <w:r w:rsidRPr="00C34C12">
        <w:t>Connector sets are groups of five items, along with an orienting activity, that assess a Science Connector. Two Connector sets are paired to create an</w:t>
      </w:r>
      <w:r w:rsidRPr="00C34C12">
        <w:rPr>
          <w:rFonts w:eastAsia="Calibri"/>
        </w:rPr>
        <w:t xml:space="preserve"> embedded</w:t>
      </w:r>
      <w:r w:rsidRPr="00C34C12">
        <w:t xml:space="preserve"> PT that consists of 10 items and two orienting activities.</w:t>
      </w:r>
    </w:p>
    <w:p w14:paraId="1B770BA8" w14:textId="6618B294" w:rsidR="00E507A4" w:rsidRPr="00C34C12" w:rsidRDefault="00E507A4" w:rsidP="00E507A4">
      <w:pPr>
        <w:rPr>
          <w:color w:val="000000" w:themeColor="text1"/>
        </w:rPr>
      </w:pPr>
      <w:r>
        <w:t xml:space="preserve">The </w:t>
      </w:r>
      <w:r w:rsidR="003337F2">
        <w:t>four</w:t>
      </w:r>
      <w:r w:rsidR="000A43A2">
        <w:t xml:space="preserve"> </w:t>
      </w:r>
      <w:r w:rsidRPr="09646080">
        <w:rPr>
          <w:rFonts w:eastAsia="Calibri"/>
        </w:rPr>
        <w:t>embedded</w:t>
      </w:r>
      <w:r>
        <w:t xml:space="preserve"> PTs</w:t>
      </w:r>
      <w:r w:rsidR="000A1160">
        <w:t>—</w:t>
      </w:r>
      <w:r w:rsidR="003337F2">
        <w:t>three operational embedded PTs and one field test embedded PT</w:t>
      </w:r>
      <w:r w:rsidR="000A1160">
        <w:t>—</w:t>
      </w:r>
      <w:r>
        <w:t xml:space="preserve">were intended to be administered throughout the school year, </w:t>
      </w:r>
      <w:r w:rsidR="6E82BAA5">
        <w:t xml:space="preserve">shortly </w:t>
      </w:r>
      <w:r>
        <w:t xml:space="preserve">after students received instruction in the Science Connectors assessed by the </w:t>
      </w:r>
      <w:r w:rsidRPr="09646080">
        <w:rPr>
          <w:rFonts w:eastAsia="Calibri"/>
        </w:rPr>
        <w:t>embedded</w:t>
      </w:r>
      <w:r>
        <w:t xml:space="preserve"> PT. Thus, the </w:t>
      </w:r>
      <w:r w:rsidRPr="09646080">
        <w:rPr>
          <w:rFonts w:eastAsia="Calibri"/>
        </w:rPr>
        <w:t>embedded</w:t>
      </w:r>
      <w:r>
        <w:t xml:space="preserve"> PTs could be administered in any order throughout the instructional year.</w:t>
      </w:r>
    </w:p>
    <w:p w14:paraId="4106E37A" w14:textId="306EC69B" w:rsidR="00E507A4" w:rsidRPr="00C34C12" w:rsidRDefault="00E507A4" w:rsidP="00E507A4">
      <w:bookmarkStart w:id="132" w:name="_Hlk67386374"/>
      <w:r>
        <w:t xml:space="preserve">The operational </w:t>
      </w:r>
      <w:r w:rsidRPr="6FEE0EFE">
        <w:rPr>
          <w:rFonts w:eastAsia="Calibri"/>
        </w:rPr>
        <w:t>embedded</w:t>
      </w:r>
      <w:r>
        <w:t xml:space="preserve"> PTs were available for administration from </w:t>
      </w:r>
      <w:r w:rsidR="003C318B">
        <w:t>Se</w:t>
      </w:r>
      <w:r w:rsidR="000E4AE9">
        <w:t>ptember 10</w:t>
      </w:r>
      <w:r>
        <w:t xml:space="preserve">, 2019, through </w:t>
      </w:r>
      <w:r w:rsidR="000E4AE9">
        <w:t>March 18, 2020</w:t>
      </w:r>
      <w:r w:rsidR="00D04CBE">
        <w:t>,</w:t>
      </w:r>
      <w:r w:rsidR="000E4AE9">
        <w:t xml:space="preserve"> </w:t>
      </w:r>
      <w:r w:rsidR="000A1160">
        <w:t xml:space="preserve">the date </w:t>
      </w:r>
      <w:r w:rsidR="000E4AE9">
        <w:t xml:space="preserve">when testing </w:t>
      </w:r>
      <w:r w:rsidR="1004AE16">
        <w:t xml:space="preserve">was </w:t>
      </w:r>
      <w:r w:rsidR="006A28B2">
        <w:t>suspended</w:t>
      </w:r>
      <w:r w:rsidR="000A1160">
        <w:t>,</w:t>
      </w:r>
      <w:r w:rsidR="000E4AE9">
        <w:t xml:space="preserve"> </w:t>
      </w:r>
      <w:r w:rsidR="342CB576">
        <w:t>per</w:t>
      </w:r>
      <w:r w:rsidR="000E4AE9">
        <w:t xml:space="preserve"> the governor’s emergency order</w:t>
      </w:r>
      <w:r w:rsidR="000A1160">
        <w:t>,</w:t>
      </w:r>
      <w:r w:rsidR="000E4AE9">
        <w:t xml:space="preserve"> </w:t>
      </w:r>
      <w:r w:rsidR="00FB32D4">
        <w:t xml:space="preserve">because of the </w:t>
      </w:r>
      <w:r w:rsidR="001000AC">
        <w:t>novel coronavirus disease 2019 (</w:t>
      </w:r>
      <w:r w:rsidR="000E4AE9">
        <w:t>COVID-19</w:t>
      </w:r>
      <w:r w:rsidR="001000AC">
        <w:t>)</w:t>
      </w:r>
      <w:r w:rsidR="00FB32D4">
        <w:t xml:space="preserve"> pandemic</w:t>
      </w:r>
      <w:r w:rsidR="00C607E7">
        <w:t xml:space="preserve"> (Office of Governor Gavin Newsom, 2020)</w:t>
      </w:r>
      <w:r>
        <w:t>.</w:t>
      </w:r>
    </w:p>
    <w:p w14:paraId="74ED8EFD" w14:textId="0389D77F" w:rsidR="00911A83" w:rsidRDefault="00911A83" w:rsidP="004F2F2C">
      <w:pPr>
        <w:pStyle w:val="Heading4"/>
      </w:pPr>
      <w:bookmarkStart w:id="133" w:name="_Toc182555113"/>
      <w:bookmarkEnd w:id="132"/>
      <w:r w:rsidRPr="004B2D24">
        <w:lastRenderedPageBreak/>
        <w:t>Test Blueprints</w:t>
      </w:r>
      <w:bookmarkEnd w:id="133"/>
    </w:p>
    <w:p w14:paraId="238C98CC" w14:textId="7B972446" w:rsidR="00E507A4" w:rsidRPr="00C34C12" w:rsidRDefault="00E507A4" w:rsidP="00E507A4">
      <w:pPr>
        <w:keepLines/>
        <w:rPr>
          <w:rFonts w:eastAsia="Times New Roman"/>
        </w:rPr>
      </w:pPr>
      <w:bookmarkStart w:id="134" w:name="_Hlk67386389"/>
      <w:r w:rsidRPr="00C34C12">
        <w:rPr>
          <w:rFonts w:eastAsia="Times New Roman"/>
        </w:rPr>
        <w:t xml:space="preserve">Test blueprints specify the total number of items on each test and the number of items in each content category according to standards (CDE, 2018). The standards upon which </w:t>
      </w:r>
      <w:bookmarkEnd w:id="134"/>
      <w:r w:rsidRPr="00C34C12">
        <w:rPr>
          <w:rFonts w:eastAsia="Times New Roman"/>
        </w:rPr>
        <w:t>CAA for Science test blueprints are built consist of the Science Connectors</w:t>
      </w:r>
      <w:r w:rsidR="6491EAEF" w:rsidRPr="13D3F79C">
        <w:rPr>
          <w:rFonts w:eastAsia="Times New Roman"/>
        </w:rPr>
        <w:t>, FKSA</w:t>
      </w:r>
      <w:r w:rsidR="000F4F20">
        <w:rPr>
          <w:rFonts w:eastAsia="Times New Roman"/>
        </w:rPr>
        <w:t>s</w:t>
      </w:r>
      <w:r w:rsidR="6491EAEF" w:rsidRPr="13D3F79C">
        <w:rPr>
          <w:rFonts w:eastAsia="Times New Roman"/>
        </w:rPr>
        <w:t>,</w:t>
      </w:r>
      <w:r w:rsidRPr="00C34C12">
        <w:rPr>
          <w:rFonts w:eastAsia="Times New Roman"/>
        </w:rPr>
        <w:t xml:space="preserve"> and EUs, </w:t>
      </w:r>
      <w:r w:rsidR="5A978D9A" w:rsidRPr="13D3F79C">
        <w:rPr>
          <w:rFonts w:eastAsia="Times New Roman"/>
        </w:rPr>
        <w:t>all</w:t>
      </w:r>
      <w:r w:rsidRPr="00C34C12">
        <w:rPr>
          <w:rFonts w:eastAsia="Times New Roman"/>
        </w:rPr>
        <w:t xml:space="preserve"> derived from the </w:t>
      </w:r>
      <w:r w:rsidRPr="13D3F79C">
        <w:rPr>
          <w:rFonts w:eastAsia="Times New Roman"/>
        </w:rPr>
        <w:t>C</w:t>
      </w:r>
      <w:r w:rsidR="7BE2EC1F" w:rsidRPr="13D3F79C">
        <w:rPr>
          <w:rFonts w:eastAsia="Times New Roman"/>
        </w:rPr>
        <w:t xml:space="preserve">A </w:t>
      </w:r>
      <w:r w:rsidR="79B641EE" w:rsidRPr="13D3F79C">
        <w:rPr>
          <w:rFonts w:eastAsia="Times New Roman"/>
        </w:rPr>
        <w:t>NGSS</w:t>
      </w:r>
      <w:r w:rsidRPr="13D3F79C">
        <w:rPr>
          <w:rFonts w:eastAsia="Times New Roman"/>
        </w:rPr>
        <w:t>.</w:t>
      </w:r>
      <w:r w:rsidRPr="00C34C12">
        <w:rPr>
          <w:rFonts w:eastAsia="Times New Roman"/>
        </w:rPr>
        <w:t xml:space="preserve"> The blueprints for the CAA for Science were adopted by the SBE in January 2018.</w:t>
      </w:r>
    </w:p>
    <w:p w14:paraId="63CE878C" w14:textId="6FD8EC05" w:rsidR="00E507A4" w:rsidRPr="00C34C12" w:rsidRDefault="00E507A4" w:rsidP="00E507A4">
      <w:pPr>
        <w:rPr>
          <w:kern w:val="32"/>
        </w:rPr>
      </w:pPr>
      <w:r w:rsidRPr="00C34C12">
        <w:rPr>
          <w:kern w:val="32"/>
        </w:rPr>
        <w:t>The CAA for Science test blueprints are unique to each grade level and content area. These blueprints designate the breakdown first by content category and then by Science Connectors. Information on each grade-level test blueprint includes</w:t>
      </w:r>
      <w:r w:rsidR="00AC53CB">
        <w:rPr>
          <w:kern w:val="32"/>
        </w:rPr>
        <w:t xml:space="preserve"> the</w:t>
      </w:r>
    </w:p>
    <w:p w14:paraId="053303F8" w14:textId="77777777" w:rsidR="00E507A4" w:rsidRPr="00C34C12" w:rsidRDefault="00E507A4" w:rsidP="00E507A4">
      <w:pPr>
        <w:pStyle w:val="bullets-one"/>
        <w:rPr>
          <w:color w:val="000000" w:themeColor="text1"/>
        </w:rPr>
      </w:pPr>
      <w:r w:rsidRPr="00C34C12">
        <w:t>specific ratio of each content category or domain on the overall test,</w:t>
      </w:r>
    </w:p>
    <w:p w14:paraId="112BE91C" w14:textId="77777777" w:rsidR="00E507A4" w:rsidRPr="00C34C12" w:rsidRDefault="00E507A4" w:rsidP="00E507A4">
      <w:pPr>
        <w:pStyle w:val="bullets-one"/>
        <w:rPr>
          <w:color w:val="000000" w:themeColor="text1"/>
        </w:rPr>
      </w:pPr>
      <w:r w:rsidRPr="00C34C12">
        <w:t>specific Science Connectors to be assessed, and</w:t>
      </w:r>
    </w:p>
    <w:p w14:paraId="5C9A8A7F" w14:textId="14132B70" w:rsidR="00E507A4" w:rsidRPr="00C34C12" w:rsidRDefault="00E507A4" w:rsidP="00E507A4">
      <w:pPr>
        <w:pStyle w:val="bullets-one"/>
        <w:rPr>
          <w:color w:val="000000" w:themeColor="text1"/>
        </w:rPr>
      </w:pPr>
      <w:r w:rsidRPr="00C34C12">
        <w:t>maximum number of items.</w:t>
      </w:r>
    </w:p>
    <w:p w14:paraId="20E11D6F" w14:textId="1558F3D3" w:rsidR="00911A83" w:rsidRDefault="00911A83" w:rsidP="004F2F2C">
      <w:pPr>
        <w:pStyle w:val="Heading4"/>
      </w:pPr>
      <w:bookmarkStart w:id="135" w:name="_Toc182555114"/>
      <w:r w:rsidRPr="004B2D24">
        <w:t>Test Length</w:t>
      </w:r>
      <w:bookmarkEnd w:id="135"/>
    </w:p>
    <w:p w14:paraId="585EF65C" w14:textId="77413FF8" w:rsidR="00E507A4" w:rsidRPr="00C34C12" w:rsidRDefault="00E507A4" w:rsidP="00E507A4">
      <w:r w:rsidRPr="00C34C12">
        <w:t xml:space="preserve">The </w:t>
      </w:r>
      <w:r w:rsidRPr="00C34C12">
        <w:rPr>
          <w:kern w:val="32"/>
        </w:rPr>
        <w:t>number</w:t>
      </w:r>
      <w:r w:rsidRPr="00C34C12">
        <w:t xml:space="preserve"> of items in the CAA for Science is the same across grades—there are 10 items per embedded PT. For the </w:t>
      </w:r>
      <w:r w:rsidR="4DBF65E7">
        <w:t>operational</w:t>
      </w:r>
      <w:r w:rsidRPr="00C34C12">
        <w:t xml:space="preserve"> </w:t>
      </w:r>
      <w:r w:rsidR="002D44AD">
        <w:t>assessment</w:t>
      </w:r>
      <w:r w:rsidRPr="00C34C12">
        <w:t>, each student was given three embedded PTs</w:t>
      </w:r>
      <w:r w:rsidR="0079530D">
        <w:t xml:space="preserve"> and one field test </w:t>
      </w:r>
      <w:r w:rsidR="00872A71">
        <w:t xml:space="preserve">embedded </w:t>
      </w:r>
      <w:r w:rsidR="0079530D">
        <w:t>PT</w:t>
      </w:r>
      <w:r w:rsidRPr="00C34C12">
        <w:t>.</w:t>
      </w:r>
    </w:p>
    <w:p w14:paraId="4E1DFFD6" w14:textId="4E95D672" w:rsidR="00E507A4" w:rsidRPr="00C34C12" w:rsidRDefault="00E507A4" w:rsidP="00E507A4">
      <w:r w:rsidRPr="00C34C12">
        <w:t xml:space="preserve">Refer to section </w:t>
      </w:r>
      <w:hyperlink w:anchor="_Overview" w:history="1">
        <w:r w:rsidR="002A5CE8">
          <w:rPr>
            <w:rStyle w:val="Hyperlink"/>
            <w:i/>
          </w:rPr>
          <w:t>4.1 Overview</w:t>
        </w:r>
      </w:hyperlink>
      <w:r w:rsidRPr="00C34C12">
        <w:t xml:space="preserve"> in </w:t>
      </w:r>
      <w:hyperlink w:anchor="_Test_Assembly_1" w:history="1">
        <w:r w:rsidRPr="00C34C12">
          <w:rPr>
            <w:rStyle w:val="Hyperlink"/>
            <w:i/>
          </w:rPr>
          <w:t>Chapter 4: Test Assembly</w:t>
        </w:r>
      </w:hyperlink>
      <w:r w:rsidRPr="00C34C12">
        <w:t xml:space="preserve"> for more details on test form assembly.</w:t>
      </w:r>
    </w:p>
    <w:p w14:paraId="5BCE7798" w14:textId="7850595E" w:rsidR="000974FB" w:rsidRDefault="000974FB" w:rsidP="004F2F2C">
      <w:pPr>
        <w:pStyle w:val="Heading3"/>
      </w:pPr>
      <w:bookmarkStart w:id="136" w:name="_Toc182555115"/>
      <w:r w:rsidRPr="004B2D24">
        <w:t>Test Administration</w:t>
      </w:r>
      <w:bookmarkEnd w:id="136"/>
    </w:p>
    <w:p w14:paraId="28746D54" w14:textId="1B84B5F1" w:rsidR="00E507A4" w:rsidRPr="00C34C12" w:rsidRDefault="00E507A4" w:rsidP="00E507A4">
      <w:r w:rsidRPr="00C34C12">
        <w:t xml:space="preserve">The CAA for Science content was delivered via the California Assessment of Student Performance and Progress (CAASPP) test delivery system (TDS). Authorized school and local educational agency (LEA) staff downloaded the </w:t>
      </w:r>
      <w:r w:rsidRPr="00C34C12">
        <w:rPr>
          <w:i/>
        </w:rPr>
        <w:t>Directions for Administration (DFAs)</w:t>
      </w:r>
      <w:r w:rsidRPr="00C34C12">
        <w:t xml:space="preserve"> for each embedded PT from the secure Test Operations Management System (TOMS). Test examiners used the </w:t>
      </w:r>
      <w:r w:rsidRPr="00C34C12">
        <w:rPr>
          <w:i/>
        </w:rPr>
        <w:t>DFA</w:t>
      </w:r>
      <w:r w:rsidRPr="00C34C12">
        <w:t xml:space="preserve"> materials in printed or electronic format.</w:t>
      </w:r>
    </w:p>
    <w:p w14:paraId="002381CA" w14:textId="1072F151" w:rsidR="0082667B" w:rsidRDefault="0082667B" w:rsidP="004F2F2C">
      <w:pPr>
        <w:pStyle w:val="Heading4"/>
      </w:pPr>
      <w:bookmarkStart w:id="137" w:name="_Toc182555116"/>
      <w:r w:rsidRPr="004B2D24">
        <w:t>Test Security and Confidentiality</w:t>
      </w:r>
      <w:bookmarkEnd w:id="137"/>
    </w:p>
    <w:p w14:paraId="55A859F5" w14:textId="142D2854" w:rsidR="00E507A4" w:rsidRPr="00C34C12" w:rsidRDefault="00E507A4" w:rsidP="00E507A4">
      <w:r w:rsidRPr="00C34C12">
        <w:t xml:space="preserve">All tests within the CAASPP System are secure. For the CAAs, every person having access to test materials maintains the security and confidentiality of the tests. ETS’ internal Code of Ethics requires that all test information, including tangible materials associated with the CAAs, confidential files, processes, and activities are kept secure. To ensure security for all tests that ETS develops or handles, ETS maintains an Office of Testing Integrity (OTI). A detailed description of the OTI and its mission is presented in subsection </w:t>
      </w:r>
      <w:hyperlink w:anchor="_ETS’_Office_of" w:history="1">
        <w:r w:rsidRPr="00C34C12">
          <w:rPr>
            <w:rStyle w:val="Hyperlink"/>
            <w:i/>
          </w:rPr>
          <w:t>5.7.1 ETS’ Office of Testing Integrity</w:t>
        </w:r>
      </w:hyperlink>
      <w:r w:rsidRPr="00C34C12">
        <w:t>.</w:t>
      </w:r>
    </w:p>
    <w:p w14:paraId="368FE073" w14:textId="77777777" w:rsidR="00E507A4" w:rsidRPr="00C34C12" w:rsidRDefault="00E507A4" w:rsidP="00E507A4">
      <w:pPr>
        <w:spacing w:after="60"/>
      </w:pPr>
      <w:r w:rsidRPr="00C34C12">
        <w:t xml:space="preserve">In pursuit of enforcing secure practices, ETS strives to safeguard the various processes involved in a test development and administration cycle. Those processes are listed in the following subsections and discussed in detail in </w:t>
      </w:r>
      <w:hyperlink w:anchor="_Test_Administration" w:history="1">
        <w:r w:rsidRPr="00C34C12">
          <w:rPr>
            <w:rStyle w:val="Hyperlink"/>
          </w:rPr>
          <w:t>chapter 5</w:t>
        </w:r>
      </w:hyperlink>
      <w:r w:rsidRPr="00C34C12">
        <w:t>:</w:t>
      </w:r>
    </w:p>
    <w:p w14:paraId="48A26A74" w14:textId="5C87C1DD" w:rsidR="00E507A4" w:rsidRPr="00C01D62" w:rsidRDefault="00E507A4" w:rsidP="00E507A4">
      <w:pPr>
        <w:pStyle w:val="bullets-one"/>
      </w:pPr>
      <w:hyperlink w:anchor="_Procedures_to_Maintain" w:history="1">
        <w:r w:rsidRPr="00C01D62">
          <w:rPr>
            <w:rStyle w:val="Hyperlink"/>
          </w:rPr>
          <w:t>Standardization of test security</w:t>
        </w:r>
      </w:hyperlink>
    </w:p>
    <w:p w14:paraId="19DAB358" w14:textId="5F251CEA" w:rsidR="00E507A4" w:rsidRPr="00C01D62" w:rsidRDefault="00E507A4" w:rsidP="00E507A4">
      <w:pPr>
        <w:pStyle w:val="bullets-one"/>
      </w:pPr>
      <w:hyperlink w:anchor="_Security_of_Electronic" w:history="1">
        <w:r w:rsidRPr="00C01D62">
          <w:rPr>
            <w:rStyle w:val="Hyperlink"/>
          </w:rPr>
          <w:t>Security of electronic files using a firewall</w:t>
        </w:r>
      </w:hyperlink>
    </w:p>
    <w:p w14:paraId="761EEA37" w14:textId="2DD330D9" w:rsidR="00E507A4" w:rsidRPr="00C01D62" w:rsidRDefault="00E507A4" w:rsidP="00E507A4">
      <w:pPr>
        <w:pStyle w:val="bullets-one"/>
      </w:pPr>
      <w:hyperlink w:anchor="_Transfer_of_Scores" w:history="1">
        <w:r w:rsidRPr="00C01D62">
          <w:rPr>
            <w:rStyle w:val="Hyperlink"/>
          </w:rPr>
          <w:t>Transfer of scores via secure data exchange</w:t>
        </w:r>
      </w:hyperlink>
    </w:p>
    <w:p w14:paraId="1B0C497A" w14:textId="1A05C7A1" w:rsidR="00E507A4" w:rsidRPr="002F795A" w:rsidRDefault="00E507A4" w:rsidP="00E507A4">
      <w:pPr>
        <w:pStyle w:val="bullets-one"/>
      </w:pPr>
      <w:hyperlink w:anchor="_Data_Management_in" w:history="1">
        <w:r w:rsidRPr="00C01D62">
          <w:rPr>
            <w:rStyle w:val="Hyperlink"/>
          </w:rPr>
          <w:t>Data management</w:t>
        </w:r>
      </w:hyperlink>
    </w:p>
    <w:p w14:paraId="416B8CC9" w14:textId="6AC83A50" w:rsidR="00E507A4" w:rsidRPr="00C01D62" w:rsidRDefault="00E507A4" w:rsidP="00976D73">
      <w:pPr>
        <w:pStyle w:val="bullets-one"/>
      </w:pPr>
      <w:hyperlink w:anchor="_Statistical_Analysis_on" w:history="1">
        <w:r w:rsidRPr="00C01D62">
          <w:rPr>
            <w:rStyle w:val="Hyperlink"/>
          </w:rPr>
          <w:t>Statistical analysis</w:t>
        </w:r>
      </w:hyperlink>
    </w:p>
    <w:p w14:paraId="5604CF17" w14:textId="1E71EC33" w:rsidR="00E507A4" w:rsidRPr="00C01D62" w:rsidRDefault="00E507A4" w:rsidP="00976D73">
      <w:pPr>
        <w:pStyle w:val="bullets-one"/>
      </w:pPr>
      <w:hyperlink w:anchor="_Student_Confidentiality" w:history="1">
        <w:r w:rsidRPr="00C01D62">
          <w:rPr>
            <w:rStyle w:val="Hyperlink"/>
          </w:rPr>
          <w:t>Student confidentiality</w:t>
        </w:r>
      </w:hyperlink>
    </w:p>
    <w:p w14:paraId="40171F46" w14:textId="6AA17527" w:rsidR="0082667B" w:rsidRDefault="0082667B" w:rsidP="004F2F2C">
      <w:pPr>
        <w:pStyle w:val="Heading4"/>
      </w:pPr>
      <w:bookmarkStart w:id="138" w:name="_Toc182555117"/>
      <w:r w:rsidRPr="004B2D24">
        <w:lastRenderedPageBreak/>
        <w:t>Procedures to Maintain Standardization</w:t>
      </w:r>
      <w:bookmarkEnd w:id="138"/>
    </w:p>
    <w:p w14:paraId="112B661A" w14:textId="77777777" w:rsidR="00E507A4" w:rsidRPr="00C34C12" w:rsidRDefault="00E507A4" w:rsidP="00E507A4">
      <w:r w:rsidRPr="00C34C12">
        <w:t>ETS takes all necessary measures to ensure the standardization of CAA test administration by individual test examiners. The measures for standardization include, but are not limited to, the aspects described in these subsections.</w:t>
      </w:r>
    </w:p>
    <w:p w14:paraId="6CF68CB6" w14:textId="4E1B5BBD" w:rsidR="0082667B" w:rsidRDefault="0082667B" w:rsidP="004F2F2C">
      <w:pPr>
        <w:pStyle w:val="Heading5"/>
      </w:pPr>
      <w:r w:rsidRPr="004B2D24">
        <w:t>Test Administration</w:t>
      </w:r>
    </w:p>
    <w:p w14:paraId="5793B0B2" w14:textId="77777777" w:rsidR="00E507A4" w:rsidRPr="00C34C12" w:rsidRDefault="00E507A4" w:rsidP="00E507A4">
      <w:r w:rsidRPr="00C34C12">
        <w:t xml:space="preserve">ETS employs processes to ensure the standardization of an administration cycle; these processes are discussed in more detail in </w:t>
      </w:r>
      <w:hyperlink w:anchor="_Test_Administration" w:history="1">
        <w:r w:rsidRPr="00C34C12">
          <w:rPr>
            <w:rStyle w:val="Hyperlink"/>
            <w:i/>
          </w:rPr>
          <w:t>Chapter 5: Test Administration</w:t>
        </w:r>
      </w:hyperlink>
      <w:r w:rsidRPr="00C34C12">
        <w:t>.</w:t>
      </w:r>
    </w:p>
    <w:p w14:paraId="57EE857D" w14:textId="3430E9C6" w:rsidR="00E507A4" w:rsidRPr="00C34C12" w:rsidRDefault="00E507A4" w:rsidP="00E507A4">
      <w:r w:rsidRPr="00C34C12">
        <w:t>All staff at LEAs that are involved in the CAASPP administration, including CAA for Science administration, are provided</w:t>
      </w:r>
      <w:r w:rsidR="00985C2B">
        <w:t xml:space="preserve"> with</w:t>
      </w:r>
      <w:r w:rsidRPr="00C34C12">
        <w:t xml:space="preserve"> directions about their responsibilities. Their roles include </w:t>
      </w:r>
      <w:bookmarkStart w:id="139" w:name="_Hlk67386417"/>
      <w:r w:rsidRPr="00C34C12">
        <w:t xml:space="preserve">LEA CAASPP coordinators, CAASPP test site coordinators, and CAA test examiners. The responsibilities of each of the staff members specifically for the CAAs are described in the </w:t>
      </w:r>
      <w:r w:rsidR="005B5F28" w:rsidRPr="00C34C12">
        <w:rPr>
          <w:i/>
        </w:rPr>
        <w:t>201</w:t>
      </w:r>
      <w:r w:rsidR="005B5F28">
        <w:rPr>
          <w:i/>
        </w:rPr>
        <w:t>9</w:t>
      </w:r>
      <w:r w:rsidRPr="00C34C12">
        <w:rPr>
          <w:i/>
        </w:rPr>
        <w:t>–</w:t>
      </w:r>
      <w:r w:rsidR="00EB6DAC">
        <w:rPr>
          <w:i/>
        </w:rPr>
        <w:t>20</w:t>
      </w:r>
      <w:r w:rsidR="005B5F28">
        <w:rPr>
          <w:i/>
        </w:rPr>
        <w:t>20</w:t>
      </w:r>
      <w:r w:rsidR="005B5F28" w:rsidRPr="00C34C12">
        <w:rPr>
          <w:i/>
        </w:rPr>
        <w:t xml:space="preserve"> </w:t>
      </w:r>
      <w:r w:rsidRPr="00C34C12">
        <w:rPr>
          <w:i/>
        </w:rPr>
        <w:t xml:space="preserve">CAASPP Online Test Administration Manual </w:t>
      </w:r>
      <w:r w:rsidRPr="00C34C12">
        <w:t>(CDE, 20</w:t>
      </w:r>
      <w:r w:rsidR="00AD4FCB">
        <w:t>20c</w:t>
      </w:r>
      <w:r w:rsidRPr="00C34C12">
        <w:t>)</w:t>
      </w:r>
      <w:r w:rsidRPr="00C34C12">
        <w:rPr>
          <w:rFonts w:eastAsia="Times New Roman"/>
        </w:rPr>
        <w:t>.</w:t>
      </w:r>
    </w:p>
    <w:bookmarkEnd w:id="139"/>
    <w:p w14:paraId="49811F3F" w14:textId="6A2EC468" w:rsidR="0082667B" w:rsidRDefault="0082667B" w:rsidP="004F2F2C">
      <w:pPr>
        <w:pStyle w:val="Heading5"/>
      </w:pPr>
      <w:r w:rsidRPr="004B2D24">
        <w:t>Test Directions</w:t>
      </w:r>
    </w:p>
    <w:p w14:paraId="46ED91F2" w14:textId="5B71BD99" w:rsidR="00E507A4" w:rsidRPr="00C34C12" w:rsidRDefault="00E507A4" w:rsidP="00E507A4">
      <w:pPr>
        <w:rPr>
          <w:i/>
        </w:rPr>
      </w:pPr>
      <w:r w:rsidRPr="00C34C12">
        <w:t>Several series of instructions regarding the CAASPP, including administration of the CAA for Science, are compiled in detailed manuals and provided to LEA staff. Such documents include, but are not limited to, the following:</w:t>
      </w:r>
    </w:p>
    <w:p w14:paraId="2304DA6A" w14:textId="78E356F5" w:rsidR="00E507A4" w:rsidRPr="00C34C12" w:rsidRDefault="00E507A4" w:rsidP="00B33B75">
      <w:pPr>
        <w:pStyle w:val="bullets"/>
        <w:numPr>
          <w:ilvl w:val="0"/>
          <w:numId w:val="69"/>
        </w:numPr>
        <w:tabs>
          <w:tab w:val="clear" w:pos="727"/>
        </w:tabs>
        <w:ind w:left="864" w:hanging="288"/>
      </w:pPr>
      <w:r w:rsidRPr="00C34C12">
        <w:rPr>
          <w:b/>
          <w:bCs/>
          <w:i/>
          <w:iCs/>
        </w:rPr>
        <w:t>CAA for Science DFA</w:t>
      </w:r>
      <w:r w:rsidRPr="00C34C12">
        <w:rPr>
          <w:b/>
          <w:bCs/>
        </w:rPr>
        <w:t>s—</w:t>
      </w:r>
      <w:r w:rsidR="0048182E">
        <w:t xml:space="preserve">The secure, grade-level </w:t>
      </w:r>
      <w:r w:rsidR="0048182E">
        <w:rPr>
          <w:i/>
          <w:iCs/>
        </w:rPr>
        <w:t>DFAs</w:t>
      </w:r>
      <w:r w:rsidR="0048182E">
        <w:t xml:space="preserve"> are</w:t>
      </w:r>
      <w:r w:rsidRPr="00C34C12">
        <w:t xml:space="preserve"> manual</w:t>
      </w:r>
      <w:r w:rsidR="0048182E">
        <w:t>s</w:t>
      </w:r>
      <w:r w:rsidRPr="00C34C12">
        <w:t xml:space="preserve"> that provide the script to be followed exactly by test examiners during a testing session. The </w:t>
      </w:r>
      <w:r w:rsidRPr="00C34C12">
        <w:rPr>
          <w:i/>
          <w:iCs/>
        </w:rPr>
        <w:t>DFAs</w:t>
      </w:r>
      <w:r w:rsidRPr="00C34C12">
        <w:t xml:space="preserve"> for the CAA for Science contain </w:t>
      </w:r>
      <w:r w:rsidR="00677323">
        <w:t>embedded PT</w:t>
      </w:r>
      <w:r w:rsidR="0048182E">
        <w:t>–</w:t>
      </w:r>
      <w:r w:rsidRPr="00C34C12">
        <w:t>specific instructions</w:t>
      </w:r>
      <w:r w:rsidR="00677323">
        <w:t xml:space="preserve">. Each version of each grade-level CAA for Science has a </w:t>
      </w:r>
      <w:r w:rsidR="00677323">
        <w:rPr>
          <w:i/>
          <w:iCs/>
        </w:rPr>
        <w:t>DFA</w:t>
      </w:r>
      <w:r w:rsidR="00677323">
        <w:t xml:space="preserve"> for each embedded PT for that grade level</w:t>
      </w:r>
      <w:r w:rsidRPr="00C34C12">
        <w:t xml:space="preserve">. (Refer to </w:t>
      </w:r>
      <w:hyperlink w:anchor="_Directions_for_Administration" w:history="1">
        <w:r w:rsidRPr="00C34C12">
          <w:rPr>
            <w:rStyle w:val="Hyperlink"/>
            <w:i/>
            <w:iCs/>
          </w:rPr>
          <w:t>5.4.4.1 Directions</w:t>
        </w:r>
        <w:r w:rsidRPr="00C34C12">
          <w:rPr>
            <w:rStyle w:val="Hyperlink"/>
          </w:rPr>
          <w:t xml:space="preserve"> </w:t>
        </w:r>
        <w:r w:rsidRPr="00C34C12">
          <w:rPr>
            <w:rStyle w:val="Hyperlink"/>
            <w:i/>
            <w:iCs/>
          </w:rPr>
          <w:t>for</w:t>
        </w:r>
        <w:r w:rsidRPr="00C34C12">
          <w:rPr>
            <w:rStyle w:val="Hyperlink"/>
          </w:rPr>
          <w:t xml:space="preserve"> </w:t>
        </w:r>
        <w:r w:rsidRPr="00C34C12">
          <w:rPr>
            <w:rStyle w:val="Hyperlink"/>
            <w:i/>
            <w:iCs/>
          </w:rPr>
          <w:t>Administration</w:t>
        </w:r>
      </w:hyperlink>
      <w:r w:rsidRPr="00C34C12">
        <w:t xml:space="preserve"> in </w:t>
      </w:r>
      <w:hyperlink w:anchor="_Test_Administration" w:history="1">
        <w:r w:rsidRPr="00C34C12">
          <w:rPr>
            <w:rStyle w:val="Hyperlink"/>
          </w:rPr>
          <w:t>chapter 5</w:t>
        </w:r>
      </w:hyperlink>
      <w:r w:rsidRPr="00C34C12">
        <w:t xml:space="preserve"> for more information.)</w:t>
      </w:r>
    </w:p>
    <w:p w14:paraId="0C3BE4C2" w14:textId="46FD5301" w:rsidR="00E507A4" w:rsidRPr="00F3659A" w:rsidRDefault="00E507A4" w:rsidP="00B33B75">
      <w:pPr>
        <w:pStyle w:val="bullets"/>
        <w:numPr>
          <w:ilvl w:val="0"/>
          <w:numId w:val="69"/>
        </w:numPr>
        <w:tabs>
          <w:tab w:val="clear" w:pos="727"/>
        </w:tabs>
        <w:ind w:left="864" w:hanging="288"/>
        <w:rPr>
          <w:b/>
          <w:bCs/>
        </w:rPr>
      </w:pPr>
      <w:bookmarkStart w:id="140" w:name="_Hlk67386438"/>
      <w:r w:rsidRPr="00C34C12">
        <w:rPr>
          <w:b/>
          <w:bCs/>
          <w:i/>
          <w:iCs/>
        </w:rPr>
        <w:t>CAASPP Online Test Administration Manual</w:t>
      </w:r>
      <w:r w:rsidRPr="00C34C12">
        <w:rPr>
          <w:b/>
          <w:bCs/>
        </w:rPr>
        <w:t>—</w:t>
      </w:r>
      <w:r w:rsidR="0048182E">
        <w:t>This is a</w:t>
      </w:r>
      <w:r w:rsidRPr="00C34C12">
        <w:t xml:space="preserve"> manual that provides test administration procedures and guidelines for LEA CAASPP coordinators, CAASPP test site coordinators, test examiners, and test administrators (CDE, 20</w:t>
      </w:r>
      <w:r w:rsidR="00AD4FCB">
        <w:t>20c</w:t>
      </w:r>
      <w:r w:rsidRPr="00C34C12">
        <w:t xml:space="preserve">). (Refer to </w:t>
      </w:r>
      <w:hyperlink w:anchor="_CAASPP_Online_Test" w:history="1">
        <w:r w:rsidRPr="00C74703">
          <w:rPr>
            <w:rStyle w:val="Hyperlink"/>
            <w:i/>
            <w:iCs/>
          </w:rPr>
          <w:t>5.4.4.2 CAASPP</w:t>
        </w:r>
        <w:r w:rsidRPr="00C74703">
          <w:rPr>
            <w:rStyle w:val="Hyperlink"/>
          </w:rPr>
          <w:t xml:space="preserve"> </w:t>
        </w:r>
        <w:r w:rsidRPr="00C74703">
          <w:rPr>
            <w:rStyle w:val="Hyperlink"/>
            <w:i/>
            <w:iCs/>
          </w:rPr>
          <w:t>Online</w:t>
        </w:r>
        <w:r w:rsidRPr="00C74703">
          <w:rPr>
            <w:rStyle w:val="Hyperlink"/>
          </w:rPr>
          <w:t xml:space="preserve"> </w:t>
        </w:r>
        <w:r w:rsidRPr="00C74703">
          <w:rPr>
            <w:rStyle w:val="Hyperlink"/>
            <w:i/>
            <w:iCs/>
          </w:rPr>
          <w:t>Test</w:t>
        </w:r>
        <w:r w:rsidRPr="00C74703">
          <w:rPr>
            <w:rStyle w:val="Hyperlink"/>
          </w:rPr>
          <w:t xml:space="preserve"> </w:t>
        </w:r>
        <w:r w:rsidRPr="00C74703">
          <w:rPr>
            <w:rStyle w:val="Hyperlink"/>
            <w:i/>
            <w:iCs/>
          </w:rPr>
          <w:t>Administration</w:t>
        </w:r>
        <w:r w:rsidRPr="00C74703">
          <w:rPr>
            <w:rStyle w:val="Hyperlink"/>
          </w:rPr>
          <w:t xml:space="preserve"> </w:t>
        </w:r>
        <w:r w:rsidRPr="00C74703">
          <w:rPr>
            <w:rStyle w:val="Hyperlink"/>
            <w:i/>
            <w:iCs/>
          </w:rPr>
          <w:t>Manual</w:t>
        </w:r>
      </w:hyperlink>
      <w:r w:rsidRPr="00C34C12">
        <w:t xml:space="preserve"> in </w:t>
      </w:r>
      <w:hyperlink w:anchor="_Test_Administration" w:history="1">
        <w:r w:rsidRPr="00C74703">
          <w:rPr>
            <w:rStyle w:val="Hyperlink"/>
          </w:rPr>
          <w:t>chapter 5</w:t>
        </w:r>
      </w:hyperlink>
      <w:r w:rsidRPr="00C34C12">
        <w:t xml:space="preserve"> for more information.)</w:t>
      </w:r>
    </w:p>
    <w:p w14:paraId="5D22E8F5" w14:textId="2F9A1267" w:rsidR="001C3724" w:rsidRPr="00C34C12" w:rsidRDefault="001C3724" w:rsidP="00B33B75">
      <w:pPr>
        <w:pStyle w:val="bullets"/>
        <w:numPr>
          <w:ilvl w:val="0"/>
          <w:numId w:val="69"/>
        </w:numPr>
        <w:tabs>
          <w:tab w:val="clear" w:pos="727"/>
        </w:tabs>
        <w:ind w:left="864" w:hanging="288"/>
        <w:rPr>
          <w:b/>
          <w:bCs/>
        </w:rPr>
      </w:pPr>
      <w:r>
        <w:rPr>
          <w:b/>
          <w:i/>
        </w:rPr>
        <w:t xml:space="preserve">CAASPP and English Language Proficiency Assessments for California (ELPAC) </w:t>
      </w:r>
      <w:r w:rsidRPr="00124D70">
        <w:rPr>
          <w:b/>
          <w:i/>
        </w:rPr>
        <w:t>Test Operations Management System (TOMS)</w:t>
      </w:r>
      <w:r>
        <w:rPr>
          <w:b/>
          <w:i/>
        </w:rPr>
        <w:t xml:space="preserve"> User</w:t>
      </w:r>
      <w:r w:rsidRPr="00124D70">
        <w:rPr>
          <w:b/>
          <w:i/>
        </w:rPr>
        <w:t xml:space="preserve"> Guide</w:t>
      </w:r>
      <w:r w:rsidRPr="00596FBE">
        <w:rPr>
          <w:b/>
        </w:rPr>
        <w:t>—</w:t>
      </w:r>
      <w:r w:rsidRPr="00172407">
        <w:rPr>
          <w:bCs/>
        </w:rPr>
        <w:t xml:space="preserve">This is </w:t>
      </w:r>
      <w:r>
        <w:t>a</w:t>
      </w:r>
      <w:r w:rsidRPr="00596FBE">
        <w:t xml:space="preserve"> manual that provides instructions for TOMS allowing LEA staff, including LEA CAASPP coordinators and CAASPP test site coordinators, to perform a number of tasks including setting up test administrations, adding and managing users, assigning tests, configuring online student test settings</w:t>
      </w:r>
      <w:r w:rsidR="007E34AA">
        <w:t xml:space="preserve">, and accessing the secure </w:t>
      </w:r>
      <w:r w:rsidR="007E34AA">
        <w:rPr>
          <w:i/>
          <w:iCs/>
        </w:rPr>
        <w:t>DFAs</w:t>
      </w:r>
      <w:r w:rsidRPr="00596FBE">
        <w:t xml:space="preserve"> (CDE, </w:t>
      </w:r>
      <w:r>
        <w:t>2020</w:t>
      </w:r>
      <w:r w:rsidR="00AD4FCB">
        <w:t>b</w:t>
      </w:r>
      <w:r w:rsidRPr="00596FBE">
        <w:t xml:space="preserve">). </w:t>
      </w:r>
      <w:r>
        <w:t xml:space="preserve">(Refer to </w:t>
      </w:r>
      <w:hyperlink w:anchor="_CAASPP_and_English_1">
        <w:r w:rsidRPr="7C80FCF0">
          <w:rPr>
            <w:rStyle w:val="Hyperlink"/>
            <w:i/>
            <w:iCs/>
          </w:rPr>
          <w:t>5.</w:t>
        </w:r>
        <w:r w:rsidR="00116D3B">
          <w:rPr>
            <w:rStyle w:val="Hyperlink"/>
            <w:i/>
            <w:iCs/>
          </w:rPr>
          <w:t>4</w:t>
        </w:r>
        <w:r w:rsidRPr="7C80FCF0">
          <w:rPr>
            <w:rStyle w:val="Hyperlink"/>
            <w:i/>
            <w:iCs/>
          </w:rPr>
          <w:t xml:space="preserve">.4.3 </w:t>
        </w:r>
        <w:r>
          <w:rPr>
            <w:rStyle w:val="Hyperlink"/>
            <w:i/>
            <w:iCs/>
          </w:rPr>
          <w:t xml:space="preserve">CAASPP and English Language Proficiency Assessments for California (ELPAC) </w:t>
        </w:r>
        <w:r w:rsidRPr="7C80FCF0">
          <w:rPr>
            <w:rStyle w:val="Hyperlink"/>
            <w:i/>
            <w:iCs/>
          </w:rPr>
          <w:t xml:space="preserve">TOMS </w:t>
        </w:r>
        <w:r>
          <w:rPr>
            <w:rStyle w:val="Hyperlink"/>
            <w:i/>
            <w:iCs/>
          </w:rPr>
          <w:t>User</w:t>
        </w:r>
        <w:r w:rsidRPr="7C80FCF0">
          <w:rPr>
            <w:rStyle w:val="Hyperlink"/>
            <w:i/>
            <w:iCs/>
          </w:rPr>
          <w:t xml:space="preserve"> Guide</w:t>
        </w:r>
      </w:hyperlink>
      <w:r>
        <w:t xml:space="preserve"> in </w:t>
      </w:r>
      <w:hyperlink w:anchor="_Test_Administration">
        <w:r w:rsidRPr="7C80FCF0">
          <w:rPr>
            <w:rStyle w:val="Hyperlink"/>
          </w:rPr>
          <w:t>chapter 5</w:t>
        </w:r>
      </w:hyperlink>
      <w:r>
        <w:t xml:space="preserve"> for more information.)</w:t>
      </w:r>
    </w:p>
    <w:p w14:paraId="25F3AEC0" w14:textId="30D40623" w:rsidR="002E3D9C" w:rsidRDefault="002E3D9C" w:rsidP="002F2997">
      <w:pPr>
        <w:pStyle w:val="Heading3"/>
        <w:keepLines/>
      </w:pPr>
      <w:bookmarkStart w:id="141" w:name="_Toc66787349"/>
      <w:bookmarkStart w:id="142" w:name="_Toc66787808"/>
      <w:bookmarkStart w:id="143" w:name="_Toc67035400"/>
      <w:bookmarkStart w:id="144" w:name="_Toc67319264"/>
      <w:bookmarkStart w:id="145" w:name="_Toc67382376"/>
      <w:bookmarkStart w:id="146" w:name="_Toc67465934"/>
      <w:bookmarkStart w:id="147" w:name="_Toc68088919"/>
      <w:bookmarkStart w:id="148" w:name="_Toc68107768"/>
      <w:bookmarkStart w:id="149" w:name="_Toc66787350"/>
      <w:bookmarkStart w:id="150" w:name="_Toc66787809"/>
      <w:bookmarkStart w:id="151" w:name="_Ref54770168"/>
      <w:bookmarkStart w:id="152" w:name="_Toc182555118"/>
      <w:bookmarkEnd w:id="140"/>
      <w:bookmarkEnd w:id="141"/>
      <w:bookmarkEnd w:id="142"/>
      <w:bookmarkEnd w:id="143"/>
      <w:bookmarkEnd w:id="144"/>
      <w:bookmarkEnd w:id="145"/>
      <w:bookmarkEnd w:id="146"/>
      <w:bookmarkEnd w:id="147"/>
      <w:bookmarkEnd w:id="148"/>
      <w:bookmarkEnd w:id="149"/>
      <w:bookmarkEnd w:id="150"/>
      <w:r>
        <w:t>Test</w:t>
      </w:r>
      <w:r w:rsidR="00FE721A">
        <w:t>-</w:t>
      </w:r>
      <w:r>
        <w:t>Taking Rates</w:t>
      </w:r>
      <w:bookmarkEnd w:id="151"/>
      <w:bookmarkEnd w:id="152"/>
    </w:p>
    <w:p w14:paraId="0087DD5A" w14:textId="782A08F3" w:rsidR="00E507A4" w:rsidRPr="00C34C12" w:rsidRDefault="00E507A4" w:rsidP="001A00B1">
      <w:r w:rsidRPr="00C34C12">
        <w:t xml:space="preserve">The decision to assign a student to take the CAA for Science is made by the student’s individualized education program (IEP) team, which uses the information on the </w:t>
      </w:r>
      <w:r w:rsidR="00C7469E">
        <w:t xml:space="preserve">CDE </w:t>
      </w:r>
      <w:r w:rsidRPr="00C34C12">
        <w:t xml:space="preserve">Alternate </w:t>
      </w:r>
      <w:bookmarkStart w:id="153" w:name="_Hlk67386458"/>
      <w:r w:rsidRPr="00C34C12">
        <w:t>Assessment IEP Team Guidance web page to make that determination. This web page describes the CAA and its administration, criteria for test takers, and the students who should be assigned to take this test (CDE, 2019</w:t>
      </w:r>
      <w:r w:rsidR="00AD4FCB">
        <w:t>a</w:t>
      </w:r>
      <w:r w:rsidRPr="00C34C12">
        <w:t>).</w:t>
      </w:r>
    </w:p>
    <w:bookmarkEnd w:id="153"/>
    <w:p w14:paraId="77437FE9" w14:textId="77777777" w:rsidR="00E507A4" w:rsidRPr="00C34C12" w:rsidRDefault="00E507A4" w:rsidP="001A00B1">
      <w:pPr>
        <w:keepNext/>
      </w:pPr>
      <w:r w:rsidRPr="00C34C12">
        <w:lastRenderedPageBreak/>
        <w:t>A student must meet all three of the following criteria to take the CAA for Science:</w:t>
      </w:r>
    </w:p>
    <w:p w14:paraId="738F1304" w14:textId="77777777" w:rsidR="00E507A4" w:rsidRPr="00C34C12" w:rsidRDefault="00E507A4" w:rsidP="00B33B75">
      <w:pPr>
        <w:pStyle w:val="Numbered"/>
        <w:keepLines/>
        <w:numPr>
          <w:ilvl w:val="0"/>
          <w:numId w:val="71"/>
        </w:numPr>
        <w:spacing w:before="0"/>
        <w:ind w:left="864" w:hanging="288"/>
      </w:pPr>
      <w:r w:rsidRPr="00C34C12">
        <w:rPr>
          <w:b/>
          <w:bCs/>
        </w:rPr>
        <w:t>The student has a significant cognitive disability.</w:t>
      </w:r>
      <w:r w:rsidRPr="00C34C12">
        <w:t xml:space="preserve"> Review of the student’s school records indicates a disability or multiple disabilities that significantly impact intellectual functioning and adaptive behavior essential for a person to live independently and to function safely in daily life.</w:t>
      </w:r>
    </w:p>
    <w:p w14:paraId="52D9721E" w14:textId="20E1C1FF" w:rsidR="00E507A4" w:rsidRPr="00C34C12" w:rsidRDefault="00E507A4" w:rsidP="00B33B75">
      <w:pPr>
        <w:pStyle w:val="Numbered"/>
        <w:numPr>
          <w:ilvl w:val="0"/>
          <w:numId w:val="70"/>
        </w:numPr>
        <w:spacing w:before="0"/>
        <w:ind w:left="864" w:hanging="288"/>
      </w:pPr>
      <w:r w:rsidRPr="00C34C12">
        <w:rPr>
          <w:b/>
          <w:bCs/>
        </w:rPr>
        <w:t xml:space="preserve">The student is learning content derived from the CA CCSS or the CA NGSS or is acquiring proficiency as identified in the 2012 English Language Development (ELD) Standards. </w:t>
      </w:r>
      <w:r w:rsidRPr="00C34C12">
        <w:t>Goals and instruction listed in the IEP for the student are linked to the grade-level CA CCSS, CA NGSS, or 2012 ELD Standards and address knowledge and skills that are appropriate and set high expectations for this student.</w:t>
      </w:r>
    </w:p>
    <w:p w14:paraId="7AFBD7DD" w14:textId="77777777" w:rsidR="00E507A4" w:rsidRPr="00C34C12" w:rsidRDefault="00E507A4" w:rsidP="00B33B75">
      <w:pPr>
        <w:pStyle w:val="Numbered"/>
        <w:numPr>
          <w:ilvl w:val="0"/>
          <w:numId w:val="70"/>
        </w:numPr>
        <w:ind w:left="864" w:hanging="288"/>
      </w:pPr>
      <w:r w:rsidRPr="00C34C12">
        <w:rPr>
          <w:b/>
          <w:bCs/>
        </w:rPr>
        <w:t>The student needs extensive, direct individualized instruction and substantial supports to achieve measurable gains in the grade-level and age-appropriate curriculum, including the following:</w:t>
      </w:r>
    </w:p>
    <w:p w14:paraId="2A9539DD" w14:textId="77777777" w:rsidR="00E507A4" w:rsidRPr="00C34C12" w:rsidRDefault="00E507A4" w:rsidP="00012009">
      <w:pPr>
        <w:pStyle w:val="bulletsIndented"/>
      </w:pPr>
      <w:r w:rsidRPr="00C34C12">
        <w:t>Instruction and support that are not of a temporary or transient nature</w:t>
      </w:r>
    </w:p>
    <w:p w14:paraId="39D9A170" w14:textId="77777777" w:rsidR="00E507A4" w:rsidRPr="00C34C12" w:rsidRDefault="00E507A4" w:rsidP="00012009">
      <w:pPr>
        <w:pStyle w:val="bulletsIndented"/>
      </w:pPr>
      <w:r w:rsidRPr="00C34C12">
        <w:t>Substantially adapted materials and individualized methods of accessing information in alternative ways to acquire, maintain, generalize, demonstrate, and transfer skills across multiple settings</w:t>
      </w:r>
    </w:p>
    <w:p w14:paraId="6D130A78" w14:textId="0BC99E81" w:rsidR="00E507A4" w:rsidRPr="00C34C12" w:rsidRDefault="00E507A4" w:rsidP="00E507A4">
      <w:r w:rsidRPr="00C34C12">
        <w:t>All students who were identified to take the CAAs were required to test.</w:t>
      </w:r>
    </w:p>
    <w:bookmarkStart w:id="154" w:name="_Hlk71641737"/>
    <w:p w14:paraId="682E1D6D" w14:textId="586D6F7E" w:rsidR="00C37E5C" w:rsidRDefault="00D263E0" w:rsidP="00D263E0">
      <w:r w:rsidRPr="00D263E0">
        <w:rPr>
          <w:rStyle w:val="Cross-Reference"/>
        </w:rPr>
        <w:fldChar w:fldCharType="begin"/>
      </w:r>
      <w:r w:rsidRPr="00D263E0">
        <w:rPr>
          <w:rStyle w:val="Cross-Reference"/>
        </w:rPr>
        <w:instrText xml:space="preserve"> REF _Ref182485715 \h </w:instrText>
      </w:r>
      <w:r>
        <w:rPr>
          <w:rStyle w:val="Cross-Reference"/>
        </w:rPr>
        <w:instrText xml:space="preserve"> \* MERGEFORMAT </w:instrText>
      </w:r>
      <w:r w:rsidRPr="00D263E0">
        <w:rPr>
          <w:rStyle w:val="Cross-Reference"/>
        </w:rPr>
      </w:r>
      <w:r w:rsidRPr="00D263E0">
        <w:rPr>
          <w:rStyle w:val="Cross-Reference"/>
        </w:rPr>
        <w:fldChar w:fldCharType="separate"/>
      </w:r>
      <w:r w:rsidR="00853110" w:rsidRPr="00853110">
        <w:rPr>
          <w:rStyle w:val="Cross-Reference"/>
        </w:rPr>
        <w:t>Table 2.1</w:t>
      </w:r>
      <w:r w:rsidRPr="00D263E0">
        <w:rPr>
          <w:rStyle w:val="Cross-Reference"/>
        </w:rPr>
        <w:fldChar w:fldCharType="end"/>
      </w:r>
      <w:r w:rsidR="00CA362A">
        <w:t xml:space="preserve"> presents</w:t>
      </w:r>
      <w:r w:rsidR="00E507A4" w:rsidRPr="00C34C12">
        <w:t xml:space="preserve"> the number of test takers</w:t>
      </w:r>
      <w:r w:rsidR="00B77D08">
        <w:t xml:space="preserve"> </w:t>
      </w:r>
      <w:r w:rsidR="00530C5F">
        <w:t>assigned</w:t>
      </w:r>
      <w:r w:rsidR="00B77D08">
        <w:t xml:space="preserve"> to take the CAA for Science </w:t>
      </w:r>
      <w:r w:rsidR="009C2658">
        <w:t>and the number of students who started</w:t>
      </w:r>
      <w:r w:rsidR="00D040FF">
        <w:t xml:space="preserve"> the CAA </w:t>
      </w:r>
      <w:r w:rsidR="000F1785">
        <w:t xml:space="preserve">for Science. </w:t>
      </w:r>
      <w:r w:rsidRPr="00D263E0">
        <w:rPr>
          <w:rStyle w:val="Cross-Reference"/>
        </w:rPr>
        <w:fldChar w:fldCharType="begin"/>
      </w:r>
      <w:r w:rsidRPr="00D263E0">
        <w:rPr>
          <w:rStyle w:val="Cross-Reference"/>
        </w:rPr>
        <w:instrText xml:space="preserve"> REF _Ref182485715 \h </w:instrText>
      </w:r>
      <w:r>
        <w:rPr>
          <w:rStyle w:val="Cross-Reference"/>
        </w:rPr>
        <w:instrText xml:space="preserve"> \* MERGEFORMAT </w:instrText>
      </w:r>
      <w:r w:rsidRPr="00D263E0">
        <w:rPr>
          <w:rStyle w:val="Cross-Reference"/>
        </w:rPr>
      </w:r>
      <w:r w:rsidRPr="00D263E0">
        <w:rPr>
          <w:rStyle w:val="Cross-Reference"/>
        </w:rPr>
        <w:fldChar w:fldCharType="separate"/>
      </w:r>
      <w:r w:rsidR="00853110" w:rsidRPr="00853110">
        <w:rPr>
          <w:rStyle w:val="Cross-Reference"/>
        </w:rPr>
        <w:t>Table 2.1</w:t>
      </w:r>
      <w:r w:rsidRPr="00D263E0">
        <w:rPr>
          <w:rStyle w:val="Cross-Reference"/>
        </w:rPr>
        <w:fldChar w:fldCharType="end"/>
      </w:r>
      <w:r w:rsidR="00D41EB4">
        <w:t xml:space="preserve"> also presents the number of students whose </w:t>
      </w:r>
      <w:r w:rsidR="009109E8">
        <w:t xml:space="preserve">test </w:t>
      </w:r>
      <w:r w:rsidR="00755A22">
        <w:t>expire</w:t>
      </w:r>
      <w:r w:rsidR="00D41EB4">
        <w:t>d,</w:t>
      </w:r>
      <w:r w:rsidR="000E21E9">
        <w:t xml:space="preserve"> whose test was</w:t>
      </w:r>
      <w:r w:rsidR="000C6C2C">
        <w:t xml:space="preserve"> force</w:t>
      </w:r>
      <w:r w:rsidR="00C37E5C">
        <w:t>-</w:t>
      </w:r>
      <w:r w:rsidR="000C6C2C">
        <w:t>complete</w:t>
      </w:r>
      <w:r w:rsidR="00C37E5C">
        <w:t>d</w:t>
      </w:r>
      <w:r w:rsidR="005556DC">
        <w:t>,</w:t>
      </w:r>
      <w:r w:rsidR="0000414C" w:rsidRPr="0000414C">
        <w:t xml:space="preserve"> </w:t>
      </w:r>
      <w:r w:rsidR="000E21E9">
        <w:t xml:space="preserve">or who submitted all four </w:t>
      </w:r>
      <w:r w:rsidR="00334447">
        <w:t xml:space="preserve">embedded </w:t>
      </w:r>
      <w:r w:rsidR="000E21E9">
        <w:t>PTs</w:t>
      </w:r>
      <w:r w:rsidR="000C6C2C">
        <w:t xml:space="preserve">. </w:t>
      </w:r>
      <w:r w:rsidR="002915A9" w:rsidDel="00444F73">
        <w:t xml:space="preserve">Students with an expired test started one or more embedded PTs but did not complete the </w:t>
      </w:r>
      <w:r w:rsidR="006B3154" w:rsidDel="00444F73">
        <w:t>started embedded PT(s)</w:t>
      </w:r>
      <w:r w:rsidR="00216421">
        <w:t xml:space="preserve">; these </w:t>
      </w:r>
      <w:r w:rsidR="005556DC">
        <w:t>embedded PTs</w:t>
      </w:r>
      <w:r w:rsidR="00216421">
        <w:t xml:space="preserve"> that were not submitted </w:t>
      </w:r>
      <w:r w:rsidR="0048618B">
        <w:t>by</w:t>
      </w:r>
      <w:r w:rsidR="00216421">
        <w:t xml:space="preserve"> a student were submitted for processing by the system</w:t>
      </w:r>
      <w:r w:rsidR="002915A9" w:rsidDel="00444F73">
        <w:t xml:space="preserve">. </w:t>
      </w:r>
      <w:r w:rsidR="00216421">
        <w:t xml:space="preserve">Students who had their tests force-completed had unused </w:t>
      </w:r>
      <w:r w:rsidR="005556DC">
        <w:t>embedded PTs</w:t>
      </w:r>
      <w:r w:rsidR="00216421">
        <w:t xml:space="preserve"> </w:t>
      </w:r>
      <w:r w:rsidR="00D34750">
        <w:t>that</w:t>
      </w:r>
      <w:r w:rsidR="00216421">
        <w:t xml:space="preserve"> required additional, manual steps to </w:t>
      </w:r>
      <w:r w:rsidR="0048618B">
        <w:t xml:space="preserve">submit for </w:t>
      </w:r>
      <w:r w:rsidR="00216421">
        <w:t>process</w:t>
      </w:r>
      <w:r w:rsidR="0048618B">
        <w:t>ing</w:t>
      </w:r>
      <w:r w:rsidR="005556DC">
        <w:t xml:space="preserve"> after the end of the statewide testing window</w:t>
      </w:r>
      <w:r w:rsidR="00216421">
        <w:t>.</w:t>
      </w:r>
    </w:p>
    <w:bookmarkEnd w:id="154"/>
    <w:p w14:paraId="510605AC" w14:textId="66D951A0" w:rsidR="000B5773" w:rsidRDefault="001B5FAD" w:rsidP="00E507A4">
      <w:r>
        <w:t>The majority of students</w:t>
      </w:r>
      <w:r w:rsidR="00C37E5C">
        <w:t xml:space="preserve"> assigned to take the CAA for Science</w:t>
      </w:r>
      <w:r>
        <w:t xml:space="preserve"> </w:t>
      </w:r>
      <w:r w:rsidR="00C37E5C">
        <w:t xml:space="preserve">had </w:t>
      </w:r>
      <w:r>
        <w:t>not start</w:t>
      </w:r>
      <w:r w:rsidR="00C37E5C">
        <w:t>ed</w:t>
      </w:r>
      <w:r>
        <w:t xml:space="preserve"> </w:t>
      </w:r>
      <w:r w:rsidR="00711DEE">
        <w:t>any of the</w:t>
      </w:r>
      <w:r w:rsidR="00C37E5C">
        <w:t xml:space="preserve"> embedded PT</w:t>
      </w:r>
      <w:r w:rsidR="00711DEE">
        <w:t>s</w:t>
      </w:r>
      <w:r>
        <w:t xml:space="preserve"> when testing was s</w:t>
      </w:r>
      <w:r w:rsidR="006A28B2">
        <w:t>uspended</w:t>
      </w:r>
      <w:r>
        <w:t xml:space="preserve"> on March 18, 2020</w:t>
      </w:r>
      <w:r w:rsidR="00F05760">
        <w:t xml:space="preserve"> </w:t>
      </w:r>
      <w:r w:rsidR="00D35C41">
        <w:t>per the governor’s emergency order, because of the COVID-19 pandemic (Office of Governor Gavin Newsom, 2020)</w:t>
      </w:r>
      <w:r>
        <w:t xml:space="preserve">. For grades five and eight, approximately half of the students who started the CAA for Science completed all four embedded PTs. </w:t>
      </w:r>
      <w:r w:rsidR="00D34E22">
        <w:t xml:space="preserve">Across the </w:t>
      </w:r>
      <w:r>
        <w:t xml:space="preserve">high school </w:t>
      </w:r>
      <w:r w:rsidR="00D34E22">
        <w:t>grades</w:t>
      </w:r>
      <w:r w:rsidR="002F2997">
        <w:t>,</w:t>
      </w:r>
      <w:r w:rsidR="00D34E22">
        <w:t xml:space="preserve"> </w:t>
      </w:r>
      <w:r w:rsidR="000C6D76">
        <w:t>more</w:t>
      </w:r>
      <w:r>
        <w:t xml:space="preserve"> than half of the students who started the test completed all four embedded PTs.</w:t>
      </w:r>
    </w:p>
    <w:p w14:paraId="3631DDF1" w14:textId="4B353594" w:rsidR="00752866" w:rsidRDefault="00752866" w:rsidP="00752866">
      <w:pPr>
        <w:keepNext/>
        <w:keepLines/>
        <w:spacing w:before="120"/>
      </w:pPr>
      <w:bookmarkStart w:id="155" w:name="_Ref67058449"/>
      <w:bookmarkStart w:id="156" w:name="_Ref61504346"/>
      <w:bookmarkStart w:id="157" w:name="_Toc67319681"/>
      <w:r>
        <w:t xml:space="preserve">Note that in </w:t>
      </w:r>
      <w:r w:rsidRPr="00752866">
        <w:rPr>
          <w:rStyle w:val="Cross-Reference"/>
        </w:rPr>
        <w:fldChar w:fldCharType="begin"/>
      </w:r>
      <w:r w:rsidRPr="00752866">
        <w:rPr>
          <w:rStyle w:val="Cross-Reference"/>
        </w:rPr>
        <w:instrText xml:space="preserve"> REF  _Ref182485715 \* Lower \h </w:instrText>
      </w:r>
      <w:r>
        <w:rPr>
          <w:rStyle w:val="Cross-Reference"/>
        </w:rPr>
        <w:instrText xml:space="preserve"> \* MERGEFORMAT </w:instrText>
      </w:r>
      <w:r w:rsidRPr="00752866">
        <w:rPr>
          <w:rStyle w:val="Cross-Reference"/>
        </w:rPr>
      </w:r>
      <w:r w:rsidRPr="00752866">
        <w:rPr>
          <w:rStyle w:val="Cross-Reference"/>
        </w:rPr>
        <w:fldChar w:fldCharType="separate"/>
      </w:r>
      <w:r w:rsidR="00853110" w:rsidRPr="00853110">
        <w:rPr>
          <w:rStyle w:val="Cross-Reference"/>
        </w:rPr>
        <w:t>table 2.1</w:t>
      </w:r>
      <w:r w:rsidRPr="00752866">
        <w:rPr>
          <w:rStyle w:val="Cross-Reference"/>
        </w:rPr>
        <w:fldChar w:fldCharType="end"/>
      </w:r>
      <w:r>
        <w:t>, the percentages of students with force-completed, expired, or submitted tests may not sum to the percentage of students who started the tests because of rounding.</w:t>
      </w:r>
    </w:p>
    <w:p w14:paraId="4516459C" w14:textId="665E37AF" w:rsidR="00FD1D7F" w:rsidRDefault="00FD1D7F" w:rsidP="00856AD1">
      <w:pPr>
        <w:pStyle w:val="Caption"/>
      </w:pPr>
      <w:bookmarkStart w:id="158" w:name="_Ref182485715"/>
      <w:bookmarkStart w:id="159" w:name="_Toc220498685"/>
      <w:r>
        <w:t xml:space="preserve">Table </w:t>
      </w:r>
      <w:r>
        <w:fldChar w:fldCharType="begin"/>
      </w:r>
      <w:r>
        <w:instrText>STYLEREF 2 \s</w:instrText>
      </w:r>
      <w:r>
        <w:fldChar w:fldCharType="separate"/>
      </w:r>
      <w:r w:rsidR="00961502">
        <w:rPr>
          <w:noProof/>
        </w:rPr>
        <w:t>2</w:t>
      </w:r>
      <w:r>
        <w:fldChar w:fldCharType="end"/>
      </w:r>
      <w:r w:rsidR="00A40753">
        <w:t>.</w:t>
      </w:r>
      <w:r>
        <w:fldChar w:fldCharType="begin"/>
      </w:r>
      <w:r>
        <w:instrText>SEQ Table \* ARABIC \s 2</w:instrText>
      </w:r>
      <w:r>
        <w:fldChar w:fldCharType="separate"/>
      </w:r>
      <w:r w:rsidR="00961502">
        <w:rPr>
          <w:noProof/>
        </w:rPr>
        <w:t>1</w:t>
      </w:r>
      <w:r>
        <w:fldChar w:fldCharType="end"/>
      </w:r>
      <w:bookmarkEnd w:id="155"/>
      <w:bookmarkEnd w:id="156"/>
      <w:bookmarkEnd w:id="158"/>
      <w:r>
        <w:t xml:space="preserve">  </w:t>
      </w:r>
      <w:r w:rsidRPr="004B2D24">
        <w:t>CAA for Science Test-Taking Rates—Registered Students</w:t>
      </w:r>
      <w:bookmarkEnd w:id="157"/>
      <w:bookmarkEnd w:id="159"/>
    </w:p>
    <w:tbl>
      <w:tblPr>
        <w:tblStyle w:val="TRs"/>
        <w:tblW w:w="10152" w:type="dxa"/>
        <w:tblLayout w:type="fixed"/>
        <w:tblCellMar>
          <w:left w:w="58" w:type="dxa"/>
          <w:right w:w="58" w:type="dxa"/>
        </w:tblCellMar>
        <w:tblLook w:val="04A0" w:firstRow="1" w:lastRow="0" w:firstColumn="1" w:lastColumn="0" w:noHBand="0" w:noVBand="1"/>
        <w:tblDescription w:val="CAA for Science Test-Taking Rates—Registered Students"/>
      </w:tblPr>
      <w:tblGrid>
        <w:gridCol w:w="3312"/>
        <w:gridCol w:w="1080"/>
        <w:gridCol w:w="1080"/>
        <w:gridCol w:w="1152"/>
        <w:gridCol w:w="1152"/>
        <w:gridCol w:w="1152"/>
        <w:gridCol w:w="1224"/>
      </w:tblGrid>
      <w:tr w:rsidR="008023B5" w:rsidRPr="004B2D24" w14:paraId="6F2AFF50" w14:textId="77777777" w:rsidTr="005F02B4">
        <w:trPr>
          <w:cnfStyle w:val="100000000000" w:firstRow="1" w:lastRow="0" w:firstColumn="0" w:lastColumn="0" w:oddVBand="0" w:evenVBand="0" w:oddHBand="0" w:evenHBand="0" w:firstRowFirstColumn="0" w:firstRowLastColumn="0" w:lastRowFirstColumn="0" w:lastRowLastColumn="0"/>
          <w:trHeight w:val="864"/>
        </w:trPr>
        <w:tc>
          <w:tcPr>
            <w:tcW w:w="3312" w:type="dxa"/>
            <w:hideMark/>
          </w:tcPr>
          <w:p w14:paraId="4055CF3D" w14:textId="77777777" w:rsidR="000B5773" w:rsidRPr="004B2D24" w:rsidRDefault="000B5773" w:rsidP="005F02B4">
            <w:pPr>
              <w:pStyle w:val="TableHead"/>
              <w:keepNext/>
              <w:rPr>
                <w:b w:val="0"/>
              </w:rPr>
            </w:pPr>
            <w:r w:rsidRPr="004B2D24">
              <w:t>Group</w:t>
            </w:r>
          </w:p>
        </w:tc>
        <w:tc>
          <w:tcPr>
            <w:tcW w:w="1080" w:type="dxa"/>
            <w:hideMark/>
          </w:tcPr>
          <w:p w14:paraId="36FC2A08" w14:textId="77777777" w:rsidR="000B5773" w:rsidRPr="004B2D24" w:rsidRDefault="000B5773" w:rsidP="005F02B4">
            <w:pPr>
              <w:pStyle w:val="TableHead"/>
              <w:rPr>
                <w:b w:val="0"/>
              </w:rPr>
            </w:pPr>
            <w:r w:rsidRPr="004B2D24">
              <w:t>Grade 5</w:t>
            </w:r>
          </w:p>
        </w:tc>
        <w:tc>
          <w:tcPr>
            <w:tcW w:w="1080" w:type="dxa"/>
          </w:tcPr>
          <w:p w14:paraId="02E54AB4" w14:textId="77777777" w:rsidR="000B5773" w:rsidRPr="004B2D24" w:rsidRDefault="000B5773" w:rsidP="005F02B4">
            <w:pPr>
              <w:pStyle w:val="TableHead"/>
              <w:rPr>
                <w:b w:val="0"/>
              </w:rPr>
            </w:pPr>
            <w:r w:rsidRPr="004B2D24">
              <w:t>Grade 8</w:t>
            </w:r>
          </w:p>
        </w:tc>
        <w:tc>
          <w:tcPr>
            <w:tcW w:w="1152" w:type="dxa"/>
          </w:tcPr>
          <w:p w14:paraId="316F8E0B" w14:textId="29AEA557" w:rsidR="000B5773" w:rsidRPr="004B2D24" w:rsidRDefault="000B5773" w:rsidP="005F02B4">
            <w:pPr>
              <w:pStyle w:val="TableHead"/>
              <w:ind w:left="72" w:right="72"/>
              <w:rPr>
                <w:b w:val="0"/>
              </w:rPr>
            </w:pPr>
            <w:r w:rsidRPr="004B2D24">
              <w:t>HS</w:t>
            </w:r>
            <w:r w:rsidR="00EE4AF6">
              <w:t xml:space="preserve"> </w:t>
            </w:r>
            <w:r w:rsidRPr="004B2D24">
              <w:t>Grade 10</w:t>
            </w:r>
          </w:p>
        </w:tc>
        <w:tc>
          <w:tcPr>
            <w:tcW w:w="1152" w:type="dxa"/>
          </w:tcPr>
          <w:p w14:paraId="1FA90DBF" w14:textId="2C09BBCB" w:rsidR="000B5773" w:rsidRPr="004B2D24" w:rsidRDefault="000B5773" w:rsidP="005F02B4">
            <w:pPr>
              <w:pStyle w:val="TableHead"/>
              <w:ind w:left="72" w:right="72"/>
              <w:rPr>
                <w:b w:val="0"/>
              </w:rPr>
            </w:pPr>
            <w:r w:rsidRPr="004B2D24">
              <w:t>HS</w:t>
            </w:r>
            <w:r w:rsidR="00EE4AF6">
              <w:t xml:space="preserve"> </w:t>
            </w:r>
            <w:r w:rsidRPr="004B2D24">
              <w:t>Grade 11</w:t>
            </w:r>
          </w:p>
        </w:tc>
        <w:tc>
          <w:tcPr>
            <w:tcW w:w="1152" w:type="dxa"/>
          </w:tcPr>
          <w:p w14:paraId="33812963" w14:textId="0C7635A3" w:rsidR="000B5773" w:rsidRPr="004B2D24" w:rsidRDefault="000B5773" w:rsidP="005F02B4">
            <w:pPr>
              <w:pStyle w:val="TableHead"/>
              <w:ind w:left="72" w:right="72"/>
              <w:rPr>
                <w:b w:val="0"/>
              </w:rPr>
            </w:pPr>
            <w:r w:rsidRPr="004B2D24">
              <w:t>HS</w:t>
            </w:r>
            <w:r w:rsidR="00EE4AF6">
              <w:t xml:space="preserve"> </w:t>
            </w:r>
            <w:r w:rsidRPr="004B2D24">
              <w:t>Grade 12</w:t>
            </w:r>
          </w:p>
        </w:tc>
        <w:tc>
          <w:tcPr>
            <w:tcW w:w="1224" w:type="dxa"/>
          </w:tcPr>
          <w:p w14:paraId="7D1D7C00" w14:textId="2DF46E5B" w:rsidR="000B5773" w:rsidRPr="004B2D24" w:rsidRDefault="000B5773" w:rsidP="005F02B4">
            <w:pPr>
              <w:pStyle w:val="TableHead"/>
              <w:ind w:left="72" w:right="72"/>
              <w:rPr>
                <w:b w:val="0"/>
              </w:rPr>
            </w:pPr>
            <w:r w:rsidRPr="004B2D24">
              <w:t>HS</w:t>
            </w:r>
            <w:r w:rsidR="00EE4AF6">
              <w:t xml:space="preserve"> </w:t>
            </w:r>
            <w:r w:rsidRPr="004B2D24">
              <w:t>All</w:t>
            </w:r>
            <w:r w:rsidR="00EE4AF6">
              <w:t xml:space="preserve"> </w:t>
            </w:r>
            <w:r w:rsidRPr="004B2D24">
              <w:t>Grades</w:t>
            </w:r>
          </w:p>
        </w:tc>
      </w:tr>
      <w:tr w:rsidR="0020487F" w:rsidRPr="004B2D24" w14:paraId="297907B8" w14:textId="77777777" w:rsidTr="00530C5F">
        <w:trPr>
          <w:trHeight w:val="282"/>
        </w:trPr>
        <w:tc>
          <w:tcPr>
            <w:tcW w:w="3312" w:type="dxa"/>
            <w:tcBorders>
              <w:top w:val="single" w:sz="4" w:space="0" w:color="auto"/>
              <w:bottom w:val="single" w:sz="4" w:space="0" w:color="auto"/>
            </w:tcBorders>
          </w:tcPr>
          <w:p w14:paraId="6E234073" w14:textId="7B5FD55E" w:rsidR="0020487F" w:rsidRPr="00D30369" w:rsidRDefault="0020487F" w:rsidP="00CB22F7">
            <w:pPr>
              <w:pStyle w:val="TableText"/>
              <w:keepNext/>
              <w:spacing w:before="0" w:after="0"/>
              <w:rPr>
                <w:szCs w:val="24"/>
              </w:rPr>
            </w:pPr>
            <w:r w:rsidRPr="004B2D24">
              <w:t xml:space="preserve">Number </w:t>
            </w:r>
            <w:r w:rsidR="00530C5F">
              <w:t>Assigned</w:t>
            </w:r>
          </w:p>
        </w:tc>
        <w:tc>
          <w:tcPr>
            <w:tcW w:w="1080" w:type="dxa"/>
            <w:tcBorders>
              <w:top w:val="single" w:sz="4" w:space="0" w:color="auto"/>
              <w:bottom w:val="single" w:sz="4" w:space="0" w:color="auto"/>
            </w:tcBorders>
          </w:tcPr>
          <w:p w14:paraId="596C7F80" w14:textId="4D8CBD70" w:rsidR="0020487F" w:rsidRPr="00B75B67" w:rsidRDefault="0000752B" w:rsidP="008D1BD2">
            <w:pPr>
              <w:pStyle w:val="TableText"/>
              <w:spacing w:before="0" w:after="0"/>
              <w:rPr>
                <w:szCs w:val="24"/>
              </w:rPr>
            </w:pPr>
            <w:r w:rsidRPr="008D1BD2">
              <w:rPr>
                <w:color w:val="000000"/>
                <w:szCs w:val="24"/>
              </w:rPr>
              <w:t>4</w:t>
            </w:r>
            <w:r w:rsidR="00682579">
              <w:rPr>
                <w:color w:val="000000"/>
                <w:szCs w:val="24"/>
              </w:rPr>
              <w:t>,</w:t>
            </w:r>
            <w:r w:rsidRPr="008D1BD2">
              <w:rPr>
                <w:color w:val="000000"/>
                <w:szCs w:val="24"/>
              </w:rPr>
              <w:t>249</w:t>
            </w:r>
          </w:p>
        </w:tc>
        <w:tc>
          <w:tcPr>
            <w:tcW w:w="1080" w:type="dxa"/>
            <w:tcBorders>
              <w:top w:val="single" w:sz="4" w:space="0" w:color="auto"/>
              <w:bottom w:val="single" w:sz="4" w:space="0" w:color="auto"/>
            </w:tcBorders>
          </w:tcPr>
          <w:p w14:paraId="326437EE" w14:textId="2BBB2C12" w:rsidR="0020487F" w:rsidRPr="00B75B67" w:rsidRDefault="0000752B" w:rsidP="008D1BD2">
            <w:pPr>
              <w:pStyle w:val="TableText"/>
              <w:spacing w:before="0" w:after="0"/>
              <w:rPr>
                <w:szCs w:val="24"/>
              </w:rPr>
            </w:pPr>
            <w:r w:rsidRPr="008D1BD2">
              <w:rPr>
                <w:color w:val="000000"/>
                <w:szCs w:val="24"/>
              </w:rPr>
              <w:t>4</w:t>
            </w:r>
            <w:r w:rsidR="00682579">
              <w:rPr>
                <w:color w:val="000000"/>
                <w:szCs w:val="24"/>
              </w:rPr>
              <w:t>,</w:t>
            </w:r>
            <w:r w:rsidRPr="008D1BD2">
              <w:rPr>
                <w:color w:val="000000"/>
                <w:szCs w:val="24"/>
              </w:rPr>
              <w:t>622</w:t>
            </w:r>
          </w:p>
        </w:tc>
        <w:tc>
          <w:tcPr>
            <w:tcW w:w="1152" w:type="dxa"/>
            <w:tcBorders>
              <w:top w:val="single" w:sz="4" w:space="0" w:color="auto"/>
              <w:bottom w:val="single" w:sz="4" w:space="0" w:color="auto"/>
            </w:tcBorders>
          </w:tcPr>
          <w:p w14:paraId="49C2648D" w14:textId="0706C289" w:rsidR="0020487F" w:rsidRPr="00B75B67" w:rsidRDefault="0000752B" w:rsidP="008D1BD2">
            <w:pPr>
              <w:pStyle w:val="TableText"/>
              <w:spacing w:before="0" w:after="0"/>
              <w:rPr>
                <w:szCs w:val="24"/>
              </w:rPr>
            </w:pPr>
            <w:r w:rsidRPr="008D1BD2">
              <w:rPr>
                <w:color w:val="000000"/>
                <w:szCs w:val="24"/>
              </w:rPr>
              <w:t>392</w:t>
            </w:r>
          </w:p>
        </w:tc>
        <w:tc>
          <w:tcPr>
            <w:tcW w:w="1152" w:type="dxa"/>
            <w:tcBorders>
              <w:top w:val="single" w:sz="4" w:space="0" w:color="auto"/>
              <w:bottom w:val="single" w:sz="4" w:space="0" w:color="auto"/>
            </w:tcBorders>
          </w:tcPr>
          <w:p w14:paraId="41984CD0" w14:textId="01640F5A" w:rsidR="0020487F" w:rsidRPr="00B75B67" w:rsidRDefault="0000752B" w:rsidP="008D1BD2">
            <w:pPr>
              <w:pStyle w:val="TableText"/>
              <w:spacing w:before="0" w:after="0"/>
              <w:rPr>
                <w:szCs w:val="24"/>
              </w:rPr>
            </w:pPr>
            <w:r w:rsidRPr="008D1BD2">
              <w:rPr>
                <w:color w:val="000000"/>
                <w:szCs w:val="24"/>
              </w:rPr>
              <w:t>2</w:t>
            </w:r>
            <w:r w:rsidR="00682579">
              <w:rPr>
                <w:color w:val="000000"/>
                <w:szCs w:val="24"/>
              </w:rPr>
              <w:t>,</w:t>
            </w:r>
            <w:r w:rsidRPr="008D1BD2">
              <w:rPr>
                <w:color w:val="000000"/>
                <w:szCs w:val="24"/>
              </w:rPr>
              <w:t>832</w:t>
            </w:r>
          </w:p>
        </w:tc>
        <w:tc>
          <w:tcPr>
            <w:tcW w:w="1152" w:type="dxa"/>
            <w:tcBorders>
              <w:top w:val="single" w:sz="4" w:space="0" w:color="auto"/>
              <w:bottom w:val="single" w:sz="4" w:space="0" w:color="auto"/>
            </w:tcBorders>
          </w:tcPr>
          <w:p w14:paraId="249A4F86" w14:textId="402EF1CE" w:rsidR="0020487F" w:rsidRPr="00B75B67" w:rsidRDefault="0000752B" w:rsidP="008D1BD2">
            <w:pPr>
              <w:pStyle w:val="TableText"/>
              <w:spacing w:before="0" w:after="0"/>
              <w:rPr>
                <w:szCs w:val="24"/>
              </w:rPr>
            </w:pPr>
            <w:r w:rsidRPr="008D1BD2">
              <w:rPr>
                <w:color w:val="000000"/>
                <w:szCs w:val="24"/>
              </w:rPr>
              <w:t>1</w:t>
            </w:r>
            <w:r w:rsidR="00682579">
              <w:rPr>
                <w:color w:val="000000"/>
                <w:szCs w:val="24"/>
              </w:rPr>
              <w:t>,</w:t>
            </w:r>
            <w:r w:rsidRPr="008D1BD2">
              <w:rPr>
                <w:color w:val="000000"/>
                <w:szCs w:val="24"/>
              </w:rPr>
              <w:t>546</w:t>
            </w:r>
          </w:p>
        </w:tc>
        <w:tc>
          <w:tcPr>
            <w:tcW w:w="1224" w:type="dxa"/>
            <w:tcBorders>
              <w:top w:val="single" w:sz="4" w:space="0" w:color="auto"/>
              <w:bottom w:val="single" w:sz="4" w:space="0" w:color="auto"/>
            </w:tcBorders>
          </w:tcPr>
          <w:p w14:paraId="0AC7AE5E" w14:textId="2A5140CD" w:rsidR="0020487F" w:rsidRPr="00B75B67" w:rsidRDefault="0000752B" w:rsidP="008D1BD2">
            <w:pPr>
              <w:pStyle w:val="TableText"/>
              <w:spacing w:before="0" w:after="0"/>
              <w:rPr>
                <w:szCs w:val="24"/>
              </w:rPr>
            </w:pPr>
            <w:r w:rsidRPr="008D1BD2">
              <w:rPr>
                <w:color w:val="000000"/>
                <w:szCs w:val="24"/>
              </w:rPr>
              <w:t>4</w:t>
            </w:r>
            <w:r w:rsidR="00682579">
              <w:rPr>
                <w:color w:val="000000"/>
                <w:szCs w:val="24"/>
              </w:rPr>
              <w:t>,</w:t>
            </w:r>
            <w:r w:rsidRPr="008D1BD2">
              <w:rPr>
                <w:color w:val="000000"/>
                <w:szCs w:val="24"/>
              </w:rPr>
              <w:t>770</w:t>
            </w:r>
          </w:p>
        </w:tc>
      </w:tr>
      <w:tr w:rsidR="0020487F" w:rsidRPr="004B2D24" w14:paraId="20A37A38" w14:textId="77777777" w:rsidTr="00530C5F">
        <w:trPr>
          <w:trHeight w:val="282"/>
        </w:trPr>
        <w:tc>
          <w:tcPr>
            <w:tcW w:w="3312" w:type="dxa"/>
            <w:tcBorders>
              <w:top w:val="single" w:sz="4" w:space="0" w:color="auto"/>
              <w:bottom w:val="nil"/>
            </w:tcBorders>
          </w:tcPr>
          <w:p w14:paraId="18A30DB1" w14:textId="26895E54" w:rsidR="0020487F" w:rsidRPr="00D30369" w:rsidRDefault="0020487F" w:rsidP="00CB22F7">
            <w:pPr>
              <w:pStyle w:val="TableText"/>
              <w:keepNext/>
              <w:spacing w:before="0" w:after="0"/>
              <w:rPr>
                <w:szCs w:val="24"/>
              </w:rPr>
            </w:pPr>
            <w:r w:rsidRPr="004B2D24">
              <w:t>Number Started</w:t>
            </w:r>
          </w:p>
        </w:tc>
        <w:tc>
          <w:tcPr>
            <w:tcW w:w="1080" w:type="dxa"/>
            <w:tcBorders>
              <w:top w:val="single" w:sz="4" w:space="0" w:color="auto"/>
              <w:bottom w:val="nil"/>
            </w:tcBorders>
          </w:tcPr>
          <w:p w14:paraId="42510FA0" w14:textId="0EEFCE84" w:rsidR="0020487F" w:rsidRPr="00B75B67" w:rsidRDefault="0000752B" w:rsidP="008D1BD2">
            <w:pPr>
              <w:pStyle w:val="TableText"/>
              <w:spacing w:before="0" w:after="0"/>
              <w:rPr>
                <w:szCs w:val="24"/>
              </w:rPr>
            </w:pPr>
            <w:r w:rsidRPr="008D1BD2">
              <w:rPr>
                <w:color w:val="000000"/>
                <w:szCs w:val="24"/>
              </w:rPr>
              <w:t>737</w:t>
            </w:r>
          </w:p>
        </w:tc>
        <w:tc>
          <w:tcPr>
            <w:tcW w:w="1080" w:type="dxa"/>
            <w:tcBorders>
              <w:top w:val="single" w:sz="4" w:space="0" w:color="auto"/>
              <w:bottom w:val="nil"/>
            </w:tcBorders>
          </w:tcPr>
          <w:p w14:paraId="3AD13C2D" w14:textId="64337306" w:rsidR="0020487F" w:rsidRPr="00B75B67" w:rsidRDefault="0000752B" w:rsidP="008D1BD2">
            <w:pPr>
              <w:pStyle w:val="TableText"/>
              <w:spacing w:before="0" w:after="0"/>
              <w:rPr>
                <w:szCs w:val="24"/>
              </w:rPr>
            </w:pPr>
            <w:r w:rsidRPr="008D1BD2">
              <w:rPr>
                <w:color w:val="000000"/>
                <w:szCs w:val="24"/>
              </w:rPr>
              <w:t>804</w:t>
            </w:r>
          </w:p>
        </w:tc>
        <w:tc>
          <w:tcPr>
            <w:tcW w:w="1152" w:type="dxa"/>
            <w:tcBorders>
              <w:top w:val="single" w:sz="4" w:space="0" w:color="auto"/>
              <w:bottom w:val="nil"/>
            </w:tcBorders>
          </w:tcPr>
          <w:p w14:paraId="07FE5607" w14:textId="28967870" w:rsidR="0020487F" w:rsidRPr="00B75B67" w:rsidRDefault="0000752B" w:rsidP="008D1BD2">
            <w:pPr>
              <w:pStyle w:val="TableText"/>
              <w:spacing w:before="0" w:after="0"/>
              <w:rPr>
                <w:szCs w:val="24"/>
              </w:rPr>
            </w:pPr>
            <w:r w:rsidRPr="008D1BD2">
              <w:rPr>
                <w:color w:val="000000"/>
                <w:szCs w:val="24"/>
              </w:rPr>
              <w:t>136</w:t>
            </w:r>
          </w:p>
        </w:tc>
        <w:tc>
          <w:tcPr>
            <w:tcW w:w="1152" w:type="dxa"/>
            <w:tcBorders>
              <w:top w:val="single" w:sz="4" w:space="0" w:color="auto"/>
              <w:bottom w:val="nil"/>
            </w:tcBorders>
          </w:tcPr>
          <w:p w14:paraId="43370F8D" w14:textId="28BDD2DB" w:rsidR="0020487F" w:rsidRPr="00B75B67" w:rsidRDefault="0000752B" w:rsidP="008D1BD2">
            <w:pPr>
              <w:pStyle w:val="TableText"/>
              <w:spacing w:before="0" w:after="0"/>
              <w:rPr>
                <w:szCs w:val="24"/>
              </w:rPr>
            </w:pPr>
            <w:r w:rsidRPr="008D1BD2">
              <w:rPr>
                <w:color w:val="000000"/>
                <w:szCs w:val="24"/>
              </w:rPr>
              <w:t>347</w:t>
            </w:r>
          </w:p>
        </w:tc>
        <w:tc>
          <w:tcPr>
            <w:tcW w:w="1152" w:type="dxa"/>
            <w:tcBorders>
              <w:top w:val="single" w:sz="4" w:space="0" w:color="auto"/>
              <w:bottom w:val="nil"/>
            </w:tcBorders>
          </w:tcPr>
          <w:p w14:paraId="7EC3A7A7" w14:textId="30AE4163" w:rsidR="0020487F" w:rsidRPr="00B75B67" w:rsidRDefault="0000752B" w:rsidP="008D1BD2">
            <w:pPr>
              <w:pStyle w:val="TableText"/>
              <w:spacing w:before="0" w:after="0"/>
              <w:rPr>
                <w:szCs w:val="24"/>
              </w:rPr>
            </w:pPr>
            <w:r w:rsidRPr="008D1BD2">
              <w:rPr>
                <w:color w:val="000000"/>
                <w:szCs w:val="24"/>
              </w:rPr>
              <w:t>246</w:t>
            </w:r>
          </w:p>
        </w:tc>
        <w:tc>
          <w:tcPr>
            <w:tcW w:w="1224" w:type="dxa"/>
            <w:tcBorders>
              <w:top w:val="single" w:sz="4" w:space="0" w:color="auto"/>
              <w:bottom w:val="nil"/>
            </w:tcBorders>
          </w:tcPr>
          <w:p w14:paraId="325C793A" w14:textId="4EC33C8E" w:rsidR="0020487F" w:rsidRPr="00B75B67" w:rsidRDefault="0000752B" w:rsidP="008D1BD2">
            <w:pPr>
              <w:pStyle w:val="TableText"/>
              <w:spacing w:before="0" w:after="0"/>
              <w:rPr>
                <w:szCs w:val="24"/>
              </w:rPr>
            </w:pPr>
            <w:r w:rsidRPr="008D1BD2">
              <w:rPr>
                <w:color w:val="000000"/>
                <w:szCs w:val="24"/>
              </w:rPr>
              <w:t>729</w:t>
            </w:r>
          </w:p>
        </w:tc>
      </w:tr>
      <w:tr w:rsidR="0020487F" w:rsidRPr="004B2D24" w14:paraId="5C379553" w14:textId="77777777" w:rsidTr="00530C5F">
        <w:trPr>
          <w:trHeight w:val="282"/>
        </w:trPr>
        <w:tc>
          <w:tcPr>
            <w:tcW w:w="3312" w:type="dxa"/>
            <w:tcBorders>
              <w:top w:val="nil"/>
              <w:bottom w:val="single" w:sz="4" w:space="0" w:color="auto"/>
            </w:tcBorders>
          </w:tcPr>
          <w:p w14:paraId="6A92901F" w14:textId="21B8BB3B" w:rsidR="0020487F" w:rsidRPr="00D30369" w:rsidRDefault="0020487F" w:rsidP="00F874FE">
            <w:pPr>
              <w:pStyle w:val="TableText"/>
              <w:spacing w:before="0" w:after="0"/>
              <w:rPr>
                <w:szCs w:val="24"/>
              </w:rPr>
            </w:pPr>
            <w:r w:rsidRPr="004B2D24">
              <w:t>Percent Started</w:t>
            </w:r>
          </w:p>
        </w:tc>
        <w:tc>
          <w:tcPr>
            <w:tcW w:w="1080" w:type="dxa"/>
            <w:tcBorders>
              <w:top w:val="nil"/>
              <w:bottom w:val="single" w:sz="4" w:space="0" w:color="auto"/>
            </w:tcBorders>
          </w:tcPr>
          <w:p w14:paraId="13AFF3BE" w14:textId="7F88DE35" w:rsidR="0020487F" w:rsidRPr="00D30369" w:rsidRDefault="0020487F" w:rsidP="008D1BD2">
            <w:pPr>
              <w:pStyle w:val="TableText"/>
              <w:spacing w:before="0" w:after="0"/>
              <w:rPr>
                <w:szCs w:val="24"/>
              </w:rPr>
            </w:pPr>
            <w:r w:rsidRPr="002D3906">
              <w:rPr>
                <w:color w:val="000000"/>
                <w:szCs w:val="24"/>
              </w:rPr>
              <w:t>17</w:t>
            </w:r>
            <w:r w:rsidR="00F5378D">
              <w:rPr>
                <w:color w:val="000000"/>
                <w:szCs w:val="24"/>
              </w:rPr>
              <w:t>%</w:t>
            </w:r>
          </w:p>
        </w:tc>
        <w:tc>
          <w:tcPr>
            <w:tcW w:w="1080" w:type="dxa"/>
            <w:tcBorders>
              <w:top w:val="nil"/>
              <w:bottom w:val="single" w:sz="4" w:space="0" w:color="auto"/>
            </w:tcBorders>
          </w:tcPr>
          <w:p w14:paraId="60268AE0" w14:textId="56BE9A27" w:rsidR="0020487F" w:rsidRPr="00D30369" w:rsidRDefault="0020487F" w:rsidP="008D1BD2">
            <w:pPr>
              <w:pStyle w:val="TableText"/>
              <w:spacing w:before="0" w:after="0"/>
              <w:rPr>
                <w:szCs w:val="24"/>
              </w:rPr>
            </w:pPr>
            <w:r w:rsidRPr="002D3906">
              <w:rPr>
                <w:color w:val="000000"/>
                <w:szCs w:val="24"/>
              </w:rPr>
              <w:t>17</w:t>
            </w:r>
            <w:r w:rsidR="00F5378D">
              <w:rPr>
                <w:color w:val="000000"/>
                <w:szCs w:val="24"/>
              </w:rPr>
              <w:t>%</w:t>
            </w:r>
          </w:p>
        </w:tc>
        <w:tc>
          <w:tcPr>
            <w:tcW w:w="1152" w:type="dxa"/>
            <w:tcBorders>
              <w:top w:val="nil"/>
              <w:bottom w:val="single" w:sz="4" w:space="0" w:color="auto"/>
            </w:tcBorders>
          </w:tcPr>
          <w:p w14:paraId="41AA9ED3" w14:textId="5E9747A0" w:rsidR="0020487F" w:rsidRPr="00D30369" w:rsidRDefault="0020487F" w:rsidP="008D1BD2">
            <w:pPr>
              <w:pStyle w:val="TableText"/>
              <w:spacing w:before="0" w:after="0"/>
              <w:rPr>
                <w:szCs w:val="24"/>
              </w:rPr>
            </w:pPr>
            <w:r w:rsidRPr="002D3906">
              <w:rPr>
                <w:color w:val="000000"/>
                <w:szCs w:val="24"/>
              </w:rPr>
              <w:t>3</w:t>
            </w:r>
            <w:r w:rsidR="00344290">
              <w:rPr>
                <w:color w:val="000000"/>
                <w:szCs w:val="24"/>
              </w:rPr>
              <w:t>5</w:t>
            </w:r>
            <w:r w:rsidR="00F5378D">
              <w:rPr>
                <w:color w:val="000000"/>
                <w:szCs w:val="24"/>
              </w:rPr>
              <w:t>%</w:t>
            </w:r>
          </w:p>
        </w:tc>
        <w:tc>
          <w:tcPr>
            <w:tcW w:w="1152" w:type="dxa"/>
            <w:tcBorders>
              <w:top w:val="nil"/>
              <w:bottom w:val="single" w:sz="4" w:space="0" w:color="auto"/>
            </w:tcBorders>
          </w:tcPr>
          <w:p w14:paraId="499BCA43" w14:textId="01DB129B" w:rsidR="0020487F" w:rsidRPr="00D30369" w:rsidRDefault="0020487F" w:rsidP="008D1BD2">
            <w:pPr>
              <w:pStyle w:val="TableText"/>
              <w:spacing w:before="0" w:after="0"/>
              <w:rPr>
                <w:szCs w:val="24"/>
              </w:rPr>
            </w:pPr>
            <w:r w:rsidRPr="002D3906">
              <w:rPr>
                <w:color w:val="000000"/>
                <w:szCs w:val="24"/>
              </w:rPr>
              <w:t>12</w:t>
            </w:r>
            <w:r w:rsidR="00F5378D">
              <w:rPr>
                <w:color w:val="000000"/>
                <w:szCs w:val="24"/>
              </w:rPr>
              <w:t>%</w:t>
            </w:r>
          </w:p>
        </w:tc>
        <w:tc>
          <w:tcPr>
            <w:tcW w:w="1152" w:type="dxa"/>
            <w:tcBorders>
              <w:top w:val="nil"/>
              <w:bottom w:val="single" w:sz="4" w:space="0" w:color="auto"/>
            </w:tcBorders>
          </w:tcPr>
          <w:p w14:paraId="6AAC199E" w14:textId="4B14E94C" w:rsidR="0020487F" w:rsidRPr="00D30369" w:rsidRDefault="0020487F" w:rsidP="008D1BD2">
            <w:pPr>
              <w:pStyle w:val="TableText"/>
              <w:spacing w:before="0" w:after="0"/>
              <w:rPr>
                <w:szCs w:val="24"/>
              </w:rPr>
            </w:pPr>
            <w:r w:rsidRPr="00385F46">
              <w:rPr>
                <w:color w:val="000000"/>
                <w:szCs w:val="24"/>
              </w:rPr>
              <w:t>16</w:t>
            </w:r>
            <w:r w:rsidR="00F5378D">
              <w:rPr>
                <w:color w:val="000000"/>
                <w:szCs w:val="24"/>
              </w:rPr>
              <w:t>%</w:t>
            </w:r>
          </w:p>
        </w:tc>
        <w:tc>
          <w:tcPr>
            <w:tcW w:w="1224" w:type="dxa"/>
            <w:tcBorders>
              <w:top w:val="nil"/>
              <w:bottom w:val="single" w:sz="4" w:space="0" w:color="auto"/>
            </w:tcBorders>
          </w:tcPr>
          <w:p w14:paraId="78AB3C5C" w14:textId="4C39FB2D" w:rsidR="0020487F" w:rsidRPr="00D30369" w:rsidRDefault="0020487F" w:rsidP="008D1BD2">
            <w:pPr>
              <w:pStyle w:val="TableText"/>
              <w:spacing w:before="0" w:after="0"/>
              <w:rPr>
                <w:szCs w:val="24"/>
              </w:rPr>
            </w:pPr>
            <w:r w:rsidRPr="002D3906">
              <w:rPr>
                <w:color w:val="000000"/>
                <w:szCs w:val="24"/>
              </w:rPr>
              <w:t>15</w:t>
            </w:r>
            <w:r w:rsidR="00F5378D">
              <w:rPr>
                <w:color w:val="000000"/>
                <w:szCs w:val="24"/>
              </w:rPr>
              <w:t>%</w:t>
            </w:r>
          </w:p>
        </w:tc>
      </w:tr>
      <w:tr w:rsidR="0020487F" w:rsidRPr="004B2D24" w14:paraId="217AF3DC" w14:textId="77777777" w:rsidTr="00530C5F">
        <w:trPr>
          <w:trHeight w:val="282"/>
        </w:trPr>
        <w:tc>
          <w:tcPr>
            <w:tcW w:w="3312" w:type="dxa"/>
            <w:tcBorders>
              <w:top w:val="single" w:sz="4" w:space="0" w:color="auto"/>
              <w:bottom w:val="nil"/>
            </w:tcBorders>
          </w:tcPr>
          <w:p w14:paraId="50395FCE" w14:textId="7EF474A2" w:rsidR="0020487F" w:rsidRPr="00D30369" w:rsidRDefault="0020487F" w:rsidP="00F874FE">
            <w:pPr>
              <w:pStyle w:val="TableText"/>
              <w:spacing w:before="0" w:after="0"/>
              <w:rPr>
                <w:szCs w:val="24"/>
              </w:rPr>
            </w:pPr>
            <w:r w:rsidRPr="004B2D24">
              <w:lastRenderedPageBreak/>
              <w:t>Number of Force</w:t>
            </w:r>
            <w:r w:rsidR="00530C5F">
              <w:t>-</w:t>
            </w:r>
            <w:r w:rsidRPr="004B2D24">
              <w:t>Complete</w:t>
            </w:r>
            <w:r w:rsidR="00530C5F">
              <w:t>d</w:t>
            </w:r>
          </w:p>
        </w:tc>
        <w:tc>
          <w:tcPr>
            <w:tcW w:w="1080" w:type="dxa"/>
            <w:tcBorders>
              <w:top w:val="single" w:sz="4" w:space="0" w:color="auto"/>
              <w:bottom w:val="nil"/>
            </w:tcBorders>
          </w:tcPr>
          <w:p w14:paraId="441D50CE" w14:textId="2782F86E" w:rsidR="0020487F" w:rsidRPr="00D30369" w:rsidRDefault="0020487F" w:rsidP="008D1BD2">
            <w:pPr>
              <w:pStyle w:val="TableText"/>
              <w:spacing w:before="0" w:after="0"/>
              <w:rPr>
                <w:szCs w:val="24"/>
              </w:rPr>
            </w:pPr>
            <w:r w:rsidRPr="00385F46">
              <w:rPr>
                <w:color w:val="000000"/>
                <w:szCs w:val="24"/>
              </w:rPr>
              <w:t>365</w:t>
            </w:r>
          </w:p>
        </w:tc>
        <w:tc>
          <w:tcPr>
            <w:tcW w:w="1080" w:type="dxa"/>
            <w:tcBorders>
              <w:top w:val="single" w:sz="4" w:space="0" w:color="auto"/>
              <w:bottom w:val="nil"/>
            </w:tcBorders>
          </w:tcPr>
          <w:p w14:paraId="33B1C90D" w14:textId="1AB865B4" w:rsidR="0020487F" w:rsidRPr="00D30369" w:rsidRDefault="0020487F" w:rsidP="008D1BD2">
            <w:pPr>
              <w:pStyle w:val="TableText"/>
              <w:spacing w:before="0" w:after="0"/>
              <w:rPr>
                <w:szCs w:val="24"/>
              </w:rPr>
            </w:pPr>
            <w:r w:rsidRPr="00385F46">
              <w:rPr>
                <w:color w:val="000000"/>
                <w:szCs w:val="24"/>
              </w:rPr>
              <w:t>364</w:t>
            </w:r>
          </w:p>
        </w:tc>
        <w:tc>
          <w:tcPr>
            <w:tcW w:w="1152" w:type="dxa"/>
            <w:tcBorders>
              <w:top w:val="single" w:sz="4" w:space="0" w:color="auto"/>
              <w:bottom w:val="nil"/>
            </w:tcBorders>
          </w:tcPr>
          <w:p w14:paraId="467AC5DF" w14:textId="48424B9E" w:rsidR="0020487F" w:rsidRPr="00D30369" w:rsidRDefault="0020487F" w:rsidP="008D1BD2">
            <w:pPr>
              <w:pStyle w:val="TableText"/>
              <w:spacing w:before="0" w:after="0"/>
              <w:rPr>
                <w:szCs w:val="24"/>
              </w:rPr>
            </w:pPr>
            <w:r w:rsidRPr="00385F46">
              <w:rPr>
                <w:color w:val="000000"/>
                <w:szCs w:val="24"/>
              </w:rPr>
              <w:t>28</w:t>
            </w:r>
          </w:p>
        </w:tc>
        <w:tc>
          <w:tcPr>
            <w:tcW w:w="1152" w:type="dxa"/>
            <w:tcBorders>
              <w:top w:val="single" w:sz="4" w:space="0" w:color="auto"/>
              <w:bottom w:val="nil"/>
            </w:tcBorders>
          </w:tcPr>
          <w:p w14:paraId="6F05E728" w14:textId="6EDAB3D0" w:rsidR="0020487F" w:rsidRPr="00D30369" w:rsidRDefault="0020487F" w:rsidP="008D1BD2">
            <w:pPr>
              <w:pStyle w:val="TableText"/>
              <w:spacing w:before="0" w:after="0"/>
              <w:rPr>
                <w:szCs w:val="24"/>
              </w:rPr>
            </w:pPr>
            <w:r w:rsidRPr="00385F46">
              <w:rPr>
                <w:color w:val="000000"/>
                <w:szCs w:val="24"/>
              </w:rPr>
              <w:t>132</w:t>
            </w:r>
          </w:p>
        </w:tc>
        <w:tc>
          <w:tcPr>
            <w:tcW w:w="1152" w:type="dxa"/>
            <w:tcBorders>
              <w:top w:val="single" w:sz="4" w:space="0" w:color="auto"/>
              <w:bottom w:val="nil"/>
            </w:tcBorders>
          </w:tcPr>
          <w:p w14:paraId="67F1B455" w14:textId="3C2B27D2" w:rsidR="0020487F" w:rsidRPr="00D30369" w:rsidRDefault="0020487F" w:rsidP="008D1BD2">
            <w:pPr>
              <w:pStyle w:val="TableText"/>
              <w:spacing w:before="0" w:after="0"/>
              <w:rPr>
                <w:szCs w:val="24"/>
              </w:rPr>
            </w:pPr>
            <w:r w:rsidRPr="00385F46">
              <w:rPr>
                <w:color w:val="000000"/>
                <w:szCs w:val="24"/>
              </w:rPr>
              <w:t>54</w:t>
            </w:r>
          </w:p>
        </w:tc>
        <w:tc>
          <w:tcPr>
            <w:tcW w:w="1224" w:type="dxa"/>
            <w:tcBorders>
              <w:top w:val="single" w:sz="4" w:space="0" w:color="auto"/>
              <w:bottom w:val="nil"/>
            </w:tcBorders>
          </w:tcPr>
          <w:p w14:paraId="5081DFFE" w14:textId="18057CB1" w:rsidR="0020487F" w:rsidRPr="00D30369" w:rsidRDefault="0020487F" w:rsidP="008D1BD2">
            <w:pPr>
              <w:pStyle w:val="TableText"/>
              <w:spacing w:before="0" w:after="0"/>
              <w:rPr>
                <w:szCs w:val="24"/>
              </w:rPr>
            </w:pPr>
            <w:r w:rsidRPr="00385F46">
              <w:rPr>
                <w:color w:val="000000"/>
                <w:szCs w:val="24"/>
              </w:rPr>
              <w:t>214</w:t>
            </w:r>
          </w:p>
        </w:tc>
      </w:tr>
      <w:tr w:rsidR="0020487F" w:rsidRPr="004B2D24" w14:paraId="3A7475AC" w14:textId="77777777" w:rsidTr="00530C5F">
        <w:trPr>
          <w:trHeight w:val="282"/>
        </w:trPr>
        <w:tc>
          <w:tcPr>
            <w:tcW w:w="3312" w:type="dxa"/>
            <w:tcBorders>
              <w:top w:val="nil"/>
              <w:bottom w:val="single" w:sz="4" w:space="0" w:color="auto"/>
            </w:tcBorders>
          </w:tcPr>
          <w:p w14:paraId="1ECB5BCE" w14:textId="032B6CEE" w:rsidR="0020487F" w:rsidRPr="00D30369" w:rsidRDefault="0020487F" w:rsidP="00F874FE">
            <w:pPr>
              <w:pStyle w:val="TableText"/>
              <w:spacing w:before="0" w:after="0"/>
              <w:rPr>
                <w:szCs w:val="24"/>
              </w:rPr>
            </w:pPr>
            <w:r w:rsidRPr="004B2D24">
              <w:t>Percent Force</w:t>
            </w:r>
            <w:r w:rsidR="00530C5F">
              <w:t>-</w:t>
            </w:r>
            <w:r w:rsidRPr="004B2D24">
              <w:t>Complete</w:t>
            </w:r>
            <w:r w:rsidR="00530C5F">
              <w:t>d</w:t>
            </w:r>
          </w:p>
        </w:tc>
        <w:tc>
          <w:tcPr>
            <w:tcW w:w="1080" w:type="dxa"/>
            <w:tcBorders>
              <w:top w:val="nil"/>
              <w:bottom w:val="single" w:sz="4" w:space="0" w:color="auto"/>
            </w:tcBorders>
          </w:tcPr>
          <w:p w14:paraId="7A8DB76A" w14:textId="26FAC856" w:rsidR="0020487F" w:rsidRPr="00D30369" w:rsidRDefault="0020487F" w:rsidP="008D1BD2">
            <w:pPr>
              <w:pStyle w:val="TableText"/>
              <w:spacing w:before="0" w:after="0"/>
              <w:rPr>
                <w:szCs w:val="24"/>
              </w:rPr>
            </w:pPr>
            <w:r w:rsidRPr="00385F46">
              <w:rPr>
                <w:color w:val="000000"/>
                <w:szCs w:val="24"/>
              </w:rPr>
              <w:t>9</w:t>
            </w:r>
            <w:r w:rsidR="00F5378D">
              <w:rPr>
                <w:color w:val="000000"/>
                <w:szCs w:val="24"/>
              </w:rPr>
              <w:t>%</w:t>
            </w:r>
          </w:p>
        </w:tc>
        <w:tc>
          <w:tcPr>
            <w:tcW w:w="1080" w:type="dxa"/>
            <w:tcBorders>
              <w:top w:val="nil"/>
              <w:bottom w:val="single" w:sz="4" w:space="0" w:color="auto"/>
            </w:tcBorders>
          </w:tcPr>
          <w:p w14:paraId="29C24596" w14:textId="42105C88" w:rsidR="0020487F" w:rsidRPr="00D30369" w:rsidRDefault="0020487F" w:rsidP="008D1BD2">
            <w:pPr>
              <w:pStyle w:val="TableText"/>
              <w:spacing w:before="0" w:after="0"/>
              <w:rPr>
                <w:szCs w:val="24"/>
              </w:rPr>
            </w:pPr>
            <w:r w:rsidRPr="00385F46">
              <w:rPr>
                <w:color w:val="000000"/>
                <w:szCs w:val="24"/>
              </w:rPr>
              <w:t>8</w:t>
            </w:r>
            <w:r w:rsidR="00F5378D">
              <w:rPr>
                <w:color w:val="000000"/>
                <w:szCs w:val="24"/>
              </w:rPr>
              <w:t>%</w:t>
            </w:r>
          </w:p>
        </w:tc>
        <w:tc>
          <w:tcPr>
            <w:tcW w:w="1152" w:type="dxa"/>
            <w:tcBorders>
              <w:top w:val="nil"/>
              <w:bottom w:val="single" w:sz="4" w:space="0" w:color="auto"/>
            </w:tcBorders>
          </w:tcPr>
          <w:p w14:paraId="1CF44A82" w14:textId="2EE0806F" w:rsidR="0020487F" w:rsidRPr="00D30369" w:rsidRDefault="0020487F" w:rsidP="008D1BD2">
            <w:pPr>
              <w:pStyle w:val="TableText"/>
              <w:spacing w:before="0" w:after="0"/>
              <w:rPr>
                <w:szCs w:val="24"/>
              </w:rPr>
            </w:pPr>
            <w:r w:rsidRPr="00385F46">
              <w:rPr>
                <w:color w:val="000000"/>
                <w:szCs w:val="24"/>
              </w:rPr>
              <w:t>7</w:t>
            </w:r>
            <w:r w:rsidR="00F5378D">
              <w:rPr>
                <w:color w:val="000000"/>
                <w:szCs w:val="24"/>
              </w:rPr>
              <w:t>%</w:t>
            </w:r>
          </w:p>
        </w:tc>
        <w:tc>
          <w:tcPr>
            <w:tcW w:w="1152" w:type="dxa"/>
            <w:tcBorders>
              <w:top w:val="nil"/>
              <w:bottom w:val="single" w:sz="4" w:space="0" w:color="auto"/>
            </w:tcBorders>
          </w:tcPr>
          <w:p w14:paraId="62DB2DD9" w14:textId="080ED09F" w:rsidR="0020487F" w:rsidRPr="00D30369" w:rsidRDefault="0020487F" w:rsidP="008D1BD2">
            <w:pPr>
              <w:pStyle w:val="TableText"/>
              <w:spacing w:before="0" w:after="0"/>
              <w:rPr>
                <w:szCs w:val="24"/>
              </w:rPr>
            </w:pPr>
            <w:r w:rsidRPr="00385F46">
              <w:rPr>
                <w:color w:val="000000"/>
                <w:szCs w:val="24"/>
              </w:rPr>
              <w:t>5</w:t>
            </w:r>
            <w:r w:rsidR="00F5378D">
              <w:rPr>
                <w:color w:val="000000"/>
                <w:szCs w:val="24"/>
              </w:rPr>
              <w:t>%</w:t>
            </w:r>
          </w:p>
        </w:tc>
        <w:tc>
          <w:tcPr>
            <w:tcW w:w="1152" w:type="dxa"/>
            <w:tcBorders>
              <w:top w:val="nil"/>
              <w:bottom w:val="single" w:sz="4" w:space="0" w:color="auto"/>
            </w:tcBorders>
          </w:tcPr>
          <w:p w14:paraId="6F19B909" w14:textId="26D1B66D" w:rsidR="0020487F" w:rsidRPr="00D30369" w:rsidRDefault="0020487F" w:rsidP="008D1BD2">
            <w:pPr>
              <w:pStyle w:val="TableText"/>
              <w:spacing w:before="0" w:after="0"/>
              <w:rPr>
                <w:szCs w:val="24"/>
              </w:rPr>
            </w:pPr>
            <w:r w:rsidRPr="00385F46">
              <w:rPr>
                <w:color w:val="000000"/>
                <w:szCs w:val="24"/>
              </w:rPr>
              <w:t>3</w:t>
            </w:r>
            <w:r w:rsidR="00F5378D">
              <w:rPr>
                <w:color w:val="000000"/>
                <w:szCs w:val="24"/>
              </w:rPr>
              <w:t>%</w:t>
            </w:r>
          </w:p>
        </w:tc>
        <w:tc>
          <w:tcPr>
            <w:tcW w:w="1224" w:type="dxa"/>
            <w:tcBorders>
              <w:top w:val="nil"/>
              <w:bottom w:val="single" w:sz="4" w:space="0" w:color="auto"/>
            </w:tcBorders>
          </w:tcPr>
          <w:p w14:paraId="0D7AC8C2" w14:textId="0F65D802" w:rsidR="0020487F" w:rsidRPr="00D30369" w:rsidRDefault="0020487F" w:rsidP="008D1BD2">
            <w:pPr>
              <w:pStyle w:val="TableText"/>
              <w:spacing w:before="0" w:after="0"/>
              <w:rPr>
                <w:szCs w:val="24"/>
              </w:rPr>
            </w:pPr>
            <w:r w:rsidRPr="00385F46">
              <w:rPr>
                <w:color w:val="000000"/>
                <w:szCs w:val="24"/>
              </w:rPr>
              <w:t>4</w:t>
            </w:r>
            <w:r w:rsidR="00F5378D">
              <w:rPr>
                <w:color w:val="000000"/>
                <w:szCs w:val="24"/>
              </w:rPr>
              <w:t>%</w:t>
            </w:r>
          </w:p>
        </w:tc>
      </w:tr>
      <w:tr w:rsidR="0020487F" w:rsidRPr="004B2D24" w14:paraId="6F84A9F1" w14:textId="77777777" w:rsidTr="00530C5F">
        <w:trPr>
          <w:trHeight w:val="282"/>
        </w:trPr>
        <w:tc>
          <w:tcPr>
            <w:tcW w:w="3312" w:type="dxa"/>
            <w:tcBorders>
              <w:top w:val="single" w:sz="4" w:space="0" w:color="auto"/>
              <w:bottom w:val="nil"/>
            </w:tcBorders>
          </w:tcPr>
          <w:p w14:paraId="5BCCA030" w14:textId="64492055" w:rsidR="0020487F" w:rsidRPr="00D30369" w:rsidRDefault="0020487F" w:rsidP="00F874FE">
            <w:pPr>
              <w:pStyle w:val="TableText"/>
              <w:spacing w:before="0" w:after="0"/>
              <w:rPr>
                <w:szCs w:val="24"/>
              </w:rPr>
            </w:pPr>
            <w:r w:rsidRPr="004B2D24">
              <w:rPr>
                <w:lang w:eastAsia="zh-CN"/>
              </w:rPr>
              <w:t>Number of Expired</w:t>
            </w:r>
          </w:p>
        </w:tc>
        <w:tc>
          <w:tcPr>
            <w:tcW w:w="1080" w:type="dxa"/>
            <w:tcBorders>
              <w:top w:val="single" w:sz="4" w:space="0" w:color="auto"/>
              <w:bottom w:val="nil"/>
            </w:tcBorders>
          </w:tcPr>
          <w:p w14:paraId="542A4640" w14:textId="51E5D735" w:rsidR="0020487F" w:rsidRPr="00D30369" w:rsidRDefault="0020487F" w:rsidP="008D1BD2">
            <w:pPr>
              <w:pStyle w:val="TableText"/>
              <w:spacing w:before="0" w:after="0"/>
              <w:rPr>
                <w:szCs w:val="24"/>
              </w:rPr>
            </w:pPr>
            <w:r w:rsidRPr="00055AFE">
              <w:rPr>
                <w:color w:val="000000"/>
                <w:szCs w:val="24"/>
              </w:rPr>
              <w:t>5</w:t>
            </w:r>
          </w:p>
        </w:tc>
        <w:tc>
          <w:tcPr>
            <w:tcW w:w="1080" w:type="dxa"/>
            <w:tcBorders>
              <w:top w:val="single" w:sz="4" w:space="0" w:color="auto"/>
              <w:bottom w:val="nil"/>
            </w:tcBorders>
          </w:tcPr>
          <w:p w14:paraId="74D5E5E8" w14:textId="5A4DB3EA" w:rsidR="0020487F" w:rsidRPr="00D30369" w:rsidRDefault="0020487F" w:rsidP="008D1BD2">
            <w:pPr>
              <w:pStyle w:val="TableText"/>
              <w:spacing w:before="0" w:after="0"/>
              <w:rPr>
                <w:szCs w:val="24"/>
              </w:rPr>
            </w:pPr>
            <w:r w:rsidRPr="00385F46">
              <w:rPr>
                <w:color w:val="000000"/>
                <w:szCs w:val="24"/>
              </w:rPr>
              <w:t>5</w:t>
            </w:r>
          </w:p>
        </w:tc>
        <w:tc>
          <w:tcPr>
            <w:tcW w:w="1152" w:type="dxa"/>
            <w:tcBorders>
              <w:top w:val="single" w:sz="4" w:space="0" w:color="auto"/>
              <w:bottom w:val="nil"/>
            </w:tcBorders>
          </w:tcPr>
          <w:p w14:paraId="4CE1DB42" w14:textId="36379B69" w:rsidR="0020487F" w:rsidRPr="00D30369" w:rsidRDefault="0020487F" w:rsidP="008D1BD2">
            <w:pPr>
              <w:pStyle w:val="TableText"/>
              <w:spacing w:before="0" w:after="0"/>
              <w:rPr>
                <w:szCs w:val="24"/>
              </w:rPr>
            </w:pPr>
            <w:r w:rsidRPr="00385F46">
              <w:rPr>
                <w:color w:val="000000"/>
                <w:szCs w:val="24"/>
              </w:rPr>
              <w:t>1</w:t>
            </w:r>
          </w:p>
        </w:tc>
        <w:tc>
          <w:tcPr>
            <w:tcW w:w="1152" w:type="dxa"/>
            <w:tcBorders>
              <w:top w:val="single" w:sz="4" w:space="0" w:color="auto"/>
              <w:bottom w:val="nil"/>
            </w:tcBorders>
          </w:tcPr>
          <w:p w14:paraId="0FA55510" w14:textId="68AC5C54" w:rsidR="0020487F" w:rsidRPr="00D30369" w:rsidRDefault="0020487F" w:rsidP="008D1BD2">
            <w:pPr>
              <w:pStyle w:val="TableText"/>
              <w:spacing w:before="0" w:after="0"/>
              <w:rPr>
                <w:szCs w:val="24"/>
              </w:rPr>
            </w:pPr>
            <w:r w:rsidRPr="00055AFE">
              <w:rPr>
                <w:color w:val="000000"/>
                <w:szCs w:val="24"/>
              </w:rPr>
              <w:t>0</w:t>
            </w:r>
          </w:p>
        </w:tc>
        <w:tc>
          <w:tcPr>
            <w:tcW w:w="1152" w:type="dxa"/>
            <w:tcBorders>
              <w:top w:val="single" w:sz="4" w:space="0" w:color="auto"/>
              <w:bottom w:val="nil"/>
            </w:tcBorders>
          </w:tcPr>
          <w:p w14:paraId="7F3EE085" w14:textId="2D660B63" w:rsidR="0020487F" w:rsidRPr="00D30369" w:rsidRDefault="0020487F" w:rsidP="008D1BD2">
            <w:pPr>
              <w:pStyle w:val="TableText"/>
              <w:spacing w:before="0" w:after="0"/>
              <w:rPr>
                <w:szCs w:val="24"/>
              </w:rPr>
            </w:pPr>
            <w:r w:rsidRPr="00385F46">
              <w:rPr>
                <w:color w:val="000000"/>
                <w:szCs w:val="24"/>
              </w:rPr>
              <w:t>2</w:t>
            </w:r>
          </w:p>
        </w:tc>
        <w:tc>
          <w:tcPr>
            <w:tcW w:w="1224" w:type="dxa"/>
            <w:tcBorders>
              <w:top w:val="single" w:sz="4" w:space="0" w:color="auto"/>
              <w:bottom w:val="nil"/>
            </w:tcBorders>
          </w:tcPr>
          <w:p w14:paraId="54BCF15F" w14:textId="4E5D06AD" w:rsidR="0020487F" w:rsidRPr="00D30369" w:rsidRDefault="0020487F" w:rsidP="008D1BD2">
            <w:pPr>
              <w:pStyle w:val="TableText"/>
              <w:spacing w:before="0" w:after="0"/>
              <w:rPr>
                <w:szCs w:val="24"/>
              </w:rPr>
            </w:pPr>
            <w:r w:rsidRPr="00385F46">
              <w:rPr>
                <w:color w:val="000000"/>
                <w:szCs w:val="24"/>
              </w:rPr>
              <w:t>3</w:t>
            </w:r>
          </w:p>
        </w:tc>
      </w:tr>
      <w:tr w:rsidR="0020487F" w:rsidRPr="004B2D24" w14:paraId="00ABEE8C" w14:textId="77777777" w:rsidTr="00530C5F">
        <w:trPr>
          <w:trHeight w:val="282"/>
        </w:trPr>
        <w:tc>
          <w:tcPr>
            <w:tcW w:w="3312" w:type="dxa"/>
            <w:tcBorders>
              <w:top w:val="nil"/>
              <w:bottom w:val="single" w:sz="4" w:space="0" w:color="auto"/>
            </w:tcBorders>
          </w:tcPr>
          <w:p w14:paraId="5BECA711" w14:textId="63AD7075" w:rsidR="0020487F" w:rsidRPr="00D30369" w:rsidRDefault="0020487F" w:rsidP="00F874FE">
            <w:pPr>
              <w:pStyle w:val="TableText"/>
              <w:spacing w:before="0" w:after="0"/>
              <w:rPr>
                <w:szCs w:val="24"/>
              </w:rPr>
            </w:pPr>
            <w:r w:rsidRPr="004B2D24">
              <w:t>Percent Expired</w:t>
            </w:r>
          </w:p>
        </w:tc>
        <w:tc>
          <w:tcPr>
            <w:tcW w:w="1080" w:type="dxa"/>
            <w:tcBorders>
              <w:top w:val="nil"/>
              <w:bottom w:val="single" w:sz="4" w:space="0" w:color="auto"/>
            </w:tcBorders>
          </w:tcPr>
          <w:p w14:paraId="20D20DF2" w14:textId="2ADEC50B" w:rsidR="0020487F" w:rsidRPr="00D30369" w:rsidRDefault="0020487F" w:rsidP="008D1BD2">
            <w:pPr>
              <w:pStyle w:val="TableText"/>
              <w:keepNext/>
              <w:keepLines/>
              <w:spacing w:before="0" w:after="0"/>
              <w:rPr>
                <w:szCs w:val="24"/>
              </w:rPr>
            </w:pPr>
            <w:r w:rsidRPr="00385F46">
              <w:rPr>
                <w:color w:val="000000"/>
                <w:szCs w:val="24"/>
              </w:rPr>
              <w:t>0</w:t>
            </w:r>
            <w:r w:rsidR="00F5378D">
              <w:rPr>
                <w:color w:val="000000"/>
                <w:szCs w:val="24"/>
              </w:rPr>
              <w:t>%</w:t>
            </w:r>
          </w:p>
        </w:tc>
        <w:tc>
          <w:tcPr>
            <w:tcW w:w="1080" w:type="dxa"/>
            <w:tcBorders>
              <w:top w:val="nil"/>
              <w:bottom w:val="single" w:sz="4" w:space="0" w:color="auto"/>
            </w:tcBorders>
          </w:tcPr>
          <w:p w14:paraId="356DBD6E" w14:textId="01767249" w:rsidR="0020487F" w:rsidRPr="00D30369" w:rsidRDefault="0020487F" w:rsidP="008D1BD2">
            <w:pPr>
              <w:pStyle w:val="TableText"/>
              <w:keepNext/>
              <w:keepLines/>
              <w:spacing w:before="0" w:after="0"/>
              <w:rPr>
                <w:szCs w:val="24"/>
              </w:rPr>
            </w:pPr>
            <w:r w:rsidRPr="00385F46">
              <w:rPr>
                <w:color w:val="000000"/>
                <w:szCs w:val="24"/>
              </w:rPr>
              <w:t>0</w:t>
            </w:r>
            <w:r w:rsidR="00F5378D">
              <w:rPr>
                <w:color w:val="000000"/>
                <w:szCs w:val="24"/>
              </w:rPr>
              <w:t>%</w:t>
            </w:r>
          </w:p>
        </w:tc>
        <w:tc>
          <w:tcPr>
            <w:tcW w:w="1152" w:type="dxa"/>
            <w:tcBorders>
              <w:top w:val="nil"/>
              <w:bottom w:val="single" w:sz="4" w:space="0" w:color="auto"/>
            </w:tcBorders>
          </w:tcPr>
          <w:p w14:paraId="4E08E77F" w14:textId="5FE8E47A" w:rsidR="0020487F" w:rsidRPr="00D30369" w:rsidRDefault="0020487F" w:rsidP="008D1BD2">
            <w:pPr>
              <w:pStyle w:val="TableText"/>
              <w:keepNext/>
              <w:keepLines/>
              <w:spacing w:before="0" w:after="0"/>
              <w:rPr>
                <w:szCs w:val="24"/>
              </w:rPr>
            </w:pPr>
            <w:r w:rsidRPr="00385F46">
              <w:rPr>
                <w:color w:val="000000"/>
                <w:szCs w:val="24"/>
              </w:rPr>
              <w:t>0</w:t>
            </w:r>
            <w:r w:rsidR="00F5378D">
              <w:rPr>
                <w:color w:val="000000"/>
                <w:szCs w:val="24"/>
              </w:rPr>
              <w:t>%</w:t>
            </w:r>
          </w:p>
        </w:tc>
        <w:tc>
          <w:tcPr>
            <w:tcW w:w="1152" w:type="dxa"/>
            <w:tcBorders>
              <w:top w:val="nil"/>
              <w:bottom w:val="single" w:sz="4" w:space="0" w:color="auto"/>
            </w:tcBorders>
          </w:tcPr>
          <w:p w14:paraId="46A5D85D" w14:textId="5CE18F42" w:rsidR="0020487F" w:rsidRPr="00D30369" w:rsidRDefault="0020487F" w:rsidP="008D1BD2">
            <w:pPr>
              <w:pStyle w:val="TableText"/>
              <w:keepNext/>
              <w:keepLines/>
              <w:spacing w:before="0" w:after="0"/>
              <w:rPr>
                <w:szCs w:val="24"/>
              </w:rPr>
            </w:pPr>
            <w:r w:rsidRPr="00385F46">
              <w:rPr>
                <w:color w:val="000000"/>
                <w:szCs w:val="24"/>
              </w:rPr>
              <w:t>0</w:t>
            </w:r>
            <w:r w:rsidR="00F5378D">
              <w:rPr>
                <w:color w:val="000000"/>
                <w:szCs w:val="24"/>
              </w:rPr>
              <w:t>%</w:t>
            </w:r>
          </w:p>
        </w:tc>
        <w:tc>
          <w:tcPr>
            <w:tcW w:w="1152" w:type="dxa"/>
            <w:tcBorders>
              <w:top w:val="nil"/>
              <w:bottom w:val="single" w:sz="4" w:space="0" w:color="auto"/>
            </w:tcBorders>
          </w:tcPr>
          <w:p w14:paraId="6AC9701E" w14:textId="767BB255" w:rsidR="0020487F" w:rsidRPr="00D30369" w:rsidRDefault="0020487F" w:rsidP="008D1BD2">
            <w:pPr>
              <w:pStyle w:val="TableText"/>
              <w:keepNext/>
              <w:keepLines/>
              <w:spacing w:before="0" w:after="0"/>
              <w:rPr>
                <w:szCs w:val="24"/>
              </w:rPr>
            </w:pPr>
            <w:r w:rsidRPr="00055AFE">
              <w:rPr>
                <w:color w:val="000000"/>
                <w:szCs w:val="24"/>
              </w:rPr>
              <w:t>0</w:t>
            </w:r>
            <w:r w:rsidR="00F5378D">
              <w:rPr>
                <w:color w:val="000000"/>
                <w:szCs w:val="24"/>
              </w:rPr>
              <w:t>%</w:t>
            </w:r>
          </w:p>
        </w:tc>
        <w:tc>
          <w:tcPr>
            <w:tcW w:w="1224" w:type="dxa"/>
            <w:tcBorders>
              <w:top w:val="nil"/>
              <w:bottom w:val="single" w:sz="4" w:space="0" w:color="auto"/>
            </w:tcBorders>
          </w:tcPr>
          <w:p w14:paraId="636A50D5" w14:textId="51A69113" w:rsidR="0020487F" w:rsidRPr="00D30369" w:rsidRDefault="0020487F" w:rsidP="008D1BD2">
            <w:pPr>
              <w:pStyle w:val="TableText"/>
              <w:keepNext/>
              <w:keepLines/>
              <w:spacing w:before="0" w:after="0"/>
              <w:rPr>
                <w:szCs w:val="24"/>
              </w:rPr>
            </w:pPr>
            <w:r w:rsidRPr="00385F46">
              <w:rPr>
                <w:color w:val="000000"/>
                <w:szCs w:val="24"/>
              </w:rPr>
              <w:t>0</w:t>
            </w:r>
            <w:r w:rsidR="00F5378D">
              <w:rPr>
                <w:color w:val="000000"/>
                <w:szCs w:val="24"/>
              </w:rPr>
              <w:t>%</w:t>
            </w:r>
          </w:p>
        </w:tc>
      </w:tr>
      <w:tr w:rsidR="0020487F" w:rsidRPr="004B2D24" w14:paraId="34E1585D" w14:textId="77777777" w:rsidTr="00530C5F">
        <w:trPr>
          <w:trHeight w:val="282"/>
        </w:trPr>
        <w:tc>
          <w:tcPr>
            <w:tcW w:w="3312" w:type="dxa"/>
            <w:tcBorders>
              <w:top w:val="single" w:sz="4" w:space="0" w:color="auto"/>
            </w:tcBorders>
          </w:tcPr>
          <w:p w14:paraId="7EE91CE2" w14:textId="560B913D" w:rsidR="0020487F" w:rsidRPr="00D30369" w:rsidRDefault="0020487F" w:rsidP="00F874FE">
            <w:pPr>
              <w:pStyle w:val="TableText"/>
              <w:spacing w:before="0" w:after="0"/>
              <w:rPr>
                <w:szCs w:val="24"/>
              </w:rPr>
            </w:pPr>
            <w:r w:rsidRPr="004B2D24">
              <w:t>Number of Submitted</w:t>
            </w:r>
          </w:p>
        </w:tc>
        <w:tc>
          <w:tcPr>
            <w:tcW w:w="1080" w:type="dxa"/>
            <w:tcBorders>
              <w:top w:val="single" w:sz="4" w:space="0" w:color="auto"/>
            </w:tcBorders>
          </w:tcPr>
          <w:p w14:paraId="500615B1" w14:textId="1998DCCF" w:rsidR="0020487F" w:rsidRPr="00D30369" w:rsidRDefault="0020487F" w:rsidP="008D1BD2">
            <w:pPr>
              <w:pStyle w:val="TableText"/>
              <w:keepNext/>
              <w:keepLines/>
              <w:spacing w:before="0" w:after="0"/>
              <w:rPr>
                <w:szCs w:val="24"/>
              </w:rPr>
            </w:pPr>
            <w:r w:rsidRPr="00385F46">
              <w:rPr>
                <w:color w:val="000000"/>
                <w:szCs w:val="24"/>
              </w:rPr>
              <w:t>367</w:t>
            </w:r>
          </w:p>
        </w:tc>
        <w:tc>
          <w:tcPr>
            <w:tcW w:w="1080" w:type="dxa"/>
            <w:tcBorders>
              <w:top w:val="single" w:sz="4" w:space="0" w:color="auto"/>
            </w:tcBorders>
          </w:tcPr>
          <w:p w14:paraId="147B106E" w14:textId="727D4F51" w:rsidR="0020487F" w:rsidRPr="00D30369" w:rsidRDefault="0020487F" w:rsidP="008D1BD2">
            <w:pPr>
              <w:pStyle w:val="TableText"/>
              <w:keepNext/>
              <w:keepLines/>
              <w:spacing w:before="0" w:after="0"/>
              <w:rPr>
                <w:szCs w:val="24"/>
              </w:rPr>
            </w:pPr>
            <w:r w:rsidRPr="00385F46">
              <w:rPr>
                <w:color w:val="000000"/>
                <w:szCs w:val="24"/>
              </w:rPr>
              <w:t>435</w:t>
            </w:r>
          </w:p>
        </w:tc>
        <w:tc>
          <w:tcPr>
            <w:tcW w:w="1152" w:type="dxa"/>
            <w:tcBorders>
              <w:top w:val="single" w:sz="4" w:space="0" w:color="auto"/>
            </w:tcBorders>
          </w:tcPr>
          <w:p w14:paraId="5031F95E" w14:textId="146DACB8" w:rsidR="0020487F" w:rsidRPr="00D30369" w:rsidRDefault="0020487F" w:rsidP="008D1BD2">
            <w:pPr>
              <w:pStyle w:val="TableText"/>
              <w:keepNext/>
              <w:keepLines/>
              <w:spacing w:before="0" w:after="0"/>
              <w:rPr>
                <w:szCs w:val="24"/>
              </w:rPr>
            </w:pPr>
            <w:r w:rsidRPr="00385F46">
              <w:rPr>
                <w:color w:val="000000"/>
                <w:szCs w:val="24"/>
              </w:rPr>
              <w:t>107</w:t>
            </w:r>
          </w:p>
        </w:tc>
        <w:tc>
          <w:tcPr>
            <w:tcW w:w="1152" w:type="dxa"/>
            <w:tcBorders>
              <w:top w:val="single" w:sz="4" w:space="0" w:color="auto"/>
            </w:tcBorders>
          </w:tcPr>
          <w:p w14:paraId="283867D6" w14:textId="1F9B82E9" w:rsidR="0020487F" w:rsidRPr="00D30369" w:rsidRDefault="0020487F" w:rsidP="008D1BD2">
            <w:pPr>
              <w:pStyle w:val="TableText"/>
              <w:keepNext/>
              <w:keepLines/>
              <w:spacing w:before="0" w:after="0"/>
              <w:rPr>
                <w:szCs w:val="24"/>
              </w:rPr>
            </w:pPr>
            <w:r w:rsidRPr="00385F46">
              <w:rPr>
                <w:color w:val="000000"/>
                <w:szCs w:val="24"/>
              </w:rPr>
              <w:t>215</w:t>
            </w:r>
          </w:p>
        </w:tc>
        <w:tc>
          <w:tcPr>
            <w:tcW w:w="1152" w:type="dxa"/>
            <w:tcBorders>
              <w:top w:val="single" w:sz="4" w:space="0" w:color="auto"/>
            </w:tcBorders>
          </w:tcPr>
          <w:p w14:paraId="17975886" w14:textId="705470D8" w:rsidR="0020487F" w:rsidRPr="00D30369" w:rsidRDefault="0020487F" w:rsidP="008D1BD2">
            <w:pPr>
              <w:pStyle w:val="TableText"/>
              <w:keepNext/>
              <w:keepLines/>
              <w:spacing w:before="0" w:after="0"/>
              <w:rPr>
                <w:szCs w:val="24"/>
              </w:rPr>
            </w:pPr>
            <w:r w:rsidRPr="00385F46">
              <w:rPr>
                <w:color w:val="000000"/>
                <w:szCs w:val="24"/>
              </w:rPr>
              <w:t>190</w:t>
            </w:r>
          </w:p>
        </w:tc>
        <w:tc>
          <w:tcPr>
            <w:tcW w:w="1224" w:type="dxa"/>
            <w:tcBorders>
              <w:top w:val="single" w:sz="4" w:space="0" w:color="auto"/>
            </w:tcBorders>
          </w:tcPr>
          <w:p w14:paraId="16F44AAC" w14:textId="088FC98B" w:rsidR="0020487F" w:rsidRPr="00D30369" w:rsidRDefault="0020487F" w:rsidP="008D1BD2">
            <w:pPr>
              <w:pStyle w:val="TableText"/>
              <w:keepNext/>
              <w:keepLines/>
              <w:spacing w:before="0" w:after="0"/>
              <w:rPr>
                <w:szCs w:val="24"/>
              </w:rPr>
            </w:pPr>
            <w:r w:rsidRPr="00055AFE">
              <w:rPr>
                <w:color w:val="000000"/>
                <w:szCs w:val="24"/>
              </w:rPr>
              <w:t>512</w:t>
            </w:r>
          </w:p>
        </w:tc>
      </w:tr>
      <w:tr w:rsidR="0020487F" w:rsidRPr="004B2D24" w14:paraId="067813D8" w14:textId="77777777" w:rsidTr="00530C5F">
        <w:trPr>
          <w:trHeight w:val="282"/>
        </w:trPr>
        <w:tc>
          <w:tcPr>
            <w:tcW w:w="3312" w:type="dxa"/>
          </w:tcPr>
          <w:p w14:paraId="79008444" w14:textId="454B15A2" w:rsidR="0020487F" w:rsidRPr="00D30369" w:rsidRDefault="0020487F" w:rsidP="00F874FE">
            <w:pPr>
              <w:pStyle w:val="TableText"/>
              <w:spacing w:before="0" w:after="0"/>
              <w:rPr>
                <w:szCs w:val="24"/>
              </w:rPr>
            </w:pPr>
            <w:r w:rsidRPr="004B2D24">
              <w:t>Percent Submitted</w:t>
            </w:r>
          </w:p>
        </w:tc>
        <w:tc>
          <w:tcPr>
            <w:tcW w:w="1080" w:type="dxa"/>
          </w:tcPr>
          <w:p w14:paraId="23DF2DAD" w14:textId="29C83DE1" w:rsidR="0020487F" w:rsidRPr="00D30369" w:rsidRDefault="0020487F" w:rsidP="008D1BD2">
            <w:pPr>
              <w:pStyle w:val="TableText"/>
              <w:keepNext/>
              <w:keepLines/>
              <w:spacing w:before="0" w:after="0"/>
              <w:rPr>
                <w:szCs w:val="24"/>
              </w:rPr>
            </w:pPr>
            <w:r w:rsidRPr="00385F46">
              <w:rPr>
                <w:color w:val="000000"/>
                <w:szCs w:val="24"/>
              </w:rPr>
              <w:t>9</w:t>
            </w:r>
            <w:r w:rsidR="00F5378D">
              <w:rPr>
                <w:color w:val="000000"/>
                <w:szCs w:val="24"/>
              </w:rPr>
              <w:t>%</w:t>
            </w:r>
          </w:p>
        </w:tc>
        <w:tc>
          <w:tcPr>
            <w:tcW w:w="1080" w:type="dxa"/>
          </w:tcPr>
          <w:p w14:paraId="43E7FAD2" w14:textId="681989A1" w:rsidR="0020487F" w:rsidRPr="00D30369" w:rsidRDefault="0020487F" w:rsidP="008D1BD2">
            <w:pPr>
              <w:pStyle w:val="TableText"/>
              <w:keepNext/>
              <w:keepLines/>
              <w:spacing w:before="0" w:after="0"/>
              <w:rPr>
                <w:szCs w:val="24"/>
              </w:rPr>
            </w:pPr>
            <w:r w:rsidRPr="00055AFE">
              <w:rPr>
                <w:color w:val="000000"/>
                <w:szCs w:val="24"/>
              </w:rPr>
              <w:t>9</w:t>
            </w:r>
            <w:r w:rsidR="00F5378D">
              <w:rPr>
                <w:color w:val="000000"/>
                <w:szCs w:val="24"/>
              </w:rPr>
              <w:t>%</w:t>
            </w:r>
          </w:p>
        </w:tc>
        <w:tc>
          <w:tcPr>
            <w:tcW w:w="1152" w:type="dxa"/>
          </w:tcPr>
          <w:p w14:paraId="358E343D" w14:textId="529B8303" w:rsidR="0020487F" w:rsidRPr="00D30369" w:rsidRDefault="0020487F" w:rsidP="008D1BD2">
            <w:pPr>
              <w:pStyle w:val="TableText"/>
              <w:keepNext/>
              <w:keepLines/>
              <w:spacing w:before="0" w:after="0"/>
              <w:rPr>
                <w:szCs w:val="24"/>
              </w:rPr>
            </w:pPr>
            <w:r w:rsidRPr="00385F46">
              <w:rPr>
                <w:color w:val="000000"/>
                <w:szCs w:val="24"/>
              </w:rPr>
              <w:t>27</w:t>
            </w:r>
            <w:r w:rsidR="00F5378D">
              <w:rPr>
                <w:color w:val="000000"/>
                <w:szCs w:val="24"/>
              </w:rPr>
              <w:t>%</w:t>
            </w:r>
          </w:p>
        </w:tc>
        <w:tc>
          <w:tcPr>
            <w:tcW w:w="1152" w:type="dxa"/>
          </w:tcPr>
          <w:p w14:paraId="2B76DBDB" w14:textId="0AD78713" w:rsidR="0020487F" w:rsidRPr="00D30369" w:rsidRDefault="0020487F" w:rsidP="008D1BD2">
            <w:pPr>
              <w:pStyle w:val="TableText"/>
              <w:keepNext/>
              <w:keepLines/>
              <w:spacing w:before="0" w:after="0"/>
              <w:rPr>
                <w:szCs w:val="24"/>
              </w:rPr>
            </w:pPr>
            <w:r w:rsidRPr="009223DC">
              <w:rPr>
                <w:color w:val="000000"/>
                <w:szCs w:val="24"/>
              </w:rPr>
              <w:t>8</w:t>
            </w:r>
            <w:r w:rsidR="00F5378D">
              <w:rPr>
                <w:color w:val="000000"/>
                <w:szCs w:val="24"/>
              </w:rPr>
              <w:t>%</w:t>
            </w:r>
          </w:p>
        </w:tc>
        <w:tc>
          <w:tcPr>
            <w:tcW w:w="1152" w:type="dxa"/>
          </w:tcPr>
          <w:p w14:paraId="2B5EF490" w14:textId="61B3CD20" w:rsidR="0020487F" w:rsidRPr="00D30369" w:rsidRDefault="0020487F" w:rsidP="008D1BD2">
            <w:pPr>
              <w:pStyle w:val="TableText"/>
              <w:keepNext/>
              <w:keepLines/>
              <w:spacing w:before="0" w:after="0"/>
              <w:rPr>
                <w:szCs w:val="24"/>
              </w:rPr>
            </w:pPr>
            <w:r w:rsidRPr="00385F46">
              <w:rPr>
                <w:color w:val="000000"/>
                <w:szCs w:val="24"/>
              </w:rPr>
              <w:t>12</w:t>
            </w:r>
            <w:r w:rsidR="00F5378D">
              <w:rPr>
                <w:color w:val="000000"/>
                <w:szCs w:val="24"/>
              </w:rPr>
              <w:t>%</w:t>
            </w:r>
          </w:p>
        </w:tc>
        <w:tc>
          <w:tcPr>
            <w:tcW w:w="1224" w:type="dxa"/>
          </w:tcPr>
          <w:p w14:paraId="09DD3648" w14:textId="2577A402" w:rsidR="0020487F" w:rsidRPr="00D30369" w:rsidRDefault="0020487F" w:rsidP="008D1BD2">
            <w:pPr>
              <w:pStyle w:val="TableText"/>
              <w:keepNext/>
              <w:keepLines/>
              <w:spacing w:before="0" w:after="0"/>
              <w:rPr>
                <w:szCs w:val="24"/>
              </w:rPr>
            </w:pPr>
            <w:r w:rsidRPr="00055AFE">
              <w:rPr>
                <w:color w:val="000000"/>
                <w:szCs w:val="24"/>
              </w:rPr>
              <w:t>11</w:t>
            </w:r>
            <w:r w:rsidR="00F5378D">
              <w:rPr>
                <w:color w:val="000000"/>
                <w:szCs w:val="24"/>
              </w:rPr>
              <w:t>%</w:t>
            </w:r>
          </w:p>
        </w:tc>
      </w:tr>
    </w:tbl>
    <w:p w14:paraId="26FDFFED" w14:textId="57907778" w:rsidR="006C4C39" w:rsidRDefault="00FD1D7F" w:rsidP="00752866">
      <w:pPr>
        <w:spacing w:before="120"/>
      </w:pPr>
      <w:r w:rsidRPr="007C431E">
        <w:rPr>
          <w:rStyle w:val="Cross-Reference"/>
        </w:rPr>
        <w:fldChar w:fldCharType="begin"/>
      </w:r>
      <w:r w:rsidRPr="007C431E">
        <w:rPr>
          <w:rStyle w:val="Cross-Reference"/>
        </w:rPr>
        <w:instrText xml:space="preserve"> REF _Ref61504416 \h  \* MERGEFORMAT </w:instrText>
      </w:r>
      <w:r w:rsidRPr="007C431E">
        <w:rPr>
          <w:rStyle w:val="Cross-Reference"/>
        </w:rPr>
      </w:r>
      <w:r w:rsidRPr="007C431E">
        <w:rPr>
          <w:rStyle w:val="Cross-Reference"/>
        </w:rPr>
        <w:fldChar w:fldCharType="separate"/>
      </w:r>
      <w:r w:rsidR="00853110" w:rsidRPr="00853110">
        <w:rPr>
          <w:rStyle w:val="Cross-Reference"/>
        </w:rPr>
        <w:t>Table 2.2</w:t>
      </w:r>
      <w:r w:rsidRPr="007C431E">
        <w:rPr>
          <w:rStyle w:val="Cross-Reference"/>
        </w:rPr>
        <w:fldChar w:fldCharType="end"/>
      </w:r>
      <w:r w:rsidR="006C4C39">
        <w:t xml:space="preserve"> presents the percentage of students in each g</w:t>
      </w:r>
      <w:r w:rsidR="006C4C39" w:rsidRPr="004B2D24">
        <w:t>rade</w:t>
      </w:r>
      <w:r w:rsidR="00530C5F">
        <w:t xml:space="preserve"> level or grade band</w:t>
      </w:r>
      <w:r w:rsidR="006C4C39" w:rsidRPr="004B2D24">
        <w:t xml:space="preserve"> </w:t>
      </w:r>
      <w:r w:rsidR="006C4C39">
        <w:t>that completed</w:t>
      </w:r>
      <w:r w:rsidR="00E10EFD">
        <w:t xml:space="preserve"> </w:t>
      </w:r>
      <w:r w:rsidR="00866FEB">
        <w:t>one, two, three, four</w:t>
      </w:r>
      <w:r w:rsidR="00B06539">
        <w:t>,</w:t>
      </w:r>
      <w:r w:rsidR="00866FEB">
        <w:t xml:space="preserve"> or none of the</w:t>
      </w:r>
      <w:r w:rsidR="006C4C39">
        <w:t xml:space="preserve"> e</w:t>
      </w:r>
      <w:r w:rsidR="006C4C39" w:rsidRPr="004B2D24">
        <w:t>mbedded PTs</w:t>
      </w:r>
      <w:r w:rsidR="006C4C39">
        <w:t>.</w:t>
      </w:r>
      <w:r w:rsidR="00B44383">
        <w:t xml:space="preserve"> The majority of</w:t>
      </w:r>
      <w:r w:rsidR="00F720BE">
        <w:t xml:space="preserve"> registered </w:t>
      </w:r>
      <w:r w:rsidR="00B44383">
        <w:t xml:space="preserve">students did not </w:t>
      </w:r>
      <w:r w:rsidR="00F720BE">
        <w:t>complete any of the four</w:t>
      </w:r>
      <w:r w:rsidR="00B44383">
        <w:t xml:space="preserve"> the CAA for Science embedded PTs </w:t>
      </w:r>
      <w:r w:rsidR="00B06539">
        <w:t>by the time</w:t>
      </w:r>
      <w:r w:rsidR="00B44383">
        <w:t xml:space="preserve"> testing was s</w:t>
      </w:r>
      <w:r w:rsidR="006A28B2">
        <w:t>uspended</w:t>
      </w:r>
      <w:r w:rsidR="00B44383">
        <w:t xml:space="preserve"> on March 18, 2020.</w:t>
      </w:r>
    </w:p>
    <w:p w14:paraId="4E5C11B1" w14:textId="7C5C7FDD" w:rsidR="00FD1D7F" w:rsidRDefault="00FD1D7F" w:rsidP="00FD1D7F">
      <w:pPr>
        <w:pStyle w:val="Caption"/>
      </w:pPr>
      <w:bookmarkStart w:id="160" w:name="_Ref61504416"/>
      <w:bookmarkStart w:id="161" w:name="_Toc67319682"/>
      <w:bookmarkStart w:id="162" w:name="_Toc220498686"/>
      <w:r>
        <w:t xml:space="preserve">Table </w:t>
      </w:r>
      <w:r>
        <w:fldChar w:fldCharType="begin"/>
      </w:r>
      <w:r>
        <w:instrText>STYLEREF 2 \s</w:instrText>
      </w:r>
      <w:r>
        <w:fldChar w:fldCharType="separate"/>
      </w:r>
      <w:r w:rsidR="00961502">
        <w:rPr>
          <w:noProof/>
        </w:rPr>
        <w:t>2</w:t>
      </w:r>
      <w:r>
        <w:fldChar w:fldCharType="end"/>
      </w:r>
      <w:r w:rsidR="00A40753">
        <w:t>.</w:t>
      </w:r>
      <w:r>
        <w:fldChar w:fldCharType="begin"/>
      </w:r>
      <w:r>
        <w:instrText>SEQ Table \* ARABIC \s 2</w:instrText>
      </w:r>
      <w:r>
        <w:fldChar w:fldCharType="separate"/>
      </w:r>
      <w:r w:rsidR="00961502">
        <w:rPr>
          <w:noProof/>
        </w:rPr>
        <w:t>2</w:t>
      </w:r>
      <w:r>
        <w:fldChar w:fldCharType="end"/>
      </w:r>
      <w:bookmarkEnd w:id="160"/>
      <w:r>
        <w:t xml:space="preserve">  </w:t>
      </w:r>
      <w:r w:rsidRPr="004B2D24">
        <w:t>Percentage of Students in Each Grade</w:t>
      </w:r>
      <w:r w:rsidR="00EC46EE">
        <w:t xml:space="preserve"> Level or Grade Band</w:t>
      </w:r>
      <w:r w:rsidRPr="004B2D24">
        <w:t xml:space="preserve"> Completing Embedded PTs</w:t>
      </w:r>
      <w:bookmarkEnd w:id="161"/>
      <w:bookmarkEnd w:id="162"/>
    </w:p>
    <w:tbl>
      <w:tblPr>
        <w:tblStyle w:val="TRs"/>
        <w:tblW w:w="0" w:type="auto"/>
        <w:tblLook w:val="04A0" w:firstRow="1" w:lastRow="0" w:firstColumn="1" w:lastColumn="0" w:noHBand="0" w:noVBand="1"/>
        <w:tblDescription w:val="Percentage of Students in Each Grade Level or Grade Band Completing Embedded PTs"/>
      </w:tblPr>
      <w:tblGrid>
        <w:gridCol w:w="2016"/>
        <w:gridCol w:w="720"/>
        <w:gridCol w:w="720"/>
        <w:gridCol w:w="720"/>
        <w:gridCol w:w="720"/>
        <w:gridCol w:w="720"/>
        <w:gridCol w:w="864"/>
      </w:tblGrid>
      <w:tr w:rsidR="00CD7E02" w:rsidRPr="004B2D24" w14:paraId="6DCAA677" w14:textId="77777777" w:rsidTr="005F02B4">
        <w:trPr>
          <w:cnfStyle w:val="100000000000" w:firstRow="1" w:lastRow="0" w:firstColumn="0" w:lastColumn="0" w:oddVBand="0" w:evenVBand="0" w:oddHBand="0" w:evenHBand="0" w:firstRowFirstColumn="0" w:firstRowLastColumn="0" w:lastRowFirstColumn="0" w:lastRowLastColumn="0"/>
          <w:trHeight w:val="2448"/>
        </w:trPr>
        <w:tc>
          <w:tcPr>
            <w:tcW w:w="2016" w:type="dxa"/>
          </w:tcPr>
          <w:p w14:paraId="16B0D98A" w14:textId="0672678F" w:rsidR="006C4C39" w:rsidRPr="004B2D24" w:rsidRDefault="006C4C39" w:rsidP="005F02B4">
            <w:pPr>
              <w:pStyle w:val="TableHead"/>
            </w:pPr>
            <w:r w:rsidRPr="004B2D24">
              <w:t>Grade</w:t>
            </w:r>
            <w:r w:rsidR="00C66744">
              <w:t xml:space="preserve"> Level or Grade Band</w:t>
            </w:r>
          </w:p>
        </w:tc>
        <w:tc>
          <w:tcPr>
            <w:tcW w:w="720" w:type="dxa"/>
            <w:textDirection w:val="btLr"/>
            <w:vAlign w:val="center"/>
          </w:tcPr>
          <w:p w14:paraId="1996363D" w14:textId="77777777" w:rsidR="006C4C39" w:rsidRPr="004B2D24" w:rsidRDefault="006C4C39" w:rsidP="0044333A">
            <w:pPr>
              <w:pStyle w:val="TableHead"/>
              <w:ind w:left="72" w:right="72"/>
              <w:jc w:val="left"/>
            </w:pPr>
            <w:r w:rsidRPr="004B2D24">
              <w:t>No PTs Completed</w:t>
            </w:r>
          </w:p>
        </w:tc>
        <w:tc>
          <w:tcPr>
            <w:tcW w:w="720" w:type="dxa"/>
            <w:textDirection w:val="btLr"/>
            <w:vAlign w:val="center"/>
          </w:tcPr>
          <w:p w14:paraId="32AB70FE" w14:textId="77777777" w:rsidR="006C4C39" w:rsidRPr="004B2D24" w:rsidRDefault="006C4C39" w:rsidP="0044333A">
            <w:pPr>
              <w:pStyle w:val="TableHead"/>
              <w:ind w:left="72" w:right="72"/>
              <w:jc w:val="left"/>
            </w:pPr>
            <w:r w:rsidRPr="004B2D24">
              <w:t>1 PT Completed</w:t>
            </w:r>
          </w:p>
        </w:tc>
        <w:tc>
          <w:tcPr>
            <w:tcW w:w="720" w:type="dxa"/>
            <w:textDirection w:val="btLr"/>
            <w:vAlign w:val="center"/>
          </w:tcPr>
          <w:p w14:paraId="761A87E7" w14:textId="77777777" w:rsidR="006C4C39" w:rsidRPr="004B2D24" w:rsidRDefault="006C4C39" w:rsidP="0044333A">
            <w:pPr>
              <w:pStyle w:val="TableHead"/>
              <w:ind w:left="72" w:right="72"/>
              <w:jc w:val="left"/>
            </w:pPr>
            <w:r w:rsidRPr="004B2D24">
              <w:t>2 PTs Completed</w:t>
            </w:r>
          </w:p>
        </w:tc>
        <w:tc>
          <w:tcPr>
            <w:tcW w:w="720" w:type="dxa"/>
            <w:textDirection w:val="btLr"/>
            <w:vAlign w:val="center"/>
          </w:tcPr>
          <w:p w14:paraId="72DC9BA1" w14:textId="77777777" w:rsidR="006C4C39" w:rsidRPr="004B2D24" w:rsidRDefault="006C4C39" w:rsidP="0044333A">
            <w:pPr>
              <w:pStyle w:val="TableHead"/>
              <w:ind w:left="72" w:right="72"/>
              <w:jc w:val="left"/>
            </w:pPr>
            <w:r w:rsidRPr="004B2D24">
              <w:t>3 PTs Completed</w:t>
            </w:r>
          </w:p>
        </w:tc>
        <w:tc>
          <w:tcPr>
            <w:tcW w:w="720" w:type="dxa"/>
            <w:textDirection w:val="btLr"/>
            <w:vAlign w:val="center"/>
          </w:tcPr>
          <w:p w14:paraId="144B734A" w14:textId="77777777" w:rsidR="006C4C39" w:rsidRPr="004B2D24" w:rsidRDefault="006C4C39" w:rsidP="0044333A">
            <w:pPr>
              <w:pStyle w:val="TableHead"/>
              <w:ind w:left="72" w:right="72"/>
              <w:jc w:val="left"/>
            </w:pPr>
            <w:r w:rsidRPr="004B2D24">
              <w:t>4 PTs Completed</w:t>
            </w:r>
          </w:p>
        </w:tc>
        <w:tc>
          <w:tcPr>
            <w:tcW w:w="864" w:type="dxa"/>
            <w:textDirection w:val="btLr"/>
            <w:vAlign w:val="center"/>
          </w:tcPr>
          <w:p w14:paraId="2D92A4D7" w14:textId="6DB1C475" w:rsidR="006C4C39" w:rsidRPr="004B2D24" w:rsidRDefault="006C4C39" w:rsidP="0044333A">
            <w:pPr>
              <w:pStyle w:val="TableHead"/>
              <w:ind w:left="72" w:right="72"/>
              <w:jc w:val="left"/>
            </w:pPr>
            <w:r w:rsidRPr="004B2D24">
              <w:t xml:space="preserve">Number of Students </w:t>
            </w:r>
            <w:r w:rsidR="00443317">
              <w:rPr>
                <w:noProof w:val="0"/>
              </w:rPr>
              <w:t>Assigned</w:t>
            </w:r>
          </w:p>
        </w:tc>
      </w:tr>
      <w:tr w:rsidR="00550FC8" w:rsidRPr="004B2D24" w14:paraId="59B356DE" w14:textId="77777777" w:rsidTr="00B37888">
        <w:tc>
          <w:tcPr>
            <w:tcW w:w="2016" w:type="dxa"/>
            <w:tcBorders>
              <w:top w:val="single" w:sz="4" w:space="0" w:color="auto"/>
            </w:tcBorders>
          </w:tcPr>
          <w:p w14:paraId="126125AF" w14:textId="77777777" w:rsidR="00550FC8" w:rsidRPr="004B2D24" w:rsidRDefault="00550FC8" w:rsidP="00550FC8">
            <w:pPr>
              <w:pStyle w:val="TableText"/>
              <w:keepNext/>
              <w:tabs>
                <w:tab w:val="left" w:pos="1116"/>
                <w:tab w:val="left" w:pos="2559"/>
                <w:tab w:val="left" w:pos="4095"/>
              </w:tabs>
            </w:pPr>
            <w:r w:rsidRPr="004B2D24">
              <w:t>Grade 5</w:t>
            </w:r>
          </w:p>
        </w:tc>
        <w:tc>
          <w:tcPr>
            <w:tcW w:w="720" w:type="dxa"/>
            <w:tcBorders>
              <w:top w:val="single" w:sz="4" w:space="0" w:color="auto"/>
            </w:tcBorders>
          </w:tcPr>
          <w:p w14:paraId="33EF6731" w14:textId="515FEF8B" w:rsidR="00550FC8" w:rsidRPr="00550FC8" w:rsidRDefault="00550FC8" w:rsidP="00550FC8">
            <w:pPr>
              <w:pStyle w:val="TableText"/>
              <w:tabs>
                <w:tab w:val="left" w:pos="1116"/>
                <w:tab w:val="left" w:pos="2559"/>
                <w:tab w:val="left" w:pos="4095"/>
              </w:tabs>
              <w:rPr>
                <w:szCs w:val="24"/>
              </w:rPr>
            </w:pPr>
            <w:r w:rsidRPr="00397017">
              <w:rPr>
                <w:color w:val="000000"/>
                <w:szCs w:val="24"/>
              </w:rPr>
              <w:t>83%</w:t>
            </w:r>
          </w:p>
        </w:tc>
        <w:tc>
          <w:tcPr>
            <w:tcW w:w="720" w:type="dxa"/>
            <w:tcBorders>
              <w:top w:val="single" w:sz="4" w:space="0" w:color="auto"/>
            </w:tcBorders>
          </w:tcPr>
          <w:p w14:paraId="02569A9F" w14:textId="6C048215" w:rsidR="00550FC8" w:rsidRPr="00550FC8" w:rsidRDefault="00550FC8" w:rsidP="00550FC8">
            <w:pPr>
              <w:pStyle w:val="TableText"/>
              <w:tabs>
                <w:tab w:val="left" w:pos="1116"/>
                <w:tab w:val="left" w:pos="2559"/>
                <w:tab w:val="left" w:pos="4095"/>
              </w:tabs>
              <w:rPr>
                <w:szCs w:val="24"/>
              </w:rPr>
            </w:pPr>
            <w:r w:rsidRPr="00397017">
              <w:rPr>
                <w:color w:val="000000"/>
                <w:szCs w:val="24"/>
              </w:rPr>
              <w:t>3%</w:t>
            </w:r>
          </w:p>
        </w:tc>
        <w:tc>
          <w:tcPr>
            <w:tcW w:w="720" w:type="dxa"/>
            <w:tcBorders>
              <w:top w:val="single" w:sz="4" w:space="0" w:color="auto"/>
            </w:tcBorders>
          </w:tcPr>
          <w:p w14:paraId="4F7674BE" w14:textId="4F4ECBD2" w:rsidR="00550FC8" w:rsidRPr="00550FC8" w:rsidRDefault="00550FC8" w:rsidP="00550FC8">
            <w:pPr>
              <w:pStyle w:val="TableText"/>
              <w:tabs>
                <w:tab w:val="left" w:pos="1116"/>
                <w:tab w:val="left" w:pos="2559"/>
                <w:tab w:val="left" w:pos="4095"/>
              </w:tabs>
              <w:rPr>
                <w:szCs w:val="24"/>
              </w:rPr>
            </w:pPr>
            <w:r w:rsidRPr="00397017">
              <w:rPr>
                <w:color w:val="000000"/>
                <w:szCs w:val="24"/>
              </w:rPr>
              <w:t>4%</w:t>
            </w:r>
          </w:p>
        </w:tc>
        <w:tc>
          <w:tcPr>
            <w:tcW w:w="720" w:type="dxa"/>
            <w:tcBorders>
              <w:top w:val="single" w:sz="4" w:space="0" w:color="auto"/>
            </w:tcBorders>
          </w:tcPr>
          <w:p w14:paraId="0E697299" w14:textId="5EFA4460" w:rsidR="00550FC8" w:rsidRPr="00550FC8" w:rsidRDefault="00550FC8" w:rsidP="00550FC8">
            <w:pPr>
              <w:pStyle w:val="TableText"/>
              <w:tabs>
                <w:tab w:val="left" w:pos="1116"/>
                <w:tab w:val="left" w:pos="2559"/>
                <w:tab w:val="left" w:pos="4095"/>
              </w:tabs>
              <w:rPr>
                <w:szCs w:val="24"/>
              </w:rPr>
            </w:pPr>
            <w:r w:rsidRPr="00397017">
              <w:rPr>
                <w:color w:val="000000"/>
                <w:szCs w:val="24"/>
              </w:rPr>
              <w:t>2%</w:t>
            </w:r>
          </w:p>
        </w:tc>
        <w:tc>
          <w:tcPr>
            <w:tcW w:w="720" w:type="dxa"/>
            <w:tcBorders>
              <w:top w:val="single" w:sz="4" w:space="0" w:color="auto"/>
            </w:tcBorders>
          </w:tcPr>
          <w:p w14:paraId="7E5E0C54" w14:textId="41234E04" w:rsidR="00550FC8" w:rsidRPr="00550FC8" w:rsidRDefault="00550FC8" w:rsidP="00550FC8">
            <w:pPr>
              <w:pStyle w:val="TableText"/>
              <w:tabs>
                <w:tab w:val="left" w:pos="1116"/>
                <w:tab w:val="left" w:pos="2559"/>
                <w:tab w:val="left" w:pos="4095"/>
              </w:tabs>
              <w:rPr>
                <w:szCs w:val="24"/>
              </w:rPr>
            </w:pPr>
            <w:r w:rsidRPr="00397017">
              <w:rPr>
                <w:color w:val="000000"/>
                <w:szCs w:val="24"/>
              </w:rPr>
              <w:t>9%</w:t>
            </w:r>
          </w:p>
        </w:tc>
        <w:tc>
          <w:tcPr>
            <w:tcW w:w="864" w:type="dxa"/>
            <w:tcBorders>
              <w:top w:val="single" w:sz="4" w:space="0" w:color="auto"/>
            </w:tcBorders>
          </w:tcPr>
          <w:p w14:paraId="790BEDEB" w14:textId="34E2DDAA" w:rsidR="00550FC8" w:rsidRPr="00550FC8" w:rsidRDefault="00550FC8" w:rsidP="00550FC8">
            <w:pPr>
              <w:pStyle w:val="TableText"/>
              <w:tabs>
                <w:tab w:val="left" w:pos="1116"/>
                <w:tab w:val="left" w:pos="2559"/>
                <w:tab w:val="left" w:pos="4095"/>
              </w:tabs>
              <w:rPr>
                <w:szCs w:val="24"/>
              </w:rPr>
            </w:pPr>
            <w:r w:rsidRPr="00397017">
              <w:rPr>
                <w:color w:val="000000"/>
                <w:szCs w:val="24"/>
              </w:rPr>
              <w:t>4</w:t>
            </w:r>
            <w:r w:rsidR="00682579">
              <w:rPr>
                <w:color w:val="000000"/>
                <w:szCs w:val="24"/>
              </w:rPr>
              <w:t>,</w:t>
            </w:r>
            <w:r w:rsidRPr="00397017">
              <w:rPr>
                <w:color w:val="000000"/>
                <w:szCs w:val="24"/>
              </w:rPr>
              <w:t>249</w:t>
            </w:r>
          </w:p>
        </w:tc>
      </w:tr>
      <w:tr w:rsidR="00550FC8" w:rsidRPr="004B2D24" w14:paraId="3D784C8E" w14:textId="77777777" w:rsidTr="0044333A">
        <w:tc>
          <w:tcPr>
            <w:tcW w:w="2016" w:type="dxa"/>
          </w:tcPr>
          <w:p w14:paraId="50185E49" w14:textId="77777777" w:rsidR="00550FC8" w:rsidRPr="004B2D24" w:rsidRDefault="00550FC8" w:rsidP="00550FC8">
            <w:pPr>
              <w:pStyle w:val="TableText"/>
              <w:keepNext/>
              <w:tabs>
                <w:tab w:val="left" w:pos="1116"/>
                <w:tab w:val="left" w:pos="2559"/>
                <w:tab w:val="left" w:pos="4095"/>
              </w:tabs>
            </w:pPr>
            <w:r w:rsidRPr="004B2D24">
              <w:t>Grade 8</w:t>
            </w:r>
          </w:p>
        </w:tc>
        <w:tc>
          <w:tcPr>
            <w:tcW w:w="720" w:type="dxa"/>
          </w:tcPr>
          <w:p w14:paraId="51E5F5FA" w14:textId="6C762E2D" w:rsidR="00550FC8" w:rsidRPr="00550FC8" w:rsidRDefault="00550FC8" w:rsidP="00550FC8">
            <w:pPr>
              <w:pStyle w:val="TableText"/>
              <w:tabs>
                <w:tab w:val="left" w:pos="1116"/>
                <w:tab w:val="left" w:pos="2559"/>
                <w:tab w:val="left" w:pos="4095"/>
              </w:tabs>
              <w:rPr>
                <w:szCs w:val="24"/>
              </w:rPr>
            </w:pPr>
            <w:r w:rsidRPr="00397017">
              <w:rPr>
                <w:color w:val="000000"/>
                <w:szCs w:val="24"/>
              </w:rPr>
              <w:t>83%</w:t>
            </w:r>
          </w:p>
        </w:tc>
        <w:tc>
          <w:tcPr>
            <w:tcW w:w="720" w:type="dxa"/>
          </w:tcPr>
          <w:p w14:paraId="7E1A6164" w14:textId="3CDF3DFD" w:rsidR="00550FC8" w:rsidRPr="00550FC8" w:rsidRDefault="00550FC8" w:rsidP="00550FC8">
            <w:pPr>
              <w:pStyle w:val="TableText"/>
              <w:tabs>
                <w:tab w:val="left" w:pos="1116"/>
                <w:tab w:val="left" w:pos="2559"/>
                <w:tab w:val="left" w:pos="4095"/>
              </w:tabs>
              <w:rPr>
                <w:szCs w:val="24"/>
              </w:rPr>
            </w:pPr>
            <w:r w:rsidRPr="00397017">
              <w:rPr>
                <w:color w:val="000000"/>
                <w:szCs w:val="24"/>
              </w:rPr>
              <w:t>4%</w:t>
            </w:r>
          </w:p>
        </w:tc>
        <w:tc>
          <w:tcPr>
            <w:tcW w:w="720" w:type="dxa"/>
          </w:tcPr>
          <w:p w14:paraId="551736E8" w14:textId="39FB6E80" w:rsidR="00550FC8" w:rsidRPr="00550FC8" w:rsidRDefault="00550FC8" w:rsidP="00550FC8">
            <w:pPr>
              <w:pStyle w:val="TableText"/>
              <w:tabs>
                <w:tab w:val="left" w:pos="1116"/>
                <w:tab w:val="left" w:pos="2559"/>
                <w:tab w:val="left" w:pos="4095"/>
              </w:tabs>
              <w:rPr>
                <w:szCs w:val="24"/>
              </w:rPr>
            </w:pPr>
            <w:r w:rsidRPr="00397017">
              <w:rPr>
                <w:color w:val="000000"/>
                <w:szCs w:val="24"/>
              </w:rPr>
              <w:t>3%</w:t>
            </w:r>
          </w:p>
        </w:tc>
        <w:tc>
          <w:tcPr>
            <w:tcW w:w="720" w:type="dxa"/>
          </w:tcPr>
          <w:p w14:paraId="76A24C9A" w14:textId="2C4985CA" w:rsidR="00550FC8" w:rsidRPr="00550FC8" w:rsidRDefault="00550FC8" w:rsidP="00550FC8">
            <w:pPr>
              <w:pStyle w:val="TableText"/>
              <w:tabs>
                <w:tab w:val="left" w:pos="1116"/>
                <w:tab w:val="left" w:pos="2559"/>
                <w:tab w:val="left" w:pos="4095"/>
              </w:tabs>
              <w:rPr>
                <w:szCs w:val="24"/>
              </w:rPr>
            </w:pPr>
            <w:r w:rsidRPr="00397017">
              <w:rPr>
                <w:color w:val="000000"/>
                <w:szCs w:val="24"/>
              </w:rPr>
              <w:t>2%</w:t>
            </w:r>
          </w:p>
        </w:tc>
        <w:tc>
          <w:tcPr>
            <w:tcW w:w="720" w:type="dxa"/>
          </w:tcPr>
          <w:p w14:paraId="4B61A67B" w14:textId="12C82881" w:rsidR="00550FC8" w:rsidRPr="00550FC8" w:rsidRDefault="00550FC8" w:rsidP="00550FC8">
            <w:pPr>
              <w:pStyle w:val="TableText"/>
              <w:tabs>
                <w:tab w:val="left" w:pos="1116"/>
                <w:tab w:val="left" w:pos="2559"/>
                <w:tab w:val="left" w:pos="4095"/>
              </w:tabs>
              <w:rPr>
                <w:szCs w:val="24"/>
              </w:rPr>
            </w:pPr>
            <w:r w:rsidRPr="00397017">
              <w:rPr>
                <w:color w:val="000000"/>
                <w:szCs w:val="24"/>
              </w:rPr>
              <w:t>9%</w:t>
            </w:r>
          </w:p>
        </w:tc>
        <w:tc>
          <w:tcPr>
            <w:tcW w:w="864" w:type="dxa"/>
          </w:tcPr>
          <w:p w14:paraId="7C3CA44E" w14:textId="6DF5D24A" w:rsidR="00550FC8" w:rsidRPr="00550FC8" w:rsidRDefault="00550FC8" w:rsidP="00550FC8">
            <w:pPr>
              <w:pStyle w:val="TableText"/>
              <w:tabs>
                <w:tab w:val="left" w:pos="1116"/>
                <w:tab w:val="left" w:pos="2559"/>
                <w:tab w:val="left" w:pos="4095"/>
              </w:tabs>
              <w:rPr>
                <w:szCs w:val="24"/>
              </w:rPr>
            </w:pPr>
            <w:r w:rsidRPr="00397017">
              <w:rPr>
                <w:color w:val="000000"/>
                <w:szCs w:val="24"/>
              </w:rPr>
              <w:t>4</w:t>
            </w:r>
            <w:r w:rsidR="00682579">
              <w:rPr>
                <w:color w:val="000000"/>
                <w:szCs w:val="24"/>
              </w:rPr>
              <w:t>,</w:t>
            </w:r>
            <w:r w:rsidRPr="00397017">
              <w:rPr>
                <w:color w:val="000000"/>
                <w:szCs w:val="24"/>
              </w:rPr>
              <w:t>622</w:t>
            </w:r>
          </w:p>
        </w:tc>
      </w:tr>
      <w:tr w:rsidR="00550FC8" w:rsidRPr="004B2D24" w14:paraId="5F6FB580" w14:textId="77777777" w:rsidTr="0044333A">
        <w:tc>
          <w:tcPr>
            <w:tcW w:w="2016" w:type="dxa"/>
          </w:tcPr>
          <w:p w14:paraId="4B1DC61E" w14:textId="77777777" w:rsidR="00550FC8" w:rsidRPr="004B2D24" w:rsidRDefault="00550FC8" w:rsidP="00550FC8">
            <w:pPr>
              <w:pStyle w:val="TableText"/>
              <w:keepNext/>
              <w:tabs>
                <w:tab w:val="left" w:pos="1116"/>
                <w:tab w:val="left" w:pos="2559"/>
                <w:tab w:val="left" w:pos="4095"/>
              </w:tabs>
            </w:pPr>
            <w:r w:rsidRPr="004B2D24">
              <w:t>High school</w:t>
            </w:r>
          </w:p>
        </w:tc>
        <w:tc>
          <w:tcPr>
            <w:tcW w:w="720" w:type="dxa"/>
          </w:tcPr>
          <w:p w14:paraId="50464144" w14:textId="6D51B3EA" w:rsidR="00550FC8" w:rsidRPr="00550FC8" w:rsidRDefault="00550FC8" w:rsidP="00550FC8">
            <w:pPr>
              <w:pStyle w:val="TableText"/>
              <w:tabs>
                <w:tab w:val="left" w:pos="1116"/>
                <w:tab w:val="left" w:pos="2559"/>
                <w:tab w:val="left" w:pos="4095"/>
              </w:tabs>
              <w:rPr>
                <w:szCs w:val="24"/>
              </w:rPr>
            </w:pPr>
            <w:r w:rsidRPr="00397017">
              <w:rPr>
                <w:color w:val="000000"/>
                <w:szCs w:val="24"/>
              </w:rPr>
              <w:t>85%</w:t>
            </w:r>
          </w:p>
        </w:tc>
        <w:tc>
          <w:tcPr>
            <w:tcW w:w="720" w:type="dxa"/>
          </w:tcPr>
          <w:p w14:paraId="3242BBC6" w14:textId="561634EC" w:rsidR="00550FC8" w:rsidRPr="00550FC8" w:rsidRDefault="00550FC8" w:rsidP="00550FC8">
            <w:pPr>
              <w:pStyle w:val="TableText"/>
              <w:tabs>
                <w:tab w:val="left" w:pos="1116"/>
                <w:tab w:val="left" w:pos="2559"/>
                <w:tab w:val="left" w:pos="4095"/>
              </w:tabs>
              <w:rPr>
                <w:szCs w:val="24"/>
              </w:rPr>
            </w:pPr>
            <w:r w:rsidRPr="00397017">
              <w:rPr>
                <w:color w:val="000000"/>
                <w:szCs w:val="24"/>
              </w:rPr>
              <w:t>1%</w:t>
            </w:r>
          </w:p>
        </w:tc>
        <w:tc>
          <w:tcPr>
            <w:tcW w:w="720" w:type="dxa"/>
          </w:tcPr>
          <w:p w14:paraId="452A6E40" w14:textId="1219196D" w:rsidR="00550FC8" w:rsidRPr="00550FC8" w:rsidRDefault="00550FC8" w:rsidP="00550FC8">
            <w:pPr>
              <w:pStyle w:val="TableText"/>
              <w:tabs>
                <w:tab w:val="left" w:pos="1116"/>
                <w:tab w:val="left" w:pos="2559"/>
                <w:tab w:val="left" w:pos="4095"/>
              </w:tabs>
              <w:rPr>
                <w:szCs w:val="24"/>
              </w:rPr>
            </w:pPr>
            <w:r w:rsidRPr="00397017">
              <w:rPr>
                <w:color w:val="000000"/>
                <w:szCs w:val="24"/>
              </w:rPr>
              <w:t>2%</w:t>
            </w:r>
          </w:p>
        </w:tc>
        <w:tc>
          <w:tcPr>
            <w:tcW w:w="720" w:type="dxa"/>
          </w:tcPr>
          <w:p w14:paraId="07D4667E" w14:textId="4743CFFF" w:rsidR="00550FC8" w:rsidRPr="00550FC8" w:rsidRDefault="00550FC8" w:rsidP="00550FC8">
            <w:pPr>
              <w:pStyle w:val="TableText"/>
              <w:tabs>
                <w:tab w:val="left" w:pos="1116"/>
                <w:tab w:val="left" w:pos="2559"/>
                <w:tab w:val="left" w:pos="4095"/>
              </w:tabs>
              <w:rPr>
                <w:szCs w:val="24"/>
              </w:rPr>
            </w:pPr>
            <w:r w:rsidRPr="00397017">
              <w:rPr>
                <w:color w:val="000000"/>
                <w:szCs w:val="24"/>
              </w:rPr>
              <w:t>1%</w:t>
            </w:r>
          </w:p>
        </w:tc>
        <w:tc>
          <w:tcPr>
            <w:tcW w:w="720" w:type="dxa"/>
          </w:tcPr>
          <w:p w14:paraId="7A6CB00F" w14:textId="5BAF6FA8" w:rsidR="00550FC8" w:rsidRPr="00550FC8" w:rsidRDefault="00550FC8" w:rsidP="00550FC8">
            <w:pPr>
              <w:pStyle w:val="TableText"/>
              <w:tabs>
                <w:tab w:val="left" w:pos="1116"/>
                <w:tab w:val="left" w:pos="2559"/>
                <w:tab w:val="left" w:pos="4095"/>
              </w:tabs>
              <w:rPr>
                <w:szCs w:val="24"/>
              </w:rPr>
            </w:pPr>
            <w:r w:rsidRPr="00397017">
              <w:rPr>
                <w:color w:val="000000"/>
                <w:szCs w:val="24"/>
              </w:rPr>
              <w:t>11%</w:t>
            </w:r>
          </w:p>
        </w:tc>
        <w:tc>
          <w:tcPr>
            <w:tcW w:w="864" w:type="dxa"/>
          </w:tcPr>
          <w:p w14:paraId="36AB29CF" w14:textId="79388B6B" w:rsidR="00550FC8" w:rsidRPr="00550FC8" w:rsidRDefault="00550FC8" w:rsidP="00550FC8">
            <w:pPr>
              <w:pStyle w:val="TableText"/>
              <w:tabs>
                <w:tab w:val="left" w:pos="1116"/>
                <w:tab w:val="left" w:pos="2559"/>
                <w:tab w:val="left" w:pos="4095"/>
              </w:tabs>
              <w:rPr>
                <w:szCs w:val="24"/>
              </w:rPr>
            </w:pPr>
            <w:r w:rsidRPr="00397017">
              <w:rPr>
                <w:color w:val="000000"/>
                <w:szCs w:val="24"/>
              </w:rPr>
              <w:t>4</w:t>
            </w:r>
            <w:r w:rsidR="00682579">
              <w:rPr>
                <w:color w:val="000000"/>
                <w:szCs w:val="24"/>
              </w:rPr>
              <w:t>,</w:t>
            </w:r>
            <w:r w:rsidRPr="00397017">
              <w:rPr>
                <w:color w:val="000000"/>
                <w:szCs w:val="24"/>
              </w:rPr>
              <w:t>770</w:t>
            </w:r>
          </w:p>
        </w:tc>
      </w:tr>
      <w:tr w:rsidR="00550FC8" w:rsidRPr="004B2D24" w14:paraId="27D159F0" w14:textId="77777777" w:rsidTr="0044333A">
        <w:tc>
          <w:tcPr>
            <w:tcW w:w="2016" w:type="dxa"/>
          </w:tcPr>
          <w:p w14:paraId="5B92DE64" w14:textId="77777777" w:rsidR="00550FC8" w:rsidRPr="004B2D24" w:rsidRDefault="00550FC8" w:rsidP="00550FC8">
            <w:pPr>
              <w:pStyle w:val="TableText"/>
              <w:keepNext/>
              <w:tabs>
                <w:tab w:val="left" w:pos="1116"/>
                <w:tab w:val="left" w:pos="2559"/>
                <w:tab w:val="left" w:pos="4095"/>
              </w:tabs>
            </w:pPr>
            <w:r w:rsidRPr="004B2D24">
              <w:t>Grade 10</w:t>
            </w:r>
          </w:p>
        </w:tc>
        <w:tc>
          <w:tcPr>
            <w:tcW w:w="720" w:type="dxa"/>
          </w:tcPr>
          <w:p w14:paraId="2C6A9BF0" w14:textId="6B63B063" w:rsidR="00550FC8" w:rsidRPr="00550FC8" w:rsidRDefault="00550FC8" w:rsidP="00550FC8">
            <w:pPr>
              <w:pStyle w:val="TableText"/>
              <w:tabs>
                <w:tab w:val="left" w:pos="1116"/>
                <w:tab w:val="left" w:pos="2559"/>
                <w:tab w:val="left" w:pos="4095"/>
              </w:tabs>
              <w:rPr>
                <w:szCs w:val="24"/>
              </w:rPr>
            </w:pPr>
            <w:r w:rsidRPr="00397017">
              <w:rPr>
                <w:color w:val="000000"/>
                <w:szCs w:val="24"/>
              </w:rPr>
              <w:t>65%</w:t>
            </w:r>
          </w:p>
        </w:tc>
        <w:tc>
          <w:tcPr>
            <w:tcW w:w="720" w:type="dxa"/>
          </w:tcPr>
          <w:p w14:paraId="10ED1876" w14:textId="36CA47F1" w:rsidR="00550FC8" w:rsidRPr="00550FC8" w:rsidRDefault="00550FC8" w:rsidP="00550FC8">
            <w:pPr>
              <w:pStyle w:val="TableText"/>
              <w:tabs>
                <w:tab w:val="left" w:pos="1116"/>
                <w:tab w:val="left" w:pos="2559"/>
                <w:tab w:val="left" w:pos="4095"/>
              </w:tabs>
              <w:rPr>
                <w:szCs w:val="24"/>
              </w:rPr>
            </w:pPr>
            <w:r w:rsidRPr="00397017">
              <w:rPr>
                <w:color w:val="000000"/>
                <w:szCs w:val="24"/>
              </w:rPr>
              <w:t>1%</w:t>
            </w:r>
          </w:p>
        </w:tc>
        <w:tc>
          <w:tcPr>
            <w:tcW w:w="720" w:type="dxa"/>
          </w:tcPr>
          <w:p w14:paraId="72D02B46" w14:textId="66FCE8A8" w:rsidR="00550FC8" w:rsidRPr="00550FC8" w:rsidRDefault="00550FC8" w:rsidP="00550FC8">
            <w:pPr>
              <w:pStyle w:val="TableText"/>
              <w:tabs>
                <w:tab w:val="left" w:pos="1116"/>
                <w:tab w:val="left" w:pos="2559"/>
                <w:tab w:val="left" w:pos="4095"/>
              </w:tabs>
              <w:rPr>
                <w:szCs w:val="24"/>
              </w:rPr>
            </w:pPr>
            <w:r w:rsidRPr="00397017">
              <w:rPr>
                <w:color w:val="000000"/>
                <w:szCs w:val="24"/>
              </w:rPr>
              <w:t>5%</w:t>
            </w:r>
          </w:p>
        </w:tc>
        <w:tc>
          <w:tcPr>
            <w:tcW w:w="720" w:type="dxa"/>
          </w:tcPr>
          <w:p w14:paraId="3719166A" w14:textId="0A7E0133" w:rsidR="00550FC8" w:rsidRPr="00550FC8" w:rsidRDefault="00550FC8" w:rsidP="00550FC8">
            <w:pPr>
              <w:pStyle w:val="TableText"/>
              <w:tabs>
                <w:tab w:val="left" w:pos="1116"/>
                <w:tab w:val="left" w:pos="2559"/>
                <w:tab w:val="left" w:pos="4095"/>
              </w:tabs>
              <w:rPr>
                <w:szCs w:val="24"/>
              </w:rPr>
            </w:pPr>
            <w:r w:rsidRPr="00397017">
              <w:rPr>
                <w:color w:val="000000"/>
                <w:szCs w:val="24"/>
              </w:rPr>
              <w:t>2%</w:t>
            </w:r>
          </w:p>
        </w:tc>
        <w:tc>
          <w:tcPr>
            <w:tcW w:w="720" w:type="dxa"/>
          </w:tcPr>
          <w:p w14:paraId="587DAF42" w14:textId="29CC100B" w:rsidR="00550FC8" w:rsidRPr="00550FC8" w:rsidRDefault="00550FC8" w:rsidP="00550FC8">
            <w:pPr>
              <w:pStyle w:val="TableText"/>
              <w:tabs>
                <w:tab w:val="left" w:pos="1116"/>
                <w:tab w:val="left" w:pos="2559"/>
                <w:tab w:val="left" w:pos="4095"/>
              </w:tabs>
              <w:rPr>
                <w:szCs w:val="24"/>
              </w:rPr>
            </w:pPr>
            <w:r w:rsidRPr="00397017">
              <w:rPr>
                <w:color w:val="000000"/>
                <w:szCs w:val="24"/>
              </w:rPr>
              <w:t>27%</w:t>
            </w:r>
          </w:p>
        </w:tc>
        <w:tc>
          <w:tcPr>
            <w:tcW w:w="864" w:type="dxa"/>
          </w:tcPr>
          <w:p w14:paraId="68B94D24" w14:textId="143BD075" w:rsidR="00550FC8" w:rsidRPr="00550FC8" w:rsidRDefault="00550FC8" w:rsidP="00550FC8">
            <w:pPr>
              <w:pStyle w:val="TableText"/>
              <w:tabs>
                <w:tab w:val="left" w:pos="1116"/>
                <w:tab w:val="left" w:pos="2559"/>
                <w:tab w:val="left" w:pos="4095"/>
              </w:tabs>
              <w:rPr>
                <w:szCs w:val="24"/>
              </w:rPr>
            </w:pPr>
            <w:r w:rsidRPr="00397017">
              <w:rPr>
                <w:color w:val="000000"/>
                <w:szCs w:val="24"/>
              </w:rPr>
              <w:t>392</w:t>
            </w:r>
          </w:p>
        </w:tc>
      </w:tr>
      <w:tr w:rsidR="00550FC8" w:rsidRPr="004B2D24" w14:paraId="27844E0B" w14:textId="77777777" w:rsidTr="0044333A">
        <w:tc>
          <w:tcPr>
            <w:tcW w:w="2016" w:type="dxa"/>
          </w:tcPr>
          <w:p w14:paraId="25740955" w14:textId="77777777" w:rsidR="00550FC8" w:rsidRPr="004B2D24" w:rsidRDefault="00550FC8" w:rsidP="00550FC8">
            <w:pPr>
              <w:pStyle w:val="TableText"/>
              <w:keepNext/>
              <w:tabs>
                <w:tab w:val="left" w:pos="1116"/>
                <w:tab w:val="left" w:pos="2559"/>
                <w:tab w:val="left" w:pos="4095"/>
              </w:tabs>
            </w:pPr>
            <w:r w:rsidRPr="004B2D24">
              <w:t>Grade 11</w:t>
            </w:r>
          </w:p>
        </w:tc>
        <w:tc>
          <w:tcPr>
            <w:tcW w:w="720" w:type="dxa"/>
          </w:tcPr>
          <w:p w14:paraId="6F96BDBE" w14:textId="47A3C9D7" w:rsidR="00550FC8" w:rsidRPr="00550FC8" w:rsidRDefault="00550FC8" w:rsidP="00550FC8">
            <w:pPr>
              <w:pStyle w:val="TableText"/>
              <w:tabs>
                <w:tab w:val="left" w:pos="1116"/>
                <w:tab w:val="left" w:pos="2559"/>
                <w:tab w:val="left" w:pos="4095"/>
              </w:tabs>
              <w:rPr>
                <w:szCs w:val="24"/>
              </w:rPr>
            </w:pPr>
            <w:r w:rsidRPr="00397017">
              <w:rPr>
                <w:color w:val="000000"/>
                <w:szCs w:val="24"/>
              </w:rPr>
              <w:t>88%</w:t>
            </w:r>
          </w:p>
        </w:tc>
        <w:tc>
          <w:tcPr>
            <w:tcW w:w="720" w:type="dxa"/>
          </w:tcPr>
          <w:p w14:paraId="04FA2740" w14:textId="5FDE2FD4" w:rsidR="00550FC8" w:rsidRPr="00550FC8" w:rsidRDefault="00550FC8" w:rsidP="00550FC8">
            <w:pPr>
              <w:pStyle w:val="TableText"/>
              <w:tabs>
                <w:tab w:val="left" w:pos="1116"/>
                <w:tab w:val="left" w:pos="2559"/>
                <w:tab w:val="left" w:pos="4095"/>
              </w:tabs>
              <w:rPr>
                <w:szCs w:val="24"/>
              </w:rPr>
            </w:pPr>
            <w:r w:rsidRPr="00397017">
              <w:rPr>
                <w:color w:val="000000"/>
                <w:szCs w:val="24"/>
              </w:rPr>
              <w:t>1%</w:t>
            </w:r>
          </w:p>
        </w:tc>
        <w:tc>
          <w:tcPr>
            <w:tcW w:w="720" w:type="dxa"/>
          </w:tcPr>
          <w:p w14:paraId="0BC0743B" w14:textId="464BE4C9" w:rsidR="00550FC8" w:rsidRPr="00550FC8" w:rsidRDefault="00550FC8" w:rsidP="00550FC8">
            <w:pPr>
              <w:pStyle w:val="TableText"/>
              <w:tabs>
                <w:tab w:val="left" w:pos="1116"/>
                <w:tab w:val="left" w:pos="2559"/>
                <w:tab w:val="left" w:pos="4095"/>
              </w:tabs>
              <w:rPr>
                <w:szCs w:val="24"/>
              </w:rPr>
            </w:pPr>
            <w:r w:rsidRPr="00397017">
              <w:rPr>
                <w:color w:val="000000"/>
                <w:szCs w:val="24"/>
              </w:rPr>
              <w:t>2%</w:t>
            </w:r>
          </w:p>
        </w:tc>
        <w:tc>
          <w:tcPr>
            <w:tcW w:w="720" w:type="dxa"/>
          </w:tcPr>
          <w:p w14:paraId="7137B4D3" w14:textId="24692637" w:rsidR="00550FC8" w:rsidRPr="00550FC8" w:rsidRDefault="00550FC8" w:rsidP="00550FC8">
            <w:pPr>
              <w:pStyle w:val="TableText"/>
              <w:tabs>
                <w:tab w:val="left" w:pos="1116"/>
                <w:tab w:val="left" w:pos="2559"/>
                <w:tab w:val="left" w:pos="4095"/>
              </w:tabs>
              <w:rPr>
                <w:szCs w:val="24"/>
              </w:rPr>
            </w:pPr>
            <w:r w:rsidRPr="00397017">
              <w:rPr>
                <w:color w:val="000000"/>
                <w:szCs w:val="24"/>
              </w:rPr>
              <w:t>1%</w:t>
            </w:r>
          </w:p>
        </w:tc>
        <w:tc>
          <w:tcPr>
            <w:tcW w:w="720" w:type="dxa"/>
          </w:tcPr>
          <w:p w14:paraId="0121081B" w14:textId="26DD88AF" w:rsidR="00550FC8" w:rsidRPr="00550FC8" w:rsidRDefault="00550FC8" w:rsidP="00550FC8">
            <w:pPr>
              <w:pStyle w:val="TableText"/>
              <w:tabs>
                <w:tab w:val="left" w:pos="1116"/>
                <w:tab w:val="left" w:pos="2559"/>
                <w:tab w:val="left" w:pos="4095"/>
              </w:tabs>
              <w:rPr>
                <w:szCs w:val="24"/>
              </w:rPr>
            </w:pPr>
            <w:r w:rsidRPr="00397017">
              <w:rPr>
                <w:color w:val="000000"/>
                <w:szCs w:val="24"/>
              </w:rPr>
              <w:t>8%</w:t>
            </w:r>
          </w:p>
        </w:tc>
        <w:tc>
          <w:tcPr>
            <w:tcW w:w="864" w:type="dxa"/>
          </w:tcPr>
          <w:p w14:paraId="6B409440" w14:textId="6CAF503B" w:rsidR="00550FC8" w:rsidRPr="00550FC8" w:rsidRDefault="00550FC8" w:rsidP="00550FC8">
            <w:pPr>
              <w:pStyle w:val="TableText"/>
              <w:tabs>
                <w:tab w:val="left" w:pos="1116"/>
                <w:tab w:val="left" w:pos="2559"/>
                <w:tab w:val="left" w:pos="4095"/>
              </w:tabs>
              <w:rPr>
                <w:szCs w:val="24"/>
              </w:rPr>
            </w:pPr>
            <w:r w:rsidRPr="00397017">
              <w:rPr>
                <w:color w:val="000000"/>
                <w:szCs w:val="24"/>
              </w:rPr>
              <w:t>2</w:t>
            </w:r>
            <w:r w:rsidR="00682579">
              <w:rPr>
                <w:color w:val="000000"/>
                <w:szCs w:val="24"/>
              </w:rPr>
              <w:t>,</w:t>
            </w:r>
            <w:r w:rsidRPr="00397017">
              <w:rPr>
                <w:color w:val="000000"/>
                <w:szCs w:val="24"/>
              </w:rPr>
              <w:t>832</w:t>
            </w:r>
          </w:p>
        </w:tc>
      </w:tr>
      <w:tr w:rsidR="00550FC8" w:rsidRPr="004B2D24" w14:paraId="71E05817" w14:textId="77777777" w:rsidTr="0044333A">
        <w:tc>
          <w:tcPr>
            <w:tcW w:w="2016" w:type="dxa"/>
          </w:tcPr>
          <w:p w14:paraId="19B2C581" w14:textId="77777777" w:rsidR="00550FC8" w:rsidRPr="004B2D24" w:rsidRDefault="00550FC8" w:rsidP="00550FC8">
            <w:pPr>
              <w:pStyle w:val="TableText"/>
              <w:tabs>
                <w:tab w:val="left" w:pos="1116"/>
                <w:tab w:val="left" w:pos="2559"/>
                <w:tab w:val="left" w:pos="4095"/>
              </w:tabs>
            </w:pPr>
            <w:r w:rsidRPr="004B2D24">
              <w:t>Grade 12</w:t>
            </w:r>
          </w:p>
        </w:tc>
        <w:tc>
          <w:tcPr>
            <w:tcW w:w="720" w:type="dxa"/>
          </w:tcPr>
          <w:p w14:paraId="7A4FA09B" w14:textId="7A4446F4" w:rsidR="00550FC8" w:rsidRPr="00550FC8" w:rsidRDefault="00550FC8" w:rsidP="00550FC8">
            <w:pPr>
              <w:pStyle w:val="TableText"/>
              <w:tabs>
                <w:tab w:val="left" w:pos="1116"/>
                <w:tab w:val="left" w:pos="2559"/>
                <w:tab w:val="left" w:pos="4095"/>
              </w:tabs>
              <w:rPr>
                <w:szCs w:val="24"/>
              </w:rPr>
            </w:pPr>
            <w:r w:rsidRPr="00397017">
              <w:rPr>
                <w:color w:val="000000"/>
                <w:szCs w:val="24"/>
              </w:rPr>
              <w:t>84%</w:t>
            </w:r>
          </w:p>
        </w:tc>
        <w:tc>
          <w:tcPr>
            <w:tcW w:w="720" w:type="dxa"/>
          </w:tcPr>
          <w:p w14:paraId="5BD143BB" w14:textId="069064D7" w:rsidR="00550FC8" w:rsidRPr="00550FC8" w:rsidRDefault="00550FC8" w:rsidP="00550FC8">
            <w:pPr>
              <w:pStyle w:val="TableText"/>
              <w:tabs>
                <w:tab w:val="left" w:pos="1116"/>
                <w:tab w:val="left" w:pos="2559"/>
                <w:tab w:val="left" w:pos="4095"/>
              </w:tabs>
              <w:rPr>
                <w:szCs w:val="24"/>
              </w:rPr>
            </w:pPr>
            <w:r w:rsidRPr="00397017">
              <w:rPr>
                <w:color w:val="000000"/>
                <w:szCs w:val="24"/>
              </w:rPr>
              <w:t>1%</w:t>
            </w:r>
          </w:p>
        </w:tc>
        <w:tc>
          <w:tcPr>
            <w:tcW w:w="720" w:type="dxa"/>
          </w:tcPr>
          <w:p w14:paraId="06204CA8" w14:textId="386AAB78" w:rsidR="00550FC8" w:rsidRPr="00550FC8" w:rsidRDefault="00550FC8" w:rsidP="00550FC8">
            <w:pPr>
              <w:pStyle w:val="TableText"/>
              <w:tabs>
                <w:tab w:val="left" w:pos="1116"/>
                <w:tab w:val="left" w:pos="2559"/>
                <w:tab w:val="left" w:pos="4095"/>
              </w:tabs>
              <w:rPr>
                <w:szCs w:val="24"/>
              </w:rPr>
            </w:pPr>
            <w:r w:rsidRPr="00397017">
              <w:rPr>
                <w:color w:val="000000"/>
                <w:szCs w:val="24"/>
              </w:rPr>
              <w:t>1%</w:t>
            </w:r>
          </w:p>
        </w:tc>
        <w:tc>
          <w:tcPr>
            <w:tcW w:w="720" w:type="dxa"/>
          </w:tcPr>
          <w:p w14:paraId="202975D7" w14:textId="3F77327D" w:rsidR="00550FC8" w:rsidRPr="00550FC8" w:rsidRDefault="00550FC8" w:rsidP="00550FC8">
            <w:pPr>
              <w:pStyle w:val="TableText"/>
              <w:tabs>
                <w:tab w:val="left" w:pos="1116"/>
                <w:tab w:val="left" w:pos="2559"/>
                <w:tab w:val="left" w:pos="4095"/>
              </w:tabs>
              <w:rPr>
                <w:szCs w:val="24"/>
              </w:rPr>
            </w:pPr>
            <w:r w:rsidRPr="00397017">
              <w:rPr>
                <w:color w:val="000000"/>
                <w:szCs w:val="24"/>
              </w:rPr>
              <w:t>1%</w:t>
            </w:r>
          </w:p>
        </w:tc>
        <w:tc>
          <w:tcPr>
            <w:tcW w:w="720" w:type="dxa"/>
          </w:tcPr>
          <w:p w14:paraId="719A8468" w14:textId="081939DE" w:rsidR="00550FC8" w:rsidRPr="00550FC8" w:rsidRDefault="00550FC8" w:rsidP="00550FC8">
            <w:pPr>
              <w:pStyle w:val="TableText"/>
              <w:tabs>
                <w:tab w:val="left" w:pos="1116"/>
                <w:tab w:val="left" w:pos="2559"/>
                <w:tab w:val="left" w:pos="4095"/>
              </w:tabs>
              <w:rPr>
                <w:szCs w:val="24"/>
              </w:rPr>
            </w:pPr>
            <w:r w:rsidRPr="00397017">
              <w:rPr>
                <w:color w:val="000000"/>
                <w:szCs w:val="24"/>
              </w:rPr>
              <w:t>12%</w:t>
            </w:r>
          </w:p>
        </w:tc>
        <w:tc>
          <w:tcPr>
            <w:tcW w:w="864" w:type="dxa"/>
          </w:tcPr>
          <w:p w14:paraId="4FD678AD" w14:textId="199B51BB" w:rsidR="00550FC8" w:rsidRPr="00550FC8" w:rsidRDefault="00550FC8" w:rsidP="00550FC8">
            <w:pPr>
              <w:pStyle w:val="TableText"/>
              <w:tabs>
                <w:tab w:val="left" w:pos="1116"/>
                <w:tab w:val="left" w:pos="2559"/>
                <w:tab w:val="left" w:pos="4095"/>
              </w:tabs>
              <w:rPr>
                <w:szCs w:val="24"/>
              </w:rPr>
            </w:pPr>
            <w:r w:rsidRPr="00397017">
              <w:rPr>
                <w:color w:val="000000"/>
                <w:szCs w:val="24"/>
              </w:rPr>
              <w:t>1</w:t>
            </w:r>
            <w:r w:rsidR="00682579">
              <w:rPr>
                <w:color w:val="000000"/>
                <w:szCs w:val="24"/>
              </w:rPr>
              <w:t>,</w:t>
            </w:r>
            <w:r w:rsidRPr="00397017">
              <w:rPr>
                <w:color w:val="000000"/>
                <w:szCs w:val="24"/>
              </w:rPr>
              <w:t>546</w:t>
            </w:r>
          </w:p>
        </w:tc>
      </w:tr>
    </w:tbl>
    <w:p w14:paraId="1F6CF2D2" w14:textId="0A1B8EBF" w:rsidR="0082667B" w:rsidRDefault="0082667B" w:rsidP="00725BF5">
      <w:pPr>
        <w:pStyle w:val="Heading3"/>
        <w:keepLines/>
      </w:pPr>
      <w:bookmarkStart w:id="163" w:name="_Toc182555119"/>
      <w:r w:rsidRPr="004B2D24">
        <w:t>Fairness and Accessibility</w:t>
      </w:r>
      <w:bookmarkEnd w:id="163"/>
    </w:p>
    <w:p w14:paraId="7F057C51" w14:textId="19524341" w:rsidR="00E507A4" w:rsidRPr="00C34C12" w:rsidRDefault="00E507A4" w:rsidP="00725BF5">
      <w:pPr>
        <w:keepNext/>
        <w:keepLines/>
      </w:pPr>
      <w:r w:rsidRPr="00C34C12">
        <w:t>There are several procedures in place to ensure that the CAA for Science is fair and accessible to all test takers. This subsection provides information on the available accessibility resources for use with the online CAA for Science. Additionally, the differential item functioning (DIF) analysis used to identify items that may function differently across groups of examinees (e.g., gender, ethnicity) is discussed briefly.</w:t>
      </w:r>
    </w:p>
    <w:p w14:paraId="36499E25" w14:textId="7A7E26C6" w:rsidR="0082667B" w:rsidRDefault="0082667B" w:rsidP="004F2F2C">
      <w:pPr>
        <w:pStyle w:val="Heading4"/>
      </w:pPr>
      <w:bookmarkStart w:id="164" w:name="_Toc182555120"/>
      <w:r w:rsidRPr="004B2D24">
        <w:t>Universal Tools, Designated Supports, and Accommodations</w:t>
      </w:r>
      <w:bookmarkEnd w:id="164"/>
    </w:p>
    <w:p w14:paraId="4F0A4023" w14:textId="603355BA" w:rsidR="00E507A4" w:rsidRPr="00C34C12" w:rsidRDefault="00E507A4" w:rsidP="00E507A4">
      <w:r w:rsidRPr="00C34C12">
        <w:t>The CAA</w:t>
      </w:r>
      <w:r w:rsidR="00C269B3">
        <w:t xml:space="preserve"> for Science</w:t>
      </w:r>
      <w:r w:rsidRPr="00C34C12">
        <w:t xml:space="preserve"> </w:t>
      </w:r>
      <w:r w:rsidR="001377EE">
        <w:t>is</w:t>
      </w:r>
      <w:r w:rsidRPr="00C34C12">
        <w:t xml:space="preserve"> specifically designed for students with significant cognitive disabilities and an IEP that calls for the use of a CAA. Additional resources are sometimes needed for these students.</w:t>
      </w:r>
    </w:p>
    <w:p w14:paraId="574B69C9" w14:textId="0931F6E9" w:rsidR="00E507A4" w:rsidRPr="00C34C12" w:rsidRDefault="00E507A4" w:rsidP="00E507A4">
      <w:bookmarkStart w:id="165" w:name="_Hlk67386487"/>
      <w:r w:rsidRPr="00C34C12">
        <w:t xml:space="preserve">The CDE maintains a list of the universal tools, designated supports, and accommodations that are permitted for use in CAASPP online assessments in its web document </w:t>
      </w:r>
      <w:r w:rsidRPr="00FB58CB">
        <w:rPr>
          <w:i/>
          <w:iCs/>
        </w:rPr>
        <w:t xml:space="preserve">Matrix One: </w:t>
      </w:r>
      <w:r w:rsidR="00707387" w:rsidRPr="00FB58CB">
        <w:rPr>
          <w:i/>
          <w:iCs/>
        </w:rPr>
        <w:lastRenderedPageBreak/>
        <w:t>California Assessment of Student Performance and Progress Accessibility Resources</w:t>
      </w:r>
      <w:r w:rsidRPr="00C34C12">
        <w:t xml:space="preserve"> (CDE, 2019</w:t>
      </w:r>
      <w:r w:rsidR="00AD4FCB">
        <w:t>b</w:t>
      </w:r>
      <w:r w:rsidRPr="00C34C12">
        <w:t>).</w:t>
      </w:r>
      <w:r w:rsidRPr="00C34C12">
        <w:rPr>
          <w:rStyle w:val="FootnoteReference"/>
        </w:rPr>
        <w:footnoteReference w:id="6"/>
      </w:r>
    </w:p>
    <w:bookmarkEnd w:id="165"/>
    <w:p w14:paraId="03263384" w14:textId="527EC3A3" w:rsidR="00E507A4" w:rsidRPr="009F144D" w:rsidRDefault="00E507A4" w:rsidP="00E507A4">
      <w:r w:rsidRPr="00C34C12">
        <w:rPr>
          <w:b/>
        </w:rPr>
        <w:t xml:space="preserve">Universal tools </w:t>
      </w:r>
      <w:r w:rsidRPr="00C34C12">
        <w:t>are available to all students taking the CAA for Science. These resources may be turned on and off when embedded as part of the technology platform for the online CAAs on the basis of student preference and selection</w:t>
      </w:r>
      <w:r w:rsidRPr="009F144D">
        <w:t>.</w:t>
      </w:r>
    </w:p>
    <w:p w14:paraId="6B930D37" w14:textId="77777777" w:rsidR="00E507A4" w:rsidRPr="00C34C12" w:rsidRDefault="00E507A4" w:rsidP="00E507A4">
      <w:pPr>
        <w:rPr>
          <w:b/>
          <w:bCs/>
        </w:rPr>
      </w:pPr>
      <w:r w:rsidRPr="00C34C12">
        <w:rPr>
          <w:b/>
        </w:rPr>
        <w:t>Designated supports</w:t>
      </w:r>
      <w:r w:rsidRPr="00C34C12">
        <w:t xml:space="preserve"> are available to students taking the CAA for Science when determined as needed by an educator or team of educators, with parent/guardian and student input as appropriate, or when specified in the student’s IEP.</w:t>
      </w:r>
    </w:p>
    <w:p w14:paraId="036EF504" w14:textId="77777777" w:rsidR="00E507A4" w:rsidRPr="00C34C12" w:rsidRDefault="00E507A4" w:rsidP="00E507A4">
      <w:r w:rsidRPr="00C34C12">
        <w:rPr>
          <w:b/>
        </w:rPr>
        <w:t>Accommodations</w:t>
      </w:r>
      <w:r w:rsidRPr="00C34C12">
        <w:t xml:space="preserve"> must be permitted on the CAA for Science for all eligible students when specified in the student’s IEP.</w:t>
      </w:r>
    </w:p>
    <w:p w14:paraId="52BA5293" w14:textId="1D486238" w:rsidR="00E507A4" w:rsidRPr="00C34C12" w:rsidRDefault="00E507A4" w:rsidP="00E507A4">
      <w:r w:rsidRPr="00C34C12">
        <w:t>While most of the resources presented for the CAASPP online assessments are accessible for the CAA</w:t>
      </w:r>
      <w:r w:rsidR="009F1A72">
        <w:t xml:space="preserve"> for Science</w:t>
      </w:r>
      <w:r w:rsidRPr="00C34C12">
        <w:t>, there are a few resources that are not applicable because the CAA</w:t>
      </w:r>
      <w:r w:rsidR="00C269B3">
        <w:t xml:space="preserve"> for Science</w:t>
      </w:r>
      <w:r w:rsidRPr="00C34C12">
        <w:t xml:space="preserve"> </w:t>
      </w:r>
      <w:r w:rsidR="00A05C57">
        <w:t>is</w:t>
      </w:r>
      <w:r w:rsidRPr="00C34C12">
        <w:t xml:space="preserve"> designed to be given one-on-one in the student’s language of instruction, using the student’s identified instructional resources.</w:t>
      </w:r>
    </w:p>
    <w:p w14:paraId="50FEAD1D" w14:textId="7CECCA05" w:rsidR="00E507A4" w:rsidRPr="00C34C12" w:rsidRDefault="00E507A4" w:rsidP="00E507A4">
      <w:r w:rsidRPr="00C34C12">
        <w:t xml:space="preserve">For </w:t>
      </w:r>
      <w:r w:rsidR="00A05C57">
        <w:t xml:space="preserve">the </w:t>
      </w:r>
      <w:r w:rsidRPr="00C34C12">
        <w:t>CAA</w:t>
      </w:r>
      <w:r w:rsidR="009F1A72">
        <w:t xml:space="preserve"> for Science</w:t>
      </w:r>
      <w:r w:rsidRPr="00C34C12">
        <w:t>, designated supports and accommodations are assigned to individual students based on the needs identified through the student’s IEP. Such assignments are implemented in TOMS by the LEA CAASPP coordinator or CAASPP test site coordinator, either through individual assignment in the student’s profile in TOMS or by batch upload, where settings were uploaded into TOMS for multiple students. Settings were either selected and entered into a macro-enabled template—called the Individual Student Assessment Accessibility Profile (ISAAP) Tool—that created an upload file, or entered into a template. These designated supports and accommodations were delivered to the student through the TDS at the time of testing.</w:t>
      </w:r>
    </w:p>
    <w:p w14:paraId="14ACA514" w14:textId="07AA7E18" w:rsidR="00C7469E" w:rsidRDefault="00DB3C60" w:rsidP="00487095">
      <w:pPr>
        <w:keepLines/>
      </w:pPr>
      <w:r w:rsidRPr="00DB3C60">
        <w:rPr>
          <w:rStyle w:val="Cross-Reference"/>
        </w:rPr>
        <w:fldChar w:fldCharType="begin"/>
      </w:r>
      <w:r w:rsidRPr="00DB3C60">
        <w:rPr>
          <w:rStyle w:val="Cross-Reference"/>
        </w:rPr>
        <w:instrText xml:space="preserve"> REF _Ref182492252 \h </w:instrText>
      </w:r>
      <w:r>
        <w:rPr>
          <w:rStyle w:val="Cross-Reference"/>
        </w:rPr>
        <w:instrText xml:space="preserve"> \* MERGEFORMAT </w:instrText>
      </w:r>
      <w:r w:rsidRPr="00DB3C60">
        <w:rPr>
          <w:rStyle w:val="Cross-Reference"/>
        </w:rPr>
      </w:r>
      <w:r w:rsidRPr="00DB3C60">
        <w:rPr>
          <w:rStyle w:val="Cross-Reference"/>
        </w:rPr>
        <w:fldChar w:fldCharType="separate"/>
      </w:r>
      <w:r w:rsidR="000713AF" w:rsidRPr="000713AF">
        <w:rPr>
          <w:rStyle w:val="Cross-Reference"/>
        </w:rPr>
        <w:t>Table 2.A.1</w:t>
      </w:r>
      <w:r w:rsidRPr="00DB3C60">
        <w:rPr>
          <w:rStyle w:val="Cross-Reference"/>
        </w:rPr>
        <w:fldChar w:fldCharType="end"/>
      </w:r>
      <w:r w:rsidR="00DC0233" w:rsidRPr="0049646F">
        <w:t xml:space="preserve"> through </w:t>
      </w:r>
      <w:r w:rsidR="004F3D65" w:rsidRPr="007C431E">
        <w:rPr>
          <w:rStyle w:val="Cross-Reference"/>
        </w:rPr>
        <w:fldChar w:fldCharType="begin"/>
      </w:r>
      <w:r w:rsidR="004F3D65" w:rsidRPr="007C431E">
        <w:rPr>
          <w:rStyle w:val="Cross-Reference"/>
        </w:rPr>
        <w:instrText xml:space="preserve"> REF _Ref66862572 \h </w:instrText>
      </w:r>
      <w:r w:rsidR="000E4491" w:rsidRPr="007C431E">
        <w:rPr>
          <w:rStyle w:val="Cross-Reference"/>
        </w:rPr>
        <w:instrText xml:space="preserve"> \* MERGEFORMAT </w:instrText>
      </w:r>
      <w:r w:rsidR="004F3D65" w:rsidRPr="007C431E">
        <w:rPr>
          <w:rStyle w:val="Cross-Reference"/>
        </w:rPr>
      </w:r>
      <w:r w:rsidR="004F3D65" w:rsidRPr="007C431E">
        <w:rPr>
          <w:rStyle w:val="Cross-Reference"/>
        </w:rPr>
        <w:fldChar w:fldCharType="separate"/>
      </w:r>
      <w:r w:rsidR="007C431E">
        <w:rPr>
          <w:rStyle w:val="Cross-Reference"/>
        </w:rPr>
        <w:t>t</w:t>
      </w:r>
      <w:r w:rsidR="00961502" w:rsidRPr="007C431E">
        <w:rPr>
          <w:rStyle w:val="Cross-Reference"/>
        </w:rPr>
        <w:t>able 2.A.6</w:t>
      </w:r>
      <w:r w:rsidR="004F3D65" w:rsidRPr="007C431E">
        <w:rPr>
          <w:rStyle w:val="Cross-Reference"/>
        </w:rPr>
        <w:fldChar w:fldCharType="end"/>
      </w:r>
      <w:r w:rsidR="00D30369" w:rsidRPr="00380C0B">
        <w:t xml:space="preserve"> </w:t>
      </w:r>
      <w:r w:rsidR="004F3D65">
        <w:t xml:space="preserve">in </w:t>
      </w:r>
      <w:hyperlink w:anchor="_Appendix_2.A:_Accessibility" w:history="1">
        <w:r w:rsidR="004F3D65" w:rsidRPr="000E4491">
          <w:rPr>
            <w:rStyle w:val="Hyperlink"/>
          </w:rPr>
          <w:t>appendix 2.A</w:t>
        </w:r>
      </w:hyperlink>
      <w:r w:rsidR="004F3D65">
        <w:t xml:space="preserve"> </w:t>
      </w:r>
      <w:r w:rsidR="00D30369" w:rsidRPr="00380C0B">
        <w:t>present the number and percentage</w:t>
      </w:r>
      <w:r w:rsidR="00C7469E">
        <w:t>s</w:t>
      </w:r>
      <w:r w:rsidR="00D30369" w:rsidRPr="00380C0B">
        <w:t xml:space="preserve"> of students using designated supports, accommodations, or unlisted resources</w:t>
      </w:r>
      <w:r w:rsidR="00C7469E">
        <w:t xml:space="preserve"> for the 2019–</w:t>
      </w:r>
      <w:r w:rsidR="0079591C">
        <w:t>‍</w:t>
      </w:r>
      <w:r w:rsidR="00C7469E">
        <w:t>2020 CAA for Science administration</w:t>
      </w:r>
      <w:r w:rsidR="00D30369" w:rsidRPr="00380C0B">
        <w:t>.</w:t>
      </w:r>
      <w:r w:rsidR="00C7469E" w:rsidRPr="00C7469E">
        <w:t xml:space="preserve"> </w:t>
      </w:r>
      <w:r w:rsidR="00C7469E" w:rsidRPr="00380C0B">
        <w:t>The use of universal tools is not tracked because they are available to all students in the TDS.</w:t>
      </w:r>
      <w:r w:rsidR="00D30369" w:rsidRPr="00380C0B">
        <w:t xml:space="preserve"> </w:t>
      </w:r>
    </w:p>
    <w:p w14:paraId="0F8A0FE8" w14:textId="6C6070BB" w:rsidR="00487095" w:rsidRDefault="0080419B" w:rsidP="00487095">
      <w:pPr>
        <w:keepLines/>
      </w:pPr>
      <w:r>
        <w:t>These tables are provided for each of the three operational</w:t>
      </w:r>
      <w:r w:rsidR="00C1041D">
        <w:t xml:space="preserve"> embedded</w:t>
      </w:r>
      <w:r>
        <w:t xml:space="preserve"> PTs for each science domain</w:t>
      </w:r>
      <w:r w:rsidR="0004767B">
        <w:t>. All students who completed the</w:t>
      </w:r>
      <w:r w:rsidR="00C1041D" w:rsidRPr="00C1041D">
        <w:t xml:space="preserve"> </w:t>
      </w:r>
      <w:r w:rsidR="00C1041D">
        <w:t>embedded</w:t>
      </w:r>
      <w:r w:rsidR="0004767B">
        <w:t xml:space="preserve"> PT and used </w:t>
      </w:r>
      <w:r w:rsidR="004E7199">
        <w:t xml:space="preserve">at least </w:t>
      </w:r>
      <w:r w:rsidR="0004767B">
        <w:t xml:space="preserve">one of the designated supports or accommodations are included in these tables. </w:t>
      </w:r>
      <w:r w:rsidR="00D93460">
        <w:t>Because</w:t>
      </w:r>
      <w:r w:rsidR="0082184A">
        <w:t xml:space="preserve"> CAA for Science testing </w:t>
      </w:r>
      <w:r w:rsidR="006A28B2">
        <w:t>was suspended</w:t>
      </w:r>
      <w:r w:rsidR="0082184A">
        <w:t xml:space="preserve"> on March 18, 2020, not all students were given the opportunity to complete their tests. </w:t>
      </w:r>
      <w:r w:rsidR="00A74237">
        <w:t>Thus, students who completed a</w:t>
      </w:r>
      <w:r w:rsidR="00C1041D">
        <w:t>n embedded</w:t>
      </w:r>
      <w:r w:rsidR="00A74237">
        <w:t xml:space="preserve"> PT but</w:t>
      </w:r>
      <w:r w:rsidR="00FA546D">
        <w:t xml:space="preserve"> who </w:t>
      </w:r>
      <w:r w:rsidR="00A74237">
        <w:t xml:space="preserve">may not have a valid test score </w:t>
      </w:r>
      <w:r w:rsidR="00BC08C7">
        <w:t xml:space="preserve">because </w:t>
      </w:r>
      <w:r w:rsidR="00A74237">
        <w:t>testing</w:t>
      </w:r>
      <w:r w:rsidR="00487095">
        <w:t xml:space="preserve"> was suspended</w:t>
      </w:r>
      <w:r w:rsidR="00A74237">
        <w:t xml:space="preserve"> are included in these tables.</w:t>
      </w:r>
      <w:r w:rsidR="00D30369" w:rsidRPr="00380C0B">
        <w:t xml:space="preserve"> </w:t>
      </w:r>
    </w:p>
    <w:p w14:paraId="12043628" w14:textId="57AE6EE7" w:rsidR="00246200" w:rsidRDefault="00D30369" w:rsidP="00487095">
      <w:pPr>
        <w:keepLines/>
      </w:pPr>
      <w:r w:rsidRPr="00380C0B">
        <w:t xml:space="preserve">Refer to section </w:t>
      </w:r>
      <w:hyperlink w:anchor="_Systems_Overview_and" w:history="1">
        <w:r w:rsidRPr="00BC08C7">
          <w:rPr>
            <w:rStyle w:val="Hyperlink"/>
            <w:i/>
          </w:rPr>
          <w:t>1.</w:t>
        </w:r>
        <w:r w:rsidR="00382C31">
          <w:rPr>
            <w:rStyle w:val="Hyperlink"/>
            <w:i/>
          </w:rPr>
          <w:t>10</w:t>
        </w:r>
        <w:r w:rsidRPr="00BC08C7">
          <w:rPr>
            <w:rStyle w:val="Hyperlink"/>
            <w:i/>
          </w:rPr>
          <w:t xml:space="preserve"> Systems Overview and Functionality</w:t>
        </w:r>
      </w:hyperlink>
      <w:r w:rsidRPr="00BC08C7">
        <w:t xml:space="preserve"> in </w:t>
      </w:r>
      <w:hyperlink w:anchor="_Introduction" w:history="1">
        <w:r w:rsidRPr="00BC08C7">
          <w:rPr>
            <w:rStyle w:val="Hyperlink"/>
            <w:i/>
          </w:rPr>
          <w:t>Chapter 1: Introduction</w:t>
        </w:r>
      </w:hyperlink>
      <w:r w:rsidRPr="00BC08C7">
        <w:t xml:space="preserve"> for mo</w:t>
      </w:r>
      <w:r w:rsidRPr="00380C0B">
        <w:t>re details regarding these systems.</w:t>
      </w:r>
    </w:p>
    <w:p w14:paraId="1ACEDADD" w14:textId="4F7FF856" w:rsidR="00424AF4" w:rsidRPr="00A05961" w:rsidRDefault="00E660AD" w:rsidP="004F2F2C">
      <w:pPr>
        <w:pStyle w:val="Heading5"/>
      </w:pPr>
      <w:bookmarkStart w:id="166" w:name="_Resources_for_Selection"/>
      <w:bookmarkEnd w:id="166"/>
      <w:r w:rsidRPr="00A05961">
        <w:lastRenderedPageBreak/>
        <w:t xml:space="preserve">Resources for </w:t>
      </w:r>
      <w:r w:rsidR="0082667B" w:rsidRPr="00A05961">
        <w:t>Selection of Accessibility Resources</w:t>
      </w:r>
    </w:p>
    <w:p w14:paraId="18011E83" w14:textId="7F204790" w:rsidR="00F600C8" w:rsidRDefault="00E507A4" w:rsidP="00E507A4">
      <w:pPr>
        <w:keepLines/>
      </w:pPr>
      <w:bookmarkStart w:id="167" w:name="_Hlk67386508"/>
      <w:r w:rsidRPr="00A05961">
        <w:t>The full list of the universal tools, designated supports, and accommodations that are used in CAASPP online assessments</w:t>
      </w:r>
      <w:r w:rsidR="001D4C49">
        <w:t>, including the CAA for Science,</w:t>
      </w:r>
      <w:r w:rsidRPr="00A05961">
        <w:t xml:space="preserve"> are documented in Matrix One (CDE, 2019</w:t>
      </w:r>
      <w:r w:rsidR="00AD4FCB" w:rsidRPr="00A05961">
        <w:t>b</w:t>
      </w:r>
      <w:r w:rsidRPr="00A05961">
        <w:t xml:space="preserve">). Most </w:t>
      </w:r>
      <w:bookmarkEnd w:id="167"/>
      <w:r w:rsidRPr="00A05961">
        <w:t xml:space="preserve">embedded </w:t>
      </w:r>
      <w:r w:rsidR="00635FC9">
        <w:t xml:space="preserve">and non-embedded </w:t>
      </w:r>
      <w:r w:rsidRPr="00A05961">
        <w:t>universal tools, designated supports, and accommodations listed in parts 1</w:t>
      </w:r>
      <w:r w:rsidR="00CE0918">
        <w:t>,</w:t>
      </w:r>
      <w:r w:rsidRPr="00A05961">
        <w:t xml:space="preserve"> 2</w:t>
      </w:r>
      <w:r w:rsidR="00CE0918">
        <w:t>, and 3</w:t>
      </w:r>
      <w:r w:rsidRPr="00A05961">
        <w:t xml:space="preserve"> of Matrix One are available for the CAA for Science through the online testing interface</w:t>
      </w:r>
      <w:r w:rsidR="00C10811">
        <w:t xml:space="preserve"> or, in the case of non-embedded resources, from the school or LEA</w:t>
      </w:r>
      <w:r w:rsidRPr="00A05961">
        <w:t xml:space="preserve">. Part </w:t>
      </w:r>
      <w:r w:rsidR="00CE0918">
        <w:t>4</w:t>
      </w:r>
      <w:r w:rsidRPr="00A05961">
        <w:t xml:space="preserve"> of Matrix One includes instructional </w:t>
      </w:r>
      <w:r w:rsidR="00C10811">
        <w:t xml:space="preserve">supports </w:t>
      </w:r>
      <w:r w:rsidRPr="00A05961">
        <w:t xml:space="preserve">and </w:t>
      </w:r>
      <w:r w:rsidR="00C10811">
        <w:t>resources</w:t>
      </w:r>
      <w:r w:rsidRPr="00A05961">
        <w:t xml:space="preserve"> available for </w:t>
      </w:r>
      <w:r w:rsidR="00C10811">
        <w:t>a student taking an alternate assessment</w:t>
      </w:r>
      <w:r w:rsidRPr="00A05961">
        <w:t xml:space="preserve">. </w:t>
      </w:r>
    </w:p>
    <w:p w14:paraId="77EEEF63" w14:textId="6FE90926" w:rsidR="00E507A4" w:rsidRPr="00A05961" w:rsidRDefault="00E507A4" w:rsidP="00E507A4">
      <w:pPr>
        <w:keepLines/>
        <w:rPr>
          <w:i/>
        </w:rPr>
      </w:pPr>
      <w:r w:rsidRPr="00A05961">
        <w:t>School-level personnel and IEP teams use</w:t>
      </w:r>
      <w:r w:rsidR="00CE0918">
        <w:t>d</w:t>
      </w:r>
      <w:r w:rsidRPr="00A05961">
        <w:t xml:space="preserve"> Matrix One when deciding how best to support the student’s test-taking experience. </w:t>
      </w:r>
      <w:r w:rsidR="00F600C8" w:rsidRPr="00380C0B">
        <w:t>IEP teams may consider what other designated supports and accommodations</w:t>
      </w:r>
      <w:r w:rsidR="00F600C8">
        <w:t>,</w:t>
      </w:r>
      <w:r w:rsidR="00F600C8" w:rsidRPr="00380C0B">
        <w:t xml:space="preserve"> other than universal resources already available in the TDS</w:t>
      </w:r>
      <w:r w:rsidR="00F600C8">
        <w:t>,</w:t>
      </w:r>
      <w:r w:rsidR="00F600C8" w:rsidRPr="00380C0B">
        <w:t xml:space="preserve"> may be appropriate for the student. </w:t>
      </w:r>
      <w:r w:rsidRPr="00A05961">
        <w:t>On the rare occasion when a student has both an IEP and a Section 504 plan, the Section 504 plan also should be referenced for accessibility resources.</w:t>
      </w:r>
    </w:p>
    <w:p w14:paraId="2462B0D0" w14:textId="5DB6A03D" w:rsidR="00E507A4" w:rsidRPr="00C34C12" w:rsidRDefault="00E507A4" w:rsidP="00E507A4">
      <w:r w:rsidRPr="00A05961">
        <w:t xml:space="preserve">In addition to assigning accessibility resources individually and via file upload in TOMS, LEAs had the option of using the ISAAP Tool to assign resources to students. </w:t>
      </w:r>
      <w:r w:rsidRPr="00A05961">
        <w:rPr>
          <w:iCs/>
        </w:rPr>
        <w:t xml:space="preserve">The ISAAP </w:t>
      </w:r>
      <w:bookmarkStart w:id="168" w:name="_Hlk67386520"/>
      <w:r w:rsidRPr="00A05961">
        <w:rPr>
          <w:iCs/>
        </w:rPr>
        <w:t xml:space="preserve">Tool </w:t>
      </w:r>
      <w:r w:rsidR="00B97936" w:rsidRPr="00A05961">
        <w:rPr>
          <w:iCs/>
        </w:rPr>
        <w:t>wa</w:t>
      </w:r>
      <w:r w:rsidRPr="00A05961">
        <w:rPr>
          <w:iCs/>
        </w:rPr>
        <w:t xml:space="preserve">s used by LEAs in conjunction with the </w:t>
      </w:r>
      <w:r w:rsidRPr="00A05961">
        <w:rPr>
          <w:i/>
          <w:iCs/>
        </w:rPr>
        <w:t>Smarter Balanced Assessment Consortium</w:t>
      </w:r>
      <w:r w:rsidR="007E6E75" w:rsidRPr="00A05961">
        <w:rPr>
          <w:i/>
          <w:iCs/>
        </w:rPr>
        <w:t>:</w:t>
      </w:r>
      <w:r w:rsidRPr="00A05961">
        <w:t xml:space="preserve"> </w:t>
      </w:r>
      <w:r w:rsidRPr="00A05961">
        <w:rPr>
          <w:i/>
        </w:rPr>
        <w:t>Usability, Accessibility, and Accommodations Guidelines</w:t>
      </w:r>
      <w:r w:rsidRPr="00A05961">
        <w:t xml:space="preserve"> (Smarter Balanced, 20</w:t>
      </w:r>
      <w:r w:rsidR="007E6E75" w:rsidRPr="00A05961">
        <w:t>20</w:t>
      </w:r>
      <w:r w:rsidRPr="00A05961">
        <w:t>)</w:t>
      </w:r>
      <w:r w:rsidR="00F600C8">
        <w:rPr>
          <w:rStyle w:val="FootnoteReference"/>
        </w:rPr>
        <w:footnoteReference w:id="7"/>
      </w:r>
      <w:r w:rsidRPr="00A05961">
        <w:t xml:space="preserve"> and the </w:t>
      </w:r>
      <w:r w:rsidR="00B841CC" w:rsidRPr="00A05961">
        <w:t xml:space="preserve">2019–2020 </w:t>
      </w:r>
      <w:r w:rsidR="00460A9A" w:rsidRPr="00A05961">
        <w:t xml:space="preserve">CAASPP and ELPAC </w:t>
      </w:r>
      <w:r w:rsidRPr="00A05961">
        <w:t>Accessibility Guide for Online Testing (CDE, 20</w:t>
      </w:r>
      <w:r w:rsidR="00B841CC" w:rsidRPr="00A05961">
        <w:t>20</w:t>
      </w:r>
      <w:r w:rsidR="00AD4FCB" w:rsidRPr="00A05961">
        <w:t>a</w:t>
      </w:r>
      <w:r w:rsidRPr="00A05961">
        <w:t xml:space="preserve">), as well as with </w:t>
      </w:r>
      <w:bookmarkEnd w:id="168"/>
      <w:r w:rsidRPr="00A05961">
        <w:t>state regulations and policies (such as Matrix One) related to assessment accessibility</w:t>
      </w:r>
      <w:r w:rsidRPr="00A05961">
        <w:rPr>
          <w:i/>
        </w:rPr>
        <w:t>.</w:t>
      </w:r>
    </w:p>
    <w:p w14:paraId="3BECE3D2" w14:textId="55FA43FB" w:rsidR="0082667B" w:rsidRDefault="0082667B" w:rsidP="004F2F2C">
      <w:pPr>
        <w:pStyle w:val="Heading5"/>
      </w:pPr>
      <w:r w:rsidRPr="004B2D24">
        <w:t>Delivery of Accessibility Resources</w:t>
      </w:r>
    </w:p>
    <w:p w14:paraId="050359EC" w14:textId="0E9F06FB" w:rsidR="00E507A4" w:rsidRPr="00C34C12" w:rsidRDefault="00E507A4" w:rsidP="00E507A4">
      <w:r w:rsidRPr="00C34C12">
        <w:t>Universal tools, designated supports, and accommodations can be delivered as either embedded or non-embedded resources. Embedded resources are digitally delivered features or settings available as part of the technology platform for the online CAA</w:t>
      </w:r>
      <w:r w:rsidR="00D23799">
        <w:t xml:space="preserve"> for Science</w:t>
      </w:r>
      <w:r w:rsidRPr="00C34C12">
        <w:t>. Examples of embedded resources applicable to the CAA</w:t>
      </w:r>
      <w:r w:rsidR="009046D5">
        <w:t xml:space="preserve"> for Science</w:t>
      </w:r>
      <w:r w:rsidR="009046D5" w:rsidRPr="00C34C12" w:rsidDel="009046D5">
        <w:t xml:space="preserve"> </w:t>
      </w:r>
      <w:r w:rsidRPr="00C34C12">
        <w:t>include masking, color contrast, and print size. Non-embedded resources for the CAA</w:t>
      </w:r>
      <w:r w:rsidR="009046D5">
        <w:t xml:space="preserve"> for Science</w:t>
      </w:r>
      <w:r w:rsidRPr="00C34C12">
        <w:t xml:space="preserve"> include magnification, calculator, and scribe.</w:t>
      </w:r>
    </w:p>
    <w:p w14:paraId="563AB88D" w14:textId="1475A79B" w:rsidR="0082667B" w:rsidRDefault="0082667B" w:rsidP="004F2F2C">
      <w:pPr>
        <w:pStyle w:val="Heading5"/>
      </w:pPr>
      <w:r w:rsidRPr="004B2D24">
        <w:t>Unlisted Resources</w:t>
      </w:r>
    </w:p>
    <w:p w14:paraId="16669C46" w14:textId="68050BC3" w:rsidR="00E507A4" w:rsidRPr="00C34C12" w:rsidRDefault="00E507A4" w:rsidP="00E507A4">
      <w:pPr>
        <w:ind w:left="180"/>
      </w:pPr>
      <w:r w:rsidRPr="00C34C12">
        <w:t>An unlisted resource is an instructional support, identified in the student’s IEP, that a student regularly uses in daily instruction, assessment, or both, and has not been previously identified as a universal tool, designated support, or accommodation. Matrix One include</w:t>
      </w:r>
      <w:r w:rsidR="00EE3E54">
        <w:t>d</w:t>
      </w:r>
      <w:r w:rsidRPr="00C34C12">
        <w:t xml:space="preserve"> an inventory of unlisted resources that </w:t>
      </w:r>
      <w:r w:rsidR="00B97936">
        <w:t>were</w:t>
      </w:r>
      <w:r w:rsidRPr="00C34C12">
        <w:t xml:space="preserve"> already identified and</w:t>
      </w:r>
      <w:r w:rsidR="00B97936">
        <w:t xml:space="preserve"> were</w:t>
      </w:r>
      <w:r w:rsidRPr="00C34C12">
        <w:t xml:space="preserve"> preapproved (CDE, 2019</w:t>
      </w:r>
      <w:r w:rsidR="00AD4FCB">
        <w:t>b</w:t>
      </w:r>
      <w:r w:rsidRPr="00C34C12">
        <w:t xml:space="preserve">). During the </w:t>
      </w:r>
      <w:r w:rsidR="00E31139" w:rsidRPr="00C34C12">
        <w:t>201</w:t>
      </w:r>
      <w:r w:rsidR="00E31139">
        <w:t>9</w:t>
      </w:r>
      <w:r w:rsidRPr="00C34C12">
        <w:t>–</w:t>
      </w:r>
      <w:r w:rsidR="001C5016" w:rsidRPr="00C34C12">
        <w:t>20</w:t>
      </w:r>
      <w:r w:rsidR="001C5016">
        <w:t>20</w:t>
      </w:r>
      <w:r w:rsidR="001C5016" w:rsidRPr="00C34C12">
        <w:t xml:space="preserve"> </w:t>
      </w:r>
      <w:r w:rsidRPr="00C34C12">
        <w:t xml:space="preserve">CAASPP administration, an LEA CAASPP coordinator or a CAASPP test site coordinator </w:t>
      </w:r>
      <w:r w:rsidR="00852A94">
        <w:t>would use TOMS</w:t>
      </w:r>
      <w:r w:rsidRPr="00C34C12">
        <w:t xml:space="preserve"> to submit a request </w:t>
      </w:r>
      <w:r w:rsidR="00852A94">
        <w:t xml:space="preserve">for use of an unlisted </w:t>
      </w:r>
      <w:r w:rsidRPr="00C34C12">
        <w:t xml:space="preserve">resource. </w:t>
      </w:r>
      <w:r w:rsidR="00852A94">
        <w:t xml:space="preserve">A request for an unlisted resource that </w:t>
      </w:r>
      <w:r w:rsidR="00EE3E54">
        <w:t>was</w:t>
      </w:r>
      <w:r w:rsidR="00852A94">
        <w:t xml:space="preserve"> not preidentified was sent to the CDE for approval.</w:t>
      </w:r>
    </w:p>
    <w:p w14:paraId="7985ED89" w14:textId="48099D3C" w:rsidR="00E507A4" w:rsidRPr="00C34C12" w:rsidRDefault="00852A94" w:rsidP="00E507A4">
      <w:r>
        <w:t>If a student used</w:t>
      </w:r>
      <w:r w:rsidRPr="00C34C12">
        <w:t xml:space="preserve"> </w:t>
      </w:r>
      <w:r w:rsidR="00E507A4" w:rsidRPr="00C34C12">
        <w:t xml:space="preserve">an unlisted resource </w:t>
      </w:r>
      <w:r>
        <w:t>that</w:t>
      </w:r>
      <w:r w:rsidR="00E507A4" w:rsidRPr="00C34C12">
        <w:t xml:space="preserve"> change</w:t>
      </w:r>
      <w:r>
        <w:t>d</w:t>
      </w:r>
      <w:r w:rsidR="00E507A4" w:rsidRPr="00C34C12">
        <w:t xml:space="preserve"> the construct of </w:t>
      </w:r>
      <w:r>
        <w:t>the assessment, the student’s score was invalidated</w:t>
      </w:r>
      <w:r w:rsidR="00E507A4" w:rsidRPr="00C34C12">
        <w:t>.</w:t>
      </w:r>
    </w:p>
    <w:p w14:paraId="1B92E014" w14:textId="25970146" w:rsidR="0082667B" w:rsidRDefault="00424AF4" w:rsidP="004F2F2C">
      <w:pPr>
        <w:pStyle w:val="Heading4"/>
      </w:pPr>
      <w:bookmarkStart w:id="169" w:name="_Toc182555121"/>
      <w:r w:rsidRPr="004B2D24">
        <w:lastRenderedPageBreak/>
        <w:t>Individualizations</w:t>
      </w:r>
      <w:bookmarkEnd w:id="169"/>
    </w:p>
    <w:p w14:paraId="5EC1D6A8" w14:textId="7D8E3BBE" w:rsidR="00BE67AD" w:rsidRDefault="00BE67AD" w:rsidP="00BE67AD">
      <w:r w:rsidRPr="00C34C12">
        <w:t xml:space="preserve">The CAA for Science is designed to strike a careful balance between standardized administration and maximizing student engagement. To meet this goal, some parts of each embedded PT can be individualized to improve student engagement. The individualizations </w:t>
      </w:r>
      <w:r w:rsidRPr="00CF2196">
        <w:t xml:space="preserve">are described in section </w:t>
      </w:r>
      <w:hyperlink w:anchor="_Accessibility_Features_for" w:history="1">
        <w:r w:rsidRPr="00364144">
          <w:rPr>
            <w:rStyle w:val="Hyperlink"/>
            <w:i/>
          </w:rPr>
          <w:t>5.5 Accessibility Features for the</w:t>
        </w:r>
        <w:r w:rsidR="008A117F" w:rsidRPr="00364144">
          <w:rPr>
            <w:rStyle w:val="Hyperlink"/>
            <w:i/>
          </w:rPr>
          <w:t xml:space="preserve"> </w:t>
        </w:r>
        <w:r w:rsidR="008A117F" w:rsidRPr="006B2DC2">
          <w:rPr>
            <w:rStyle w:val="Hyperlink"/>
            <w:i/>
          </w:rPr>
          <w:t xml:space="preserve">2019–2020 </w:t>
        </w:r>
        <w:r w:rsidR="008A117F" w:rsidRPr="00364144">
          <w:rPr>
            <w:rStyle w:val="Hyperlink"/>
            <w:i/>
          </w:rPr>
          <w:t>Administration</w:t>
        </w:r>
      </w:hyperlink>
      <w:r w:rsidRPr="00364144">
        <w:t>.</w:t>
      </w:r>
    </w:p>
    <w:p w14:paraId="105D1F35" w14:textId="51526C57" w:rsidR="00F36C77" w:rsidRPr="00C34C12" w:rsidRDefault="00F36C77" w:rsidP="00F36C77">
      <w:pPr>
        <w:pStyle w:val="Heading4"/>
        <w:ind w:left="792" w:hanging="792"/>
      </w:pPr>
      <w:bookmarkStart w:id="170" w:name="_Toc182555122"/>
      <w:r w:rsidRPr="00C34C12">
        <w:t>Description of D</w:t>
      </w:r>
      <w:r w:rsidR="00247005">
        <w:t xml:space="preserve">ifferential </w:t>
      </w:r>
      <w:r w:rsidRPr="00C34C12">
        <w:t>I</w:t>
      </w:r>
      <w:r w:rsidR="00247005">
        <w:t xml:space="preserve">tem </w:t>
      </w:r>
      <w:r w:rsidRPr="00C34C12">
        <w:t>F</w:t>
      </w:r>
      <w:r w:rsidR="00247005">
        <w:t>unctioning</w:t>
      </w:r>
      <w:r w:rsidRPr="00C34C12">
        <w:t xml:space="preserve"> Analyses</w:t>
      </w:r>
      <w:bookmarkEnd w:id="170"/>
    </w:p>
    <w:p w14:paraId="4569743A" w14:textId="24D9BE22" w:rsidR="00F36C77" w:rsidRPr="00C34C12" w:rsidRDefault="00F36C77" w:rsidP="00BE67AD">
      <w:r w:rsidRPr="00C34C12">
        <w:rPr>
          <w:rFonts w:eastAsiaTheme="minorEastAsia"/>
          <w:lang w:eastAsia="ko-KR"/>
        </w:rPr>
        <w:t xml:space="preserve">DIF analyses </w:t>
      </w:r>
      <w:r w:rsidR="002C1391">
        <w:rPr>
          <w:rFonts w:eastAsiaTheme="minorEastAsia"/>
          <w:lang w:eastAsia="ko-KR"/>
        </w:rPr>
        <w:t>are typically</w:t>
      </w:r>
      <w:r w:rsidRPr="00C34C12">
        <w:rPr>
          <w:rFonts w:eastAsiaTheme="minorEastAsia"/>
          <w:lang w:eastAsia="ko-KR"/>
        </w:rPr>
        <w:t xml:space="preserve"> conducted to detect differences in student performance by identifying items on which one group of </w:t>
      </w:r>
      <w:r w:rsidRPr="00C34C12">
        <w:t>students</w:t>
      </w:r>
      <w:r w:rsidRPr="00C34C12">
        <w:rPr>
          <w:rFonts w:eastAsiaTheme="minorEastAsia"/>
          <w:lang w:eastAsia="ko-KR"/>
        </w:rPr>
        <w:t xml:space="preserve"> performs significantly better than another group (e.g., male vs. female or </w:t>
      </w:r>
      <w:r w:rsidR="007838BD">
        <w:rPr>
          <w:rFonts w:eastAsiaTheme="minorEastAsia"/>
          <w:lang w:eastAsia="ko-KR"/>
        </w:rPr>
        <w:t>W</w:t>
      </w:r>
      <w:r w:rsidRPr="00C34C12">
        <w:rPr>
          <w:rFonts w:eastAsiaTheme="minorEastAsia"/>
          <w:lang w:eastAsia="ko-KR"/>
        </w:rPr>
        <w:t xml:space="preserve">hite vs. African-American) after matching students on ability. If an item performed differentially across student groups, even when students were matched on ability, the item may be measuring something other than the intended construct. Therefore, it is important to identify items flagged for DIF. Content experts and bias and sensitivity experts review these DIF-flagged items to determine the sources and meanings of performance differences. </w:t>
      </w:r>
      <w:r w:rsidRPr="00C34C12">
        <w:t xml:space="preserve">Refer to section </w:t>
      </w:r>
      <w:hyperlink w:anchor="_Differential_Item_Functioning" w:history="1">
        <w:r w:rsidRPr="00C34C12">
          <w:rPr>
            <w:rStyle w:val="Hyperlink"/>
            <w:i/>
            <w:iCs/>
          </w:rPr>
          <w:t>7.5 D</w:t>
        </w:r>
        <w:r w:rsidR="00FB36C1">
          <w:rPr>
            <w:rStyle w:val="Hyperlink"/>
            <w:i/>
            <w:iCs/>
          </w:rPr>
          <w:t xml:space="preserve">ifferential </w:t>
        </w:r>
        <w:r w:rsidRPr="00C34C12">
          <w:rPr>
            <w:rStyle w:val="Hyperlink"/>
            <w:i/>
            <w:iCs/>
          </w:rPr>
          <w:t>I</w:t>
        </w:r>
        <w:r w:rsidR="00FB36C1">
          <w:rPr>
            <w:rStyle w:val="Hyperlink"/>
            <w:i/>
            <w:iCs/>
          </w:rPr>
          <w:t xml:space="preserve">tem </w:t>
        </w:r>
        <w:r w:rsidRPr="00C34C12">
          <w:rPr>
            <w:rStyle w:val="Hyperlink"/>
            <w:i/>
            <w:iCs/>
          </w:rPr>
          <w:t>F</w:t>
        </w:r>
        <w:r w:rsidR="00FB36C1">
          <w:rPr>
            <w:rStyle w:val="Hyperlink"/>
            <w:i/>
            <w:iCs/>
          </w:rPr>
          <w:t>unctioning</w:t>
        </w:r>
        <w:r w:rsidRPr="00C34C12">
          <w:rPr>
            <w:rStyle w:val="Hyperlink"/>
            <w:i/>
            <w:iCs/>
          </w:rPr>
          <w:t xml:space="preserve"> Analyses</w:t>
        </w:r>
      </w:hyperlink>
      <w:r w:rsidRPr="00C34C12">
        <w:t xml:space="preserve"> for DIF analyses conducted.</w:t>
      </w:r>
    </w:p>
    <w:p w14:paraId="57BB3CA6" w14:textId="1049F6E9" w:rsidR="00424AF4" w:rsidRDefault="00424AF4" w:rsidP="004F2F2C">
      <w:pPr>
        <w:pStyle w:val="Heading3"/>
      </w:pPr>
      <w:bookmarkStart w:id="171" w:name="_Toc182555123"/>
      <w:r>
        <w:t>Scor</w:t>
      </w:r>
      <w:r w:rsidR="00087F3C">
        <w:t>es</w:t>
      </w:r>
      <w:bookmarkEnd w:id="171"/>
    </w:p>
    <w:p w14:paraId="5626D0EA" w14:textId="29C67FCD" w:rsidR="00BE67AD" w:rsidRPr="00C34C12" w:rsidRDefault="00BE67AD" w:rsidP="00BE67AD">
      <w:r w:rsidRPr="00C34C12">
        <w:t xml:space="preserve">Student responses to each embedded PT were </w:t>
      </w:r>
      <w:r w:rsidR="00745F71">
        <w:t>machine</w:t>
      </w:r>
      <w:r w:rsidR="005D5D5A">
        <w:t>-</w:t>
      </w:r>
      <w:r w:rsidRPr="00C34C12">
        <w:t>scored.</w:t>
      </w:r>
    </w:p>
    <w:p w14:paraId="1A6CD034" w14:textId="64B00C0C" w:rsidR="007472DC" w:rsidRDefault="007472DC" w:rsidP="004F2F2C">
      <w:pPr>
        <w:pStyle w:val="Heading4"/>
      </w:pPr>
      <w:bookmarkStart w:id="172" w:name="_Toc182555124"/>
      <w:r>
        <w:t>Score Reporting</w:t>
      </w:r>
      <w:bookmarkEnd w:id="172"/>
    </w:p>
    <w:p w14:paraId="7C778EFE" w14:textId="4E9CF1E3" w:rsidR="00407E9A" w:rsidRDefault="00BE67AD" w:rsidP="00277222">
      <w:r w:rsidRPr="00C34C12">
        <w:t>There were no individual student scores reported for the 201</w:t>
      </w:r>
      <w:r w:rsidR="00EA235C">
        <w:t>9</w:t>
      </w:r>
      <w:r w:rsidRPr="00C34C12">
        <w:t>–20</w:t>
      </w:r>
      <w:r w:rsidR="00EA235C">
        <w:t>20</w:t>
      </w:r>
      <w:r w:rsidRPr="00C34C12">
        <w:t xml:space="preserve"> CAA for Science </w:t>
      </w:r>
      <w:r w:rsidR="00EA235C">
        <w:t xml:space="preserve">administration </w:t>
      </w:r>
      <w:r w:rsidR="006A28B2">
        <w:t>because of</w:t>
      </w:r>
      <w:r w:rsidR="00EA235C">
        <w:t xml:space="preserve"> the </w:t>
      </w:r>
      <w:r w:rsidR="006A28B2">
        <w:t>suspension</w:t>
      </w:r>
      <w:r w:rsidR="00EA235C">
        <w:t xml:space="preserve"> of testing on March 18, 2020</w:t>
      </w:r>
      <w:r w:rsidRPr="00C34C12">
        <w:t>. ETS prepared a data file of students’ percent-correct scores and the associated preliminary indicator category for LEAs.</w:t>
      </w:r>
      <w:bookmarkStart w:id="173" w:name="_Toc38901211"/>
    </w:p>
    <w:p w14:paraId="117577C0" w14:textId="45DE4E88" w:rsidR="001169A4" w:rsidRPr="00C34C12" w:rsidRDefault="001169A4" w:rsidP="00277222">
      <w:pPr>
        <w:pStyle w:val="Heading3"/>
      </w:pPr>
      <w:bookmarkStart w:id="174" w:name="_Toc182555125"/>
      <w:r w:rsidRPr="00C34C12">
        <w:t>Overview of Psychometric Analyses</w:t>
      </w:r>
      <w:bookmarkEnd w:id="173"/>
      <w:bookmarkEnd w:id="174"/>
    </w:p>
    <w:p w14:paraId="627FBF8A" w14:textId="321AA0CE" w:rsidR="001169A4" w:rsidRPr="00C34C12" w:rsidRDefault="001169A4" w:rsidP="001169A4">
      <w:r w:rsidRPr="00C34C12">
        <w:t xml:space="preserve">There were a number of psychometric analyses </w:t>
      </w:r>
      <w:r w:rsidR="00991164">
        <w:t xml:space="preserve">planned </w:t>
      </w:r>
      <w:r w:rsidR="00F419C9">
        <w:t>for</w:t>
      </w:r>
      <w:r w:rsidRPr="00C34C12">
        <w:t xml:space="preserve"> the CAA for Science data</w:t>
      </w:r>
      <w:r w:rsidR="00633431">
        <w:t xml:space="preserve">, including </w:t>
      </w:r>
      <w:r w:rsidR="00D74C6D">
        <w:t>classical item analys</w:t>
      </w:r>
      <w:r w:rsidR="005E460A">
        <w:t xml:space="preserve">es, </w:t>
      </w:r>
      <w:r w:rsidR="00442CF8">
        <w:t>DIF</w:t>
      </w:r>
      <w:r w:rsidR="005E460A">
        <w:t>, item response theory calibrations</w:t>
      </w:r>
      <w:r w:rsidR="00215030">
        <w:t xml:space="preserve">, </w:t>
      </w:r>
      <w:r w:rsidR="000F2517">
        <w:t>reliability, and response time an</w:t>
      </w:r>
      <w:r w:rsidR="007A340F">
        <w:t>a</w:t>
      </w:r>
      <w:r w:rsidR="000F2517">
        <w:t>lyses</w:t>
      </w:r>
      <w:r w:rsidRPr="00C34C12">
        <w:t xml:space="preserve">. These </w:t>
      </w:r>
      <w:r w:rsidR="007A340F">
        <w:t xml:space="preserve">analyses </w:t>
      </w:r>
      <w:r w:rsidRPr="00C34C12">
        <w:t xml:space="preserve">are described fully in </w:t>
      </w:r>
      <w:hyperlink w:anchor="_Psychometric_Analyses" w:history="1">
        <w:r w:rsidRPr="00C34C12">
          <w:rPr>
            <w:rStyle w:val="Hyperlink"/>
            <w:i/>
            <w:iCs/>
          </w:rPr>
          <w:t>Chapter 7: Psychometric Analyses</w:t>
        </w:r>
      </w:hyperlink>
      <w:r w:rsidRPr="00C34C12">
        <w:t>.</w:t>
      </w:r>
      <w:r w:rsidR="002707D2">
        <w:t xml:space="preserve"> </w:t>
      </w:r>
      <w:r w:rsidR="008E23F3">
        <w:t>Because of</w:t>
      </w:r>
      <w:r w:rsidR="002707D2">
        <w:t xml:space="preserve"> </w:t>
      </w:r>
      <w:r w:rsidR="008E23F3">
        <w:t xml:space="preserve">the </w:t>
      </w:r>
      <w:r w:rsidR="002707D2">
        <w:t>COVID-19</w:t>
      </w:r>
      <w:r w:rsidR="008E23F3">
        <w:t xml:space="preserve"> pandemic</w:t>
      </w:r>
      <w:r w:rsidR="002707D2">
        <w:t xml:space="preserve"> and the s</w:t>
      </w:r>
      <w:r w:rsidR="006A28B2">
        <w:t>uspension</w:t>
      </w:r>
      <w:r w:rsidR="002707D2">
        <w:t xml:space="preserve"> </w:t>
      </w:r>
      <w:r w:rsidR="006A28B2">
        <w:t>of</w:t>
      </w:r>
      <w:r w:rsidR="002707D2">
        <w:t xml:space="preserve"> testing on March 18, 2020, the planned psychometric analy</w:t>
      </w:r>
      <w:r w:rsidR="0019590E">
        <w:t>s</w:t>
      </w:r>
      <w:r w:rsidR="002707D2">
        <w:t>es were not conducted for the 2019</w:t>
      </w:r>
      <w:r w:rsidR="002707D2" w:rsidRPr="00C34C12">
        <w:t>–</w:t>
      </w:r>
      <w:r w:rsidR="002707D2">
        <w:t>2020 administration.</w:t>
      </w:r>
    </w:p>
    <w:p w14:paraId="59E3F336" w14:textId="77777777" w:rsidR="001169A4" w:rsidRPr="00C34C12" w:rsidRDefault="001169A4" w:rsidP="001169A4">
      <w:pPr>
        <w:pStyle w:val="Heading4"/>
        <w:ind w:left="792" w:hanging="792"/>
      </w:pPr>
      <w:bookmarkStart w:id="175" w:name="_Toc38901212"/>
      <w:bookmarkStart w:id="176" w:name="_Toc182555126"/>
      <w:r w:rsidRPr="00C34C12">
        <w:t>Description of the Classical Item Analyses</w:t>
      </w:r>
      <w:bookmarkEnd w:id="175"/>
      <w:bookmarkEnd w:id="176"/>
    </w:p>
    <w:p w14:paraId="18F655E8" w14:textId="26F5040B" w:rsidR="001169A4" w:rsidRPr="00C34C12" w:rsidRDefault="001169A4" w:rsidP="001169A4">
      <w:r w:rsidRPr="00C34C12">
        <w:t>The psychometric analyses for the CAA for Science</w:t>
      </w:r>
      <w:r w:rsidR="00ED1D57">
        <w:t xml:space="preserve"> typically</w:t>
      </w:r>
      <w:r w:rsidRPr="00C34C12">
        <w:t xml:space="preserve"> consist of classical item analyses and DIF analyses to evaluate the performance of the embedded PT items. The classical item analyses include the computation of item difficulty indices, the item-total correlation indices, the omit rate of each</w:t>
      </w:r>
      <w:r w:rsidRPr="00C34C12">
        <w:rPr>
          <w:rFonts w:eastAsia="Calibri"/>
        </w:rPr>
        <w:t xml:space="preserve"> embedded</w:t>
      </w:r>
      <w:r w:rsidRPr="00C34C12">
        <w:t xml:space="preserve"> PT item, and the proportion of test takers obtaining each score point for the polytomous items.</w:t>
      </w:r>
      <w:r w:rsidRPr="00C34C12">
        <w:rPr>
          <w:rFonts w:eastAsiaTheme="minorHAnsi"/>
          <w:color w:val="auto"/>
        </w:rPr>
        <w:t xml:space="preserve"> </w:t>
      </w:r>
      <w:r w:rsidRPr="00C34C12">
        <w:t xml:space="preserve">Flagging rules based on these statistics identify items not performing as expected. </w:t>
      </w:r>
      <w:r w:rsidRPr="00C34C12">
        <w:rPr>
          <w:rFonts w:eastAsiaTheme="minorHAnsi"/>
          <w:color w:val="auto"/>
        </w:rPr>
        <w:t xml:space="preserve">Descriptions of the </w:t>
      </w:r>
      <w:r w:rsidR="00E51D38">
        <w:rPr>
          <w:rFonts w:eastAsiaTheme="minorHAnsi"/>
          <w:color w:val="auto"/>
        </w:rPr>
        <w:t xml:space="preserve">typical </w:t>
      </w:r>
      <w:r w:rsidRPr="00C34C12">
        <w:rPr>
          <w:rFonts w:eastAsiaTheme="minorHAnsi"/>
          <w:color w:val="auto"/>
        </w:rPr>
        <w:t xml:space="preserve">psychometric analyses are provided in section </w:t>
      </w:r>
      <w:hyperlink w:anchor="_Classical_Item_Analyses" w:history="1">
        <w:r w:rsidRPr="00C34C12">
          <w:rPr>
            <w:rStyle w:val="Hyperlink"/>
            <w:rFonts w:eastAsiaTheme="minorHAnsi"/>
            <w:i/>
          </w:rPr>
          <w:t>7.2 Classical Item Analys</w:t>
        </w:r>
        <w:r w:rsidR="008E23F3">
          <w:rPr>
            <w:rStyle w:val="Hyperlink"/>
            <w:rFonts w:eastAsiaTheme="minorHAnsi"/>
            <w:i/>
          </w:rPr>
          <w:t>e</w:t>
        </w:r>
        <w:r w:rsidRPr="00C34C12">
          <w:rPr>
            <w:rStyle w:val="Hyperlink"/>
            <w:rFonts w:eastAsiaTheme="minorHAnsi"/>
            <w:i/>
          </w:rPr>
          <w:t>s</w:t>
        </w:r>
      </w:hyperlink>
      <w:r w:rsidRPr="00C34C12">
        <w:rPr>
          <w:rFonts w:eastAsiaTheme="minorHAnsi"/>
          <w:i/>
          <w:color w:val="auto"/>
        </w:rPr>
        <w:t>.</w:t>
      </w:r>
    </w:p>
    <w:p w14:paraId="001A193D" w14:textId="27BB6EA4" w:rsidR="001169A4" w:rsidRPr="00C34C12" w:rsidRDefault="001169A4" w:rsidP="001169A4">
      <w:pPr>
        <w:pStyle w:val="Heading4"/>
        <w:ind w:left="792" w:hanging="792"/>
      </w:pPr>
      <w:bookmarkStart w:id="177" w:name="_Toc66787360"/>
      <w:bookmarkStart w:id="178" w:name="_Toc66787819"/>
      <w:bookmarkStart w:id="179" w:name="_Toc67035410"/>
      <w:bookmarkStart w:id="180" w:name="_Toc67319274"/>
      <w:bookmarkStart w:id="181" w:name="_Toc67382386"/>
      <w:bookmarkStart w:id="182" w:name="_Toc67465944"/>
      <w:bookmarkStart w:id="183" w:name="_Toc66787361"/>
      <w:bookmarkStart w:id="184" w:name="_Toc66787820"/>
      <w:bookmarkStart w:id="185" w:name="_Toc67035411"/>
      <w:bookmarkStart w:id="186" w:name="_Toc67319275"/>
      <w:bookmarkStart w:id="187" w:name="_Toc67382387"/>
      <w:bookmarkStart w:id="188" w:name="_Toc67465945"/>
      <w:bookmarkStart w:id="189" w:name="_Toc38901214"/>
      <w:bookmarkStart w:id="190" w:name="_Toc182555127"/>
      <w:bookmarkEnd w:id="177"/>
      <w:bookmarkEnd w:id="178"/>
      <w:bookmarkEnd w:id="179"/>
      <w:bookmarkEnd w:id="180"/>
      <w:bookmarkEnd w:id="181"/>
      <w:bookmarkEnd w:id="182"/>
      <w:bookmarkEnd w:id="183"/>
      <w:bookmarkEnd w:id="184"/>
      <w:bookmarkEnd w:id="185"/>
      <w:bookmarkEnd w:id="186"/>
      <w:bookmarkEnd w:id="187"/>
      <w:bookmarkEnd w:id="188"/>
      <w:r w:rsidRPr="00C34C12">
        <w:lastRenderedPageBreak/>
        <w:t>Description of Item Response Theory Analyses</w:t>
      </w:r>
      <w:bookmarkEnd w:id="189"/>
      <w:bookmarkEnd w:id="190"/>
    </w:p>
    <w:p w14:paraId="30A41195" w14:textId="5E7EA2C2" w:rsidR="00166839" w:rsidRDefault="002A0D55" w:rsidP="001A00B1">
      <w:pPr>
        <w:keepLines/>
      </w:pPr>
      <w:r>
        <w:t>Typically, a</w:t>
      </w:r>
      <w:r w:rsidR="001169A4">
        <w:t xml:space="preserve"> concurrent calibration </w:t>
      </w:r>
      <w:r w:rsidR="00166839">
        <w:t>is conducted typically</w:t>
      </w:r>
      <w:r w:rsidR="001169A4">
        <w:t xml:space="preserve"> to estimate parameters for all items. As a result of the concurrent calibration, the item parameter estimates </w:t>
      </w:r>
      <w:r w:rsidR="002C1391">
        <w:t>are</w:t>
      </w:r>
      <w:r w:rsidR="001169A4">
        <w:t xml:space="preserve"> placed on a common scale for test items from the same grade-level test. The concurrent calibration require</w:t>
      </w:r>
      <w:r w:rsidR="00166839">
        <w:t>s</w:t>
      </w:r>
      <w:r w:rsidR="001169A4">
        <w:t xml:space="preserve"> either “common items” or “random equivalent groups.” </w:t>
      </w:r>
    </w:p>
    <w:p w14:paraId="0446DB8E" w14:textId="10071FBD" w:rsidR="001169A4" w:rsidRPr="00C34C12" w:rsidRDefault="001169A4" w:rsidP="001169A4">
      <w:r w:rsidRPr="00C34C12">
        <w:t xml:space="preserve">The CAA for Science versions </w:t>
      </w:r>
      <w:r w:rsidR="00166839">
        <w:t>are</w:t>
      </w:r>
      <w:r w:rsidRPr="00C34C12">
        <w:t xml:space="preserve"> assembled with common items between the versions, which support the efficiency and accuracy of the concurrent calibrations. The one-parameter logistic </w:t>
      </w:r>
      <w:r w:rsidR="0003369F">
        <w:t>item response theory</w:t>
      </w:r>
      <w:r w:rsidRPr="00C34C12">
        <w:t xml:space="preserve"> model (Hambleton and Rogers, 1991) and the partial credit model (Masters, 1982) </w:t>
      </w:r>
      <w:r w:rsidR="00166839">
        <w:t>are</w:t>
      </w:r>
      <w:r w:rsidRPr="00C34C12">
        <w:t xml:space="preserve"> used for item calibration of the CAA</w:t>
      </w:r>
      <w:r w:rsidR="00516889">
        <w:t xml:space="preserve"> for Science</w:t>
      </w:r>
      <w:r w:rsidRPr="00C34C12">
        <w:t xml:space="preserve"> with flexMIRT® (Cai,</w:t>
      </w:r>
      <w:r w:rsidR="0003369F">
        <w:t> </w:t>
      </w:r>
      <w:r w:rsidRPr="00C34C12">
        <w:t>2016) version 3.5 software.</w:t>
      </w:r>
    </w:p>
    <w:p w14:paraId="73E69703" w14:textId="01A4F7DE" w:rsidR="00BE67AD" w:rsidRPr="00C34C12" w:rsidRDefault="001169A4" w:rsidP="00BE67AD">
      <w:r w:rsidRPr="00C34C12">
        <w:t xml:space="preserve">Detailed procedures for the concurrent calibrations are included in </w:t>
      </w:r>
      <w:r w:rsidRPr="00A42EF3">
        <w:t xml:space="preserve">subsection </w:t>
      </w:r>
      <w:hyperlink w:anchor="_Item_Calibration" w:history="1">
        <w:r w:rsidRPr="00A42EF3">
          <w:rPr>
            <w:rStyle w:val="Hyperlink"/>
            <w:i/>
          </w:rPr>
          <w:t>7.6.2 Item Calibration</w:t>
        </w:r>
      </w:hyperlink>
      <w:r w:rsidRPr="00BE5720">
        <w:rPr>
          <w:color w:val="2B579A"/>
        </w:rPr>
        <w:t>.</w:t>
      </w:r>
    </w:p>
    <w:p w14:paraId="73468463" w14:textId="3836E5E8" w:rsidR="00417F6F" w:rsidRDefault="00417F6F" w:rsidP="004F2F2C">
      <w:pPr>
        <w:pStyle w:val="Heading3"/>
        <w:pageBreakBefore/>
        <w:numPr>
          <w:ilvl w:val="0"/>
          <w:numId w:val="0"/>
        </w:numPr>
        <w:ind w:left="446" w:hanging="446"/>
      </w:pPr>
      <w:bookmarkStart w:id="191" w:name="_Toc182555128"/>
      <w:r w:rsidRPr="004B2D24">
        <w:lastRenderedPageBreak/>
        <w:t>References</w:t>
      </w:r>
      <w:bookmarkEnd w:id="191"/>
    </w:p>
    <w:p w14:paraId="0DC2F8DB" w14:textId="77777777" w:rsidR="000D1786" w:rsidRPr="00C34C12" w:rsidRDefault="000D1786" w:rsidP="000D1786">
      <w:pPr>
        <w:pStyle w:val="References"/>
      </w:pPr>
      <w:r w:rsidRPr="00C34C12">
        <w:t xml:space="preserve">Cai, L. (2016). FlexMIRT®: </w:t>
      </w:r>
      <w:r w:rsidRPr="00C34C12">
        <w:rPr>
          <w:i/>
        </w:rPr>
        <w:t xml:space="preserve">Flexible multilevel, multidimensional item analysis and test scoring </w:t>
      </w:r>
      <w:r w:rsidRPr="00C34C12">
        <w:t>(Version 3.5) [computer software]. Chapel Hill, NC: Vector Psychometric Group.</w:t>
      </w:r>
    </w:p>
    <w:p w14:paraId="0BD1A7E7" w14:textId="4025A00D" w:rsidR="000D1786" w:rsidRPr="00C34C12" w:rsidRDefault="000D1786" w:rsidP="000D1786">
      <w:pPr>
        <w:pStyle w:val="References"/>
      </w:pPr>
      <w:r w:rsidRPr="00C34C12">
        <w:t xml:space="preserve">California Department of Education. (2018). </w:t>
      </w:r>
      <w:r w:rsidRPr="00C34C12">
        <w:rPr>
          <w:i/>
        </w:rPr>
        <w:t>California Alternate Assessment for Science blueprint</w:t>
      </w:r>
      <w:r w:rsidRPr="00C34C12">
        <w:t>. Sacrament</w:t>
      </w:r>
      <w:r w:rsidR="00035C6C">
        <w:t>o</w:t>
      </w:r>
      <w:r w:rsidRPr="00C34C12">
        <w:t xml:space="preserve">, CA: California Department of Education. </w:t>
      </w:r>
    </w:p>
    <w:p w14:paraId="0C98C22E" w14:textId="6F5229EE" w:rsidR="000D1786" w:rsidRPr="00C34C12" w:rsidRDefault="000D1786" w:rsidP="000D1786">
      <w:pPr>
        <w:pStyle w:val="References"/>
        <w:rPr>
          <w:i/>
        </w:rPr>
      </w:pPr>
      <w:r w:rsidRPr="00C34C12">
        <w:t>California Department of Education. (2019</w:t>
      </w:r>
      <w:r w:rsidR="00AD4FCB">
        <w:t>a</w:t>
      </w:r>
      <w:r w:rsidRPr="00C34C12">
        <w:t xml:space="preserve">). </w:t>
      </w:r>
      <w:r w:rsidRPr="00C34C12">
        <w:rPr>
          <w:i/>
        </w:rPr>
        <w:t xml:space="preserve">Alternate assessment IEP team guidance. </w:t>
      </w:r>
    </w:p>
    <w:p w14:paraId="44C6D7C5" w14:textId="5E9F0F3C" w:rsidR="000D1786" w:rsidRPr="00C34C12" w:rsidRDefault="000D1786" w:rsidP="000D1786">
      <w:pPr>
        <w:pStyle w:val="References"/>
      </w:pPr>
      <w:bookmarkStart w:id="192" w:name="_Hlk67398428"/>
      <w:r w:rsidRPr="00C34C12">
        <w:t>California Department of Education. (2019</w:t>
      </w:r>
      <w:r w:rsidR="00AD4FCB">
        <w:t>b</w:t>
      </w:r>
      <w:r w:rsidRPr="00C34C12">
        <w:t xml:space="preserve">). </w:t>
      </w:r>
      <w:r w:rsidRPr="00C34C12">
        <w:rPr>
          <w:i/>
        </w:rPr>
        <w:t>Matrix one</w:t>
      </w:r>
      <w:r w:rsidRPr="003E1B6A">
        <w:rPr>
          <w:i/>
        </w:rPr>
        <w:t xml:space="preserve">: </w:t>
      </w:r>
      <w:r w:rsidR="00707387" w:rsidRPr="003E1B6A">
        <w:rPr>
          <w:i/>
        </w:rPr>
        <w:t>California Assessment of Student Performance and Progress accessibility resources</w:t>
      </w:r>
      <w:r w:rsidRPr="003E1B6A">
        <w:rPr>
          <w:i/>
        </w:rPr>
        <w:t>.</w:t>
      </w:r>
      <w:r w:rsidRPr="00C34C12">
        <w:t xml:space="preserve"> Sacramento, CA: California Department of Education. </w:t>
      </w:r>
    </w:p>
    <w:p w14:paraId="3315447B" w14:textId="0C5AB151" w:rsidR="00B841CC" w:rsidRPr="00C34C12" w:rsidRDefault="00B841CC" w:rsidP="00B841CC">
      <w:pPr>
        <w:pStyle w:val="References"/>
      </w:pPr>
      <w:bookmarkStart w:id="193" w:name="_Hlk67392116"/>
      <w:bookmarkEnd w:id="192"/>
      <w:r w:rsidRPr="00C34C12">
        <w:t>California Department of Education. (20</w:t>
      </w:r>
      <w:r>
        <w:t>20</w:t>
      </w:r>
      <w:r w:rsidR="00AD4FCB">
        <w:t>a</w:t>
      </w:r>
      <w:r w:rsidRPr="00C34C12">
        <w:t>)</w:t>
      </w:r>
      <w:r w:rsidR="00752866">
        <w:t>.</w:t>
      </w:r>
      <w:r w:rsidRPr="00C34C12">
        <w:t xml:space="preserve"> </w:t>
      </w:r>
      <w:r>
        <w:rPr>
          <w:i/>
        </w:rPr>
        <w:t>CAASPP and ELPAC a</w:t>
      </w:r>
      <w:r w:rsidRPr="00C34C12">
        <w:rPr>
          <w:i/>
        </w:rPr>
        <w:t>ccessibility guide for online testing.</w:t>
      </w:r>
      <w:r w:rsidRPr="00C34C12">
        <w:t xml:space="preserve"> Sacramento, CA: California Department of Education. </w:t>
      </w:r>
    </w:p>
    <w:p w14:paraId="51D7F5BB" w14:textId="171CF23B" w:rsidR="00AD4FCB" w:rsidRDefault="00AD4FCB" w:rsidP="0027639D">
      <w:pPr>
        <w:pStyle w:val="References"/>
      </w:pPr>
      <w:bookmarkStart w:id="194" w:name="_Hlk67392588"/>
      <w:bookmarkEnd w:id="193"/>
      <w:r>
        <w:t xml:space="preserve">California Department of Education. </w:t>
      </w:r>
      <w:r w:rsidRPr="00124D70">
        <w:rPr>
          <w:szCs w:val="20"/>
        </w:rPr>
        <w:t>(20</w:t>
      </w:r>
      <w:r>
        <w:rPr>
          <w:szCs w:val="20"/>
        </w:rPr>
        <w:t>20b</w:t>
      </w:r>
      <w:r w:rsidRPr="00124D70">
        <w:rPr>
          <w:szCs w:val="20"/>
        </w:rPr>
        <w:t xml:space="preserve">). </w:t>
      </w:r>
      <w:r w:rsidRPr="00512C8E">
        <w:rPr>
          <w:i/>
          <w:szCs w:val="20"/>
        </w:rPr>
        <w:t>CAASPP and ELPAC Test Operations Management System user guide</w:t>
      </w:r>
      <w:r w:rsidRPr="00124D70">
        <w:rPr>
          <w:szCs w:val="20"/>
        </w:rPr>
        <w:t xml:space="preserve">. Sacramento, CA: California Department of Education. </w:t>
      </w:r>
    </w:p>
    <w:p w14:paraId="1CE6B394" w14:textId="68A1F7BC" w:rsidR="00AD4FCB" w:rsidRDefault="00AD4FCB" w:rsidP="0027639D">
      <w:pPr>
        <w:pStyle w:val="References"/>
      </w:pPr>
      <w:r w:rsidRPr="00C34C12">
        <w:t>California Department of Education. (20</w:t>
      </w:r>
      <w:r>
        <w:t>20c</w:t>
      </w:r>
      <w:r w:rsidRPr="00C34C12">
        <w:t xml:space="preserve">). </w:t>
      </w:r>
      <w:r w:rsidRPr="00C34C12">
        <w:rPr>
          <w:i/>
        </w:rPr>
        <w:t>CAASPP online test administration manual, 20</w:t>
      </w:r>
      <w:r>
        <w:rPr>
          <w:i/>
        </w:rPr>
        <w:t>19</w:t>
      </w:r>
      <w:r w:rsidRPr="00C34C12">
        <w:rPr>
          <w:i/>
        </w:rPr>
        <w:t>–</w:t>
      </w:r>
      <w:r>
        <w:rPr>
          <w:i/>
        </w:rPr>
        <w:t>2020 test</w:t>
      </w:r>
      <w:r w:rsidRPr="00C34C12">
        <w:rPr>
          <w:i/>
        </w:rPr>
        <w:t xml:space="preserve"> administration.</w:t>
      </w:r>
      <w:r w:rsidRPr="00C34C12">
        <w:t xml:space="preserve"> Sacramento, CA: California Department of Education. </w:t>
      </w:r>
    </w:p>
    <w:bookmarkEnd w:id="194"/>
    <w:p w14:paraId="3B6CDC85" w14:textId="4D0A5EAD" w:rsidR="0027639D" w:rsidRPr="00380C0B" w:rsidRDefault="0027639D" w:rsidP="0027639D">
      <w:pPr>
        <w:pStyle w:val="References"/>
      </w:pPr>
      <w:r>
        <w:t>California Department of Education. (2020</w:t>
      </w:r>
      <w:r w:rsidR="00AD4FCB">
        <w:t>d</w:t>
      </w:r>
      <w:r>
        <w:t xml:space="preserve">). </w:t>
      </w:r>
      <w:r w:rsidRPr="00163DF8">
        <w:rPr>
          <w:i/>
        </w:rPr>
        <w:t xml:space="preserve">California </w:t>
      </w:r>
      <w:r>
        <w:rPr>
          <w:i/>
        </w:rPr>
        <w:t>a</w:t>
      </w:r>
      <w:r w:rsidRPr="00163DF8">
        <w:rPr>
          <w:i/>
        </w:rPr>
        <w:t xml:space="preserve">ssessment </w:t>
      </w:r>
      <w:r>
        <w:rPr>
          <w:i/>
        </w:rPr>
        <w:t>a</w:t>
      </w:r>
      <w:r w:rsidRPr="00163DF8">
        <w:rPr>
          <w:i/>
        </w:rPr>
        <w:t xml:space="preserve">ccessibility </w:t>
      </w:r>
      <w:r>
        <w:rPr>
          <w:i/>
        </w:rPr>
        <w:t>r</w:t>
      </w:r>
      <w:r w:rsidRPr="00163DF8">
        <w:rPr>
          <w:i/>
        </w:rPr>
        <w:t xml:space="preserve">esources </w:t>
      </w:r>
      <w:r>
        <w:rPr>
          <w:i/>
        </w:rPr>
        <w:t>m</w:t>
      </w:r>
      <w:r w:rsidRPr="00163DF8">
        <w:rPr>
          <w:i/>
        </w:rPr>
        <w:t>atrix</w:t>
      </w:r>
      <w:r>
        <w:t xml:space="preserve">. Sacramento, CA: California Department of Education. </w:t>
      </w:r>
    </w:p>
    <w:p w14:paraId="44FADBB6" w14:textId="64FBCEBE" w:rsidR="0026421B" w:rsidRPr="00C34C12" w:rsidRDefault="000D1786" w:rsidP="0026421B">
      <w:pPr>
        <w:pStyle w:val="References"/>
      </w:pPr>
      <w:r w:rsidRPr="00C34C12">
        <w:t xml:space="preserve">Educational Testing Service. (2014). </w:t>
      </w:r>
      <w:r w:rsidRPr="00C34C12">
        <w:rPr>
          <w:i/>
        </w:rPr>
        <w:t>ETS standards for quality and fairness</w:t>
      </w:r>
      <w:r w:rsidRPr="00C34C12">
        <w:t xml:space="preserve">. Princeton, NJ: Educational Testing Service. </w:t>
      </w:r>
    </w:p>
    <w:p w14:paraId="62F09D10" w14:textId="77777777" w:rsidR="00853110" w:rsidRPr="00C34C12" w:rsidRDefault="00853110" w:rsidP="00853110">
      <w:pPr>
        <w:pStyle w:val="References"/>
      </w:pPr>
      <w:r w:rsidRPr="00C34C12">
        <w:t xml:space="preserve">Hambleton, R. K., Swaminathan, H., &amp; Rogers, H. J. (1991). </w:t>
      </w:r>
      <w:r w:rsidRPr="00C34C12">
        <w:rPr>
          <w:i/>
        </w:rPr>
        <w:t>Fundamentals of item response theory</w:t>
      </w:r>
      <w:r w:rsidRPr="00C34C12">
        <w:t>. Newbury Park, CA: Sage.</w:t>
      </w:r>
    </w:p>
    <w:p w14:paraId="16E36531" w14:textId="77777777" w:rsidR="000713AF" w:rsidRPr="00C34C12" w:rsidRDefault="000713AF" w:rsidP="000713AF">
      <w:pPr>
        <w:pStyle w:val="References"/>
      </w:pPr>
      <w:r w:rsidRPr="00C34C12">
        <w:t xml:space="preserve">Masters, G. N. (1982). A Rasch model for partial credit scoring. </w:t>
      </w:r>
      <w:r w:rsidRPr="00C34C12">
        <w:rPr>
          <w:i/>
        </w:rPr>
        <w:t>Psychometrika, 47</w:t>
      </w:r>
      <w:r w:rsidRPr="00C34C12">
        <w:t>(2), 149–‍74.</w:t>
      </w:r>
    </w:p>
    <w:p w14:paraId="1401E8F7" w14:textId="05CFF84E" w:rsidR="00C607E7" w:rsidRDefault="00C607E7" w:rsidP="000D1786">
      <w:pPr>
        <w:pStyle w:val="References"/>
      </w:pPr>
      <w:r>
        <w:t xml:space="preserve">Office of Governor Gavin Newsom. (2020). </w:t>
      </w:r>
      <w:r>
        <w:rPr>
          <w:i/>
          <w:iCs/>
        </w:rPr>
        <w:t>Governor Newsom issues executive order to suspend standardized testing for students in response to COVID-19 outbreak</w:t>
      </w:r>
      <w:r>
        <w:t xml:space="preserve"> [Press release]. </w:t>
      </w:r>
    </w:p>
    <w:p w14:paraId="4CAE04C7" w14:textId="3E88DFEC" w:rsidR="0026421B" w:rsidRPr="00C34C12" w:rsidRDefault="000D1786" w:rsidP="0026421B">
      <w:pPr>
        <w:pStyle w:val="References"/>
      </w:pPr>
      <w:r w:rsidRPr="00C34C12">
        <w:t>Smarter Balanced Assessment Consortium. (20</w:t>
      </w:r>
      <w:r w:rsidR="004576D6">
        <w:t>20</w:t>
      </w:r>
      <w:r w:rsidRPr="00C34C12">
        <w:t xml:space="preserve">). </w:t>
      </w:r>
      <w:r w:rsidRPr="00C34C12">
        <w:rPr>
          <w:i/>
        </w:rPr>
        <w:t>Smarter Balanced Assessment Consortium: Usability, accessibility, and accommodations guidelines.</w:t>
      </w:r>
      <w:r w:rsidRPr="00C34C12">
        <w:t xml:space="preserve"> Los Angeles, CA: Smarter Balanced Assessment Consortium. </w:t>
      </w:r>
    </w:p>
    <w:p w14:paraId="2F42DC87" w14:textId="3D85AF97" w:rsidR="00BE5720" w:rsidRDefault="00BE5720" w:rsidP="00315B00">
      <w:pPr>
        <w:pStyle w:val="References"/>
        <w:rPr>
          <w:rStyle w:val="Hyperlink"/>
        </w:rPr>
        <w:sectPr w:rsidR="00BE5720" w:rsidSect="000E4491">
          <w:headerReference w:type="even" r:id="rId19"/>
          <w:headerReference w:type="default" r:id="rId20"/>
          <w:footerReference w:type="even" r:id="rId21"/>
          <w:footerReference w:type="default" r:id="rId22"/>
          <w:headerReference w:type="first" r:id="rId23"/>
          <w:footerReference w:type="first" r:id="rId24"/>
          <w:pgSz w:w="12240" w:h="15840" w:code="1"/>
          <w:pgMar w:top="1152" w:right="1152" w:bottom="1152" w:left="1152" w:header="576" w:footer="360" w:gutter="0"/>
          <w:pgNumType w:start="1"/>
          <w:cols w:space="720"/>
          <w:titlePg/>
          <w:docGrid w:linePitch="360"/>
        </w:sectPr>
      </w:pPr>
    </w:p>
    <w:p w14:paraId="2BFE65FA" w14:textId="0A31C7D6" w:rsidR="00706B50" w:rsidRDefault="00706B50" w:rsidP="00706B50">
      <w:pPr>
        <w:pStyle w:val="Heading3"/>
        <w:pageBreakBefore/>
        <w:numPr>
          <w:ilvl w:val="0"/>
          <w:numId w:val="0"/>
        </w:numPr>
        <w:ind w:left="446" w:hanging="446"/>
      </w:pPr>
      <w:bookmarkStart w:id="195" w:name="_Appendix_2.A:_Accessibility"/>
      <w:bookmarkStart w:id="196" w:name="_Toc182555129"/>
      <w:bookmarkEnd w:id="195"/>
      <w:r w:rsidRPr="00706B50">
        <w:lastRenderedPageBreak/>
        <w:t xml:space="preserve">Appendix </w:t>
      </w:r>
      <w:r>
        <w:t>2</w:t>
      </w:r>
      <w:r w:rsidRPr="00706B50">
        <w:t>.A:</w:t>
      </w:r>
      <w:r w:rsidR="00BE5720">
        <w:t xml:space="preserve"> Accessibility</w:t>
      </w:r>
      <w:bookmarkEnd w:id="196"/>
    </w:p>
    <w:p w14:paraId="6F663D16" w14:textId="013C38C7" w:rsidR="00961502" w:rsidRDefault="00961502" w:rsidP="00961502">
      <w:bookmarkStart w:id="197" w:name="_Ref66862562"/>
      <w:bookmarkStart w:id="198" w:name="_Toc67319683"/>
      <w:r w:rsidRPr="002B4A82">
        <w:rPr>
          <w:b/>
        </w:rPr>
        <w:t xml:space="preserve">Note: </w:t>
      </w:r>
      <w:r>
        <w:t>Some students are eligible for multiple accessibility resources. As a result, the number of students tested in each grade level may not equal the sum of the number of students eligible per accessibility resource across all accessibility resources.</w:t>
      </w:r>
    </w:p>
    <w:p w14:paraId="188F3DB6" w14:textId="1501CA9B" w:rsidR="00085E73" w:rsidRDefault="00085E73" w:rsidP="00085E73">
      <w:pPr>
        <w:pStyle w:val="Caption"/>
      </w:pPr>
      <w:bookmarkStart w:id="199" w:name="_Ref182492252"/>
      <w:bookmarkStart w:id="200" w:name="_Toc220498687"/>
      <w:r>
        <w:t>Table 2.A.</w:t>
      </w:r>
      <w:r>
        <w:fldChar w:fldCharType="begin"/>
      </w:r>
      <w:r>
        <w:instrText>SEQ Table_2.A. \* ARABIC</w:instrText>
      </w:r>
      <w:r>
        <w:fldChar w:fldCharType="separate"/>
      </w:r>
      <w:r w:rsidR="00961502">
        <w:rPr>
          <w:noProof/>
        </w:rPr>
        <w:t>1</w:t>
      </w:r>
      <w:r>
        <w:fldChar w:fldCharType="end"/>
      </w:r>
      <w:bookmarkEnd w:id="197"/>
      <w:bookmarkEnd w:id="199"/>
      <w:r>
        <w:t xml:space="preserve">  Assignment of Designated Supports and Accommodations—Grades Five and</w:t>
      </w:r>
      <w:r w:rsidR="00A016ED">
        <w:t> </w:t>
      </w:r>
      <w:r>
        <w:t xml:space="preserve">Eight for </w:t>
      </w:r>
      <w:r>
        <w:rPr>
          <w:rFonts w:cs="Arial"/>
        </w:rPr>
        <w:t>Earth and Space Sciences</w:t>
      </w:r>
      <w:bookmarkEnd w:id="198"/>
      <w:bookmarkEnd w:id="200"/>
    </w:p>
    <w:tbl>
      <w:tblPr>
        <w:tblStyle w:val="TRs"/>
        <w:tblW w:w="10512" w:type="dxa"/>
        <w:tblLayout w:type="fixed"/>
        <w:tblLook w:val="04A0" w:firstRow="1" w:lastRow="0" w:firstColumn="1" w:lastColumn="0" w:noHBand="0" w:noVBand="1"/>
        <w:tblDescription w:val="Assignment of Designated Supports and Accommodations—Grades Five and Eight for Earth and Space Sciences"/>
      </w:tblPr>
      <w:tblGrid>
        <w:gridCol w:w="7056"/>
        <w:gridCol w:w="864"/>
        <w:gridCol w:w="864"/>
        <w:gridCol w:w="864"/>
        <w:gridCol w:w="864"/>
      </w:tblGrid>
      <w:tr w:rsidR="00085E73" w:rsidRPr="006A1E3E" w14:paraId="58CFCB7C" w14:textId="77777777" w:rsidTr="00110817">
        <w:trPr>
          <w:cnfStyle w:val="100000000000" w:firstRow="1" w:lastRow="0" w:firstColumn="0" w:lastColumn="0" w:oddVBand="0" w:evenVBand="0" w:oddHBand="0" w:evenHBand="0" w:firstRowFirstColumn="0" w:firstRowLastColumn="0" w:lastRowFirstColumn="0" w:lastRowLastColumn="0"/>
          <w:trHeight w:val="1872"/>
        </w:trPr>
        <w:tc>
          <w:tcPr>
            <w:tcW w:w="7056" w:type="dxa"/>
            <w:hideMark/>
          </w:tcPr>
          <w:p w14:paraId="4A3F2118" w14:textId="77777777" w:rsidR="00085E73" w:rsidRPr="006A1E3E" w:rsidRDefault="00085E73" w:rsidP="00110817">
            <w:pPr>
              <w:pStyle w:val="TableHead"/>
            </w:pPr>
            <w:r>
              <w:t>Accessibility Resource</w:t>
            </w:r>
          </w:p>
        </w:tc>
        <w:tc>
          <w:tcPr>
            <w:tcW w:w="864" w:type="dxa"/>
            <w:textDirection w:val="btLr"/>
            <w:vAlign w:val="center"/>
            <w:hideMark/>
          </w:tcPr>
          <w:p w14:paraId="72E57579" w14:textId="77777777" w:rsidR="00085E73" w:rsidRPr="006A1E3E" w:rsidRDefault="00085E73" w:rsidP="00853B06">
            <w:pPr>
              <w:pStyle w:val="TableHead"/>
              <w:ind w:left="72" w:right="115"/>
              <w:jc w:val="left"/>
            </w:pPr>
            <w:r w:rsidRPr="006A1E3E">
              <w:t xml:space="preserve">Grade </w:t>
            </w:r>
            <w:r>
              <w:t xml:space="preserve">5: </w:t>
            </w:r>
            <w:r w:rsidRPr="006A1E3E">
              <w:t>N</w:t>
            </w:r>
          </w:p>
        </w:tc>
        <w:tc>
          <w:tcPr>
            <w:tcW w:w="864" w:type="dxa"/>
            <w:textDirection w:val="btLr"/>
            <w:vAlign w:val="center"/>
            <w:hideMark/>
          </w:tcPr>
          <w:p w14:paraId="67D8A867" w14:textId="77777777" w:rsidR="00085E73" w:rsidRPr="006A1E3E" w:rsidRDefault="00085E73" w:rsidP="00853B06">
            <w:pPr>
              <w:pStyle w:val="TableHead"/>
              <w:ind w:left="72" w:right="115"/>
              <w:jc w:val="left"/>
            </w:pPr>
            <w:r w:rsidRPr="006A1E3E">
              <w:t xml:space="preserve">Grade </w:t>
            </w:r>
            <w:r>
              <w:t>5: % of Total T</w:t>
            </w:r>
            <w:r w:rsidRPr="006A1E3E">
              <w:t>ested</w:t>
            </w:r>
          </w:p>
        </w:tc>
        <w:tc>
          <w:tcPr>
            <w:tcW w:w="864" w:type="dxa"/>
            <w:textDirection w:val="btLr"/>
            <w:vAlign w:val="center"/>
            <w:hideMark/>
          </w:tcPr>
          <w:p w14:paraId="7DC16496" w14:textId="77777777" w:rsidR="00085E73" w:rsidRPr="006A1E3E" w:rsidRDefault="00085E73" w:rsidP="00853B06">
            <w:pPr>
              <w:pStyle w:val="TableHead"/>
              <w:ind w:left="72" w:right="115"/>
              <w:jc w:val="left"/>
            </w:pPr>
            <w:r w:rsidRPr="006A1E3E">
              <w:t>Grade 8</w:t>
            </w:r>
            <w:r>
              <w:t xml:space="preserve">: </w:t>
            </w:r>
            <w:r w:rsidRPr="006A1E3E">
              <w:t>N</w:t>
            </w:r>
          </w:p>
        </w:tc>
        <w:tc>
          <w:tcPr>
            <w:tcW w:w="864" w:type="dxa"/>
            <w:textDirection w:val="btLr"/>
            <w:vAlign w:val="center"/>
            <w:hideMark/>
          </w:tcPr>
          <w:p w14:paraId="7F3CC147" w14:textId="77777777" w:rsidR="00085E73" w:rsidRPr="006A1E3E" w:rsidRDefault="00085E73" w:rsidP="00853B06">
            <w:pPr>
              <w:pStyle w:val="TableHead"/>
              <w:ind w:left="72" w:right="115"/>
              <w:jc w:val="left"/>
            </w:pPr>
            <w:r w:rsidRPr="006A1E3E">
              <w:t>Grade 8</w:t>
            </w:r>
            <w:r>
              <w:t>: % of Total T</w:t>
            </w:r>
            <w:r w:rsidRPr="006A1E3E">
              <w:t>ested</w:t>
            </w:r>
          </w:p>
        </w:tc>
      </w:tr>
      <w:tr w:rsidR="00085E73" w:rsidRPr="00B96179" w14:paraId="352669AE" w14:textId="77777777" w:rsidTr="00853B06">
        <w:tc>
          <w:tcPr>
            <w:tcW w:w="7056" w:type="dxa"/>
          </w:tcPr>
          <w:p w14:paraId="36BE3647" w14:textId="77777777" w:rsidR="00085E73" w:rsidRPr="00B96179" w:rsidRDefault="00085E73" w:rsidP="003475E2">
            <w:pPr>
              <w:pStyle w:val="TableText"/>
              <w:jc w:val="left"/>
              <w:rPr>
                <w:lang w:eastAsia="ko-KR"/>
              </w:rPr>
            </w:pPr>
            <w:r>
              <w:t>Non-Embedded Accommodation—Abacus</w:t>
            </w:r>
          </w:p>
        </w:tc>
        <w:tc>
          <w:tcPr>
            <w:tcW w:w="864" w:type="dxa"/>
            <w:noWrap/>
          </w:tcPr>
          <w:p w14:paraId="3A3520A7" w14:textId="77777777" w:rsidR="00085E73" w:rsidRPr="007A3043" w:rsidRDefault="00085E73" w:rsidP="003475E2">
            <w:pPr>
              <w:pStyle w:val="TableText"/>
              <w:rPr>
                <w:szCs w:val="24"/>
                <w:lang w:eastAsia="ko-KR"/>
              </w:rPr>
            </w:pPr>
            <w:r>
              <w:t>7</w:t>
            </w:r>
          </w:p>
        </w:tc>
        <w:tc>
          <w:tcPr>
            <w:tcW w:w="864" w:type="dxa"/>
            <w:noWrap/>
          </w:tcPr>
          <w:p w14:paraId="23327EDC" w14:textId="77777777" w:rsidR="00085E73" w:rsidRPr="007A3043" w:rsidRDefault="00085E73" w:rsidP="003475E2">
            <w:pPr>
              <w:pStyle w:val="TableText"/>
              <w:rPr>
                <w:szCs w:val="24"/>
                <w:lang w:eastAsia="ko-KR"/>
              </w:rPr>
            </w:pPr>
            <w:r>
              <w:t>1%</w:t>
            </w:r>
          </w:p>
        </w:tc>
        <w:tc>
          <w:tcPr>
            <w:tcW w:w="864" w:type="dxa"/>
            <w:noWrap/>
          </w:tcPr>
          <w:p w14:paraId="63398FBE" w14:textId="77777777" w:rsidR="00085E73" w:rsidRPr="007A3043" w:rsidRDefault="00085E73" w:rsidP="003475E2">
            <w:pPr>
              <w:pStyle w:val="TableText"/>
              <w:rPr>
                <w:szCs w:val="24"/>
                <w:lang w:eastAsia="ko-KR"/>
              </w:rPr>
            </w:pPr>
            <w:r>
              <w:t>6</w:t>
            </w:r>
          </w:p>
        </w:tc>
        <w:tc>
          <w:tcPr>
            <w:tcW w:w="864" w:type="dxa"/>
            <w:noWrap/>
          </w:tcPr>
          <w:p w14:paraId="324C535A" w14:textId="77777777" w:rsidR="00085E73" w:rsidRPr="007A3043" w:rsidRDefault="00085E73" w:rsidP="003475E2">
            <w:pPr>
              <w:pStyle w:val="TableText"/>
              <w:rPr>
                <w:szCs w:val="24"/>
                <w:lang w:eastAsia="ko-KR"/>
              </w:rPr>
            </w:pPr>
            <w:r>
              <w:t>1%</w:t>
            </w:r>
          </w:p>
        </w:tc>
      </w:tr>
      <w:tr w:rsidR="00085E73" w:rsidRPr="00B96179" w14:paraId="1E4C7183" w14:textId="77777777" w:rsidTr="00853B06">
        <w:tc>
          <w:tcPr>
            <w:tcW w:w="7056" w:type="dxa"/>
          </w:tcPr>
          <w:p w14:paraId="1DB104B7" w14:textId="77777777" w:rsidR="00085E73" w:rsidRPr="00B96179" w:rsidRDefault="00085E73" w:rsidP="003475E2">
            <w:pPr>
              <w:pStyle w:val="TableText"/>
              <w:jc w:val="left"/>
              <w:rPr>
                <w:lang w:eastAsia="ko-KR"/>
              </w:rPr>
            </w:pPr>
            <w:r>
              <w:t>Non-Embedded Accommodation—Additional Instructional Supports for Alternate Assessments</w:t>
            </w:r>
          </w:p>
        </w:tc>
        <w:tc>
          <w:tcPr>
            <w:tcW w:w="864" w:type="dxa"/>
            <w:noWrap/>
          </w:tcPr>
          <w:p w14:paraId="2B0EA56B" w14:textId="77777777" w:rsidR="00085E73" w:rsidRPr="007A3043" w:rsidRDefault="00085E73" w:rsidP="003475E2">
            <w:pPr>
              <w:pStyle w:val="TableText"/>
              <w:rPr>
                <w:szCs w:val="24"/>
                <w:lang w:eastAsia="ko-KR"/>
              </w:rPr>
            </w:pPr>
            <w:r>
              <w:t>38</w:t>
            </w:r>
          </w:p>
        </w:tc>
        <w:tc>
          <w:tcPr>
            <w:tcW w:w="864" w:type="dxa"/>
            <w:noWrap/>
          </w:tcPr>
          <w:p w14:paraId="6BECB18A" w14:textId="77777777" w:rsidR="00085E73" w:rsidRPr="007A3043" w:rsidRDefault="00085E73" w:rsidP="003475E2">
            <w:pPr>
              <w:pStyle w:val="TableText"/>
              <w:rPr>
                <w:szCs w:val="24"/>
                <w:lang w:eastAsia="ko-KR"/>
              </w:rPr>
            </w:pPr>
            <w:r>
              <w:t>5%</w:t>
            </w:r>
          </w:p>
        </w:tc>
        <w:tc>
          <w:tcPr>
            <w:tcW w:w="864" w:type="dxa"/>
            <w:noWrap/>
          </w:tcPr>
          <w:p w14:paraId="7263F9C2" w14:textId="77777777" w:rsidR="00085E73" w:rsidRPr="007A3043" w:rsidRDefault="00085E73" w:rsidP="003475E2">
            <w:pPr>
              <w:pStyle w:val="TableText"/>
              <w:rPr>
                <w:szCs w:val="24"/>
                <w:lang w:eastAsia="ko-KR"/>
              </w:rPr>
            </w:pPr>
            <w:r>
              <w:t>55</w:t>
            </w:r>
          </w:p>
        </w:tc>
        <w:tc>
          <w:tcPr>
            <w:tcW w:w="864" w:type="dxa"/>
            <w:noWrap/>
          </w:tcPr>
          <w:p w14:paraId="007186C9" w14:textId="77777777" w:rsidR="00085E73" w:rsidRPr="007A3043" w:rsidRDefault="00085E73" w:rsidP="003475E2">
            <w:pPr>
              <w:pStyle w:val="TableText"/>
              <w:rPr>
                <w:szCs w:val="24"/>
                <w:lang w:eastAsia="ko-KR"/>
              </w:rPr>
            </w:pPr>
            <w:r>
              <w:t>7%</w:t>
            </w:r>
          </w:p>
        </w:tc>
      </w:tr>
      <w:tr w:rsidR="00085E73" w:rsidRPr="00B96179" w14:paraId="55DB4133" w14:textId="77777777" w:rsidTr="00853B06">
        <w:tc>
          <w:tcPr>
            <w:tcW w:w="7056" w:type="dxa"/>
          </w:tcPr>
          <w:p w14:paraId="75AB73AC" w14:textId="77777777" w:rsidR="00085E73" w:rsidRPr="00B96179" w:rsidRDefault="00085E73" w:rsidP="003475E2">
            <w:pPr>
              <w:pStyle w:val="TableText"/>
              <w:jc w:val="left"/>
              <w:rPr>
                <w:lang w:eastAsia="ko-KR"/>
              </w:rPr>
            </w:pPr>
            <w:r>
              <w:t>Non-Embedded Accommodation—Alternate Response Options</w:t>
            </w:r>
          </w:p>
        </w:tc>
        <w:tc>
          <w:tcPr>
            <w:tcW w:w="864" w:type="dxa"/>
            <w:noWrap/>
          </w:tcPr>
          <w:p w14:paraId="4D8184F5" w14:textId="77777777" w:rsidR="00085E73" w:rsidRPr="007A3043" w:rsidRDefault="00085E73" w:rsidP="003475E2">
            <w:pPr>
              <w:pStyle w:val="TableText"/>
              <w:rPr>
                <w:szCs w:val="24"/>
                <w:lang w:eastAsia="ko-KR"/>
              </w:rPr>
            </w:pPr>
            <w:r>
              <w:t>34</w:t>
            </w:r>
          </w:p>
        </w:tc>
        <w:tc>
          <w:tcPr>
            <w:tcW w:w="864" w:type="dxa"/>
            <w:noWrap/>
          </w:tcPr>
          <w:p w14:paraId="7CD689C9" w14:textId="77777777" w:rsidR="00085E73" w:rsidRPr="007A3043" w:rsidRDefault="00085E73" w:rsidP="003475E2">
            <w:pPr>
              <w:pStyle w:val="TableText"/>
              <w:rPr>
                <w:szCs w:val="24"/>
                <w:lang w:eastAsia="ko-KR"/>
              </w:rPr>
            </w:pPr>
            <w:r>
              <w:t>5%</w:t>
            </w:r>
          </w:p>
        </w:tc>
        <w:tc>
          <w:tcPr>
            <w:tcW w:w="864" w:type="dxa"/>
            <w:noWrap/>
          </w:tcPr>
          <w:p w14:paraId="4D70DB9B" w14:textId="77777777" w:rsidR="00085E73" w:rsidRPr="007A3043" w:rsidRDefault="00085E73" w:rsidP="003475E2">
            <w:pPr>
              <w:pStyle w:val="TableText"/>
              <w:rPr>
                <w:szCs w:val="24"/>
                <w:lang w:eastAsia="ko-KR"/>
              </w:rPr>
            </w:pPr>
            <w:r>
              <w:t>66</w:t>
            </w:r>
          </w:p>
        </w:tc>
        <w:tc>
          <w:tcPr>
            <w:tcW w:w="864" w:type="dxa"/>
            <w:noWrap/>
          </w:tcPr>
          <w:p w14:paraId="7DA59F3F" w14:textId="77777777" w:rsidR="00085E73" w:rsidRPr="007A3043" w:rsidRDefault="00085E73" w:rsidP="003475E2">
            <w:pPr>
              <w:pStyle w:val="TableText"/>
              <w:rPr>
                <w:szCs w:val="24"/>
                <w:lang w:eastAsia="ko-KR"/>
              </w:rPr>
            </w:pPr>
            <w:r>
              <w:t>8%</w:t>
            </w:r>
          </w:p>
        </w:tc>
      </w:tr>
      <w:tr w:rsidR="00085E73" w:rsidRPr="00B96179" w14:paraId="407CAF56" w14:textId="77777777" w:rsidTr="00853B06">
        <w:tc>
          <w:tcPr>
            <w:tcW w:w="7056" w:type="dxa"/>
          </w:tcPr>
          <w:p w14:paraId="5761318B" w14:textId="77777777" w:rsidR="00085E73" w:rsidRPr="00B96179" w:rsidRDefault="00085E73" w:rsidP="003475E2">
            <w:pPr>
              <w:pStyle w:val="TableText"/>
              <w:jc w:val="left"/>
              <w:rPr>
                <w:lang w:eastAsia="ko-KR"/>
              </w:rPr>
            </w:pPr>
            <w:r>
              <w:t>Non-Embedded Accommodation—Print on Demand</w:t>
            </w:r>
          </w:p>
        </w:tc>
        <w:tc>
          <w:tcPr>
            <w:tcW w:w="864" w:type="dxa"/>
            <w:noWrap/>
          </w:tcPr>
          <w:p w14:paraId="46B6908A" w14:textId="77777777" w:rsidR="00085E73" w:rsidRPr="007A3043" w:rsidRDefault="00085E73" w:rsidP="003475E2">
            <w:pPr>
              <w:pStyle w:val="TableText"/>
              <w:rPr>
                <w:szCs w:val="24"/>
                <w:lang w:eastAsia="ko-KR"/>
              </w:rPr>
            </w:pPr>
            <w:r>
              <w:t>5</w:t>
            </w:r>
          </w:p>
        </w:tc>
        <w:tc>
          <w:tcPr>
            <w:tcW w:w="864" w:type="dxa"/>
            <w:noWrap/>
          </w:tcPr>
          <w:p w14:paraId="64D3DF50" w14:textId="77777777" w:rsidR="00085E73" w:rsidRPr="007A3043" w:rsidRDefault="00085E73" w:rsidP="003475E2">
            <w:pPr>
              <w:pStyle w:val="TableText"/>
              <w:rPr>
                <w:szCs w:val="24"/>
                <w:lang w:eastAsia="ko-KR"/>
              </w:rPr>
            </w:pPr>
            <w:r>
              <w:t>1%</w:t>
            </w:r>
          </w:p>
        </w:tc>
        <w:tc>
          <w:tcPr>
            <w:tcW w:w="864" w:type="dxa"/>
            <w:noWrap/>
          </w:tcPr>
          <w:p w14:paraId="2F2AF075" w14:textId="77777777" w:rsidR="00085E73" w:rsidRPr="007A3043" w:rsidRDefault="00085E73" w:rsidP="003475E2">
            <w:pPr>
              <w:pStyle w:val="TableText"/>
              <w:rPr>
                <w:szCs w:val="24"/>
                <w:lang w:eastAsia="ko-KR"/>
              </w:rPr>
            </w:pPr>
            <w:r>
              <w:t>17</w:t>
            </w:r>
          </w:p>
        </w:tc>
        <w:tc>
          <w:tcPr>
            <w:tcW w:w="864" w:type="dxa"/>
            <w:noWrap/>
          </w:tcPr>
          <w:p w14:paraId="1D577DAA" w14:textId="77777777" w:rsidR="00085E73" w:rsidRPr="007A3043" w:rsidRDefault="00085E73" w:rsidP="003475E2">
            <w:pPr>
              <w:pStyle w:val="TableText"/>
              <w:rPr>
                <w:szCs w:val="24"/>
                <w:lang w:eastAsia="ko-KR"/>
              </w:rPr>
            </w:pPr>
            <w:r>
              <w:t>2%</w:t>
            </w:r>
          </w:p>
        </w:tc>
      </w:tr>
      <w:tr w:rsidR="00085E73" w:rsidRPr="00B96179" w14:paraId="1F61E7DA" w14:textId="77777777" w:rsidTr="00853B06">
        <w:tc>
          <w:tcPr>
            <w:tcW w:w="7056" w:type="dxa"/>
          </w:tcPr>
          <w:p w14:paraId="0A5F4226" w14:textId="77777777" w:rsidR="00085E73" w:rsidRPr="0093049F" w:rsidRDefault="00085E73" w:rsidP="003475E2">
            <w:pPr>
              <w:pStyle w:val="TableText"/>
              <w:jc w:val="left"/>
              <w:rPr>
                <w:szCs w:val="20"/>
              </w:rPr>
            </w:pPr>
            <w:r>
              <w:t>Non-Embedded Accommodation—Unlisted Resources</w:t>
            </w:r>
          </w:p>
        </w:tc>
        <w:tc>
          <w:tcPr>
            <w:tcW w:w="864" w:type="dxa"/>
            <w:noWrap/>
          </w:tcPr>
          <w:p w14:paraId="03795F5C" w14:textId="77777777" w:rsidR="00085E73" w:rsidRPr="007A3043" w:rsidRDefault="00085E73" w:rsidP="003475E2">
            <w:pPr>
              <w:pStyle w:val="TableText"/>
              <w:rPr>
                <w:szCs w:val="24"/>
                <w:lang w:eastAsia="ko-KR"/>
              </w:rPr>
            </w:pPr>
            <w:r>
              <w:t>0</w:t>
            </w:r>
          </w:p>
        </w:tc>
        <w:tc>
          <w:tcPr>
            <w:tcW w:w="864" w:type="dxa"/>
            <w:noWrap/>
          </w:tcPr>
          <w:p w14:paraId="624BFEB2" w14:textId="77777777" w:rsidR="00085E73" w:rsidRPr="007A3043" w:rsidRDefault="00085E73" w:rsidP="003475E2">
            <w:pPr>
              <w:pStyle w:val="TableText"/>
              <w:rPr>
                <w:szCs w:val="24"/>
                <w:lang w:eastAsia="ko-KR"/>
              </w:rPr>
            </w:pPr>
            <w:r>
              <w:t>0%</w:t>
            </w:r>
          </w:p>
        </w:tc>
        <w:tc>
          <w:tcPr>
            <w:tcW w:w="864" w:type="dxa"/>
            <w:noWrap/>
          </w:tcPr>
          <w:p w14:paraId="1876EE4C" w14:textId="77777777" w:rsidR="00085E73" w:rsidRPr="007A3043" w:rsidRDefault="00085E73" w:rsidP="003475E2">
            <w:pPr>
              <w:pStyle w:val="TableText"/>
              <w:rPr>
                <w:szCs w:val="24"/>
                <w:lang w:eastAsia="ko-KR"/>
              </w:rPr>
            </w:pPr>
            <w:r>
              <w:t>0</w:t>
            </w:r>
          </w:p>
        </w:tc>
        <w:tc>
          <w:tcPr>
            <w:tcW w:w="864" w:type="dxa"/>
            <w:noWrap/>
          </w:tcPr>
          <w:p w14:paraId="25A0A836" w14:textId="77777777" w:rsidR="00085E73" w:rsidRPr="007A3043" w:rsidRDefault="00085E73" w:rsidP="003475E2">
            <w:pPr>
              <w:pStyle w:val="TableText"/>
              <w:rPr>
                <w:szCs w:val="24"/>
                <w:lang w:eastAsia="ko-KR"/>
              </w:rPr>
            </w:pPr>
            <w:r>
              <w:t>0%</w:t>
            </w:r>
          </w:p>
        </w:tc>
      </w:tr>
      <w:tr w:rsidR="00085E73" w:rsidRPr="00B96179" w14:paraId="1F167A44" w14:textId="77777777" w:rsidTr="00853B06">
        <w:tc>
          <w:tcPr>
            <w:tcW w:w="7056" w:type="dxa"/>
            <w:tcBorders>
              <w:bottom w:val="single" w:sz="4" w:space="0" w:color="auto"/>
            </w:tcBorders>
          </w:tcPr>
          <w:p w14:paraId="0A084D92" w14:textId="77777777" w:rsidR="00085E73" w:rsidRPr="00B96179" w:rsidRDefault="00085E73" w:rsidP="003475E2">
            <w:pPr>
              <w:pStyle w:val="TableText"/>
              <w:jc w:val="left"/>
              <w:rPr>
                <w:lang w:eastAsia="ko-KR"/>
              </w:rPr>
            </w:pPr>
            <w:r>
              <w:t>Non-Embedded Accommodation—Word Prediction</w:t>
            </w:r>
          </w:p>
        </w:tc>
        <w:tc>
          <w:tcPr>
            <w:tcW w:w="864" w:type="dxa"/>
            <w:tcBorders>
              <w:bottom w:val="single" w:sz="4" w:space="0" w:color="auto"/>
            </w:tcBorders>
            <w:noWrap/>
          </w:tcPr>
          <w:p w14:paraId="7B94966E" w14:textId="77777777" w:rsidR="00085E73" w:rsidRPr="007A3043" w:rsidRDefault="00085E73" w:rsidP="003475E2">
            <w:pPr>
              <w:pStyle w:val="TableText"/>
              <w:rPr>
                <w:szCs w:val="24"/>
                <w:lang w:eastAsia="ko-KR"/>
              </w:rPr>
            </w:pPr>
            <w:r>
              <w:t>4</w:t>
            </w:r>
          </w:p>
        </w:tc>
        <w:tc>
          <w:tcPr>
            <w:tcW w:w="864" w:type="dxa"/>
            <w:tcBorders>
              <w:bottom w:val="single" w:sz="4" w:space="0" w:color="auto"/>
            </w:tcBorders>
            <w:noWrap/>
          </w:tcPr>
          <w:p w14:paraId="0E5BE33D" w14:textId="77777777" w:rsidR="00085E73" w:rsidRPr="007A3043" w:rsidRDefault="00085E73" w:rsidP="003475E2">
            <w:pPr>
              <w:pStyle w:val="TableText"/>
              <w:rPr>
                <w:szCs w:val="24"/>
                <w:lang w:eastAsia="ko-KR"/>
              </w:rPr>
            </w:pPr>
            <w:r>
              <w:t>1%</w:t>
            </w:r>
          </w:p>
        </w:tc>
        <w:tc>
          <w:tcPr>
            <w:tcW w:w="864" w:type="dxa"/>
            <w:tcBorders>
              <w:bottom w:val="single" w:sz="4" w:space="0" w:color="auto"/>
            </w:tcBorders>
            <w:noWrap/>
          </w:tcPr>
          <w:p w14:paraId="76295693" w14:textId="77777777" w:rsidR="00085E73" w:rsidRPr="007A3043" w:rsidRDefault="00085E73" w:rsidP="003475E2">
            <w:pPr>
              <w:pStyle w:val="TableText"/>
              <w:rPr>
                <w:szCs w:val="24"/>
                <w:lang w:eastAsia="ko-KR"/>
              </w:rPr>
            </w:pPr>
            <w:r>
              <w:t>22</w:t>
            </w:r>
          </w:p>
        </w:tc>
        <w:tc>
          <w:tcPr>
            <w:tcW w:w="864" w:type="dxa"/>
            <w:tcBorders>
              <w:bottom w:val="single" w:sz="4" w:space="0" w:color="auto"/>
            </w:tcBorders>
            <w:noWrap/>
          </w:tcPr>
          <w:p w14:paraId="2AEB472E" w14:textId="77777777" w:rsidR="00085E73" w:rsidRPr="007A3043" w:rsidRDefault="00085E73" w:rsidP="003475E2">
            <w:pPr>
              <w:pStyle w:val="TableText"/>
              <w:rPr>
                <w:szCs w:val="24"/>
                <w:lang w:eastAsia="ko-KR"/>
              </w:rPr>
            </w:pPr>
            <w:r>
              <w:t>3%</w:t>
            </w:r>
          </w:p>
        </w:tc>
      </w:tr>
      <w:tr w:rsidR="00085E73" w:rsidRPr="00B96179" w14:paraId="4280E7A8" w14:textId="77777777" w:rsidTr="00853B06">
        <w:tc>
          <w:tcPr>
            <w:tcW w:w="7056" w:type="dxa"/>
            <w:tcBorders>
              <w:top w:val="single" w:sz="4" w:space="0" w:color="auto"/>
              <w:bottom w:val="nil"/>
            </w:tcBorders>
          </w:tcPr>
          <w:p w14:paraId="3C5D5247" w14:textId="77777777" w:rsidR="00085E73" w:rsidRPr="00B96179" w:rsidRDefault="00085E73" w:rsidP="003475E2">
            <w:pPr>
              <w:pStyle w:val="TableText"/>
              <w:jc w:val="left"/>
              <w:rPr>
                <w:lang w:eastAsia="ko-KR"/>
              </w:rPr>
            </w:pPr>
            <w:r>
              <w:t>Embedded Designated Support—Color Contrast</w:t>
            </w:r>
          </w:p>
        </w:tc>
        <w:tc>
          <w:tcPr>
            <w:tcW w:w="864" w:type="dxa"/>
            <w:tcBorders>
              <w:top w:val="single" w:sz="4" w:space="0" w:color="auto"/>
              <w:bottom w:val="nil"/>
            </w:tcBorders>
            <w:noWrap/>
          </w:tcPr>
          <w:p w14:paraId="632A43E2" w14:textId="77777777" w:rsidR="00085E73" w:rsidRPr="007A3043" w:rsidRDefault="00085E73" w:rsidP="003475E2">
            <w:pPr>
              <w:pStyle w:val="TableText"/>
              <w:rPr>
                <w:szCs w:val="24"/>
                <w:lang w:eastAsia="ko-KR"/>
              </w:rPr>
            </w:pPr>
            <w:r>
              <w:t>3</w:t>
            </w:r>
          </w:p>
        </w:tc>
        <w:tc>
          <w:tcPr>
            <w:tcW w:w="864" w:type="dxa"/>
            <w:tcBorders>
              <w:top w:val="single" w:sz="4" w:space="0" w:color="auto"/>
              <w:bottom w:val="nil"/>
            </w:tcBorders>
            <w:noWrap/>
          </w:tcPr>
          <w:p w14:paraId="677B29FD" w14:textId="77777777" w:rsidR="00085E73" w:rsidRPr="007A3043" w:rsidRDefault="00085E73" w:rsidP="003475E2">
            <w:pPr>
              <w:pStyle w:val="TableText"/>
              <w:rPr>
                <w:szCs w:val="24"/>
                <w:lang w:eastAsia="ko-KR"/>
              </w:rPr>
            </w:pPr>
            <w:r>
              <w:t>0%</w:t>
            </w:r>
          </w:p>
        </w:tc>
        <w:tc>
          <w:tcPr>
            <w:tcW w:w="864" w:type="dxa"/>
            <w:tcBorders>
              <w:top w:val="single" w:sz="4" w:space="0" w:color="auto"/>
              <w:bottom w:val="nil"/>
            </w:tcBorders>
            <w:noWrap/>
          </w:tcPr>
          <w:p w14:paraId="7B06B688" w14:textId="77777777" w:rsidR="00085E73" w:rsidRPr="007A3043" w:rsidRDefault="00085E73" w:rsidP="003475E2">
            <w:pPr>
              <w:pStyle w:val="TableText"/>
              <w:rPr>
                <w:szCs w:val="24"/>
                <w:lang w:eastAsia="ko-KR"/>
              </w:rPr>
            </w:pPr>
            <w:r>
              <w:t>5</w:t>
            </w:r>
          </w:p>
        </w:tc>
        <w:tc>
          <w:tcPr>
            <w:tcW w:w="864" w:type="dxa"/>
            <w:tcBorders>
              <w:top w:val="single" w:sz="4" w:space="0" w:color="auto"/>
              <w:bottom w:val="nil"/>
            </w:tcBorders>
            <w:noWrap/>
          </w:tcPr>
          <w:p w14:paraId="4B9587A0" w14:textId="77777777" w:rsidR="00085E73" w:rsidRPr="007A3043" w:rsidRDefault="00085E73" w:rsidP="003475E2">
            <w:pPr>
              <w:pStyle w:val="TableText"/>
              <w:rPr>
                <w:szCs w:val="24"/>
                <w:lang w:eastAsia="ko-KR"/>
              </w:rPr>
            </w:pPr>
            <w:r>
              <w:t>1%</w:t>
            </w:r>
          </w:p>
        </w:tc>
      </w:tr>
      <w:tr w:rsidR="00085E73" w:rsidRPr="00B96179" w14:paraId="4F4B9048" w14:textId="77777777" w:rsidTr="00853B06">
        <w:tc>
          <w:tcPr>
            <w:tcW w:w="7056" w:type="dxa"/>
            <w:tcBorders>
              <w:top w:val="nil"/>
            </w:tcBorders>
          </w:tcPr>
          <w:p w14:paraId="6643EC66" w14:textId="77777777" w:rsidR="00085E73" w:rsidRPr="0093049F" w:rsidRDefault="00085E73" w:rsidP="003475E2">
            <w:pPr>
              <w:pStyle w:val="TableText"/>
              <w:jc w:val="left"/>
              <w:rPr>
                <w:lang w:eastAsia="ko-KR"/>
              </w:rPr>
            </w:pPr>
            <w:r>
              <w:t>Embedded Designated Support—Masking</w:t>
            </w:r>
          </w:p>
        </w:tc>
        <w:tc>
          <w:tcPr>
            <w:tcW w:w="864" w:type="dxa"/>
            <w:tcBorders>
              <w:top w:val="nil"/>
            </w:tcBorders>
            <w:noWrap/>
          </w:tcPr>
          <w:p w14:paraId="56D0F320" w14:textId="77777777" w:rsidR="00085E73" w:rsidRDefault="00085E73" w:rsidP="003475E2">
            <w:pPr>
              <w:pStyle w:val="TableText"/>
              <w:rPr>
                <w:szCs w:val="24"/>
                <w:lang w:eastAsia="ko-KR"/>
              </w:rPr>
            </w:pPr>
            <w:r>
              <w:t>14</w:t>
            </w:r>
          </w:p>
        </w:tc>
        <w:tc>
          <w:tcPr>
            <w:tcW w:w="864" w:type="dxa"/>
            <w:tcBorders>
              <w:top w:val="nil"/>
            </w:tcBorders>
            <w:noWrap/>
          </w:tcPr>
          <w:p w14:paraId="290BE5F2" w14:textId="77777777" w:rsidR="00085E73" w:rsidRDefault="00085E73" w:rsidP="003475E2">
            <w:pPr>
              <w:pStyle w:val="TableText"/>
            </w:pPr>
            <w:r>
              <w:t>2%</w:t>
            </w:r>
          </w:p>
        </w:tc>
        <w:tc>
          <w:tcPr>
            <w:tcW w:w="864" w:type="dxa"/>
            <w:tcBorders>
              <w:top w:val="nil"/>
            </w:tcBorders>
            <w:noWrap/>
          </w:tcPr>
          <w:p w14:paraId="48814E27" w14:textId="77777777" w:rsidR="00085E73" w:rsidRDefault="00085E73" w:rsidP="003475E2">
            <w:pPr>
              <w:pStyle w:val="TableText"/>
              <w:rPr>
                <w:szCs w:val="24"/>
                <w:lang w:eastAsia="ko-KR"/>
              </w:rPr>
            </w:pPr>
            <w:r>
              <w:t>35</w:t>
            </w:r>
          </w:p>
        </w:tc>
        <w:tc>
          <w:tcPr>
            <w:tcW w:w="864" w:type="dxa"/>
            <w:tcBorders>
              <w:top w:val="nil"/>
            </w:tcBorders>
            <w:noWrap/>
          </w:tcPr>
          <w:p w14:paraId="23A014D2" w14:textId="77777777" w:rsidR="00085E73" w:rsidRDefault="00085E73" w:rsidP="003475E2">
            <w:pPr>
              <w:pStyle w:val="TableText"/>
            </w:pPr>
            <w:r>
              <w:t>4%</w:t>
            </w:r>
          </w:p>
        </w:tc>
      </w:tr>
      <w:tr w:rsidR="00085E73" w:rsidRPr="00B96179" w14:paraId="7B8EC933" w14:textId="77777777" w:rsidTr="00853B06">
        <w:tc>
          <w:tcPr>
            <w:tcW w:w="7056" w:type="dxa"/>
          </w:tcPr>
          <w:p w14:paraId="20EB0BC0" w14:textId="77777777" w:rsidR="00085E73" w:rsidRPr="0093049F" w:rsidRDefault="00085E73" w:rsidP="003475E2">
            <w:pPr>
              <w:pStyle w:val="TableText"/>
              <w:jc w:val="left"/>
              <w:rPr>
                <w:lang w:eastAsia="ko-KR"/>
              </w:rPr>
            </w:pPr>
            <w:r>
              <w:t>Embedded Designated Support—Mouse Pointer</w:t>
            </w:r>
          </w:p>
        </w:tc>
        <w:tc>
          <w:tcPr>
            <w:tcW w:w="864" w:type="dxa"/>
            <w:noWrap/>
          </w:tcPr>
          <w:p w14:paraId="742E864F" w14:textId="77777777" w:rsidR="00085E73" w:rsidRDefault="00085E73" w:rsidP="003475E2">
            <w:pPr>
              <w:pStyle w:val="TableText"/>
              <w:rPr>
                <w:szCs w:val="24"/>
                <w:lang w:eastAsia="ko-KR"/>
              </w:rPr>
            </w:pPr>
            <w:r>
              <w:t>8</w:t>
            </w:r>
          </w:p>
        </w:tc>
        <w:tc>
          <w:tcPr>
            <w:tcW w:w="864" w:type="dxa"/>
            <w:noWrap/>
          </w:tcPr>
          <w:p w14:paraId="37E3826E" w14:textId="77777777" w:rsidR="00085E73" w:rsidRDefault="00085E73" w:rsidP="003475E2">
            <w:pPr>
              <w:pStyle w:val="TableText"/>
            </w:pPr>
            <w:r>
              <w:t>1%</w:t>
            </w:r>
          </w:p>
        </w:tc>
        <w:tc>
          <w:tcPr>
            <w:tcW w:w="864" w:type="dxa"/>
            <w:noWrap/>
          </w:tcPr>
          <w:p w14:paraId="2E0F8802" w14:textId="77777777" w:rsidR="00085E73" w:rsidRDefault="00085E73" w:rsidP="003475E2">
            <w:pPr>
              <w:pStyle w:val="TableText"/>
              <w:rPr>
                <w:szCs w:val="24"/>
                <w:lang w:eastAsia="ko-KR"/>
              </w:rPr>
            </w:pPr>
            <w:r>
              <w:t>3</w:t>
            </w:r>
          </w:p>
        </w:tc>
        <w:tc>
          <w:tcPr>
            <w:tcW w:w="864" w:type="dxa"/>
            <w:noWrap/>
          </w:tcPr>
          <w:p w14:paraId="24E18A99" w14:textId="77777777" w:rsidR="00085E73" w:rsidRDefault="00085E73" w:rsidP="003475E2">
            <w:pPr>
              <w:pStyle w:val="TableText"/>
            </w:pPr>
            <w:r>
              <w:t>0%</w:t>
            </w:r>
          </w:p>
        </w:tc>
      </w:tr>
      <w:tr w:rsidR="00085E73" w:rsidRPr="00B96179" w14:paraId="72B0D160" w14:textId="77777777" w:rsidTr="00853B06">
        <w:tc>
          <w:tcPr>
            <w:tcW w:w="7056" w:type="dxa"/>
          </w:tcPr>
          <w:p w14:paraId="2FC99D85" w14:textId="77777777" w:rsidR="00085E73" w:rsidRPr="0093049F" w:rsidRDefault="00085E73" w:rsidP="003475E2">
            <w:pPr>
              <w:pStyle w:val="TableText"/>
              <w:jc w:val="left"/>
              <w:rPr>
                <w:lang w:eastAsia="ko-KR"/>
              </w:rPr>
            </w:pPr>
            <w:r>
              <w:t>Embedded Designated Support—Permissive Mode</w:t>
            </w:r>
          </w:p>
        </w:tc>
        <w:tc>
          <w:tcPr>
            <w:tcW w:w="864" w:type="dxa"/>
            <w:noWrap/>
          </w:tcPr>
          <w:p w14:paraId="64ACB1AF" w14:textId="77777777" w:rsidR="00085E73" w:rsidRDefault="00085E73" w:rsidP="003475E2">
            <w:pPr>
              <w:pStyle w:val="TableText"/>
              <w:rPr>
                <w:szCs w:val="24"/>
                <w:lang w:eastAsia="ko-KR"/>
              </w:rPr>
            </w:pPr>
            <w:r>
              <w:t>6</w:t>
            </w:r>
          </w:p>
        </w:tc>
        <w:tc>
          <w:tcPr>
            <w:tcW w:w="864" w:type="dxa"/>
            <w:noWrap/>
          </w:tcPr>
          <w:p w14:paraId="50297385" w14:textId="77777777" w:rsidR="00085E73" w:rsidRDefault="00085E73" w:rsidP="003475E2">
            <w:pPr>
              <w:pStyle w:val="TableText"/>
            </w:pPr>
            <w:r>
              <w:t>1%</w:t>
            </w:r>
          </w:p>
        </w:tc>
        <w:tc>
          <w:tcPr>
            <w:tcW w:w="864" w:type="dxa"/>
            <w:noWrap/>
          </w:tcPr>
          <w:p w14:paraId="61419333" w14:textId="77777777" w:rsidR="00085E73" w:rsidRDefault="00085E73" w:rsidP="003475E2">
            <w:pPr>
              <w:pStyle w:val="TableText"/>
              <w:rPr>
                <w:szCs w:val="24"/>
                <w:lang w:eastAsia="ko-KR"/>
              </w:rPr>
            </w:pPr>
            <w:r>
              <w:t>16</w:t>
            </w:r>
          </w:p>
        </w:tc>
        <w:tc>
          <w:tcPr>
            <w:tcW w:w="864" w:type="dxa"/>
            <w:noWrap/>
          </w:tcPr>
          <w:p w14:paraId="2BB8FC39" w14:textId="77777777" w:rsidR="00085E73" w:rsidRDefault="00085E73" w:rsidP="003475E2">
            <w:pPr>
              <w:pStyle w:val="TableText"/>
            </w:pPr>
            <w:r>
              <w:t>2%</w:t>
            </w:r>
          </w:p>
        </w:tc>
      </w:tr>
      <w:tr w:rsidR="00085E73" w:rsidRPr="00B96179" w14:paraId="36D1B468" w14:textId="77777777" w:rsidTr="00853B06">
        <w:tc>
          <w:tcPr>
            <w:tcW w:w="7056" w:type="dxa"/>
          </w:tcPr>
          <w:p w14:paraId="045D3256" w14:textId="77777777" w:rsidR="00085E73" w:rsidRPr="0093049F" w:rsidRDefault="00085E73" w:rsidP="003475E2">
            <w:pPr>
              <w:pStyle w:val="TableText"/>
              <w:jc w:val="left"/>
              <w:rPr>
                <w:lang w:eastAsia="ko-KR"/>
              </w:rPr>
            </w:pPr>
            <w:r>
              <w:t>Embedded Designated Support—Print Size</w:t>
            </w:r>
          </w:p>
        </w:tc>
        <w:tc>
          <w:tcPr>
            <w:tcW w:w="864" w:type="dxa"/>
            <w:noWrap/>
          </w:tcPr>
          <w:p w14:paraId="0660B46F" w14:textId="77777777" w:rsidR="00085E73" w:rsidRDefault="00085E73" w:rsidP="003475E2">
            <w:pPr>
              <w:pStyle w:val="TableText"/>
              <w:rPr>
                <w:szCs w:val="24"/>
                <w:lang w:eastAsia="ko-KR"/>
              </w:rPr>
            </w:pPr>
            <w:r>
              <w:t>13</w:t>
            </w:r>
          </w:p>
        </w:tc>
        <w:tc>
          <w:tcPr>
            <w:tcW w:w="864" w:type="dxa"/>
            <w:noWrap/>
          </w:tcPr>
          <w:p w14:paraId="46F6B9BA" w14:textId="77777777" w:rsidR="00085E73" w:rsidRDefault="00085E73" w:rsidP="003475E2">
            <w:pPr>
              <w:pStyle w:val="TableText"/>
            </w:pPr>
            <w:r>
              <w:t>2%</w:t>
            </w:r>
          </w:p>
        </w:tc>
        <w:tc>
          <w:tcPr>
            <w:tcW w:w="864" w:type="dxa"/>
            <w:noWrap/>
          </w:tcPr>
          <w:p w14:paraId="023FDF47" w14:textId="77777777" w:rsidR="00085E73" w:rsidRDefault="00085E73" w:rsidP="003475E2">
            <w:pPr>
              <w:pStyle w:val="TableText"/>
              <w:rPr>
                <w:szCs w:val="24"/>
                <w:lang w:eastAsia="ko-KR"/>
              </w:rPr>
            </w:pPr>
            <w:r>
              <w:t>16</w:t>
            </w:r>
          </w:p>
        </w:tc>
        <w:tc>
          <w:tcPr>
            <w:tcW w:w="864" w:type="dxa"/>
            <w:noWrap/>
          </w:tcPr>
          <w:p w14:paraId="67655DF0" w14:textId="77777777" w:rsidR="00085E73" w:rsidRDefault="00085E73" w:rsidP="003475E2">
            <w:pPr>
              <w:pStyle w:val="TableText"/>
            </w:pPr>
            <w:r>
              <w:t>2%</w:t>
            </w:r>
          </w:p>
        </w:tc>
      </w:tr>
      <w:tr w:rsidR="00085E73" w:rsidRPr="00B96179" w14:paraId="7C3E3592" w14:textId="77777777" w:rsidTr="00853B06">
        <w:tc>
          <w:tcPr>
            <w:tcW w:w="7056" w:type="dxa"/>
          </w:tcPr>
          <w:p w14:paraId="2602B9B2" w14:textId="77777777" w:rsidR="00085E73" w:rsidRPr="0093049F" w:rsidRDefault="00085E73" w:rsidP="003475E2">
            <w:pPr>
              <w:pStyle w:val="TableText"/>
              <w:jc w:val="left"/>
              <w:rPr>
                <w:lang w:eastAsia="ko-KR"/>
              </w:rPr>
            </w:pPr>
            <w:r>
              <w:t>Embedded Designated Support—Streamline</w:t>
            </w:r>
          </w:p>
        </w:tc>
        <w:tc>
          <w:tcPr>
            <w:tcW w:w="864" w:type="dxa"/>
            <w:noWrap/>
          </w:tcPr>
          <w:p w14:paraId="519AB92E" w14:textId="77777777" w:rsidR="00085E73" w:rsidRDefault="00085E73" w:rsidP="003475E2">
            <w:pPr>
              <w:pStyle w:val="TableText"/>
              <w:rPr>
                <w:szCs w:val="24"/>
                <w:lang w:eastAsia="ko-KR"/>
              </w:rPr>
            </w:pPr>
            <w:r>
              <w:t>12</w:t>
            </w:r>
          </w:p>
        </w:tc>
        <w:tc>
          <w:tcPr>
            <w:tcW w:w="864" w:type="dxa"/>
            <w:noWrap/>
          </w:tcPr>
          <w:p w14:paraId="37BEF98C" w14:textId="77777777" w:rsidR="00085E73" w:rsidRDefault="00085E73" w:rsidP="003475E2">
            <w:pPr>
              <w:pStyle w:val="TableText"/>
            </w:pPr>
            <w:r>
              <w:t>2%</w:t>
            </w:r>
          </w:p>
        </w:tc>
        <w:tc>
          <w:tcPr>
            <w:tcW w:w="864" w:type="dxa"/>
            <w:noWrap/>
          </w:tcPr>
          <w:p w14:paraId="34782F8D" w14:textId="77777777" w:rsidR="00085E73" w:rsidRDefault="00085E73" w:rsidP="003475E2">
            <w:pPr>
              <w:pStyle w:val="TableText"/>
              <w:rPr>
                <w:szCs w:val="24"/>
                <w:lang w:eastAsia="ko-KR"/>
              </w:rPr>
            </w:pPr>
            <w:r>
              <w:t>17</w:t>
            </w:r>
          </w:p>
        </w:tc>
        <w:tc>
          <w:tcPr>
            <w:tcW w:w="864" w:type="dxa"/>
            <w:noWrap/>
          </w:tcPr>
          <w:p w14:paraId="01C4F6D7" w14:textId="77777777" w:rsidR="00085E73" w:rsidRDefault="00085E73" w:rsidP="003475E2">
            <w:pPr>
              <w:pStyle w:val="TableText"/>
            </w:pPr>
            <w:r>
              <w:t>2%</w:t>
            </w:r>
          </w:p>
        </w:tc>
      </w:tr>
      <w:tr w:rsidR="00085E73" w:rsidRPr="00B96179" w14:paraId="77A4750A" w14:textId="77777777" w:rsidTr="00853B06">
        <w:tc>
          <w:tcPr>
            <w:tcW w:w="7056" w:type="dxa"/>
          </w:tcPr>
          <w:p w14:paraId="799A2D54" w14:textId="64A1FF0A" w:rsidR="00085E73" w:rsidRPr="0093049F" w:rsidRDefault="00085E73" w:rsidP="003475E2">
            <w:pPr>
              <w:pStyle w:val="TableText"/>
              <w:jc w:val="left"/>
              <w:rPr>
                <w:lang w:eastAsia="ko-KR"/>
              </w:rPr>
            </w:pPr>
            <w:r>
              <w:t xml:space="preserve">Embedded Designated Support—Turn </w:t>
            </w:r>
            <w:r w:rsidR="006766C8">
              <w:t>O</w:t>
            </w:r>
            <w:r>
              <w:t>ff</w:t>
            </w:r>
            <w:r w:rsidR="006766C8">
              <w:t xml:space="preserve"> Any</w:t>
            </w:r>
            <w:r>
              <w:t xml:space="preserve"> Universal Tools</w:t>
            </w:r>
          </w:p>
        </w:tc>
        <w:tc>
          <w:tcPr>
            <w:tcW w:w="864" w:type="dxa"/>
            <w:noWrap/>
          </w:tcPr>
          <w:p w14:paraId="2AC9FA0F" w14:textId="77777777" w:rsidR="00085E73" w:rsidRDefault="00085E73" w:rsidP="003475E2">
            <w:pPr>
              <w:pStyle w:val="TableText"/>
              <w:rPr>
                <w:szCs w:val="24"/>
                <w:lang w:eastAsia="ko-KR"/>
              </w:rPr>
            </w:pPr>
            <w:r>
              <w:t>0</w:t>
            </w:r>
          </w:p>
        </w:tc>
        <w:tc>
          <w:tcPr>
            <w:tcW w:w="864" w:type="dxa"/>
            <w:noWrap/>
          </w:tcPr>
          <w:p w14:paraId="218AE5BF" w14:textId="77777777" w:rsidR="00085E73" w:rsidRDefault="00085E73" w:rsidP="003475E2">
            <w:pPr>
              <w:pStyle w:val="TableText"/>
            </w:pPr>
            <w:r>
              <w:t>0</w:t>
            </w:r>
          </w:p>
        </w:tc>
        <w:tc>
          <w:tcPr>
            <w:tcW w:w="864" w:type="dxa"/>
            <w:noWrap/>
          </w:tcPr>
          <w:p w14:paraId="689C911F" w14:textId="77777777" w:rsidR="00085E73" w:rsidRDefault="00085E73" w:rsidP="003475E2">
            <w:pPr>
              <w:pStyle w:val="TableText"/>
              <w:rPr>
                <w:szCs w:val="24"/>
                <w:lang w:eastAsia="ko-KR"/>
              </w:rPr>
            </w:pPr>
            <w:r>
              <w:t>0</w:t>
            </w:r>
          </w:p>
        </w:tc>
        <w:tc>
          <w:tcPr>
            <w:tcW w:w="864" w:type="dxa"/>
            <w:noWrap/>
          </w:tcPr>
          <w:p w14:paraId="59785011" w14:textId="77777777" w:rsidR="00085E73" w:rsidRDefault="00085E73" w:rsidP="003475E2">
            <w:pPr>
              <w:pStyle w:val="TableText"/>
            </w:pPr>
            <w:r>
              <w:t>0</w:t>
            </w:r>
          </w:p>
        </w:tc>
      </w:tr>
      <w:tr w:rsidR="00085E73" w:rsidRPr="00B96179" w14:paraId="44B93433" w14:textId="77777777" w:rsidTr="003475E2">
        <w:tc>
          <w:tcPr>
            <w:tcW w:w="7056" w:type="dxa"/>
            <w:tcBorders>
              <w:top w:val="single" w:sz="4" w:space="0" w:color="auto"/>
              <w:bottom w:val="nil"/>
            </w:tcBorders>
          </w:tcPr>
          <w:p w14:paraId="7B2AEACE" w14:textId="77777777" w:rsidR="00085E73" w:rsidRPr="0093049F" w:rsidRDefault="00085E73" w:rsidP="00536FF8">
            <w:pPr>
              <w:pStyle w:val="TableText"/>
              <w:keepNext/>
              <w:jc w:val="left"/>
              <w:rPr>
                <w:lang w:eastAsia="ko-KR"/>
              </w:rPr>
            </w:pPr>
            <w:r>
              <w:lastRenderedPageBreak/>
              <w:t>Non-Embedded Designated Support—Amplification</w:t>
            </w:r>
          </w:p>
        </w:tc>
        <w:tc>
          <w:tcPr>
            <w:tcW w:w="864" w:type="dxa"/>
            <w:tcBorders>
              <w:top w:val="single" w:sz="4" w:space="0" w:color="auto"/>
              <w:bottom w:val="nil"/>
            </w:tcBorders>
            <w:noWrap/>
            <w:vAlign w:val="bottom"/>
          </w:tcPr>
          <w:p w14:paraId="387EC983" w14:textId="77777777" w:rsidR="00085E73" w:rsidRDefault="00085E73" w:rsidP="003475E2">
            <w:pPr>
              <w:pStyle w:val="TableText"/>
              <w:rPr>
                <w:szCs w:val="24"/>
                <w:lang w:eastAsia="ko-KR"/>
              </w:rPr>
            </w:pPr>
            <w:r>
              <w:t>3</w:t>
            </w:r>
          </w:p>
        </w:tc>
        <w:tc>
          <w:tcPr>
            <w:tcW w:w="864" w:type="dxa"/>
            <w:tcBorders>
              <w:top w:val="single" w:sz="4" w:space="0" w:color="auto"/>
              <w:bottom w:val="nil"/>
            </w:tcBorders>
            <w:noWrap/>
            <w:vAlign w:val="bottom"/>
          </w:tcPr>
          <w:p w14:paraId="730576FC" w14:textId="77777777" w:rsidR="00085E73" w:rsidRDefault="00085E73" w:rsidP="003475E2">
            <w:pPr>
              <w:pStyle w:val="TableText"/>
            </w:pPr>
            <w:r>
              <w:t>0%</w:t>
            </w:r>
          </w:p>
        </w:tc>
        <w:tc>
          <w:tcPr>
            <w:tcW w:w="864" w:type="dxa"/>
            <w:tcBorders>
              <w:top w:val="single" w:sz="4" w:space="0" w:color="auto"/>
              <w:bottom w:val="nil"/>
            </w:tcBorders>
            <w:noWrap/>
            <w:vAlign w:val="bottom"/>
          </w:tcPr>
          <w:p w14:paraId="33B29DEE" w14:textId="77777777" w:rsidR="00085E73" w:rsidRDefault="00085E73" w:rsidP="003475E2">
            <w:pPr>
              <w:pStyle w:val="TableText"/>
              <w:rPr>
                <w:szCs w:val="24"/>
                <w:lang w:eastAsia="ko-KR"/>
              </w:rPr>
            </w:pPr>
            <w:r>
              <w:t>2</w:t>
            </w:r>
          </w:p>
        </w:tc>
        <w:tc>
          <w:tcPr>
            <w:tcW w:w="864" w:type="dxa"/>
            <w:tcBorders>
              <w:top w:val="single" w:sz="4" w:space="0" w:color="auto"/>
              <w:bottom w:val="nil"/>
            </w:tcBorders>
            <w:noWrap/>
            <w:vAlign w:val="bottom"/>
          </w:tcPr>
          <w:p w14:paraId="66617B04" w14:textId="77777777" w:rsidR="00085E73" w:rsidRDefault="00085E73" w:rsidP="003475E2">
            <w:pPr>
              <w:pStyle w:val="TableText"/>
            </w:pPr>
            <w:r>
              <w:t>0%</w:t>
            </w:r>
          </w:p>
        </w:tc>
      </w:tr>
      <w:tr w:rsidR="00085E73" w:rsidRPr="00B96179" w14:paraId="39612060" w14:textId="77777777" w:rsidTr="003475E2">
        <w:tc>
          <w:tcPr>
            <w:tcW w:w="7056" w:type="dxa"/>
            <w:tcBorders>
              <w:top w:val="nil"/>
            </w:tcBorders>
          </w:tcPr>
          <w:p w14:paraId="10146A03" w14:textId="77777777" w:rsidR="00085E73" w:rsidRPr="00B96179" w:rsidRDefault="00085E73" w:rsidP="00536FF8">
            <w:pPr>
              <w:pStyle w:val="TableText"/>
              <w:keepNext/>
              <w:jc w:val="left"/>
              <w:rPr>
                <w:szCs w:val="20"/>
                <w:lang w:eastAsia="ko-KR"/>
              </w:rPr>
            </w:pPr>
            <w:r>
              <w:t>Non-Embedded Designated Support—Color Contrast</w:t>
            </w:r>
          </w:p>
        </w:tc>
        <w:tc>
          <w:tcPr>
            <w:tcW w:w="864" w:type="dxa"/>
            <w:tcBorders>
              <w:top w:val="nil"/>
            </w:tcBorders>
            <w:noWrap/>
            <w:vAlign w:val="bottom"/>
          </w:tcPr>
          <w:p w14:paraId="7A33B4A0" w14:textId="77777777" w:rsidR="00085E73" w:rsidRPr="007A3043" w:rsidRDefault="00085E73" w:rsidP="003475E2">
            <w:pPr>
              <w:pStyle w:val="TableText"/>
              <w:rPr>
                <w:szCs w:val="24"/>
                <w:lang w:eastAsia="ko-KR"/>
              </w:rPr>
            </w:pPr>
            <w:r>
              <w:t>1</w:t>
            </w:r>
          </w:p>
        </w:tc>
        <w:tc>
          <w:tcPr>
            <w:tcW w:w="864" w:type="dxa"/>
            <w:tcBorders>
              <w:top w:val="nil"/>
            </w:tcBorders>
            <w:noWrap/>
            <w:vAlign w:val="bottom"/>
          </w:tcPr>
          <w:p w14:paraId="2CA55F87" w14:textId="77777777" w:rsidR="00085E73" w:rsidRPr="007A3043" w:rsidRDefault="00085E73" w:rsidP="003475E2">
            <w:pPr>
              <w:pStyle w:val="TableText"/>
              <w:rPr>
                <w:szCs w:val="24"/>
                <w:lang w:eastAsia="ko-KR"/>
              </w:rPr>
            </w:pPr>
            <w:r>
              <w:t>0%</w:t>
            </w:r>
          </w:p>
        </w:tc>
        <w:tc>
          <w:tcPr>
            <w:tcW w:w="864" w:type="dxa"/>
            <w:tcBorders>
              <w:top w:val="nil"/>
            </w:tcBorders>
            <w:noWrap/>
            <w:vAlign w:val="bottom"/>
          </w:tcPr>
          <w:p w14:paraId="5F4E8C31" w14:textId="77777777" w:rsidR="00085E73" w:rsidRPr="007A3043" w:rsidRDefault="00085E73" w:rsidP="003475E2">
            <w:pPr>
              <w:pStyle w:val="TableText"/>
              <w:rPr>
                <w:szCs w:val="24"/>
                <w:lang w:eastAsia="ko-KR"/>
              </w:rPr>
            </w:pPr>
            <w:r>
              <w:t>6</w:t>
            </w:r>
          </w:p>
        </w:tc>
        <w:tc>
          <w:tcPr>
            <w:tcW w:w="864" w:type="dxa"/>
            <w:tcBorders>
              <w:top w:val="nil"/>
            </w:tcBorders>
            <w:noWrap/>
            <w:vAlign w:val="bottom"/>
          </w:tcPr>
          <w:p w14:paraId="63651EF2" w14:textId="77777777" w:rsidR="00085E73" w:rsidRPr="007A3043" w:rsidRDefault="00085E73" w:rsidP="003475E2">
            <w:pPr>
              <w:pStyle w:val="TableText"/>
              <w:rPr>
                <w:szCs w:val="24"/>
                <w:lang w:eastAsia="ko-KR"/>
              </w:rPr>
            </w:pPr>
            <w:r>
              <w:t>1%</w:t>
            </w:r>
          </w:p>
        </w:tc>
      </w:tr>
      <w:tr w:rsidR="00085E73" w:rsidRPr="00B96179" w14:paraId="0194F11A" w14:textId="77777777" w:rsidTr="003475E2">
        <w:tc>
          <w:tcPr>
            <w:tcW w:w="7056" w:type="dxa"/>
          </w:tcPr>
          <w:p w14:paraId="5E23E362" w14:textId="77777777" w:rsidR="00085E73" w:rsidRPr="00B96179" w:rsidRDefault="00085E73" w:rsidP="00536FF8">
            <w:pPr>
              <w:pStyle w:val="TableText"/>
              <w:keepNext/>
              <w:jc w:val="left"/>
              <w:rPr>
                <w:szCs w:val="20"/>
                <w:lang w:eastAsia="ko-KR"/>
              </w:rPr>
            </w:pPr>
            <w:r>
              <w:t>Non-Embedded Designated Support—Color Overlay</w:t>
            </w:r>
          </w:p>
        </w:tc>
        <w:tc>
          <w:tcPr>
            <w:tcW w:w="864" w:type="dxa"/>
            <w:noWrap/>
            <w:vAlign w:val="bottom"/>
          </w:tcPr>
          <w:p w14:paraId="21D6FEA5" w14:textId="77777777" w:rsidR="00085E73" w:rsidRPr="007A3043" w:rsidRDefault="00085E73" w:rsidP="003475E2">
            <w:pPr>
              <w:pStyle w:val="TableText"/>
              <w:rPr>
                <w:szCs w:val="24"/>
                <w:lang w:eastAsia="ko-KR"/>
              </w:rPr>
            </w:pPr>
            <w:r>
              <w:t>1</w:t>
            </w:r>
          </w:p>
        </w:tc>
        <w:tc>
          <w:tcPr>
            <w:tcW w:w="864" w:type="dxa"/>
            <w:noWrap/>
            <w:vAlign w:val="bottom"/>
          </w:tcPr>
          <w:p w14:paraId="4FF3C3D3" w14:textId="77777777" w:rsidR="00085E73" w:rsidRPr="007A3043" w:rsidRDefault="00085E73" w:rsidP="003475E2">
            <w:pPr>
              <w:pStyle w:val="TableText"/>
              <w:rPr>
                <w:szCs w:val="24"/>
                <w:lang w:eastAsia="ko-KR"/>
              </w:rPr>
            </w:pPr>
            <w:r>
              <w:t>0%</w:t>
            </w:r>
          </w:p>
        </w:tc>
        <w:tc>
          <w:tcPr>
            <w:tcW w:w="864" w:type="dxa"/>
            <w:noWrap/>
            <w:vAlign w:val="bottom"/>
          </w:tcPr>
          <w:p w14:paraId="55AC6538" w14:textId="77777777" w:rsidR="00085E73" w:rsidRPr="007A3043" w:rsidRDefault="00085E73" w:rsidP="003475E2">
            <w:pPr>
              <w:pStyle w:val="TableText"/>
              <w:rPr>
                <w:szCs w:val="24"/>
                <w:lang w:eastAsia="ko-KR"/>
              </w:rPr>
            </w:pPr>
            <w:r>
              <w:t>6</w:t>
            </w:r>
          </w:p>
        </w:tc>
        <w:tc>
          <w:tcPr>
            <w:tcW w:w="864" w:type="dxa"/>
            <w:noWrap/>
            <w:vAlign w:val="bottom"/>
          </w:tcPr>
          <w:p w14:paraId="51B400F1" w14:textId="77777777" w:rsidR="00085E73" w:rsidRPr="007A3043" w:rsidRDefault="00085E73" w:rsidP="003475E2">
            <w:pPr>
              <w:pStyle w:val="TableText"/>
              <w:rPr>
                <w:szCs w:val="24"/>
                <w:lang w:eastAsia="ko-KR"/>
              </w:rPr>
            </w:pPr>
            <w:r>
              <w:t>1%</w:t>
            </w:r>
          </w:p>
        </w:tc>
      </w:tr>
      <w:tr w:rsidR="00085E73" w:rsidRPr="00B96179" w14:paraId="29215310" w14:textId="77777777" w:rsidTr="003475E2">
        <w:tc>
          <w:tcPr>
            <w:tcW w:w="7056" w:type="dxa"/>
          </w:tcPr>
          <w:p w14:paraId="49F213DD" w14:textId="77777777" w:rsidR="00085E73" w:rsidRPr="0093049F" w:rsidRDefault="00085E73" w:rsidP="00536FF8">
            <w:pPr>
              <w:pStyle w:val="TableText"/>
              <w:keepNext/>
              <w:jc w:val="left"/>
              <w:rPr>
                <w:szCs w:val="20"/>
              </w:rPr>
            </w:pPr>
            <w:r>
              <w:t>Non-Embedded Designated Support—Magnification</w:t>
            </w:r>
          </w:p>
        </w:tc>
        <w:tc>
          <w:tcPr>
            <w:tcW w:w="864" w:type="dxa"/>
            <w:noWrap/>
            <w:vAlign w:val="bottom"/>
          </w:tcPr>
          <w:p w14:paraId="66F0DF93" w14:textId="77777777" w:rsidR="00085E73" w:rsidRPr="007A3043" w:rsidRDefault="00085E73" w:rsidP="003475E2">
            <w:pPr>
              <w:pStyle w:val="TableText"/>
              <w:rPr>
                <w:szCs w:val="24"/>
                <w:lang w:eastAsia="ko-KR"/>
              </w:rPr>
            </w:pPr>
            <w:r>
              <w:t>8</w:t>
            </w:r>
          </w:p>
        </w:tc>
        <w:tc>
          <w:tcPr>
            <w:tcW w:w="864" w:type="dxa"/>
            <w:noWrap/>
            <w:vAlign w:val="bottom"/>
          </w:tcPr>
          <w:p w14:paraId="41BDEAFC" w14:textId="77777777" w:rsidR="00085E73" w:rsidRPr="007A3043" w:rsidRDefault="00085E73" w:rsidP="003475E2">
            <w:pPr>
              <w:pStyle w:val="TableText"/>
              <w:rPr>
                <w:szCs w:val="24"/>
                <w:lang w:eastAsia="ko-KR"/>
              </w:rPr>
            </w:pPr>
            <w:r>
              <w:t>1%</w:t>
            </w:r>
          </w:p>
        </w:tc>
        <w:tc>
          <w:tcPr>
            <w:tcW w:w="864" w:type="dxa"/>
            <w:noWrap/>
            <w:vAlign w:val="bottom"/>
          </w:tcPr>
          <w:p w14:paraId="2DECA48F" w14:textId="77777777" w:rsidR="00085E73" w:rsidRPr="007A3043" w:rsidRDefault="00085E73" w:rsidP="003475E2">
            <w:pPr>
              <w:pStyle w:val="TableText"/>
              <w:rPr>
                <w:szCs w:val="24"/>
                <w:lang w:eastAsia="ko-KR"/>
              </w:rPr>
            </w:pPr>
            <w:r>
              <w:t>15</w:t>
            </w:r>
          </w:p>
        </w:tc>
        <w:tc>
          <w:tcPr>
            <w:tcW w:w="864" w:type="dxa"/>
            <w:noWrap/>
            <w:vAlign w:val="bottom"/>
          </w:tcPr>
          <w:p w14:paraId="6A71C1B6" w14:textId="77777777" w:rsidR="00085E73" w:rsidRPr="007A3043" w:rsidRDefault="00085E73" w:rsidP="003475E2">
            <w:pPr>
              <w:pStyle w:val="TableText"/>
              <w:rPr>
                <w:szCs w:val="24"/>
                <w:lang w:eastAsia="ko-KR"/>
              </w:rPr>
            </w:pPr>
            <w:r>
              <w:t>2%</w:t>
            </w:r>
          </w:p>
        </w:tc>
      </w:tr>
      <w:tr w:rsidR="00085E73" w:rsidRPr="00B96179" w14:paraId="713DF208" w14:textId="77777777" w:rsidTr="003475E2">
        <w:tc>
          <w:tcPr>
            <w:tcW w:w="7056" w:type="dxa"/>
          </w:tcPr>
          <w:p w14:paraId="7E7C4E85" w14:textId="77777777" w:rsidR="00085E73" w:rsidRPr="00B96179" w:rsidRDefault="00085E73" w:rsidP="00536FF8">
            <w:pPr>
              <w:pStyle w:val="TableText"/>
              <w:keepNext/>
              <w:jc w:val="left"/>
              <w:rPr>
                <w:szCs w:val="20"/>
                <w:lang w:eastAsia="ko-KR"/>
              </w:rPr>
            </w:pPr>
            <w:r>
              <w:t>Non-Embedded Designated Support—Medical Supports</w:t>
            </w:r>
          </w:p>
        </w:tc>
        <w:tc>
          <w:tcPr>
            <w:tcW w:w="864" w:type="dxa"/>
            <w:noWrap/>
            <w:vAlign w:val="bottom"/>
          </w:tcPr>
          <w:p w14:paraId="01DD4FFD" w14:textId="77777777" w:rsidR="00085E73" w:rsidRPr="007A3043" w:rsidRDefault="00085E73" w:rsidP="003475E2">
            <w:pPr>
              <w:pStyle w:val="TableText"/>
              <w:rPr>
                <w:szCs w:val="24"/>
                <w:lang w:eastAsia="ko-KR"/>
              </w:rPr>
            </w:pPr>
            <w:r>
              <w:t>1</w:t>
            </w:r>
          </w:p>
        </w:tc>
        <w:tc>
          <w:tcPr>
            <w:tcW w:w="864" w:type="dxa"/>
            <w:noWrap/>
            <w:vAlign w:val="bottom"/>
          </w:tcPr>
          <w:p w14:paraId="22524034" w14:textId="77777777" w:rsidR="00085E73" w:rsidRPr="007A3043" w:rsidRDefault="00085E73" w:rsidP="003475E2">
            <w:pPr>
              <w:pStyle w:val="TableText"/>
              <w:rPr>
                <w:szCs w:val="24"/>
                <w:lang w:eastAsia="ko-KR"/>
              </w:rPr>
            </w:pPr>
            <w:r>
              <w:t>0%</w:t>
            </w:r>
          </w:p>
        </w:tc>
        <w:tc>
          <w:tcPr>
            <w:tcW w:w="864" w:type="dxa"/>
            <w:noWrap/>
            <w:vAlign w:val="bottom"/>
          </w:tcPr>
          <w:p w14:paraId="4875D393" w14:textId="77777777" w:rsidR="00085E73" w:rsidRPr="007A3043" w:rsidRDefault="00085E73" w:rsidP="003475E2">
            <w:pPr>
              <w:pStyle w:val="TableText"/>
              <w:rPr>
                <w:szCs w:val="24"/>
                <w:lang w:eastAsia="ko-KR"/>
              </w:rPr>
            </w:pPr>
            <w:r>
              <w:t>0</w:t>
            </w:r>
          </w:p>
        </w:tc>
        <w:tc>
          <w:tcPr>
            <w:tcW w:w="864" w:type="dxa"/>
            <w:noWrap/>
            <w:vAlign w:val="bottom"/>
          </w:tcPr>
          <w:p w14:paraId="6B428039" w14:textId="77777777" w:rsidR="00085E73" w:rsidRPr="007A3043" w:rsidRDefault="00085E73" w:rsidP="003475E2">
            <w:pPr>
              <w:pStyle w:val="TableText"/>
              <w:rPr>
                <w:szCs w:val="24"/>
                <w:lang w:eastAsia="ko-KR"/>
              </w:rPr>
            </w:pPr>
            <w:r>
              <w:t>0%</w:t>
            </w:r>
          </w:p>
        </w:tc>
      </w:tr>
      <w:tr w:rsidR="00085E73" w:rsidRPr="00B96179" w14:paraId="2E36A033" w14:textId="77777777" w:rsidTr="003475E2">
        <w:tc>
          <w:tcPr>
            <w:tcW w:w="7056" w:type="dxa"/>
          </w:tcPr>
          <w:p w14:paraId="707B0953" w14:textId="77777777" w:rsidR="00085E73" w:rsidRPr="00946E91" w:rsidRDefault="00085E73" w:rsidP="00536FF8">
            <w:pPr>
              <w:pStyle w:val="TableText"/>
              <w:keepNext/>
              <w:jc w:val="left"/>
            </w:pPr>
            <w:r>
              <w:t>Non-Embedded Designated Support—Multiplication Table</w:t>
            </w:r>
          </w:p>
        </w:tc>
        <w:tc>
          <w:tcPr>
            <w:tcW w:w="864" w:type="dxa"/>
            <w:noWrap/>
            <w:vAlign w:val="bottom"/>
          </w:tcPr>
          <w:p w14:paraId="3B21AF10" w14:textId="77777777" w:rsidR="00085E73" w:rsidRPr="00946E91" w:rsidRDefault="00085E73" w:rsidP="003475E2">
            <w:pPr>
              <w:pStyle w:val="TableText"/>
            </w:pPr>
            <w:r>
              <w:t>24</w:t>
            </w:r>
          </w:p>
        </w:tc>
        <w:tc>
          <w:tcPr>
            <w:tcW w:w="864" w:type="dxa"/>
            <w:noWrap/>
            <w:vAlign w:val="bottom"/>
          </w:tcPr>
          <w:p w14:paraId="1645C0AC" w14:textId="77777777" w:rsidR="00085E73" w:rsidRPr="00946E91" w:rsidRDefault="00085E73" w:rsidP="003475E2">
            <w:pPr>
              <w:pStyle w:val="TableText"/>
            </w:pPr>
            <w:r>
              <w:t>3%</w:t>
            </w:r>
          </w:p>
        </w:tc>
        <w:tc>
          <w:tcPr>
            <w:tcW w:w="864" w:type="dxa"/>
            <w:noWrap/>
            <w:vAlign w:val="bottom"/>
          </w:tcPr>
          <w:p w14:paraId="0CFD4162" w14:textId="77777777" w:rsidR="00085E73" w:rsidRPr="00946E91" w:rsidRDefault="00085E73" w:rsidP="003475E2">
            <w:pPr>
              <w:pStyle w:val="TableText"/>
            </w:pPr>
            <w:r>
              <w:t>42</w:t>
            </w:r>
          </w:p>
        </w:tc>
        <w:tc>
          <w:tcPr>
            <w:tcW w:w="864" w:type="dxa"/>
            <w:noWrap/>
            <w:vAlign w:val="bottom"/>
          </w:tcPr>
          <w:p w14:paraId="6AC1F73C" w14:textId="77777777" w:rsidR="00085E73" w:rsidRPr="00946E91" w:rsidRDefault="00085E73" w:rsidP="003475E2">
            <w:pPr>
              <w:pStyle w:val="TableText"/>
            </w:pPr>
            <w:r>
              <w:t>5%</w:t>
            </w:r>
          </w:p>
        </w:tc>
      </w:tr>
      <w:tr w:rsidR="00085E73" w:rsidRPr="00B96179" w14:paraId="6348C352" w14:textId="77777777" w:rsidTr="003475E2">
        <w:tc>
          <w:tcPr>
            <w:tcW w:w="7056" w:type="dxa"/>
          </w:tcPr>
          <w:p w14:paraId="00AC917C" w14:textId="77777777" w:rsidR="00085E73" w:rsidRPr="00946E91" w:rsidRDefault="00085E73" w:rsidP="00536FF8">
            <w:pPr>
              <w:pStyle w:val="TableText"/>
              <w:keepNext/>
              <w:jc w:val="left"/>
            </w:pPr>
            <w:r>
              <w:t>Non-Embedded Designated Support—Noise Buffers</w:t>
            </w:r>
          </w:p>
        </w:tc>
        <w:tc>
          <w:tcPr>
            <w:tcW w:w="864" w:type="dxa"/>
            <w:noWrap/>
            <w:vAlign w:val="bottom"/>
          </w:tcPr>
          <w:p w14:paraId="7755E410" w14:textId="77777777" w:rsidR="00085E73" w:rsidRPr="00946E91" w:rsidRDefault="00085E73" w:rsidP="003475E2">
            <w:pPr>
              <w:pStyle w:val="TableText"/>
            </w:pPr>
            <w:r>
              <w:t>33</w:t>
            </w:r>
          </w:p>
        </w:tc>
        <w:tc>
          <w:tcPr>
            <w:tcW w:w="864" w:type="dxa"/>
            <w:noWrap/>
            <w:vAlign w:val="bottom"/>
          </w:tcPr>
          <w:p w14:paraId="351B257D" w14:textId="77777777" w:rsidR="00085E73" w:rsidRPr="00946E91" w:rsidRDefault="00085E73" w:rsidP="003475E2">
            <w:pPr>
              <w:pStyle w:val="TableText"/>
            </w:pPr>
            <w:r>
              <w:t>4%</w:t>
            </w:r>
          </w:p>
        </w:tc>
        <w:tc>
          <w:tcPr>
            <w:tcW w:w="864" w:type="dxa"/>
            <w:noWrap/>
            <w:vAlign w:val="bottom"/>
          </w:tcPr>
          <w:p w14:paraId="6D79EC2C" w14:textId="77777777" w:rsidR="00085E73" w:rsidRPr="00946E91" w:rsidRDefault="00085E73" w:rsidP="003475E2">
            <w:pPr>
              <w:pStyle w:val="TableText"/>
            </w:pPr>
            <w:r>
              <w:t>52</w:t>
            </w:r>
          </w:p>
        </w:tc>
        <w:tc>
          <w:tcPr>
            <w:tcW w:w="864" w:type="dxa"/>
            <w:noWrap/>
            <w:vAlign w:val="bottom"/>
          </w:tcPr>
          <w:p w14:paraId="796643ED" w14:textId="77777777" w:rsidR="00085E73" w:rsidRPr="00946E91" w:rsidRDefault="00085E73" w:rsidP="003475E2">
            <w:pPr>
              <w:pStyle w:val="TableText"/>
            </w:pPr>
            <w:r>
              <w:t>6%</w:t>
            </w:r>
          </w:p>
        </w:tc>
      </w:tr>
      <w:tr w:rsidR="00085E73" w:rsidRPr="00B96179" w14:paraId="502EB4A7" w14:textId="77777777" w:rsidTr="003475E2">
        <w:tc>
          <w:tcPr>
            <w:tcW w:w="7056" w:type="dxa"/>
          </w:tcPr>
          <w:p w14:paraId="797A141A" w14:textId="77777777" w:rsidR="00085E73" w:rsidRPr="00946E91" w:rsidRDefault="00085E73" w:rsidP="003475E2">
            <w:pPr>
              <w:pStyle w:val="TableText"/>
              <w:jc w:val="left"/>
            </w:pPr>
            <w:r>
              <w:t>Non-Embedded Designated Support—Read Aloud Items</w:t>
            </w:r>
          </w:p>
        </w:tc>
        <w:tc>
          <w:tcPr>
            <w:tcW w:w="864" w:type="dxa"/>
            <w:noWrap/>
            <w:vAlign w:val="bottom"/>
          </w:tcPr>
          <w:p w14:paraId="5B621830" w14:textId="77777777" w:rsidR="00085E73" w:rsidRPr="00946E91" w:rsidRDefault="00085E73" w:rsidP="003475E2">
            <w:pPr>
              <w:pStyle w:val="TableText"/>
            </w:pPr>
            <w:r>
              <w:t>113</w:t>
            </w:r>
          </w:p>
        </w:tc>
        <w:tc>
          <w:tcPr>
            <w:tcW w:w="864" w:type="dxa"/>
            <w:noWrap/>
            <w:vAlign w:val="bottom"/>
          </w:tcPr>
          <w:p w14:paraId="5D46D542" w14:textId="77777777" w:rsidR="00085E73" w:rsidRPr="00946E91" w:rsidRDefault="00085E73" w:rsidP="003475E2">
            <w:pPr>
              <w:pStyle w:val="TableText"/>
            </w:pPr>
            <w:r>
              <w:t>15%</w:t>
            </w:r>
          </w:p>
        </w:tc>
        <w:tc>
          <w:tcPr>
            <w:tcW w:w="864" w:type="dxa"/>
            <w:noWrap/>
            <w:vAlign w:val="bottom"/>
          </w:tcPr>
          <w:p w14:paraId="01702D6E" w14:textId="77777777" w:rsidR="00085E73" w:rsidRPr="00946E91" w:rsidRDefault="00085E73" w:rsidP="003475E2">
            <w:pPr>
              <w:pStyle w:val="TableText"/>
            </w:pPr>
            <w:r>
              <w:t>186</w:t>
            </w:r>
          </w:p>
        </w:tc>
        <w:tc>
          <w:tcPr>
            <w:tcW w:w="864" w:type="dxa"/>
            <w:noWrap/>
            <w:vAlign w:val="bottom"/>
          </w:tcPr>
          <w:p w14:paraId="478B9061" w14:textId="77777777" w:rsidR="00085E73" w:rsidRPr="00946E91" w:rsidRDefault="00085E73" w:rsidP="003475E2">
            <w:pPr>
              <w:pStyle w:val="TableText"/>
            </w:pPr>
            <w:r>
              <w:t>23%</w:t>
            </w:r>
          </w:p>
        </w:tc>
      </w:tr>
      <w:tr w:rsidR="00085E73" w:rsidRPr="00B96179" w14:paraId="49188521" w14:textId="77777777" w:rsidTr="003475E2">
        <w:tc>
          <w:tcPr>
            <w:tcW w:w="7056" w:type="dxa"/>
          </w:tcPr>
          <w:p w14:paraId="2AD540B0" w14:textId="77777777" w:rsidR="00085E73" w:rsidRPr="00946E91" w:rsidRDefault="00085E73" w:rsidP="003475E2">
            <w:pPr>
              <w:pStyle w:val="TableText"/>
              <w:jc w:val="left"/>
            </w:pPr>
            <w:r>
              <w:t>Non-Embedded Designated Support—Scribe Items</w:t>
            </w:r>
          </w:p>
        </w:tc>
        <w:tc>
          <w:tcPr>
            <w:tcW w:w="864" w:type="dxa"/>
            <w:noWrap/>
            <w:vAlign w:val="bottom"/>
          </w:tcPr>
          <w:p w14:paraId="521F677E" w14:textId="77777777" w:rsidR="00085E73" w:rsidRPr="00946E91" w:rsidRDefault="00085E73" w:rsidP="003475E2">
            <w:pPr>
              <w:pStyle w:val="TableText"/>
            </w:pPr>
            <w:r>
              <w:t>39</w:t>
            </w:r>
          </w:p>
        </w:tc>
        <w:tc>
          <w:tcPr>
            <w:tcW w:w="864" w:type="dxa"/>
            <w:noWrap/>
            <w:vAlign w:val="bottom"/>
          </w:tcPr>
          <w:p w14:paraId="19D23886" w14:textId="77777777" w:rsidR="00085E73" w:rsidRPr="00946E91" w:rsidRDefault="00085E73" w:rsidP="003475E2">
            <w:pPr>
              <w:pStyle w:val="TableText"/>
            </w:pPr>
            <w:r>
              <w:t>5%</w:t>
            </w:r>
          </w:p>
        </w:tc>
        <w:tc>
          <w:tcPr>
            <w:tcW w:w="864" w:type="dxa"/>
            <w:noWrap/>
            <w:vAlign w:val="bottom"/>
          </w:tcPr>
          <w:p w14:paraId="30CF27CD" w14:textId="77777777" w:rsidR="00085E73" w:rsidRPr="00946E91" w:rsidRDefault="00085E73" w:rsidP="003475E2">
            <w:pPr>
              <w:pStyle w:val="TableText"/>
            </w:pPr>
            <w:r>
              <w:t>88</w:t>
            </w:r>
          </w:p>
        </w:tc>
        <w:tc>
          <w:tcPr>
            <w:tcW w:w="864" w:type="dxa"/>
            <w:noWrap/>
            <w:vAlign w:val="bottom"/>
          </w:tcPr>
          <w:p w14:paraId="1636A304" w14:textId="77777777" w:rsidR="00085E73" w:rsidRPr="00946E91" w:rsidRDefault="00085E73" w:rsidP="003475E2">
            <w:pPr>
              <w:pStyle w:val="TableText"/>
            </w:pPr>
            <w:r>
              <w:t>11%</w:t>
            </w:r>
          </w:p>
        </w:tc>
      </w:tr>
      <w:tr w:rsidR="00085E73" w:rsidRPr="00B96179" w14:paraId="1E5B4CF6" w14:textId="77777777" w:rsidTr="003475E2">
        <w:tc>
          <w:tcPr>
            <w:tcW w:w="7056" w:type="dxa"/>
          </w:tcPr>
          <w:p w14:paraId="4CB81110" w14:textId="77777777" w:rsidR="00085E73" w:rsidRPr="00946E91" w:rsidRDefault="00085E73" w:rsidP="003475E2">
            <w:pPr>
              <w:pStyle w:val="TableText"/>
              <w:jc w:val="left"/>
            </w:pPr>
            <w:r>
              <w:t>Non-Embedded Designated Support—Separate Setting</w:t>
            </w:r>
          </w:p>
        </w:tc>
        <w:tc>
          <w:tcPr>
            <w:tcW w:w="864" w:type="dxa"/>
            <w:noWrap/>
            <w:vAlign w:val="bottom"/>
          </w:tcPr>
          <w:p w14:paraId="4C7376FE" w14:textId="77777777" w:rsidR="00085E73" w:rsidRPr="00946E91" w:rsidRDefault="00085E73" w:rsidP="003475E2">
            <w:pPr>
              <w:pStyle w:val="TableText"/>
            </w:pPr>
            <w:r>
              <w:t>131</w:t>
            </w:r>
          </w:p>
        </w:tc>
        <w:tc>
          <w:tcPr>
            <w:tcW w:w="864" w:type="dxa"/>
            <w:noWrap/>
            <w:vAlign w:val="bottom"/>
          </w:tcPr>
          <w:p w14:paraId="04A8C27F" w14:textId="77777777" w:rsidR="00085E73" w:rsidRPr="00946E91" w:rsidRDefault="00085E73" w:rsidP="003475E2">
            <w:pPr>
              <w:pStyle w:val="TableText"/>
            </w:pPr>
            <w:r>
              <w:t>18%</w:t>
            </w:r>
          </w:p>
        </w:tc>
        <w:tc>
          <w:tcPr>
            <w:tcW w:w="864" w:type="dxa"/>
            <w:noWrap/>
            <w:vAlign w:val="bottom"/>
          </w:tcPr>
          <w:p w14:paraId="593A3BE8" w14:textId="77777777" w:rsidR="00085E73" w:rsidRPr="00946E91" w:rsidRDefault="00085E73" w:rsidP="003475E2">
            <w:pPr>
              <w:pStyle w:val="TableText"/>
            </w:pPr>
            <w:r>
              <w:t>186</w:t>
            </w:r>
          </w:p>
        </w:tc>
        <w:tc>
          <w:tcPr>
            <w:tcW w:w="864" w:type="dxa"/>
            <w:noWrap/>
            <w:vAlign w:val="bottom"/>
          </w:tcPr>
          <w:p w14:paraId="2A190ED8" w14:textId="77777777" w:rsidR="00085E73" w:rsidRPr="00946E91" w:rsidRDefault="00085E73" w:rsidP="003475E2">
            <w:pPr>
              <w:pStyle w:val="TableText"/>
            </w:pPr>
            <w:r>
              <w:t>23%</w:t>
            </w:r>
          </w:p>
        </w:tc>
      </w:tr>
      <w:tr w:rsidR="00085E73" w:rsidRPr="00B96179" w14:paraId="4DF35B2E" w14:textId="77777777" w:rsidTr="003475E2">
        <w:tc>
          <w:tcPr>
            <w:tcW w:w="7056" w:type="dxa"/>
            <w:tcBorders>
              <w:bottom w:val="single" w:sz="4" w:space="0" w:color="auto"/>
            </w:tcBorders>
          </w:tcPr>
          <w:p w14:paraId="2FA440B3" w14:textId="77777777" w:rsidR="00085E73" w:rsidRPr="00946E91" w:rsidRDefault="00085E73" w:rsidP="003475E2">
            <w:pPr>
              <w:pStyle w:val="TableText"/>
              <w:jc w:val="left"/>
            </w:pPr>
            <w:r>
              <w:t>Non-Embedded Designated Support—100s Number Table</w:t>
            </w:r>
          </w:p>
        </w:tc>
        <w:tc>
          <w:tcPr>
            <w:tcW w:w="864" w:type="dxa"/>
            <w:tcBorders>
              <w:bottom w:val="single" w:sz="4" w:space="0" w:color="auto"/>
            </w:tcBorders>
            <w:noWrap/>
            <w:vAlign w:val="bottom"/>
          </w:tcPr>
          <w:p w14:paraId="4B52E9DE" w14:textId="77777777" w:rsidR="00085E73" w:rsidRPr="00946E91" w:rsidRDefault="00085E73" w:rsidP="003475E2">
            <w:pPr>
              <w:pStyle w:val="TableText"/>
            </w:pPr>
            <w:r>
              <w:t>28</w:t>
            </w:r>
          </w:p>
        </w:tc>
        <w:tc>
          <w:tcPr>
            <w:tcW w:w="864" w:type="dxa"/>
            <w:tcBorders>
              <w:bottom w:val="single" w:sz="4" w:space="0" w:color="auto"/>
            </w:tcBorders>
            <w:noWrap/>
            <w:vAlign w:val="bottom"/>
          </w:tcPr>
          <w:p w14:paraId="46E2D77E" w14:textId="77777777" w:rsidR="00085E73" w:rsidRPr="00946E91" w:rsidRDefault="00085E73" w:rsidP="003475E2">
            <w:pPr>
              <w:pStyle w:val="TableText"/>
            </w:pPr>
            <w:r>
              <w:t>4%</w:t>
            </w:r>
          </w:p>
        </w:tc>
        <w:tc>
          <w:tcPr>
            <w:tcW w:w="864" w:type="dxa"/>
            <w:tcBorders>
              <w:bottom w:val="single" w:sz="4" w:space="0" w:color="auto"/>
            </w:tcBorders>
            <w:noWrap/>
            <w:vAlign w:val="bottom"/>
          </w:tcPr>
          <w:p w14:paraId="0771E18E" w14:textId="77777777" w:rsidR="00085E73" w:rsidRPr="00946E91" w:rsidRDefault="00085E73" w:rsidP="003475E2">
            <w:pPr>
              <w:pStyle w:val="TableText"/>
            </w:pPr>
            <w:r>
              <w:t>41</w:t>
            </w:r>
          </w:p>
        </w:tc>
        <w:tc>
          <w:tcPr>
            <w:tcW w:w="864" w:type="dxa"/>
            <w:tcBorders>
              <w:bottom w:val="single" w:sz="4" w:space="0" w:color="auto"/>
            </w:tcBorders>
            <w:noWrap/>
            <w:vAlign w:val="bottom"/>
          </w:tcPr>
          <w:p w14:paraId="36E6C3D4" w14:textId="77777777" w:rsidR="00085E73" w:rsidRPr="00946E91" w:rsidRDefault="00085E73" w:rsidP="003475E2">
            <w:pPr>
              <w:pStyle w:val="TableText"/>
            </w:pPr>
            <w:r>
              <w:t>5%</w:t>
            </w:r>
          </w:p>
        </w:tc>
      </w:tr>
      <w:tr w:rsidR="00085E73" w:rsidRPr="00B96179" w14:paraId="2E4743A6" w14:textId="77777777" w:rsidTr="003475E2">
        <w:tc>
          <w:tcPr>
            <w:tcW w:w="7056" w:type="dxa"/>
            <w:tcBorders>
              <w:top w:val="single" w:sz="4" w:space="0" w:color="auto"/>
              <w:bottom w:val="single" w:sz="12" w:space="0" w:color="auto"/>
            </w:tcBorders>
          </w:tcPr>
          <w:p w14:paraId="0BFDD246" w14:textId="77777777" w:rsidR="00085E73" w:rsidRPr="00E31117" w:rsidRDefault="00085E73" w:rsidP="003475E2">
            <w:pPr>
              <w:pStyle w:val="TableText"/>
              <w:rPr>
                <w:b/>
                <w:bCs/>
              </w:rPr>
            </w:pPr>
            <w:r w:rsidRPr="00E31117">
              <w:rPr>
                <w:b/>
                <w:bCs/>
              </w:rPr>
              <w:t>Total Students Tested</w:t>
            </w:r>
          </w:p>
        </w:tc>
        <w:tc>
          <w:tcPr>
            <w:tcW w:w="864" w:type="dxa"/>
            <w:tcBorders>
              <w:top w:val="single" w:sz="4" w:space="0" w:color="auto"/>
              <w:bottom w:val="single" w:sz="12" w:space="0" w:color="auto"/>
            </w:tcBorders>
            <w:noWrap/>
            <w:vAlign w:val="bottom"/>
          </w:tcPr>
          <w:p w14:paraId="237883C0" w14:textId="77777777" w:rsidR="00085E73" w:rsidRDefault="00085E73" w:rsidP="003475E2">
            <w:pPr>
              <w:pStyle w:val="TableText"/>
            </w:pPr>
            <w:r>
              <w:rPr>
                <w:b/>
                <w:bCs/>
              </w:rPr>
              <w:t>737</w:t>
            </w:r>
          </w:p>
        </w:tc>
        <w:tc>
          <w:tcPr>
            <w:tcW w:w="864" w:type="dxa"/>
            <w:tcBorders>
              <w:top w:val="single" w:sz="4" w:space="0" w:color="auto"/>
              <w:bottom w:val="single" w:sz="12" w:space="0" w:color="auto"/>
            </w:tcBorders>
            <w:noWrap/>
            <w:vAlign w:val="bottom"/>
          </w:tcPr>
          <w:p w14:paraId="616318B1" w14:textId="77777777" w:rsidR="00085E73" w:rsidRDefault="00085E73" w:rsidP="003475E2">
            <w:pPr>
              <w:pStyle w:val="TableText"/>
            </w:pPr>
            <w:r w:rsidRPr="001E5994">
              <w:rPr>
                <w:b/>
                <w:bCs/>
              </w:rPr>
              <w:t>N/A</w:t>
            </w:r>
          </w:p>
        </w:tc>
        <w:tc>
          <w:tcPr>
            <w:tcW w:w="864" w:type="dxa"/>
            <w:tcBorders>
              <w:top w:val="single" w:sz="4" w:space="0" w:color="auto"/>
              <w:bottom w:val="single" w:sz="12" w:space="0" w:color="auto"/>
            </w:tcBorders>
            <w:noWrap/>
            <w:vAlign w:val="bottom"/>
          </w:tcPr>
          <w:p w14:paraId="31B72421" w14:textId="77777777" w:rsidR="00085E73" w:rsidRDefault="00085E73" w:rsidP="003475E2">
            <w:pPr>
              <w:pStyle w:val="TableText"/>
            </w:pPr>
            <w:r>
              <w:rPr>
                <w:b/>
                <w:bCs/>
              </w:rPr>
              <w:t>804</w:t>
            </w:r>
          </w:p>
        </w:tc>
        <w:tc>
          <w:tcPr>
            <w:tcW w:w="864" w:type="dxa"/>
            <w:tcBorders>
              <w:top w:val="single" w:sz="4" w:space="0" w:color="auto"/>
              <w:bottom w:val="single" w:sz="12" w:space="0" w:color="auto"/>
            </w:tcBorders>
            <w:noWrap/>
            <w:vAlign w:val="bottom"/>
          </w:tcPr>
          <w:p w14:paraId="59F1DA0E" w14:textId="77777777" w:rsidR="00085E73" w:rsidRDefault="00085E73" w:rsidP="003475E2">
            <w:pPr>
              <w:pStyle w:val="TableText"/>
            </w:pPr>
            <w:r w:rsidRPr="001E5994">
              <w:rPr>
                <w:b/>
                <w:bCs/>
              </w:rPr>
              <w:t>N/A</w:t>
            </w:r>
          </w:p>
        </w:tc>
      </w:tr>
    </w:tbl>
    <w:p w14:paraId="46335C95" w14:textId="74E32B7A" w:rsidR="00AD5AE6" w:rsidRDefault="00AD5AE6" w:rsidP="00AD5AE6">
      <w:pPr>
        <w:pageBreakBefore/>
      </w:pPr>
      <w:bookmarkStart w:id="201" w:name="_Ref67381580"/>
      <w:bookmarkStart w:id="202" w:name="_Toc67319684"/>
      <w:r w:rsidRPr="002B4A82">
        <w:rPr>
          <w:b/>
        </w:rPr>
        <w:lastRenderedPageBreak/>
        <w:t xml:space="preserve">Note: </w:t>
      </w:r>
      <w:r>
        <w:t>Some students are eligible for multiple accessibility resources. As a result, the number of students tested in each grade level may not equal the sum of the number of students eligible per accessibility resource across all accessibility resources.</w:t>
      </w:r>
    </w:p>
    <w:p w14:paraId="04F0BFEB" w14:textId="323C1661" w:rsidR="00085E73" w:rsidRDefault="00085E73" w:rsidP="00AD5AE6">
      <w:pPr>
        <w:pStyle w:val="Caption"/>
      </w:pPr>
      <w:bookmarkStart w:id="203" w:name="_Toc220498688"/>
      <w:r>
        <w:t>Table 2.A.</w:t>
      </w:r>
      <w:r>
        <w:fldChar w:fldCharType="begin"/>
      </w:r>
      <w:r>
        <w:instrText>SEQ Table_2.A. \* ARABIC</w:instrText>
      </w:r>
      <w:r>
        <w:fldChar w:fldCharType="separate"/>
      </w:r>
      <w:r w:rsidR="00961502">
        <w:rPr>
          <w:noProof/>
        </w:rPr>
        <w:t>2</w:t>
      </w:r>
      <w:r>
        <w:fldChar w:fldCharType="end"/>
      </w:r>
      <w:bookmarkEnd w:id="201"/>
      <w:r>
        <w:t xml:space="preserve">  Assignment of Designated Supports and Accommodations—Grades Five and</w:t>
      </w:r>
      <w:r w:rsidR="00A016ED">
        <w:t> </w:t>
      </w:r>
      <w:r>
        <w:t xml:space="preserve">Eight for </w:t>
      </w:r>
      <w:r>
        <w:rPr>
          <w:rFonts w:cs="Arial"/>
        </w:rPr>
        <w:t>Physical Sciences</w:t>
      </w:r>
      <w:bookmarkEnd w:id="202"/>
      <w:bookmarkEnd w:id="203"/>
    </w:p>
    <w:tbl>
      <w:tblPr>
        <w:tblStyle w:val="TRs"/>
        <w:tblW w:w="10512" w:type="dxa"/>
        <w:tblLayout w:type="fixed"/>
        <w:tblLook w:val="04A0" w:firstRow="1" w:lastRow="0" w:firstColumn="1" w:lastColumn="0" w:noHBand="0" w:noVBand="1"/>
        <w:tblDescription w:val="Assignment of Designated Supports and Accommodations—Grades Five and Eight for Physical Sciences"/>
      </w:tblPr>
      <w:tblGrid>
        <w:gridCol w:w="7056"/>
        <w:gridCol w:w="864"/>
        <w:gridCol w:w="864"/>
        <w:gridCol w:w="864"/>
        <w:gridCol w:w="864"/>
      </w:tblGrid>
      <w:tr w:rsidR="00085E73" w:rsidRPr="006A1E3E" w14:paraId="22F75A20" w14:textId="77777777" w:rsidTr="00110817">
        <w:trPr>
          <w:cnfStyle w:val="100000000000" w:firstRow="1" w:lastRow="0" w:firstColumn="0" w:lastColumn="0" w:oddVBand="0" w:evenVBand="0" w:oddHBand="0" w:evenHBand="0" w:firstRowFirstColumn="0" w:firstRowLastColumn="0" w:lastRowFirstColumn="0" w:lastRowLastColumn="0"/>
          <w:trHeight w:val="1872"/>
        </w:trPr>
        <w:tc>
          <w:tcPr>
            <w:tcW w:w="7056" w:type="dxa"/>
            <w:hideMark/>
          </w:tcPr>
          <w:p w14:paraId="22FF4F46" w14:textId="77777777" w:rsidR="00085E73" w:rsidRPr="006A1E3E" w:rsidRDefault="00085E73" w:rsidP="00110817">
            <w:pPr>
              <w:pStyle w:val="TableHead"/>
            </w:pPr>
            <w:r>
              <w:t>Accessibility Resource</w:t>
            </w:r>
          </w:p>
        </w:tc>
        <w:tc>
          <w:tcPr>
            <w:tcW w:w="864" w:type="dxa"/>
            <w:textDirection w:val="btLr"/>
            <w:vAlign w:val="center"/>
            <w:hideMark/>
          </w:tcPr>
          <w:p w14:paraId="3790ED0C" w14:textId="77777777" w:rsidR="00085E73" w:rsidRPr="006A1E3E" w:rsidRDefault="00085E73" w:rsidP="006E1E47">
            <w:pPr>
              <w:pStyle w:val="TableHead"/>
              <w:ind w:left="72" w:right="115"/>
              <w:jc w:val="left"/>
            </w:pPr>
            <w:r w:rsidRPr="006A1E3E">
              <w:t xml:space="preserve">Grade </w:t>
            </w:r>
            <w:r>
              <w:t xml:space="preserve">5: </w:t>
            </w:r>
            <w:r w:rsidRPr="006A1E3E">
              <w:t>N</w:t>
            </w:r>
          </w:p>
        </w:tc>
        <w:tc>
          <w:tcPr>
            <w:tcW w:w="864" w:type="dxa"/>
            <w:textDirection w:val="btLr"/>
            <w:vAlign w:val="center"/>
            <w:hideMark/>
          </w:tcPr>
          <w:p w14:paraId="4DE2BD2D" w14:textId="77777777" w:rsidR="00085E73" w:rsidRPr="006A1E3E" w:rsidRDefault="00085E73" w:rsidP="006E1E47">
            <w:pPr>
              <w:pStyle w:val="TableHead"/>
              <w:ind w:left="72" w:right="115"/>
              <w:jc w:val="left"/>
            </w:pPr>
            <w:r w:rsidRPr="006A1E3E">
              <w:t xml:space="preserve">Grade </w:t>
            </w:r>
            <w:r>
              <w:t>5: % of Total T</w:t>
            </w:r>
            <w:r w:rsidRPr="006A1E3E">
              <w:t>ested</w:t>
            </w:r>
          </w:p>
        </w:tc>
        <w:tc>
          <w:tcPr>
            <w:tcW w:w="864" w:type="dxa"/>
            <w:textDirection w:val="btLr"/>
            <w:vAlign w:val="center"/>
            <w:hideMark/>
          </w:tcPr>
          <w:p w14:paraId="0E803CB2" w14:textId="77777777" w:rsidR="00085E73" w:rsidRPr="006A1E3E" w:rsidRDefault="00085E73" w:rsidP="006E1E47">
            <w:pPr>
              <w:pStyle w:val="TableHead"/>
              <w:ind w:left="72" w:right="115"/>
              <w:jc w:val="left"/>
            </w:pPr>
            <w:r w:rsidRPr="006A1E3E">
              <w:t>Grade 8</w:t>
            </w:r>
            <w:r>
              <w:t xml:space="preserve">: </w:t>
            </w:r>
            <w:r w:rsidRPr="006A1E3E">
              <w:t>N</w:t>
            </w:r>
          </w:p>
        </w:tc>
        <w:tc>
          <w:tcPr>
            <w:tcW w:w="864" w:type="dxa"/>
            <w:textDirection w:val="btLr"/>
            <w:vAlign w:val="center"/>
            <w:hideMark/>
          </w:tcPr>
          <w:p w14:paraId="68A527DE" w14:textId="77777777" w:rsidR="00085E73" w:rsidRPr="006A1E3E" w:rsidRDefault="00085E73" w:rsidP="006E1E47">
            <w:pPr>
              <w:pStyle w:val="TableHead"/>
              <w:ind w:left="72" w:right="115"/>
              <w:jc w:val="left"/>
            </w:pPr>
            <w:r w:rsidRPr="006A1E3E">
              <w:t>Grade 8</w:t>
            </w:r>
            <w:r>
              <w:t>: % of Total T</w:t>
            </w:r>
            <w:r w:rsidRPr="006A1E3E">
              <w:t>ested</w:t>
            </w:r>
          </w:p>
        </w:tc>
      </w:tr>
      <w:tr w:rsidR="00085E73" w:rsidRPr="0003369F" w14:paraId="079E733F" w14:textId="77777777" w:rsidTr="00AE1B1F">
        <w:tc>
          <w:tcPr>
            <w:tcW w:w="7056" w:type="dxa"/>
            <w:tcBorders>
              <w:top w:val="single" w:sz="4" w:space="0" w:color="auto"/>
            </w:tcBorders>
          </w:tcPr>
          <w:p w14:paraId="06493560" w14:textId="32DEAC0D" w:rsidR="00085E73" w:rsidRPr="0003369F" w:rsidRDefault="00085E73" w:rsidP="003475E2">
            <w:pPr>
              <w:pStyle w:val="TableText"/>
              <w:jc w:val="left"/>
            </w:pPr>
            <w:r w:rsidRPr="0003369F">
              <w:t>Non-Embedded Accommodation—Abacus</w:t>
            </w:r>
          </w:p>
        </w:tc>
        <w:tc>
          <w:tcPr>
            <w:tcW w:w="864" w:type="dxa"/>
            <w:tcBorders>
              <w:top w:val="single" w:sz="4" w:space="0" w:color="auto"/>
            </w:tcBorders>
            <w:noWrap/>
            <w:vAlign w:val="bottom"/>
          </w:tcPr>
          <w:p w14:paraId="41915CBF" w14:textId="77777777" w:rsidR="00085E73" w:rsidRPr="0003369F" w:rsidRDefault="00085E73" w:rsidP="003475E2">
            <w:pPr>
              <w:pStyle w:val="TableText"/>
            </w:pPr>
            <w:r w:rsidRPr="0003369F">
              <w:t>3</w:t>
            </w:r>
          </w:p>
        </w:tc>
        <w:tc>
          <w:tcPr>
            <w:tcW w:w="864" w:type="dxa"/>
            <w:tcBorders>
              <w:top w:val="single" w:sz="4" w:space="0" w:color="auto"/>
            </w:tcBorders>
            <w:noWrap/>
            <w:vAlign w:val="bottom"/>
          </w:tcPr>
          <w:p w14:paraId="009FE00F" w14:textId="77777777" w:rsidR="00085E73" w:rsidRPr="0003369F" w:rsidRDefault="00085E73" w:rsidP="003475E2">
            <w:pPr>
              <w:pStyle w:val="TableText"/>
            </w:pPr>
            <w:r w:rsidRPr="0003369F">
              <w:t>0%</w:t>
            </w:r>
          </w:p>
        </w:tc>
        <w:tc>
          <w:tcPr>
            <w:tcW w:w="864" w:type="dxa"/>
            <w:tcBorders>
              <w:top w:val="single" w:sz="4" w:space="0" w:color="auto"/>
            </w:tcBorders>
            <w:noWrap/>
            <w:vAlign w:val="bottom"/>
          </w:tcPr>
          <w:p w14:paraId="10635CAB" w14:textId="77777777" w:rsidR="00085E73" w:rsidRPr="0003369F" w:rsidRDefault="00085E73" w:rsidP="003475E2">
            <w:pPr>
              <w:pStyle w:val="TableText"/>
            </w:pPr>
            <w:r w:rsidRPr="0003369F">
              <w:t>6</w:t>
            </w:r>
          </w:p>
        </w:tc>
        <w:tc>
          <w:tcPr>
            <w:tcW w:w="864" w:type="dxa"/>
            <w:tcBorders>
              <w:top w:val="single" w:sz="4" w:space="0" w:color="auto"/>
            </w:tcBorders>
            <w:noWrap/>
            <w:vAlign w:val="bottom"/>
          </w:tcPr>
          <w:p w14:paraId="4EE6CEF5" w14:textId="77777777" w:rsidR="00085E73" w:rsidRPr="0003369F" w:rsidRDefault="00085E73" w:rsidP="003475E2">
            <w:pPr>
              <w:pStyle w:val="TableText"/>
            </w:pPr>
            <w:r w:rsidRPr="0003369F">
              <w:t>1%</w:t>
            </w:r>
          </w:p>
        </w:tc>
      </w:tr>
      <w:tr w:rsidR="00085E73" w:rsidRPr="0003369F" w14:paraId="63E7BA91" w14:textId="77777777" w:rsidTr="003475E2">
        <w:tc>
          <w:tcPr>
            <w:tcW w:w="7056" w:type="dxa"/>
          </w:tcPr>
          <w:p w14:paraId="64B7F8C6" w14:textId="4BC4205B" w:rsidR="00085E73" w:rsidRPr="0003369F" w:rsidRDefault="00085E73" w:rsidP="003475E2">
            <w:pPr>
              <w:pStyle w:val="TableText"/>
              <w:jc w:val="left"/>
            </w:pPr>
            <w:r w:rsidRPr="0003369F">
              <w:t>Non-Embedded Accommodation—Additional Instructional Supports for Alternate Assessments</w:t>
            </w:r>
          </w:p>
        </w:tc>
        <w:tc>
          <w:tcPr>
            <w:tcW w:w="864" w:type="dxa"/>
            <w:noWrap/>
            <w:vAlign w:val="bottom"/>
          </w:tcPr>
          <w:p w14:paraId="00CFA950" w14:textId="77777777" w:rsidR="00085E73" w:rsidRPr="0003369F" w:rsidRDefault="00085E73" w:rsidP="003475E2">
            <w:pPr>
              <w:pStyle w:val="TableText"/>
            </w:pPr>
            <w:r w:rsidRPr="0003369F">
              <w:t>41</w:t>
            </w:r>
          </w:p>
        </w:tc>
        <w:tc>
          <w:tcPr>
            <w:tcW w:w="864" w:type="dxa"/>
            <w:noWrap/>
            <w:vAlign w:val="bottom"/>
          </w:tcPr>
          <w:p w14:paraId="399F0C53" w14:textId="77777777" w:rsidR="00085E73" w:rsidRPr="0003369F" w:rsidRDefault="00085E73" w:rsidP="003475E2">
            <w:pPr>
              <w:pStyle w:val="TableText"/>
            </w:pPr>
            <w:r w:rsidRPr="0003369F">
              <w:t>6%</w:t>
            </w:r>
          </w:p>
        </w:tc>
        <w:tc>
          <w:tcPr>
            <w:tcW w:w="864" w:type="dxa"/>
            <w:noWrap/>
            <w:vAlign w:val="bottom"/>
          </w:tcPr>
          <w:p w14:paraId="25A890B7" w14:textId="77777777" w:rsidR="00085E73" w:rsidRPr="0003369F" w:rsidRDefault="00085E73" w:rsidP="003475E2">
            <w:pPr>
              <w:pStyle w:val="TableText"/>
            </w:pPr>
            <w:r w:rsidRPr="0003369F">
              <w:t>43</w:t>
            </w:r>
          </w:p>
        </w:tc>
        <w:tc>
          <w:tcPr>
            <w:tcW w:w="864" w:type="dxa"/>
            <w:noWrap/>
            <w:vAlign w:val="bottom"/>
          </w:tcPr>
          <w:p w14:paraId="4EC48323" w14:textId="77777777" w:rsidR="00085E73" w:rsidRPr="0003369F" w:rsidRDefault="00085E73" w:rsidP="003475E2">
            <w:pPr>
              <w:pStyle w:val="TableText"/>
            </w:pPr>
            <w:r w:rsidRPr="0003369F">
              <w:t>5%</w:t>
            </w:r>
          </w:p>
        </w:tc>
      </w:tr>
      <w:tr w:rsidR="00085E73" w:rsidRPr="0003369F" w14:paraId="35C6E3D2" w14:textId="77777777" w:rsidTr="003475E2">
        <w:tc>
          <w:tcPr>
            <w:tcW w:w="7056" w:type="dxa"/>
          </w:tcPr>
          <w:p w14:paraId="4BED393F" w14:textId="0A3AD575" w:rsidR="00085E73" w:rsidRPr="0003369F" w:rsidRDefault="00085E73" w:rsidP="003475E2">
            <w:pPr>
              <w:pStyle w:val="TableText"/>
              <w:jc w:val="left"/>
            </w:pPr>
            <w:r w:rsidRPr="0003369F">
              <w:t>Non-Embedded Accommodation—Alternate Response Options</w:t>
            </w:r>
          </w:p>
        </w:tc>
        <w:tc>
          <w:tcPr>
            <w:tcW w:w="864" w:type="dxa"/>
            <w:noWrap/>
            <w:vAlign w:val="bottom"/>
          </w:tcPr>
          <w:p w14:paraId="66BA074B" w14:textId="77777777" w:rsidR="00085E73" w:rsidRPr="0003369F" w:rsidRDefault="00085E73" w:rsidP="003475E2">
            <w:pPr>
              <w:pStyle w:val="TableText"/>
            </w:pPr>
            <w:r w:rsidRPr="0003369F">
              <w:t>25</w:t>
            </w:r>
          </w:p>
        </w:tc>
        <w:tc>
          <w:tcPr>
            <w:tcW w:w="864" w:type="dxa"/>
            <w:noWrap/>
            <w:vAlign w:val="bottom"/>
          </w:tcPr>
          <w:p w14:paraId="09B6A72F" w14:textId="77777777" w:rsidR="00085E73" w:rsidRPr="0003369F" w:rsidRDefault="00085E73" w:rsidP="003475E2">
            <w:pPr>
              <w:pStyle w:val="TableText"/>
            </w:pPr>
            <w:r w:rsidRPr="0003369F">
              <w:t>3%</w:t>
            </w:r>
          </w:p>
        </w:tc>
        <w:tc>
          <w:tcPr>
            <w:tcW w:w="864" w:type="dxa"/>
            <w:noWrap/>
            <w:vAlign w:val="bottom"/>
          </w:tcPr>
          <w:p w14:paraId="3F386EDF" w14:textId="77777777" w:rsidR="00085E73" w:rsidRPr="0003369F" w:rsidRDefault="00085E73" w:rsidP="003475E2">
            <w:pPr>
              <w:pStyle w:val="TableText"/>
            </w:pPr>
            <w:r w:rsidRPr="0003369F">
              <w:t>60</w:t>
            </w:r>
          </w:p>
        </w:tc>
        <w:tc>
          <w:tcPr>
            <w:tcW w:w="864" w:type="dxa"/>
            <w:noWrap/>
            <w:vAlign w:val="bottom"/>
          </w:tcPr>
          <w:p w14:paraId="73022EB6" w14:textId="77777777" w:rsidR="00085E73" w:rsidRPr="0003369F" w:rsidRDefault="00085E73" w:rsidP="003475E2">
            <w:pPr>
              <w:pStyle w:val="TableText"/>
            </w:pPr>
            <w:r w:rsidRPr="0003369F">
              <w:t>7%</w:t>
            </w:r>
          </w:p>
        </w:tc>
      </w:tr>
      <w:tr w:rsidR="00085E73" w:rsidRPr="0003369F" w14:paraId="3EA62383" w14:textId="77777777" w:rsidTr="003475E2">
        <w:tc>
          <w:tcPr>
            <w:tcW w:w="7056" w:type="dxa"/>
          </w:tcPr>
          <w:p w14:paraId="2A1EB1C1" w14:textId="72F5DDD7" w:rsidR="00085E73" w:rsidRPr="0003369F" w:rsidRDefault="00085E73" w:rsidP="003475E2">
            <w:pPr>
              <w:pStyle w:val="TableText"/>
              <w:jc w:val="left"/>
            </w:pPr>
            <w:r w:rsidRPr="0003369F">
              <w:t>Non-Embedded Accommodation—Print on Demand</w:t>
            </w:r>
          </w:p>
        </w:tc>
        <w:tc>
          <w:tcPr>
            <w:tcW w:w="864" w:type="dxa"/>
            <w:noWrap/>
            <w:vAlign w:val="bottom"/>
          </w:tcPr>
          <w:p w14:paraId="7695F102" w14:textId="77777777" w:rsidR="00085E73" w:rsidRPr="0003369F" w:rsidRDefault="00085E73" w:rsidP="003475E2">
            <w:pPr>
              <w:pStyle w:val="TableText"/>
            </w:pPr>
            <w:r w:rsidRPr="0003369F">
              <w:t>2</w:t>
            </w:r>
          </w:p>
        </w:tc>
        <w:tc>
          <w:tcPr>
            <w:tcW w:w="864" w:type="dxa"/>
            <w:noWrap/>
            <w:vAlign w:val="bottom"/>
          </w:tcPr>
          <w:p w14:paraId="714BC6E5" w14:textId="77777777" w:rsidR="00085E73" w:rsidRPr="0003369F" w:rsidRDefault="00085E73" w:rsidP="003475E2">
            <w:pPr>
              <w:pStyle w:val="TableText"/>
            </w:pPr>
            <w:r w:rsidRPr="0003369F">
              <w:t>0%</w:t>
            </w:r>
          </w:p>
        </w:tc>
        <w:tc>
          <w:tcPr>
            <w:tcW w:w="864" w:type="dxa"/>
            <w:noWrap/>
            <w:vAlign w:val="bottom"/>
          </w:tcPr>
          <w:p w14:paraId="031A320F" w14:textId="77777777" w:rsidR="00085E73" w:rsidRPr="0003369F" w:rsidRDefault="00085E73" w:rsidP="003475E2">
            <w:pPr>
              <w:pStyle w:val="TableText"/>
            </w:pPr>
            <w:r w:rsidRPr="0003369F">
              <w:t>8</w:t>
            </w:r>
          </w:p>
        </w:tc>
        <w:tc>
          <w:tcPr>
            <w:tcW w:w="864" w:type="dxa"/>
            <w:noWrap/>
            <w:vAlign w:val="bottom"/>
          </w:tcPr>
          <w:p w14:paraId="1EFF2E76" w14:textId="77777777" w:rsidR="00085E73" w:rsidRPr="0003369F" w:rsidRDefault="00085E73" w:rsidP="003475E2">
            <w:pPr>
              <w:pStyle w:val="TableText"/>
            </w:pPr>
            <w:r w:rsidRPr="0003369F">
              <w:t>1%</w:t>
            </w:r>
          </w:p>
        </w:tc>
      </w:tr>
      <w:tr w:rsidR="00085E73" w:rsidRPr="0003369F" w14:paraId="7940FC21" w14:textId="77777777" w:rsidTr="003475E2">
        <w:tc>
          <w:tcPr>
            <w:tcW w:w="7056" w:type="dxa"/>
            <w:tcBorders>
              <w:bottom w:val="nil"/>
            </w:tcBorders>
          </w:tcPr>
          <w:p w14:paraId="06AD1D61" w14:textId="7D1579D0" w:rsidR="00085E73" w:rsidRPr="0003369F" w:rsidRDefault="00085E73" w:rsidP="003475E2">
            <w:pPr>
              <w:pStyle w:val="TableText"/>
              <w:jc w:val="left"/>
            </w:pPr>
            <w:r w:rsidRPr="0003369F">
              <w:t>Non-Embedded Accommodation—Unlisted Resources</w:t>
            </w:r>
          </w:p>
        </w:tc>
        <w:tc>
          <w:tcPr>
            <w:tcW w:w="864" w:type="dxa"/>
            <w:tcBorders>
              <w:bottom w:val="nil"/>
            </w:tcBorders>
            <w:noWrap/>
            <w:vAlign w:val="bottom"/>
          </w:tcPr>
          <w:p w14:paraId="3A4CBBF9" w14:textId="77777777" w:rsidR="00085E73" w:rsidRPr="0003369F" w:rsidRDefault="00085E73" w:rsidP="003475E2">
            <w:pPr>
              <w:pStyle w:val="TableText"/>
            </w:pPr>
            <w:r w:rsidRPr="0003369F">
              <w:t>0</w:t>
            </w:r>
          </w:p>
        </w:tc>
        <w:tc>
          <w:tcPr>
            <w:tcW w:w="864" w:type="dxa"/>
            <w:tcBorders>
              <w:bottom w:val="nil"/>
            </w:tcBorders>
            <w:noWrap/>
            <w:vAlign w:val="bottom"/>
          </w:tcPr>
          <w:p w14:paraId="2CD41FF7" w14:textId="77777777" w:rsidR="00085E73" w:rsidRPr="0003369F" w:rsidRDefault="00085E73" w:rsidP="003475E2">
            <w:pPr>
              <w:pStyle w:val="TableText"/>
            </w:pPr>
            <w:r w:rsidRPr="0003369F">
              <w:t>0%</w:t>
            </w:r>
          </w:p>
        </w:tc>
        <w:tc>
          <w:tcPr>
            <w:tcW w:w="864" w:type="dxa"/>
            <w:tcBorders>
              <w:bottom w:val="nil"/>
            </w:tcBorders>
            <w:noWrap/>
            <w:vAlign w:val="bottom"/>
          </w:tcPr>
          <w:p w14:paraId="60DB1EC5" w14:textId="77777777" w:rsidR="00085E73" w:rsidRPr="0003369F" w:rsidRDefault="00085E73" w:rsidP="003475E2">
            <w:pPr>
              <w:pStyle w:val="TableText"/>
            </w:pPr>
            <w:r w:rsidRPr="0003369F">
              <w:t>0</w:t>
            </w:r>
          </w:p>
        </w:tc>
        <w:tc>
          <w:tcPr>
            <w:tcW w:w="864" w:type="dxa"/>
            <w:tcBorders>
              <w:bottom w:val="nil"/>
            </w:tcBorders>
            <w:noWrap/>
            <w:vAlign w:val="bottom"/>
          </w:tcPr>
          <w:p w14:paraId="513855D0" w14:textId="77777777" w:rsidR="00085E73" w:rsidRPr="0003369F" w:rsidRDefault="00085E73" w:rsidP="003475E2">
            <w:pPr>
              <w:pStyle w:val="TableText"/>
            </w:pPr>
            <w:r w:rsidRPr="0003369F">
              <w:t>0%</w:t>
            </w:r>
          </w:p>
        </w:tc>
      </w:tr>
      <w:tr w:rsidR="00085E73" w:rsidRPr="0003369F" w14:paraId="7361E518" w14:textId="77777777" w:rsidTr="003475E2">
        <w:tc>
          <w:tcPr>
            <w:tcW w:w="7056" w:type="dxa"/>
            <w:tcBorders>
              <w:top w:val="nil"/>
              <w:bottom w:val="single" w:sz="4" w:space="0" w:color="auto"/>
            </w:tcBorders>
          </w:tcPr>
          <w:p w14:paraId="4D156996" w14:textId="5E79E83D" w:rsidR="00085E73" w:rsidRPr="0003369F" w:rsidRDefault="00085E73" w:rsidP="003475E2">
            <w:pPr>
              <w:pStyle w:val="TableText"/>
              <w:jc w:val="left"/>
            </w:pPr>
            <w:r w:rsidRPr="0003369F">
              <w:t>Non-Embedded Accommodation—Word Prediction</w:t>
            </w:r>
          </w:p>
        </w:tc>
        <w:tc>
          <w:tcPr>
            <w:tcW w:w="864" w:type="dxa"/>
            <w:tcBorders>
              <w:top w:val="nil"/>
              <w:bottom w:val="single" w:sz="4" w:space="0" w:color="auto"/>
            </w:tcBorders>
            <w:noWrap/>
            <w:vAlign w:val="bottom"/>
          </w:tcPr>
          <w:p w14:paraId="49807309" w14:textId="77777777" w:rsidR="00085E73" w:rsidRPr="0003369F" w:rsidRDefault="00085E73" w:rsidP="003475E2">
            <w:pPr>
              <w:pStyle w:val="TableText"/>
            </w:pPr>
            <w:r w:rsidRPr="0003369F">
              <w:t>2</w:t>
            </w:r>
          </w:p>
        </w:tc>
        <w:tc>
          <w:tcPr>
            <w:tcW w:w="864" w:type="dxa"/>
            <w:tcBorders>
              <w:top w:val="nil"/>
              <w:bottom w:val="single" w:sz="4" w:space="0" w:color="auto"/>
            </w:tcBorders>
            <w:noWrap/>
            <w:vAlign w:val="bottom"/>
          </w:tcPr>
          <w:p w14:paraId="5FCA0E6A" w14:textId="77777777" w:rsidR="00085E73" w:rsidRPr="0003369F" w:rsidRDefault="00085E73" w:rsidP="003475E2">
            <w:pPr>
              <w:pStyle w:val="TableText"/>
            </w:pPr>
            <w:r w:rsidRPr="0003369F">
              <w:t>0%</w:t>
            </w:r>
          </w:p>
        </w:tc>
        <w:tc>
          <w:tcPr>
            <w:tcW w:w="864" w:type="dxa"/>
            <w:tcBorders>
              <w:top w:val="nil"/>
              <w:bottom w:val="single" w:sz="4" w:space="0" w:color="auto"/>
            </w:tcBorders>
            <w:noWrap/>
            <w:vAlign w:val="bottom"/>
          </w:tcPr>
          <w:p w14:paraId="6597D2CB" w14:textId="77777777" w:rsidR="00085E73" w:rsidRPr="0003369F" w:rsidRDefault="00085E73" w:rsidP="003475E2">
            <w:pPr>
              <w:pStyle w:val="TableText"/>
            </w:pPr>
            <w:r w:rsidRPr="0003369F">
              <w:t>15</w:t>
            </w:r>
          </w:p>
        </w:tc>
        <w:tc>
          <w:tcPr>
            <w:tcW w:w="864" w:type="dxa"/>
            <w:tcBorders>
              <w:top w:val="nil"/>
              <w:bottom w:val="single" w:sz="4" w:space="0" w:color="auto"/>
            </w:tcBorders>
            <w:noWrap/>
            <w:vAlign w:val="bottom"/>
          </w:tcPr>
          <w:p w14:paraId="0C7EB13B" w14:textId="77777777" w:rsidR="00085E73" w:rsidRPr="0003369F" w:rsidRDefault="00085E73" w:rsidP="003475E2">
            <w:pPr>
              <w:pStyle w:val="TableText"/>
            </w:pPr>
            <w:r w:rsidRPr="0003369F">
              <w:t>2%</w:t>
            </w:r>
          </w:p>
        </w:tc>
      </w:tr>
      <w:tr w:rsidR="00085E73" w:rsidRPr="0003369F" w14:paraId="736137EB" w14:textId="77777777" w:rsidTr="003475E2">
        <w:tc>
          <w:tcPr>
            <w:tcW w:w="7056" w:type="dxa"/>
            <w:tcBorders>
              <w:top w:val="single" w:sz="4" w:space="0" w:color="auto"/>
            </w:tcBorders>
          </w:tcPr>
          <w:p w14:paraId="0D9EC08F" w14:textId="650026F1" w:rsidR="00085E73" w:rsidRPr="0003369F" w:rsidRDefault="00085E73" w:rsidP="003475E2">
            <w:pPr>
              <w:pStyle w:val="TableText"/>
              <w:jc w:val="left"/>
            </w:pPr>
            <w:r w:rsidRPr="0003369F">
              <w:t>Embedded Designated Support—Color Contrast</w:t>
            </w:r>
          </w:p>
        </w:tc>
        <w:tc>
          <w:tcPr>
            <w:tcW w:w="864" w:type="dxa"/>
            <w:tcBorders>
              <w:top w:val="single" w:sz="4" w:space="0" w:color="auto"/>
            </w:tcBorders>
            <w:noWrap/>
            <w:vAlign w:val="bottom"/>
          </w:tcPr>
          <w:p w14:paraId="1E4DE4B9" w14:textId="77777777" w:rsidR="00085E73" w:rsidRPr="0003369F" w:rsidRDefault="00085E73" w:rsidP="003475E2">
            <w:pPr>
              <w:pStyle w:val="TableText"/>
            </w:pPr>
            <w:r w:rsidRPr="0003369F">
              <w:t>2</w:t>
            </w:r>
          </w:p>
        </w:tc>
        <w:tc>
          <w:tcPr>
            <w:tcW w:w="864" w:type="dxa"/>
            <w:tcBorders>
              <w:top w:val="single" w:sz="4" w:space="0" w:color="auto"/>
            </w:tcBorders>
            <w:noWrap/>
            <w:vAlign w:val="bottom"/>
          </w:tcPr>
          <w:p w14:paraId="2D4C5E95" w14:textId="77777777" w:rsidR="00085E73" w:rsidRPr="0003369F" w:rsidRDefault="00085E73" w:rsidP="003475E2">
            <w:pPr>
              <w:pStyle w:val="TableText"/>
            </w:pPr>
            <w:r w:rsidRPr="0003369F">
              <w:t>0%</w:t>
            </w:r>
          </w:p>
        </w:tc>
        <w:tc>
          <w:tcPr>
            <w:tcW w:w="864" w:type="dxa"/>
            <w:tcBorders>
              <w:top w:val="single" w:sz="4" w:space="0" w:color="auto"/>
            </w:tcBorders>
            <w:noWrap/>
            <w:vAlign w:val="bottom"/>
          </w:tcPr>
          <w:p w14:paraId="65D537A5" w14:textId="77777777" w:rsidR="00085E73" w:rsidRPr="0003369F" w:rsidRDefault="00085E73" w:rsidP="003475E2">
            <w:pPr>
              <w:pStyle w:val="TableText"/>
            </w:pPr>
            <w:r w:rsidRPr="0003369F">
              <w:t>2</w:t>
            </w:r>
          </w:p>
        </w:tc>
        <w:tc>
          <w:tcPr>
            <w:tcW w:w="864" w:type="dxa"/>
            <w:tcBorders>
              <w:top w:val="single" w:sz="4" w:space="0" w:color="auto"/>
            </w:tcBorders>
            <w:noWrap/>
            <w:vAlign w:val="bottom"/>
          </w:tcPr>
          <w:p w14:paraId="3FC493A7" w14:textId="77777777" w:rsidR="00085E73" w:rsidRPr="0003369F" w:rsidRDefault="00085E73" w:rsidP="003475E2">
            <w:pPr>
              <w:pStyle w:val="TableText"/>
            </w:pPr>
            <w:r w:rsidRPr="0003369F">
              <w:t>0%</w:t>
            </w:r>
          </w:p>
        </w:tc>
      </w:tr>
      <w:tr w:rsidR="00085E73" w:rsidRPr="0003369F" w14:paraId="48AE427F" w14:textId="77777777" w:rsidTr="003475E2">
        <w:tc>
          <w:tcPr>
            <w:tcW w:w="7056" w:type="dxa"/>
          </w:tcPr>
          <w:p w14:paraId="73AB32CC" w14:textId="19EF6479" w:rsidR="00085E73" w:rsidRPr="0003369F" w:rsidRDefault="00085E73" w:rsidP="003475E2">
            <w:pPr>
              <w:pStyle w:val="TableText"/>
              <w:jc w:val="left"/>
            </w:pPr>
            <w:r w:rsidRPr="0003369F">
              <w:t>Embedded Designated Support—Masking</w:t>
            </w:r>
          </w:p>
        </w:tc>
        <w:tc>
          <w:tcPr>
            <w:tcW w:w="864" w:type="dxa"/>
            <w:noWrap/>
            <w:vAlign w:val="bottom"/>
          </w:tcPr>
          <w:p w14:paraId="09C8A2D7" w14:textId="77777777" w:rsidR="00085E73" w:rsidRPr="0003369F" w:rsidRDefault="00085E73" w:rsidP="003475E2">
            <w:pPr>
              <w:pStyle w:val="TableText"/>
            </w:pPr>
            <w:r w:rsidRPr="0003369F">
              <w:t>17</w:t>
            </w:r>
          </w:p>
        </w:tc>
        <w:tc>
          <w:tcPr>
            <w:tcW w:w="864" w:type="dxa"/>
            <w:noWrap/>
            <w:vAlign w:val="bottom"/>
          </w:tcPr>
          <w:p w14:paraId="711BC6C7" w14:textId="77777777" w:rsidR="00085E73" w:rsidRPr="0003369F" w:rsidRDefault="00085E73" w:rsidP="003475E2">
            <w:pPr>
              <w:pStyle w:val="TableText"/>
            </w:pPr>
            <w:r w:rsidRPr="0003369F">
              <w:t>2%</w:t>
            </w:r>
          </w:p>
        </w:tc>
        <w:tc>
          <w:tcPr>
            <w:tcW w:w="864" w:type="dxa"/>
            <w:noWrap/>
            <w:vAlign w:val="bottom"/>
          </w:tcPr>
          <w:p w14:paraId="51A5B4BB" w14:textId="77777777" w:rsidR="00085E73" w:rsidRPr="0003369F" w:rsidRDefault="00085E73" w:rsidP="003475E2">
            <w:pPr>
              <w:pStyle w:val="TableText"/>
            </w:pPr>
            <w:r w:rsidRPr="0003369F">
              <w:t>26</w:t>
            </w:r>
          </w:p>
        </w:tc>
        <w:tc>
          <w:tcPr>
            <w:tcW w:w="864" w:type="dxa"/>
            <w:noWrap/>
            <w:vAlign w:val="bottom"/>
          </w:tcPr>
          <w:p w14:paraId="5D134E43" w14:textId="77777777" w:rsidR="00085E73" w:rsidRPr="0003369F" w:rsidRDefault="00085E73" w:rsidP="003475E2">
            <w:pPr>
              <w:pStyle w:val="TableText"/>
            </w:pPr>
            <w:r w:rsidRPr="0003369F">
              <w:t>3%</w:t>
            </w:r>
          </w:p>
        </w:tc>
      </w:tr>
      <w:tr w:rsidR="00085E73" w:rsidRPr="0003369F" w14:paraId="140167E3" w14:textId="77777777" w:rsidTr="003475E2">
        <w:tc>
          <w:tcPr>
            <w:tcW w:w="7056" w:type="dxa"/>
          </w:tcPr>
          <w:p w14:paraId="6039DA07" w14:textId="31BC6E0C" w:rsidR="00085E73" w:rsidRPr="0003369F" w:rsidRDefault="00085E73" w:rsidP="003475E2">
            <w:pPr>
              <w:pStyle w:val="TableText"/>
              <w:jc w:val="left"/>
            </w:pPr>
            <w:r w:rsidRPr="0003369F">
              <w:t>Embedded Designated Support—Mouse Pointer</w:t>
            </w:r>
          </w:p>
        </w:tc>
        <w:tc>
          <w:tcPr>
            <w:tcW w:w="864" w:type="dxa"/>
            <w:noWrap/>
            <w:vAlign w:val="bottom"/>
          </w:tcPr>
          <w:p w14:paraId="266E1ADB" w14:textId="77777777" w:rsidR="00085E73" w:rsidRPr="0003369F" w:rsidRDefault="00085E73" w:rsidP="003475E2">
            <w:pPr>
              <w:pStyle w:val="TableText"/>
            </w:pPr>
            <w:r w:rsidRPr="0003369F">
              <w:t>4</w:t>
            </w:r>
          </w:p>
        </w:tc>
        <w:tc>
          <w:tcPr>
            <w:tcW w:w="864" w:type="dxa"/>
            <w:noWrap/>
            <w:vAlign w:val="bottom"/>
          </w:tcPr>
          <w:p w14:paraId="69091501" w14:textId="77777777" w:rsidR="00085E73" w:rsidRPr="0003369F" w:rsidRDefault="00085E73" w:rsidP="003475E2">
            <w:pPr>
              <w:pStyle w:val="TableText"/>
            </w:pPr>
            <w:r w:rsidRPr="0003369F">
              <w:t>1%</w:t>
            </w:r>
          </w:p>
        </w:tc>
        <w:tc>
          <w:tcPr>
            <w:tcW w:w="864" w:type="dxa"/>
            <w:noWrap/>
            <w:vAlign w:val="bottom"/>
          </w:tcPr>
          <w:p w14:paraId="1C77B237" w14:textId="77777777" w:rsidR="00085E73" w:rsidRPr="0003369F" w:rsidRDefault="00085E73" w:rsidP="003475E2">
            <w:pPr>
              <w:pStyle w:val="TableText"/>
            </w:pPr>
            <w:r w:rsidRPr="0003369F">
              <w:t>3</w:t>
            </w:r>
          </w:p>
        </w:tc>
        <w:tc>
          <w:tcPr>
            <w:tcW w:w="864" w:type="dxa"/>
            <w:noWrap/>
            <w:vAlign w:val="bottom"/>
          </w:tcPr>
          <w:p w14:paraId="36FC9C35" w14:textId="77777777" w:rsidR="00085E73" w:rsidRPr="0003369F" w:rsidRDefault="00085E73" w:rsidP="003475E2">
            <w:pPr>
              <w:pStyle w:val="TableText"/>
            </w:pPr>
            <w:r w:rsidRPr="0003369F">
              <w:t>0%</w:t>
            </w:r>
          </w:p>
        </w:tc>
      </w:tr>
      <w:tr w:rsidR="00085E73" w:rsidRPr="0003369F" w14:paraId="3878067F" w14:textId="77777777" w:rsidTr="003475E2">
        <w:tc>
          <w:tcPr>
            <w:tcW w:w="7056" w:type="dxa"/>
          </w:tcPr>
          <w:p w14:paraId="14FB1FA6" w14:textId="65132E9F" w:rsidR="00085E73" w:rsidRPr="0003369F" w:rsidRDefault="00085E73" w:rsidP="003475E2">
            <w:pPr>
              <w:pStyle w:val="TableText"/>
              <w:jc w:val="left"/>
            </w:pPr>
            <w:r w:rsidRPr="0003369F">
              <w:t>Embedded Designated Support—Permissive Mode</w:t>
            </w:r>
          </w:p>
        </w:tc>
        <w:tc>
          <w:tcPr>
            <w:tcW w:w="864" w:type="dxa"/>
            <w:noWrap/>
            <w:vAlign w:val="bottom"/>
          </w:tcPr>
          <w:p w14:paraId="00F9CEEB" w14:textId="77777777" w:rsidR="00085E73" w:rsidRPr="0003369F" w:rsidRDefault="00085E73" w:rsidP="003475E2">
            <w:pPr>
              <w:pStyle w:val="TableText"/>
            </w:pPr>
            <w:r w:rsidRPr="0003369F">
              <w:t>3</w:t>
            </w:r>
          </w:p>
        </w:tc>
        <w:tc>
          <w:tcPr>
            <w:tcW w:w="864" w:type="dxa"/>
            <w:noWrap/>
            <w:vAlign w:val="bottom"/>
          </w:tcPr>
          <w:p w14:paraId="0A83B5E9" w14:textId="77777777" w:rsidR="00085E73" w:rsidRPr="0003369F" w:rsidRDefault="00085E73" w:rsidP="003475E2">
            <w:pPr>
              <w:pStyle w:val="TableText"/>
            </w:pPr>
            <w:r w:rsidRPr="0003369F">
              <w:t>0%</w:t>
            </w:r>
          </w:p>
        </w:tc>
        <w:tc>
          <w:tcPr>
            <w:tcW w:w="864" w:type="dxa"/>
            <w:noWrap/>
            <w:vAlign w:val="bottom"/>
          </w:tcPr>
          <w:p w14:paraId="79E66962" w14:textId="77777777" w:rsidR="00085E73" w:rsidRPr="0003369F" w:rsidRDefault="00085E73" w:rsidP="003475E2">
            <w:pPr>
              <w:pStyle w:val="TableText"/>
            </w:pPr>
            <w:r w:rsidRPr="0003369F">
              <w:t>10</w:t>
            </w:r>
          </w:p>
        </w:tc>
        <w:tc>
          <w:tcPr>
            <w:tcW w:w="864" w:type="dxa"/>
            <w:noWrap/>
            <w:vAlign w:val="bottom"/>
          </w:tcPr>
          <w:p w14:paraId="1765D3B8" w14:textId="77777777" w:rsidR="00085E73" w:rsidRPr="0003369F" w:rsidRDefault="00085E73" w:rsidP="003475E2">
            <w:pPr>
              <w:pStyle w:val="TableText"/>
            </w:pPr>
            <w:r w:rsidRPr="0003369F">
              <w:t>1%</w:t>
            </w:r>
          </w:p>
        </w:tc>
      </w:tr>
      <w:tr w:rsidR="00085E73" w:rsidRPr="0003369F" w14:paraId="527E595A" w14:textId="77777777" w:rsidTr="003475E2">
        <w:tc>
          <w:tcPr>
            <w:tcW w:w="7056" w:type="dxa"/>
          </w:tcPr>
          <w:p w14:paraId="6F9E0901" w14:textId="73AE4532" w:rsidR="00085E73" w:rsidRPr="0003369F" w:rsidRDefault="00085E73" w:rsidP="003475E2">
            <w:pPr>
              <w:pStyle w:val="TableText"/>
              <w:jc w:val="left"/>
            </w:pPr>
            <w:r w:rsidRPr="0003369F">
              <w:t>Embedded Designated Support—Print Size</w:t>
            </w:r>
          </w:p>
        </w:tc>
        <w:tc>
          <w:tcPr>
            <w:tcW w:w="864" w:type="dxa"/>
            <w:noWrap/>
            <w:vAlign w:val="bottom"/>
          </w:tcPr>
          <w:p w14:paraId="1CCC6786" w14:textId="77777777" w:rsidR="00085E73" w:rsidRPr="0003369F" w:rsidRDefault="00085E73" w:rsidP="003475E2">
            <w:pPr>
              <w:pStyle w:val="TableText"/>
            </w:pPr>
            <w:r w:rsidRPr="0003369F">
              <w:t>7</w:t>
            </w:r>
          </w:p>
        </w:tc>
        <w:tc>
          <w:tcPr>
            <w:tcW w:w="864" w:type="dxa"/>
            <w:noWrap/>
            <w:vAlign w:val="bottom"/>
          </w:tcPr>
          <w:p w14:paraId="68AC3267" w14:textId="77777777" w:rsidR="00085E73" w:rsidRPr="0003369F" w:rsidRDefault="00085E73" w:rsidP="003475E2">
            <w:pPr>
              <w:pStyle w:val="TableText"/>
            </w:pPr>
            <w:r w:rsidRPr="0003369F">
              <w:t>1%</w:t>
            </w:r>
          </w:p>
        </w:tc>
        <w:tc>
          <w:tcPr>
            <w:tcW w:w="864" w:type="dxa"/>
            <w:noWrap/>
            <w:vAlign w:val="bottom"/>
          </w:tcPr>
          <w:p w14:paraId="3116987F" w14:textId="77777777" w:rsidR="00085E73" w:rsidRPr="0003369F" w:rsidRDefault="00085E73" w:rsidP="003475E2">
            <w:pPr>
              <w:pStyle w:val="TableText"/>
            </w:pPr>
            <w:r w:rsidRPr="0003369F">
              <w:t>13</w:t>
            </w:r>
          </w:p>
        </w:tc>
        <w:tc>
          <w:tcPr>
            <w:tcW w:w="864" w:type="dxa"/>
            <w:noWrap/>
            <w:vAlign w:val="bottom"/>
          </w:tcPr>
          <w:p w14:paraId="4AE51C60" w14:textId="77777777" w:rsidR="00085E73" w:rsidRPr="0003369F" w:rsidRDefault="00085E73" w:rsidP="003475E2">
            <w:pPr>
              <w:pStyle w:val="TableText"/>
            </w:pPr>
            <w:r w:rsidRPr="0003369F">
              <w:t>2%</w:t>
            </w:r>
          </w:p>
        </w:tc>
      </w:tr>
      <w:tr w:rsidR="00085E73" w:rsidRPr="0003369F" w14:paraId="1ABAD232" w14:textId="77777777" w:rsidTr="002C4B0D">
        <w:tc>
          <w:tcPr>
            <w:tcW w:w="7056" w:type="dxa"/>
            <w:tcBorders>
              <w:bottom w:val="nil"/>
            </w:tcBorders>
          </w:tcPr>
          <w:p w14:paraId="5436C0AA" w14:textId="5878FBB6" w:rsidR="00085E73" w:rsidRPr="0003369F" w:rsidRDefault="00085E73" w:rsidP="003475E2">
            <w:pPr>
              <w:pStyle w:val="TableText"/>
              <w:jc w:val="left"/>
            </w:pPr>
            <w:r w:rsidRPr="0003369F">
              <w:t>Embedded Designated Support—Streamline</w:t>
            </w:r>
          </w:p>
        </w:tc>
        <w:tc>
          <w:tcPr>
            <w:tcW w:w="864" w:type="dxa"/>
            <w:tcBorders>
              <w:bottom w:val="nil"/>
            </w:tcBorders>
            <w:noWrap/>
            <w:vAlign w:val="bottom"/>
          </w:tcPr>
          <w:p w14:paraId="538A13F8" w14:textId="77777777" w:rsidR="00085E73" w:rsidRPr="0003369F" w:rsidRDefault="00085E73" w:rsidP="003475E2">
            <w:pPr>
              <w:pStyle w:val="TableText"/>
            </w:pPr>
            <w:r w:rsidRPr="0003369F">
              <w:t>9</w:t>
            </w:r>
          </w:p>
        </w:tc>
        <w:tc>
          <w:tcPr>
            <w:tcW w:w="864" w:type="dxa"/>
            <w:tcBorders>
              <w:bottom w:val="nil"/>
            </w:tcBorders>
            <w:noWrap/>
            <w:vAlign w:val="bottom"/>
          </w:tcPr>
          <w:p w14:paraId="732D059B" w14:textId="77777777" w:rsidR="00085E73" w:rsidRPr="0003369F" w:rsidRDefault="00085E73" w:rsidP="003475E2">
            <w:pPr>
              <w:pStyle w:val="TableText"/>
            </w:pPr>
            <w:r w:rsidRPr="0003369F">
              <w:t>1%</w:t>
            </w:r>
          </w:p>
        </w:tc>
        <w:tc>
          <w:tcPr>
            <w:tcW w:w="864" w:type="dxa"/>
            <w:tcBorders>
              <w:bottom w:val="nil"/>
            </w:tcBorders>
            <w:noWrap/>
            <w:vAlign w:val="bottom"/>
          </w:tcPr>
          <w:p w14:paraId="213CF675" w14:textId="77777777" w:rsidR="00085E73" w:rsidRPr="0003369F" w:rsidRDefault="00085E73" w:rsidP="003475E2">
            <w:pPr>
              <w:pStyle w:val="TableText"/>
            </w:pPr>
            <w:r w:rsidRPr="0003369F">
              <w:t>13</w:t>
            </w:r>
          </w:p>
        </w:tc>
        <w:tc>
          <w:tcPr>
            <w:tcW w:w="864" w:type="dxa"/>
            <w:tcBorders>
              <w:bottom w:val="nil"/>
            </w:tcBorders>
            <w:noWrap/>
            <w:vAlign w:val="bottom"/>
          </w:tcPr>
          <w:p w14:paraId="3AC7B6C1" w14:textId="77777777" w:rsidR="00085E73" w:rsidRPr="0003369F" w:rsidRDefault="00085E73" w:rsidP="003475E2">
            <w:pPr>
              <w:pStyle w:val="TableText"/>
            </w:pPr>
            <w:r w:rsidRPr="0003369F">
              <w:t>2%</w:t>
            </w:r>
          </w:p>
        </w:tc>
      </w:tr>
      <w:tr w:rsidR="00085E73" w:rsidRPr="0003369F" w14:paraId="0CD7A679" w14:textId="77777777" w:rsidTr="002C4B0D">
        <w:tc>
          <w:tcPr>
            <w:tcW w:w="7056" w:type="dxa"/>
            <w:tcBorders>
              <w:top w:val="nil"/>
              <w:bottom w:val="single" w:sz="12" w:space="0" w:color="auto"/>
            </w:tcBorders>
          </w:tcPr>
          <w:p w14:paraId="0C1E97F7" w14:textId="3DAED9F4" w:rsidR="00085E73" w:rsidRPr="0003369F" w:rsidRDefault="00085E73" w:rsidP="003475E2">
            <w:pPr>
              <w:pStyle w:val="TableText"/>
              <w:jc w:val="left"/>
            </w:pPr>
            <w:r w:rsidRPr="0003369F">
              <w:t xml:space="preserve">Embedded Designated Support—Turn </w:t>
            </w:r>
            <w:r w:rsidR="006766C8">
              <w:t>O</w:t>
            </w:r>
            <w:r w:rsidRPr="0003369F">
              <w:t>ff</w:t>
            </w:r>
            <w:r w:rsidR="006766C8">
              <w:t xml:space="preserve"> Any</w:t>
            </w:r>
            <w:r w:rsidRPr="0003369F">
              <w:t xml:space="preserve"> Universal Tools</w:t>
            </w:r>
          </w:p>
        </w:tc>
        <w:tc>
          <w:tcPr>
            <w:tcW w:w="864" w:type="dxa"/>
            <w:tcBorders>
              <w:top w:val="nil"/>
              <w:bottom w:val="single" w:sz="12" w:space="0" w:color="auto"/>
            </w:tcBorders>
            <w:noWrap/>
            <w:vAlign w:val="bottom"/>
          </w:tcPr>
          <w:p w14:paraId="0CB8A35E" w14:textId="77777777" w:rsidR="00085E73" w:rsidRPr="0003369F" w:rsidRDefault="00085E73" w:rsidP="003475E2">
            <w:pPr>
              <w:pStyle w:val="TableText"/>
            </w:pPr>
            <w:r w:rsidRPr="0003369F">
              <w:t>0</w:t>
            </w:r>
          </w:p>
        </w:tc>
        <w:tc>
          <w:tcPr>
            <w:tcW w:w="864" w:type="dxa"/>
            <w:tcBorders>
              <w:top w:val="nil"/>
              <w:bottom w:val="single" w:sz="12" w:space="0" w:color="auto"/>
            </w:tcBorders>
            <w:noWrap/>
            <w:vAlign w:val="bottom"/>
          </w:tcPr>
          <w:p w14:paraId="22600F50" w14:textId="77777777" w:rsidR="00085E73" w:rsidRPr="0003369F" w:rsidRDefault="00085E73" w:rsidP="003475E2">
            <w:pPr>
              <w:pStyle w:val="TableText"/>
            </w:pPr>
            <w:r w:rsidRPr="0003369F">
              <w:t>0</w:t>
            </w:r>
          </w:p>
        </w:tc>
        <w:tc>
          <w:tcPr>
            <w:tcW w:w="864" w:type="dxa"/>
            <w:tcBorders>
              <w:top w:val="nil"/>
              <w:bottom w:val="single" w:sz="12" w:space="0" w:color="auto"/>
            </w:tcBorders>
            <w:noWrap/>
            <w:vAlign w:val="bottom"/>
          </w:tcPr>
          <w:p w14:paraId="5A383273" w14:textId="77777777" w:rsidR="00085E73" w:rsidRPr="0003369F" w:rsidRDefault="00085E73" w:rsidP="003475E2">
            <w:pPr>
              <w:pStyle w:val="TableText"/>
            </w:pPr>
            <w:r w:rsidRPr="0003369F">
              <w:t>0</w:t>
            </w:r>
          </w:p>
        </w:tc>
        <w:tc>
          <w:tcPr>
            <w:tcW w:w="864" w:type="dxa"/>
            <w:tcBorders>
              <w:top w:val="nil"/>
              <w:bottom w:val="single" w:sz="12" w:space="0" w:color="auto"/>
            </w:tcBorders>
            <w:noWrap/>
            <w:vAlign w:val="bottom"/>
          </w:tcPr>
          <w:p w14:paraId="38F43D12" w14:textId="77777777" w:rsidR="00085E73" w:rsidRPr="0003369F" w:rsidRDefault="00085E73" w:rsidP="003475E2">
            <w:pPr>
              <w:pStyle w:val="TableText"/>
            </w:pPr>
            <w:r w:rsidRPr="0003369F">
              <w:t>0</w:t>
            </w:r>
          </w:p>
        </w:tc>
      </w:tr>
      <w:tr w:rsidR="00085E73" w:rsidRPr="0003369F" w14:paraId="0A862FFC" w14:textId="77777777" w:rsidTr="003475E2">
        <w:tc>
          <w:tcPr>
            <w:tcW w:w="7056" w:type="dxa"/>
            <w:tcBorders>
              <w:top w:val="single" w:sz="4" w:space="0" w:color="auto"/>
              <w:bottom w:val="nil"/>
            </w:tcBorders>
          </w:tcPr>
          <w:p w14:paraId="481A15A5" w14:textId="11D56CC0" w:rsidR="00085E73" w:rsidRPr="0003369F" w:rsidRDefault="00085E73" w:rsidP="002C4B0D">
            <w:pPr>
              <w:pStyle w:val="TableText"/>
              <w:keepNext/>
              <w:keepLines/>
              <w:jc w:val="left"/>
            </w:pPr>
            <w:r w:rsidRPr="0003369F">
              <w:lastRenderedPageBreak/>
              <w:t>Non-Embedded Designated Support—Amplification</w:t>
            </w:r>
          </w:p>
        </w:tc>
        <w:tc>
          <w:tcPr>
            <w:tcW w:w="864" w:type="dxa"/>
            <w:tcBorders>
              <w:top w:val="single" w:sz="4" w:space="0" w:color="auto"/>
              <w:bottom w:val="nil"/>
            </w:tcBorders>
            <w:noWrap/>
            <w:vAlign w:val="bottom"/>
          </w:tcPr>
          <w:p w14:paraId="2BBD42CB" w14:textId="77777777" w:rsidR="00085E73" w:rsidRPr="0003369F" w:rsidRDefault="00085E73" w:rsidP="002C4B0D">
            <w:pPr>
              <w:pStyle w:val="TableText"/>
              <w:keepNext/>
              <w:keepLines/>
            </w:pPr>
            <w:r w:rsidRPr="0003369F">
              <w:t>4</w:t>
            </w:r>
          </w:p>
        </w:tc>
        <w:tc>
          <w:tcPr>
            <w:tcW w:w="864" w:type="dxa"/>
            <w:tcBorders>
              <w:top w:val="single" w:sz="4" w:space="0" w:color="auto"/>
              <w:bottom w:val="nil"/>
            </w:tcBorders>
            <w:noWrap/>
            <w:vAlign w:val="bottom"/>
          </w:tcPr>
          <w:p w14:paraId="16B83626" w14:textId="77777777" w:rsidR="00085E73" w:rsidRPr="0003369F" w:rsidRDefault="00085E73" w:rsidP="002C4B0D">
            <w:pPr>
              <w:pStyle w:val="TableText"/>
              <w:keepNext/>
              <w:keepLines/>
            </w:pPr>
            <w:r w:rsidRPr="0003369F">
              <w:t>1%</w:t>
            </w:r>
          </w:p>
        </w:tc>
        <w:tc>
          <w:tcPr>
            <w:tcW w:w="864" w:type="dxa"/>
            <w:tcBorders>
              <w:top w:val="single" w:sz="4" w:space="0" w:color="auto"/>
              <w:bottom w:val="nil"/>
            </w:tcBorders>
            <w:noWrap/>
            <w:vAlign w:val="bottom"/>
          </w:tcPr>
          <w:p w14:paraId="3401FF76" w14:textId="77777777" w:rsidR="00085E73" w:rsidRPr="0003369F" w:rsidRDefault="00085E73" w:rsidP="002C4B0D">
            <w:pPr>
              <w:pStyle w:val="TableText"/>
              <w:keepNext/>
              <w:keepLines/>
            </w:pPr>
            <w:r w:rsidRPr="0003369F">
              <w:t>3</w:t>
            </w:r>
          </w:p>
        </w:tc>
        <w:tc>
          <w:tcPr>
            <w:tcW w:w="864" w:type="dxa"/>
            <w:tcBorders>
              <w:top w:val="single" w:sz="4" w:space="0" w:color="auto"/>
              <w:bottom w:val="nil"/>
            </w:tcBorders>
            <w:noWrap/>
            <w:vAlign w:val="bottom"/>
          </w:tcPr>
          <w:p w14:paraId="4BB2196C" w14:textId="77777777" w:rsidR="00085E73" w:rsidRPr="0003369F" w:rsidRDefault="00085E73" w:rsidP="002C4B0D">
            <w:pPr>
              <w:pStyle w:val="TableText"/>
              <w:keepNext/>
              <w:keepLines/>
            </w:pPr>
            <w:r w:rsidRPr="0003369F">
              <w:t>0%</w:t>
            </w:r>
          </w:p>
        </w:tc>
      </w:tr>
      <w:tr w:rsidR="00085E73" w:rsidRPr="0003369F" w14:paraId="5799CD17" w14:textId="77777777" w:rsidTr="003475E2">
        <w:tc>
          <w:tcPr>
            <w:tcW w:w="7056" w:type="dxa"/>
            <w:tcBorders>
              <w:top w:val="nil"/>
            </w:tcBorders>
          </w:tcPr>
          <w:p w14:paraId="58EB91AA" w14:textId="445619BE" w:rsidR="00085E73" w:rsidRPr="0003369F" w:rsidRDefault="00085E73" w:rsidP="002C4B0D">
            <w:pPr>
              <w:pStyle w:val="TableText"/>
              <w:keepNext/>
              <w:keepLines/>
              <w:jc w:val="left"/>
            </w:pPr>
            <w:r w:rsidRPr="0003369F">
              <w:t>Non-Embedded Designated Support—Color Contrast</w:t>
            </w:r>
          </w:p>
        </w:tc>
        <w:tc>
          <w:tcPr>
            <w:tcW w:w="864" w:type="dxa"/>
            <w:tcBorders>
              <w:top w:val="nil"/>
            </w:tcBorders>
            <w:noWrap/>
            <w:vAlign w:val="bottom"/>
          </w:tcPr>
          <w:p w14:paraId="60400CA9" w14:textId="77777777" w:rsidR="00085E73" w:rsidRPr="0003369F" w:rsidRDefault="00085E73" w:rsidP="002C4B0D">
            <w:pPr>
              <w:pStyle w:val="TableText"/>
              <w:keepNext/>
              <w:keepLines/>
            </w:pPr>
            <w:r w:rsidRPr="0003369F">
              <w:t>1</w:t>
            </w:r>
          </w:p>
        </w:tc>
        <w:tc>
          <w:tcPr>
            <w:tcW w:w="864" w:type="dxa"/>
            <w:tcBorders>
              <w:top w:val="nil"/>
            </w:tcBorders>
            <w:noWrap/>
            <w:vAlign w:val="bottom"/>
          </w:tcPr>
          <w:p w14:paraId="14328A6F" w14:textId="77777777" w:rsidR="00085E73" w:rsidRPr="0003369F" w:rsidRDefault="00085E73" w:rsidP="002C4B0D">
            <w:pPr>
              <w:pStyle w:val="TableText"/>
              <w:keepNext/>
              <w:keepLines/>
            </w:pPr>
            <w:r w:rsidRPr="0003369F">
              <w:t>0%</w:t>
            </w:r>
          </w:p>
        </w:tc>
        <w:tc>
          <w:tcPr>
            <w:tcW w:w="864" w:type="dxa"/>
            <w:tcBorders>
              <w:top w:val="nil"/>
            </w:tcBorders>
            <w:noWrap/>
            <w:vAlign w:val="bottom"/>
          </w:tcPr>
          <w:p w14:paraId="71F59266" w14:textId="77777777" w:rsidR="00085E73" w:rsidRPr="0003369F" w:rsidRDefault="00085E73" w:rsidP="002C4B0D">
            <w:pPr>
              <w:pStyle w:val="TableText"/>
              <w:keepNext/>
              <w:keepLines/>
            </w:pPr>
            <w:r w:rsidRPr="0003369F">
              <w:t>4</w:t>
            </w:r>
          </w:p>
        </w:tc>
        <w:tc>
          <w:tcPr>
            <w:tcW w:w="864" w:type="dxa"/>
            <w:tcBorders>
              <w:top w:val="nil"/>
            </w:tcBorders>
            <w:noWrap/>
            <w:vAlign w:val="bottom"/>
          </w:tcPr>
          <w:p w14:paraId="74FE373B" w14:textId="77777777" w:rsidR="00085E73" w:rsidRPr="0003369F" w:rsidRDefault="00085E73" w:rsidP="002C4B0D">
            <w:pPr>
              <w:pStyle w:val="TableText"/>
              <w:keepNext/>
              <w:keepLines/>
            </w:pPr>
            <w:r w:rsidRPr="0003369F">
              <w:t>1%</w:t>
            </w:r>
          </w:p>
        </w:tc>
      </w:tr>
      <w:tr w:rsidR="00085E73" w:rsidRPr="0003369F" w14:paraId="3C188162" w14:textId="77777777" w:rsidTr="003475E2">
        <w:tc>
          <w:tcPr>
            <w:tcW w:w="7056" w:type="dxa"/>
          </w:tcPr>
          <w:p w14:paraId="425DD288" w14:textId="475BA023" w:rsidR="00085E73" w:rsidRPr="0003369F" w:rsidRDefault="00085E73" w:rsidP="002C4B0D">
            <w:pPr>
              <w:pStyle w:val="TableText"/>
              <w:keepNext/>
              <w:keepLines/>
              <w:jc w:val="left"/>
            </w:pPr>
            <w:r w:rsidRPr="0003369F">
              <w:t>Non-Embedded Designated Support—Color Overlay</w:t>
            </w:r>
          </w:p>
        </w:tc>
        <w:tc>
          <w:tcPr>
            <w:tcW w:w="864" w:type="dxa"/>
            <w:noWrap/>
            <w:vAlign w:val="bottom"/>
          </w:tcPr>
          <w:p w14:paraId="246289D1" w14:textId="77777777" w:rsidR="00085E73" w:rsidRPr="0003369F" w:rsidRDefault="00085E73" w:rsidP="002C4B0D">
            <w:pPr>
              <w:pStyle w:val="TableText"/>
              <w:keepNext/>
              <w:keepLines/>
            </w:pPr>
            <w:r w:rsidRPr="0003369F">
              <w:t>1</w:t>
            </w:r>
          </w:p>
        </w:tc>
        <w:tc>
          <w:tcPr>
            <w:tcW w:w="864" w:type="dxa"/>
            <w:noWrap/>
            <w:vAlign w:val="bottom"/>
          </w:tcPr>
          <w:p w14:paraId="734DEBAB" w14:textId="77777777" w:rsidR="00085E73" w:rsidRPr="0003369F" w:rsidRDefault="00085E73" w:rsidP="002C4B0D">
            <w:pPr>
              <w:pStyle w:val="TableText"/>
              <w:keepNext/>
              <w:keepLines/>
            </w:pPr>
            <w:r w:rsidRPr="0003369F">
              <w:t>0%</w:t>
            </w:r>
          </w:p>
        </w:tc>
        <w:tc>
          <w:tcPr>
            <w:tcW w:w="864" w:type="dxa"/>
            <w:noWrap/>
            <w:vAlign w:val="bottom"/>
          </w:tcPr>
          <w:p w14:paraId="0F56E9AC" w14:textId="77777777" w:rsidR="00085E73" w:rsidRPr="0003369F" w:rsidRDefault="00085E73" w:rsidP="002C4B0D">
            <w:pPr>
              <w:pStyle w:val="TableText"/>
              <w:keepNext/>
              <w:keepLines/>
            </w:pPr>
            <w:r w:rsidRPr="0003369F">
              <w:t>4</w:t>
            </w:r>
          </w:p>
        </w:tc>
        <w:tc>
          <w:tcPr>
            <w:tcW w:w="864" w:type="dxa"/>
            <w:noWrap/>
            <w:vAlign w:val="bottom"/>
          </w:tcPr>
          <w:p w14:paraId="144F2A5A" w14:textId="77777777" w:rsidR="00085E73" w:rsidRPr="0003369F" w:rsidRDefault="00085E73" w:rsidP="002C4B0D">
            <w:pPr>
              <w:pStyle w:val="TableText"/>
              <w:keepNext/>
              <w:keepLines/>
            </w:pPr>
            <w:r w:rsidRPr="0003369F">
              <w:t>1%</w:t>
            </w:r>
          </w:p>
        </w:tc>
      </w:tr>
      <w:tr w:rsidR="00085E73" w:rsidRPr="0003369F" w14:paraId="614A4DE5" w14:textId="77777777" w:rsidTr="003475E2">
        <w:tc>
          <w:tcPr>
            <w:tcW w:w="7056" w:type="dxa"/>
          </w:tcPr>
          <w:p w14:paraId="13285968" w14:textId="46697BDC" w:rsidR="00085E73" w:rsidRPr="0003369F" w:rsidRDefault="00085E73" w:rsidP="002C4B0D">
            <w:pPr>
              <w:pStyle w:val="TableText"/>
              <w:keepNext/>
              <w:keepLines/>
              <w:jc w:val="left"/>
            </w:pPr>
            <w:r w:rsidRPr="0003369F">
              <w:t>Non-Embedded Designated Support—Magnification</w:t>
            </w:r>
          </w:p>
        </w:tc>
        <w:tc>
          <w:tcPr>
            <w:tcW w:w="864" w:type="dxa"/>
            <w:noWrap/>
            <w:vAlign w:val="bottom"/>
          </w:tcPr>
          <w:p w14:paraId="0DFAA53B" w14:textId="77777777" w:rsidR="00085E73" w:rsidRPr="0003369F" w:rsidRDefault="00085E73" w:rsidP="002C4B0D">
            <w:pPr>
              <w:pStyle w:val="TableText"/>
              <w:keepNext/>
              <w:keepLines/>
            </w:pPr>
            <w:r w:rsidRPr="0003369F">
              <w:t>4</w:t>
            </w:r>
          </w:p>
        </w:tc>
        <w:tc>
          <w:tcPr>
            <w:tcW w:w="864" w:type="dxa"/>
            <w:noWrap/>
            <w:vAlign w:val="bottom"/>
          </w:tcPr>
          <w:p w14:paraId="63A16F9F" w14:textId="77777777" w:rsidR="00085E73" w:rsidRPr="0003369F" w:rsidRDefault="00085E73" w:rsidP="002C4B0D">
            <w:pPr>
              <w:pStyle w:val="TableText"/>
              <w:keepNext/>
              <w:keepLines/>
            </w:pPr>
            <w:r w:rsidRPr="0003369F">
              <w:t>1%</w:t>
            </w:r>
          </w:p>
        </w:tc>
        <w:tc>
          <w:tcPr>
            <w:tcW w:w="864" w:type="dxa"/>
            <w:noWrap/>
            <w:vAlign w:val="bottom"/>
          </w:tcPr>
          <w:p w14:paraId="43440087" w14:textId="77777777" w:rsidR="00085E73" w:rsidRPr="0003369F" w:rsidRDefault="00085E73" w:rsidP="002C4B0D">
            <w:pPr>
              <w:pStyle w:val="TableText"/>
              <w:keepNext/>
              <w:keepLines/>
            </w:pPr>
            <w:r w:rsidRPr="0003369F">
              <w:t>15</w:t>
            </w:r>
          </w:p>
        </w:tc>
        <w:tc>
          <w:tcPr>
            <w:tcW w:w="864" w:type="dxa"/>
            <w:noWrap/>
            <w:vAlign w:val="bottom"/>
          </w:tcPr>
          <w:p w14:paraId="22D505C0" w14:textId="77777777" w:rsidR="00085E73" w:rsidRPr="0003369F" w:rsidRDefault="00085E73" w:rsidP="002C4B0D">
            <w:pPr>
              <w:pStyle w:val="TableText"/>
              <w:keepNext/>
              <w:keepLines/>
            </w:pPr>
            <w:r w:rsidRPr="0003369F">
              <w:t>2%</w:t>
            </w:r>
          </w:p>
        </w:tc>
      </w:tr>
      <w:tr w:rsidR="00085E73" w:rsidRPr="0003369F" w14:paraId="6616CFE2" w14:textId="77777777" w:rsidTr="003475E2">
        <w:tc>
          <w:tcPr>
            <w:tcW w:w="7056" w:type="dxa"/>
          </w:tcPr>
          <w:p w14:paraId="7A9B3E67" w14:textId="2BD0BA11" w:rsidR="00085E73" w:rsidRPr="0003369F" w:rsidRDefault="00085E73" w:rsidP="002C4B0D">
            <w:pPr>
              <w:pStyle w:val="TableText"/>
              <w:keepNext/>
              <w:keepLines/>
              <w:jc w:val="left"/>
            </w:pPr>
            <w:r w:rsidRPr="0003369F">
              <w:t>Non-Embedded Designated Support—Medical Supports</w:t>
            </w:r>
          </w:p>
        </w:tc>
        <w:tc>
          <w:tcPr>
            <w:tcW w:w="864" w:type="dxa"/>
            <w:noWrap/>
            <w:vAlign w:val="bottom"/>
          </w:tcPr>
          <w:p w14:paraId="30B5EB0F" w14:textId="77777777" w:rsidR="00085E73" w:rsidRPr="0003369F" w:rsidRDefault="00085E73" w:rsidP="002C4B0D">
            <w:pPr>
              <w:pStyle w:val="TableText"/>
              <w:keepNext/>
              <w:keepLines/>
            </w:pPr>
            <w:r w:rsidRPr="0003369F">
              <w:t>1</w:t>
            </w:r>
          </w:p>
        </w:tc>
        <w:tc>
          <w:tcPr>
            <w:tcW w:w="864" w:type="dxa"/>
            <w:noWrap/>
            <w:vAlign w:val="bottom"/>
          </w:tcPr>
          <w:p w14:paraId="4E0758D1" w14:textId="77777777" w:rsidR="00085E73" w:rsidRPr="0003369F" w:rsidRDefault="00085E73" w:rsidP="002C4B0D">
            <w:pPr>
              <w:pStyle w:val="TableText"/>
              <w:keepNext/>
              <w:keepLines/>
            </w:pPr>
            <w:r w:rsidRPr="0003369F">
              <w:t>0%</w:t>
            </w:r>
          </w:p>
        </w:tc>
        <w:tc>
          <w:tcPr>
            <w:tcW w:w="864" w:type="dxa"/>
            <w:noWrap/>
            <w:vAlign w:val="bottom"/>
          </w:tcPr>
          <w:p w14:paraId="0AE736E0" w14:textId="77777777" w:rsidR="00085E73" w:rsidRPr="0003369F" w:rsidRDefault="00085E73" w:rsidP="002C4B0D">
            <w:pPr>
              <w:pStyle w:val="TableText"/>
              <w:keepNext/>
              <w:keepLines/>
            </w:pPr>
            <w:r w:rsidRPr="0003369F">
              <w:t>0</w:t>
            </w:r>
          </w:p>
        </w:tc>
        <w:tc>
          <w:tcPr>
            <w:tcW w:w="864" w:type="dxa"/>
            <w:noWrap/>
            <w:vAlign w:val="bottom"/>
          </w:tcPr>
          <w:p w14:paraId="6330E6E5" w14:textId="77777777" w:rsidR="00085E73" w:rsidRPr="0003369F" w:rsidRDefault="00085E73" w:rsidP="002C4B0D">
            <w:pPr>
              <w:pStyle w:val="TableText"/>
              <w:keepNext/>
              <w:keepLines/>
            </w:pPr>
            <w:r w:rsidRPr="0003369F">
              <w:t>0%</w:t>
            </w:r>
          </w:p>
        </w:tc>
      </w:tr>
      <w:tr w:rsidR="00085E73" w:rsidRPr="0003369F" w14:paraId="3F428923" w14:textId="77777777" w:rsidTr="003475E2">
        <w:tc>
          <w:tcPr>
            <w:tcW w:w="7056" w:type="dxa"/>
          </w:tcPr>
          <w:p w14:paraId="1431F223" w14:textId="4154D02D" w:rsidR="00085E73" w:rsidRPr="0003369F" w:rsidRDefault="00085E73" w:rsidP="00536FF8">
            <w:pPr>
              <w:pStyle w:val="TableText"/>
              <w:keepNext/>
              <w:jc w:val="left"/>
            </w:pPr>
            <w:r w:rsidRPr="0003369F">
              <w:t>Non-Embedded Designated Support—Multiplication Table</w:t>
            </w:r>
          </w:p>
        </w:tc>
        <w:tc>
          <w:tcPr>
            <w:tcW w:w="864" w:type="dxa"/>
            <w:noWrap/>
            <w:vAlign w:val="bottom"/>
          </w:tcPr>
          <w:p w14:paraId="5B22E4CE" w14:textId="77777777" w:rsidR="00085E73" w:rsidRPr="0003369F" w:rsidRDefault="00085E73" w:rsidP="003475E2">
            <w:pPr>
              <w:pStyle w:val="TableText"/>
            </w:pPr>
            <w:r w:rsidRPr="0003369F">
              <w:t>13</w:t>
            </w:r>
          </w:p>
        </w:tc>
        <w:tc>
          <w:tcPr>
            <w:tcW w:w="864" w:type="dxa"/>
            <w:noWrap/>
            <w:vAlign w:val="bottom"/>
          </w:tcPr>
          <w:p w14:paraId="64B0A699" w14:textId="77777777" w:rsidR="00085E73" w:rsidRPr="0003369F" w:rsidRDefault="00085E73" w:rsidP="003475E2">
            <w:pPr>
              <w:pStyle w:val="TableText"/>
            </w:pPr>
            <w:r w:rsidRPr="0003369F">
              <w:t>2%</w:t>
            </w:r>
          </w:p>
        </w:tc>
        <w:tc>
          <w:tcPr>
            <w:tcW w:w="864" w:type="dxa"/>
            <w:noWrap/>
            <w:vAlign w:val="bottom"/>
          </w:tcPr>
          <w:p w14:paraId="67F42DC5" w14:textId="77777777" w:rsidR="00085E73" w:rsidRPr="0003369F" w:rsidRDefault="00085E73" w:rsidP="003475E2">
            <w:pPr>
              <w:pStyle w:val="TableText"/>
            </w:pPr>
            <w:r w:rsidRPr="0003369F">
              <w:t>27</w:t>
            </w:r>
          </w:p>
        </w:tc>
        <w:tc>
          <w:tcPr>
            <w:tcW w:w="864" w:type="dxa"/>
            <w:noWrap/>
            <w:vAlign w:val="bottom"/>
          </w:tcPr>
          <w:p w14:paraId="1D8CD7E1" w14:textId="77777777" w:rsidR="00085E73" w:rsidRPr="0003369F" w:rsidRDefault="00085E73" w:rsidP="003475E2">
            <w:pPr>
              <w:pStyle w:val="TableText"/>
            </w:pPr>
            <w:r w:rsidRPr="0003369F">
              <w:t>3%</w:t>
            </w:r>
          </w:p>
        </w:tc>
      </w:tr>
      <w:tr w:rsidR="00085E73" w:rsidRPr="0003369F" w14:paraId="351B19A4" w14:textId="77777777" w:rsidTr="003475E2">
        <w:tc>
          <w:tcPr>
            <w:tcW w:w="7056" w:type="dxa"/>
          </w:tcPr>
          <w:p w14:paraId="7693D89B" w14:textId="77777777" w:rsidR="00085E73" w:rsidRPr="0003369F" w:rsidRDefault="00085E73" w:rsidP="00536FF8">
            <w:pPr>
              <w:pStyle w:val="TableText"/>
              <w:keepNext/>
              <w:jc w:val="left"/>
            </w:pPr>
            <w:r w:rsidRPr="0003369F">
              <w:t>Non-Embedded Designated Support—Noise Buffers</w:t>
            </w:r>
          </w:p>
        </w:tc>
        <w:tc>
          <w:tcPr>
            <w:tcW w:w="864" w:type="dxa"/>
            <w:noWrap/>
            <w:vAlign w:val="bottom"/>
          </w:tcPr>
          <w:p w14:paraId="20E9AACC" w14:textId="77777777" w:rsidR="00085E73" w:rsidRPr="0003369F" w:rsidRDefault="00085E73" w:rsidP="003475E2">
            <w:pPr>
              <w:pStyle w:val="TableText"/>
            </w:pPr>
            <w:r w:rsidRPr="0003369F">
              <w:t>32</w:t>
            </w:r>
          </w:p>
        </w:tc>
        <w:tc>
          <w:tcPr>
            <w:tcW w:w="864" w:type="dxa"/>
            <w:noWrap/>
            <w:vAlign w:val="bottom"/>
          </w:tcPr>
          <w:p w14:paraId="3F4A0A95" w14:textId="77777777" w:rsidR="00085E73" w:rsidRPr="0003369F" w:rsidRDefault="00085E73" w:rsidP="003475E2">
            <w:pPr>
              <w:pStyle w:val="TableText"/>
            </w:pPr>
            <w:r w:rsidRPr="0003369F">
              <w:t>4%</w:t>
            </w:r>
          </w:p>
        </w:tc>
        <w:tc>
          <w:tcPr>
            <w:tcW w:w="864" w:type="dxa"/>
            <w:noWrap/>
            <w:vAlign w:val="bottom"/>
          </w:tcPr>
          <w:p w14:paraId="1684D1FE" w14:textId="77777777" w:rsidR="00085E73" w:rsidRPr="0003369F" w:rsidRDefault="00085E73" w:rsidP="003475E2">
            <w:pPr>
              <w:pStyle w:val="TableText"/>
            </w:pPr>
            <w:r w:rsidRPr="0003369F">
              <w:t>39</w:t>
            </w:r>
          </w:p>
        </w:tc>
        <w:tc>
          <w:tcPr>
            <w:tcW w:w="864" w:type="dxa"/>
            <w:noWrap/>
            <w:vAlign w:val="bottom"/>
          </w:tcPr>
          <w:p w14:paraId="0078CB47" w14:textId="77777777" w:rsidR="00085E73" w:rsidRPr="0003369F" w:rsidRDefault="00085E73" w:rsidP="003475E2">
            <w:pPr>
              <w:pStyle w:val="TableText"/>
            </w:pPr>
            <w:r w:rsidRPr="0003369F">
              <w:t>5%</w:t>
            </w:r>
          </w:p>
        </w:tc>
      </w:tr>
      <w:tr w:rsidR="00085E73" w:rsidRPr="0003369F" w14:paraId="4926572D" w14:textId="77777777" w:rsidTr="003475E2">
        <w:tc>
          <w:tcPr>
            <w:tcW w:w="7056" w:type="dxa"/>
          </w:tcPr>
          <w:p w14:paraId="6BB380EB" w14:textId="77777777" w:rsidR="00085E73" w:rsidRPr="0003369F" w:rsidRDefault="00085E73" w:rsidP="00536FF8">
            <w:pPr>
              <w:pStyle w:val="TableText"/>
              <w:keepNext/>
              <w:jc w:val="left"/>
            </w:pPr>
            <w:r w:rsidRPr="0003369F">
              <w:t>Non-Embedded Designated Support—Read Aloud Items</w:t>
            </w:r>
          </w:p>
        </w:tc>
        <w:tc>
          <w:tcPr>
            <w:tcW w:w="864" w:type="dxa"/>
            <w:noWrap/>
            <w:vAlign w:val="bottom"/>
          </w:tcPr>
          <w:p w14:paraId="6065A2A1" w14:textId="77777777" w:rsidR="00085E73" w:rsidRPr="0003369F" w:rsidRDefault="00085E73" w:rsidP="003475E2">
            <w:pPr>
              <w:pStyle w:val="TableText"/>
            </w:pPr>
            <w:r w:rsidRPr="0003369F">
              <w:t>86</w:t>
            </w:r>
          </w:p>
        </w:tc>
        <w:tc>
          <w:tcPr>
            <w:tcW w:w="864" w:type="dxa"/>
            <w:noWrap/>
            <w:vAlign w:val="bottom"/>
          </w:tcPr>
          <w:p w14:paraId="361CE842" w14:textId="77777777" w:rsidR="00085E73" w:rsidRPr="0003369F" w:rsidRDefault="00085E73" w:rsidP="003475E2">
            <w:pPr>
              <w:pStyle w:val="TableText"/>
            </w:pPr>
            <w:r w:rsidRPr="0003369F">
              <w:t>12%</w:t>
            </w:r>
          </w:p>
        </w:tc>
        <w:tc>
          <w:tcPr>
            <w:tcW w:w="864" w:type="dxa"/>
            <w:noWrap/>
            <w:vAlign w:val="bottom"/>
          </w:tcPr>
          <w:p w14:paraId="0E0709CA" w14:textId="77777777" w:rsidR="00085E73" w:rsidRPr="0003369F" w:rsidRDefault="00085E73" w:rsidP="003475E2">
            <w:pPr>
              <w:pStyle w:val="TableText"/>
            </w:pPr>
            <w:r w:rsidRPr="0003369F">
              <w:t>154</w:t>
            </w:r>
          </w:p>
        </w:tc>
        <w:tc>
          <w:tcPr>
            <w:tcW w:w="864" w:type="dxa"/>
            <w:noWrap/>
            <w:vAlign w:val="bottom"/>
          </w:tcPr>
          <w:p w14:paraId="3F0F4DBE" w14:textId="77777777" w:rsidR="00085E73" w:rsidRPr="0003369F" w:rsidRDefault="00085E73" w:rsidP="003475E2">
            <w:pPr>
              <w:pStyle w:val="TableText"/>
            </w:pPr>
            <w:r w:rsidRPr="0003369F">
              <w:t>19%</w:t>
            </w:r>
          </w:p>
        </w:tc>
      </w:tr>
      <w:tr w:rsidR="00085E73" w:rsidRPr="0003369F" w14:paraId="0EFB6655" w14:textId="77777777" w:rsidTr="003475E2">
        <w:tc>
          <w:tcPr>
            <w:tcW w:w="7056" w:type="dxa"/>
          </w:tcPr>
          <w:p w14:paraId="5EEB3B6D" w14:textId="77777777" w:rsidR="00085E73" w:rsidRPr="0003369F" w:rsidRDefault="00085E73" w:rsidP="00536FF8">
            <w:pPr>
              <w:pStyle w:val="TableText"/>
              <w:keepNext/>
              <w:jc w:val="left"/>
            </w:pPr>
            <w:r w:rsidRPr="0003369F">
              <w:t>Non-Embedded Designated Support—Scribe Items</w:t>
            </w:r>
          </w:p>
        </w:tc>
        <w:tc>
          <w:tcPr>
            <w:tcW w:w="864" w:type="dxa"/>
            <w:noWrap/>
            <w:vAlign w:val="bottom"/>
          </w:tcPr>
          <w:p w14:paraId="0153BBE3" w14:textId="77777777" w:rsidR="00085E73" w:rsidRPr="0003369F" w:rsidRDefault="00085E73" w:rsidP="003475E2">
            <w:pPr>
              <w:pStyle w:val="TableText"/>
            </w:pPr>
            <w:r w:rsidRPr="0003369F">
              <w:t>27</w:t>
            </w:r>
          </w:p>
        </w:tc>
        <w:tc>
          <w:tcPr>
            <w:tcW w:w="864" w:type="dxa"/>
            <w:noWrap/>
            <w:vAlign w:val="bottom"/>
          </w:tcPr>
          <w:p w14:paraId="045BAD8A" w14:textId="77777777" w:rsidR="00085E73" w:rsidRPr="0003369F" w:rsidRDefault="00085E73" w:rsidP="003475E2">
            <w:pPr>
              <w:pStyle w:val="TableText"/>
            </w:pPr>
            <w:r w:rsidRPr="0003369F">
              <w:t>4%</w:t>
            </w:r>
          </w:p>
        </w:tc>
        <w:tc>
          <w:tcPr>
            <w:tcW w:w="864" w:type="dxa"/>
            <w:noWrap/>
            <w:vAlign w:val="bottom"/>
          </w:tcPr>
          <w:p w14:paraId="4C1D31D8" w14:textId="77777777" w:rsidR="00085E73" w:rsidRPr="0003369F" w:rsidRDefault="00085E73" w:rsidP="003475E2">
            <w:pPr>
              <w:pStyle w:val="TableText"/>
            </w:pPr>
            <w:r w:rsidRPr="0003369F">
              <w:t>75</w:t>
            </w:r>
          </w:p>
        </w:tc>
        <w:tc>
          <w:tcPr>
            <w:tcW w:w="864" w:type="dxa"/>
            <w:noWrap/>
            <w:vAlign w:val="bottom"/>
          </w:tcPr>
          <w:p w14:paraId="170DFEF9" w14:textId="77777777" w:rsidR="00085E73" w:rsidRPr="0003369F" w:rsidRDefault="00085E73" w:rsidP="003475E2">
            <w:pPr>
              <w:pStyle w:val="TableText"/>
            </w:pPr>
            <w:r w:rsidRPr="0003369F">
              <w:t>9%</w:t>
            </w:r>
          </w:p>
        </w:tc>
      </w:tr>
      <w:tr w:rsidR="00085E73" w:rsidRPr="0003369F" w14:paraId="6358AADD" w14:textId="77777777" w:rsidTr="003475E2">
        <w:tc>
          <w:tcPr>
            <w:tcW w:w="7056" w:type="dxa"/>
          </w:tcPr>
          <w:p w14:paraId="5D91967B" w14:textId="77777777" w:rsidR="00085E73" w:rsidRPr="0003369F" w:rsidRDefault="00085E73" w:rsidP="00536FF8">
            <w:pPr>
              <w:pStyle w:val="TableText"/>
              <w:keepNext/>
              <w:jc w:val="left"/>
            </w:pPr>
            <w:r w:rsidRPr="0003369F">
              <w:t>Non-Embedded Designated Support—Separate Setting</w:t>
            </w:r>
          </w:p>
        </w:tc>
        <w:tc>
          <w:tcPr>
            <w:tcW w:w="864" w:type="dxa"/>
            <w:noWrap/>
            <w:vAlign w:val="bottom"/>
          </w:tcPr>
          <w:p w14:paraId="3546D117" w14:textId="77777777" w:rsidR="00085E73" w:rsidRPr="0003369F" w:rsidRDefault="00085E73" w:rsidP="003475E2">
            <w:pPr>
              <w:pStyle w:val="TableText"/>
            </w:pPr>
            <w:r w:rsidRPr="0003369F">
              <w:t>93</w:t>
            </w:r>
          </w:p>
        </w:tc>
        <w:tc>
          <w:tcPr>
            <w:tcW w:w="864" w:type="dxa"/>
            <w:noWrap/>
            <w:vAlign w:val="bottom"/>
          </w:tcPr>
          <w:p w14:paraId="78D0221D" w14:textId="77777777" w:rsidR="00085E73" w:rsidRPr="0003369F" w:rsidRDefault="00085E73" w:rsidP="003475E2">
            <w:pPr>
              <w:pStyle w:val="TableText"/>
            </w:pPr>
            <w:r w:rsidRPr="0003369F">
              <w:t>13%</w:t>
            </w:r>
          </w:p>
        </w:tc>
        <w:tc>
          <w:tcPr>
            <w:tcW w:w="864" w:type="dxa"/>
            <w:noWrap/>
            <w:vAlign w:val="bottom"/>
          </w:tcPr>
          <w:p w14:paraId="63B9ACAB" w14:textId="77777777" w:rsidR="00085E73" w:rsidRPr="0003369F" w:rsidRDefault="00085E73" w:rsidP="003475E2">
            <w:pPr>
              <w:pStyle w:val="TableText"/>
            </w:pPr>
            <w:r w:rsidRPr="0003369F">
              <w:t>154</w:t>
            </w:r>
          </w:p>
        </w:tc>
        <w:tc>
          <w:tcPr>
            <w:tcW w:w="864" w:type="dxa"/>
            <w:noWrap/>
            <w:vAlign w:val="bottom"/>
          </w:tcPr>
          <w:p w14:paraId="6521F8F5" w14:textId="77777777" w:rsidR="00085E73" w:rsidRPr="0003369F" w:rsidRDefault="00085E73" w:rsidP="003475E2">
            <w:pPr>
              <w:pStyle w:val="TableText"/>
            </w:pPr>
            <w:r w:rsidRPr="0003369F">
              <w:t>19%</w:t>
            </w:r>
          </w:p>
        </w:tc>
      </w:tr>
      <w:tr w:rsidR="00085E73" w:rsidRPr="0003369F" w14:paraId="3C134983" w14:textId="77777777" w:rsidTr="003475E2">
        <w:tc>
          <w:tcPr>
            <w:tcW w:w="7056" w:type="dxa"/>
            <w:tcBorders>
              <w:bottom w:val="single" w:sz="4" w:space="0" w:color="auto"/>
            </w:tcBorders>
          </w:tcPr>
          <w:p w14:paraId="5B9FD4A6" w14:textId="77777777" w:rsidR="00085E73" w:rsidRPr="0003369F" w:rsidRDefault="00085E73" w:rsidP="003475E2">
            <w:pPr>
              <w:pStyle w:val="TableText"/>
              <w:jc w:val="left"/>
            </w:pPr>
            <w:r w:rsidRPr="0003369F">
              <w:t>Non-Embedded Designated Support—100s Number Table</w:t>
            </w:r>
          </w:p>
        </w:tc>
        <w:tc>
          <w:tcPr>
            <w:tcW w:w="864" w:type="dxa"/>
            <w:tcBorders>
              <w:bottom w:val="single" w:sz="4" w:space="0" w:color="auto"/>
            </w:tcBorders>
            <w:noWrap/>
            <w:vAlign w:val="bottom"/>
          </w:tcPr>
          <w:p w14:paraId="1DADC185" w14:textId="77777777" w:rsidR="00085E73" w:rsidRPr="0003369F" w:rsidRDefault="00085E73" w:rsidP="003475E2">
            <w:pPr>
              <w:pStyle w:val="TableText"/>
            </w:pPr>
            <w:r w:rsidRPr="0003369F">
              <w:t>15</w:t>
            </w:r>
          </w:p>
        </w:tc>
        <w:tc>
          <w:tcPr>
            <w:tcW w:w="864" w:type="dxa"/>
            <w:tcBorders>
              <w:bottom w:val="single" w:sz="4" w:space="0" w:color="auto"/>
            </w:tcBorders>
            <w:noWrap/>
            <w:vAlign w:val="bottom"/>
          </w:tcPr>
          <w:p w14:paraId="2DE5BD4C" w14:textId="77777777" w:rsidR="00085E73" w:rsidRPr="0003369F" w:rsidRDefault="00085E73" w:rsidP="003475E2">
            <w:pPr>
              <w:pStyle w:val="TableText"/>
            </w:pPr>
            <w:r w:rsidRPr="0003369F">
              <w:t>2%</w:t>
            </w:r>
          </w:p>
        </w:tc>
        <w:tc>
          <w:tcPr>
            <w:tcW w:w="864" w:type="dxa"/>
            <w:tcBorders>
              <w:bottom w:val="single" w:sz="4" w:space="0" w:color="auto"/>
            </w:tcBorders>
            <w:noWrap/>
            <w:vAlign w:val="bottom"/>
          </w:tcPr>
          <w:p w14:paraId="619BC601" w14:textId="77777777" w:rsidR="00085E73" w:rsidRPr="0003369F" w:rsidRDefault="00085E73" w:rsidP="003475E2">
            <w:pPr>
              <w:pStyle w:val="TableText"/>
            </w:pPr>
            <w:r w:rsidRPr="0003369F">
              <w:t>31</w:t>
            </w:r>
          </w:p>
        </w:tc>
        <w:tc>
          <w:tcPr>
            <w:tcW w:w="864" w:type="dxa"/>
            <w:tcBorders>
              <w:bottom w:val="single" w:sz="4" w:space="0" w:color="auto"/>
            </w:tcBorders>
            <w:noWrap/>
            <w:vAlign w:val="bottom"/>
          </w:tcPr>
          <w:p w14:paraId="3007F373" w14:textId="77777777" w:rsidR="00085E73" w:rsidRPr="0003369F" w:rsidRDefault="00085E73" w:rsidP="003475E2">
            <w:pPr>
              <w:pStyle w:val="TableText"/>
            </w:pPr>
            <w:r w:rsidRPr="0003369F">
              <w:t>4%</w:t>
            </w:r>
          </w:p>
        </w:tc>
      </w:tr>
      <w:tr w:rsidR="00085E73" w:rsidRPr="0003369F" w14:paraId="31620C4A" w14:textId="77777777" w:rsidTr="003475E2">
        <w:tc>
          <w:tcPr>
            <w:tcW w:w="7056" w:type="dxa"/>
            <w:tcBorders>
              <w:top w:val="single" w:sz="4" w:space="0" w:color="auto"/>
              <w:bottom w:val="single" w:sz="12" w:space="0" w:color="auto"/>
            </w:tcBorders>
          </w:tcPr>
          <w:p w14:paraId="4AF7EC0C" w14:textId="77777777" w:rsidR="00085E73" w:rsidRPr="00E31117" w:rsidRDefault="00085E73" w:rsidP="003475E2">
            <w:pPr>
              <w:pStyle w:val="TableText"/>
              <w:rPr>
                <w:b/>
                <w:bCs/>
              </w:rPr>
            </w:pPr>
            <w:r w:rsidRPr="00E31117">
              <w:rPr>
                <w:b/>
                <w:bCs/>
              </w:rPr>
              <w:t>Total Students Tested</w:t>
            </w:r>
          </w:p>
        </w:tc>
        <w:tc>
          <w:tcPr>
            <w:tcW w:w="864" w:type="dxa"/>
            <w:tcBorders>
              <w:top w:val="single" w:sz="4" w:space="0" w:color="auto"/>
              <w:bottom w:val="single" w:sz="12" w:space="0" w:color="auto"/>
            </w:tcBorders>
            <w:noWrap/>
            <w:vAlign w:val="bottom"/>
          </w:tcPr>
          <w:p w14:paraId="242770D0" w14:textId="77777777" w:rsidR="00085E73" w:rsidRPr="0003369F" w:rsidRDefault="00085E73" w:rsidP="003475E2">
            <w:pPr>
              <w:pStyle w:val="TableText"/>
            </w:pPr>
            <w:r w:rsidRPr="0003369F">
              <w:t>737</w:t>
            </w:r>
          </w:p>
        </w:tc>
        <w:tc>
          <w:tcPr>
            <w:tcW w:w="864" w:type="dxa"/>
            <w:tcBorders>
              <w:top w:val="single" w:sz="4" w:space="0" w:color="auto"/>
              <w:bottom w:val="single" w:sz="12" w:space="0" w:color="auto"/>
            </w:tcBorders>
            <w:noWrap/>
            <w:vAlign w:val="bottom"/>
          </w:tcPr>
          <w:p w14:paraId="181F96FC" w14:textId="77777777" w:rsidR="00085E73" w:rsidRPr="0003369F" w:rsidRDefault="00085E73" w:rsidP="003475E2">
            <w:pPr>
              <w:pStyle w:val="TableText"/>
            </w:pPr>
            <w:r w:rsidRPr="0003369F">
              <w:t>N/A</w:t>
            </w:r>
          </w:p>
        </w:tc>
        <w:tc>
          <w:tcPr>
            <w:tcW w:w="864" w:type="dxa"/>
            <w:tcBorders>
              <w:top w:val="single" w:sz="4" w:space="0" w:color="auto"/>
              <w:bottom w:val="single" w:sz="12" w:space="0" w:color="auto"/>
            </w:tcBorders>
            <w:noWrap/>
            <w:vAlign w:val="bottom"/>
          </w:tcPr>
          <w:p w14:paraId="0EEFF699" w14:textId="77777777" w:rsidR="00085E73" w:rsidRPr="0003369F" w:rsidRDefault="00085E73" w:rsidP="003475E2">
            <w:pPr>
              <w:pStyle w:val="TableText"/>
            </w:pPr>
            <w:r w:rsidRPr="0003369F">
              <w:t>804</w:t>
            </w:r>
          </w:p>
        </w:tc>
        <w:tc>
          <w:tcPr>
            <w:tcW w:w="864" w:type="dxa"/>
            <w:tcBorders>
              <w:top w:val="single" w:sz="4" w:space="0" w:color="auto"/>
              <w:bottom w:val="single" w:sz="12" w:space="0" w:color="auto"/>
            </w:tcBorders>
            <w:noWrap/>
            <w:vAlign w:val="bottom"/>
          </w:tcPr>
          <w:p w14:paraId="26D41623" w14:textId="77777777" w:rsidR="00085E73" w:rsidRPr="0003369F" w:rsidRDefault="00085E73" w:rsidP="003475E2">
            <w:pPr>
              <w:pStyle w:val="TableText"/>
            </w:pPr>
            <w:r w:rsidRPr="0003369F">
              <w:t xml:space="preserve">N/A </w:t>
            </w:r>
          </w:p>
        </w:tc>
      </w:tr>
    </w:tbl>
    <w:p w14:paraId="1FC9AB24" w14:textId="77777777" w:rsidR="00AD5AE6" w:rsidRDefault="00AD5AE6" w:rsidP="00AD5AE6">
      <w:pPr>
        <w:pageBreakBefore/>
      </w:pPr>
      <w:r w:rsidRPr="002B4A82">
        <w:rPr>
          <w:b/>
        </w:rPr>
        <w:lastRenderedPageBreak/>
        <w:t xml:space="preserve">Note: </w:t>
      </w:r>
      <w:r>
        <w:t>Some students are eligible for multiple accessibility resources. As a result, the number of students tested in each grade level may not equal the sum of the number of students eligible per accessibility resource across all accessibility resources.</w:t>
      </w:r>
    </w:p>
    <w:p w14:paraId="1617E58B" w14:textId="40E72503" w:rsidR="00085E73" w:rsidRDefault="00085E73" w:rsidP="00AD5AE6">
      <w:pPr>
        <w:pStyle w:val="Caption"/>
      </w:pPr>
      <w:bookmarkStart w:id="204" w:name="_Ref67381653"/>
      <w:bookmarkStart w:id="205" w:name="_Toc67319685"/>
      <w:bookmarkStart w:id="206" w:name="_Toc220498689"/>
      <w:r>
        <w:t>Table 2.A.</w:t>
      </w:r>
      <w:r>
        <w:fldChar w:fldCharType="begin"/>
      </w:r>
      <w:r>
        <w:instrText>SEQ Table_2.A. \* ARABIC</w:instrText>
      </w:r>
      <w:r>
        <w:fldChar w:fldCharType="separate"/>
      </w:r>
      <w:r w:rsidR="00961502">
        <w:rPr>
          <w:noProof/>
        </w:rPr>
        <w:t>3</w:t>
      </w:r>
      <w:r>
        <w:fldChar w:fldCharType="end"/>
      </w:r>
      <w:bookmarkEnd w:id="204"/>
      <w:r>
        <w:t xml:space="preserve">  Assignment of Designated Supports and Accommodations—Grades Five and</w:t>
      </w:r>
      <w:r w:rsidR="00A016ED">
        <w:t> </w:t>
      </w:r>
      <w:r>
        <w:t xml:space="preserve">Eight for </w:t>
      </w:r>
      <w:r>
        <w:rPr>
          <w:rFonts w:cs="Arial"/>
        </w:rPr>
        <w:t>Life Sciences</w:t>
      </w:r>
      <w:bookmarkEnd w:id="205"/>
      <w:bookmarkEnd w:id="206"/>
    </w:p>
    <w:tbl>
      <w:tblPr>
        <w:tblStyle w:val="TRs"/>
        <w:tblW w:w="10512" w:type="dxa"/>
        <w:tblLayout w:type="fixed"/>
        <w:tblLook w:val="04A0" w:firstRow="1" w:lastRow="0" w:firstColumn="1" w:lastColumn="0" w:noHBand="0" w:noVBand="1"/>
        <w:tblDescription w:val="Assignment of Designated Supports and Accommodations—Grades Five and Eight for Life Sciences"/>
      </w:tblPr>
      <w:tblGrid>
        <w:gridCol w:w="7056"/>
        <w:gridCol w:w="864"/>
        <w:gridCol w:w="864"/>
        <w:gridCol w:w="864"/>
        <w:gridCol w:w="864"/>
      </w:tblGrid>
      <w:tr w:rsidR="00085E73" w:rsidRPr="006A1E3E" w14:paraId="63B9E6F3" w14:textId="77777777" w:rsidTr="00110817">
        <w:trPr>
          <w:cnfStyle w:val="100000000000" w:firstRow="1" w:lastRow="0" w:firstColumn="0" w:lastColumn="0" w:oddVBand="0" w:evenVBand="0" w:oddHBand="0" w:evenHBand="0" w:firstRowFirstColumn="0" w:firstRowLastColumn="0" w:lastRowFirstColumn="0" w:lastRowLastColumn="0"/>
          <w:trHeight w:val="1872"/>
        </w:trPr>
        <w:tc>
          <w:tcPr>
            <w:tcW w:w="7056" w:type="dxa"/>
            <w:hideMark/>
          </w:tcPr>
          <w:p w14:paraId="2DCDB4A1" w14:textId="77777777" w:rsidR="00085E73" w:rsidRPr="006A1E3E" w:rsidRDefault="00085E73" w:rsidP="00110817">
            <w:pPr>
              <w:pStyle w:val="TableHead"/>
            </w:pPr>
            <w:r>
              <w:t>Accessibility Resource</w:t>
            </w:r>
          </w:p>
        </w:tc>
        <w:tc>
          <w:tcPr>
            <w:tcW w:w="864" w:type="dxa"/>
            <w:textDirection w:val="btLr"/>
            <w:vAlign w:val="center"/>
            <w:hideMark/>
          </w:tcPr>
          <w:p w14:paraId="479741A1" w14:textId="77777777" w:rsidR="00085E73" w:rsidRPr="006A1E3E" w:rsidRDefault="00085E73" w:rsidP="006E1E47">
            <w:pPr>
              <w:pStyle w:val="TableHead"/>
              <w:ind w:left="72" w:right="115"/>
              <w:jc w:val="left"/>
            </w:pPr>
            <w:r w:rsidRPr="006A1E3E">
              <w:t xml:space="preserve">Grade </w:t>
            </w:r>
            <w:r>
              <w:t xml:space="preserve">5: </w:t>
            </w:r>
            <w:r w:rsidRPr="006A1E3E">
              <w:t>N</w:t>
            </w:r>
          </w:p>
        </w:tc>
        <w:tc>
          <w:tcPr>
            <w:tcW w:w="864" w:type="dxa"/>
            <w:textDirection w:val="btLr"/>
            <w:vAlign w:val="center"/>
            <w:hideMark/>
          </w:tcPr>
          <w:p w14:paraId="10BD9FB9" w14:textId="77777777" w:rsidR="00085E73" w:rsidRPr="006A1E3E" w:rsidRDefault="00085E73" w:rsidP="006E1E47">
            <w:pPr>
              <w:pStyle w:val="TableHead"/>
              <w:ind w:left="72" w:right="115"/>
              <w:jc w:val="left"/>
            </w:pPr>
            <w:r w:rsidRPr="006A1E3E">
              <w:t xml:space="preserve">Grade </w:t>
            </w:r>
            <w:r>
              <w:t>5: % of Total T</w:t>
            </w:r>
            <w:r w:rsidRPr="006A1E3E">
              <w:t>ested</w:t>
            </w:r>
          </w:p>
        </w:tc>
        <w:tc>
          <w:tcPr>
            <w:tcW w:w="864" w:type="dxa"/>
            <w:textDirection w:val="btLr"/>
            <w:vAlign w:val="center"/>
            <w:hideMark/>
          </w:tcPr>
          <w:p w14:paraId="55A534B4" w14:textId="77777777" w:rsidR="00085E73" w:rsidRPr="006A1E3E" w:rsidRDefault="00085E73" w:rsidP="006E1E47">
            <w:pPr>
              <w:pStyle w:val="TableHead"/>
              <w:ind w:left="72" w:right="115"/>
              <w:jc w:val="left"/>
            </w:pPr>
            <w:r w:rsidRPr="006A1E3E">
              <w:t>Grade 8</w:t>
            </w:r>
            <w:r>
              <w:t xml:space="preserve">: </w:t>
            </w:r>
            <w:r w:rsidRPr="006A1E3E">
              <w:t>N</w:t>
            </w:r>
          </w:p>
        </w:tc>
        <w:tc>
          <w:tcPr>
            <w:tcW w:w="864" w:type="dxa"/>
            <w:textDirection w:val="btLr"/>
            <w:vAlign w:val="center"/>
            <w:hideMark/>
          </w:tcPr>
          <w:p w14:paraId="3DE3B595" w14:textId="77777777" w:rsidR="00085E73" w:rsidRPr="006A1E3E" w:rsidRDefault="00085E73" w:rsidP="006E1E47">
            <w:pPr>
              <w:pStyle w:val="TableHead"/>
              <w:ind w:left="72" w:right="115"/>
              <w:jc w:val="left"/>
            </w:pPr>
            <w:r w:rsidRPr="006A1E3E">
              <w:t>Grade 8</w:t>
            </w:r>
            <w:r>
              <w:t>: % of Total T</w:t>
            </w:r>
            <w:r w:rsidRPr="006A1E3E">
              <w:t>ested</w:t>
            </w:r>
          </w:p>
        </w:tc>
      </w:tr>
      <w:tr w:rsidR="00085E73" w:rsidRPr="00B96179" w14:paraId="452F983C" w14:textId="77777777" w:rsidTr="008803B7">
        <w:tc>
          <w:tcPr>
            <w:tcW w:w="7056" w:type="dxa"/>
            <w:tcBorders>
              <w:top w:val="single" w:sz="4" w:space="0" w:color="auto"/>
            </w:tcBorders>
          </w:tcPr>
          <w:p w14:paraId="6DDDDF9A" w14:textId="77777777" w:rsidR="00085E73" w:rsidRPr="00B96179" w:rsidRDefault="00085E73" w:rsidP="003475E2">
            <w:pPr>
              <w:pStyle w:val="TableText"/>
              <w:jc w:val="left"/>
              <w:rPr>
                <w:lang w:eastAsia="ko-KR"/>
              </w:rPr>
            </w:pPr>
            <w:r>
              <w:t>Non-Embedded Accommodation—Abacus</w:t>
            </w:r>
          </w:p>
        </w:tc>
        <w:tc>
          <w:tcPr>
            <w:tcW w:w="864" w:type="dxa"/>
            <w:tcBorders>
              <w:top w:val="single" w:sz="4" w:space="0" w:color="auto"/>
            </w:tcBorders>
            <w:noWrap/>
            <w:vAlign w:val="bottom"/>
          </w:tcPr>
          <w:p w14:paraId="73D8034A" w14:textId="77777777" w:rsidR="00085E73" w:rsidRPr="007A3043" w:rsidRDefault="00085E73" w:rsidP="003475E2">
            <w:pPr>
              <w:pStyle w:val="TableText"/>
              <w:rPr>
                <w:szCs w:val="24"/>
                <w:lang w:eastAsia="ko-KR"/>
              </w:rPr>
            </w:pPr>
            <w:r>
              <w:t>7</w:t>
            </w:r>
          </w:p>
        </w:tc>
        <w:tc>
          <w:tcPr>
            <w:tcW w:w="864" w:type="dxa"/>
            <w:tcBorders>
              <w:top w:val="single" w:sz="4" w:space="0" w:color="auto"/>
            </w:tcBorders>
            <w:noWrap/>
            <w:vAlign w:val="bottom"/>
          </w:tcPr>
          <w:p w14:paraId="410320E6" w14:textId="77777777" w:rsidR="00085E73" w:rsidRPr="007A3043" w:rsidRDefault="00085E73" w:rsidP="003475E2">
            <w:pPr>
              <w:pStyle w:val="TableText"/>
              <w:rPr>
                <w:szCs w:val="24"/>
                <w:lang w:eastAsia="ko-KR"/>
              </w:rPr>
            </w:pPr>
            <w:r>
              <w:t>1%</w:t>
            </w:r>
          </w:p>
        </w:tc>
        <w:tc>
          <w:tcPr>
            <w:tcW w:w="864" w:type="dxa"/>
            <w:tcBorders>
              <w:top w:val="single" w:sz="4" w:space="0" w:color="auto"/>
            </w:tcBorders>
            <w:noWrap/>
            <w:vAlign w:val="bottom"/>
          </w:tcPr>
          <w:p w14:paraId="3011EA80" w14:textId="77777777" w:rsidR="00085E73" w:rsidRPr="007A3043" w:rsidRDefault="00085E73" w:rsidP="003475E2">
            <w:pPr>
              <w:pStyle w:val="TableText"/>
              <w:rPr>
                <w:szCs w:val="24"/>
                <w:lang w:eastAsia="ko-KR"/>
              </w:rPr>
            </w:pPr>
            <w:r>
              <w:t>6</w:t>
            </w:r>
          </w:p>
        </w:tc>
        <w:tc>
          <w:tcPr>
            <w:tcW w:w="864" w:type="dxa"/>
            <w:tcBorders>
              <w:top w:val="single" w:sz="4" w:space="0" w:color="auto"/>
            </w:tcBorders>
            <w:noWrap/>
            <w:vAlign w:val="bottom"/>
          </w:tcPr>
          <w:p w14:paraId="3A5E0D43" w14:textId="77777777" w:rsidR="00085E73" w:rsidRPr="007A3043" w:rsidRDefault="00085E73" w:rsidP="003475E2">
            <w:pPr>
              <w:pStyle w:val="TableText"/>
              <w:rPr>
                <w:szCs w:val="24"/>
                <w:lang w:eastAsia="ko-KR"/>
              </w:rPr>
            </w:pPr>
            <w:r>
              <w:t>1%</w:t>
            </w:r>
          </w:p>
        </w:tc>
      </w:tr>
      <w:tr w:rsidR="00085E73" w:rsidRPr="00B96179" w14:paraId="32BB378B" w14:textId="77777777" w:rsidTr="003475E2">
        <w:tc>
          <w:tcPr>
            <w:tcW w:w="7056" w:type="dxa"/>
          </w:tcPr>
          <w:p w14:paraId="4DF007EB" w14:textId="77777777" w:rsidR="00085E73" w:rsidRPr="00B96179" w:rsidRDefault="00085E73" w:rsidP="003475E2">
            <w:pPr>
              <w:pStyle w:val="TableText"/>
              <w:jc w:val="left"/>
              <w:rPr>
                <w:lang w:eastAsia="ko-KR"/>
              </w:rPr>
            </w:pPr>
            <w:r>
              <w:t>Non-Embedded Accommodation—Additional Instructional Supports for Alternate Assessments</w:t>
            </w:r>
          </w:p>
        </w:tc>
        <w:tc>
          <w:tcPr>
            <w:tcW w:w="864" w:type="dxa"/>
            <w:noWrap/>
            <w:vAlign w:val="bottom"/>
          </w:tcPr>
          <w:p w14:paraId="0C6C9F36" w14:textId="77777777" w:rsidR="00085E73" w:rsidRPr="007A3043" w:rsidRDefault="00085E73" w:rsidP="003475E2">
            <w:pPr>
              <w:pStyle w:val="TableText"/>
              <w:rPr>
                <w:szCs w:val="24"/>
                <w:lang w:eastAsia="ko-KR"/>
              </w:rPr>
            </w:pPr>
            <w:r>
              <w:t>49</w:t>
            </w:r>
          </w:p>
        </w:tc>
        <w:tc>
          <w:tcPr>
            <w:tcW w:w="864" w:type="dxa"/>
            <w:noWrap/>
            <w:vAlign w:val="bottom"/>
          </w:tcPr>
          <w:p w14:paraId="3E24901E" w14:textId="77777777" w:rsidR="00085E73" w:rsidRPr="007A3043" w:rsidRDefault="00085E73" w:rsidP="003475E2">
            <w:pPr>
              <w:pStyle w:val="TableText"/>
              <w:rPr>
                <w:szCs w:val="24"/>
                <w:lang w:eastAsia="ko-KR"/>
              </w:rPr>
            </w:pPr>
            <w:r>
              <w:t>7%</w:t>
            </w:r>
          </w:p>
        </w:tc>
        <w:tc>
          <w:tcPr>
            <w:tcW w:w="864" w:type="dxa"/>
            <w:noWrap/>
            <w:vAlign w:val="bottom"/>
          </w:tcPr>
          <w:p w14:paraId="1BB99CE7" w14:textId="77777777" w:rsidR="00085E73" w:rsidRPr="007A3043" w:rsidRDefault="00085E73" w:rsidP="003475E2">
            <w:pPr>
              <w:pStyle w:val="TableText"/>
              <w:rPr>
                <w:szCs w:val="24"/>
                <w:lang w:eastAsia="ko-KR"/>
              </w:rPr>
            </w:pPr>
            <w:r>
              <w:t>43</w:t>
            </w:r>
          </w:p>
        </w:tc>
        <w:tc>
          <w:tcPr>
            <w:tcW w:w="864" w:type="dxa"/>
            <w:noWrap/>
            <w:vAlign w:val="bottom"/>
          </w:tcPr>
          <w:p w14:paraId="3AC500C4" w14:textId="77777777" w:rsidR="00085E73" w:rsidRPr="007A3043" w:rsidRDefault="00085E73" w:rsidP="003475E2">
            <w:pPr>
              <w:pStyle w:val="TableText"/>
              <w:rPr>
                <w:szCs w:val="24"/>
                <w:lang w:eastAsia="ko-KR"/>
              </w:rPr>
            </w:pPr>
            <w:r>
              <w:t>5%</w:t>
            </w:r>
          </w:p>
        </w:tc>
      </w:tr>
      <w:tr w:rsidR="00085E73" w:rsidRPr="00B96179" w14:paraId="078C873C" w14:textId="77777777" w:rsidTr="003475E2">
        <w:tc>
          <w:tcPr>
            <w:tcW w:w="7056" w:type="dxa"/>
          </w:tcPr>
          <w:p w14:paraId="534EAF41" w14:textId="77777777" w:rsidR="00085E73" w:rsidRPr="00B96179" w:rsidRDefault="00085E73" w:rsidP="003475E2">
            <w:pPr>
              <w:pStyle w:val="TableText"/>
              <w:jc w:val="left"/>
              <w:rPr>
                <w:lang w:eastAsia="ko-KR"/>
              </w:rPr>
            </w:pPr>
            <w:r>
              <w:t>Non-Embedded Accommodation—Alternate Response Options</w:t>
            </w:r>
          </w:p>
        </w:tc>
        <w:tc>
          <w:tcPr>
            <w:tcW w:w="864" w:type="dxa"/>
            <w:noWrap/>
            <w:vAlign w:val="bottom"/>
          </w:tcPr>
          <w:p w14:paraId="0CA62FB3" w14:textId="77777777" w:rsidR="00085E73" w:rsidRPr="007A3043" w:rsidRDefault="00085E73" w:rsidP="003475E2">
            <w:pPr>
              <w:pStyle w:val="TableText"/>
              <w:rPr>
                <w:szCs w:val="24"/>
                <w:lang w:eastAsia="ko-KR"/>
              </w:rPr>
            </w:pPr>
            <w:r>
              <w:t>34</w:t>
            </w:r>
          </w:p>
        </w:tc>
        <w:tc>
          <w:tcPr>
            <w:tcW w:w="864" w:type="dxa"/>
            <w:noWrap/>
            <w:vAlign w:val="bottom"/>
          </w:tcPr>
          <w:p w14:paraId="5E80ACC2" w14:textId="77777777" w:rsidR="00085E73" w:rsidRPr="007A3043" w:rsidRDefault="00085E73" w:rsidP="003475E2">
            <w:pPr>
              <w:pStyle w:val="TableText"/>
              <w:rPr>
                <w:szCs w:val="24"/>
                <w:lang w:eastAsia="ko-KR"/>
              </w:rPr>
            </w:pPr>
            <w:r>
              <w:t>5%</w:t>
            </w:r>
          </w:p>
        </w:tc>
        <w:tc>
          <w:tcPr>
            <w:tcW w:w="864" w:type="dxa"/>
            <w:noWrap/>
            <w:vAlign w:val="bottom"/>
          </w:tcPr>
          <w:p w14:paraId="09707A4D" w14:textId="77777777" w:rsidR="00085E73" w:rsidRPr="007A3043" w:rsidRDefault="00085E73" w:rsidP="003475E2">
            <w:pPr>
              <w:pStyle w:val="TableText"/>
              <w:rPr>
                <w:szCs w:val="24"/>
                <w:lang w:eastAsia="ko-KR"/>
              </w:rPr>
            </w:pPr>
            <w:r>
              <w:t>64</w:t>
            </w:r>
          </w:p>
        </w:tc>
        <w:tc>
          <w:tcPr>
            <w:tcW w:w="864" w:type="dxa"/>
            <w:noWrap/>
            <w:vAlign w:val="bottom"/>
          </w:tcPr>
          <w:p w14:paraId="3B109E0F" w14:textId="77777777" w:rsidR="00085E73" w:rsidRPr="007A3043" w:rsidRDefault="00085E73" w:rsidP="003475E2">
            <w:pPr>
              <w:pStyle w:val="TableText"/>
              <w:rPr>
                <w:szCs w:val="24"/>
                <w:lang w:eastAsia="ko-KR"/>
              </w:rPr>
            </w:pPr>
            <w:r>
              <w:t>8%</w:t>
            </w:r>
          </w:p>
        </w:tc>
      </w:tr>
      <w:tr w:rsidR="00085E73" w:rsidRPr="00B96179" w14:paraId="200406B8" w14:textId="77777777" w:rsidTr="003475E2">
        <w:tc>
          <w:tcPr>
            <w:tcW w:w="7056" w:type="dxa"/>
          </w:tcPr>
          <w:p w14:paraId="352CBDD9" w14:textId="77777777" w:rsidR="00085E73" w:rsidRPr="00B96179" w:rsidRDefault="00085E73" w:rsidP="003475E2">
            <w:pPr>
              <w:pStyle w:val="TableText"/>
              <w:jc w:val="left"/>
              <w:rPr>
                <w:lang w:eastAsia="ko-KR"/>
              </w:rPr>
            </w:pPr>
            <w:r>
              <w:t>Non-Embedded Accommodation—Print on Demand</w:t>
            </w:r>
          </w:p>
        </w:tc>
        <w:tc>
          <w:tcPr>
            <w:tcW w:w="864" w:type="dxa"/>
            <w:noWrap/>
            <w:vAlign w:val="bottom"/>
          </w:tcPr>
          <w:p w14:paraId="107BF864" w14:textId="77777777" w:rsidR="00085E73" w:rsidRPr="007A3043" w:rsidRDefault="00085E73" w:rsidP="003475E2">
            <w:pPr>
              <w:pStyle w:val="TableText"/>
              <w:rPr>
                <w:szCs w:val="24"/>
                <w:lang w:eastAsia="ko-KR"/>
              </w:rPr>
            </w:pPr>
            <w:r>
              <w:t>0</w:t>
            </w:r>
          </w:p>
        </w:tc>
        <w:tc>
          <w:tcPr>
            <w:tcW w:w="864" w:type="dxa"/>
            <w:noWrap/>
            <w:vAlign w:val="bottom"/>
          </w:tcPr>
          <w:p w14:paraId="7EF4BD89" w14:textId="77777777" w:rsidR="00085E73" w:rsidRPr="007A3043" w:rsidRDefault="00085E73" w:rsidP="003475E2">
            <w:pPr>
              <w:pStyle w:val="TableText"/>
              <w:rPr>
                <w:szCs w:val="24"/>
                <w:lang w:eastAsia="ko-KR"/>
              </w:rPr>
            </w:pPr>
            <w:r>
              <w:t>0%</w:t>
            </w:r>
          </w:p>
        </w:tc>
        <w:tc>
          <w:tcPr>
            <w:tcW w:w="864" w:type="dxa"/>
            <w:noWrap/>
            <w:vAlign w:val="bottom"/>
          </w:tcPr>
          <w:p w14:paraId="0E182D3B" w14:textId="77777777" w:rsidR="00085E73" w:rsidRPr="007A3043" w:rsidRDefault="00085E73" w:rsidP="003475E2">
            <w:pPr>
              <w:pStyle w:val="TableText"/>
              <w:rPr>
                <w:szCs w:val="24"/>
                <w:lang w:eastAsia="ko-KR"/>
              </w:rPr>
            </w:pPr>
            <w:r>
              <w:t>12</w:t>
            </w:r>
          </w:p>
        </w:tc>
        <w:tc>
          <w:tcPr>
            <w:tcW w:w="864" w:type="dxa"/>
            <w:noWrap/>
            <w:vAlign w:val="bottom"/>
          </w:tcPr>
          <w:p w14:paraId="508BD8AB" w14:textId="77777777" w:rsidR="00085E73" w:rsidRPr="007A3043" w:rsidRDefault="00085E73" w:rsidP="003475E2">
            <w:pPr>
              <w:pStyle w:val="TableText"/>
              <w:rPr>
                <w:szCs w:val="24"/>
                <w:lang w:eastAsia="ko-KR"/>
              </w:rPr>
            </w:pPr>
            <w:r>
              <w:t>1%</w:t>
            </w:r>
          </w:p>
        </w:tc>
      </w:tr>
      <w:tr w:rsidR="00085E73" w:rsidRPr="00B96179" w14:paraId="6B0F740D" w14:textId="77777777" w:rsidTr="003475E2">
        <w:tc>
          <w:tcPr>
            <w:tcW w:w="7056" w:type="dxa"/>
            <w:tcBorders>
              <w:bottom w:val="nil"/>
            </w:tcBorders>
          </w:tcPr>
          <w:p w14:paraId="55827837" w14:textId="77777777" w:rsidR="00085E73" w:rsidRPr="0093049F" w:rsidRDefault="00085E73" w:rsidP="003475E2">
            <w:pPr>
              <w:pStyle w:val="TableText"/>
              <w:jc w:val="left"/>
              <w:rPr>
                <w:szCs w:val="20"/>
              </w:rPr>
            </w:pPr>
            <w:r>
              <w:t>Non-Embedded Accommodation—Unlisted Resources</w:t>
            </w:r>
          </w:p>
        </w:tc>
        <w:tc>
          <w:tcPr>
            <w:tcW w:w="864" w:type="dxa"/>
            <w:tcBorders>
              <w:bottom w:val="nil"/>
            </w:tcBorders>
            <w:noWrap/>
            <w:vAlign w:val="bottom"/>
          </w:tcPr>
          <w:p w14:paraId="094AB8BD" w14:textId="77777777" w:rsidR="00085E73" w:rsidRPr="007A3043" w:rsidRDefault="00085E73" w:rsidP="003475E2">
            <w:pPr>
              <w:pStyle w:val="TableText"/>
              <w:rPr>
                <w:szCs w:val="24"/>
                <w:lang w:eastAsia="ko-KR"/>
              </w:rPr>
            </w:pPr>
            <w:r>
              <w:t>0</w:t>
            </w:r>
          </w:p>
        </w:tc>
        <w:tc>
          <w:tcPr>
            <w:tcW w:w="864" w:type="dxa"/>
            <w:tcBorders>
              <w:bottom w:val="nil"/>
            </w:tcBorders>
            <w:noWrap/>
            <w:vAlign w:val="bottom"/>
          </w:tcPr>
          <w:p w14:paraId="129DED93" w14:textId="77777777" w:rsidR="00085E73" w:rsidRPr="007A3043" w:rsidRDefault="00085E73" w:rsidP="003475E2">
            <w:pPr>
              <w:pStyle w:val="TableText"/>
              <w:rPr>
                <w:szCs w:val="24"/>
                <w:lang w:eastAsia="ko-KR"/>
              </w:rPr>
            </w:pPr>
            <w:r>
              <w:t>0%</w:t>
            </w:r>
          </w:p>
        </w:tc>
        <w:tc>
          <w:tcPr>
            <w:tcW w:w="864" w:type="dxa"/>
            <w:tcBorders>
              <w:bottom w:val="nil"/>
            </w:tcBorders>
            <w:noWrap/>
            <w:vAlign w:val="bottom"/>
          </w:tcPr>
          <w:p w14:paraId="4FAFDBBF" w14:textId="77777777" w:rsidR="00085E73" w:rsidRPr="007A3043" w:rsidRDefault="00085E73" w:rsidP="003475E2">
            <w:pPr>
              <w:pStyle w:val="TableText"/>
              <w:rPr>
                <w:szCs w:val="24"/>
                <w:lang w:eastAsia="ko-KR"/>
              </w:rPr>
            </w:pPr>
            <w:r>
              <w:t>0</w:t>
            </w:r>
          </w:p>
        </w:tc>
        <w:tc>
          <w:tcPr>
            <w:tcW w:w="864" w:type="dxa"/>
            <w:tcBorders>
              <w:bottom w:val="nil"/>
            </w:tcBorders>
            <w:noWrap/>
            <w:vAlign w:val="bottom"/>
          </w:tcPr>
          <w:p w14:paraId="288E02D5" w14:textId="77777777" w:rsidR="00085E73" w:rsidRPr="007A3043" w:rsidRDefault="00085E73" w:rsidP="003475E2">
            <w:pPr>
              <w:pStyle w:val="TableText"/>
              <w:rPr>
                <w:szCs w:val="24"/>
                <w:lang w:eastAsia="ko-KR"/>
              </w:rPr>
            </w:pPr>
            <w:r>
              <w:t>0%</w:t>
            </w:r>
          </w:p>
        </w:tc>
      </w:tr>
      <w:tr w:rsidR="00085E73" w:rsidRPr="00B96179" w14:paraId="5358F511" w14:textId="77777777" w:rsidTr="003475E2">
        <w:tc>
          <w:tcPr>
            <w:tcW w:w="7056" w:type="dxa"/>
            <w:tcBorders>
              <w:top w:val="nil"/>
              <w:bottom w:val="single" w:sz="4" w:space="0" w:color="auto"/>
            </w:tcBorders>
          </w:tcPr>
          <w:p w14:paraId="4AE40C49" w14:textId="77777777" w:rsidR="00085E73" w:rsidRPr="00B96179" w:rsidRDefault="00085E73" w:rsidP="003475E2">
            <w:pPr>
              <w:pStyle w:val="TableText"/>
              <w:jc w:val="left"/>
              <w:rPr>
                <w:lang w:eastAsia="ko-KR"/>
              </w:rPr>
            </w:pPr>
            <w:r>
              <w:t>Non-Embedded Accommodation—Word Prediction</w:t>
            </w:r>
          </w:p>
        </w:tc>
        <w:tc>
          <w:tcPr>
            <w:tcW w:w="864" w:type="dxa"/>
            <w:tcBorders>
              <w:top w:val="nil"/>
              <w:bottom w:val="single" w:sz="4" w:space="0" w:color="auto"/>
            </w:tcBorders>
            <w:noWrap/>
            <w:vAlign w:val="bottom"/>
          </w:tcPr>
          <w:p w14:paraId="29B82636" w14:textId="77777777" w:rsidR="00085E73" w:rsidRPr="007A3043" w:rsidRDefault="00085E73" w:rsidP="003475E2">
            <w:pPr>
              <w:pStyle w:val="TableText"/>
              <w:rPr>
                <w:szCs w:val="24"/>
                <w:lang w:eastAsia="ko-KR"/>
              </w:rPr>
            </w:pPr>
            <w:r>
              <w:t>2</w:t>
            </w:r>
          </w:p>
        </w:tc>
        <w:tc>
          <w:tcPr>
            <w:tcW w:w="864" w:type="dxa"/>
            <w:tcBorders>
              <w:top w:val="nil"/>
              <w:bottom w:val="single" w:sz="4" w:space="0" w:color="auto"/>
            </w:tcBorders>
            <w:noWrap/>
            <w:vAlign w:val="bottom"/>
          </w:tcPr>
          <w:p w14:paraId="189EA95B" w14:textId="77777777" w:rsidR="00085E73" w:rsidRPr="007A3043" w:rsidRDefault="00085E73" w:rsidP="003475E2">
            <w:pPr>
              <w:pStyle w:val="TableText"/>
              <w:rPr>
                <w:szCs w:val="24"/>
                <w:lang w:eastAsia="ko-KR"/>
              </w:rPr>
            </w:pPr>
            <w:r>
              <w:t>0%</w:t>
            </w:r>
          </w:p>
        </w:tc>
        <w:tc>
          <w:tcPr>
            <w:tcW w:w="864" w:type="dxa"/>
            <w:tcBorders>
              <w:top w:val="nil"/>
              <w:bottom w:val="single" w:sz="4" w:space="0" w:color="auto"/>
            </w:tcBorders>
            <w:noWrap/>
            <w:vAlign w:val="bottom"/>
          </w:tcPr>
          <w:p w14:paraId="19D3C354" w14:textId="77777777" w:rsidR="00085E73" w:rsidRPr="007A3043" w:rsidRDefault="00085E73" w:rsidP="003475E2">
            <w:pPr>
              <w:pStyle w:val="TableText"/>
              <w:rPr>
                <w:szCs w:val="24"/>
                <w:lang w:eastAsia="ko-KR"/>
              </w:rPr>
            </w:pPr>
            <w:r>
              <w:t>22</w:t>
            </w:r>
          </w:p>
        </w:tc>
        <w:tc>
          <w:tcPr>
            <w:tcW w:w="864" w:type="dxa"/>
            <w:tcBorders>
              <w:top w:val="nil"/>
              <w:bottom w:val="single" w:sz="4" w:space="0" w:color="auto"/>
            </w:tcBorders>
            <w:noWrap/>
            <w:vAlign w:val="bottom"/>
          </w:tcPr>
          <w:p w14:paraId="6BF93AFD" w14:textId="77777777" w:rsidR="00085E73" w:rsidRPr="007A3043" w:rsidRDefault="00085E73" w:rsidP="003475E2">
            <w:pPr>
              <w:pStyle w:val="TableText"/>
              <w:rPr>
                <w:szCs w:val="24"/>
                <w:lang w:eastAsia="ko-KR"/>
              </w:rPr>
            </w:pPr>
            <w:r>
              <w:t>3%</w:t>
            </w:r>
          </w:p>
        </w:tc>
      </w:tr>
      <w:tr w:rsidR="00085E73" w:rsidRPr="00B96179" w14:paraId="4A33EB77" w14:textId="77777777" w:rsidTr="003475E2">
        <w:tc>
          <w:tcPr>
            <w:tcW w:w="7056" w:type="dxa"/>
            <w:tcBorders>
              <w:top w:val="single" w:sz="4" w:space="0" w:color="auto"/>
            </w:tcBorders>
          </w:tcPr>
          <w:p w14:paraId="16BE8271" w14:textId="77777777" w:rsidR="00085E73" w:rsidRPr="00B96179" w:rsidRDefault="00085E73" w:rsidP="003475E2">
            <w:pPr>
              <w:pStyle w:val="TableText"/>
              <w:jc w:val="left"/>
              <w:rPr>
                <w:lang w:eastAsia="ko-KR"/>
              </w:rPr>
            </w:pPr>
            <w:r>
              <w:t>Embedded Designated Support—Color Contrast</w:t>
            </w:r>
          </w:p>
        </w:tc>
        <w:tc>
          <w:tcPr>
            <w:tcW w:w="864" w:type="dxa"/>
            <w:tcBorders>
              <w:top w:val="single" w:sz="4" w:space="0" w:color="auto"/>
            </w:tcBorders>
            <w:noWrap/>
            <w:vAlign w:val="bottom"/>
          </w:tcPr>
          <w:p w14:paraId="259EE6CB" w14:textId="77777777" w:rsidR="00085E73" w:rsidRPr="007A3043" w:rsidRDefault="00085E73" w:rsidP="003475E2">
            <w:pPr>
              <w:pStyle w:val="TableText"/>
              <w:rPr>
                <w:szCs w:val="24"/>
                <w:lang w:eastAsia="ko-KR"/>
              </w:rPr>
            </w:pPr>
            <w:r>
              <w:t>2</w:t>
            </w:r>
          </w:p>
        </w:tc>
        <w:tc>
          <w:tcPr>
            <w:tcW w:w="864" w:type="dxa"/>
            <w:tcBorders>
              <w:top w:val="single" w:sz="4" w:space="0" w:color="auto"/>
            </w:tcBorders>
            <w:noWrap/>
            <w:vAlign w:val="bottom"/>
          </w:tcPr>
          <w:p w14:paraId="5C08C6FF" w14:textId="77777777" w:rsidR="00085E73" w:rsidRPr="007A3043" w:rsidRDefault="00085E73" w:rsidP="003475E2">
            <w:pPr>
              <w:pStyle w:val="TableText"/>
              <w:rPr>
                <w:szCs w:val="24"/>
                <w:lang w:eastAsia="ko-KR"/>
              </w:rPr>
            </w:pPr>
            <w:r>
              <w:t>0%</w:t>
            </w:r>
          </w:p>
        </w:tc>
        <w:tc>
          <w:tcPr>
            <w:tcW w:w="864" w:type="dxa"/>
            <w:tcBorders>
              <w:top w:val="single" w:sz="4" w:space="0" w:color="auto"/>
            </w:tcBorders>
            <w:noWrap/>
            <w:vAlign w:val="bottom"/>
          </w:tcPr>
          <w:p w14:paraId="57C708E4" w14:textId="77777777" w:rsidR="00085E73" w:rsidRPr="007A3043" w:rsidRDefault="00085E73" w:rsidP="003475E2">
            <w:pPr>
              <w:pStyle w:val="TableText"/>
              <w:rPr>
                <w:szCs w:val="24"/>
                <w:lang w:eastAsia="ko-KR"/>
              </w:rPr>
            </w:pPr>
            <w:r>
              <w:t>4</w:t>
            </w:r>
          </w:p>
        </w:tc>
        <w:tc>
          <w:tcPr>
            <w:tcW w:w="864" w:type="dxa"/>
            <w:tcBorders>
              <w:top w:val="single" w:sz="4" w:space="0" w:color="auto"/>
            </w:tcBorders>
            <w:noWrap/>
            <w:vAlign w:val="bottom"/>
          </w:tcPr>
          <w:p w14:paraId="09ACEE05" w14:textId="77777777" w:rsidR="00085E73" w:rsidRPr="007A3043" w:rsidRDefault="00085E73" w:rsidP="003475E2">
            <w:pPr>
              <w:pStyle w:val="TableText"/>
              <w:rPr>
                <w:szCs w:val="24"/>
                <w:lang w:eastAsia="ko-KR"/>
              </w:rPr>
            </w:pPr>
            <w:r>
              <w:t>1%</w:t>
            </w:r>
          </w:p>
        </w:tc>
      </w:tr>
      <w:tr w:rsidR="00085E73" w:rsidRPr="00B96179" w14:paraId="7008EEF0" w14:textId="77777777" w:rsidTr="003475E2">
        <w:tc>
          <w:tcPr>
            <w:tcW w:w="7056" w:type="dxa"/>
          </w:tcPr>
          <w:p w14:paraId="44DD102B" w14:textId="77777777" w:rsidR="00085E73" w:rsidRPr="0093049F" w:rsidRDefault="00085E73" w:rsidP="003475E2">
            <w:pPr>
              <w:pStyle w:val="TableText"/>
              <w:jc w:val="left"/>
              <w:rPr>
                <w:lang w:eastAsia="ko-KR"/>
              </w:rPr>
            </w:pPr>
            <w:r>
              <w:t>Embedded Designated Support—Masking</w:t>
            </w:r>
          </w:p>
        </w:tc>
        <w:tc>
          <w:tcPr>
            <w:tcW w:w="864" w:type="dxa"/>
            <w:noWrap/>
            <w:vAlign w:val="bottom"/>
          </w:tcPr>
          <w:p w14:paraId="6FC21696" w14:textId="77777777" w:rsidR="00085E73" w:rsidRDefault="00085E73" w:rsidP="003475E2">
            <w:pPr>
              <w:pStyle w:val="TableText"/>
              <w:rPr>
                <w:szCs w:val="24"/>
                <w:lang w:eastAsia="ko-KR"/>
              </w:rPr>
            </w:pPr>
            <w:r>
              <w:t>21</w:t>
            </w:r>
          </w:p>
        </w:tc>
        <w:tc>
          <w:tcPr>
            <w:tcW w:w="864" w:type="dxa"/>
            <w:noWrap/>
            <w:vAlign w:val="bottom"/>
          </w:tcPr>
          <w:p w14:paraId="03E977F3" w14:textId="77777777" w:rsidR="00085E73" w:rsidRDefault="00085E73" w:rsidP="003475E2">
            <w:pPr>
              <w:pStyle w:val="TableText"/>
            </w:pPr>
            <w:r>
              <w:t>3%</w:t>
            </w:r>
          </w:p>
        </w:tc>
        <w:tc>
          <w:tcPr>
            <w:tcW w:w="864" w:type="dxa"/>
            <w:noWrap/>
            <w:vAlign w:val="bottom"/>
          </w:tcPr>
          <w:p w14:paraId="2EAB57B5" w14:textId="77777777" w:rsidR="00085E73" w:rsidRDefault="00085E73" w:rsidP="003475E2">
            <w:pPr>
              <w:pStyle w:val="TableText"/>
              <w:rPr>
                <w:szCs w:val="24"/>
                <w:lang w:eastAsia="ko-KR"/>
              </w:rPr>
            </w:pPr>
            <w:r>
              <w:t>34</w:t>
            </w:r>
          </w:p>
        </w:tc>
        <w:tc>
          <w:tcPr>
            <w:tcW w:w="864" w:type="dxa"/>
            <w:noWrap/>
            <w:vAlign w:val="bottom"/>
          </w:tcPr>
          <w:p w14:paraId="7E507798" w14:textId="77777777" w:rsidR="00085E73" w:rsidRDefault="00085E73" w:rsidP="003475E2">
            <w:pPr>
              <w:pStyle w:val="TableText"/>
            </w:pPr>
            <w:r>
              <w:t>4%</w:t>
            </w:r>
          </w:p>
        </w:tc>
      </w:tr>
      <w:tr w:rsidR="00085E73" w:rsidRPr="00B96179" w14:paraId="0EBBF6EA" w14:textId="77777777" w:rsidTr="003475E2">
        <w:tc>
          <w:tcPr>
            <w:tcW w:w="7056" w:type="dxa"/>
          </w:tcPr>
          <w:p w14:paraId="21C35C9C" w14:textId="77777777" w:rsidR="00085E73" w:rsidRPr="0093049F" w:rsidRDefault="00085E73" w:rsidP="003475E2">
            <w:pPr>
              <w:pStyle w:val="TableText"/>
              <w:jc w:val="left"/>
              <w:rPr>
                <w:lang w:eastAsia="ko-KR"/>
              </w:rPr>
            </w:pPr>
            <w:r>
              <w:t>Embedded Designated Support—Mouse Pointer</w:t>
            </w:r>
          </w:p>
        </w:tc>
        <w:tc>
          <w:tcPr>
            <w:tcW w:w="864" w:type="dxa"/>
            <w:noWrap/>
            <w:vAlign w:val="bottom"/>
          </w:tcPr>
          <w:p w14:paraId="5EC4840B" w14:textId="77777777" w:rsidR="00085E73" w:rsidRDefault="00085E73" w:rsidP="003475E2">
            <w:pPr>
              <w:pStyle w:val="TableText"/>
              <w:rPr>
                <w:szCs w:val="24"/>
                <w:lang w:eastAsia="ko-KR"/>
              </w:rPr>
            </w:pPr>
            <w:r>
              <w:t>5</w:t>
            </w:r>
          </w:p>
        </w:tc>
        <w:tc>
          <w:tcPr>
            <w:tcW w:w="864" w:type="dxa"/>
            <w:noWrap/>
            <w:vAlign w:val="bottom"/>
          </w:tcPr>
          <w:p w14:paraId="340A7CC1" w14:textId="77777777" w:rsidR="00085E73" w:rsidRDefault="00085E73" w:rsidP="003475E2">
            <w:pPr>
              <w:pStyle w:val="TableText"/>
            </w:pPr>
            <w:r>
              <w:t>1%</w:t>
            </w:r>
          </w:p>
        </w:tc>
        <w:tc>
          <w:tcPr>
            <w:tcW w:w="864" w:type="dxa"/>
            <w:noWrap/>
            <w:vAlign w:val="bottom"/>
          </w:tcPr>
          <w:p w14:paraId="1160BB07" w14:textId="77777777" w:rsidR="00085E73" w:rsidRDefault="00085E73" w:rsidP="003475E2">
            <w:pPr>
              <w:pStyle w:val="TableText"/>
              <w:rPr>
                <w:szCs w:val="24"/>
                <w:lang w:eastAsia="ko-KR"/>
              </w:rPr>
            </w:pPr>
            <w:r>
              <w:t>4</w:t>
            </w:r>
          </w:p>
        </w:tc>
        <w:tc>
          <w:tcPr>
            <w:tcW w:w="864" w:type="dxa"/>
            <w:noWrap/>
            <w:vAlign w:val="bottom"/>
          </w:tcPr>
          <w:p w14:paraId="46F3B6E3" w14:textId="77777777" w:rsidR="00085E73" w:rsidRDefault="00085E73" w:rsidP="003475E2">
            <w:pPr>
              <w:pStyle w:val="TableText"/>
            </w:pPr>
            <w:r>
              <w:t>1%</w:t>
            </w:r>
          </w:p>
        </w:tc>
      </w:tr>
      <w:tr w:rsidR="00085E73" w:rsidRPr="00B96179" w14:paraId="77DE00E3" w14:textId="77777777" w:rsidTr="003475E2">
        <w:tc>
          <w:tcPr>
            <w:tcW w:w="7056" w:type="dxa"/>
          </w:tcPr>
          <w:p w14:paraId="5BFC1751" w14:textId="77777777" w:rsidR="00085E73" w:rsidRPr="0093049F" w:rsidRDefault="00085E73" w:rsidP="003475E2">
            <w:pPr>
              <w:pStyle w:val="TableText"/>
              <w:jc w:val="left"/>
              <w:rPr>
                <w:lang w:eastAsia="ko-KR"/>
              </w:rPr>
            </w:pPr>
            <w:r>
              <w:t>Embedded Designated Support—Permissive Mode</w:t>
            </w:r>
          </w:p>
        </w:tc>
        <w:tc>
          <w:tcPr>
            <w:tcW w:w="864" w:type="dxa"/>
            <w:noWrap/>
            <w:vAlign w:val="bottom"/>
          </w:tcPr>
          <w:p w14:paraId="711773FC" w14:textId="77777777" w:rsidR="00085E73" w:rsidRDefault="00085E73" w:rsidP="003475E2">
            <w:pPr>
              <w:pStyle w:val="TableText"/>
              <w:rPr>
                <w:szCs w:val="24"/>
                <w:lang w:eastAsia="ko-KR"/>
              </w:rPr>
            </w:pPr>
            <w:r>
              <w:t>4</w:t>
            </w:r>
          </w:p>
        </w:tc>
        <w:tc>
          <w:tcPr>
            <w:tcW w:w="864" w:type="dxa"/>
            <w:noWrap/>
            <w:vAlign w:val="bottom"/>
          </w:tcPr>
          <w:p w14:paraId="2BC98A87" w14:textId="77777777" w:rsidR="00085E73" w:rsidRDefault="00085E73" w:rsidP="003475E2">
            <w:pPr>
              <w:pStyle w:val="TableText"/>
            </w:pPr>
            <w:r>
              <w:t>1%</w:t>
            </w:r>
          </w:p>
        </w:tc>
        <w:tc>
          <w:tcPr>
            <w:tcW w:w="864" w:type="dxa"/>
            <w:noWrap/>
            <w:vAlign w:val="bottom"/>
          </w:tcPr>
          <w:p w14:paraId="6DD419CF" w14:textId="77777777" w:rsidR="00085E73" w:rsidRDefault="00085E73" w:rsidP="003475E2">
            <w:pPr>
              <w:pStyle w:val="TableText"/>
              <w:rPr>
                <w:szCs w:val="24"/>
                <w:lang w:eastAsia="ko-KR"/>
              </w:rPr>
            </w:pPr>
            <w:r>
              <w:t>10</w:t>
            </w:r>
          </w:p>
        </w:tc>
        <w:tc>
          <w:tcPr>
            <w:tcW w:w="864" w:type="dxa"/>
            <w:noWrap/>
            <w:vAlign w:val="bottom"/>
          </w:tcPr>
          <w:p w14:paraId="7CEEFFF3" w14:textId="77777777" w:rsidR="00085E73" w:rsidRDefault="00085E73" w:rsidP="003475E2">
            <w:pPr>
              <w:pStyle w:val="TableText"/>
            </w:pPr>
            <w:r>
              <w:t>1%</w:t>
            </w:r>
          </w:p>
        </w:tc>
      </w:tr>
      <w:tr w:rsidR="00085E73" w:rsidRPr="00B96179" w14:paraId="36531D5E" w14:textId="77777777" w:rsidTr="003475E2">
        <w:tc>
          <w:tcPr>
            <w:tcW w:w="7056" w:type="dxa"/>
          </w:tcPr>
          <w:p w14:paraId="1AD50F29" w14:textId="77777777" w:rsidR="00085E73" w:rsidRPr="0093049F" w:rsidRDefault="00085E73" w:rsidP="003475E2">
            <w:pPr>
              <w:pStyle w:val="TableText"/>
              <w:jc w:val="left"/>
              <w:rPr>
                <w:lang w:eastAsia="ko-KR"/>
              </w:rPr>
            </w:pPr>
            <w:r>
              <w:t>Embedded Designated Support—Print Size</w:t>
            </w:r>
          </w:p>
        </w:tc>
        <w:tc>
          <w:tcPr>
            <w:tcW w:w="864" w:type="dxa"/>
            <w:noWrap/>
            <w:vAlign w:val="bottom"/>
          </w:tcPr>
          <w:p w14:paraId="7AB353C2" w14:textId="77777777" w:rsidR="00085E73" w:rsidRDefault="00085E73" w:rsidP="003475E2">
            <w:pPr>
              <w:pStyle w:val="TableText"/>
              <w:rPr>
                <w:szCs w:val="24"/>
                <w:lang w:eastAsia="ko-KR"/>
              </w:rPr>
            </w:pPr>
            <w:r>
              <w:t>11</w:t>
            </w:r>
          </w:p>
        </w:tc>
        <w:tc>
          <w:tcPr>
            <w:tcW w:w="864" w:type="dxa"/>
            <w:noWrap/>
            <w:vAlign w:val="bottom"/>
          </w:tcPr>
          <w:p w14:paraId="4CA13EB3" w14:textId="77777777" w:rsidR="00085E73" w:rsidRDefault="00085E73" w:rsidP="003475E2">
            <w:pPr>
              <w:pStyle w:val="TableText"/>
            </w:pPr>
            <w:r>
              <w:t>1%</w:t>
            </w:r>
          </w:p>
        </w:tc>
        <w:tc>
          <w:tcPr>
            <w:tcW w:w="864" w:type="dxa"/>
            <w:noWrap/>
            <w:vAlign w:val="bottom"/>
          </w:tcPr>
          <w:p w14:paraId="60EF315E" w14:textId="77777777" w:rsidR="00085E73" w:rsidRDefault="00085E73" w:rsidP="003475E2">
            <w:pPr>
              <w:pStyle w:val="TableText"/>
              <w:rPr>
                <w:szCs w:val="24"/>
                <w:lang w:eastAsia="ko-KR"/>
              </w:rPr>
            </w:pPr>
            <w:r>
              <w:t>16</w:t>
            </w:r>
          </w:p>
        </w:tc>
        <w:tc>
          <w:tcPr>
            <w:tcW w:w="864" w:type="dxa"/>
            <w:noWrap/>
            <w:vAlign w:val="bottom"/>
          </w:tcPr>
          <w:p w14:paraId="5345C2E8" w14:textId="77777777" w:rsidR="00085E73" w:rsidRDefault="00085E73" w:rsidP="003475E2">
            <w:pPr>
              <w:pStyle w:val="TableText"/>
            </w:pPr>
            <w:r>
              <w:t>2%</w:t>
            </w:r>
          </w:p>
        </w:tc>
      </w:tr>
      <w:tr w:rsidR="00085E73" w:rsidRPr="00B96179" w14:paraId="61511E15" w14:textId="77777777" w:rsidTr="004D0068">
        <w:tc>
          <w:tcPr>
            <w:tcW w:w="7056" w:type="dxa"/>
            <w:tcBorders>
              <w:bottom w:val="nil"/>
            </w:tcBorders>
          </w:tcPr>
          <w:p w14:paraId="2D9A65E2" w14:textId="77777777" w:rsidR="00085E73" w:rsidRPr="0093049F" w:rsidRDefault="00085E73" w:rsidP="003475E2">
            <w:pPr>
              <w:pStyle w:val="TableText"/>
              <w:jc w:val="left"/>
              <w:rPr>
                <w:lang w:eastAsia="ko-KR"/>
              </w:rPr>
            </w:pPr>
            <w:r>
              <w:t>Embedded Designated Support—Streamline</w:t>
            </w:r>
          </w:p>
        </w:tc>
        <w:tc>
          <w:tcPr>
            <w:tcW w:w="864" w:type="dxa"/>
            <w:tcBorders>
              <w:bottom w:val="nil"/>
            </w:tcBorders>
            <w:noWrap/>
            <w:vAlign w:val="bottom"/>
          </w:tcPr>
          <w:p w14:paraId="17435490" w14:textId="77777777" w:rsidR="00085E73" w:rsidRDefault="00085E73" w:rsidP="003475E2">
            <w:pPr>
              <w:pStyle w:val="TableText"/>
              <w:rPr>
                <w:szCs w:val="24"/>
                <w:lang w:eastAsia="ko-KR"/>
              </w:rPr>
            </w:pPr>
            <w:r>
              <w:t>13</w:t>
            </w:r>
          </w:p>
        </w:tc>
        <w:tc>
          <w:tcPr>
            <w:tcW w:w="864" w:type="dxa"/>
            <w:tcBorders>
              <w:bottom w:val="nil"/>
            </w:tcBorders>
            <w:noWrap/>
            <w:vAlign w:val="bottom"/>
          </w:tcPr>
          <w:p w14:paraId="0D0FDA67" w14:textId="77777777" w:rsidR="00085E73" w:rsidRDefault="00085E73" w:rsidP="003475E2">
            <w:pPr>
              <w:pStyle w:val="TableText"/>
            </w:pPr>
            <w:r>
              <w:t>2%</w:t>
            </w:r>
          </w:p>
        </w:tc>
        <w:tc>
          <w:tcPr>
            <w:tcW w:w="864" w:type="dxa"/>
            <w:tcBorders>
              <w:bottom w:val="nil"/>
            </w:tcBorders>
            <w:noWrap/>
            <w:vAlign w:val="bottom"/>
          </w:tcPr>
          <w:p w14:paraId="343A5CD6" w14:textId="77777777" w:rsidR="00085E73" w:rsidRDefault="00085E73" w:rsidP="003475E2">
            <w:pPr>
              <w:pStyle w:val="TableText"/>
              <w:rPr>
                <w:szCs w:val="24"/>
                <w:lang w:eastAsia="ko-KR"/>
              </w:rPr>
            </w:pPr>
            <w:r>
              <w:t>18</w:t>
            </w:r>
          </w:p>
        </w:tc>
        <w:tc>
          <w:tcPr>
            <w:tcW w:w="864" w:type="dxa"/>
            <w:tcBorders>
              <w:bottom w:val="nil"/>
            </w:tcBorders>
            <w:noWrap/>
            <w:vAlign w:val="bottom"/>
          </w:tcPr>
          <w:p w14:paraId="3E085928" w14:textId="77777777" w:rsidR="00085E73" w:rsidRDefault="00085E73" w:rsidP="003475E2">
            <w:pPr>
              <w:pStyle w:val="TableText"/>
            </w:pPr>
            <w:r>
              <w:t>2%</w:t>
            </w:r>
          </w:p>
        </w:tc>
      </w:tr>
      <w:tr w:rsidR="00085E73" w:rsidRPr="00B96179" w14:paraId="5A2E4F83" w14:textId="77777777" w:rsidTr="004D0068">
        <w:tc>
          <w:tcPr>
            <w:tcW w:w="7056" w:type="dxa"/>
            <w:tcBorders>
              <w:top w:val="nil"/>
              <w:bottom w:val="single" w:sz="12" w:space="0" w:color="auto"/>
            </w:tcBorders>
          </w:tcPr>
          <w:p w14:paraId="7FFC0190" w14:textId="680F0211" w:rsidR="00085E73" w:rsidRPr="0093049F" w:rsidRDefault="00085E73" w:rsidP="003475E2">
            <w:pPr>
              <w:pStyle w:val="TableText"/>
              <w:jc w:val="left"/>
              <w:rPr>
                <w:lang w:eastAsia="ko-KR"/>
              </w:rPr>
            </w:pPr>
            <w:r>
              <w:t xml:space="preserve">Embedded Designated Support—Turn </w:t>
            </w:r>
            <w:r w:rsidR="006766C8">
              <w:t>O</w:t>
            </w:r>
            <w:r>
              <w:t>ff</w:t>
            </w:r>
            <w:r w:rsidR="006766C8">
              <w:t xml:space="preserve"> Any</w:t>
            </w:r>
            <w:r>
              <w:t xml:space="preserve"> Universal Tools</w:t>
            </w:r>
          </w:p>
        </w:tc>
        <w:tc>
          <w:tcPr>
            <w:tcW w:w="864" w:type="dxa"/>
            <w:tcBorders>
              <w:top w:val="nil"/>
              <w:bottom w:val="single" w:sz="12" w:space="0" w:color="auto"/>
            </w:tcBorders>
            <w:noWrap/>
            <w:vAlign w:val="bottom"/>
          </w:tcPr>
          <w:p w14:paraId="01D4EDC6" w14:textId="77777777" w:rsidR="00085E73" w:rsidRDefault="00085E73" w:rsidP="003475E2">
            <w:pPr>
              <w:pStyle w:val="TableText"/>
              <w:rPr>
                <w:szCs w:val="24"/>
                <w:lang w:eastAsia="ko-KR"/>
              </w:rPr>
            </w:pPr>
            <w:r>
              <w:t>1</w:t>
            </w:r>
          </w:p>
        </w:tc>
        <w:tc>
          <w:tcPr>
            <w:tcW w:w="864" w:type="dxa"/>
            <w:tcBorders>
              <w:top w:val="nil"/>
              <w:bottom w:val="single" w:sz="12" w:space="0" w:color="auto"/>
            </w:tcBorders>
            <w:noWrap/>
            <w:vAlign w:val="bottom"/>
          </w:tcPr>
          <w:p w14:paraId="60B26D2A" w14:textId="77777777" w:rsidR="00085E73" w:rsidRDefault="00085E73" w:rsidP="003475E2">
            <w:pPr>
              <w:pStyle w:val="TableText"/>
            </w:pPr>
            <w:r>
              <w:t>0%</w:t>
            </w:r>
          </w:p>
        </w:tc>
        <w:tc>
          <w:tcPr>
            <w:tcW w:w="864" w:type="dxa"/>
            <w:tcBorders>
              <w:top w:val="nil"/>
              <w:bottom w:val="single" w:sz="12" w:space="0" w:color="auto"/>
            </w:tcBorders>
            <w:noWrap/>
            <w:vAlign w:val="bottom"/>
          </w:tcPr>
          <w:p w14:paraId="3812D2DB" w14:textId="77777777" w:rsidR="00085E73" w:rsidRDefault="00085E73" w:rsidP="003475E2">
            <w:pPr>
              <w:pStyle w:val="TableText"/>
              <w:rPr>
                <w:szCs w:val="24"/>
                <w:lang w:eastAsia="ko-KR"/>
              </w:rPr>
            </w:pPr>
            <w:r>
              <w:t>1</w:t>
            </w:r>
          </w:p>
        </w:tc>
        <w:tc>
          <w:tcPr>
            <w:tcW w:w="864" w:type="dxa"/>
            <w:tcBorders>
              <w:top w:val="nil"/>
              <w:bottom w:val="single" w:sz="12" w:space="0" w:color="auto"/>
            </w:tcBorders>
            <w:noWrap/>
            <w:vAlign w:val="bottom"/>
          </w:tcPr>
          <w:p w14:paraId="452FE9EF" w14:textId="77777777" w:rsidR="00085E73" w:rsidRDefault="00085E73" w:rsidP="003475E2">
            <w:pPr>
              <w:pStyle w:val="TableText"/>
            </w:pPr>
            <w:r>
              <w:t>0%</w:t>
            </w:r>
          </w:p>
        </w:tc>
      </w:tr>
      <w:tr w:rsidR="00085E73" w:rsidRPr="00B96179" w14:paraId="003B6F8B" w14:textId="77777777" w:rsidTr="003475E2">
        <w:tc>
          <w:tcPr>
            <w:tcW w:w="7056" w:type="dxa"/>
            <w:tcBorders>
              <w:top w:val="single" w:sz="4" w:space="0" w:color="auto"/>
              <w:bottom w:val="nil"/>
            </w:tcBorders>
          </w:tcPr>
          <w:p w14:paraId="3DAD3EB0" w14:textId="77777777" w:rsidR="00085E73" w:rsidRPr="0093049F" w:rsidRDefault="00085E73" w:rsidP="004D0068">
            <w:pPr>
              <w:pStyle w:val="TableText"/>
              <w:keepNext/>
              <w:keepLines/>
              <w:jc w:val="left"/>
              <w:rPr>
                <w:lang w:eastAsia="ko-KR"/>
              </w:rPr>
            </w:pPr>
            <w:r>
              <w:lastRenderedPageBreak/>
              <w:t>Non-Embedded Designated Support—Amplification</w:t>
            </w:r>
          </w:p>
        </w:tc>
        <w:tc>
          <w:tcPr>
            <w:tcW w:w="864" w:type="dxa"/>
            <w:tcBorders>
              <w:top w:val="single" w:sz="4" w:space="0" w:color="auto"/>
              <w:bottom w:val="nil"/>
            </w:tcBorders>
            <w:noWrap/>
            <w:vAlign w:val="bottom"/>
          </w:tcPr>
          <w:p w14:paraId="3A4AC792" w14:textId="77777777" w:rsidR="00085E73" w:rsidRDefault="00085E73" w:rsidP="004D0068">
            <w:pPr>
              <w:pStyle w:val="TableText"/>
              <w:keepNext/>
              <w:keepLines/>
              <w:rPr>
                <w:szCs w:val="24"/>
                <w:lang w:eastAsia="ko-KR"/>
              </w:rPr>
            </w:pPr>
            <w:r>
              <w:t>4</w:t>
            </w:r>
          </w:p>
        </w:tc>
        <w:tc>
          <w:tcPr>
            <w:tcW w:w="864" w:type="dxa"/>
            <w:tcBorders>
              <w:top w:val="single" w:sz="4" w:space="0" w:color="auto"/>
              <w:bottom w:val="nil"/>
            </w:tcBorders>
            <w:noWrap/>
            <w:vAlign w:val="bottom"/>
          </w:tcPr>
          <w:p w14:paraId="61D6F983" w14:textId="77777777" w:rsidR="00085E73" w:rsidRDefault="00085E73" w:rsidP="004D0068">
            <w:pPr>
              <w:pStyle w:val="TableText"/>
              <w:keepNext/>
              <w:keepLines/>
            </w:pPr>
            <w:r>
              <w:t>1%</w:t>
            </w:r>
          </w:p>
        </w:tc>
        <w:tc>
          <w:tcPr>
            <w:tcW w:w="864" w:type="dxa"/>
            <w:tcBorders>
              <w:top w:val="single" w:sz="4" w:space="0" w:color="auto"/>
              <w:bottom w:val="nil"/>
            </w:tcBorders>
            <w:noWrap/>
            <w:vAlign w:val="bottom"/>
          </w:tcPr>
          <w:p w14:paraId="0F2F0FC1" w14:textId="77777777" w:rsidR="00085E73" w:rsidRDefault="00085E73" w:rsidP="004D0068">
            <w:pPr>
              <w:pStyle w:val="TableText"/>
              <w:keepNext/>
              <w:keepLines/>
              <w:rPr>
                <w:szCs w:val="24"/>
                <w:lang w:eastAsia="ko-KR"/>
              </w:rPr>
            </w:pPr>
            <w:r>
              <w:t>3</w:t>
            </w:r>
          </w:p>
        </w:tc>
        <w:tc>
          <w:tcPr>
            <w:tcW w:w="864" w:type="dxa"/>
            <w:tcBorders>
              <w:top w:val="single" w:sz="4" w:space="0" w:color="auto"/>
              <w:bottom w:val="nil"/>
            </w:tcBorders>
            <w:noWrap/>
            <w:vAlign w:val="bottom"/>
          </w:tcPr>
          <w:p w14:paraId="1B7C0794" w14:textId="77777777" w:rsidR="00085E73" w:rsidRDefault="00085E73" w:rsidP="004D0068">
            <w:pPr>
              <w:pStyle w:val="TableText"/>
              <w:keepNext/>
              <w:keepLines/>
            </w:pPr>
            <w:r>
              <w:t>0%</w:t>
            </w:r>
          </w:p>
        </w:tc>
      </w:tr>
      <w:tr w:rsidR="00085E73" w:rsidRPr="00B96179" w14:paraId="066139DD" w14:textId="77777777" w:rsidTr="003475E2">
        <w:tc>
          <w:tcPr>
            <w:tcW w:w="7056" w:type="dxa"/>
            <w:tcBorders>
              <w:top w:val="nil"/>
            </w:tcBorders>
          </w:tcPr>
          <w:p w14:paraId="0332D282" w14:textId="77777777" w:rsidR="00085E73" w:rsidRPr="00B96179" w:rsidRDefault="00085E73" w:rsidP="004D0068">
            <w:pPr>
              <w:pStyle w:val="TableText"/>
              <w:keepNext/>
              <w:keepLines/>
              <w:jc w:val="left"/>
              <w:rPr>
                <w:szCs w:val="20"/>
                <w:lang w:eastAsia="ko-KR"/>
              </w:rPr>
            </w:pPr>
            <w:r>
              <w:t>Non-Embedded Designated Support—Color Contrast</w:t>
            </w:r>
          </w:p>
        </w:tc>
        <w:tc>
          <w:tcPr>
            <w:tcW w:w="864" w:type="dxa"/>
            <w:tcBorders>
              <w:top w:val="nil"/>
            </w:tcBorders>
            <w:noWrap/>
            <w:vAlign w:val="bottom"/>
          </w:tcPr>
          <w:p w14:paraId="4FC282BE" w14:textId="77777777" w:rsidR="00085E73" w:rsidRPr="007A3043" w:rsidRDefault="00085E73" w:rsidP="004D0068">
            <w:pPr>
              <w:pStyle w:val="TableText"/>
              <w:keepNext/>
              <w:keepLines/>
              <w:rPr>
                <w:szCs w:val="24"/>
                <w:lang w:eastAsia="ko-KR"/>
              </w:rPr>
            </w:pPr>
            <w:r>
              <w:t>1</w:t>
            </w:r>
          </w:p>
        </w:tc>
        <w:tc>
          <w:tcPr>
            <w:tcW w:w="864" w:type="dxa"/>
            <w:tcBorders>
              <w:top w:val="nil"/>
            </w:tcBorders>
            <w:noWrap/>
            <w:vAlign w:val="bottom"/>
          </w:tcPr>
          <w:p w14:paraId="741EA01B" w14:textId="77777777" w:rsidR="00085E73" w:rsidRPr="007A3043" w:rsidRDefault="00085E73" w:rsidP="004D0068">
            <w:pPr>
              <w:pStyle w:val="TableText"/>
              <w:keepNext/>
              <w:keepLines/>
              <w:rPr>
                <w:szCs w:val="24"/>
                <w:lang w:eastAsia="ko-KR"/>
              </w:rPr>
            </w:pPr>
            <w:r>
              <w:t>0%</w:t>
            </w:r>
          </w:p>
        </w:tc>
        <w:tc>
          <w:tcPr>
            <w:tcW w:w="864" w:type="dxa"/>
            <w:tcBorders>
              <w:top w:val="nil"/>
            </w:tcBorders>
            <w:noWrap/>
            <w:vAlign w:val="bottom"/>
          </w:tcPr>
          <w:p w14:paraId="55F117B4" w14:textId="77777777" w:rsidR="00085E73" w:rsidRPr="007A3043" w:rsidRDefault="00085E73" w:rsidP="004D0068">
            <w:pPr>
              <w:pStyle w:val="TableText"/>
              <w:keepNext/>
              <w:keepLines/>
              <w:rPr>
                <w:szCs w:val="24"/>
                <w:lang w:eastAsia="ko-KR"/>
              </w:rPr>
            </w:pPr>
            <w:r>
              <w:t>6</w:t>
            </w:r>
          </w:p>
        </w:tc>
        <w:tc>
          <w:tcPr>
            <w:tcW w:w="864" w:type="dxa"/>
            <w:tcBorders>
              <w:top w:val="nil"/>
            </w:tcBorders>
            <w:noWrap/>
            <w:vAlign w:val="bottom"/>
          </w:tcPr>
          <w:p w14:paraId="1D2743D0" w14:textId="77777777" w:rsidR="00085E73" w:rsidRPr="007A3043" w:rsidRDefault="00085E73" w:rsidP="004D0068">
            <w:pPr>
              <w:pStyle w:val="TableText"/>
              <w:keepNext/>
              <w:keepLines/>
              <w:rPr>
                <w:szCs w:val="24"/>
                <w:lang w:eastAsia="ko-KR"/>
              </w:rPr>
            </w:pPr>
            <w:r>
              <w:t>1%</w:t>
            </w:r>
          </w:p>
        </w:tc>
      </w:tr>
      <w:tr w:rsidR="00085E73" w:rsidRPr="00B96179" w14:paraId="578DB72C" w14:textId="77777777" w:rsidTr="003475E2">
        <w:tc>
          <w:tcPr>
            <w:tcW w:w="7056" w:type="dxa"/>
          </w:tcPr>
          <w:p w14:paraId="5AF588B5" w14:textId="77777777" w:rsidR="00085E73" w:rsidRPr="00B96179" w:rsidRDefault="00085E73" w:rsidP="004D0068">
            <w:pPr>
              <w:pStyle w:val="TableText"/>
              <w:keepNext/>
              <w:keepLines/>
              <w:jc w:val="left"/>
              <w:rPr>
                <w:szCs w:val="20"/>
                <w:lang w:eastAsia="ko-KR"/>
              </w:rPr>
            </w:pPr>
            <w:r>
              <w:t>Non-Embedded Designated Support—Color Overlay</w:t>
            </w:r>
          </w:p>
        </w:tc>
        <w:tc>
          <w:tcPr>
            <w:tcW w:w="864" w:type="dxa"/>
            <w:noWrap/>
            <w:vAlign w:val="bottom"/>
          </w:tcPr>
          <w:p w14:paraId="188A7527" w14:textId="77777777" w:rsidR="00085E73" w:rsidRPr="007A3043" w:rsidRDefault="00085E73" w:rsidP="004D0068">
            <w:pPr>
              <w:pStyle w:val="TableText"/>
              <w:keepNext/>
              <w:keepLines/>
              <w:rPr>
                <w:szCs w:val="24"/>
                <w:lang w:eastAsia="ko-KR"/>
              </w:rPr>
            </w:pPr>
            <w:r>
              <w:t>2</w:t>
            </w:r>
          </w:p>
        </w:tc>
        <w:tc>
          <w:tcPr>
            <w:tcW w:w="864" w:type="dxa"/>
            <w:noWrap/>
            <w:vAlign w:val="bottom"/>
          </w:tcPr>
          <w:p w14:paraId="12BD1424" w14:textId="77777777" w:rsidR="00085E73" w:rsidRPr="007A3043" w:rsidRDefault="00085E73" w:rsidP="004D0068">
            <w:pPr>
              <w:pStyle w:val="TableText"/>
              <w:keepNext/>
              <w:keepLines/>
              <w:rPr>
                <w:szCs w:val="24"/>
                <w:lang w:eastAsia="ko-KR"/>
              </w:rPr>
            </w:pPr>
            <w:r>
              <w:t>0%</w:t>
            </w:r>
          </w:p>
        </w:tc>
        <w:tc>
          <w:tcPr>
            <w:tcW w:w="864" w:type="dxa"/>
            <w:noWrap/>
            <w:vAlign w:val="bottom"/>
          </w:tcPr>
          <w:p w14:paraId="7ABA5AAD" w14:textId="77777777" w:rsidR="00085E73" w:rsidRPr="007A3043" w:rsidRDefault="00085E73" w:rsidP="004D0068">
            <w:pPr>
              <w:pStyle w:val="TableText"/>
              <w:keepNext/>
              <w:keepLines/>
              <w:rPr>
                <w:szCs w:val="24"/>
                <w:lang w:eastAsia="ko-KR"/>
              </w:rPr>
            </w:pPr>
            <w:r>
              <w:t>6</w:t>
            </w:r>
          </w:p>
        </w:tc>
        <w:tc>
          <w:tcPr>
            <w:tcW w:w="864" w:type="dxa"/>
            <w:noWrap/>
            <w:vAlign w:val="bottom"/>
          </w:tcPr>
          <w:p w14:paraId="5A35A87D" w14:textId="77777777" w:rsidR="00085E73" w:rsidRPr="007A3043" w:rsidRDefault="00085E73" w:rsidP="004D0068">
            <w:pPr>
              <w:pStyle w:val="TableText"/>
              <w:keepNext/>
              <w:keepLines/>
              <w:rPr>
                <w:szCs w:val="24"/>
                <w:lang w:eastAsia="ko-KR"/>
              </w:rPr>
            </w:pPr>
            <w:r>
              <w:t>1%</w:t>
            </w:r>
          </w:p>
        </w:tc>
      </w:tr>
      <w:tr w:rsidR="00085E73" w:rsidRPr="00B96179" w14:paraId="58036924" w14:textId="77777777" w:rsidTr="003475E2">
        <w:tc>
          <w:tcPr>
            <w:tcW w:w="7056" w:type="dxa"/>
          </w:tcPr>
          <w:p w14:paraId="72B9052C" w14:textId="77777777" w:rsidR="00085E73" w:rsidRPr="0093049F" w:rsidRDefault="00085E73" w:rsidP="004D0068">
            <w:pPr>
              <w:pStyle w:val="TableText"/>
              <w:keepNext/>
              <w:keepLines/>
              <w:jc w:val="left"/>
              <w:rPr>
                <w:szCs w:val="20"/>
              </w:rPr>
            </w:pPr>
            <w:r>
              <w:t>Non-Embedded Designated Support—Magnification</w:t>
            </w:r>
          </w:p>
        </w:tc>
        <w:tc>
          <w:tcPr>
            <w:tcW w:w="864" w:type="dxa"/>
            <w:noWrap/>
            <w:vAlign w:val="bottom"/>
          </w:tcPr>
          <w:p w14:paraId="3F08624B" w14:textId="77777777" w:rsidR="00085E73" w:rsidRPr="007A3043" w:rsidRDefault="00085E73" w:rsidP="004D0068">
            <w:pPr>
              <w:pStyle w:val="TableText"/>
              <w:keepNext/>
              <w:keepLines/>
              <w:rPr>
                <w:szCs w:val="24"/>
                <w:lang w:eastAsia="ko-KR"/>
              </w:rPr>
            </w:pPr>
            <w:r>
              <w:t>5</w:t>
            </w:r>
          </w:p>
        </w:tc>
        <w:tc>
          <w:tcPr>
            <w:tcW w:w="864" w:type="dxa"/>
            <w:noWrap/>
            <w:vAlign w:val="bottom"/>
          </w:tcPr>
          <w:p w14:paraId="3FAFB415" w14:textId="77777777" w:rsidR="00085E73" w:rsidRPr="007A3043" w:rsidRDefault="00085E73" w:rsidP="004D0068">
            <w:pPr>
              <w:pStyle w:val="TableText"/>
              <w:keepNext/>
              <w:keepLines/>
              <w:rPr>
                <w:szCs w:val="24"/>
                <w:lang w:eastAsia="ko-KR"/>
              </w:rPr>
            </w:pPr>
            <w:r>
              <w:t>1%</w:t>
            </w:r>
          </w:p>
        </w:tc>
        <w:tc>
          <w:tcPr>
            <w:tcW w:w="864" w:type="dxa"/>
            <w:noWrap/>
            <w:vAlign w:val="bottom"/>
          </w:tcPr>
          <w:p w14:paraId="529C657D" w14:textId="77777777" w:rsidR="00085E73" w:rsidRPr="007A3043" w:rsidRDefault="00085E73" w:rsidP="004D0068">
            <w:pPr>
              <w:pStyle w:val="TableText"/>
              <w:keepNext/>
              <w:keepLines/>
              <w:rPr>
                <w:szCs w:val="24"/>
                <w:lang w:eastAsia="ko-KR"/>
              </w:rPr>
            </w:pPr>
            <w:r>
              <w:t>16</w:t>
            </w:r>
          </w:p>
        </w:tc>
        <w:tc>
          <w:tcPr>
            <w:tcW w:w="864" w:type="dxa"/>
            <w:noWrap/>
            <w:vAlign w:val="bottom"/>
          </w:tcPr>
          <w:p w14:paraId="54EE60C6" w14:textId="77777777" w:rsidR="00085E73" w:rsidRPr="007A3043" w:rsidRDefault="00085E73" w:rsidP="004D0068">
            <w:pPr>
              <w:pStyle w:val="TableText"/>
              <w:keepNext/>
              <w:keepLines/>
              <w:rPr>
                <w:szCs w:val="24"/>
                <w:lang w:eastAsia="ko-KR"/>
              </w:rPr>
            </w:pPr>
            <w:r>
              <w:t>2%</w:t>
            </w:r>
          </w:p>
        </w:tc>
      </w:tr>
      <w:tr w:rsidR="00085E73" w:rsidRPr="00B96179" w14:paraId="04D6CF70" w14:textId="77777777" w:rsidTr="003475E2">
        <w:tc>
          <w:tcPr>
            <w:tcW w:w="7056" w:type="dxa"/>
          </w:tcPr>
          <w:p w14:paraId="15E5626C" w14:textId="77777777" w:rsidR="00085E73" w:rsidRPr="00B96179" w:rsidRDefault="00085E73" w:rsidP="004D0068">
            <w:pPr>
              <w:pStyle w:val="TableText"/>
              <w:keepNext/>
              <w:keepLines/>
              <w:jc w:val="left"/>
              <w:rPr>
                <w:szCs w:val="20"/>
                <w:lang w:eastAsia="ko-KR"/>
              </w:rPr>
            </w:pPr>
            <w:r>
              <w:t>Non-Embedded Designated Support—Medical Supports</w:t>
            </w:r>
          </w:p>
        </w:tc>
        <w:tc>
          <w:tcPr>
            <w:tcW w:w="864" w:type="dxa"/>
            <w:noWrap/>
            <w:vAlign w:val="bottom"/>
          </w:tcPr>
          <w:p w14:paraId="1BFD82A2" w14:textId="77777777" w:rsidR="00085E73" w:rsidRPr="007A3043" w:rsidRDefault="00085E73" w:rsidP="004D0068">
            <w:pPr>
              <w:pStyle w:val="TableText"/>
              <w:keepNext/>
              <w:keepLines/>
              <w:rPr>
                <w:szCs w:val="24"/>
                <w:lang w:eastAsia="ko-KR"/>
              </w:rPr>
            </w:pPr>
            <w:r>
              <w:t>1</w:t>
            </w:r>
          </w:p>
        </w:tc>
        <w:tc>
          <w:tcPr>
            <w:tcW w:w="864" w:type="dxa"/>
            <w:noWrap/>
            <w:vAlign w:val="bottom"/>
          </w:tcPr>
          <w:p w14:paraId="67893992" w14:textId="77777777" w:rsidR="00085E73" w:rsidRPr="007A3043" w:rsidRDefault="00085E73" w:rsidP="004D0068">
            <w:pPr>
              <w:pStyle w:val="TableText"/>
              <w:keepNext/>
              <w:keepLines/>
              <w:rPr>
                <w:szCs w:val="24"/>
                <w:lang w:eastAsia="ko-KR"/>
              </w:rPr>
            </w:pPr>
            <w:r>
              <w:t>0%</w:t>
            </w:r>
          </w:p>
        </w:tc>
        <w:tc>
          <w:tcPr>
            <w:tcW w:w="864" w:type="dxa"/>
            <w:noWrap/>
            <w:vAlign w:val="bottom"/>
          </w:tcPr>
          <w:p w14:paraId="16728323" w14:textId="77777777" w:rsidR="00085E73" w:rsidRPr="007A3043" w:rsidRDefault="00085E73" w:rsidP="004D0068">
            <w:pPr>
              <w:pStyle w:val="TableText"/>
              <w:keepNext/>
              <w:keepLines/>
              <w:rPr>
                <w:szCs w:val="24"/>
                <w:lang w:eastAsia="ko-KR"/>
              </w:rPr>
            </w:pPr>
            <w:r>
              <w:t>0</w:t>
            </w:r>
          </w:p>
        </w:tc>
        <w:tc>
          <w:tcPr>
            <w:tcW w:w="864" w:type="dxa"/>
            <w:noWrap/>
            <w:vAlign w:val="bottom"/>
          </w:tcPr>
          <w:p w14:paraId="421D9B2C" w14:textId="77777777" w:rsidR="00085E73" w:rsidRPr="007A3043" w:rsidRDefault="00085E73" w:rsidP="004D0068">
            <w:pPr>
              <w:pStyle w:val="TableText"/>
              <w:keepNext/>
              <w:keepLines/>
              <w:rPr>
                <w:szCs w:val="24"/>
                <w:lang w:eastAsia="ko-KR"/>
              </w:rPr>
            </w:pPr>
            <w:r>
              <w:t>0%</w:t>
            </w:r>
          </w:p>
        </w:tc>
      </w:tr>
      <w:tr w:rsidR="00085E73" w:rsidRPr="00B96179" w14:paraId="33E4AAF9" w14:textId="77777777" w:rsidTr="003475E2">
        <w:tc>
          <w:tcPr>
            <w:tcW w:w="7056" w:type="dxa"/>
          </w:tcPr>
          <w:p w14:paraId="3FE0B71B" w14:textId="77777777" w:rsidR="00085E73" w:rsidRPr="0093049F" w:rsidRDefault="00085E73" w:rsidP="004D0068">
            <w:pPr>
              <w:pStyle w:val="TableText"/>
              <w:keepNext/>
              <w:keepLines/>
              <w:jc w:val="left"/>
              <w:rPr>
                <w:szCs w:val="20"/>
              </w:rPr>
            </w:pPr>
            <w:r>
              <w:t>Non-Embedded Designated Support—Multiplication Table</w:t>
            </w:r>
          </w:p>
        </w:tc>
        <w:tc>
          <w:tcPr>
            <w:tcW w:w="864" w:type="dxa"/>
            <w:noWrap/>
            <w:vAlign w:val="bottom"/>
          </w:tcPr>
          <w:p w14:paraId="2ADD6239" w14:textId="77777777" w:rsidR="00085E73" w:rsidRDefault="00085E73" w:rsidP="004D0068">
            <w:pPr>
              <w:pStyle w:val="TableText"/>
              <w:keepNext/>
              <w:keepLines/>
              <w:rPr>
                <w:szCs w:val="24"/>
                <w:lang w:eastAsia="ko-KR"/>
              </w:rPr>
            </w:pPr>
            <w:r>
              <w:t>24</w:t>
            </w:r>
          </w:p>
        </w:tc>
        <w:tc>
          <w:tcPr>
            <w:tcW w:w="864" w:type="dxa"/>
            <w:noWrap/>
            <w:vAlign w:val="bottom"/>
          </w:tcPr>
          <w:p w14:paraId="0A0DEF44" w14:textId="77777777" w:rsidR="00085E73" w:rsidRDefault="00085E73" w:rsidP="004D0068">
            <w:pPr>
              <w:pStyle w:val="TableText"/>
              <w:keepNext/>
              <w:keepLines/>
            </w:pPr>
            <w:r>
              <w:t>3%</w:t>
            </w:r>
          </w:p>
        </w:tc>
        <w:tc>
          <w:tcPr>
            <w:tcW w:w="864" w:type="dxa"/>
            <w:noWrap/>
            <w:vAlign w:val="bottom"/>
          </w:tcPr>
          <w:p w14:paraId="53A0ACEA" w14:textId="77777777" w:rsidR="00085E73" w:rsidRDefault="00085E73" w:rsidP="004D0068">
            <w:pPr>
              <w:pStyle w:val="TableText"/>
              <w:keepNext/>
              <w:keepLines/>
              <w:rPr>
                <w:szCs w:val="24"/>
                <w:lang w:eastAsia="ko-KR"/>
              </w:rPr>
            </w:pPr>
            <w:r>
              <w:t>39</w:t>
            </w:r>
          </w:p>
        </w:tc>
        <w:tc>
          <w:tcPr>
            <w:tcW w:w="864" w:type="dxa"/>
            <w:noWrap/>
            <w:vAlign w:val="bottom"/>
          </w:tcPr>
          <w:p w14:paraId="56166319" w14:textId="77777777" w:rsidR="00085E73" w:rsidRDefault="00085E73" w:rsidP="004D0068">
            <w:pPr>
              <w:pStyle w:val="TableText"/>
              <w:keepNext/>
              <w:keepLines/>
            </w:pPr>
            <w:r>
              <w:t>5%</w:t>
            </w:r>
          </w:p>
        </w:tc>
      </w:tr>
      <w:tr w:rsidR="00085E73" w:rsidRPr="00B96179" w14:paraId="57F3CE0D" w14:textId="77777777" w:rsidTr="003475E2">
        <w:tc>
          <w:tcPr>
            <w:tcW w:w="7056" w:type="dxa"/>
          </w:tcPr>
          <w:p w14:paraId="667FD3B8" w14:textId="77777777" w:rsidR="00085E73" w:rsidRPr="0093049F" w:rsidRDefault="00085E73" w:rsidP="00345B32">
            <w:pPr>
              <w:pStyle w:val="TableText"/>
              <w:keepNext/>
              <w:jc w:val="left"/>
              <w:rPr>
                <w:szCs w:val="20"/>
              </w:rPr>
            </w:pPr>
            <w:r>
              <w:t>Non-Embedded Designated Support—Noise Buffers</w:t>
            </w:r>
          </w:p>
        </w:tc>
        <w:tc>
          <w:tcPr>
            <w:tcW w:w="864" w:type="dxa"/>
            <w:noWrap/>
            <w:vAlign w:val="bottom"/>
          </w:tcPr>
          <w:p w14:paraId="50EA1BB3" w14:textId="77777777" w:rsidR="00085E73" w:rsidRDefault="00085E73" w:rsidP="003475E2">
            <w:pPr>
              <w:pStyle w:val="TableText"/>
              <w:rPr>
                <w:szCs w:val="24"/>
                <w:lang w:eastAsia="ko-KR"/>
              </w:rPr>
            </w:pPr>
            <w:r>
              <w:t>41</w:t>
            </w:r>
          </w:p>
        </w:tc>
        <w:tc>
          <w:tcPr>
            <w:tcW w:w="864" w:type="dxa"/>
            <w:noWrap/>
            <w:vAlign w:val="bottom"/>
          </w:tcPr>
          <w:p w14:paraId="40358469" w14:textId="77777777" w:rsidR="00085E73" w:rsidRDefault="00085E73" w:rsidP="003475E2">
            <w:pPr>
              <w:pStyle w:val="TableText"/>
            </w:pPr>
            <w:r>
              <w:t>6%</w:t>
            </w:r>
          </w:p>
        </w:tc>
        <w:tc>
          <w:tcPr>
            <w:tcW w:w="864" w:type="dxa"/>
            <w:noWrap/>
            <w:vAlign w:val="bottom"/>
          </w:tcPr>
          <w:p w14:paraId="60257693" w14:textId="77777777" w:rsidR="00085E73" w:rsidRDefault="00085E73" w:rsidP="003475E2">
            <w:pPr>
              <w:pStyle w:val="TableText"/>
              <w:rPr>
                <w:szCs w:val="24"/>
                <w:lang w:eastAsia="ko-KR"/>
              </w:rPr>
            </w:pPr>
            <w:r>
              <w:t>51</w:t>
            </w:r>
          </w:p>
        </w:tc>
        <w:tc>
          <w:tcPr>
            <w:tcW w:w="864" w:type="dxa"/>
            <w:noWrap/>
            <w:vAlign w:val="bottom"/>
          </w:tcPr>
          <w:p w14:paraId="1842DBB8" w14:textId="77777777" w:rsidR="00085E73" w:rsidRDefault="00085E73" w:rsidP="003475E2">
            <w:pPr>
              <w:pStyle w:val="TableText"/>
            </w:pPr>
            <w:r>
              <w:t>6%</w:t>
            </w:r>
          </w:p>
        </w:tc>
      </w:tr>
      <w:tr w:rsidR="00085E73" w:rsidRPr="00B96179" w14:paraId="68B86E03" w14:textId="77777777" w:rsidTr="003475E2">
        <w:tc>
          <w:tcPr>
            <w:tcW w:w="7056" w:type="dxa"/>
          </w:tcPr>
          <w:p w14:paraId="3F34A902" w14:textId="77777777" w:rsidR="00085E73" w:rsidRPr="0093049F" w:rsidRDefault="00085E73" w:rsidP="00345B32">
            <w:pPr>
              <w:pStyle w:val="TableText"/>
              <w:keepNext/>
              <w:jc w:val="left"/>
              <w:rPr>
                <w:szCs w:val="20"/>
              </w:rPr>
            </w:pPr>
            <w:r>
              <w:t>Non-Embedded Designated Support—Read Aloud Items</w:t>
            </w:r>
          </w:p>
        </w:tc>
        <w:tc>
          <w:tcPr>
            <w:tcW w:w="864" w:type="dxa"/>
            <w:noWrap/>
            <w:vAlign w:val="bottom"/>
          </w:tcPr>
          <w:p w14:paraId="624474DC" w14:textId="77777777" w:rsidR="00085E73" w:rsidRDefault="00085E73" w:rsidP="003475E2">
            <w:pPr>
              <w:pStyle w:val="TableText"/>
              <w:rPr>
                <w:szCs w:val="24"/>
                <w:lang w:eastAsia="ko-KR"/>
              </w:rPr>
            </w:pPr>
            <w:r>
              <w:t>117</w:t>
            </w:r>
          </w:p>
        </w:tc>
        <w:tc>
          <w:tcPr>
            <w:tcW w:w="864" w:type="dxa"/>
            <w:noWrap/>
            <w:vAlign w:val="bottom"/>
          </w:tcPr>
          <w:p w14:paraId="77441288" w14:textId="77777777" w:rsidR="00085E73" w:rsidRDefault="00085E73" w:rsidP="003475E2">
            <w:pPr>
              <w:pStyle w:val="TableText"/>
            </w:pPr>
            <w:r>
              <w:t>16%</w:t>
            </w:r>
          </w:p>
        </w:tc>
        <w:tc>
          <w:tcPr>
            <w:tcW w:w="864" w:type="dxa"/>
            <w:noWrap/>
            <w:vAlign w:val="bottom"/>
          </w:tcPr>
          <w:p w14:paraId="0987D9DB" w14:textId="77777777" w:rsidR="00085E73" w:rsidRDefault="00085E73" w:rsidP="003475E2">
            <w:pPr>
              <w:pStyle w:val="TableText"/>
              <w:rPr>
                <w:szCs w:val="24"/>
                <w:lang w:eastAsia="ko-KR"/>
              </w:rPr>
            </w:pPr>
            <w:r>
              <w:t>174</w:t>
            </w:r>
          </w:p>
        </w:tc>
        <w:tc>
          <w:tcPr>
            <w:tcW w:w="864" w:type="dxa"/>
            <w:noWrap/>
            <w:vAlign w:val="bottom"/>
          </w:tcPr>
          <w:p w14:paraId="3BBD5025" w14:textId="77777777" w:rsidR="00085E73" w:rsidRDefault="00085E73" w:rsidP="003475E2">
            <w:pPr>
              <w:pStyle w:val="TableText"/>
            </w:pPr>
            <w:r>
              <w:t>22%</w:t>
            </w:r>
          </w:p>
        </w:tc>
      </w:tr>
      <w:tr w:rsidR="00085E73" w:rsidRPr="00B96179" w14:paraId="70AC2D4B" w14:textId="77777777" w:rsidTr="003475E2">
        <w:tc>
          <w:tcPr>
            <w:tcW w:w="7056" w:type="dxa"/>
          </w:tcPr>
          <w:p w14:paraId="06614960" w14:textId="77777777" w:rsidR="00085E73" w:rsidRPr="0093049F" w:rsidRDefault="00085E73" w:rsidP="00345B32">
            <w:pPr>
              <w:pStyle w:val="TableText"/>
              <w:keepNext/>
              <w:jc w:val="left"/>
              <w:rPr>
                <w:szCs w:val="20"/>
              </w:rPr>
            </w:pPr>
            <w:r>
              <w:t>Non-Embedded Designated Support—Scribe Items</w:t>
            </w:r>
          </w:p>
        </w:tc>
        <w:tc>
          <w:tcPr>
            <w:tcW w:w="864" w:type="dxa"/>
            <w:noWrap/>
            <w:vAlign w:val="bottom"/>
          </w:tcPr>
          <w:p w14:paraId="5D48AB02" w14:textId="77777777" w:rsidR="00085E73" w:rsidRDefault="00085E73" w:rsidP="003475E2">
            <w:pPr>
              <w:pStyle w:val="TableText"/>
              <w:rPr>
                <w:szCs w:val="24"/>
                <w:lang w:eastAsia="ko-KR"/>
              </w:rPr>
            </w:pPr>
            <w:r>
              <w:t>39</w:t>
            </w:r>
          </w:p>
        </w:tc>
        <w:tc>
          <w:tcPr>
            <w:tcW w:w="864" w:type="dxa"/>
            <w:noWrap/>
            <w:vAlign w:val="bottom"/>
          </w:tcPr>
          <w:p w14:paraId="47D56257" w14:textId="77777777" w:rsidR="00085E73" w:rsidRDefault="00085E73" w:rsidP="003475E2">
            <w:pPr>
              <w:pStyle w:val="TableText"/>
            </w:pPr>
            <w:r>
              <w:t>5%</w:t>
            </w:r>
          </w:p>
        </w:tc>
        <w:tc>
          <w:tcPr>
            <w:tcW w:w="864" w:type="dxa"/>
            <w:noWrap/>
            <w:vAlign w:val="bottom"/>
          </w:tcPr>
          <w:p w14:paraId="602A6BAF" w14:textId="77777777" w:rsidR="00085E73" w:rsidRDefault="00085E73" w:rsidP="003475E2">
            <w:pPr>
              <w:pStyle w:val="TableText"/>
              <w:rPr>
                <w:szCs w:val="24"/>
                <w:lang w:eastAsia="ko-KR"/>
              </w:rPr>
            </w:pPr>
            <w:r>
              <w:t>82</w:t>
            </w:r>
          </w:p>
        </w:tc>
        <w:tc>
          <w:tcPr>
            <w:tcW w:w="864" w:type="dxa"/>
            <w:noWrap/>
            <w:vAlign w:val="bottom"/>
          </w:tcPr>
          <w:p w14:paraId="56720EBC" w14:textId="77777777" w:rsidR="00085E73" w:rsidRDefault="00085E73" w:rsidP="003475E2">
            <w:pPr>
              <w:pStyle w:val="TableText"/>
            </w:pPr>
            <w:r>
              <w:t>10%</w:t>
            </w:r>
          </w:p>
        </w:tc>
      </w:tr>
      <w:tr w:rsidR="00085E73" w:rsidRPr="00B96179" w14:paraId="25DDF268" w14:textId="77777777" w:rsidTr="003475E2">
        <w:tc>
          <w:tcPr>
            <w:tcW w:w="7056" w:type="dxa"/>
          </w:tcPr>
          <w:p w14:paraId="18527EC6" w14:textId="77777777" w:rsidR="00085E73" w:rsidRPr="0093049F" w:rsidRDefault="00085E73" w:rsidP="00345B32">
            <w:pPr>
              <w:pStyle w:val="TableText"/>
              <w:keepNext/>
              <w:jc w:val="left"/>
              <w:rPr>
                <w:szCs w:val="20"/>
              </w:rPr>
            </w:pPr>
            <w:r>
              <w:t>Non-Embedded Designated Support—Separate Setting</w:t>
            </w:r>
          </w:p>
        </w:tc>
        <w:tc>
          <w:tcPr>
            <w:tcW w:w="864" w:type="dxa"/>
            <w:noWrap/>
            <w:vAlign w:val="bottom"/>
          </w:tcPr>
          <w:p w14:paraId="2FD63464" w14:textId="77777777" w:rsidR="00085E73" w:rsidRDefault="00085E73" w:rsidP="003475E2">
            <w:pPr>
              <w:pStyle w:val="TableText"/>
              <w:rPr>
                <w:szCs w:val="24"/>
                <w:lang w:eastAsia="ko-KR"/>
              </w:rPr>
            </w:pPr>
            <w:r>
              <w:t>132</w:t>
            </w:r>
          </w:p>
        </w:tc>
        <w:tc>
          <w:tcPr>
            <w:tcW w:w="864" w:type="dxa"/>
            <w:noWrap/>
            <w:vAlign w:val="bottom"/>
          </w:tcPr>
          <w:p w14:paraId="47A4BE96" w14:textId="77777777" w:rsidR="00085E73" w:rsidRDefault="00085E73" w:rsidP="003475E2">
            <w:pPr>
              <w:pStyle w:val="TableText"/>
            </w:pPr>
            <w:r>
              <w:t>18%</w:t>
            </w:r>
          </w:p>
        </w:tc>
        <w:tc>
          <w:tcPr>
            <w:tcW w:w="864" w:type="dxa"/>
            <w:noWrap/>
            <w:vAlign w:val="bottom"/>
          </w:tcPr>
          <w:p w14:paraId="16306DAA" w14:textId="77777777" w:rsidR="00085E73" w:rsidRDefault="00085E73" w:rsidP="003475E2">
            <w:pPr>
              <w:pStyle w:val="TableText"/>
              <w:rPr>
                <w:szCs w:val="24"/>
                <w:lang w:eastAsia="ko-KR"/>
              </w:rPr>
            </w:pPr>
            <w:r>
              <w:t>173</w:t>
            </w:r>
          </w:p>
        </w:tc>
        <w:tc>
          <w:tcPr>
            <w:tcW w:w="864" w:type="dxa"/>
            <w:noWrap/>
            <w:vAlign w:val="bottom"/>
          </w:tcPr>
          <w:p w14:paraId="5AEBDF2F" w14:textId="77777777" w:rsidR="00085E73" w:rsidRDefault="00085E73" w:rsidP="003475E2">
            <w:pPr>
              <w:pStyle w:val="TableText"/>
            </w:pPr>
            <w:r>
              <w:t>22%</w:t>
            </w:r>
          </w:p>
        </w:tc>
      </w:tr>
      <w:tr w:rsidR="00085E73" w:rsidRPr="00B96179" w14:paraId="6ED7E3B8" w14:textId="77777777" w:rsidTr="003475E2">
        <w:tc>
          <w:tcPr>
            <w:tcW w:w="7056" w:type="dxa"/>
            <w:tcBorders>
              <w:bottom w:val="single" w:sz="4" w:space="0" w:color="auto"/>
            </w:tcBorders>
          </w:tcPr>
          <w:p w14:paraId="4EA93B93" w14:textId="77777777" w:rsidR="00085E73" w:rsidRPr="0093049F" w:rsidRDefault="00085E73" w:rsidP="003475E2">
            <w:pPr>
              <w:pStyle w:val="TableText"/>
              <w:jc w:val="left"/>
              <w:rPr>
                <w:szCs w:val="20"/>
              </w:rPr>
            </w:pPr>
            <w:r>
              <w:t>Non-Embedded Designated Support—100s Number Table</w:t>
            </w:r>
          </w:p>
        </w:tc>
        <w:tc>
          <w:tcPr>
            <w:tcW w:w="864" w:type="dxa"/>
            <w:tcBorders>
              <w:bottom w:val="single" w:sz="4" w:space="0" w:color="auto"/>
            </w:tcBorders>
            <w:noWrap/>
            <w:vAlign w:val="bottom"/>
          </w:tcPr>
          <w:p w14:paraId="4D5F4E4B" w14:textId="77777777" w:rsidR="00085E73" w:rsidRDefault="00085E73" w:rsidP="003475E2">
            <w:pPr>
              <w:pStyle w:val="TableText"/>
              <w:rPr>
                <w:szCs w:val="24"/>
                <w:lang w:eastAsia="ko-KR"/>
              </w:rPr>
            </w:pPr>
            <w:r>
              <w:t>28</w:t>
            </w:r>
          </w:p>
        </w:tc>
        <w:tc>
          <w:tcPr>
            <w:tcW w:w="864" w:type="dxa"/>
            <w:tcBorders>
              <w:bottom w:val="single" w:sz="4" w:space="0" w:color="auto"/>
            </w:tcBorders>
            <w:noWrap/>
            <w:vAlign w:val="bottom"/>
          </w:tcPr>
          <w:p w14:paraId="5C4B6F8E" w14:textId="77777777" w:rsidR="00085E73" w:rsidRDefault="00085E73" w:rsidP="003475E2">
            <w:pPr>
              <w:pStyle w:val="TableText"/>
            </w:pPr>
            <w:r>
              <w:t>4%</w:t>
            </w:r>
          </w:p>
        </w:tc>
        <w:tc>
          <w:tcPr>
            <w:tcW w:w="864" w:type="dxa"/>
            <w:tcBorders>
              <w:bottom w:val="single" w:sz="4" w:space="0" w:color="auto"/>
            </w:tcBorders>
            <w:noWrap/>
            <w:vAlign w:val="bottom"/>
          </w:tcPr>
          <w:p w14:paraId="55039265" w14:textId="77777777" w:rsidR="00085E73" w:rsidRDefault="00085E73" w:rsidP="003475E2">
            <w:pPr>
              <w:pStyle w:val="TableText"/>
              <w:rPr>
                <w:szCs w:val="24"/>
                <w:lang w:eastAsia="ko-KR"/>
              </w:rPr>
            </w:pPr>
            <w:r>
              <w:t>40</w:t>
            </w:r>
          </w:p>
        </w:tc>
        <w:tc>
          <w:tcPr>
            <w:tcW w:w="864" w:type="dxa"/>
            <w:tcBorders>
              <w:bottom w:val="single" w:sz="4" w:space="0" w:color="auto"/>
            </w:tcBorders>
            <w:noWrap/>
            <w:vAlign w:val="bottom"/>
          </w:tcPr>
          <w:p w14:paraId="0514178B" w14:textId="77777777" w:rsidR="00085E73" w:rsidRDefault="00085E73" w:rsidP="003475E2">
            <w:pPr>
              <w:pStyle w:val="TableText"/>
            </w:pPr>
            <w:r>
              <w:t>5%</w:t>
            </w:r>
          </w:p>
        </w:tc>
      </w:tr>
      <w:tr w:rsidR="00085E73" w:rsidRPr="00B96179" w14:paraId="10CB5463" w14:textId="77777777" w:rsidTr="003475E2">
        <w:tc>
          <w:tcPr>
            <w:tcW w:w="7056" w:type="dxa"/>
            <w:tcBorders>
              <w:top w:val="single" w:sz="4" w:space="0" w:color="auto"/>
              <w:bottom w:val="single" w:sz="12" w:space="0" w:color="auto"/>
            </w:tcBorders>
          </w:tcPr>
          <w:p w14:paraId="6B47FAD5" w14:textId="77777777" w:rsidR="00085E73" w:rsidRPr="00E31117" w:rsidRDefault="00085E73" w:rsidP="003475E2">
            <w:pPr>
              <w:pStyle w:val="TableText"/>
              <w:rPr>
                <w:b/>
                <w:bCs/>
              </w:rPr>
            </w:pPr>
            <w:r w:rsidRPr="00E31117">
              <w:rPr>
                <w:b/>
                <w:bCs/>
              </w:rPr>
              <w:t>Total Students Tested</w:t>
            </w:r>
          </w:p>
        </w:tc>
        <w:tc>
          <w:tcPr>
            <w:tcW w:w="864" w:type="dxa"/>
            <w:tcBorders>
              <w:top w:val="single" w:sz="4" w:space="0" w:color="auto"/>
              <w:bottom w:val="single" w:sz="12" w:space="0" w:color="auto"/>
            </w:tcBorders>
            <w:noWrap/>
            <w:vAlign w:val="bottom"/>
          </w:tcPr>
          <w:p w14:paraId="436EBA49" w14:textId="77777777" w:rsidR="00085E73" w:rsidRDefault="00085E73" w:rsidP="003475E2">
            <w:pPr>
              <w:pStyle w:val="TableText"/>
            </w:pPr>
            <w:r>
              <w:rPr>
                <w:b/>
                <w:bCs/>
              </w:rPr>
              <w:t>737</w:t>
            </w:r>
          </w:p>
        </w:tc>
        <w:tc>
          <w:tcPr>
            <w:tcW w:w="864" w:type="dxa"/>
            <w:tcBorders>
              <w:top w:val="single" w:sz="4" w:space="0" w:color="auto"/>
              <w:bottom w:val="single" w:sz="12" w:space="0" w:color="auto"/>
            </w:tcBorders>
            <w:noWrap/>
            <w:vAlign w:val="bottom"/>
          </w:tcPr>
          <w:p w14:paraId="09ED5492" w14:textId="77777777" w:rsidR="00085E73" w:rsidRDefault="00085E73" w:rsidP="003475E2">
            <w:pPr>
              <w:pStyle w:val="TableText"/>
            </w:pPr>
            <w:r w:rsidRPr="001E5994">
              <w:rPr>
                <w:b/>
                <w:bCs/>
              </w:rPr>
              <w:t>N/A</w:t>
            </w:r>
          </w:p>
        </w:tc>
        <w:tc>
          <w:tcPr>
            <w:tcW w:w="864" w:type="dxa"/>
            <w:tcBorders>
              <w:top w:val="single" w:sz="4" w:space="0" w:color="auto"/>
              <w:bottom w:val="single" w:sz="12" w:space="0" w:color="auto"/>
            </w:tcBorders>
            <w:noWrap/>
            <w:vAlign w:val="bottom"/>
          </w:tcPr>
          <w:p w14:paraId="70D2148A" w14:textId="77777777" w:rsidR="00085E73" w:rsidRDefault="00085E73" w:rsidP="003475E2">
            <w:pPr>
              <w:pStyle w:val="TableText"/>
            </w:pPr>
            <w:r>
              <w:rPr>
                <w:b/>
                <w:bCs/>
              </w:rPr>
              <w:t>804</w:t>
            </w:r>
          </w:p>
        </w:tc>
        <w:tc>
          <w:tcPr>
            <w:tcW w:w="864" w:type="dxa"/>
            <w:tcBorders>
              <w:top w:val="single" w:sz="4" w:space="0" w:color="auto"/>
              <w:bottom w:val="single" w:sz="12" w:space="0" w:color="auto"/>
            </w:tcBorders>
            <w:noWrap/>
            <w:vAlign w:val="bottom"/>
          </w:tcPr>
          <w:p w14:paraId="466AF87B" w14:textId="77777777" w:rsidR="00085E73" w:rsidRDefault="00085E73" w:rsidP="003475E2">
            <w:pPr>
              <w:pStyle w:val="TableText"/>
            </w:pPr>
            <w:r w:rsidRPr="001E5994">
              <w:rPr>
                <w:b/>
                <w:bCs/>
              </w:rPr>
              <w:t>N/A</w:t>
            </w:r>
          </w:p>
        </w:tc>
      </w:tr>
    </w:tbl>
    <w:p w14:paraId="61B40DEA" w14:textId="02F12438" w:rsidR="00085E73" w:rsidRDefault="00AD5AE6" w:rsidP="00AD5AE6">
      <w:pPr>
        <w:pageBreakBefore/>
      </w:pPr>
      <w:r w:rsidRPr="002B4A82">
        <w:rPr>
          <w:b/>
        </w:rPr>
        <w:lastRenderedPageBreak/>
        <w:t xml:space="preserve">Note: </w:t>
      </w:r>
      <w:r>
        <w:t>Some students are eligible for multiple accessibility resources. As a result, the number of students tested in each grade level may not equal the sum of the number of students eligible per accessibility resource across all accessibility resources.</w:t>
      </w:r>
    </w:p>
    <w:p w14:paraId="7891CC0F" w14:textId="27A08462" w:rsidR="00085E73" w:rsidRDefault="00085E73" w:rsidP="00AD5AE6">
      <w:pPr>
        <w:pStyle w:val="Caption"/>
      </w:pPr>
      <w:bookmarkStart w:id="207" w:name="_Ref67381759"/>
      <w:bookmarkStart w:id="208" w:name="_Toc67319686"/>
      <w:bookmarkStart w:id="209" w:name="_Toc220498690"/>
      <w:r>
        <w:t>Table 2.A.</w:t>
      </w:r>
      <w:r>
        <w:fldChar w:fldCharType="begin"/>
      </w:r>
      <w:r>
        <w:instrText>SEQ Table_2.A. \* ARABIC</w:instrText>
      </w:r>
      <w:r>
        <w:fldChar w:fldCharType="separate"/>
      </w:r>
      <w:r w:rsidR="00961502">
        <w:rPr>
          <w:noProof/>
        </w:rPr>
        <w:t>4</w:t>
      </w:r>
      <w:r>
        <w:fldChar w:fldCharType="end"/>
      </w:r>
      <w:bookmarkEnd w:id="207"/>
      <w:r>
        <w:t xml:space="preserve">  Assignment of Designated Supports and Accommodations—High School for </w:t>
      </w:r>
      <w:r>
        <w:rPr>
          <w:rFonts w:cs="Arial"/>
        </w:rPr>
        <w:t>Earth and Space Sciences</w:t>
      </w:r>
      <w:bookmarkEnd w:id="208"/>
      <w:bookmarkEnd w:id="209"/>
    </w:p>
    <w:tbl>
      <w:tblPr>
        <w:tblStyle w:val="TRs"/>
        <w:tblW w:w="0" w:type="auto"/>
        <w:tblLayout w:type="fixed"/>
        <w:tblLook w:val="04A0" w:firstRow="1" w:lastRow="0" w:firstColumn="1" w:lastColumn="0" w:noHBand="0" w:noVBand="1"/>
        <w:tblDescription w:val="Assignment of Designated Supports and Accommodations—High School for Earth and Space Sciences"/>
      </w:tblPr>
      <w:tblGrid>
        <w:gridCol w:w="7056"/>
        <w:gridCol w:w="864"/>
        <w:gridCol w:w="720"/>
        <w:gridCol w:w="864"/>
        <w:gridCol w:w="720"/>
        <w:gridCol w:w="864"/>
        <w:gridCol w:w="720"/>
        <w:gridCol w:w="864"/>
        <w:gridCol w:w="720"/>
      </w:tblGrid>
      <w:tr w:rsidR="00BC3368" w:rsidRPr="006A1E3E" w14:paraId="7DD05B3E" w14:textId="77777777" w:rsidTr="006E1E47">
        <w:trPr>
          <w:cnfStyle w:val="100000000000" w:firstRow="1" w:lastRow="0" w:firstColumn="0" w:lastColumn="0" w:oddVBand="0" w:evenVBand="0" w:oddHBand="0" w:evenHBand="0" w:firstRowFirstColumn="0" w:firstRowLastColumn="0" w:lastRowFirstColumn="0" w:lastRowLastColumn="0"/>
          <w:trHeight w:val="1872"/>
        </w:trPr>
        <w:tc>
          <w:tcPr>
            <w:tcW w:w="7056" w:type="dxa"/>
            <w:hideMark/>
          </w:tcPr>
          <w:p w14:paraId="0C4E5656" w14:textId="77777777" w:rsidR="00085E73" w:rsidRPr="006A1E3E" w:rsidRDefault="00085E73" w:rsidP="00312582">
            <w:pPr>
              <w:pStyle w:val="TableHead"/>
            </w:pPr>
            <w:r>
              <w:t>Accessibility Resource</w:t>
            </w:r>
          </w:p>
        </w:tc>
        <w:tc>
          <w:tcPr>
            <w:tcW w:w="864" w:type="dxa"/>
            <w:textDirection w:val="btLr"/>
            <w:vAlign w:val="center"/>
            <w:hideMark/>
          </w:tcPr>
          <w:p w14:paraId="3452D086" w14:textId="77777777" w:rsidR="00085E73" w:rsidRPr="006A1E3E" w:rsidRDefault="00085E73" w:rsidP="006E1E47">
            <w:pPr>
              <w:pStyle w:val="TableHead"/>
              <w:ind w:left="72" w:right="115"/>
              <w:jc w:val="left"/>
            </w:pPr>
            <w:r w:rsidRPr="006A1E3E">
              <w:t xml:space="preserve">Grade </w:t>
            </w:r>
            <w:r>
              <w:t xml:space="preserve">10: </w:t>
            </w:r>
            <w:r w:rsidRPr="006A1E3E">
              <w:t>N</w:t>
            </w:r>
          </w:p>
        </w:tc>
        <w:tc>
          <w:tcPr>
            <w:tcW w:w="720" w:type="dxa"/>
            <w:textDirection w:val="btLr"/>
            <w:vAlign w:val="center"/>
            <w:hideMark/>
          </w:tcPr>
          <w:p w14:paraId="68166FC1" w14:textId="77777777" w:rsidR="00085E73" w:rsidRPr="006A1E3E" w:rsidRDefault="00085E73" w:rsidP="006E1E47">
            <w:pPr>
              <w:pStyle w:val="TableHead"/>
              <w:ind w:left="72" w:right="115"/>
              <w:jc w:val="left"/>
            </w:pPr>
            <w:r w:rsidRPr="006A1E3E">
              <w:t xml:space="preserve">Grade </w:t>
            </w:r>
            <w:r>
              <w:t>10: % of Total T</w:t>
            </w:r>
            <w:r w:rsidRPr="006A1E3E">
              <w:t>ested</w:t>
            </w:r>
          </w:p>
        </w:tc>
        <w:tc>
          <w:tcPr>
            <w:tcW w:w="864" w:type="dxa"/>
            <w:textDirection w:val="btLr"/>
            <w:vAlign w:val="center"/>
            <w:hideMark/>
          </w:tcPr>
          <w:p w14:paraId="3FCA3F77" w14:textId="77777777" w:rsidR="00085E73" w:rsidRPr="006A1E3E" w:rsidRDefault="00085E73" w:rsidP="006E1E47">
            <w:pPr>
              <w:pStyle w:val="TableHead"/>
              <w:ind w:left="72" w:right="115"/>
              <w:jc w:val="left"/>
            </w:pPr>
            <w:r w:rsidRPr="006A1E3E">
              <w:t xml:space="preserve">Grade </w:t>
            </w:r>
            <w:r>
              <w:t xml:space="preserve">11: </w:t>
            </w:r>
            <w:r w:rsidRPr="006A1E3E">
              <w:t>N</w:t>
            </w:r>
          </w:p>
        </w:tc>
        <w:tc>
          <w:tcPr>
            <w:tcW w:w="720" w:type="dxa"/>
            <w:textDirection w:val="btLr"/>
            <w:vAlign w:val="center"/>
            <w:hideMark/>
          </w:tcPr>
          <w:p w14:paraId="4CF197D7" w14:textId="77777777" w:rsidR="00085E73" w:rsidRPr="006A1E3E" w:rsidRDefault="00085E73" w:rsidP="006E1E47">
            <w:pPr>
              <w:pStyle w:val="TableHead"/>
              <w:ind w:left="72" w:right="115"/>
              <w:jc w:val="left"/>
            </w:pPr>
            <w:r w:rsidRPr="006A1E3E">
              <w:t xml:space="preserve">Grade </w:t>
            </w:r>
            <w:r>
              <w:t>11: % of Total T</w:t>
            </w:r>
            <w:r w:rsidRPr="006A1E3E">
              <w:t>ested</w:t>
            </w:r>
          </w:p>
        </w:tc>
        <w:tc>
          <w:tcPr>
            <w:tcW w:w="864" w:type="dxa"/>
            <w:textDirection w:val="btLr"/>
            <w:vAlign w:val="center"/>
            <w:hideMark/>
          </w:tcPr>
          <w:p w14:paraId="6B5AE440" w14:textId="77777777" w:rsidR="00085E73" w:rsidRPr="006A1E3E" w:rsidRDefault="00085E73" w:rsidP="006E1E47">
            <w:pPr>
              <w:pStyle w:val="TableHead"/>
              <w:ind w:left="72" w:right="115"/>
              <w:jc w:val="left"/>
            </w:pPr>
            <w:r w:rsidRPr="006A1E3E">
              <w:t xml:space="preserve">Grade </w:t>
            </w:r>
            <w:r>
              <w:t xml:space="preserve">12: </w:t>
            </w:r>
            <w:r w:rsidRPr="006A1E3E">
              <w:t>N</w:t>
            </w:r>
          </w:p>
        </w:tc>
        <w:tc>
          <w:tcPr>
            <w:tcW w:w="720" w:type="dxa"/>
            <w:textDirection w:val="btLr"/>
            <w:vAlign w:val="center"/>
            <w:hideMark/>
          </w:tcPr>
          <w:p w14:paraId="18F36097" w14:textId="77777777" w:rsidR="00085E73" w:rsidRPr="006A1E3E" w:rsidRDefault="00085E73" w:rsidP="006E1E47">
            <w:pPr>
              <w:pStyle w:val="TableHead"/>
              <w:ind w:left="72" w:right="115"/>
              <w:jc w:val="left"/>
            </w:pPr>
            <w:r w:rsidRPr="006A1E3E">
              <w:t xml:space="preserve">Grade </w:t>
            </w:r>
            <w:r>
              <w:t>12: % of Total T</w:t>
            </w:r>
            <w:r w:rsidRPr="006A1E3E">
              <w:t>ested</w:t>
            </w:r>
          </w:p>
        </w:tc>
        <w:tc>
          <w:tcPr>
            <w:tcW w:w="864" w:type="dxa"/>
            <w:textDirection w:val="btLr"/>
            <w:vAlign w:val="center"/>
            <w:hideMark/>
          </w:tcPr>
          <w:p w14:paraId="4BCD45B7" w14:textId="77777777" w:rsidR="00085E73" w:rsidRPr="006A1E3E" w:rsidRDefault="00085E73" w:rsidP="006E1E47">
            <w:pPr>
              <w:pStyle w:val="TableHead"/>
              <w:ind w:left="72" w:right="115"/>
              <w:jc w:val="left"/>
            </w:pPr>
            <w:r>
              <w:t xml:space="preserve">High School: </w:t>
            </w:r>
            <w:r w:rsidRPr="006A1E3E">
              <w:t>N</w:t>
            </w:r>
          </w:p>
        </w:tc>
        <w:tc>
          <w:tcPr>
            <w:tcW w:w="720" w:type="dxa"/>
            <w:textDirection w:val="btLr"/>
            <w:vAlign w:val="center"/>
            <w:hideMark/>
          </w:tcPr>
          <w:p w14:paraId="1CF8548D" w14:textId="77777777" w:rsidR="00085E73" w:rsidRPr="006A1E3E" w:rsidRDefault="00085E73" w:rsidP="006E1E47">
            <w:pPr>
              <w:pStyle w:val="TableHead"/>
              <w:ind w:left="72" w:right="115"/>
              <w:jc w:val="left"/>
            </w:pPr>
            <w:r>
              <w:t>High School: % of Total T</w:t>
            </w:r>
            <w:r w:rsidRPr="006A1E3E">
              <w:t>ested</w:t>
            </w:r>
          </w:p>
        </w:tc>
      </w:tr>
      <w:tr w:rsidR="00085E73" w:rsidRPr="00B96179" w14:paraId="0807CE2F" w14:textId="77777777" w:rsidTr="003117E6">
        <w:tc>
          <w:tcPr>
            <w:tcW w:w="7056" w:type="dxa"/>
            <w:tcBorders>
              <w:top w:val="single" w:sz="4" w:space="0" w:color="auto"/>
            </w:tcBorders>
            <w:hideMark/>
          </w:tcPr>
          <w:p w14:paraId="3D49584D" w14:textId="77777777" w:rsidR="00085E73" w:rsidRPr="0093049F" w:rsidRDefault="00085E73" w:rsidP="003475E2">
            <w:pPr>
              <w:pStyle w:val="TableText"/>
              <w:jc w:val="left"/>
              <w:rPr>
                <w:szCs w:val="20"/>
                <w:lang w:eastAsia="ko-KR"/>
              </w:rPr>
            </w:pPr>
            <w:r>
              <w:t>Non-Embedded Accommodation—Abacus</w:t>
            </w:r>
          </w:p>
        </w:tc>
        <w:tc>
          <w:tcPr>
            <w:tcW w:w="864" w:type="dxa"/>
            <w:tcBorders>
              <w:top w:val="single" w:sz="4" w:space="0" w:color="auto"/>
            </w:tcBorders>
            <w:noWrap/>
            <w:vAlign w:val="bottom"/>
          </w:tcPr>
          <w:p w14:paraId="41CD68B3" w14:textId="77777777" w:rsidR="00085E73" w:rsidRPr="007A3043" w:rsidRDefault="00085E73" w:rsidP="003475E2">
            <w:pPr>
              <w:pStyle w:val="TableText"/>
              <w:rPr>
                <w:szCs w:val="24"/>
                <w:lang w:eastAsia="ko-KR"/>
              </w:rPr>
            </w:pPr>
            <w:r>
              <w:t>0</w:t>
            </w:r>
          </w:p>
        </w:tc>
        <w:tc>
          <w:tcPr>
            <w:tcW w:w="720" w:type="dxa"/>
            <w:tcBorders>
              <w:top w:val="single" w:sz="4" w:space="0" w:color="auto"/>
            </w:tcBorders>
            <w:noWrap/>
            <w:vAlign w:val="bottom"/>
          </w:tcPr>
          <w:p w14:paraId="003675FF" w14:textId="77777777" w:rsidR="00085E73" w:rsidRPr="007A3043" w:rsidRDefault="00085E73" w:rsidP="003475E2">
            <w:pPr>
              <w:pStyle w:val="TableText"/>
              <w:rPr>
                <w:szCs w:val="24"/>
                <w:lang w:eastAsia="ko-KR"/>
              </w:rPr>
            </w:pPr>
            <w:r>
              <w:t>0%</w:t>
            </w:r>
          </w:p>
        </w:tc>
        <w:tc>
          <w:tcPr>
            <w:tcW w:w="864" w:type="dxa"/>
            <w:tcBorders>
              <w:top w:val="single" w:sz="4" w:space="0" w:color="auto"/>
            </w:tcBorders>
            <w:noWrap/>
            <w:vAlign w:val="bottom"/>
          </w:tcPr>
          <w:p w14:paraId="44595861" w14:textId="77777777" w:rsidR="00085E73" w:rsidRPr="007A3043" w:rsidRDefault="00085E73" w:rsidP="003475E2">
            <w:pPr>
              <w:pStyle w:val="TableText"/>
              <w:rPr>
                <w:szCs w:val="24"/>
                <w:lang w:eastAsia="ko-KR"/>
              </w:rPr>
            </w:pPr>
            <w:r>
              <w:t>2</w:t>
            </w:r>
          </w:p>
        </w:tc>
        <w:tc>
          <w:tcPr>
            <w:tcW w:w="720" w:type="dxa"/>
            <w:tcBorders>
              <w:top w:val="single" w:sz="4" w:space="0" w:color="auto"/>
            </w:tcBorders>
            <w:noWrap/>
            <w:vAlign w:val="bottom"/>
          </w:tcPr>
          <w:p w14:paraId="32A0698B" w14:textId="77777777" w:rsidR="00085E73" w:rsidRPr="007A3043" w:rsidRDefault="00085E73" w:rsidP="003475E2">
            <w:pPr>
              <w:pStyle w:val="TableText"/>
              <w:rPr>
                <w:szCs w:val="24"/>
                <w:lang w:eastAsia="ko-KR"/>
              </w:rPr>
            </w:pPr>
            <w:r>
              <w:t>1%</w:t>
            </w:r>
          </w:p>
        </w:tc>
        <w:tc>
          <w:tcPr>
            <w:tcW w:w="864" w:type="dxa"/>
            <w:tcBorders>
              <w:top w:val="single" w:sz="4" w:space="0" w:color="auto"/>
            </w:tcBorders>
            <w:noWrap/>
            <w:vAlign w:val="bottom"/>
          </w:tcPr>
          <w:p w14:paraId="4EFDB55D" w14:textId="77777777" w:rsidR="00085E73" w:rsidRPr="007A3043" w:rsidRDefault="00085E73" w:rsidP="003475E2">
            <w:pPr>
              <w:pStyle w:val="TableText"/>
              <w:rPr>
                <w:szCs w:val="24"/>
                <w:lang w:eastAsia="ko-KR"/>
              </w:rPr>
            </w:pPr>
            <w:r>
              <w:t>1</w:t>
            </w:r>
          </w:p>
        </w:tc>
        <w:tc>
          <w:tcPr>
            <w:tcW w:w="720" w:type="dxa"/>
            <w:tcBorders>
              <w:top w:val="single" w:sz="4" w:space="0" w:color="auto"/>
            </w:tcBorders>
            <w:noWrap/>
            <w:vAlign w:val="bottom"/>
          </w:tcPr>
          <w:p w14:paraId="76238FA4" w14:textId="77777777" w:rsidR="00085E73" w:rsidRPr="007A3043" w:rsidRDefault="00085E73" w:rsidP="003475E2">
            <w:pPr>
              <w:pStyle w:val="TableText"/>
              <w:rPr>
                <w:szCs w:val="24"/>
                <w:lang w:eastAsia="ko-KR"/>
              </w:rPr>
            </w:pPr>
            <w:r>
              <w:t>0%</w:t>
            </w:r>
          </w:p>
        </w:tc>
        <w:tc>
          <w:tcPr>
            <w:tcW w:w="864" w:type="dxa"/>
            <w:tcBorders>
              <w:top w:val="single" w:sz="4" w:space="0" w:color="auto"/>
            </w:tcBorders>
            <w:noWrap/>
            <w:vAlign w:val="bottom"/>
          </w:tcPr>
          <w:p w14:paraId="4D4A8522" w14:textId="77777777" w:rsidR="00085E73" w:rsidRPr="007A3043" w:rsidRDefault="00085E73" w:rsidP="003475E2">
            <w:pPr>
              <w:pStyle w:val="TableText"/>
              <w:rPr>
                <w:szCs w:val="24"/>
                <w:lang w:eastAsia="ko-KR"/>
              </w:rPr>
            </w:pPr>
            <w:r>
              <w:t>3</w:t>
            </w:r>
          </w:p>
        </w:tc>
        <w:tc>
          <w:tcPr>
            <w:tcW w:w="720" w:type="dxa"/>
            <w:tcBorders>
              <w:top w:val="single" w:sz="4" w:space="0" w:color="auto"/>
            </w:tcBorders>
            <w:noWrap/>
            <w:vAlign w:val="bottom"/>
          </w:tcPr>
          <w:p w14:paraId="3EE23B40" w14:textId="77777777" w:rsidR="00085E73" w:rsidRPr="007A3043" w:rsidRDefault="00085E73" w:rsidP="003475E2">
            <w:pPr>
              <w:pStyle w:val="TableText"/>
              <w:rPr>
                <w:szCs w:val="24"/>
                <w:lang w:eastAsia="ko-KR"/>
              </w:rPr>
            </w:pPr>
            <w:r>
              <w:t>0%</w:t>
            </w:r>
          </w:p>
        </w:tc>
      </w:tr>
      <w:tr w:rsidR="00085E73" w:rsidRPr="00B96179" w14:paraId="074BF0CE" w14:textId="77777777" w:rsidTr="003475E2">
        <w:tc>
          <w:tcPr>
            <w:tcW w:w="7056" w:type="dxa"/>
            <w:hideMark/>
          </w:tcPr>
          <w:p w14:paraId="2E7DA2F0" w14:textId="77777777" w:rsidR="00085E73" w:rsidRPr="0093049F" w:rsidRDefault="00085E73" w:rsidP="003475E2">
            <w:pPr>
              <w:pStyle w:val="TableText"/>
              <w:jc w:val="left"/>
              <w:rPr>
                <w:szCs w:val="20"/>
                <w:lang w:eastAsia="ko-KR"/>
              </w:rPr>
            </w:pPr>
            <w:r>
              <w:t>Non-Embedded Accommodation—Additional Instructional Supports for Alternate Assessments</w:t>
            </w:r>
          </w:p>
        </w:tc>
        <w:tc>
          <w:tcPr>
            <w:tcW w:w="864" w:type="dxa"/>
            <w:noWrap/>
            <w:vAlign w:val="bottom"/>
          </w:tcPr>
          <w:p w14:paraId="24E09E11" w14:textId="77777777" w:rsidR="00085E73" w:rsidRPr="007A3043" w:rsidRDefault="00085E73" w:rsidP="003475E2">
            <w:pPr>
              <w:pStyle w:val="TableText"/>
              <w:rPr>
                <w:szCs w:val="24"/>
                <w:lang w:eastAsia="ko-KR"/>
              </w:rPr>
            </w:pPr>
            <w:r>
              <w:t>7</w:t>
            </w:r>
          </w:p>
        </w:tc>
        <w:tc>
          <w:tcPr>
            <w:tcW w:w="720" w:type="dxa"/>
            <w:noWrap/>
            <w:vAlign w:val="bottom"/>
          </w:tcPr>
          <w:p w14:paraId="581CB396" w14:textId="77777777" w:rsidR="00085E73" w:rsidRPr="007A3043" w:rsidRDefault="00085E73" w:rsidP="003475E2">
            <w:pPr>
              <w:pStyle w:val="TableText"/>
              <w:rPr>
                <w:szCs w:val="24"/>
                <w:lang w:eastAsia="ko-KR"/>
              </w:rPr>
            </w:pPr>
            <w:r>
              <w:t>5%</w:t>
            </w:r>
          </w:p>
        </w:tc>
        <w:tc>
          <w:tcPr>
            <w:tcW w:w="864" w:type="dxa"/>
            <w:noWrap/>
            <w:vAlign w:val="bottom"/>
          </w:tcPr>
          <w:p w14:paraId="60227149" w14:textId="77777777" w:rsidR="00085E73" w:rsidRPr="007A3043" w:rsidRDefault="00085E73" w:rsidP="003475E2">
            <w:pPr>
              <w:pStyle w:val="TableText"/>
              <w:rPr>
                <w:szCs w:val="24"/>
                <w:lang w:eastAsia="ko-KR"/>
              </w:rPr>
            </w:pPr>
            <w:r>
              <w:t>22</w:t>
            </w:r>
          </w:p>
        </w:tc>
        <w:tc>
          <w:tcPr>
            <w:tcW w:w="720" w:type="dxa"/>
            <w:noWrap/>
            <w:vAlign w:val="bottom"/>
          </w:tcPr>
          <w:p w14:paraId="2460D7A9" w14:textId="77777777" w:rsidR="00085E73" w:rsidRPr="007A3043" w:rsidRDefault="00085E73" w:rsidP="003475E2">
            <w:pPr>
              <w:pStyle w:val="TableText"/>
              <w:rPr>
                <w:szCs w:val="24"/>
                <w:lang w:eastAsia="ko-KR"/>
              </w:rPr>
            </w:pPr>
            <w:r>
              <w:t>6%</w:t>
            </w:r>
          </w:p>
        </w:tc>
        <w:tc>
          <w:tcPr>
            <w:tcW w:w="864" w:type="dxa"/>
            <w:noWrap/>
            <w:vAlign w:val="bottom"/>
          </w:tcPr>
          <w:p w14:paraId="323E3594" w14:textId="77777777" w:rsidR="00085E73" w:rsidRPr="007A3043" w:rsidRDefault="00085E73" w:rsidP="003475E2">
            <w:pPr>
              <w:pStyle w:val="TableText"/>
              <w:rPr>
                <w:szCs w:val="24"/>
                <w:lang w:eastAsia="ko-KR"/>
              </w:rPr>
            </w:pPr>
            <w:r>
              <w:t>6</w:t>
            </w:r>
          </w:p>
        </w:tc>
        <w:tc>
          <w:tcPr>
            <w:tcW w:w="720" w:type="dxa"/>
            <w:noWrap/>
            <w:vAlign w:val="bottom"/>
          </w:tcPr>
          <w:p w14:paraId="179A37AC" w14:textId="77777777" w:rsidR="00085E73" w:rsidRPr="007A3043" w:rsidRDefault="00085E73" w:rsidP="003475E2">
            <w:pPr>
              <w:pStyle w:val="TableText"/>
              <w:rPr>
                <w:szCs w:val="24"/>
                <w:lang w:eastAsia="ko-KR"/>
              </w:rPr>
            </w:pPr>
            <w:r>
              <w:t>2%</w:t>
            </w:r>
          </w:p>
        </w:tc>
        <w:tc>
          <w:tcPr>
            <w:tcW w:w="864" w:type="dxa"/>
            <w:noWrap/>
            <w:vAlign w:val="bottom"/>
          </w:tcPr>
          <w:p w14:paraId="12569136" w14:textId="77777777" w:rsidR="00085E73" w:rsidRPr="007A3043" w:rsidRDefault="00085E73" w:rsidP="003475E2">
            <w:pPr>
              <w:pStyle w:val="TableText"/>
              <w:rPr>
                <w:szCs w:val="24"/>
                <w:lang w:eastAsia="ko-KR"/>
              </w:rPr>
            </w:pPr>
            <w:r>
              <w:t>35</w:t>
            </w:r>
          </w:p>
        </w:tc>
        <w:tc>
          <w:tcPr>
            <w:tcW w:w="720" w:type="dxa"/>
            <w:noWrap/>
            <w:vAlign w:val="bottom"/>
          </w:tcPr>
          <w:p w14:paraId="1E0D8249" w14:textId="77777777" w:rsidR="00085E73" w:rsidRPr="007A3043" w:rsidRDefault="00085E73" w:rsidP="003475E2">
            <w:pPr>
              <w:pStyle w:val="TableText"/>
              <w:rPr>
                <w:szCs w:val="24"/>
                <w:lang w:eastAsia="ko-KR"/>
              </w:rPr>
            </w:pPr>
            <w:r>
              <w:t>5%</w:t>
            </w:r>
          </w:p>
        </w:tc>
      </w:tr>
      <w:tr w:rsidR="00085E73" w:rsidRPr="00B96179" w14:paraId="663AAA0A" w14:textId="77777777" w:rsidTr="003475E2">
        <w:tc>
          <w:tcPr>
            <w:tcW w:w="7056" w:type="dxa"/>
            <w:hideMark/>
          </w:tcPr>
          <w:p w14:paraId="0761D0DA" w14:textId="77777777" w:rsidR="00085E73" w:rsidRPr="0093049F" w:rsidRDefault="00085E73" w:rsidP="003475E2">
            <w:pPr>
              <w:pStyle w:val="TableText"/>
              <w:jc w:val="left"/>
              <w:rPr>
                <w:szCs w:val="20"/>
                <w:lang w:eastAsia="ko-KR"/>
              </w:rPr>
            </w:pPr>
            <w:r>
              <w:t>Non-Embedded Accommodation—Alternate Response Options</w:t>
            </w:r>
          </w:p>
        </w:tc>
        <w:tc>
          <w:tcPr>
            <w:tcW w:w="864" w:type="dxa"/>
            <w:noWrap/>
            <w:vAlign w:val="bottom"/>
          </w:tcPr>
          <w:p w14:paraId="4E95EFA5" w14:textId="77777777" w:rsidR="00085E73" w:rsidRPr="007A3043" w:rsidRDefault="00085E73" w:rsidP="003475E2">
            <w:pPr>
              <w:pStyle w:val="TableText"/>
              <w:rPr>
                <w:szCs w:val="24"/>
                <w:lang w:eastAsia="ko-KR"/>
              </w:rPr>
            </w:pPr>
            <w:r>
              <w:t>11</w:t>
            </w:r>
          </w:p>
        </w:tc>
        <w:tc>
          <w:tcPr>
            <w:tcW w:w="720" w:type="dxa"/>
            <w:noWrap/>
            <w:vAlign w:val="bottom"/>
          </w:tcPr>
          <w:p w14:paraId="69176C79" w14:textId="77777777" w:rsidR="00085E73" w:rsidRPr="007A3043" w:rsidRDefault="00085E73" w:rsidP="003475E2">
            <w:pPr>
              <w:pStyle w:val="TableText"/>
              <w:rPr>
                <w:szCs w:val="24"/>
                <w:lang w:eastAsia="ko-KR"/>
              </w:rPr>
            </w:pPr>
            <w:r>
              <w:t>8%</w:t>
            </w:r>
          </w:p>
        </w:tc>
        <w:tc>
          <w:tcPr>
            <w:tcW w:w="864" w:type="dxa"/>
            <w:noWrap/>
            <w:vAlign w:val="bottom"/>
          </w:tcPr>
          <w:p w14:paraId="42A94E80" w14:textId="77777777" w:rsidR="00085E73" w:rsidRPr="007A3043" w:rsidRDefault="00085E73" w:rsidP="003475E2">
            <w:pPr>
              <w:pStyle w:val="TableText"/>
              <w:rPr>
                <w:szCs w:val="24"/>
                <w:lang w:eastAsia="ko-KR"/>
              </w:rPr>
            </w:pPr>
            <w:r>
              <w:t>9</w:t>
            </w:r>
          </w:p>
        </w:tc>
        <w:tc>
          <w:tcPr>
            <w:tcW w:w="720" w:type="dxa"/>
            <w:noWrap/>
            <w:vAlign w:val="bottom"/>
          </w:tcPr>
          <w:p w14:paraId="74355798" w14:textId="77777777" w:rsidR="00085E73" w:rsidRPr="007A3043" w:rsidRDefault="00085E73" w:rsidP="003475E2">
            <w:pPr>
              <w:pStyle w:val="TableText"/>
              <w:rPr>
                <w:szCs w:val="24"/>
                <w:lang w:eastAsia="ko-KR"/>
              </w:rPr>
            </w:pPr>
            <w:r>
              <w:t>3%</w:t>
            </w:r>
          </w:p>
        </w:tc>
        <w:tc>
          <w:tcPr>
            <w:tcW w:w="864" w:type="dxa"/>
            <w:noWrap/>
            <w:vAlign w:val="bottom"/>
          </w:tcPr>
          <w:p w14:paraId="3D6E4CEB" w14:textId="77777777" w:rsidR="00085E73" w:rsidRPr="007A3043" w:rsidRDefault="00085E73" w:rsidP="003475E2">
            <w:pPr>
              <w:pStyle w:val="TableText"/>
              <w:rPr>
                <w:szCs w:val="24"/>
                <w:lang w:eastAsia="ko-KR"/>
              </w:rPr>
            </w:pPr>
            <w:r>
              <w:t>7</w:t>
            </w:r>
          </w:p>
        </w:tc>
        <w:tc>
          <w:tcPr>
            <w:tcW w:w="720" w:type="dxa"/>
            <w:noWrap/>
            <w:vAlign w:val="bottom"/>
          </w:tcPr>
          <w:p w14:paraId="4B89A006" w14:textId="77777777" w:rsidR="00085E73" w:rsidRPr="007A3043" w:rsidRDefault="00085E73" w:rsidP="003475E2">
            <w:pPr>
              <w:pStyle w:val="TableText"/>
              <w:rPr>
                <w:szCs w:val="24"/>
                <w:lang w:eastAsia="ko-KR"/>
              </w:rPr>
            </w:pPr>
            <w:r>
              <w:t>3%</w:t>
            </w:r>
          </w:p>
        </w:tc>
        <w:tc>
          <w:tcPr>
            <w:tcW w:w="864" w:type="dxa"/>
            <w:noWrap/>
            <w:vAlign w:val="bottom"/>
          </w:tcPr>
          <w:p w14:paraId="79CCD90C" w14:textId="77777777" w:rsidR="00085E73" w:rsidRPr="007A3043" w:rsidRDefault="00085E73" w:rsidP="003475E2">
            <w:pPr>
              <w:pStyle w:val="TableText"/>
              <w:rPr>
                <w:szCs w:val="24"/>
                <w:lang w:eastAsia="ko-KR"/>
              </w:rPr>
            </w:pPr>
            <w:r>
              <w:t>27</w:t>
            </w:r>
          </w:p>
        </w:tc>
        <w:tc>
          <w:tcPr>
            <w:tcW w:w="720" w:type="dxa"/>
            <w:noWrap/>
            <w:vAlign w:val="bottom"/>
          </w:tcPr>
          <w:p w14:paraId="42AF9D84" w14:textId="77777777" w:rsidR="00085E73" w:rsidRPr="007A3043" w:rsidRDefault="00085E73" w:rsidP="003475E2">
            <w:pPr>
              <w:pStyle w:val="TableText"/>
              <w:rPr>
                <w:szCs w:val="24"/>
                <w:lang w:eastAsia="ko-KR"/>
              </w:rPr>
            </w:pPr>
            <w:r>
              <w:t>4%</w:t>
            </w:r>
          </w:p>
        </w:tc>
      </w:tr>
      <w:tr w:rsidR="00085E73" w:rsidRPr="00B96179" w14:paraId="3E7CFC1D" w14:textId="77777777" w:rsidTr="003475E2">
        <w:tc>
          <w:tcPr>
            <w:tcW w:w="7056" w:type="dxa"/>
            <w:hideMark/>
          </w:tcPr>
          <w:p w14:paraId="739A40B5" w14:textId="77777777" w:rsidR="00085E73" w:rsidRPr="0093049F" w:rsidRDefault="00085E73" w:rsidP="003475E2">
            <w:pPr>
              <w:pStyle w:val="TableText"/>
              <w:jc w:val="left"/>
              <w:rPr>
                <w:szCs w:val="20"/>
                <w:lang w:eastAsia="ko-KR"/>
              </w:rPr>
            </w:pPr>
            <w:r>
              <w:t>Non-Embedded Accommodation—Print on Demand</w:t>
            </w:r>
          </w:p>
        </w:tc>
        <w:tc>
          <w:tcPr>
            <w:tcW w:w="864" w:type="dxa"/>
            <w:noWrap/>
            <w:vAlign w:val="bottom"/>
          </w:tcPr>
          <w:p w14:paraId="7FB1625A" w14:textId="77777777" w:rsidR="00085E73" w:rsidRPr="007A3043" w:rsidRDefault="00085E73" w:rsidP="003475E2">
            <w:pPr>
              <w:pStyle w:val="TableText"/>
              <w:rPr>
                <w:szCs w:val="24"/>
                <w:lang w:eastAsia="ko-KR"/>
              </w:rPr>
            </w:pPr>
            <w:r>
              <w:t>0</w:t>
            </w:r>
          </w:p>
        </w:tc>
        <w:tc>
          <w:tcPr>
            <w:tcW w:w="720" w:type="dxa"/>
            <w:noWrap/>
            <w:vAlign w:val="bottom"/>
          </w:tcPr>
          <w:p w14:paraId="5317079D" w14:textId="77777777" w:rsidR="00085E73" w:rsidRPr="007A3043" w:rsidRDefault="00085E73" w:rsidP="003475E2">
            <w:pPr>
              <w:pStyle w:val="TableText"/>
              <w:rPr>
                <w:szCs w:val="24"/>
                <w:lang w:eastAsia="ko-KR"/>
              </w:rPr>
            </w:pPr>
            <w:r>
              <w:t>0%</w:t>
            </w:r>
          </w:p>
        </w:tc>
        <w:tc>
          <w:tcPr>
            <w:tcW w:w="864" w:type="dxa"/>
            <w:noWrap/>
            <w:vAlign w:val="bottom"/>
          </w:tcPr>
          <w:p w14:paraId="358BE1AF" w14:textId="77777777" w:rsidR="00085E73" w:rsidRPr="007A3043" w:rsidRDefault="00085E73" w:rsidP="003475E2">
            <w:pPr>
              <w:pStyle w:val="TableText"/>
              <w:rPr>
                <w:szCs w:val="24"/>
                <w:lang w:eastAsia="ko-KR"/>
              </w:rPr>
            </w:pPr>
            <w:r>
              <w:t>0</w:t>
            </w:r>
          </w:p>
        </w:tc>
        <w:tc>
          <w:tcPr>
            <w:tcW w:w="720" w:type="dxa"/>
            <w:noWrap/>
            <w:vAlign w:val="bottom"/>
          </w:tcPr>
          <w:p w14:paraId="525DD3A2" w14:textId="77777777" w:rsidR="00085E73" w:rsidRPr="007A3043" w:rsidRDefault="00085E73" w:rsidP="003475E2">
            <w:pPr>
              <w:pStyle w:val="TableText"/>
              <w:rPr>
                <w:szCs w:val="24"/>
                <w:lang w:eastAsia="ko-KR"/>
              </w:rPr>
            </w:pPr>
            <w:r>
              <w:t>0%</w:t>
            </w:r>
          </w:p>
        </w:tc>
        <w:tc>
          <w:tcPr>
            <w:tcW w:w="864" w:type="dxa"/>
            <w:noWrap/>
            <w:vAlign w:val="bottom"/>
          </w:tcPr>
          <w:p w14:paraId="748CDE9E" w14:textId="77777777" w:rsidR="00085E73" w:rsidRPr="007A3043" w:rsidRDefault="00085E73" w:rsidP="003475E2">
            <w:pPr>
              <w:pStyle w:val="TableText"/>
              <w:rPr>
                <w:szCs w:val="24"/>
                <w:lang w:eastAsia="ko-KR"/>
              </w:rPr>
            </w:pPr>
            <w:r>
              <w:t>0</w:t>
            </w:r>
          </w:p>
        </w:tc>
        <w:tc>
          <w:tcPr>
            <w:tcW w:w="720" w:type="dxa"/>
            <w:noWrap/>
            <w:vAlign w:val="bottom"/>
          </w:tcPr>
          <w:p w14:paraId="5B453B66" w14:textId="77777777" w:rsidR="00085E73" w:rsidRPr="007A3043" w:rsidRDefault="00085E73" w:rsidP="003475E2">
            <w:pPr>
              <w:pStyle w:val="TableText"/>
              <w:rPr>
                <w:szCs w:val="24"/>
                <w:lang w:eastAsia="ko-KR"/>
              </w:rPr>
            </w:pPr>
            <w:r>
              <w:t>0%</w:t>
            </w:r>
          </w:p>
        </w:tc>
        <w:tc>
          <w:tcPr>
            <w:tcW w:w="864" w:type="dxa"/>
            <w:noWrap/>
            <w:vAlign w:val="bottom"/>
          </w:tcPr>
          <w:p w14:paraId="0A049665" w14:textId="77777777" w:rsidR="00085E73" w:rsidRPr="007A3043" w:rsidRDefault="00085E73" w:rsidP="003475E2">
            <w:pPr>
              <w:pStyle w:val="TableText"/>
              <w:rPr>
                <w:szCs w:val="24"/>
                <w:lang w:eastAsia="ko-KR"/>
              </w:rPr>
            </w:pPr>
            <w:r>
              <w:t>0</w:t>
            </w:r>
          </w:p>
        </w:tc>
        <w:tc>
          <w:tcPr>
            <w:tcW w:w="720" w:type="dxa"/>
            <w:noWrap/>
            <w:vAlign w:val="bottom"/>
          </w:tcPr>
          <w:p w14:paraId="6D0A481A" w14:textId="77777777" w:rsidR="00085E73" w:rsidRPr="007A3043" w:rsidRDefault="00085E73" w:rsidP="003475E2">
            <w:pPr>
              <w:pStyle w:val="TableText"/>
              <w:rPr>
                <w:szCs w:val="24"/>
                <w:lang w:eastAsia="ko-KR"/>
              </w:rPr>
            </w:pPr>
            <w:r>
              <w:t>0%</w:t>
            </w:r>
          </w:p>
        </w:tc>
      </w:tr>
      <w:tr w:rsidR="00085E73" w:rsidRPr="00B96179" w14:paraId="3DFAD5FC" w14:textId="77777777" w:rsidTr="003475E2">
        <w:tc>
          <w:tcPr>
            <w:tcW w:w="7056" w:type="dxa"/>
            <w:tcBorders>
              <w:bottom w:val="nil"/>
            </w:tcBorders>
          </w:tcPr>
          <w:p w14:paraId="5BE0C950" w14:textId="77777777" w:rsidR="00085E73" w:rsidRPr="0093049F" w:rsidRDefault="00085E73" w:rsidP="003475E2">
            <w:pPr>
              <w:pStyle w:val="TableText"/>
              <w:jc w:val="left"/>
              <w:rPr>
                <w:szCs w:val="20"/>
              </w:rPr>
            </w:pPr>
            <w:r>
              <w:t>Non-Embedded Accommodation—Unlisted Resources</w:t>
            </w:r>
          </w:p>
        </w:tc>
        <w:tc>
          <w:tcPr>
            <w:tcW w:w="864" w:type="dxa"/>
            <w:tcBorders>
              <w:bottom w:val="nil"/>
            </w:tcBorders>
            <w:noWrap/>
            <w:vAlign w:val="bottom"/>
          </w:tcPr>
          <w:p w14:paraId="5997E7AA" w14:textId="77777777" w:rsidR="00085E73" w:rsidRPr="007A3043" w:rsidRDefault="00085E73" w:rsidP="003475E2">
            <w:pPr>
              <w:pStyle w:val="TableText"/>
              <w:rPr>
                <w:szCs w:val="24"/>
                <w:lang w:eastAsia="ko-KR"/>
              </w:rPr>
            </w:pPr>
            <w:r>
              <w:t>0</w:t>
            </w:r>
          </w:p>
        </w:tc>
        <w:tc>
          <w:tcPr>
            <w:tcW w:w="720" w:type="dxa"/>
            <w:tcBorders>
              <w:bottom w:val="nil"/>
            </w:tcBorders>
            <w:noWrap/>
            <w:vAlign w:val="bottom"/>
          </w:tcPr>
          <w:p w14:paraId="339F4A49" w14:textId="77777777" w:rsidR="00085E73" w:rsidRPr="007A3043" w:rsidRDefault="00085E73" w:rsidP="003475E2">
            <w:pPr>
              <w:pStyle w:val="TableText"/>
              <w:rPr>
                <w:szCs w:val="24"/>
                <w:lang w:eastAsia="ko-KR"/>
              </w:rPr>
            </w:pPr>
            <w:r>
              <w:t>0%</w:t>
            </w:r>
          </w:p>
        </w:tc>
        <w:tc>
          <w:tcPr>
            <w:tcW w:w="864" w:type="dxa"/>
            <w:tcBorders>
              <w:bottom w:val="nil"/>
            </w:tcBorders>
            <w:noWrap/>
            <w:vAlign w:val="bottom"/>
          </w:tcPr>
          <w:p w14:paraId="00F1B115" w14:textId="77777777" w:rsidR="00085E73" w:rsidRPr="007A3043" w:rsidRDefault="00085E73" w:rsidP="003475E2">
            <w:pPr>
              <w:pStyle w:val="TableText"/>
              <w:rPr>
                <w:szCs w:val="24"/>
                <w:lang w:eastAsia="ko-KR"/>
              </w:rPr>
            </w:pPr>
            <w:r>
              <w:t>0</w:t>
            </w:r>
          </w:p>
        </w:tc>
        <w:tc>
          <w:tcPr>
            <w:tcW w:w="720" w:type="dxa"/>
            <w:tcBorders>
              <w:bottom w:val="nil"/>
            </w:tcBorders>
            <w:noWrap/>
            <w:vAlign w:val="bottom"/>
          </w:tcPr>
          <w:p w14:paraId="53232EF2" w14:textId="77777777" w:rsidR="00085E73" w:rsidRPr="007A3043" w:rsidRDefault="00085E73" w:rsidP="003475E2">
            <w:pPr>
              <w:pStyle w:val="TableText"/>
              <w:rPr>
                <w:szCs w:val="24"/>
                <w:lang w:eastAsia="ko-KR"/>
              </w:rPr>
            </w:pPr>
            <w:r>
              <w:t>0%</w:t>
            </w:r>
          </w:p>
        </w:tc>
        <w:tc>
          <w:tcPr>
            <w:tcW w:w="864" w:type="dxa"/>
            <w:tcBorders>
              <w:bottom w:val="nil"/>
            </w:tcBorders>
            <w:noWrap/>
            <w:vAlign w:val="bottom"/>
          </w:tcPr>
          <w:p w14:paraId="07CCDC3A" w14:textId="77777777" w:rsidR="00085E73" w:rsidRPr="007A3043" w:rsidRDefault="00085E73" w:rsidP="003475E2">
            <w:pPr>
              <w:pStyle w:val="TableText"/>
              <w:rPr>
                <w:szCs w:val="24"/>
                <w:lang w:eastAsia="ko-KR"/>
              </w:rPr>
            </w:pPr>
            <w:r>
              <w:t>0</w:t>
            </w:r>
          </w:p>
        </w:tc>
        <w:tc>
          <w:tcPr>
            <w:tcW w:w="720" w:type="dxa"/>
            <w:tcBorders>
              <w:bottom w:val="nil"/>
            </w:tcBorders>
            <w:noWrap/>
            <w:vAlign w:val="bottom"/>
          </w:tcPr>
          <w:p w14:paraId="592941A2" w14:textId="77777777" w:rsidR="00085E73" w:rsidRPr="007A3043" w:rsidRDefault="00085E73" w:rsidP="003475E2">
            <w:pPr>
              <w:pStyle w:val="TableText"/>
              <w:rPr>
                <w:szCs w:val="24"/>
                <w:lang w:eastAsia="ko-KR"/>
              </w:rPr>
            </w:pPr>
            <w:r>
              <w:t>0%</w:t>
            </w:r>
          </w:p>
        </w:tc>
        <w:tc>
          <w:tcPr>
            <w:tcW w:w="864" w:type="dxa"/>
            <w:tcBorders>
              <w:bottom w:val="nil"/>
            </w:tcBorders>
            <w:noWrap/>
            <w:vAlign w:val="bottom"/>
          </w:tcPr>
          <w:p w14:paraId="1EC7D645" w14:textId="77777777" w:rsidR="00085E73" w:rsidRPr="007A3043" w:rsidRDefault="00085E73" w:rsidP="003475E2">
            <w:pPr>
              <w:pStyle w:val="TableText"/>
              <w:rPr>
                <w:szCs w:val="24"/>
                <w:lang w:eastAsia="ko-KR"/>
              </w:rPr>
            </w:pPr>
            <w:r>
              <w:t>0</w:t>
            </w:r>
          </w:p>
        </w:tc>
        <w:tc>
          <w:tcPr>
            <w:tcW w:w="720" w:type="dxa"/>
            <w:tcBorders>
              <w:bottom w:val="nil"/>
            </w:tcBorders>
            <w:noWrap/>
            <w:vAlign w:val="bottom"/>
          </w:tcPr>
          <w:p w14:paraId="7373D68D" w14:textId="77777777" w:rsidR="00085E73" w:rsidRPr="007A3043" w:rsidRDefault="00085E73" w:rsidP="003475E2">
            <w:pPr>
              <w:pStyle w:val="TableText"/>
              <w:rPr>
                <w:szCs w:val="24"/>
                <w:lang w:eastAsia="ko-KR"/>
              </w:rPr>
            </w:pPr>
            <w:r>
              <w:t>0%</w:t>
            </w:r>
          </w:p>
        </w:tc>
      </w:tr>
      <w:tr w:rsidR="00085E73" w:rsidRPr="00B96179" w14:paraId="56EB633E" w14:textId="77777777" w:rsidTr="003475E2">
        <w:tc>
          <w:tcPr>
            <w:tcW w:w="7056" w:type="dxa"/>
            <w:tcBorders>
              <w:top w:val="nil"/>
              <w:bottom w:val="single" w:sz="4" w:space="0" w:color="auto"/>
            </w:tcBorders>
            <w:hideMark/>
          </w:tcPr>
          <w:p w14:paraId="5AEFFAA3" w14:textId="77777777" w:rsidR="00085E73" w:rsidRPr="0093049F" w:rsidRDefault="00085E73" w:rsidP="003475E2">
            <w:pPr>
              <w:pStyle w:val="TableText"/>
              <w:jc w:val="left"/>
              <w:rPr>
                <w:szCs w:val="20"/>
                <w:lang w:eastAsia="ko-KR"/>
              </w:rPr>
            </w:pPr>
            <w:r>
              <w:t>Non-Embedded Accommodation—Word Prediction</w:t>
            </w:r>
          </w:p>
        </w:tc>
        <w:tc>
          <w:tcPr>
            <w:tcW w:w="864" w:type="dxa"/>
            <w:tcBorders>
              <w:top w:val="nil"/>
              <w:bottom w:val="single" w:sz="4" w:space="0" w:color="auto"/>
            </w:tcBorders>
            <w:noWrap/>
            <w:vAlign w:val="bottom"/>
          </w:tcPr>
          <w:p w14:paraId="436F341A" w14:textId="77777777" w:rsidR="00085E73" w:rsidRPr="007A3043" w:rsidRDefault="00085E73" w:rsidP="003475E2">
            <w:pPr>
              <w:pStyle w:val="TableText"/>
              <w:rPr>
                <w:szCs w:val="24"/>
                <w:lang w:eastAsia="ko-KR"/>
              </w:rPr>
            </w:pPr>
            <w:r>
              <w:t>1</w:t>
            </w:r>
          </w:p>
        </w:tc>
        <w:tc>
          <w:tcPr>
            <w:tcW w:w="720" w:type="dxa"/>
            <w:tcBorders>
              <w:top w:val="nil"/>
              <w:bottom w:val="single" w:sz="4" w:space="0" w:color="auto"/>
            </w:tcBorders>
            <w:noWrap/>
            <w:vAlign w:val="bottom"/>
          </w:tcPr>
          <w:p w14:paraId="1C2EB113" w14:textId="77777777" w:rsidR="00085E73" w:rsidRPr="007A3043" w:rsidRDefault="00085E73" w:rsidP="003475E2">
            <w:pPr>
              <w:pStyle w:val="TableText"/>
              <w:rPr>
                <w:szCs w:val="24"/>
                <w:lang w:eastAsia="ko-KR"/>
              </w:rPr>
            </w:pPr>
            <w:r>
              <w:t>1%</w:t>
            </w:r>
          </w:p>
        </w:tc>
        <w:tc>
          <w:tcPr>
            <w:tcW w:w="864" w:type="dxa"/>
            <w:tcBorders>
              <w:top w:val="nil"/>
              <w:bottom w:val="single" w:sz="4" w:space="0" w:color="auto"/>
            </w:tcBorders>
            <w:noWrap/>
            <w:vAlign w:val="bottom"/>
          </w:tcPr>
          <w:p w14:paraId="464BE165" w14:textId="77777777" w:rsidR="00085E73" w:rsidRPr="007A3043" w:rsidRDefault="00085E73" w:rsidP="003475E2">
            <w:pPr>
              <w:pStyle w:val="TableText"/>
              <w:rPr>
                <w:szCs w:val="24"/>
                <w:lang w:eastAsia="ko-KR"/>
              </w:rPr>
            </w:pPr>
            <w:r>
              <w:t>7</w:t>
            </w:r>
          </w:p>
        </w:tc>
        <w:tc>
          <w:tcPr>
            <w:tcW w:w="720" w:type="dxa"/>
            <w:tcBorders>
              <w:top w:val="nil"/>
              <w:bottom w:val="single" w:sz="4" w:space="0" w:color="auto"/>
            </w:tcBorders>
            <w:noWrap/>
            <w:vAlign w:val="bottom"/>
          </w:tcPr>
          <w:p w14:paraId="6812C212" w14:textId="77777777" w:rsidR="00085E73" w:rsidRPr="007A3043" w:rsidRDefault="00085E73" w:rsidP="003475E2">
            <w:pPr>
              <w:pStyle w:val="TableText"/>
              <w:rPr>
                <w:szCs w:val="24"/>
                <w:lang w:eastAsia="ko-KR"/>
              </w:rPr>
            </w:pPr>
            <w:r>
              <w:t>2%</w:t>
            </w:r>
          </w:p>
        </w:tc>
        <w:tc>
          <w:tcPr>
            <w:tcW w:w="864" w:type="dxa"/>
            <w:tcBorders>
              <w:top w:val="nil"/>
              <w:bottom w:val="single" w:sz="4" w:space="0" w:color="auto"/>
            </w:tcBorders>
            <w:noWrap/>
            <w:vAlign w:val="bottom"/>
          </w:tcPr>
          <w:p w14:paraId="32AC1956" w14:textId="77777777" w:rsidR="00085E73" w:rsidRPr="007A3043" w:rsidRDefault="00085E73" w:rsidP="003475E2">
            <w:pPr>
              <w:pStyle w:val="TableText"/>
              <w:rPr>
                <w:szCs w:val="24"/>
                <w:lang w:eastAsia="ko-KR"/>
              </w:rPr>
            </w:pPr>
            <w:r>
              <w:t>1</w:t>
            </w:r>
          </w:p>
        </w:tc>
        <w:tc>
          <w:tcPr>
            <w:tcW w:w="720" w:type="dxa"/>
            <w:tcBorders>
              <w:top w:val="nil"/>
              <w:bottom w:val="single" w:sz="4" w:space="0" w:color="auto"/>
            </w:tcBorders>
            <w:noWrap/>
            <w:vAlign w:val="bottom"/>
          </w:tcPr>
          <w:p w14:paraId="0F54C832" w14:textId="77777777" w:rsidR="00085E73" w:rsidRPr="007A3043" w:rsidRDefault="00085E73" w:rsidP="003475E2">
            <w:pPr>
              <w:pStyle w:val="TableText"/>
              <w:rPr>
                <w:szCs w:val="24"/>
                <w:lang w:eastAsia="ko-KR"/>
              </w:rPr>
            </w:pPr>
            <w:r>
              <w:t>0%</w:t>
            </w:r>
          </w:p>
        </w:tc>
        <w:tc>
          <w:tcPr>
            <w:tcW w:w="864" w:type="dxa"/>
            <w:tcBorders>
              <w:top w:val="nil"/>
              <w:bottom w:val="single" w:sz="4" w:space="0" w:color="auto"/>
            </w:tcBorders>
            <w:noWrap/>
            <w:vAlign w:val="bottom"/>
          </w:tcPr>
          <w:p w14:paraId="4290D25F" w14:textId="77777777" w:rsidR="00085E73" w:rsidRPr="007A3043" w:rsidRDefault="00085E73" w:rsidP="003475E2">
            <w:pPr>
              <w:pStyle w:val="TableText"/>
              <w:rPr>
                <w:szCs w:val="24"/>
                <w:lang w:eastAsia="ko-KR"/>
              </w:rPr>
            </w:pPr>
            <w:r>
              <w:t>9</w:t>
            </w:r>
          </w:p>
        </w:tc>
        <w:tc>
          <w:tcPr>
            <w:tcW w:w="720" w:type="dxa"/>
            <w:tcBorders>
              <w:top w:val="nil"/>
              <w:bottom w:val="single" w:sz="4" w:space="0" w:color="auto"/>
            </w:tcBorders>
            <w:noWrap/>
            <w:vAlign w:val="bottom"/>
          </w:tcPr>
          <w:p w14:paraId="48E366CB" w14:textId="77777777" w:rsidR="00085E73" w:rsidRPr="007A3043" w:rsidRDefault="00085E73" w:rsidP="003475E2">
            <w:pPr>
              <w:pStyle w:val="TableText"/>
              <w:rPr>
                <w:szCs w:val="24"/>
                <w:lang w:eastAsia="ko-KR"/>
              </w:rPr>
            </w:pPr>
            <w:r>
              <w:t>1%</w:t>
            </w:r>
          </w:p>
        </w:tc>
      </w:tr>
      <w:tr w:rsidR="00085E73" w:rsidRPr="00B96179" w14:paraId="09B742E9" w14:textId="77777777" w:rsidTr="003475E2">
        <w:tc>
          <w:tcPr>
            <w:tcW w:w="7056" w:type="dxa"/>
            <w:tcBorders>
              <w:top w:val="single" w:sz="4" w:space="0" w:color="auto"/>
            </w:tcBorders>
            <w:hideMark/>
          </w:tcPr>
          <w:p w14:paraId="1F4B3823" w14:textId="77777777" w:rsidR="00085E73" w:rsidRPr="00B96179" w:rsidRDefault="00085E73" w:rsidP="003475E2">
            <w:pPr>
              <w:pStyle w:val="TableText"/>
              <w:jc w:val="left"/>
              <w:rPr>
                <w:lang w:eastAsia="ko-KR"/>
              </w:rPr>
            </w:pPr>
            <w:r>
              <w:t>Embedded Designated Support—Color Contrast</w:t>
            </w:r>
          </w:p>
        </w:tc>
        <w:tc>
          <w:tcPr>
            <w:tcW w:w="864" w:type="dxa"/>
            <w:tcBorders>
              <w:top w:val="single" w:sz="4" w:space="0" w:color="auto"/>
            </w:tcBorders>
            <w:noWrap/>
            <w:vAlign w:val="bottom"/>
          </w:tcPr>
          <w:p w14:paraId="23B55ECC" w14:textId="77777777" w:rsidR="00085E73" w:rsidRPr="007A3043" w:rsidRDefault="00085E73" w:rsidP="003475E2">
            <w:pPr>
              <w:pStyle w:val="TableText"/>
              <w:rPr>
                <w:szCs w:val="24"/>
                <w:lang w:eastAsia="ko-KR"/>
              </w:rPr>
            </w:pPr>
            <w:r>
              <w:t>0</w:t>
            </w:r>
          </w:p>
        </w:tc>
        <w:tc>
          <w:tcPr>
            <w:tcW w:w="720" w:type="dxa"/>
            <w:tcBorders>
              <w:top w:val="single" w:sz="4" w:space="0" w:color="auto"/>
            </w:tcBorders>
            <w:noWrap/>
            <w:vAlign w:val="bottom"/>
          </w:tcPr>
          <w:p w14:paraId="000287EA" w14:textId="77777777" w:rsidR="00085E73" w:rsidRPr="007A3043" w:rsidRDefault="00085E73" w:rsidP="003475E2">
            <w:pPr>
              <w:pStyle w:val="TableText"/>
              <w:rPr>
                <w:szCs w:val="24"/>
                <w:lang w:eastAsia="ko-KR"/>
              </w:rPr>
            </w:pPr>
            <w:r>
              <w:t>0%</w:t>
            </w:r>
          </w:p>
        </w:tc>
        <w:tc>
          <w:tcPr>
            <w:tcW w:w="864" w:type="dxa"/>
            <w:tcBorders>
              <w:top w:val="single" w:sz="4" w:space="0" w:color="auto"/>
            </w:tcBorders>
            <w:noWrap/>
            <w:vAlign w:val="bottom"/>
          </w:tcPr>
          <w:p w14:paraId="7C24BA47" w14:textId="77777777" w:rsidR="00085E73" w:rsidRPr="007A3043" w:rsidRDefault="00085E73" w:rsidP="003475E2">
            <w:pPr>
              <w:pStyle w:val="TableText"/>
              <w:rPr>
                <w:szCs w:val="24"/>
                <w:lang w:eastAsia="ko-KR"/>
              </w:rPr>
            </w:pPr>
            <w:r>
              <w:t>0</w:t>
            </w:r>
          </w:p>
        </w:tc>
        <w:tc>
          <w:tcPr>
            <w:tcW w:w="720" w:type="dxa"/>
            <w:tcBorders>
              <w:top w:val="single" w:sz="4" w:space="0" w:color="auto"/>
            </w:tcBorders>
            <w:noWrap/>
            <w:vAlign w:val="bottom"/>
          </w:tcPr>
          <w:p w14:paraId="280B1E52" w14:textId="77777777" w:rsidR="00085E73" w:rsidRPr="007A3043" w:rsidRDefault="00085E73" w:rsidP="003475E2">
            <w:pPr>
              <w:pStyle w:val="TableText"/>
              <w:rPr>
                <w:szCs w:val="24"/>
                <w:lang w:eastAsia="ko-KR"/>
              </w:rPr>
            </w:pPr>
            <w:r>
              <w:t>0%</w:t>
            </w:r>
          </w:p>
        </w:tc>
        <w:tc>
          <w:tcPr>
            <w:tcW w:w="864" w:type="dxa"/>
            <w:tcBorders>
              <w:top w:val="single" w:sz="4" w:space="0" w:color="auto"/>
            </w:tcBorders>
            <w:noWrap/>
            <w:vAlign w:val="bottom"/>
          </w:tcPr>
          <w:p w14:paraId="4D970009" w14:textId="77777777" w:rsidR="00085E73" w:rsidRPr="007A3043" w:rsidRDefault="00085E73" w:rsidP="003475E2">
            <w:pPr>
              <w:pStyle w:val="TableText"/>
              <w:rPr>
                <w:szCs w:val="24"/>
                <w:lang w:eastAsia="ko-KR"/>
              </w:rPr>
            </w:pPr>
            <w:r>
              <w:t>0</w:t>
            </w:r>
          </w:p>
        </w:tc>
        <w:tc>
          <w:tcPr>
            <w:tcW w:w="720" w:type="dxa"/>
            <w:tcBorders>
              <w:top w:val="single" w:sz="4" w:space="0" w:color="auto"/>
            </w:tcBorders>
            <w:noWrap/>
            <w:vAlign w:val="bottom"/>
          </w:tcPr>
          <w:p w14:paraId="34E947B7" w14:textId="77777777" w:rsidR="00085E73" w:rsidRPr="007A3043" w:rsidRDefault="00085E73" w:rsidP="003475E2">
            <w:pPr>
              <w:pStyle w:val="TableText"/>
              <w:rPr>
                <w:szCs w:val="24"/>
                <w:lang w:eastAsia="ko-KR"/>
              </w:rPr>
            </w:pPr>
            <w:r>
              <w:t>0%</w:t>
            </w:r>
          </w:p>
        </w:tc>
        <w:tc>
          <w:tcPr>
            <w:tcW w:w="864" w:type="dxa"/>
            <w:tcBorders>
              <w:top w:val="single" w:sz="4" w:space="0" w:color="auto"/>
            </w:tcBorders>
            <w:noWrap/>
            <w:vAlign w:val="bottom"/>
          </w:tcPr>
          <w:p w14:paraId="74710747" w14:textId="77777777" w:rsidR="00085E73" w:rsidRPr="007A3043" w:rsidRDefault="00085E73" w:rsidP="003475E2">
            <w:pPr>
              <w:pStyle w:val="TableText"/>
              <w:rPr>
                <w:szCs w:val="24"/>
                <w:lang w:eastAsia="ko-KR"/>
              </w:rPr>
            </w:pPr>
            <w:r>
              <w:t>0</w:t>
            </w:r>
          </w:p>
        </w:tc>
        <w:tc>
          <w:tcPr>
            <w:tcW w:w="720" w:type="dxa"/>
            <w:tcBorders>
              <w:top w:val="single" w:sz="4" w:space="0" w:color="auto"/>
            </w:tcBorders>
            <w:noWrap/>
            <w:vAlign w:val="bottom"/>
          </w:tcPr>
          <w:p w14:paraId="2F3119CB" w14:textId="77777777" w:rsidR="00085E73" w:rsidRPr="007A3043" w:rsidRDefault="00085E73" w:rsidP="003475E2">
            <w:pPr>
              <w:pStyle w:val="TableText"/>
              <w:rPr>
                <w:szCs w:val="24"/>
                <w:lang w:eastAsia="ko-KR"/>
              </w:rPr>
            </w:pPr>
            <w:r>
              <w:t>0%</w:t>
            </w:r>
          </w:p>
        </w:tc>
      </w:tr>
      <w:tr w:rsidR="00085E73" w:rsidRPr="00B96179" w14:paraId="0381F66C" w14:textId="77777777" w:rsidTr="003475E2">
        <w:tc>
          <w:tcPr>
            <w:tcW w:w="7056" w:type="dxa"/>
            <w:hideMark/>
          </w:tcPr>
          <w:p w14:paraId="568EA708" w14:textId="77777777" w:rsidR="00085E73" w:rsidRPr="0093049F" w:rsidRDefault="00085E73" w:rsidP="003475E2">
            <w:pPr>
              <w:pStyle w:val="TableText"/>
              <w:jc w:val="left"/>
              <w:rPr>
                <w:szCs w:val="20"/>
                <w:lang w:eastAsia="ko-KR"/>
              </w:rPr>
            </w:pPr>
            <w:r>
              <w:t>Embedded Designated Support—Masking</w:t>
            </w:r>
          </w:p>
        </w:tc>
        <w:tc>
          <w:tcPr>
            <w:tcW w:w="864" w:type="dxa"/>
            <w:noWrap/>
            <w:vAlign w:val="bottom"/>
          </w:tcPr>
          <w:p w14:paraId="39AAB533" w14:textId="77777777" w:rsidR="00085E73" w:rsidRPr="007A3043" w:rsidRDefault="00085E73" w:rsidP="003475E2">
            <w:pPr>
              <w:pStyle w:val="TableText"/>
              <w:rPr>
                <w:szCs w:val="24"/>
                <w:lang w:eastAsia="ko-KR"/>
              </w:rPr>
            </w:pPr>
            <w:r>
              <w:t>8</w:t>
            </w:r>
          </w:p>
        </w:tc>
        <w:tc>
          <w:tcPr>
            <w:tcW w:w="720" w:type="dxa"/>
            <w:noWrap/>
            <w:vAlign w:val="bottom"/>
          </w:tcPr>
          <w:p w14:paraId="64F63074" w14:textId="77777777" w:rsidR="00085E73" w:rsidRPr="007A3043" w:rsidRDefault="00085E73" w:rsidP="003475E2">
            <w:pPr>
              <w:pStyle w:val="TableText"/>
              <w:rPr>
                <w:szCs w:val="24"/>
                <w:lang w:eastAsia="ko-KR"/>
              </w:rPr>
            </w:pPr>
            <w:r>
              <w:t>6%</w:t>
            </w:r>
          </w:p>
        </w:tc>
        <w:tc>
          <w:tcPr>
            <w:tcW w:w="864" w:type="dxa"/>
            <w:noWrap/>
            <w:vAlign w:val="bottom"/>
          </w:tcPr>
          <w:p w14:paraId="53ADC48E" w14:textId="77777777" w:rsidR="00085E73" w:rsidRPr="007A3043" w:rsidRDefault="00085E73" w:rsidP="003475E2">
            <w:pPr>
              <w:pStyle w:val="TableText"/>
              <w:rPr>
                <w:szCs w:val="24"/>
                <w:lang w:eastAsia="ko-KR"/>
              </w:rPr>
            </w:pPr>
            <w:r>
              <w:t>1</w:t>
            </w:r>
          </w:p>
        </w:tc>
        <w:tc>
          <w:tcPr>
            <w:tcW w:w="720" w:type="dxa"/>
            <w:noWrap/>
            <w:vAlign w:val="bottom"/>
          </w:tcPr>
          <w:p w14:paraId="4C5A6370" w14:textId="77777777" w:rsidR="00085E73" w:rsidRPr="007A3043" w:rsidRDefault="00085E73" w:rsidP="003475E2">
            <w:pPr>
              <w:pStyle w:val="TableText"/>
              <w:rPr>
                <w:szCs w:val="24"/>
                <w:lang w:eastAsia="ko-KR"/>
              </w:rPr>
            </w:pPr>
            <w:r>
              <w:t>0%</w:t>
            </w:r>
          </w:p>
        </w:tc>
        <w:tc>
          <w:tcPr>
            <w:tcW w:w="864" w:type="dxa"/>
            <w:noWrap/>
            <w:vAlign w:val="bottom"/>
          </w:tcPr>
          <w:p w14:paraId="42A59016" w14:textId="77777777" w:rsidR="00085E73" w:rsidRPr="007A3043" w:rsidRDefault="00085E73" w:rsidP="003475E2">
            <w:pPr>
              <w:pStyle w:val="TableText"/>
              <w:rPr>
                <w:szCs w:val="24"/>
                <w:lang w:eastAsia="ko-KR"/>
              </w:rPr>
            </w:pPr>
            <w:r>
              <w:t>4</w:t>
            </w:r>
          </w:p>
        </w:tc>
        <w:tc>
          <w:tcPr>
            <w:tcW w:w="720" w:type="dxa"/>
            <w:noWrap/>
            <w:vAlign w:val="bottom"/>
          </w:tcPr>
          <w:p w14:paraId="64957202" w14:textId="77777777" w:rsidR="00085E73" w:rsidRPr="007A3043" w:rsidRDefault="00085E73" w:rsidP="003475E2">
            <w:pPr>
              <w:pStyle w:val="TableText"/>
              <w:rPr>
                <w:szCs w:val="24"/>
                <w:lang w:eastAsia="ko-KR"/>
              </w:rPr>
            </w:pPr>
            <w:r>
              <w:t>2%</w:t>
            </w:r>
          </w:p>
        </w:tc>
        <w:tc>
          <w:tcPr>
            <w:tcW w:w="864" w:type="dxa"/>
            <w:noWrap/>
            <w:vAlign w:val="bottom"/>
          </w:tcPr>
          <w:p w14:paraId="5443A4A5" w14:textId="77777777" w:rsidR="00085E73" w:rsidRPr="007A3043" w:rsidRDefault="00085E73" w:rsidP="003475E2">
            <w:pPr>
              <w:pStyle w:val="TableText"/>
              <w:rPr>
                <w:szCs w:val="24"/>
                <w:lang w:eastAsia="ko-KR"/>
              </w:rPr>
            </w:pPr>
            <w:r>
              <w:t>13</w:t>
            </w:r>
          </w:p>
        </w:tc>
        <w:tc>
          <w:tcPr>
            <w:tcW w:w="720" w:type="dxa"/>
            <w:noWrap/>
            <w:vAlign w:val="bottom"/>
          </w:tcPr>
          <w:p w14:paraId="421039B0" w14:textId="77777777" w:rsidR="00085E73" w:rsidRPr="007A3043" w:rsidRDefault="00085E73" w:rsidP="003475E2">
            <w:pPr>
              <w:pStyle w:val="TableText"/>
              <w:rPr>
                <w:szCs w:val="24"/>
                <w:lang w:eastAsia="ko-KR"/>
              </w:rPr>
            </w:pPr>
            <w:r>
              <w:t>2%</w:t>
            </w:r>
          </w:p>
        </w:tc>
      </w:tr>
      <w:tr w:rsidR="00085E73" w:rsidRPr="00B96179" w14:paraId="3E5EF644" w14:textId="77777777" w:rsidTr="003475E2">
        <w:tc>
          <w:tcPr>
            <w:tcW w:w="7056" w:type="dxa"/>
            <w:hideMark/>
          </w:tcPr>
          <w:p w14:paraId="2BD74CC6" w14:textId="77777777" w:rsidR="00085E73" w:rsidRPr="0093049F" w:rsidRDefault="00085E73" w:rsidP="003475E2">
            <w:pPr>
              <w:pStyle w:val="TableText"/>
              <w:jc w:val="left"/>
              <w:rPr>
                <w:szCs w:val="20"/>
                <w:lang w:eastAsia="ko-KR"/>
              </w:rPr>
            </w:pPr>
            <w:r>
              <w:t>Embedded Designated Support—Mouse Pointer</w:t>
            </w:r>
          </w:p>
        </w:tc>
        <w:tc>
          <w:tcPr>
            <w:tcW w:w="864" w:type="dxa"/>
            <w:noWrap/>
            <w:vAlign w:val="bottom"/>
          </w:tcPr>
          <w:p w14:paraId="7DA922F7" w14:textId="77777777" w:rsidR="00085E73" w:rsidRPr="007A3043" w:rsidRDefault="00085E73" w:rsidP="003475E2">
            <w:pPr>
              <w:pStyle w:val="TableText"/>
              <w:rPr>
                <w:szCs w:val="24"/>
                <w:lang w:eastAsia="ko-KR"/>
              </w:rPr>
            </w:pPr>
            <w:r>
              <w:t>1</w:t>
            </w:r>
          </w:p>
        </w:tc>
        <w:tc>
          <w:tcPr>
            <w:tcW w:w="720" w:type="dxa"/>
            <w:noWrap/>
            <w:vAlign w:val="bottom"/>
          </w:tcPr>
          <w:p w14:paraId="5CAF522B" w14:textId="77777777" w:rsidR="00085E73" w:rsidRPr="007A3043" w:rsidRDefault="00085E73" w:rsidP="003475E2">
            <w:pPr>
              <w:pStyle w:val="TableText"/>
              <w:rPr>
                <w:szCs w:val="24"/>
                <w:lang w:eastAsia="ko-KR"/>
              </w:rPr>
            </w:pPr>
            <w:r>
              <w:t>1%</w:t>
            </w:r>
          </w:p>
        </w:tc>
        <w:tc>
          <w:tcPr>
            <w:tcW w:w="864" w:type="dxa"/>
            <w:noWrap/>
            <w:vAlign w:val="bottom"/>
          </w:tcPr>
          <w:p w14:paraId="4CF01FF3" w14:textId="77777777" w:rsidR="00085E73" w:rsidRPr="007A3043" w:rsidRDefault="00085E73" w:rsidP="003475E2">
            <w:pPr>
              <w:pStyle w:val="TableText"/>
              <w:rPr>
                <w:szCs w:val="24"/>
                <w:lang w:eastAsia="ko-KR"/>
              </w:rPr>
            </w:pPr>
            <w:r>
              <w:t>2</w:t>
            </w:r>
          </w:p>
        </w:tc>
        <w:tc>
          <w:tcPr>
            <w:tcW w:w="720" w:type="dxa"/>
            <w:noWrap/>
            <w:vAlign w:val="bottom"/>
          </w:tcPr>
          <w:p w14:paraId="33068F6F" w14:textId="77777777" w:rsidR="00085E73" w:rsidRPr="007A3043" w:rsidRDefault="00085E73" w:rsidP="003475E2">
            <w:pPr>
              <w:pStyle w:val="TableText"/>
              <w:rPr>
                <w:szCs w:val="24"/>
                <w:lang w:eastAsia="ko-KR"/>
              </w:rPr>
            </w:pPr>
            <w:r>
              <w:t>1%</w:t>
            </w:r>
          </w:p>
        </w:tc>
        <w:tc>
          <w:tcPr>
            <w:tcW w:w="864" w:type="dxa"/>
            <w:noWrap/>
            <w:vAlign w:val="bottom"/>
          </w:tcPr>
          <w:p w14:paraId="1DB96D38" w14:textId="77777777" w:rsidR="00085E73" w:rsidRPr="007A3043" w:rsidRDefault="00085E73" w:rsidP="003475E2">
            <w:pPr>
              <w:pStyle w:val="TableText"/>
              <w:rPr>
                <w:szCs w:val="24"/>
                <w:lang w:eastAsia="ko-KR"/>
              </w:rPr>
            </w:pPr>
            <w:r>
              <w:t>2</w:t>
            </w:r>
          </w:p>
        </w:tc>
        <w:tc>
          <w:tcPr>
            <w:tcW w:w="720" w:type="dxa"/>
            <w:noWrap/>
            <w:vAlign w:val="bottom"/>
          </w:tcPr>
          <w:p w14:paraId="6D9FB34A" w14:textId="77777777" w:rsidR="00085E73" w:rsidRPr="007A3043" w:rsidRDefault="00085E73" w:rsidP="003475E2">
            <w:pPr>
              <w:pStyle w:val="TableText"/>
              <w:rPr>
                <w:szCs w:val="24"/>
                <w:lang w:eastAsia="ko-KR"/>
              </w:rPr>
            </w:pPr>
            <w:r>
              <w:t>1%</w:t>
            </w:r>
          </w:p>
        </w:tc>
        <w:tc>
          <w:tcPr>
            <w:tcW w:w="864" w:type="dxa"/>
            <w:noWrap/>
            <w:vAlign w:val="bottom"/>
          </w:tcPr>
          <w:p w14:paraId="22AE15B2" w14:textId="77777777" w:rsidR="00085E73" w:rsidRPr="007A3043" w:rsidRDefault="00085E73" w:rsidP="003475E2">
            <w:pPr>
              <w:pStyle w:val="TableText"/>
              <w:rPr>
                <w:szCs w:val="24"/>
                <w:lang w:eastAsia="ko-KR"/>
              </w:rPr>
            </w:pPr>
            <w:r>
              <w:t>5</w:t>
            </w:r>
          </w:p>
        </w:tc>
        <w:tc>
          <w:tcPr>
            <w:tcW w:w="720" w:type="dxa"/>
            <w:noWrap/>
            <w:vAlign w:val="bottom"/>
          </w:tcPr>
          <w:p w14:paraId="0B83123A" w14:textId="77777777" w:rsidR="00085E73" w:rsidRPr="007A3043" w:rsidRDefault="00085E73" w:rsidP="003475E2">
            <w:pPr>
              <w:pStyle w:val="TableText"/>
              <w:rPr>
                <w:szCs w:val="24"/>
                <w:lang w:eastAsia="ko-KR"/>
              </w:rPr>
            </w:pPr>
            <w:r>
              <w:t>1%</w:t>
            </w:r>
          </w:p>
        </w:tc>
      </w:tr>
      <w:tr w:rsidR="00085E73" w:rsidRPr="00B96179" w14:paraId="05DF9633" w14:textId="77777777" w:rsidTr="003475E2">
        <w:tc>
          <w:tcPr>
            <w:tcW w:w="7056" w:type="dxa"/>
          </w:tcPr>
          <w:p w14:paraId="5C1A5536" w14:textId="77777777" w:rsidR="00085E73" w:rsidRPr="0093049F" w:rsidRDefault="00085E73" w:rsidP="003475E2">
            <w:pPr>
              <w:pStyle w:val="TableText"/>
              <w:jc w:val="left"/>
              <w:rPr>
                <w:szCs w:val="20"/>
              </w:rPr>
            </w:pPr>
            <w:r>
              <w:t>Embedded Designated Support—Permissive Mode</w:t>
            </w:r>
          </w:p>
        </w:tc>
        <w:tc>
          <w:tcPr>
            <w:tcW w:w="864" w:type="dxa"/>
            <w:noWrap/>
            <w:vAlign w:val="bottom"/>
          </w:tcPr>
          <w:p w14:paraId="7943CF88" w14:textId="77777777" w:rsidR="00085E73" w:rsidRPr="007A3043" w:rsidRDefault="00085E73" w:rsidP="003475E2">
            <w:pPr>
              <w:pStyle w:val="TableText"/>
              <w:rPr>
                <w:szCs w:val="24"/>
                <w:lang w:eastAsia="ko-KR"/>
              </w:rPr>
            </w:pPr>
            <w:r>
              <w:t>2</w:t>
            </w:r>
          </w:p>
        </w:tc>
        <w:tc>
          <w:tcPr>
            <w:tcW w:w="720" w:type="dxa"/>
            <w:noWrap/>
            <w:vAlign w:val="bottom"/>
          </w:tcPr>
          <w:p w14:paraId="397D8938" w14:textId="77777777" w:rsidR="00085E73" w:rsidRPr="007A3043" w:rsidRDefault="00085E73" w:rsidP="003475E2">
            <w:pPr>
              <w:pStyle w:val="TableText"/>
              <w:rPr>
                <w:szCs w:val="24"/>
                <w:lang w:eastAsia="ko-KR"/>
              </w:rPr>
            </w:pPr>
            <w:r>
              <w:t>1%</w:t>
            </w:r>
          </w:p>
        </w:tc>
        <w:tc>
          <w:tcPr>
            <w:tcW w:w="864" w:type="dxa"/>
            <w:noWrap/>
            <w:vAlign w:val="bottom"/>
          </w:tcPr>
          <w:p w14:paraId="20060A14" w14:textId="77777777" w:rsidR="00085E73" w:rsidRPr="007A3043" w:rsidRDefault="00085E73" w:rsidP="003475E2">
            <w:pPr>
              <w:pStyle w:val="TableText"/>
              <w:rPr>
                <w:szCs w:val="24"/>
                <w:lang w:eastAsia="ko-KR"/>
              </w:rPr>
            </w:pPr>
            <w:r>
              <w:t>3</w:t>
            </w:r>
          </w:p>
        </w:tc>
        <w:tc>
          <w:tcPr>
            <w:tcW w:w="720" w:type="dxa"/>
            <w:noWrap/>
            <w:vAlign w:val="bottom"/>
          </w:tcPr>
          <w:p w14:paraId="22BD67DA" w14:textId="77777777" w:rsidR="00085E73" w:rsidRPr="007A3043" w:rsidRDefault="00085E73" w:rsidP="003475E2">
            <w:pPr>
              <w:pStyle w:val="TableText"/>
              <w:rPr>
                <w:szCs w:val="24"/>
                <w:lang w:eastAsia="ko-KR"/>
              </w:rPr>
            </w:pPr>
            <w:r>
              <w:t>1%</w:t>
            </w:r>
          </w:p>
        </w:tc>
        <w:tc>
          <w:tcPr>
            <w:tcW w:w="864" w:type="dxa"/>
            <w:noWrap/>
            <w:vAlign w:val="bottom"/>
          </w:tcPr>
          <w:p w14:paraId="5745CDB7" w14:textId="77777777" w:rsidR="00085E73" w:rsidRPr="007A3043" w:rsidRDefault="00085E73" w:rsidP="003475E2">
            <w:pPr>
              <w:pStyle w:val="TableText"/>
              <w:rPr>
                <w:szCs w:val="24"/>
                <w:lang w:eastAsia="ko-KR"/>
              </w:rPr>
            </w:pPr>
            <w:r>
              <w:t>1</w:t>
            </w:r>
          </w:p>
        </w:tc>
        <w:tc>
          <w:tcPr>
            <w:tcW w:w="720" w:type="dxa"/>
            <w:noWrap/>
            <w:vAlign w:val="bottom"/>
          </w:tcPr>
          <w:p w14:paraId="2BF1D62D" w14:textId="77777777" w:rsidR="00085E73" w:rsidRPr="007A3043" w:rsidRDefault="00085E73" w:rsidP="003475E2">
            <w:pPr>
              <w:pStyle w:val="TableText"/>
              <w:rPr>
                <w:szCs w:val="24"/>
                <w:lang w:eastAsia="ko-KR"/>
              </w:rPr>
            </w:pPr>
            <w:r>
              <w:t>0%</w:t>
            </w:r>
          </w:p>
        </w:tc>
        <w:tc>
          <w:tcPr>
            <w:tcW w:w="864" w:type="dxa"/>
            <w:noWrap/>
            <w:vAlign w:val="bottom"/>
          </w:tcPr>
          <w:p w14:paraId="77B23703" w14:textId="77777777" w:rsidR="00085E73" w:rsidRPr="007A3043" w:rsidRDefault="00085E73" w:rsidP="003475E2">
            <w:pPr>
              <w:pStyle w:val="TableText"/>
              <w:rPr>
                <w:szCs w:val="24"/>
                <w:lang w:eastAsia="ko-KR"/>
              </w:rPr>
            </w:pPr>
            <w:r>
              <w:t>6</w:t>
            </w:r>
          </w:p>
        </w:tc>
        <w:tc>
          <w:tcPr>
            <w:tcW w:w="720" w:type="dxa"/>
            <w:noWrap/>
            <w:vAlign w:val="bottom"/>
          </w:tcPr>
          <w:p w14:paraId="0AF576EA" w14:textId="77777777" w:rsidR="00085E73" w:rsidRPr="007A3043" w:rsidRDefault="00085E73" w:rsidP="003475E2">
            <w:pPr>
              <w:pStyle w:val="TableText"/>
              <w:rPr>
                <w:szCs w:val="24"/>
                <w:lang w:eastAsia="ko-KR"/>
              </w:rPr>
            </w:pPr>
            <w:r>
              <w:t>1%</w:t>
            </w:r>
          </w:p>
        </w:tc>
      </w:tr>
      <w:tr w:rsidR="00085E73" w:rsidRPr="00B96179" w14:paraId="16D44833" w14:textId="77777777" w:rsidTr="003475E2">
        <w:tc>
          <w:tcPr>
            <w:tcW w:w="7056" w:type="dxa"/>
            <w:hideMark/>
          </w:tcPr>
          <w:p w14:paraId="6D91D5ED" w14:textId="77777777" w:rsidR="00085E73" w:rsidRPr="0093049F" w:rsidRDefault="00085E73" w:rsidP="003475E2">
            <w:pPr>
              <w:pStyle w:val="TableText"/>
              <w:jc w:val="left"/>
              <w:rPr>
                <w:szCs w:val="20"/>
                <w:lang w:eastAsia="ko-KR"/>
              </w:rPr>
            </w:pPr>
            <w:r>
              <w:t>Embedded Designated Support—Print Size</w:t>
            </w:r>
          </w:p>
        </w:tc>
        <w:tc>
          <w:tcPr>
            <w:tcW w:w="864" w:type="dxa"/>
            <w:noWrap/>
            <w:vAlign w:val="bottom"/>
          </w:tcPr>
          <w:p w14:paraId="0EC8D62B" w14:textId="77777777" w:rsidR="00085E73" w:rsidRPr="007A3043" w:rsidRDefault="00085E73" w:rsidP="003475E2">
            <w:pPr>
              <w:pStyle w:val="TableText"/>
              <w:rPr>
                <w:szCs w:val="24"/>
                <w:lang w:eastAsia="ko-KR"/>
              </w:rPr>
            </w:pPr>
            <w:r>
              <w:t>2</w:t>
            </w:r>
          </w:p>
        </w:tc>
        <w:tc>
          <w:tcPr>
            <w:tcW w:w="720" w:type="dxa"/>
            <w:noWrap/>
            <w:vAlign w:val="bottom"/>
          </w:tcPr>
          <w:p w14:paraId="49CCE6D8" w14:textId="77777777" w:rsidR="00085E73" w:rsidRPr="007A3043" w:rsidRDefault="00085E73" w:rsidP="003475E2">
            <w:pPr>
              <w:pStyle w:val="TableText"/>
              <w:rPr>
                <w:szCs w:val="24"/>
                <w:lang w:eastAsia="ko-KR"/>
              </w:rPr>
            </w:pPr>
            <w:r>
              <w:t>1%</w:t>
            </w:r>
          </w:p>
        </w:tc>
        <w:tc>
          <w:tcPr>
            <w:tcW w:w="864" w:type="dxa"/>
            <w:noWrap/>
            <w:vAlign w:val="bottom"/>
          </w:tcPr>
          <w:p w14:paraId="54C0C149" w14:textId="77777777" w:rsidR="00085E73" w:rsidRPr="007A3043" w:rsidRDefault="00085E73" w:rsidP="003475E2">
            <w:pPr>
              <w:pStyle w:val="TableText"/>
              <w:rPr>
                <w:szCs w:val="24"/>
                <w:lang w:eastAsia="ko-KR"/>
              </w:rPr>
            </w:pPr>
            <w:r>
              <w:t>2</w:t>
            </w:r>
          </w:p>
        </w:tc>
        <w:tc>
          <w:tcPr>
            <w:tcW w:w="720" w:type="dxa"/>
            <w:noWrap/>
            <w:vAlign w:val="bottom"/>
          </w:tcPr>
          <w:p w14:paraId="01C3FF0A" w14:textId="77777777" w:rsidR="00085E73" w:rsidRPr="007A3043" w:rsidRDefault="00085E73" w:rsidP="003475E2">
            <w:pPr>
              <w:pStyle w:val="TableText"/>
              <w:rPr>
                <w:szCs w:val="24"/>
                <w:lang w:eastAsia="ko-KR"/>
              </w:rPr>
            </w:pPr>
            <w:r>
              <w:t>1%</w:t>
            </w:r>
          </w:p>
        </w:tc>
        <w:tc>
          <w:tcPr>
            <w:tcW w:w="864" w:type="dxa"/>
            <w:noWrap/>
            <w:vAlign w:val="bottom"/>
          </w:tcPr>
          <w:p w14:paraId="571BDD3A" w14:textId="77777777" w:rsidR="00085E73" w:rsidRPr="007A3043" w:rsidRDefault="00085E73" w:rsidP="003475E2">
            <w:pPr>
              <w:pStyle w:val="TableText"/>
              <w:rPr>
                <w:szCs w:val="24"/>
                <w:lang w:eastAsia="ko-KR"/>
              </w:rPr>
            </w:pPr>
            <w:r>
              <w:t>2</w:t>
            </w:r>
          </w:p>
        </w:tc>
        <w:tc>
          <w:tcPr>
            <w:tcW w:w="720" w:type="dxa"/>
            <w:noWrap/>
            <w:vAlign w:val="bottom"/>
          </w:tcPr>
          <w:p w14:paraId="6302D58F" w14:textId="77777777" w:rsidR="00085E73" w:rsidRPr="007A3043" w:rsidRDefault="00085E73" w:rsidP="003475E2">
            <w:pPr>
              <w:pStyle w:val="TableText"/>
              <w:rPr>
                <w:szCs w:val="24"/>
                <w:lang w:eastAsia="ko-KR"/>
              </w:rPr>
            </w:pPr>
            <w:r>
              <w:t>1%</w:t>
            </w:r>
          </w:p>
        </w:tc>
        <w:tc>
          <w:tcPr>
            <w:tcW w:w="864" w:type="dxa"/>
            <w:noWrap/>
            <w:vAlign w:val="bottom"/>
          </w:tcPr>
          <w:p w14:paraId="7EC7B778" w14:textId="77777777" w:rsidR="00085E73" w:rsidRPr="007A3043" w:rsidRDefault="00085E73" w:rsidP="003475E2">
            <w:pPr>
              <w:pStyle w:val="TableText"/>
              <w:rPr>
                <w:szCs w:val="24"/>
                <w:lang w:eastAsia="ko-KR"/>
              </w:rPr>
            </w:pPr>
            <w:r>
              <w:t>6</w:t>
            </w:r>
          </w:p>
        </w:tc>
        <w:tc>
          <w:tcPr>
            <w:tcW w:w="720" w:type="dxa"/>
            <w:noWrap/>
            <w:vAlign w:val="bottom"/>
          </w:tcPr>
          <w:p w14:paraId="4ED685B5" w14:textId="77777777" w:rsidR="00085E73" w:rsidRPr="007A3043" w:rsidRDefault="00085E73" w:rsidP="003475E2">
            <w:pPr>
              <w:pStyle w:val="TableText"/>
              <w:rPr>
                <w:szCs w:val="24"/>
                <w:lang w:eastAsia="ko-KR"/>
              </w:rPr>
            </w:pPr>
            <w:r>
              <w:t>1%</w:t>
            </w:r>
          </w:p>
        </w:tc>
      </w:tr>
      <w:tr w:rsidR="00085E73" w:rsidRPr="00B96179" w14:paraId="485BEADB" w14:textId="77777777" w:rsidTr="004D0068">
        <w:tc>
          <w:tcPr>
            <w:tcW w:w="7056" w:type="dxa"/>
            <w:tcBorders>
              <w:bottom w:val="nil"/>
            </w:tcBorders>
            <w:hideMark/>
          </w:tcPr>
          <w:p w14:paraId="68E27F07" w14:textId="77777777" w:rsidR="00085E73" w:rsidRPr="0093049F" w:rsidRDefault="00085E73" w:rsidP="003475E2">
            <w:pPr>
              <w:pStyle w:val="TableText"/>
              <w:jc w:val="left"/>
              <w:rPr>
                <w:szCs w:val="20"/>
                <w:lang w:eastAsia="ko-KR"/>
              </w:rPr>
            </w:pPr>
            <w:r>
              <w:t>Embedded Designated Support—Streamline</w:t>
            </w:r>
          </w:p>
        </w:tc>
        <w:tc>
          <w:tcPr>
            <w:tcW w:w="864" w:type="dxa"/>
            <w:tcBorders>
              <w:bottom w:val="nil"/>
            </w:tcBorders>
            <w:noWrap/>
            <w:vAlign w:val="bottom"/>
          </w:tcPr>
          <w:p w14:paraId="543019B7" w14:textId="77777777" w:rsidR="00085E73" w:rsidRPr="007A3043" w:rsidRDefault="00085E73" w:rsidP="003475E2">
            <w:pPr>
              <w:pStyle w:val="TableText"/>
              <w:rPr>
                <w:szCs w:val="24"/>
                <w:lang w:eastAsia="ko-KR"/>
              </w:rPr>
            </w:pPr>
            <w:r>
              <w:t>3</w:t>
            </w:r>
          </w:p>
        </w:tc>
        <w:tc>
          <w:tcPr>
            <w:tcW w:w="720" w:type="dxa"/>
            <w:tcBorders>
              <w:bottom w:val="nil"/>
            </w:tcBorders>
            <w:noWrap/>
            <w:vAlign w:val="bottom"/>
          </w:tcPr>
          <w:p w14:paraId="54576A14" w14:textId="77777777" w:rsidR="00085E73" w:rsidRPr="007A3043" w:rsidRDefault="00085E73" w:rsidP="003475E2">
            <w:pPr>
              <w:pStyle w:val="TableText"/>
              <w:rPr>
                <w:szCs w:val="24"/>
                <w:lang w:eastAsia="ko-KR"/>
              </w:rPr>
            </w:pPr>
            <w:r>
              <w:t>2%</w:t>
            </w:r>
          </w:p>
        </w:tc>
        <w:tc>
          <w:tcPr>
            <w:tcW w:w="864" w:type="dxa"/>
            <w:tcBorders>
              <w:bottom w:val="nil"/>
            </w:tcBorders>
            <w:noWrap/>
            <w:vAlign w:val="bottom"/>
          </w:tcPr>
          <w:p w14:paraId="388D70FC" w14:textId="77777777" w:rsidR="00085E73" w:rsidRPr="007A3043" w:rsidRDefault="00085E73" w:rsidP="003475E2">
            <w:pPr>
              <w:pStyle w:val="TableText"/>
              <w:rPr>
                <w:szCs w:val="24"/>
                <w:lang w:eastAsia="ko-KR"/>
              </w:rPr>
            </w:pPr>
            <w:r>
              <w:t>1</w:t>
            </w:r>
          </w:p>
        </w:tc>
        <w:tc>
          <w:tcPr>
            <w:tcW w:w="720" w:type="dxa"/>
            <w:tcBorders>
              <w:bottom w:val="nil"/>
            </w:tcBorders>
            <w:noWrap/>
            <w:vAlign w:val="bottom"/>
          </w:tcPr>
          <w:p w14:paraId="253446B8" w14:textId="77777777" w:rsidR="00085E73" w:rsidRPr="007A3043" w:rsidRDefault="00085E73" w:rsidP="003475E2">
            <w:pPr>
              <w:pStyle w:val="TableText"/>
              <w:rPr>
                <w:szCs w:val="24"/>
                <w:lang w:eastAsia="ko-KR"/>
              </w:rPr>
            </w:pPr>
            <w:r>
              <w:t>0%</w:t>
            </w:r>
          </w:p>
        </w:tc>
        <w:tc>
          <w:tcPr>
            <w:tcW w:w="864" w:type="dxa"/>
            <w:tcBorders>
              <w:bottom w:val="nil"/>
            </w:tcBorders>
            <w:noWrap/>
            <w:vAlign w:val="bottom"/>
          </w:tcPr>
          <w:p w14:paraId="6189CC25" w14:textId="77777777" w:rsidR="00085E73" w:rsidRPr="007A3043" w:rsidRDefault="00085E73" w:rsidP="003475E2">
            <w:pPr>
              <w:pStyle w:val="TableText"/>
              <w:rPr>
                <w:szCs w:val="24"/>
                <w:lang w:eastAsia="ko-KR"/>
              </w:rPr>
            </w:pPr>
            <w:r>
              <w:t>4</w:t>
            </w:r>
          </w:p>
        </w:tc>
        <w:tc>
          <w:tcPr>
            <w:tcW w:w="720" w:type="dxa"/>
            <w:tcBorders>
              <w:bottom w:val="nil"/>
            </w:tcBorders>
            <w:noWrap/>
            <w:vAlign w:val="bottom"/>
          </w:tcPr>
          <w:p w14:paraId="7E699655" w14:textId="77777777" w:rsidR="00085E73" w:rsidRPr="007A3043" w:rsidRDefault="00085E73" w:rsidP="003475E2">
            <w:pPr>
              <w:pStyle w:val="TableText"/>
              <w:rPr>
                <w:szCs w:val="24"/>
                <w:lang w:eastAsia="ko-KR"/>
              </w:rPr>
            </w:pPr>
            <w:r>
              <w:t>2%</w:t>
            </w:r>
          </w:p>
        </w:tc>
        <w:tc>
          <w:tcPr>
            <w:tcW w:w="864" w:type="dxa"/>
            <w:tcBorders>
              <w:bottom w:val="nil"/>
            </w:tcBorders>
            <w:noWrap/>
            <w:vAlign w:val="bottom"/>
          </w:tcPr>
          <w:p w14:paraId="33B9347D" w14:textId="77777777" w:rsidR="00085E73" w:rsidRPr="007A3043" w:rsidRDefault="00085E73" w:rsidP="003475E2">
            <w:pPr>
              <w:pStyle w:val="TableText"/>
              <w:rPr>
                <w:szCs w:val="24"/>
                <w:lang w:eastAsia="ko-KR"/>
              </w:rPr>
            </w:pPr>
            <w:r>
              <w:t>8</w:t>
            </w:r>
          </w:p>
        </w:tc>
        <w:tc>
          <w:tcPr>
            <w:tcW w:w="720" w:type="dxa"/>
            <w:tcBorders>
              <w:bottom w:val="nil"/>
            </w:tcBorders>
            <w:noWrap/>
            <w:vAlign w:val="bottom"/>
          </w:tcPr>
          <w:p w14:paraId="631F71C1" w14:textId="77777777" w:rsidR="00085E73" w:rsidRPr="007A3043" w:rsidRDefault="00085E73" w:rsidP="003475E2">
            <w:pPr>
              <w:pStyle w:val="TableText"/>
              <w:rPr>
                <w:szCs w:val="24"/>
                <w:lang w:eastAsia="ko-KR"/>
              </w:rPr>
            </w:pPr>
            <w:r>
              <w:t>1%</w:t>
            </w:r>
          </w:p>
        </w:tc>
      </w:tr>
      <w:tr w:rsidR="00085E73" w:rsidRPr="00B96179" w14:paraId="0C0B7206" w14:textId="77777777" w:rsidTr="004D0068">
        <w:tc>
          <w:tcPr>
            <w:tcW w:w="7056" w:type="dxa"/>
            <w:tcBorders>
              <w:top w:val="nil"/>
              <w:bottom w:val="single" w:sz="12" w:space="0" w:color="auto"/>
            </w:tcBorders>
          </w:tcPr>
          <w:p w14:paraId="094DA310" w14:textId="15DF42F3" w:rsidR="00085E73" w:rsidRPr="0093049F" w:rsidRDefault="00085E73" w:rsidP="003475E2">
            <w:pPr>
              <w:pStyle w:val="TableText"/>
              <w:jc w:val="left"/>
              <w:rPr>
                <w:szCs w:val="20"/>
              </w:rPr>
            </w:pPr>
            <w:r>
              <w:t xml:space="preserve">Embedded Designated Support—Turn </w:t>
            </w:r>
            <w:r w:rsidR="006766C8">
              <w:t>O</w:t>
            </w:r>
            <w:r>
              <w:t>ff</w:t>
            </w:r>
            <w:r w:rsidR="006766C8">
              <w:t xml:space="preserve"> Any</w:t>
            </w:r>
            <w:r>
              <w:t xml:space="preserve"> Universal Tools</w:t>
            </w:r>
          </w:p>
        </w:tc>
        <w:tc>
          <w:tcPr>
            <w:tcW w:w="864" w:type="dxa"/>
            <w:tcBorders>
              <w:top w:val="nil"/>
              <w:bottom w:val="single" w:sz="12" w:space="0" w:color="auto"/>
            </w:tcBorders>
            <w:noWrap/>
            <w:vAlign w:val="bottom"/>
          </w:tcPr>
          <w:p w14:paraId="02754594" w14:textId="77777777" w:rsidR="00085E73" w:rsidRPr="007A3043" w:rsidRDefault="00085E73" w:rsidP="003475E2">
            <w:pPr>
              <w:pStyle w:val="TableText"/>
              <w:rPr>
                <w:szCs w:val="24"/>
              </w:rPr>
            </w:pPr>
            <w:r>
              <w:t>0</w:t>
            </w:r>
          </w:p>
        </w:tc>
        <w:tc>
          <w:tcPr>
            <w:tcW w:w="720" w:type="dxa"/>
            <w:tcBorders>
              <w:top w:val="nil"/>
              <w:bottom w:val="single" w:sz="12" w:space="0" w:color="auto"/>
            </w:tcBorders>
            <w:noWrap/>
            <w:vAlign w:val="bottom"/>
          </w:tcPr>
          <w:p w14:paraId="67FAEB0C" w14:textId="77777777" w:rsidR="00085E73" w:rsidRPr="007A3043" w:rsidRDefault="00085E73" w:rsidP="003475E2">
            <w:pPr>
              <w:pStyle w:val="TableText"/>
              <w:rPr>
                <w:szCs w:val="24"/>
              </w:rPr>
            </w:pPr>
            <w:r>
              <w:t>0</w:t>
            </w:r>
          </w:p>
        </w:tc>
        <w:tc>
          <w:tcPr>
            <w:tcW w:w="864" w:type="dxa"/>
            <w:tcBorders>
              <w:top w:val="nil"/>
              <w:bottom w:val="single" w:sz="12" w:space="0" w:color="auto"/>
            </w:tcBorders>
            <w:noWrap/>
            <w:vAlign w:val="bottom"/>
          </w:tcPr>
          <w:p w14:paraId="2018129D" w14:textId="77777777" w:rsidR="00085E73" w:rsidRPr="007A3043" w:rsidRDefault="00085E73" w:rsidP="003475E2">
            <w:pPr>
              <w:pStyle w:val="TableText"/>
              <w:rPr>
                <w:szCs w:val="24"/>
              </w:rPr>
            </w:pPr>
            <w:r>
              <w:t>0</w:t>
            </w:r>
          </w:p>
        </w:tc>
        <w:tc>
          <w:tcPr>
            <w:tcW w:w="720" w:type="dxa"/>
            <w:tcBorders>
              <w:top w:val="nil"/>
              <w:bottom w:val="single" w:sz="12" w:space="0" w:color="auto"/>
            </w:tcBorders>
            <w:noWrap/>
            <w:vAlign w:val="bottom"/>
          </w:tcPr>
          <w:p w14:paraId="568EE70D" w14:textId="77777777" w:rsidR="00085E73" w:rsidRPr="007A3043" w:rsidRDefault="00085E73" w:rsidP="003475E2">
            <w:pPr>
              <w:pStyle w:val="TableText"/>
              <w:rPr>
                <w:szCs w:val="24"/>
              </w:rPr>
            </w:pPr>
            <w:r>
              <w:t>0</w:t>
            </w:r>
          </w:p>
        </w:tc>
        <w:tc>
          <w:tcPr>
            <w:tcW w:w="864" w:type="dxa"/>
            <w:tcBorders>
              <w:top w:val="nil"/>
              <w:bottom w:val="single" w:sz="12" w:space="0" w:color="auto"/>
            </w:tcBorders>
            <w:noWrap/>
            <w:vAlign w:val="bottom"/>
          </w:tcPr>
          <w:p w14:paraId="4342CBA5" w14:textId="77777777" w:rsidR="00085E73" w:rsidRPr="007A3043" w:rsidRDefault="00085E73" w:rsidP="003475E2">
            <w:pPr>
              <w:pStyle w:val="TableText"/>
              <w:rPr>
                <w:szCs w:val="24"/>
              </w:rPr>
            </w:pPr>
            <w:r>
              <w:t>0</w:t>
            </w:r>
          </w:p>
        </w:tc>
        <w:tc>
          <w:tcPr>
            <w:tcW w:w="720" w:type="dxa"/>
            <w:tcBorders>
              <w:top w:val="nil"/>
              <w:bottom w:val="single" w:sz="12" w:space="0" w:color="auto"/>
            </w:tcBorders>
            <w:noWrap/>
            <w:vAlign w:val="bottom"/>
          </w:tcPr>
          <w:p w14:paraId="748B3E52" w14:textId="77777777" w:rsidR="00085E73" w:rsidRPr="007A3043" w:rsidRDefault="00085E73" w:rsidP="003475E2">
            <w:pPr>
              <w:pStyle w:val="TableText"/>
              <w:rPr>
                <w:szCs w:val="24"/>
              </w:rPr>
            </w:pPr>
            <w:r>
              <w:t>0</w:t>
            </w:r>
          </w:p>
        </w:tc>
        <w:tc>
          <w:tcPr>
            <w:tcW w:w="864" w:type="dxa"/>
            <w:tcBorders>
              <w:top w:val="nil"/>
              <w:bottom w:val="single" w:sz="12" w:space="0" w:color="auto"/>
            </w:tcBorders>
            <w:noWrap/>
            <w:vAlign w:val="bottom"/>
          </w:tcPr>
          <w:p w14:paraId="1CE2D7A3" w14:textId="77777777" w:rsidR="00085E73" w:rsidRPr="007A3043" w:rsidRDefault="00085E73" w:rsidP="003475E2">
            <w:pPr>
              <w:pStyle w:val="TableText"/>
              <w:rPr>
                <w:szCs w:val="24"/>
              </w:rPr>
            </w:pPr>
            <w:r>
              <w:t>0</w:t>
            </w:r>
          </w:p>
        </w:tc>
        <w:tc>
          <w:tcPr>
            <w:tcW w:w="720" w:type="dxa"/>
            <w:tcBorders>
              <w:top w:val="nil"/>
              <w:bottom w:val="single" w:sz="12" w:space="0" w:color="auto"/>
            </w:tcBorders>
            <w:noWrap/>
            <w:vAlign w:val="bottom"/>
          </w:tcPr>
          <w:p w14:paraId="457747D4" w14:textId="77777777" w:rsidR="00085E73" w:rsidRPr="007A3043" w:rsidRDefault="00085E73" w:rsidP="003475E2">
            <w:pPr>
              <w:pStyle w:val="TableText"/>
              <w:rPr>
                <w:szCs w:val="24"/>
              </w:rPr>
            </w:pPr>
            <w:r>
              <w:t>0</w:t>
            </w:r>
          </w:p>
        </w:tc>
      </w:tr>
      <w:tr w:rsidR="00085E73" w:rsidRPr="00B96179" w14:paraId="12531045" w14:textId="77777777" w:rsidTr="003475E2">
        <w:tc>
          <w:tcPr>
            <w:tcW w:w="7056" w:type="dxa"/>
            <w:tcBorders>
              <w:top w:val="single" w:sz="4" w:space="0" w:color="auto"/>
              <w:bottom w:val="nil"/>
            </w:tcBorders>
          </w:tcPr>
          <w:p w14:paraId="2E221A23" w14:textId="77777777" w:rsidR="00085E73" w:rsidRPr="00025A56" w:rsidRDefault="00085E73" w:rsidP="004D0068">
            <w:pPr>
              <w:pStyle w:val="TableText"/>
              <w:keepNext/>
              <w:keepLines/>
              <w:jc w:val="left"/>
              <w:rPr>
                <w:szCs w:val="20"/>
              </w:rPr>
            </w:pPr>
            <w:r>
              <w:lastRenderedPageBreak/>
              <w:t>Non-Embedded Designated Support—Amplification</w:t>
            </w:r>
          </w:p>
        </w:tc>
        <w:tc>
          <w:tcPr>
            <w:tcW w:w="864" w:type="dxa"/>
            <w:tcBorders>
              <w:top w:val="single" w:sz="4" w:space="0" w:color="auto"/>
              <w:bottom w:val="nil"/>
            </w:tcBorders>
            <w:noWrap/>
            <w:vAlign w:val="bottom"/>
          </w:tcPr>
          <w:p w14:paraId="6D516EE7" w14:textId="77777777" w:rsidR="00085E73" w:rsidRDefault="00085E73" w:rsidP="004D0068">
            <w:pPr>
              <w:pStyle w:val="TableText"/>
              <w:keepNext/>
              <w:keepLines/>
              <w:rPr>
                <w:szCs w:val="24"/>
                <w:lang w:eastAsia="ko-KR"/>
              </w:rPr>
            </w:pPr>
            <w:r>
              <w:t>0</w:t>
            </w:r>
          </w:p>
        </w:tc>
        <w:tc>
          <w:tcPr>
            <w:tcW w:w="720" w:type="dxa"/>
            <w:tcBorders>
              <w:top w:val="single" w:sz="4" w:space="0" w:color="auto"/>
              <w:bottom w:val="nil"/>
            </w:tcBorders>
            <w:noWrap/>
            <w:vAlign w:val="bottom"/>
          </w:tcPr>
          <w:p w14:paraId="68188AFA" w14:textId="77777777" w:rsidR="00085E73" w:rsidRDefault="00085E73" w:rsidP="004D0068">
            <w:pPr>
              <w:pStyle w:val="TableText"/>
              <w:keepNext/>
              <w:keepLines/>
            </w:pPr>
            <w:r>
              <w:t>0%</w:t>
            </w:r>
          </w:p>
        </w:tc>
        <w:tc>
          <w:tcPr>
            <w:tcW w:w="864" w:type="dxa"/>
            <w:tcBorders>
              <w:top w:val="single" w:sz="4" w:space="0" w:color="auto"/>
              <w:bottom w:val="nil"/>
            </w:tcBorders>
            <w:noWrap/>
            <w:vAlign w:val="bottom"/>
          </w:tcPr>
          <w:p w14:paraId="10988ACA" w14:textId="77777777" w:rsidR="00085E73" w:rsidRDefault="00085E73" w:rsidP="004D0068">
            <w:pPr>
              <w:pStyle w:val="TableText"/>
              <w:keepNext/>
              <w:keepLines/>
              <w:rPr>
                <w:szCs w:val="24"/>
                <w:lang w:eastAsia="ko-KR"/>
              </w:rPr>
            </w:pPr>
            <w:r>
              <w:t>1</w:t>
            </w:r>
          </w:p>
        </w:tc>
        <w:tc>
          <w:tcPr>
            <w:tcW w:w="720" w:type="dxa"/>
            <w:tcBorders>
              <w:top w:val="single" w:sz="4" w:space="0" w:color="auto"/>
              <w:bottom w:val="nil"/>
            </w:tcBorders>
            <w:noWrap/>
            <w:vAlign w:val="bottom"/>
          </w:tcPr>
          <w:p w14:paraId="4711256C" w14:textId="77777777" w:rsidR="00085E73" w:rsidRDefault="00085E73" w:rsidP="004D0068">
            <w:pPr>
              <w:pStyle w:val="TableText"/>
              <w:keepNext/>
              <w:keepLines/>
            </w:pPr>
            <w:r>
              <w:t>0%</w:t>
            </w:r>
          </w:p>
        </w:tc>
        <w:tc>
          <w:tcPr>
            <w:tcW w:w="864" w:type="dxa"/>
            <w:tcBorders>
              <w:top w:val="single" w:sz="4" w:space="0" w:color="auto"/>
              <w:bottom w:val="nil"/>
            </w:tcBorders>
            <w:noWrap/>
            <w:vAlign w:val="bottom"/>
          </w:tcPr>
          <w:p w14:paraId="77D5895B" w14:textId="77777777" w:rsidR="00085E73" w:rsidRDefault="00085E73" w:rsidP="004D0068">
            <w:pPr>
              <w:pStyle w:val="TableText"/>
              <w:keepNext/>
              <w:keepLines/>
              <w:rPr>
                <w:szCs w:val="24"/>
                <w:lang w:eastAsia="ko-KR"/>
              </w:rPr>
            </w:pPr>
            <w:r>
              <w:t>1</w:t>
            </w:r>
          </w:p>
        </w:tc>
        <w:tc>
          <w:tcPr>
            <w:tcW w:w="720" w:type="dxa"/>
            <w:tcBorders>
              <w:top w:val="single" w:sz="4" w:space="0" w:color="auto"/>
              <w:bottom w:val="nil"/>
            </w:tcBorders>
            <w:noWrap/>
            <w:vAlign w:val="bottom"/>
          </w:tcPr>
          <w:p w14:paraId="56036231" w14:textId="77777777" w:rsidR="00085E73" w:rsidRDefault="00085E73" w:rsidP="004D0068">
            <w:pPr>
              <w:pStyle w:val="TableText"/>
              <w:keepNext/>
              <w:keepLines/>
            </w:pPr>
            <w:r>
              <w:t>0%</w:t>
            </w:r>
          </w:p>
        </w:tc>
        <w:tc>
          <w:tcPr>
            <w:tcW w:w="864" w:type="dxa"/>
            <w:tcBorders>
              <w:top w:val="single" w:sz="4" w:space="0" w:color="auto"/>
              <w:bottom w:val="nil"/>
            </w:tcBorders>
            <w:noWrap/>
            <w:vAlign w:val="bottom"/>
          </w:tcPr>
          <w:p w14:paraId="5ADACEA3" w14:textId="77777777" w:rsidR="00085E73" w:rsidRDefault="00085E73" w:rsidP="004D0068">
            <w:pPr>
              <w:pStyle w:val="TableText"/>
              <w:keepNext/>
              <w:keepLines/>
              <w:rPr>
                <w:szCs w:val="24"/>
                <w:lang w:eastAsia="ko-KR"/>
              </w:rPr>
            </w:pPr>
            <w:r>
              <w:t>2</w:t>
            </w:r>
          </w:p>
        </w:tc>
        <w:tc>
          <w:tcPr>
            <w:tcW w:w="720" w:type="dxa"/>
            <w:tcBorders>
              <w:top w:val="single" w:sz="4" w:space="0" w:color="auto"/>
              <w:bottom w:val="nil"/>
            </w:tcBorders>
            <w:noWrap/>
            <w:vAlign w:val="bottom"/>
          </w:tcPr>
          <w:p w14:paraId="17361F14" w14:textId="77777777" w:rsidR="00085E73" w:rsidRDefault="00085E73" w:rsidP="004D0068">
            <w:pPr>
              <w:pStyle w:val="TableText"/>
              <w:keepNext/>
              <w:keepLines/>
            </w:pPr>
            <w:r>
              <w:t>0%</w:t>
            </w:r>
          </w:p>
        </w:tc>
      </w:tr>
      <w:tr w:rsidR="00085E73" w:rsidRPr="00B96179" w14:paraId="0FBE83F2" w14:textId="77777777" w:rsidTr="003475E2">
        <w:tc>
          <w:tcPr>
            <w:tcW w:w="7056" w:type="dxa"/>
            <w:tcBorders>
              <w:top w:val="nil"/>
            </w:tcBorders>
          </w:tcPr>
          <w:p w14:paraId="17A3DDEB" w14:textId="77777777" w:rsidR="00085E73" w:rsidRPr="00025A56" w:rsidRDefault="00085E73" w:rsidP="004D0068">
            <w:pPr>
              <w:pStyle w:val="TableText"/>
              <w:keepNext/>
              <w:keepLines/>
              <w:jc w:val="left"/>
              <w:rPr>
                <w:szCs w:val="20"/>
              </w:rPr>
            </w:pPr>
            <w:r>
              <w:t>Non-Embedded Designated Support—Color Contrast</w:t>
            </w:r>
          </w:p>
        </w:tc>
        <w:tc>
          <w:tcPr>
            <w:tcW w:w="864" w:type="dxa"/>
            <w:tcBorders>
              <w:top w:val="nil"/>
            </w:tcBorders>
            <w:noWrap/>
            <w:vAlign w:val="bottom"/>
          </w:tcPr>
          <w:p w14:paraId="0485325A" w14:textId="77777777" w:rsidR="00085E73" w:rsidRDefault="00085E73" w:rsidP="004D0068">
            <w:pPr>
              <w:pStyle w:val="TableText"/>
              <w:keepNext/>
              <w:keepLines/>
              <w:rPr>
                <w:szCs w:val="24"/>
                <w:lang w:eastAsia="ko-KR"/>
              </w:rPr>
            </w:pPr>
            <w:r>
              <w:t>0</w:t>
            </w:r>
          </w:p>
        </w:tc>
        <w:tc>
          <w:tcPr>
            <w:tcW w:w="720" w:type="dxa"/>
            <w:tcBorders>
              <w:top w:val="nil"/>
            </w:tcBorders>
            <w:noWrap/>
            <w:vAlign w:val="bottom"/>
          </w:tcPr>
          <w:p w14:paraId="04E96018" w14:textId="77777777" w:rsidR="00085E73" w:rsidRDefault="00085E73" w:rsidP="004D0068">
            <w:pPr>
              <w:pStyle w:val="TableText"/>
              <w:keepNext/>
              <w:keepLines/>
            </w:pPr>
            <w:r>
              <w:t>0%</w:t>
            </w:r>
          </w:p>
        </w:tc>
        <w:tc>
          <w:tcPr>
            <w:tcW w:w="864" w:type="dxa"/>
            <w:tcBorders>
              <w:top w:val="nil"/>
            </w:tcBorders>
            <w:noWrap/>
            <w:vAlign w:val="bottom"/>
          </w:tcPr>
          <w:p w14:paraId="08183171" w14:textId="77777777" w:rsidR="00085E73" w:rsidRDefault="00085E73" w:rsidP="004D0068">
            <w:pPr>
              <w:pStyle w:val="TableText"/>
              <w:keepNext/>
              <w:keepLines/>
              <w:rPr>
                <w:szCs w:val="24"/>
                <w:lang w:eastAsia="ko-KR"/>
              </w:rPr>
            </w:pPr>
            <w:r>
              <w:t>0</w:t>
            </w:r>
          </w:p>
        </w:tc>
        <w:tc>
          <w:tcPr>
            <w:tcW w:w="720" w:type="dxa"/>
            <w:tcBorders>
              <w:top w:val="nil"/>
            </w:tcBorders>
            <w:noWrap/>
            <w:vAlign w:val="bottom"/>
          </w:tcPr>
          <w:p w14:paraId="232D82C9" w14:textId="77777777" w:rsidR="00085E73" w:rsidRDefault="00085E73" w:rsidP="004D0068">
            <w:pPr>
              <w:pStyle w:val="TableText"/>
              <w:keepNext/>
              <w:keepLines/>
            </w:pPr>
            <w:r>
              <w:t>0%</w:t>
            </w:r>
          </w:p>
        </w:tc>
        <w:tc>
          <w:tcPr>
            <w:tcW w:w="864" w:type="dxa"/>
            <w:tcBorders>
              <w:top w:val="nil"/>
            </w:tcBorders>
            <w:noWrap/>
            <w:vAlign w:val="bottom"/>
          </w:tcPr>
          <w:p w14:paraId="23FF1E7B" w14:textId="77777777" w:rsidR="00085E73" w:rsidRDefault="00085E73" w:rsidP="004D0068">
            <w:pPr>
              <w:pStyle w:val="TableText"/>
              <w:keepNext/>
              <w:keepLines/>
              <w:rPr>
                <w:szCs w:val="24"/>
                <w:lang w:eastAsia="ko-KR"/>
              </w:rPr>
            </w:pPr>
            <w:r>
              <w:t>2</w:t>
            </w:r>
          </w:p>
        </w:tc>
        <w:tc>
          <w:tcPr>
            <w:tcW w:w="720" w:type="dxa"/>
            <w:tcBorders>
              <w:top w:val="nil"/>
            </w:tcBorders>
            <w:noWrap/>
            <w:vAlign w:val="bottom"/>
          </w:tcPr>
          <w:p w14:paraId="0D4116C6" w14:textId="77777777" w:rsidR="00085E73" w:rsidRDefault="00085E73" w:rsidP="004D0068">
            <w:pPr>
              <w:pStyle w:val="TableText"/>
              <w:keepNext/>
              <w:keepLines/>
            </w:pPr>
            <w:r>
              <w:t>1%</w:t>
            </w:r>
          </w:p>
        </w:tc>
        <w:tc>
          <w:tcPr>
            <w:tcW w:w="864" w:type="dxa"/>
            <w:tcBorders>
              <w:top w:val="nil"/>
            </w:tcBorders>
            <w:noWrap/>
            <w:vAlign w:val="bottom"/>
          </w:tcPr>
          <w:p w14:paraId="1513655A" w14:textId="77777777" w:rsidR="00085E73" w:rsidRDefault="00085E73" w:rsidP="004D0068">
            <w:pPr>
              <w:pStyle w:val="TableText"/>
              <w:keepNext/>
              <w:keepLines/>
              <w:rPr>
                <w:szCs w:val="24"/>
                <w:lang w:eastAsia="ko-KR"/>
              </w:rPr>
            </w:pPr>
            <w:r>
              <w:t>2</w:t>
            </w:r>
          </w:p>
        </w:tc>
        <w:tc>
          <w:tcPr>
            <w:tcW w:w="720" w:type="dxa"/>
            <w:tcBorders>
              <w:top w:val="nil"/>
            </w:tcBorders>
            <w:noWrap/>
            <w:vAlign w:val="bottom"/>
          </w:tcPr>
          <w:p w14:paraId="2423E2BF" w14:textId="77777777" w:rsidR="00085E73" w:rsidRDefault="00085E73" w:rsidP="004D0068">
            <w:pPr>
              <w:pStyle w:val="TableText"/>
              <w:keepNext/>
              <w:keepLines/>
            </w:pPr>
            <w:r>
              <w:t>0%</w:t>
            </w:r>
          </w:p>
        </w:tc>
      </w:tr>
      <w:tr w:rsidR="00085E73" w:rsidRPr="00B96179" w14:paraId="2A177181" w14:textId="77777777" w:rsidTr="003475E2">
        <w:tc>
          <w:tcPr>
            <w:tcW w:w="7056" w:type="dxa"/>
          </w:tcPr>
          <w:p w14:paraId="1AD88421" w14:textId="77777777" w:rsidR="00085E73" w:rsidRPr="00025A56" w:rsidRDefault="00085E73" w:rsidP="004D0068">
            <w:pPr>
              <w:pStyle w:val="TableText"/>
              <w:keepNext/>
              <w:keepLines/>
              <w:jc w:val="left"/>
              <w:rPr>
                <w:szCs w:val="20"/>
              </w:rPr>
            </w:pPr>
            <w:r>
              <w:t>Non-Embedded Designated Support—Color Overlay</w:t>
            </w:r>
          </w:p>
        </w:tc>
        <w:tc>
          <w:tcPr>
            <w:tcW w:w="864" w:type="dxa"/>
            <w:noWrap/>
            <w:vAlign w:val="bottom"/>
          </w:tcPr>
          <w:p w14:paraId="7F5195B7" w14:textId="77777777" w:rsidR="00085E73" w:rsidRDefault="00085E73" w:rsidP="004D0068">
            <w:pPr>
              <w:pStyle w:val="TableText"/>
              <w:keepNext/>
              <w:keepLines/>
              <w:rPr>
                <w:szCs w:val="24"/>
                <w:lang w:eastAsia="ko-KR"/>
              </w:rPr>
            </w:pPr>
            <w:r>
              <w:t>0</w:t>
            </w:r>
          </w:p>
        </w:tc>
        <w:tc>
          <w:tcPr>
            <w:tcW w:w="720" w:type="dxa"/>
            <w:noWrap/>
            <w:vAlign w:val="bottom"/>
          </w:tcPr>
          <w:p w14:paraId="77E9825E" w14:textId="77777777" w:rsidR="00085E73" w:rsidRDefault="00085E73" w:rsidP="004D0068">
            <w:pPr>
              <w:pStyle w:val="TableText"/>
              <w:keepNext/>
              <w:keepLines/>
            </w:pPr>
            <w:r>
              <w:t>0%</w:t>
            </w:r>
          </w:p>
        </w:tc>
        <w:tc>
          <w:tcPr>
            <w:tcW w:w="864" w:type="dxa"/>
            <w:noWrap/>
            <w:vAlign w:val="bottom"/>
          </w:tcPr>
          <w:p w14:paraId="543B37C6" w14:textId="77777777" w:rsidR="00085E73" w:rsidRDefault="00085E73" w:rsidP="004D0068">
            <w:pPr>
              <w:pStyle w:val="TableText"/>
              <w:keepNext/>
              <w:keepLines/>
              <w:rPr>
                <w:szCs w:val="24"/>
                <w:lang w:eastAsia="ko-KR"/>
              </w:rPr>
            </w:pPr>
            <w:r>
              <w:t>0</w:t>
            </w:r>
          </w:p>
        </w:tc>
        <w:tc>
          <w:tcPr>
            <w:tcW w:w="720" w:type="dxa"/>
            <w:noWrap/>
            <w:vAlign w:val="bottom"/>
          </w:tcPr>
          <w:p w14:paraId="7ED788DC" w14:textId="77777777" w:rsidR="00085E73" w:rsidRDefault="00085E73" w:rsidP="004D0068">
            <w:pPr>
              <w:pStyle w:val="TableText"/>
              <w:keepNext/>
              <w:keepLines/>
            </w:pPr>
            <w:r>
              <w:t>0%</w:t>
            </w:r>
          </w:p>
        </w:tc>
        <w:tc>
          <w:tcPr>
            <w:tcW w:w="864" w:type="dxa"/>
            <w:noWrap/>
            <w:vAlign w:val="bottom"/>
          </w:tcPr>
          <w:p w14:paraId="2DAA4946" w14:textId="77777777" w:rsidR="00085E73" w:rsidRDefault="00085E73" w:rsidP="004D0068">
            <w:pPr>
              <w:pStyle w:val="TableText"/>
              <w:keepNext/>
              <w:keepLines/>
              <w:rPr>
                <w:szCs w:val="24"/>
                <w:lang w:eastAsia="ko-KR"/>
              </w:rPr>
            </w:pPr>
            <w:r>
              <w:t>1</w:t>
            </w:r>
          </w:p>
        </w:tc>
        <w:tc>
          <w:tcPr>
            <w:tcW w:w="720" w:type="dxa"/>
            <w:noWrap/>
            <w:vAlign w:val="bottom"/>
          </w:tcPr>
          <w:p w14:paraId="78C9C4E3" w14:textId="77777777" w:rsidR="00085E73" w:rsidRDefault="00085E73" w:rsidP="004D0068">
            <w:pPr>
              <w:pStyle w:val="TableText"/>
              <w:keepNext/>
              <w:keepLines/>
            </w:pPr>
            <w:r>
              <w:t>0%</w:t>
            </w:r>
          </w:p>
        </w:tc>
        <w:tc>
          <w:tcPr>
            <w:tcW w:w="864" w:type="dxa"/>
            <w:noWrap/>
            <w:vAlign w:val="bottom"/>
          </w:tcPr>
          <w:p w14:paraId="6F933D16" w14:textId="77777777" w:rsidR="00085E73" w:rsidRDefault="00085E73" w:rsidP="004D0068">
            <w:pPr>
              <w:pStyle w:val="TableText"/>
              <w:keepNext/>
              <w:keepLines/>
              <w:rPr>
                <w:szCs w:val="24"/>
                <w:lang w:eastAsia="ko-KR"/>
              </w:rPr>
            </w:pPr>
            <w:r>
              <w:t>1</w:t>
            </w:r>
          </w:p>
        </w:tc>
        <w:tc>
          <w:tcPr>
            <w:tcW w:w="720" w:type="dxa"/>
            <w:noWrap/>
            <w:vAlign w:val="bottom"/>
          </w:tcPr>
          <w:p w14:paraId="7E9B624F" w14:textId="77777777" w:rsidR="00085E73" w:rsidRDefault="00085E73" w:rsidP="004D0068">
            <w:pPr>
              <w:pStyle w:val="TableText"/>
              <w:keepNext/>
              <w:keepLines/>
            </w:pPr>
            <w:r>
              <w:t>0%</w:t>
            </w:r>
          </w:p>
        </w:tc>
      </w:tr>
      <w:tr w:rsidR="00085E73" w:rsidRPr="00B96179" w14:paraId="680A732E" w14:textId="77777777" w:rsidTr="003475E2">
        <w:tc>
          <w:tcPr>
            <w:tcW w:w="7056" w:type="dxa"/>
          </w:tcPr>
          <w:p w14:paraId="606A1EA1" w14:textId="77777777" w:rsidR="00085E73" w:rsidRPr="00025A56" w:rsidRDefault="00085E73" w:rsidP="004D0068">
            <w:pPr>
              <w:pStyle w:val="TableText"/>
              <w:keepNext/>
              <w:keepLines/>
              <w:jc w:val="left"/>
              <w:rPr>
                <w:szCs w:val="20"/>
              </w:rPr>
            </w:pPr>
            <w:r>
              <w:t>Non-Embedded Designated Support—Magnification</w:t>
            </w:r>
          </w:p>
        </w:tc>
        <w:tc>
          <w:tcPr>
            <w:tcW w:w="864" w:type="dxa"/>
            <w:noWrap/>
            <w:vAlign w:val="bottom"/>
          </w:tcPr>
          <w:p w14:paraId="6225EC3D" w14:textId="77777777" w:rsidR="00085E73" w:rsidRDefault="00085E73" w:rsidP="004D0068">
            <w:pPr>
              <w:pStyle w:val="TableText"/>
              <w:keepNext/>
              <w:keepLines/>
              <w:rPr>
                <w:szCs w:val="24"/>
                <w:lang w:eastAsia="ko-KR"/>
              </w:rPr>
            </w:pPr>
            <w:r>
              <w:t>1</w:t>
            </w:r>
          </w:p>
        </w:tc>
        <w:tc>
          <w:tcPr>
            <w:tcW w:w="720" w:type="dxa"/>
            <w:noWrap/>
            <w:vAlign w:val="bottom"/>
          </w:tcPr>
          <w:p w14:paraId="63E4D39F" w14:textId="77777777" w:rsidR="00085E73" w:rsidRDefault="00085E73" w:rsidP="004D0068">
            <w:pPr>
              <w:pStyle w:val="TableText"/>
              <w:keepNext/>
              <w:keepLines/>
            </w:pPr>
            <w:r>
              <w:t>1%</w:t>
            </w:r>
          </w:p>
        </w:tc>
        <w:tc>
          <w:tcPr>
            <w:tcW w:w="864" w:type="dxa"/>
            <w:noWrap/>
            <w:vAlign w:val="bottom"/>
          </w:tcPr>
          <w:p w14:paraId="5C977771" w14:textId="77777777" w:rsidR="00085E73" w:rsidRDefault="00085E73" w:rsidP="004D0068">
            <w:pPr>
              <w:pStyle w:val="TableText"/>
              <w:keepNext/>
              <w:keepLines/>
              <w:rPr>
                <w:szCs w:val="24"/>
                <w:lang w:eastAsia="ko-KR"/>
              </w:rPr>
            </w:pPr>
            <w:r>
              <w:t>4</w:t>
            </w:r>
          </w:p>
        </w:tc>
        <w:tc>
          <w:tcPr>
            <w:tcW w:w="720" w:type="dxa"/>
            <w:noWrap/>
            <w:vAlign w:val="bottom"/>
          </w:tcPr>
          <w:p w14:paraId="39CE0D7B" w14:textId="77777777" w:rsidR="00085E73" w:rsidRDefault="00085E73" w:rsidP="004D0068">
            <w:pPr>
              <w:pStyle w:val="TableText"/>
              <w:keepNext/>
              <w:keepLines/>
            </w:pPr>
            <w:r>
              <w:t>1%</w:t>
            </w:r>
          </w:p>
        </w:tc>
        <w:tc>
          <w:tcPr>
            <w:tcW w:w="864" w:type="dxa"/>
            <w:noWrap/>
            <w:vAlign w:val="bottom"/>
          </w:tcPr>
          <w:p w14:paraId="30E802F3" w14:textId="77777777" w:rsidR="00085E73" w:rsidRDefault="00085E73" w:rsidP="004D0068">
            <w:pPr>
              <w:pStyle w:val="TableText"/>
              <w:keepNext/>
              <w:keepLines/>
              <w:rPr>
                <w:szCs w:val="24"/>
                <w:lang w:eastAsia="ko-KR"/>
              </w:rPr>
            </w:pPr>
            <w:r>
              <w:t>2</w:t>
            </w:r>
          </w:p>
        </w:tc>
        <w:tc>
          <w:tcPr>
            <w:tcW w:w="720" w:type="dxa"/>
            <w:noWrap/>
            <w:vAlign w:val="bottom"/>
          </w:tcPr>
          <w:p w14:paraId="4FC5E0E5" w14:textId="77777777" w:rsidR="00085E73" w:rsidRDefault="00085E73" w:rsidP="004D0068">
            <w:pPr>
              <w:pStyle w:val="TableText"/>
              <w:keepNext/>
              <w:keepLines/>
            </w:pPr>
            <w:r>
              <w:t>1%</w:t>
            </w:r>
          </w:p>
        </w:tc>
        <w:tc>
          <w:tcPr>
            <w:tcW w:w="864" w:type="dxa"/>
            <w:noWrap/>
            <w:vAlign w:val="bottom"/>
          </w:tcPr>
          <w:p w14:paraId="75518901" w14:textId="77777777" w:rsidR="00085E73" w:rsidRDefault="00085E73" w:rsidP="004D0068">
            <w:pPr>
              <w:pStyle w:val="TableText"/>
              <w:keepNext/>
              <w:keepLines/>
              <w:rPr>
                <w:szCs w:val="24"/>
                <w:lang w:eastAsia="ko-KR"/>
              </w:rPr>
            </w:pPr>
            <w:r>
              <w:t>7</w:t>
            </w:r>
          </w:p>
        </w:tc>
        <w:tc>
          <w:tcPr>
            <w:tcW w:w="720" w:type="dxa"/>
            <w:noWrap/>
            <w:vAlign w:val="bottom"/>
          </w:tcPr>
          <w:p w14:paraId="5401E712" w14:textId="77777777" w:rsidR="00085E73" w:rsidRDefault="00085E73" w:rsidP="004D0068">
            <w:pPr>
              <w:pStyle w:val="TableText"/>
              <w:keepNext/>
              <w:keepLines/>
            </w:pPr>
            <w:r>
              <w:t>1%</w:t>
            </w:r>
          </w:p>
        </w:tc>
      </w:tr>
      <w:tr w:rsidR="00085E73" w:rsidRPr="00B96179" w14:paraId="68AB8933" w14:textId="77777777" w:rsidTr="003475E2">
        <w:tc>
          <w:tcPr>
            <w:tcW w:w="7056" w:type="dxa"/>
          </w:tcPr>
          <w:p w14:paraId="73F19D26" w14:textId="77777777" w:rsidR="00085E73" w:rsidRPr="00025A56" w:rsidRDefault="00085E73" w:rsidP="004D0068">
            <w:pPr>
              <w:pStyle w:val="TableText"/>
              <w:keepNext/>
              <w:keepLines/>
              <w:jc w:val="left"/>
              <w:rPr>
                <w:szCs w:val="20"/>
              </w:rPr>
            </w:pPr>
            <w:r>
              <w:t>Non-Embedded Designated Support—Medical Supports</w:t>
            </w:r>
          </w:p>
        </w:tc>
        <w:tc>
          <w:tcPr>
            <w:tcW w:w="864" w:type="dxa"/>
            <w:noWrap/>
            <w:vAlign w:val="bottom"/>
          </w:tcPr>
          <w:p w14:paraId="1726BB29" w14:textId="77777777" w:rsidR="00085E73" w:rsidRDefault="00085E73" w:rsidP="004D0068">
            <w:pPr>
              <w:pStyle w:val="TableText"/>
              <w:keepNext/>
              <w:keepLines/>
              <w:rPr>
                <w:szCs w:val="24"/>
                <w:lang w:eastAsia="ko-KR"/>
              </w:rPr>
            </w:pPr>
            <w:r>
              <w:t>0</w:t>
            </w:r>
          </w:p>
        </w:tc>
        <w:tc>
          <w:tcPr>
            <w:tcW w:w="720" w:type="dxa"/>
            <w:noWrap/>
            <w:vAlign w:val="bottom"/>
          </w:tcPr>
          <w:p w14:paraId="43E6CD37" w14:textId="77777777" w:rsidR="00085E73" w:rsidRDefault="00085E73" w:rsidP="004D0068">
            <w:pPr>
              <w:pStyle w:val="TableText"/>
              <w:keepNext/>
              <w:keepLines/>
            </w:pPr>
            <w:r>
              <w:t>0%</w:t>
            </w:r>
          </w:p>
        </w:tc>
        <w:tc>
          <w:tcPr>
            <w:tcW w:w="864" w:type="dxa"/>
            <w:noWrap/>
            <w:vAlign w:val="bottom"/>
          </w:tcPr>
          <w:p w14:paraId="085B8F1A" w14:textId="77777777" w:rsidR="00085E73" w:rsidRDefault="00085E73" w:rsidP="004D0068">
            <w:pPr>
              <w:pStyle w:val="TableText"/>
              <w:keepNext/>
              <w:keepLines/>
              <w:rPr>
                <w:szCs w:val="24"/>
                <w:lang w:eastAsia="ko-KR"/>
              </w:rPr>
            </w:pPr>
            <w:r>
              <w:t>0</w:t>
            </w:r>
          </w:p>
        </w:tc>
        <w:tc>
          <w:tcPr>
            <w:tcW w:w="720" w:type="dxa"/>
            <w:noWrap/>
            <w:vAlign w:val="bottom"/>
          </w:tcPr>
          <w:p w14:paraId="3B8D7CF0" w14:textId="77777777" w:rsidR="00085E73" w:rsidRDefault="00085E73" w:rsidP="004D0068">
            <w:pPr>
              <w:pStyle w:val="TableText"/>
              <w:keepNext/>
              <w:keepLines/>
            </w:pPr>
            <w:r>
              <w:t>0%</w:t>
            </w:r>
          </w:p>
        </w:tc>
        <w:tc>
          <w:tcPr>
            <w:tcW w:w="864" w:type="dxa"/>
            <w:noWrap/>
            <w:vAlign w:val="bottom"/>
          </w:tcPr>
          <w:p w14:paraId="3DFEC846" w14:textId="77777777" w:rsidR="00085E73" w:rsidRDefault="00085E73" w:rsidP="004D0068">
            <w:pPr>
              <w:pStyle w:val="TableText"/>
              <w:keepNext/>
              <w:keepLines/>
              <w:rPr>
                <w:szCs w:val="24"/>
                <w:lang w:eastAsia="ko-KR"/>
              </w:rPr>
            </w:pPr>
            <w:r>
              <w:t>1</w:t>
            </w:r>
          </w:p>
        </w:tc>
        <w:tc>
          <w:tcPr>
            <w:tcW w:w="720" w:type="dxa"/>
            <w:noWrap/>
            <w:vAlign w:val="bottom"/>
          </w:tcPr>
          <w:p w14:paraId="7255EB09" w14:textId="77777777" w:rsidR="00085E73" w:rsidRDefault="00085E73" w:rsidP="004D0068">
            <w:pPr>
              <w:pStyle w:val="TableText"/>
              <w:keepNext/>
              <w:keepLines/>
            </w:pPr>
            <w:r>
              <w:t>0%</w:t>
            </w:r>
          </w:p>
        </w:tc>
        <w:tc>
          <w:tcPr>
            <w:tcW w:w="864" w:type="dxa"/>
            <w:noWrap/>
            <w:vAlign w:val="bottom"/>
          </w:tcPr>
          <w:p w14:paraId="6526AEA7" w14:textId="77777777" w:rsidR="00085E73" w:rsidRDefault="00085E73" w:rsidP="004D0068">
            <w:pPr>
              <w:pStyle w:val="TableText"/>
              <w:keepNext/>
              <w:keepLines/>
              <w:rPr>
                <w:szCs w:val="24"/>
                <w:lang w:eastAsia="ko-KR"/>
              </w:rPr>
            </w:pPr>
            <w:r>
              <w:t>1</w:t>
            </w:r>
          </w:p>
        </w:tc>
        <w:tc>
          <w:tcPr>
            <w:tcW w:w="720" w:type="dxa"/>
            <w:noWrap/>
            <w:vAlign w:val="bottom"/>
          </w:tcPr>
          <w:p w14:paraId="18073C93" w14:textId="77777777" w:rsidR="00085E73" w:rsidRDefault="00085E73" w:rsidP="004D0068">
            <w:pPr>
              <w:pStyle w:val="TableText"/>
              <w:keepNext/>
              <w:keepLines/>
            </w:pPr>
            <w:r>
              <w:t>0%</w:t>
            </w:r>
          </w:p>
        </w:tc>
      </w:tr>
      <w:tr w:rsidR="00085E73" w:rsidRPr="00B96179" w14:paraId="3DF88EB7" w14:textId="77777777" w:rsidTr="003475E2">
        <w:tc>
          <w:tcPr>
            <w:tcW w:w="7056" w:type="dxa"/>
          </w:tcPr>
          <w:p w14:paraId="17BB5367" w14:textId="77777777" w:rsidR="00085E73" w:rsidRPr="00025A56" w:rsidRDefault="00085E73" w:rsidP="0035722A">
            <w:pPr>
              <w:pStyle w:val="TableText"/>
              <w:keepNext/>
              <w:jc w:val="left"/>
              <w:rPr>
                <w:szCs w:val="20"/>
              </w:rPr>
            </w:pPr>
            <w:r>
              <w:t>Non-Embedded Designated Support—Multiplication Table</w:t>
            </w:r>
          </w:p>
        </w:tc>
        <w:tc>
          <w:tcPr>
            <w:tcW w:w="864" w:type="dxa"/>
            <w:noWrap/>
            <w:vAlign w:val="bottom"/>
          </w:tcPr>
          <w:p w14:paraId="087B6326" w14:textId="77777777" w:rsidR="00085E73" w:rsidRDefault="00085E73" w:rsidP="003475E2">
            <w:pPr>
              <w:pStyle w:val="TableText"/>
              <w:rPr>
                <w:szCs w:val="24"/>
                <w:lang w:eastAsia="ko-KR"/>
              </w:rPr>
            </w:pPr>
            <w:r>
              <w:t>1</w:t>
            </w:r>
          </w:p>
        </w:tc>
        <w:tc>
          <w:tcPr>
            <w:tcW w:w="720" w:type="dxa"/>
            <w:noWrap/>
            <w:vAlign w:val="bottom"/>
          </w:tcPr>
          <w:p w14:paraId="00975C49" w14:textId="77777777" w:rsidR="00085E73" w:rsidRDefault="00085E73" w:rsidP="003475E2">
            <w:pPr>
              <w:pStyle w:val="TableText"/>
            </w:pPr>
            <w:r>
              <w:t>1%</w:t>
            </w:r>
          </w:p>
        </w:tc>
        <w:tc>
          <w:tcPr>
            <w:tcW w:w="864" w:type="dxa"/>
            <w:noWrap/>
            <w:vAlign w:val="bottom"/>
          </w:tcPr>
          <w:p w14:paraId="49BC07D4" w14:textId="77777777" w:rsidR="00085E73" w:rsidRDefault="00085E73" w:rsidP="003475E2">
            <w:pPr>
              <w:pStyle w:val="TableText"/>
              <w:rPr>
                <w:szCs w:val="24"/>
                <w:lang w:eastAsia="ko-KR"/>
              </w:rPr>
            </w:pPr>
            <w:r>
              <w:t>17</w:t>
            </w:r>
          </w:p>
        </w:tc>
        <w:tc>
          <w:tcPr>
            <w:tcW w:w="720" w:type="dxa"/>
            <w:noWrap/>
            <w:vAlign w:val="bottom"/>
          </w:tcPr>
          <w:p w14:paraId="4D852968" w14:textId="77777777" w:rsidR="00085E73" w:rsidRDefault="00085E73" w:rsidP="003475E2">
            <w:pPr>
              <w:pStyle w:val="TableText"/>
            </w:pPr>
            <w:r>
              <w:t>5%</w:t>
            </w:r>
          </w:p>
        </w:tc>
        <w:tc>
          <w:tcPr>
            <w:tcW w:w="864" w:type="dxa"/>
            <w:noWrap/>
            <w:vAlign w:val="bottom"/>
          </w:tcPr>
          <w:p w14:paraId="08925479" w14:textId="77777777" w:rsidR="00085E73" w:rsidRDefault="00085E73" w:rsidP="003475E2">
            <w:pPr>
              <w:pStyle w:val="TableText"/>
              <w:rPr>
                <w:szCs w:val="24"/>
                <w:lang w:eastAsia="ko-KR"/>
              </w:rPr>
            </w:pPr>
            <w:r>
              <w:t>4</w:t>
            </w:r>
          </w:p>
        </w:tc>
        <w:tc>
          <w:tcPr>
            <w:tcW w:w="720" w:type="dxa"/>
            <w:noWrap/>
            <w:vAlign w:val="bottom"/>
          </w:tcPr>
          <w:p w14:paraId="70BF69B1" w14:textId="77777777" w:rsidR="00085E73" w:rsidRDefault="00085E73" w:rsidP="003475E2">
            <w:pPr>
              <w:pStyle w:val="TableText"/>
            </w:pPr>
            <w:r>
              <w:t>2%</w:t>
            </w:r>
          </w:p>
        </w:tc>
        <w:tc>
          <w:tcPr>
            <w:tcW w:w="864" w:type="dxa"/>
            <w:noWrap/>
            <w:vAlign w:val="bottom"/>
          </w:tcPr>
          <w:p w14:paraId="7A468CEE" w14:textId="77777777" w:rsidR="00085E73" w:rsidRDefault="00085E73" w:rsidP="003475E2">
            <w:pPr>
              <w:pStyle w:val="TableText"/>
              <w:rPr>
                <w:szCs w:val="24"/>
                <w:lang w:eastAsia="ko-KR"/>
              </w:rPr>
            </w:pPr>
            <w:r>
              <w:t>22</w:t>
            </w:r>
          </w:p>
        </w:tc>
        <w:tc>
          <w:tcPr>
            <w:tcW w:w="720" w:type="dxa"/>
            <w:noWrap/>
            <w:vAlign w:val="bottom"/>
          </w:tcPr>
          <w:p w14:paraId="7F997A5F" w14:textId="77777777" w:rsidR="00085E73" w:rsidRDefault="00085E73" w:rsidP="003475E2">
            <w:pPr>
              <w:pStyle w:val="TableText"/>
            </w:pPr>
            <w:r>
              <w:t>3%</w:t>
            </w:r>
          </w:p>
        </w:tc>
      </w:tr>
      <w:tr w:rsidR="00085E73" w:rsidRPr="00B96179" w14:paraId="56D7BF43" w14:textId="77777777" w:rsidTr="003475E2">
        <w:tc>
          <w:tcPr>
            <w:tcW w:w="7056" w:type="dxa"/>
          </w:tcPr>
          <w:p w14:paraId="0387D43B" w14:textId="77777777" w:rsidR="00085E73" w:rsidRPr="00025A56" w:rsidRDefault="00085E73" w:rsidP="0035722A">
            <w:pPr>
              <w:pStyle w:val="TableText"/>
              <w:keepNext/>
              <w:jc w:val="left"/>
              <w:rPr>
                <w:szCs w:val="20"/>
              </w:rPr>
            </w:pPr>
            <w:r>
              <w:t>Non-Embedded Designated Support—Noise Buffers</w:t>
            </w:r>
          </w:p>
        </w:tc>
        <w:tc>
          <w:tcPr>
            <w:tcW w:w="864" w:type="dxa"/>
            <w:noWrap/>
            <w:vAlign w:val="bottom"/>
          </w:tcPr>
          <w:p w14:paraId="0CE5956E" w14:textId="77777777" w:rsidR="00085E73" w:rsidRDefault="00085E73" w:rsidP="003475E2">
            <w:pPr>
              <w:pStyle w:val="TableText"/>
              <w:rPr>
                <w:szCs w:val="24"/>
                <w:lang w:eastAsia="ko-KR"/>
              </w:rPr>
            </w:pPr>
            <w:r>
              <w:t>8</w:t>
            </w:r>
          </w:p>
        </w:tc>
        <w:tc>
          <w:tcPr>
            <w:tcW w:w="720" w:type="dxa"/>
            <w:noWrap/>
            <w:vAlign w:val="bottom"/>
          </w:tcPr>
          <w:p w14:paraId="5EA26710" w14:textId="77777777" w:rsidR="00085E73" w:rsidRDefault="00085E73" w:rsidP="003475E2">
            <w:pPr>
              <w:pStyle w:val="TableText"/>
            </w:pPr>
            <w:r>
              <w:t>6%</w:t>
            </w:r>
          </w:p>
        </w:tc>
        <w:tc>
          <w:tcPr>
            <w:tcW w:w="864" w:type="dxa"/>
            <w:noWrap/>
            <w:vAlign w:val="bottom"/>
          </w:tcPr>
          <w:p w14:paraId="1758C34E" w14:textId="77777777" w:rsidR="00085E73" w:rsidRDefault="00085E73" w:rsidP="003475E2">
            <w:pPr>
              <w:pStyle w:val="TableText"/>
              <w:rPr>
                <w:szCs w:val="24"/>
                <w:lang w:eastAsia="ko-KR"/>
              </w:rPr>
            </w:pPr>
            <w:r>
              <w:t>13</w:t>
            </w:r>
          </w:p>
        </w:tc>
        <w:tc>
          <w:tcPr>
            <w:tcW w:w="720" w:type="dxa"/>
            <w:noWrap/>
            <w:vAlign w:val="bottom"/>
          </w:tcPr>
          <w:p w14:paraId="43494FCB" w14:textId="77777777" w:rsidR="00085E73" w:rsidRDefault="00085E73" w:rsidP="003475E2">
            <w:pPr>
              <w:pStyle w:val="TableText"/>
            </w:pPr>
            <w:r>
              <w:t>4%</w:t>
            </w:r>
          </w:p>
        </w:tc>
        <w:tc>
          <w:tcPr>
            <w:tcW w:w="864" w:type="dxa"/>
            <w:noWrap/>
            <w:vAlign w:val="bottom"/>
          </w:tcPr>
          <w:p w14:paraId="6E86EB05" w14:textId="77777777" w:rsidR="00085E73" w:rsidRDefault="00085E73" w:rsidP="003475E2">
            <w:pPr>
              <w:pStyle w:val="TableText"/>
              <w:rPr>
                <w:szCs w:val="24"/>
                <w:lang w:eastAsia="ko-KR"/>
              </w:rPr>
            </w:pPr>
            <w:r>
              <w:t>12</w:t>
            </w:r>
          </w:p>
        </w:tc>
        <w:tc>
          <w:tcPr>
            <w:tcW w:w="720" w:type="dxa"/>
            <w:noWrap/>
            <w:vAlign w:val="bottom"/>
          </w:tcPr>
          <w:p w14:paraId="48F31B92" w14:textId="77777777" w:rsidR="00085E73" w:rsidRDefault="00085E73" w:rsidP="003475E2">
            <w:pPr>
              <w:pStyle w:val="TableText"/>
            </w:pPr>
            <w:r>
              <w:t>5%</w:t>
            </w:r>
          </w:p>
        </w:tc>
        <w:tc>
          <w:tcPr>
            <w:tcW w:w="864" w:type="dxa"/>
            <w:noWrap/>
            <w:vAlign w:val="bottom"/>
          </w:tcPr>
          <w:p w14:paraId="31759A83" w14:textId="77777777" w:rsidR="00085E73" w:rsidRDefault="00085E73" w:rsidP="003475E2">
            <w:pPr>
              <w:pStyle w:val="TableText"/>
              <w:rPr>
                <w:szCs w:val="24"/>
                <w:lang w:eastAsia="ko-KR"/>
              </w:rPr>
            </w:pPr>
            <w:r>
              <w:t>33</w:t>
            </w:r>
          </w:p>
        </w:tc>
        <w:tc>
          <w:tcPr>
            <w:tcW w:w="720" w:type="dxa"/>
            <w:noWrap/>
            <w:vAlign w:val="bottom"/>
          </w:tcPr>
          <w:p w14:paraId="07B571B4" w14:textId="77777777" w:rsidR="00085E73" w:rsidRDefault="00085E73" w:rsidP="003475E2">
            <w:pPr>
              <w:pStyle w:val="TableText"/>
            </w:pPr>
            <w:r>
              <w:t>5%</w:t>
            </w:r>
          </w:p>
        </w:tc>
      </w:tr>
      <w:tr w:rsidR="00085E73" w:rsidRPr="00B96179" w14:paraId="54CD497B" w14:textId="77777777" w:rsidTr="003475E2">
        <w:tc>
          <w:tcPr>
            <w:tcW w:w="7056" w:type="dxa"/>
          </w:tcPr>
          <w:p w14:paraId="2DD14203" w14:textId="77777777" w:rsidR="00085E73" w:rsidRPr="00025A56" w:rsidRDefault="00085E73" w:rsidP="0035722A">
            <w:pPr>
              <w:pStyle w:val="TableText"/>
              <w:keepNext/>
              <w:jc w:val="left"/>
              <w:rPr>
                <w:szCs w:val="20"/>
              </w:rPr>
            </w:pPr>
            <w:r>
              <w:t>Non-Embedded Designated Support—Read Aloud Items</w:t>
            </w:r>
          </w:p>
        </w:tc>
        <w:tc>
          <w:tcPr>
            <w:tcW w:w="864" w:type="dxa"/>
            <w:noWrap/>
            <w:vAlign w:val="bottom"/>
          </w:tcPr>
          <w:p w14:paraId="4FDE2A4E" w14:textId="77777777" w:rsidR="00085E73" w:rsidRDefault="00085E73" w:rsidP="003475E2">
            <w:pPr>
              <w:pStyle w:val="TableText"/>
              <w:rPr>
                <w:szCs w:val="24"/>
                <w:lang w:eastAsia="ko-KR"/>
              </w:rPr>
            </w:pPr>
            <w:r>
              <w:t>33</w:t>
            </w:r>
          </w:p>
        </w:tc>
        <w:tc>
          <w:tcPr>
            <w:tcW w:w="720" w:type="dxa"/>
            <w:noWrap/>
            <w:vAlign w:val="bottom"/>
          </w:tcPr>
          <w:p w14:paraId="1909DB8A" w14:textId="77777777" w:rsidR="00085E73" w:rsidRDefault="00085E73" w:rsidP="003475E2">
            <w:pPr>
              <w:pStyle w:val="TableText"/>
            </w:pPr>
            <w:r>
              <w:t>24%</w:t>
            </w:r>
          </w:p>
        </w:tc>
        <w:tc>
          <w:tcPr>
            <w:tcW w:w="864" w:type="dxa"/>
            <w:noWrap/>
            <w:vAlign w:val="bottom"/>
          </w:tcPr>
          <w:p w14:paraId="2A37F182" w14:textId="77777777" w:rsidR="00085E73" w:rsidRDefault="00085E73" w:rsidP="003475E2">
            <w:pPr>
              <w:pStyle w:val="TableText"/>
              <w:rPr>
                <w:szCs w:val="24"/>
                <w:lang w:eastAsia="ko-KR"/>
              </w:rPr>
            </w:pPr>
            <w:r>
              <w:t>34</w:t>
            </w:r>
          </w:p>
        </w:tc>
        <w:tc>
          <w:tcPr>
            <w:tcW w:w="720" w:type="dxa"/>
            <w:noWrap/>
            <w:vAlign w:val="bottom"/>
          </w:tcPr>
          <w:p w14:paraId="3F38E0CB" w14:textId="77777777" w:rsidR="00085E73" w:rsidRDefault="00085E73" w:rsidP="003475E2">
            <w:pPr>
              <w:pStyle w:val="TableText"/>
            </w:pPr>
            <w:r>
              <w:t>10%</w:t>
            </w:r>
          </w:p>
        </w:tc>
        <w:tc>
          <w:tcPr>
            <w:tcW w:w="864" w:type="dxa"/>
            <w:noWrap/>
            <w:vAlign w:val="bottom"/>
          </w:tcPr>
          <w:p w14:paraId="04149A0D" w14:textId="77777777" w:rsidR="00085E73" w:rsidRDefault="00085E73" w:rsidP="003475E2">
            <w:pPr>
              <w:pStyle w:val="TableText"/>
              <w:rPr>
                <w:szCs w:val="24"/>
                <w:lang w:eastAsia="ko-KR"/>
              </w:rPr>
            </w:pPr>
            <w:r>
              <w:t>52</w:t>
            </w:r>
          </w:p>
        </w:tc>
        <w:tc>
          <w:tcPr>
            <w:tcW w:w="720" w:type="dxa"/>
            <w:noWrap/>
            <w:vAlign w:val="bottom"/>
          </w:tcPr>
          <w:p w14:paraId="25669115" w14:textId="77777777" w:rsidR="00085E73" w:rsidRDefault="00085E73" w:rsidP="003475E2">
            <w:pPr>
              <w:pStyle w:val="TableText"/>
            </w:pPr>
            <w:r>
              <w:t>21%</w:t>
            </w:r>
          </w:p>
        </w:tc>
        <w:tc>
          <w:tcPr>
            <w:tcW w:w="864" w:type="dxa"/>
            <w:noWrap/>
            <w:vAlign w:val="bottom"/>
          </w:tcPr>
          <w:p w14:paraId="6AD89A7C" w14:textId="77777777" w:rsidR="00085E73" w:rsidRDefault="00085E73" w:rsidP="003475E2">
            <w:pPr>
              <w:pStyle w:val="TableText"/>
              <w:rPr>
                <w:szCs w:val="24"/>
                <w:lang w:eastAsia="ko-KR"/>
              </w:rPr>
            </w:pPr>
            <w:r>
              <w:t>119</w:t>
            </w:r>
          </w:p>
        </w:tc>
        <w:tc>
          <w:tcPr>
            <w:tcW w:w="720" w:type="dxa"/>
            <w:noWrap/>
            <w:vAlign w:val="bottom"/>
          </w:tcPr>
          <w:p w14:paraId="12AB684F" w14:textId="77777777" w:rsidR="00085E73" w:rsidRDefault="00085E73" w:rsidP="003475E2">
            <w:pPr>
              <w:pStyle w:val="TableText"/>
            </w:pPr>
            <w:r>
              <w:t>16%</w:t>
            </w:r>
          </w:p>
        </w:tc>
      </w:tr>
      <w:tr w:rsidR="00085E73" w:rsidRPr="00B96179" w14:paraId="3C514187" w14:textId="77777777" w:rsidTr="003475E2">
        <w:tc>
          <w:tcPr>
            <w:tcW w:w="7056" w:type="dxa"/>
          </w:tcPr>
          <w:p w14:paraId="6288E905" w14:textId="77777777" w:rsidR="00085E73" w:rsidRPr="00025A56" w:rsidRDefault="00085E73" w:rsidP="0035722A">
            <w:pPr>
              <w:pStyle w:val="TableText"/>
              <w:keepNext/>
              <w:jc w:val="left"/>
              <w:rPr>
                <w:szCs w:val="20"/>
              </w:rPr>
            </w:pPr>
            <w:r>
              <w:t>Non-Embedded Designated Support—Scribe Items</w:t>
            </w:r>
          </w:p>
        </w:tc>
        <w:tc>
          <w:tcPr>
            <w:tcW w:w="864" w:type="dxa"/>
            <w:noWrap/>
            <w:vAlign w:val="bottom"/>
          </w:tcPr>
          <w:p w14:paraId="39604FE4" w14:textId="77777777" w:rsidR="00085E73" w:rsidRDefault="00085E73" w:rsidP="003475E2">
            <w:pPr>
              <w:pStyle w:val="TableText"/>
              <w:rPr>
                <w:szCs w:val="24"/>
                <w:lang w:eastAsia="ko-KR"/>
              </w:rPr>
            </w:pPr>
            <w:r>
              <w:t>7</w:t>
            </w:r>
          </w:p>
        </w:tc>
        <w:tc>
          <w:tcPr>
            <w:tcW w:w="720" w:type="dxa"/>
            <w:noWrap/>
            <w:vAlign w:val="bottom"/>
          </w:tcPr>
          <w:p w14:paraId="3EE5A6F5" w14:textId="77777777" w:rsidR="00085E73" w:rsidRDefault="00085E73" w:rsidP="003475E2">
            <w:pPr>
              <w:pStyle w:val="TableText"/>
            </w:pPr>
            <w:r>
              <w:t>5%</w:t>
            </w:r>
          </w:p>
        </w:tc>
        <w:tc>
          <w:tcPr>
            <w:tcW w:w="864" w:type="dxa"/>
            <w:noWrap/>
            <w:vAlign w:val="bottom"/>
          </w:tcPr>
          <w:p w14:paraId="0B42E9A3" w14:textId="77777777" w:rsidR="00085E73" w:rsidRDefault="00085E73" w:rsidP="003475E2">
            <w:pPr>
              <w:pStyle w:val="TableText"/>
              <w:rPr>
                <w:szCs w:val="24"/>
                <w:lang w:eastAsia="ko-KR"/>
              </w:rPr>
            </w:pPr>
            <w:r>
              <w:t>10</w:t>
            </w:r>
          </w:p>
        </w:tc>
        <w:tc>
          <w:tcPr>
            <w:tcW w:w="720" w:type="dxa"/>
            <w:noWrap/>
            <w:vAlign w:val="bottom"/>
          </w:tcPr>
          <w:p w14:paraId="2109C385" w14:textId="77777777" w:rsidR="00085E73" w:rsidRDefault="00085E73" w:rsidP="003475E2">
            <w:pPr>
              <w:pStyle w:val="TableText"/>
            </w:pPr>
            <w:r>
              <w:t>3%</w:t>
            </w:r>
          </w:p>
        </w:tc>
        <w:tc>
          <w:tcPr>
            <w:tcW w:w="864" w:type="dxa"/>
            <w:noWrap/>
            <w:vAlign w:val="bottom"/>
          </w:tcPr>
          <w:p w14:paraId="0E9E8CBA" w14:textId="77777777" w:rsidR="00085E73" w:rsidRDefault="00085E73" w:rsidP="003475E2">
            <w:pPr>
              <w:pStyle w:val="TableText"/>
              <w:rPr>
                <w:szCs w:val="24"/>
                <w:lang w:eastAsia="ko-KR"/>
              </w:rPr>
            </w:pPr>
            <w:r>
              <w:t>14</w:t>
            </w:r>
          </w:p>
        </w:tc>
        <w:tc>
          <w:tcPr>
            <w:tcW w:w="720" w:type="dxa"/>
            <w:noWrap/>
            <w:vAlign w:val="bottom"/>
          </w:tcPr>
          <w:p w14:paraId="73897304" w14:textId="77777777" w:rsidR="00085E73" w:rsidRDefault="00085E73" w:rsidP="003475E2">
            <w:pPr>
              <w:pStyle w:val="TableText"/>
            </w:pPr>
            <w:r>
              <w:t>6%</w:t>
            </w:r>
          </w:p>
        </w:tc>
        <w:tc>
          <w:tcPr>
            <w:tcW w:w="864" w:type="dxa"/>
            <w:noWrap/>
            <w:vAlign w:val="bottom"/>
          </w:tcPr>
          <w:p w14:paraId="7B0E4A2C" w14:textId="77777777" w:rsidR="00085E73" w:rsidRDefault="00085E73" w:rsidP="003475E2">
            <w:pPr>
              <w:pStyle w:val="TableText"/>
              <w:rPr>
                <w:szCs w:val="24"/>
                <w:lang w:eastAsia="ko-KR"/>
              </w:rPr>
            </w:pPr>
            <w:r>
              <w:t>31</w:t>
            </w:r>
          </w:p>
        </w:tc>
        <w:tc>
          <w:tcPr>
            <w:tcW w:w="720" w:type="dxa"/>
            <w:noWrap/>
            <w:vAlign w:val="bottom"/>
          </w:tcPr>
          <w:p w14:paraId="6E408593" w14:textId="77777777" w:rsidR="00085E73" w:rsidRDefault="00085E73" w:rsidP="003475E2">
            <w:pPr>
              <w:pStyle w:val="TableText"/>
            </w:pPr>
            <w:r>
              <w:t>4%</w:t>
            </w:r>
          </w:p>
        </w:tc>
      </w:tr>
      <w:tr w:rsidR="00085E73" w:rsidRPr="00B96179" w14:paraId="3AD11A67" w14:textId="77777777" w:rsidTr="003475E2">
        <w:tc>
          <w:tcPr>
            <w:tcW w:w="7056" w:type="dxa"/>
          </w:tcPr>
          <w:p w14:paraId="144BABE4" w14:textId="77777777" w:rsidR="00085E73" w:rsidRPr="00025A56" w:rsidRDefault="00085E73" w:rsidP="0035722A">
            <w:pPr>
              <w:pStyle w:val="TableText"/>
              <w:keepNext/>
              <w:jc w:val="left"/>
              <w:rPr>
                <w:szCs w:val="20"/>
              </w:rPr>
            </w:pPr>
            <w:r>
              <w:t>Non-Embedded Designated Support—Separate Setting</w:t>
            </w:r>
          </w:p>
        </w:tc>
        <w:tc>
          <w:tcPr>
            <w:tcW w:w="864" w:type="dxa"/>
            <w:noWrap/>
            <w:vAlign w:val="bottom"/>
          </w:tcPr>
          <w:p w14:paraId="360E071F" w14:textId="77777777" w:rsidR="00085E73" w:rsidRDefault="00085E73" w:rsidP="003475E2">
            <w:pPr>
              <w:pStyle w:val="TableText"/>
              <w:rPr>
                <w:szCs w:val="24"/>
                <w:lang w:eastAsia="ko-KR"/>
              </w:rPr>
            </w:pPr>
            <w:r>
              <w:t>31</w:t>
            </w:r>
          </w:p>
        </w:tc>
        <w:tc>
          <w:tcPr>
            <w:tcW w:w="720" w:type="dxa"/>
            <w:noWrap/>
            <w:vAlign w:val="bottom"/>
          </w:tcPr>
          <w:p w14:paraId="5333FA11" w14:textId="77777777" w:rsidR="00085E73" w:rsidRDefault="00085E73" w:rsidP="003475E2">
            <w:pPr>
              <w:pStyle w:val="TableText"/>
            </w:pPr>
            <w:r>
              <w:t>23%</w:t>
            </w:r>
          </w:p>
        </w:tc>
        <w:tc>
          <w:tcPr>
            <w:tcW w:w="864" w:type="dxa"/>
            <w:noWrap/>
            <w:vAlign w:val="bottom"/>
          </w:tcPr>
          <w:p w14:paraId="0C0D34CC" w14:textId="77777777" w:rsidR="00085E73" w:rsidRDefault="00085E73" w:rsidP="003475E2">
            <w:pPr>
              <w:pStyle w:val="TableText"/>
              <w:rPr>
                <w:szCs w:val="24"/>
                <w:lang w:eastAsia="ko-KR"/>
              </w:rPr>
            </w:pPr>
            <w:r>
              <w:t>44</w:t>
            </w:r>
          </w:p>
        </w:tc>
        <w:tc>
          <w:tcPr>
            <w:tcW w:w="720" w:type="dxa"/>
            <w:noWrap/>
            <w:vAlign w:val="bottom"/>
          </w:tcPr>
          <w:p w14:paraId="71AF28AF" w14:textId="77777777" w:rsidR="00085E73" w:rsidRDefault="00085E73" w:rsidP="003475E2">
            <w:pPr>
              <w:pStyle w:val="TableText"/>
            </w:pPr>
            <w:r>
              <w:t>13%</w:t>
            </w:r>
          </w:p>
        </w:tc>
        <w:tc>
          <w:tcPr>
            <w:tcW w:w="864" w:type="dxa"/>
            <w:noWrap/>
            <w:vAlign w:val="bottom"/>
          </w:tcPr>
          <w:p w14:paraId="67B8B2B7" w14:textId="77777777" w:rsidR="00085E73" w:rsidRDefault="00085E73" w:rsidP="003475E2">
            <w:pPr>
              <w:pStyle w:val="TableText"/>
              <w:rPr>
                <w:szCs w:val="24"/>
                <w:lang w:eastAsia="ko-KR"/>
              </w:rPr>
            </w:pPr>
            <w:r>
              <w:t>46</w:t>
            </w:r>
          </w:p>
        </w:tc>
        <w:tc>
          <w:tcPr>
            <w:tcW w:w="720" w:type="dxa"/>
            <w:noWrap/>
            <w:vAlign w:val="bottom"/>
          </w:tcPr>
          <w:p w14:paraId="33ACFB1C" w14:textId="77777777" w:rsidR="00085E73" w:rsidRDefault="00085E73" w:rsidP="003475E2">
            <w:pPr>
              <w:pStyle w:val="TableText"/>
            </w:pPr>
            <w:r>
              <w:t>19%</w:t>
            </w:r>
          </w:p>
        </w:tc>
        <w:tc>
          <w:tcPr>
            <w:tcW w:w="864" w:type="dxa"/>
            <w:noWrap/>
            <w:vAlign w:val="bottom"/>
          </w:tcPr>
          <w:p w14:paraId="0E2A38D7" w14:textId="77777777" w:rsidR="00085E73" w:rsidRDefault="00085E73" w:rsidP="003475E2">
            <w:pPr>
              <w:pStyle w:val="TableText"/>
              <w:rPr>
                <w:szCs w:val="24"/>
                <w:lang w:eastAsia="ko-KR"/>
              </w:rPr>
            </w:pPr>
            <w:r>
              <w:t>121</w:t>
            </w:r>
          </w:p>
        </w:tc>
        <w:tc>
          <w:tcPr>
            <w:tcW w:w="720" w:type="dxa"/>
            <w:noWrap/>
            <w:vAlign w:val="bottom"/>
          </w:tcPr>
          <w:p w14:paraId="04D35784" w14:textId="77777777" w:rsidR="00085E73" w:rsidRDefault="00085E73" w:rsidP="003475E2">
            <w:pPr>
              <w:pStyle w:val="TableText"/>
            </w:pPr>
            <w:r>
              <w:t>17%</w:t>
            </w:r>
          </w:p>
        </w:tc>
      </w:tr>
      <w:tr w:rsidR="00085E73" w:rsidRPr="00B96179" w14:paraId="2CC57370" w14:textId="77777777" w:rsidTr="003475E2">
        <w:tc>
          <w:tcPr>
            <w:tcW w:w="7056" w:type="dxa"/>
            <w:tcBorders>
              <w:bottom w:val="single" w:sz="4" w:space="0" w:color="auto"/>
            </w:tcBorders>
          </w:tcPr>
          <w:p w14:paraId="02EEA4C8" w14:textId="77777777" w:rsidR="00085E73" w:rsidRPr="00025A56" w:rsidRDefault="00085E73" w:rsidP="003475E2">
            <w:pPr>
              <w:pStyle w:val="TableText"/>
              <w:jc w:val="left"/>
              <w:rPr>
                <w:szCs w:val="20"/>
              </w:rPr>
            </w:pPr>
            <w:r>
              <w:t>Non-Embedded Designated Support—100s Number Table</w:t>
            </w:r>
          </w:p>
        </w:tc>
        <w:tc>
          <w:tcPr>
            <w:tcW w:w="864" w:type="dxa"/>
            <w:tcBorders>
              <w:bottom w:val="single" w:sz="4" w:space="0" w:color="auto"/>
            </w:tcBorders>
            <w:noWrap/>
            <w:vAlign w:val="bottom"/>
          </w:tcPr>
          <w:p w14:paraId="18344B73" w14:textId="77777777" w:rsidR="00085E73" w:rsidRDefault="00085E73" w:rsidP="003475E2">
            <w:pPr>
              <w:pStyle w:val="TableText"/>
              <w:rPr>
                <w:szCs w:val="24"/>
                <w:lang w:eastAsia="ko-KR"/>
              </w:rPr>
            </w:pPr>
            <w:r>
              <w:t>5</w:t>
            </w:r>
          </w:p>
        </w:tc>
        <w:tc>
          <w:tcPr>
            <w:tcW w:w="720" w:type="dxa"/>
            <w:tcBorders>
              <w:bottom w:val="single" w:sz="4" w:space="0" w:color="auto"/>
            </w:tcBorders>
            <w:noWrap/>
            <w:vAlign w:val="bottom"/>
          </w:tcPr>
          <w:p w14:paraId="293F3680" w14:textId="77777777" w:rsidR="00085E73" w:rsidRDefault="00085E73" w:rsidP="003475E2">
            <w:pPr>
              <w:pStyle w:val="TableText"/>
            </w:pPr>
            <w:r>
              <w:t>4%</w:t>
            </w:r>
          </w:p>
        </w:tc>
        <w:tc>
          <w:tcPr>
            <w:tcW w:w="864" w:type="dxa"/>
            <w:tcBorders>
              <w:bottom w:val="single" w:sz="4" w:space="0" w:color="auto"/>
            </w:tcBorders>
            <w:noWrap/>
            <w:vAlign w:val="bottom"/>
          </w:tcPr>
          <w:p w14:paraId="791A8E0F" w14:textId="77777777" w:rsidR="00085E73" w:rsidRDefault="00085E73" w:rsidP="003475E2">
            <w:pPr>
              <w:pStyle w:val="TableText"/>
              <w:rPr>
                <w:szCs w:val="24"/>
                <w:lang w:eastAsia="ko-KR"/>
              </w:rPr>
            </w:pPr>
            <w:r>
              <w:t>16</w:t>
            </w:r>
          </w:p>
        </w:tc>
        <w:tc>
          <w:tcPr>
            <w:tcW w:w="720" w:type="dxa"/>
            <w:tcBorders>
              <w:bottom w:val="single" w:sz="4" w:space="0" w:color="auto"/>
            </w:tcBorders>
            <w:noWrap/>
            <w:vAlign w:val="bottom"/>
          </w:tcPr>
          <w:p w14:paraId="0AC8D32F" w14:textId="77777777" w:rsidR="00085E73" w:rsidRDefault="00085E73" w:rsidP="003475E2">
            <w:pPr>
              <w:pStyle w:val="TableText"/>
            </w:pPr>
            <w:r>
              <w:t>5%</w:t>
            </w:r>
          </w:p>
        </w:tc>
        <w:tc>
          <w:tcPr>
            <w:tcW w:w="864" w:type="dxa"/>
            <w:tcBorders>
              <w:bottom w:val="single" w:sz="4" w:space="0" w:color="auto"/>
            </w:tcBorders>
            <w:noWrap/>
            <w:vAlign w:val="bottom"/>
          </w:tcPr>
          <w:p w14:paraId="555A5DC2" w14:textId="77777777" w:rsidR="00085E73" w:rsidRDefault="00085E73" w:rsidP="003475E2">
            <w:pPr>
              <w:pStyle w:val="TableText"/>
              <w:rPr>
                <w:szCs w:val="24"/>
                <w:lang w:eastAsia="ko-KR"/>
              </w:rPr>
            </w:pPr>
            <w:r>
              <w:t>3</w:t>
            </w:r>
          </w:p>
        </w:tc>
        <w:tc>
          <w:tcPr>
            <w:tcW w:w="720" w:type="dxa"/>
            <w:tcBorders>
              <w:bottom w:val="single" w:sz="4" w:space="0" w:color="auto"/>
            </w:tcBorders>
            <w:noWrap/>
            <w:vAlign w:val="bottom"/>
          </w:tcPr>
          <w:p w14:paraId="06CBB159" w14:textId="77777777" w:rsidR="00085E73" w:rsidRDefault="00085E73" w:rsidP="003475E2">
            <w:pPr>
              <w:pStyle w:val="TableText"/>
            </w:pPr>
            <w:r>
              <w:t>1%</w:t>
            </w:r>
          </w:p>
        </w:tc>
        <w:tc>
          <w:tcPr>
            <w:tcW w:w="864" w:type="dxa"/>
            <w:tcBorders>
              <w:bottom w:val="single" w:sz="4" w:space="0" w:color="auto"/>
            </w:tcBorders>
            <w:noWrap/>
            <w:vAlign w:val="bottom"/>
          </w:tcPr>
          <w:p w14:paraId="4F5F5CF4" w14:textId="77777777" w:rsidR="00085E73" w:rsidRDefault="00085E73" w:rsidP="003475E2">
            <w:pPr>
              <w:pStyle w:val="TableText"/>
              <w:rPr>
                <w:szCs w:val="24"/>
                <w:lang w:eastAsia="ko-KR"/>
              </w:rPr>
            </w:pPr>
            <w:r>
              <w:t>24</w:t>
            </w:r>
          </w:p>
        </w:tc>
        <w:tc>
          <w:tcPr>
            <w:tcW w:w="720" w:type="dxa"/>
            <w:tcBorders>
              <w:bottom w:val="single" w:sz="4" w:space="0" w:color="auto"/>
            </w:tcBorders>
            <w:noWrap/>
            <w:vAlign w:val="bottom"/>
          </w:tcPr>
          <w:p w14:paraId="187DCA45" w14:textId="77777777" w:rsidR="00085E73" w:rsidRDefault="00085E73" w:rsidP="003475E2">
            <w:pPr>
              <w:pStyle w:val="TableText"/>
            </w:pPr>
            <w:r>
              <w:t>3%</w:t>
            </w:r>
          </w:p>
        </w:tc>
      </w:tr>
      <w:tr w:rsidR="00085E73" w:rsidRPr="00B96179" w14:paraId="05A39D5D" w14:textId="77777777" w:rsidTr="003475E2">
        <w:tc>
          <w:tcPr>
            <w:tcW w:w="7056" w:type="dxa"/>
            <w:tcBorders>
              <w:top w:val="single" w:sz="4" w:space="0" w:color="auto"/>
              <w:bottom w:val="single" w:sz="12" w:space="0" w:color="auto"/>
            </w:tcBorders>
          </w:tcPr>
          <w:p w14:paraId="2DEA5645" w14:textId="77777777" w:rsidR="00085E73" w:rsidRPr="00E31117" w:rsidRDefault="00085E73" w:rsidP="003475E2">
            <w:pPr>
              <w:pStyle w:val="TableText"/>
              <w:rPr>
                <w:b/>
                <w:bCs/>
              </w:rPr>
            </w:pPr>
            <w:r w:rsidRPr="00E31117">
              <w:rPr>
                <w:b/>
                <w:bCs/>
              </w:rPr>
              <w:t>Total Students Tested</w:t>
            </w:r>
          </w:p>
        </w:tc>
        <w:tc>
          <w:tcPr>
            <w:tcW w:w="864" w:type="dxa"/>
            <w:tcBorders>
              <w:top w:val="single" w:sz="4" w:space="0" w:color="auto"/>
              <w:bottom w:val="single" w:sz="12" w:space="0" w:color="auto"/>
            </w:tcBorders>
            <w:noWrap/>
            <w:vAlign w:val="bottom"/>
          </w:tcPr>
          <w:p w14:paraId="11FC72F4" w14:textId="77777777" w:rsidR="00085E73" w:rsidRDefault="00085E73" w:rsidP="003475E2">
            <w:pPr>
              <w:pStyle w:val="TableText"/>
            </w:pPr>
            <w:r>
              <w:rPr>
                <w:b/>
                <w:bCs/>
              </w:rPr>
              <w:t>136</w:t>
            </w:r>
          </w:p>
        </w:tc>
        <w:tc>
          <w:tcPr>
            <w:tcW w:w="720" w:type="dxa"/>
            <w:tcBorders>
              <w:top w:val="single" w:sz="4" w:space="0" w:color="auto"/>
              <w:bottom w:val="single" w:sz="12" w:space="0" w:color="auto"/>
            </w:tcBorders>
            <w:noWrap/>
            <w:vAlign w:val="bottom"/>
          </w:tcPr>
          <w:p w14:paraId="1CD2C4F9" w14:textId="77777777" w:rsidR="00085E73" w:rsidRDefault="00085E73" w:rsidP="003475E2">
            <w:pPr>
              <w:pStyle w:val="TableText"/>
            </w:pPr>
            <w:r w:rsidRPr="001E5994">
              <w:rPr>
                <w:b/>
                <w:bCs/>
              </w:rPr>
              <w:t>N/A</w:t>
            </w:r>
          </w:p>
        </w:tc>
        <w:tc>
          <w:tcPr>
            <w:tcW w:w="864" w:type="dxa"/>
            <w:tcBorders>
              <w:top w:val="single" w:sz="4" w:space="0" w:color="auto"/>
              <w:bottom w:val="single" w:sz="12" w:space="0" w:color="auto"/>
            </w:tcBorders>
            <w:noWrap/>
            <w:vAlign w:val="bottom"/>
          </w:tcPr>
          <w:p w14:paraId="5CDB3F20" w14:textId="77777777" w:rsidR="00085E73" w:rsidRDefault="00085E73" w:rsidP="003475E2">
            <w:pPr>
              <w:pStyle w:val="TableText"/>
            </w:pPr>
            <w:r>
              <w:rPr>
                <w:b/>
                <w:bCs/>
              </w:rPr>
              <w:t>347</w:t>
            </w:r>
          </w:p>
        </w:tc>
        <w:tc>
          <w:tcPr>
            <w:tcW w:w="720" w:type="dxa"/>
            <w:tcBorders>
              <w:top w:val="single" w:sz="4" w:space="0" w:color="auto"/>
              <w:bottom w:val="single" w:sz="12" w:space="0" w:color="auto"/>
            </w:tcBorders>
            <w:noWrap/>
            <w:vAlign w:val="bottom"/>
          </w:tcPr>
          <w:p w14:paraId="62119114" w14:textId="77777777" w:rsidR="00085E73" w:rsidRDefault="00085E73" w:rsidP="003475E2">
            <w:pPr>
              <w:pStyle w:val="TableText"/>
            </w:pPr>
            <w:r w:rsidRPr="001E5994">
              <w:rPr>
                <w:b/>
                <w:bCs/>
              </w:rPr>
              <w:t>N/A</w:t>
            </w:r>
          </w:p>
        </w:tc>
        <w:tc>
          <w:tcPr>
            <w:tcW w:w="864" w:type="dxa"/>
            <w:tcBorders>
              <w:top w:val="single" w:sz="4" w:space="0" w:color="auto"/>
              <w:bottom w:val="single" w:sz="12" w:space="0" w:color="auto"/>
            </w:tcBorders>
            <w:noWrap/>
            <w:vAlign w:val="bottom"/>
          </w:tcPr>
          <w:p w14:paraId="56F7A007" w14:textId="77777777" w:rsidR="00085E73" w:rsidRDefault="00085E73" w:rsidP="003475E2">
            <w:pPr>
              <w:pStyle w:val="TableText"/>
            </w:pPr>
            <w:r>
              <w:rPr>
                <w:b/>
                <w:bCs/>
              </w:rPr>
              <w:t>246</w:t>
            </w:r>
          </w:p>
        </w:tc>
        <w:tc>
          <w:tcPr>
            <w:tcW w:w="720" w:type="dxa"/>
            <w:tcBorders>
              <w:top w:val="single" w:sz="4" w:space="0" w:color="auto"/>
              <w:bottom w:val="single" w:sz="12" w:space="0" w:color="auto"/>
            </w:tcBorders>
            <w:noWrap/>
            <w:vAlign w:val="bottom"/>
          </w:tcPr>
          <w:p w14:paraId="74C31EBB" w14:textId="77777777" w:rsidR="00085E73" w:rsidRDefault="00085E73" w:rsidP="003475E2">
            <w:pPr>
              <w:pStyle w:val="TableText"/>
            </w:pPr>
            <w:r w:rsidRPr="001E5994">
              <w:rPr>
                <w:b/>
                <w:bCs/>
              </w:rPr>
              <w:t>N/A</w:t>
            </w:r>
          </w:p>
        </w:tc>
        <w:tc>
          <w:tcPr>
            <w:tcW w:w="864" w:type="dxa"/>
            <w:tcBorders>
              <w:top w:val="single" w:sz="4" w:space="0" w:color="auto"/>
              <w:bottom w:val="single" w:sz="12" w:space="0" w:color="auto"/>
            </w:tcBorders>
            <w:noWrap/>
            <w:vAlign w:val="bottom"/>
          </w:tcPr>
          <w:p w14:paraId="7C7EE53D" w14:textId="77777777" w:rsidR="00085E73" w:rsidRDefault="00085E73" w:rsidP="003475E2">
            <w:pPr>
              <w:pStyle w:val="TableText"/>
            </w:pPr>
            <w:r>
              <w:rPr>
                <w:b/>
                <w:bCs/>
              </w:rPr>
              <w:t>729</w:t>
            </w:r>
          </w:p>
        </w:tc>
        <w:tc>
          <w:tcPr>
            <w:tcW w:w="720" w:type="dxa"/>
            <w:tcBorders>
              <w:top w:val="single" w:sz="4" w:space="0" w:color="auto"/>
              <w:bottom w:val="single" w:sz="12" w:space="0" w:color="auto"/>
            </w:tcBorders>
            <w:noWrap/>
            <w:vAlign w:val="bottom"/>
          </w:tcPr>
          <w:p w14:paraId="2B2D585C" w14:textId="77777777" w:rsidR="00085E73" w:rsidRDefault="00085E73" w:rsidP="003475E2">
            <w:pPr>
              <w:pStyle w:val="TableText"/>
            </w:pPr>
            <w:r w:rsidRPr="001E5994">
              <w:rPr>
                <w:b/>
                <w:bCs/>
              </w:rPr>
              <w:t>N/A</w:t>
            </w:r>
          </w:p>
        </w:tc>
      </w:tr>
    </w:tbl>
    <w:p w14:paraId="03613CAC" w14:textId="77777777" w:rsidR="00AD5AE6" w:rsidRDefault="00AD5AE6" w:rsidP="00AD5AE6">
      <w:pPr>
        <w:pageBreakBefore/>
      </w:pPr>
      <w:r w:rsidRPr="002B4A82">
        <w:rPr>
          <w:b/>
        </w:rPr>
        <w:lastRenderedPageBreak/>
        <w:t xml:space="preserve">Note: </w:t>
      </w:r>
      <w:r>
        <w:t>Some students are eligible for multiple accessibility resources. As a result, the number of students tested in each grade level may not equal the sum of the number of students eligible per accessibility resource across all accessibility resources.</w:t>
      </w:r>
    </w:p>
    <w:p w14:paraId="269CE1EC" w14:textId="1A92A288" w:rsidR="00085E73" w:rsidRDefault="00085E73" w:rsidP="00AD5AE6">
      <w:pPr>
        <w:pStyle w:val="Caption"/>
      </w:pPr>
      <w:bookmarkStart w:id="210" w:name="_Ref67381896"/>
      <w:bookmarkStart w:id="211" w:name="_Toc67319687"/>
      <w:bookmarkStart w:id="212" w:name="_Toc220498691"/>
      <w:r>
        <w:t>Table 2.A.</w:t>
      </w:r>
      <w:r>
        <w:fldChar w:fldCharType="begin"/>
      </w:r>
      <w:r>
        <w:instrText>SEQ Table_2.A. \* ARABIC</w:instrText>
      </w:r>
      <w:r>
        <w:fldChar w:fldCharType="separate"/>
      </w:r>
      <w:r w:rsidR="00961502">
        <w:rPr>
          <w:noProof/>
        </w:rPr>
        <w:t>5</w:t>
      </w:r>
      <w:r>
        <w:fldChar w:fldCharType="end"/>
      </w:r>
      <w:bookmarkEnd w:id="210"/>
      <w:r>
        <w:t xml:space="preserve">  Assignment of Designated Supports and Accommodations—High School for </w:t>
      </w:r>
      <w:r>
        <w:rPr>
          <w:rFonts w:cs="Arial"/>
        </w:rPr>
        <w:t>Physical Sciences</w:t>
      </w:r>
      <w:bookmarkEnd w:id="211"/>
      <w:bookmarkEnd w:id="212"/>
    </w:p>
    <w:tbl>
      <w:tblPr>
        <w:tblStyle w:val="TRs"/>
        <w:tblW w:w="0" w:type="auto"/>
        <w:tblLayout w:type="fixed"/>
        <w:tblLook w:val="04A0" w:firstRow="1" w:lastRow="0" w:firstColumn="1" w:lastColumn="0" w:noHBand="0" w:noVBand="1"/>
        <w:tblDescription w:val="Assignment of Designated Supports and Accommodations—High School for Physical Sciences"/>
      </w:tblPr>
      <w:tblGrid>
        <w:gridCol w:w="7056"/>
        <w:gridCol w:w="864"/>
        <w:gridCol w:w="720"/>
        <w:gridCol w:w="864"/>
        <w:gridCol w:w="720"/>
        <w:gridCol w:w="864"/>
        <w:gridCol w:w="720"/>
        <w:gridCol w:w="864"/>
        <w:gridCol w:w="720"/>
      </w:tblGrid>
      <w:tr w:rsidR="00BC3368" w:rsidRPr="006A1E3E" w14:paraId="530AEBF8" w14:textId="77777777" w:rsidTr="006E1E47">
        <w:trPr>
          <w:cnfStyle w:val="100000000000" w:firstRow="1" w:lastRow="0" w:firstColumn="0" w:lastColumn="0" w:oddVBand="0" w:evenVBand="0" w:oddHBand="0" w:evenHBand="0" w:firstRowFirstColumn="0" w:firstRowLastColumn="0" w:lastRowFirstColumn="0" w:lastRowLastColumn="0"/>
          <w:trHeight w:val="1872"/>
        </w:trPr>
        <w:tc>
          <w:tcPr>
            <w:tcW w:w="7056" w:type="dxa"/>
            <w:hideMark/>
          </w:tcPr>
          <w:p w14:paraId="6B93DA45" w14:textId="77777777" w:rsidR="00085E73" w:rsidRPr="006A1E3E" w:rsidRDefault="00085E73" w:rsidP="003475E2">
            <w:pPr>
              <w:pStyle w:val="TableHead"/>
            </w:pPr>
            <w:r>
              <w:t>Accessibility Resource</w:t>
            </w:r>
          </w:p>
        </w:tc>
        <w:tc>
          <w:tcPr>
            <w:tcW w:w="864" w:type="dxa"/>
            <w:textDirection w:val="btLr"/>
            <w:vAlign w:val="center"/>
            <w:hideMark/>
          </w:tcPr>
          <w:p w14:paraId="22298A78" w14:textId="77777777" w:rsidR="00085E73" w:rsidRPr="006A1E3E" w:rsidRDefault="00085E73" w:rsidP="006E1E47">
            <w:pPr>
              <w:pStyle w:val="TableHead"/>
              <w:ind w:left="72" w:right="115"/>
              <w:jc w:val="left"/>
            </w:pPr>
            <w:r w:rsidRPr="006A1E3E">
              <w:t xml:space="preserve">Grade </w:t>
            </w:r>
            <w:r>
              <w:t xml:space="preserve">10: </w:t>
            </w:r>
            <w:r w:rsidRPr="006A1E3E">
              <w:t>N</w:t>
            </w:r>
          </w:p>
        </w:tc>
        <w:tc>
          <w:tcPr>
            <w:tcW w:w="720" w:type="dxa"/>
            <w:textDirection w:val="btLr"/>
            <w:vAlign w:val="center"/>
            <w:hideMark/>
          </w:tcPr>
          <w:p w14:paraId="2EB1EBBF" w14:textId="77777777" w:rsidR="00085E73" w:rsidRPr="006A1E3E" w:rsidRDefault="00085E73" w:rsidP="006E1E47">
            <w:pPr>
              <w:pStyle w:val="TableHead"/>
              <w:ind w:left="72" w:right="115"/>
              <w:jc w:val="left"/>
            </w:pPr>
            <w:r w:rsidRPr="006A1E3E">
              <w:t xml:space="preserve">Grade </w:t>
            </w:r>
            <w:r>
              <w:t>10: % of Total T</w:t>
            </w:r>
            <w:r w:rsidRPr="006A1E3E">
              <w:t>ested</w:t>
            </w:r>
          </w:p>
        </w:tc>
        <w:tc>
          <w:tcPr>
            <w:tcW w:w="864" w:type="dxa"/>
            <w:textDirection w:val="btLr"/>
            <w:vAlign w:val="center"/>
            <w:hideMark/>
          </w:tcPr>
          <w:p w14:paraId="7AADC32B" w14:textId="77777777" w:rsidR="00085E73" w:rsidRPr="006A1E3E" w:rsidRDefault="00085E73" w:rsidP="006E1E47">
            <w:pPr>
              <w:pStyle w:val="TableHead"/>
              <w:ind w:left="72" w:right="115"/>
              <w:jc w:val="left"/>
            </w:pPr>
            <w:r w:rsidRPr="006A1E3E">
              <w:t xml:space="preserve">Grade </w:t>
            </w:r>
            <w:r>
              <w:t xml:space="preserve">11: </w:t>
            </w:r>
            <w:r w:rsidRPr="006A1E3E">
              <w:t>N</w:t>
            </w:r>
          </w:p>
        </w:tc>
        <w:tc>
          <w:tcPr>
            <w:tcW w:w="720" w:type="dxa"/>
            <w:textDirection w:val="btLr"/>
            <w:vAlign w:val="center"/>
            <w:hideMark/>
          </w:tcPr>
          <w:p w14:paraId="77253F14" w14:textId="77777777" w:rsidR="00085E73" w:rsidRPr="006A1E3E" w:rsidRDefault="00085E73" w:rsidP="006E1E47">
            <w:pPr>
              <w:pStyle w:val="TableHead"/>
              <w:ind w:left="72" w:right="115"/>
              <w:jc w:val="left"/>
            </w:pPr>
            <w:r w:rsidRPr="006A1E3E">
              <w:t xml:space="preserve">Grade </w:t>
            </w:r>
            <w:r>
              <w:t>11: % of Total T</w:t>
            </w:r>
            <w:r w:rsidRPr="006A1E3E">
              <w:t>ested</w:t>
            </w:r>
          </w:p>
        </w:tc>
        <w:tc>
          <w:tcPr>
            <w:tcW w:w="864" w:type="dxa"/>
            <w:textDirection w:val="btLr"/>
            <w:vAlign w:val="center"/>
            <w:hideMark/>
          </w:tcPr>
          <w:p w14:paraId="6AF1E936" w14:textId="77777777" w:rsidR="00085E73" w:rsidRPr="006A1E3E" w:rsidRDefault="00085E73" w:rsidP="006E1E47">
            <w:pPr>
              <w:pStyle w:val="TableHead"/>
              <w:ind w:left="72" w:right="115"/>
              <w:jc w:val="left"/>
            </w:pPr>
            <w:r w:rsidRPr="006A1E3E">
              <w:t xml:space="preserve">Grade </w:t>
            </w:r>
            <w:r>
              <w:t xml:space="preserve">12: </w:t>
            </w:r>
            <w:r w:rsidRPr="006A1E3E">
              <w:t>N</w:t>
            </w:r>
          </w:p>
        </w:tc>
        <w:tc>
          <w:tcPr>
            <w:tcW w:w="720" w:type="dxa"/>
            <w:textDirection w:val="btLr"/>
            <w:vAlign w:val="center"/>
            <w:hideMark/>
          </w:tcPr>
          <w:p w14:paraId="5D8C9BB3" w14:textId="77777777" w:rsidR="00085E73" w:rsidRPr="006A1E3E" w:rsidRDefault="00085E73" w:rsidP="006E1E47">
            <w:pPr>
              <w:pStyle w:val="TableHead"/>
              <w:ind w:left="72" w:right="115"/>
              <w:jc w:val="left"/>
            </w:pPr>
            <w:r w:rsidRPr="006A1E3E">
              <w:t xml:space="preserve">Grade </w:t>
            </w:r>
            <w:r>
              <w:t>12: % of Total T</w:t>
            </w:r>
            <w:r w:rsidRPr="006A1E3E">
              <w:t>ested</w:t>
            </w:r>
          </w:p>
        </w:tc>
        <w:tc>
          <w:tcPr>
            <w:tcW w:w="864" w:type="dxa"/>
            <w:textDirection w:val="btLr"/>
            <w:vAlign w:val="center"/>
            <w:hideMark/>
          </w:tcPr>
          <w:p w14:paraId="763E0F32" w14:textId="77777777" w:rsidR="00085E73" w:rsidRPr="006A1E3E" w:rsidRDefault="00085E73" w:rsidP="006E1E47">
            <w:pPr>
              <w:pStyle w:val="TableHead"/>
              <w:ind w:left="72" w:right="115"/>
              <w:jc w:val="left"/>
            </w:pPr>
            <w:r>
              <w:t xml:space="preserve">High School: </w:t>
            </w:r>
            <w:r w:rsidRPr="006A1E3E">
              <w:t>N</w:t>
            </w:r>
          </w:p>
        </w:tc>
        <w:tc>
          <w:tcPr>
            <w:tcW w:w="720" w:type="dxa"/>
            <w:textDirection w:val="btLr"/>
            <w:vAlign w:val="center"/>
            <w:hideMark/>
          </w:tcPr>
          <w:p w14:paraId="45D9E3F4" w14:textId="77777777" w:rsidR="00085E73" w:rsidRPr="006A1E3E" w:rsidRDefault="00085E73" w:rsidP="006E1E47">
            <w:pPr>
              <w:pStyle w:val="TableHead"/>
              <w:ind w:left="72" w:right="115"/>
              <w:jc w:val="left"/>
            </w:pPr>
            <w:r>
              <w:t>High School: % of Total T</w:t>
            </w:r>
            <w:r w:rsidRPr="006A1E3E">
              <w:t>ested</w:t>
            </w:r>
          </w:p>
        </w:tc>
      </w:tr>
      <w:tr w:rsidR="00085E73" w:rsidRPr="00B96179" w14:paraId="50E0706C" w14:textId="77777777" w:rsidTr="003117E6">
        <w:tc>
          <w:tcPr>
            <w:tcW w:w="7056" w:type="dxa"/>
            <w:tcBorders>
              <w:top w:val="single" w:sz="4" w:space="0" w:color="auto"/>
            </w:tcBorders>
            <w:hideMark/>
          </w:tcPr>
          <w:p w14:paraId="650B6B3F" w14:textId="77777777" w:rsidR="00085E73" w:rsidRPr="0093049F" w:rsidRDefault="00085E73" w:rsidP="003475E2">
            <w:pPr>
              <w:pStyle w:val="TableText"/>
              <w:jc w:val="left"/>
              <w:rPr>
                <w:szCs w:val="20"/>
                <w:lang w:eastAsia="ko-KR"/>
              </w:rPr>
            </w:pPr>
            <w:r>
              <w:t>Non-Embedded Accommodation—Abacus</w:t>
            </w:r>
          </w:p>
        </w:tc>
        <w:tc>
          <w:tcPr>
            <w:tcW w:w="864" w:type="dxa"/>
            <w:tcBorders>
              <w:top w:val="single" w:sz="4" w:space="0" w:color="auto"/>
            </w:tcBorders>
            <w:noWrap/>
            <w:vAlign w:val="bottom"/>
          </w:tcPr>
          <w:p w14:paraId="021E4E25" w14:textId="77777777" w:rsidR="00085E73" w:rsidRPr="007A3043" w:rsidRDefault="00085E73" w:rsidP="003475E2">
            <w:pPr>
              <w:pStyle w:val="TableText"/>
              <w:rPr>
                <w:szCs w:val="24"/>
                <w:lang w:eastAsia="ko-KR"/>
              </w:rPr>
            </w:pPr>
            <w:r>
              <w:t>0</w:t>
            </w:r>
          </w:p>
        </w:tc>
        <w:tc>
          <w:tcPr>
            <w:tcW w:w="720" w:type="dxa"/>
            <w:tcBorders>
              <w:top w:val="single" w:sz="4" w:space="0" w:color="auto"/>
            </w:tcBorders>
            <w:noWrap/>
            <w:vAlign w:val="bottom"/>
          </w:tcPr>
          <w:p w14:paraId="5FA89763" w14:textId="77777777" w:rsidR="00085E73" w:rsidRPr="007A3043" w:rsidRDefault="00085E73" w:rsidP="003475E2">
            <w:pPr>
              <w:pStyle w:val="TableText"/>
              <w:rPr>
                <w:szCs w:val="24"/>
                <w:lang w:eastAsia="ko-KR"/>
              </w:rPr>
            </w:pPr>
            <w:r>
              <w:t>0%</w:t>
            </w:r>
          </w:p>
        </w:tc>
        <w:tc>
          <w:tcPr>
            <w:tcW w:w="864" w:type="dxa"/>
            <w:tcBorders>
              <w:top w:val="single" w:sz="4" w:space="0" w:color="auto"/>
            </w:tcBorders>
            <w:noWrap/>
            <w:vAlign w:val="bottom"/>
          </w:tcPr>
          <w:p w14:paraId="61C4A8C7" w14:textId="77777777" w:rsidR="00085E73" w:rsidRPr="007A3043" w:rsidRDefault="00085E73" w:rsidP="003475E2">
            <w:pPr>
              <w:pStyle w:val="TableText"/>
              <w:rPr>
                <w:szCs w:val="24"/>
                <w:lang w:eastAsia="ko-KR"/>
              </w:rPr>
            </w:pPr>
            <w:r>
              <w:t>1</w:t>
            </w:r>
          </w:p>
        </w:tc>
        <w:tc>
          <w:tcPr>
            <w:tcW w:w="720" w:type="dxa"/>
            <w:tcBorders>
              <w:top w:val="single" w:sz="4" w:space="0" w:color="auto"/>
            </w:tcBorders>
            <w:noWrap/>
            <w:vAlign w:val="bottom"/>
          </w:tcPr>
          <w:p w14:paraId="508BB5C8" w14:textId="77777777" w:rsidR="00085E73" w:rsidRPr="007A3043" w:rsidRDefault="00085E73" w:rsidP="003475E2">
            <w:pPr>
              <w:pStyle w:val="TableText"/>
              <w:rPr>
                <w:szCs w:val="24"/>
                <w:lang w:eastAsia="ko-KR"/>
              </w:rPr>
            </w:pPr>
            <w:r>
              <w:t>0%</w:t>
            </w:r>
          </w:p>
        </w:tc>
        <w:tc>
          <w:tcPr>
            <w:tcW w:w="864" w:type="dxa"/>
            <w:tcBorders>
              <w:top w:val="single" w:sz="4" w:space="0" w:color="auto"/>
            </w:tcBorders>
            <w:noWrap/>
            <w:vAlign w:val="bottom"/>
          </w:tcPr>
          <w:p w14:paraId="1AC98B2E" w14:textId="77777777" w:rsidR="00085E73" w:rsidRPr="007A3043" w:rsidRDefault="00085E73" w:rsidP="003475E2">
            <w:pPr>
              <w:pStyle w:val="TableText"/>
              <w:rPr>
                <w:szCs w:val="24"/>
                <w:lang w:eastAsia="ko-KR"/>
              </w:rPr>
            </w:pPr>
            <w:r>
              <w:t>1</w:t>
            </w:r>
          </w:p>
        </w:tc>
        <w:tc>
          <w:tcPr>
            <w:tcW w:w="720" w:type="dxa"/>
            <w:tcBorders>
              <w:top w:val="single" w:sz="4" w:space="0" w:color="auto"/>
            </w:tcBorders>
            <w:noWrap/>
            <w:vAlign w:val="bottom"/>
          </w:tcPr>
          <w:p w14:paraId="40ED2F2A" w14:textId="77777777" w:rsidR="00085E73" w:rsidRPr="007A3043" w:rsidRDefault="00085E73" w:rsidP="003475E2">
            <w:pPr>
              <w:pStyle w:val="TableText"/>
              <w:rPr>
                <w:szCs w:val="24"/>
                <w:lang w:eastAsia="ko-KR"/>
              </w:rPr>
            </w:pPr>
            <w:r>
              <w:t>0%</w:t>
            </w:r>
          </w:p>
        </w:tc>
        <w:tc>
          <w:tcPr>
            <w:tcW w:w="864" w:type="dxa"/>
            <w:tcBorders>
              <w:top w:val="single" w:sz="4" w:space="0" w:color="auto"/>
            </w:tcBorders>
            <w:noWrap/>
            <w:vAlign w:val="bottom"/>
          </w:tcPr>
          <w:p w14:paraId="663734B9" w14:textId="77777777" w:rsidR="00085E73" w:rsidRPr="007A3043" w:rsidRDefault="00085E73" w:rsidP="003475E2">
            <w:pPr>
              <w:pStyle w:val="TableText"/>
              <w:rPr>
                <w:szCs w:val="24"/>
                <w:lang w:eastAsia="ko-KR"/>
              </w:rPr>
            </w:pPr>
            <w:r>
              <w:t>2</w:t>
            </w:r>
          </w:p>
        </w:tc>
        <w:tc>
          <w:tcPr>
            <w:tcW w:w="720" w:type="dxa"/>
            <w:tcBorders>
              <w:top w:val="single" w:sz="4" w:space="0" w:color="auto"/>
            </w:tcBorders>
            <w:noWrap/>
            <w:vAlign w:val="bottom"/>
          </w:tcPr>
          <w:p w14:paraId="6EEE8E92" w14:textId="77777777" w:rsidR="00085E73" w:rsidRPr="007A3043" w:rsidRDefault="00085E73" w:rsidP="003475E2">
            <w:pPr>
              <w:pStyle w:val="TableText"/>
              <w:rPr>
                <w:szCs w:val="24"/>
                <w:lang w:eastAsia="ko-KR"/>
              </w:rPr>
            </w:pPr>
            <w:r>
              <w:t>0%</w:t>
            </w:r>
          </w:p>
        </w:tc>
      </w:tr>
      <w:tr w:rsidR="00085E73" w:rsidRPr="00B96179" w14:paraId="50144113" w14:textId="77777777" w:rsidTr="003475E2">
        <w:tc>
          <w:tcPr>
            <w:tcW w:w="7056" w:type="dxa"/>
            <w:hideMark/>
          </w:tcPr>
          <w:p w14:paraId="4D45C2F7" w14:textId="77777777" w:rsidR="00085E73" w:rsidRPr="0093049F" w:rsidRDefault="00085E73" w:rsidP="003475E2">
            <w:pPr>
              <w:pStyle w:val="TableText"/>
              <w:jc w:val="left"/>
              <w:rPr>
                <w:szCs w:val="20"/>
                <w:lang w:eastAsia="ko-KR"/>
              </w:rPr>
            </w:pPr>
            <w:r>
              <w:t>Non-Embedded Accommodation—Additional Instructional Supports for Alternate Assessments</w:t>
            </w:r>
          </w:p>
        </w:tc>
        <w:tc>
          <w:tcPr>
            <w:tcW w:w="864" w:type="dxa"/>
            <w:noWrap/>
            <w:vAlign w:val="bottom"/>
          </w:tcPr>
          <w:p w14:paraId="08554E82" w14:textId="77777777" w:rsidR="00085E73" w:rsidRPr="007A3043" w:rsidRDefault="00085E73" w:rsidP="003475E2">
            <w:pPr>
              <w:pStyle w:val="TableText"/>
              <w:rPr>
                <w:szCs w:val="24"/>
                <w:lang w:eastAsia="ko-KR"/>
              </w:rPr>
            </w:pPr>
            <w:r>
              <w:t>5</w:t>
            </w:r>
          </w:p>
        </w:tc>
        <w:tc>
          <w:tcPr>
            <w:tcW w:w="720" w:type="dxa"/>
            <w:noWrap/>
            <w:vAlign w:val="bottom"/>
          </w:tcPr>
          <w:p w14:paraId="4BB17D5C" w14:textId="77777777" w:rsidR="00085E73" w:rsidRPr="007A3043" w:rsidRDefault="00085E73" w:rsidP="003475E2">
            <w:pPr>
              <w:pStyle w:val="TableText"/>
              <w:rPr>
                <w:szCs w:val="24"/>
                <w:lang w:eastAsia="ko-KR"/>
              </w:rPr>
            </w:pPr>
            <w:r>
              <w:t>4%</w:t>
            </w:r>
          </w:p>
        </w:tc>
        <w:tc>
          <w:tcPr>
            <w:tcW w:w="864" w:type="dxa"/>
            <w:noWrap/>
            <w:vAlign w:val="bottom"/>
          </w:tcPr>
          <w:p w14:paraId="73230BBC" w14:textId="77777777" w:rsidR="00085E73" w:rsidRPr="007A3043" w:rsidRDefault="00085E73" w:rsidP="003475E2">
            <w:pPr>
              <w:pStyle w:val="TableText"/>
              <w:rPr>
                <w:szCs w:val="24"/>
                <w:lang w:eastAsia="ko-KR"/>
              </w:rPr>
            </w:pPr>
            <w:r>
              <w:t>11</w:t>
            </w:r>
          </w:p>
        </w:tc>
        <w:tc>
          <w:tcPr>
            <w:tcW w:w="720" w:type="dxa"/>
            <w:noWrap/>
            <w:vAlign w:val="bottom"/>
          </w:tcPr>
          <w:p w14:paraId="228618EB" w14:textId="77777777" w:rsidR="00085E73" w:rsidRPr="007A3043" w:rsidRDefault="00085E73" w:rsidP="003475E2">
            <w:pPr>
              <w:pStyle w:val="TableText"/>
              <w:rPr>
                <w:szCs w:val="24"/>
                <w:lang w:eastAsia="ko-KR"/>
              </w:rPr>
            </w:pPr>
            <w:r>
              <w:t>3%</w:t>
            </w:r>
          </w:p>
        </w:tc>
        <w:tc>
          <w:tcPr>
            <w:tcW w:w="864" w:type="dxa"/>
            <w:noWrap/>
            <w:vAlign w:val="bottom"/>
          </w:tcPr>
          <w:p w14:paraId="0D76BF53" w14:textId="77777777" w:rsidR="00085E73" w:rsidRPr="007A3043" w:rsidRDefault="00085E73" w:rsidP="003475E2">
            <w:pPr>
              <w:pStyle w:val="TableText"/>
              <w:rPr>
                <w:szCs w:val="24"/>
                <w:lang w:eastAsia="ko-KR"/>
              </w:rPr>
            </w:pPr>
            <w:r>
              <w:t>7</w:t>
            </w:r>
          </w:p>
        </w:tc>
        <w:tc>
          <w:tcPr>
            <w:tcW w:w="720" w:type="dxa"/>
            <w:noWrap/>
            <w:vAlign w:val="bottom"/>
          </w:tcPr>
          <w:p w14:paraId="1F967F5D" w14:textId="77777777" w:rsidR="00085E73" w:rsidRPr="007A3043" w:rsidRDefault="00085E73" w:rsidP="003475E2">
            <w:pPr>
              <w:pStyle w:val="TableText"/>
              <w:rPr>
                <w:szCs w:val="24"/>
                <w:lang w:eastAsia="ko-KR"/>
              </w:rPr>
            </w:pPr>
            <w:r>
              <w:t>3%</w:t>
            </w:r>
          </w:p>
        </w:tc>
        <w:tc>
          <w:tcPr>
            <w:tcW w:w="864" w:type="dxa"/>
            <w:noWrap/>
            <w:vAlign w:val="bottom"/>
          </w:tcPr>
          <w:p w14:paraId="6BA0CCB4" w14:textId="77777777" w:rsidR="00085E73" w:rsidRPr="007A3043" w:rsidRDefault="00085E73" w:rsidP="003475E2">
            <w:pPr>
              <w:pStyle w:val="TableText"/>
              <w:rPr>
                <w:szCs w:val="24"/>
                <w:lang w:eastAsia="ko-KR"/>
              </w:rPr>
            </w:pPr>
            <w:r>
              <w:t>23</w:t>
            </w:r>
          </w:p>
        </w:tc>
        <w:tc>
          <w:tcPr>
            <w:tcW w:w="720" w:type="dxa"/>
            <w:noWrap/>
            <w:vAlign w:val="bottom"/>
          </w:tcPr>
          <w:p w14:paraId="12D9FEE5" w14:textId="77777777" w:rsidR="00085E73" w:rsidRPr="007A3043" w:rsidRDefault="00085E73" w:rsidP="003475E2">
            <w:pPr>
              <w:pStyle w:val="TableText"/>
              <w:rPr>
                <w:szCs w:val="24"/>
                <w:lang w:eastAsia="ko-KR"/>
              </w:rPr>
            </w:pPr>
            <w:r>
              <w:t>3%</w:t>
            </w:r>
          </w:p>
        </w:tc>
      </w:tr>
      <w:tr w:rsidR="00085E73" w:rsidRPr="00B96179" w14:paraId="70B1BB2F" w14:textId="77777777" w:rsidTr="003475E2">
        <w:tc>
          <w:tcPr>
            <w:tcW w:w="7056" w:type="dxa"/>
            <w:hideMark/>
          </w:tcPr>
          <w:p w14:paraId="34116459" w14:textId="77777777" w:rsidR="00085E73" w:rsidRPr="0093049F" w:rsidRDefault="00085E73" w:rsidP="003475E2">
            <w:pPr>
              <w:pStyle w:val="TableText"/>
              <w:jc w:val="left"/>
              <w:rPr>
                <w:szCs w:val="20"/>
                <w:lang w:eastAsia="ko-KR"/>
              </w:rPr>
            </w:pPr>
            <w:r>
              <w:t>Non-Embedded Accommodation—Alternate Response Options</w:t>
            </w:r>
          </w:p>
        </w:tc>
        <w:tc>
          <w:tcPr>
            <w:tcW w:w="864" w:type="dxa"/>
            <w:noWrap/>
            <w:vAlign w:val="bottom"/>
          </w:tcPr>
          <w:p w14:paraId="1A437A22" w14:textId="77777777" w:rsidR="00085E73" w:rsidRPr="007A3043" w:rsidRDefault="00085E73" w:rsidP="003475E2">
            <w:pPr>
              <w:pStyle w:val="TableText"/>
              <w:rPr>
                <w:szCs w:val="24"/>
                <w:lang w:eastAsia="ko-KR"/>
              </w:rPr>
            </w:pPr>
            <w:r>
              <w:t>8</w:t>
            </w:r>
          </w:p>
        </w:tc>
        <w:tc>
          <w:tcPr>
            <w:tcW w:w="720" w:type="dxa"/>
            <w:noWrap/>
            <w:vAlign w:val="bottom"/>
          </w:tcPr>
          <w:p w14:paraId="29B12EFD" w14:textId="77777777" w:rsidR="00085E73" w:rsidRPr="007A3043" w:rsidRDefault="00085E73" w:rsidP="003475E2">
            <w:pPr>
              <w:pStyle w:val="TableText"/>
              <w:rPr>
                <w:szCs w:val="24"/>
                <w:lang w:eastAsia="ko-KR"/>
              </w:rPr>
            </w:pPr>
            <w:r>
              <w:t>6%</w:t>
            </w:r>
          </w:p>
        </w:tc>
        <w:tc>
          <w:tcPr>
            <w:tcW w:w="864" w:type="dxa"/>
            <w:noWrap/>
            <w:vAlign w:val="bottom"/>
          </w:tcPr>
          <w:p w14:paraId="0D646213" w14:textId="77777777" w:rsidR="00085E73" w:rsidRPr="007A3043" w:rsidRDefault="00085E73" w:rsidP="003475E2">
            <w:pPr>
              <w:pStyle w:val="TableText"/>
              <w:rPr>
                <w:szCs w:val="24"/>
                <w:lang w:eastAsia="ko-KR"/>
              </w:rPr>
            </w:pPr>
            <w:r>
              <w:t>5</w:t>
            </w:r>
          </w:p>
        </w:tc>
        <w:tc>
          <w:tcPr>
            <w:tcW w:w="720" w:type="dxa"/>
            <w:noWrap/>
            <w:vAlign w:val="bottom"/>
          </w:tcPr>
          <w:p w14:paraId="5F13354A" w14:textId="77777777" w:rsidR="00085E73" w:rsidRPr="007A3043" w:rsidRDefault="00085E73" w:rsidP="003475E2">
            <w:pPr>
              <w:pStyle w:val="TableText"/>
              <w:rPr>
                <w:szCs w:val="24"/>
                <w:lang w:eastAsia="ko-KR"/>
              </w:rPr>
            </w:pPr>
            <w:r>
              <w:t>1%</w:t>
            </w:r>
          </w:p>
        </w:tc>
        <w:tc>
          <w:tcPr>
            <w:tcW w:w="864" w:type="dxa"/>
            <w:noWrap/>
            <w:vAlign w:val="bottom"/>
          </w:tcPr>
          <w:p w14:paraId="7EF02F2C" w14:textId="77777777" w:rsidR="00085E73" w:rsidRPr="007A3043" w:rsidRDefault="00085E73" w:rsidP="003475E2">
            <w:pPr>
              <w:pStyle w:val="TableText"/>
              <w:rPr>
                <w:szCs w:val="24"/>
                <w:lang w:eastAsia="ko-KR"/>
              </w:rPr>
            </w:pPr>
            <w:r>
              <w:t>8</w:t>
            </w:r>
          </w:p>
        </w:tc>
        <w:tc>
          <w:tcPr>
            <w:tcW w:w="720" w:type="dxa"/>
            <w:noWrap/>
            <w:vAlign w:val="bottom"/>
          </w:tcPr>
          <w:p w14:paraId="5F4E9C46" w14:textId="77777777" w:rsidR="00085E73" w:rsidRPr="007A3043" w:rsidRDefault="00085E73" w:rsidP="003475E2">
            <w:pPr>
              <w:pStyle w:val="TableText"/>
              <w:rPr>
                <w:szCs w:val="24"/>
                <w:lang w:eastAsia="ko-KR"/>
              </w:rPr>
            </w:pPr>
            <w:r>
              <w:t>3%</w:t>
            </w:r>
          </w:p>
        </w:tc>
        <w:tc>
          <w:tcPr>
            <w:tcW w:w="864" w:type="dxa"/>
            <w:noWrap/>
            <w:vAlign w:val="bottom"/>
          </w:tcPr>
          <w:p w14:paraId="65CE1BD8" w14:textId="77777777" w:rsidR="00085E73" w:rsidRPr="007A3043" w:rsidRDefault="00085E73" w:rsidP="003475E2">
            <w:pPr>
              <w:pStyle w:val="TableText"/>
              <w:rPr>
                <w:szCs w:val="24"/>
                <w:lang w:eastAsia="ko-KR"/>
              </w:rPr>
            </w:pPr>
            <w:r>
              <w:t>21</w:t>
            </w:r>
          </w:p>
        </w:tc>
        <w:tc>
          <w:tcPr>
            <w:tcW w:w="720" w:type="dxa"/>
            <w:noWrap/>
            <w:vAlign w:val="bottom"/>
          </w:tcPr>
          <w:p w14:paraId="2F0F1552" w14:textId="77777777" w:rsidR="00085E73" w:rsidRPr="007A3043" w:rsidRDefault="00085E73" w:rsidP="003475E2">
            <w:pPr>
              <w:pStyle w:val="TableText"/>
              <w:rPr>
                <w:szCs w:val="24"/>
                <w:lang w:eastAsia="ko-KR"/>
              </w:rPr>
            </w:pPr>
            <w:r>
              <w:t>3%</w:t>
            </w:r>
          </w:p>
        </w:tc>
      </w:tr>
      <w:tr w:rsidR="00085E73" w:rsidRPr="00B96179" w14:paraId="17DA0C10" w14:textId="77777777" w:rsidTr="003475E2">
        <w:tc>
          <w:tcPr>
            <w:tcW w:w="7056" w:type="dxa"/>
            <w:hideMark/>
          </w:tcPr>
          <w:p w14:paraId="6D66F674" w14:textId="77777777" w:rsidR="00085E73" w:rsidRPr="0093049F" w:rsidRDefault="00085E73" w:rsidP="003475E2">
            <w:pPr>
              <w:pStyle w:val="TableText"/>
              <w:jc w:val="left"/>
              <w:rPr>
                <w:szCs w:val="20"/>
                <w:lang w:eastAsia="ko-KR"/>
              </w:rPr>
            </w:pPr>
            <w:r>
              <w:t>Non-Embedded Accommodation—Print on Demand</w:t>
            </w:r>
          </w:p>
        </w:tc>
        <w:tc>
          <w:tcPr>
            <w:tcW w:w="864" w:type="dxa"/>
            <w:noWrap/>
            <w:vAlign w:val="bottom"/>
          </w:tcPr>
          <w:p w14:paraId="2209AE10" w14:textId="77777777" w:rsidR="00085E73" w:rsidRPr="007A3043" w:rsidRDefault="00085E73" w:rsidP="003475E2">
            <w:pPr>
              <w:pStyle w:val="TableText"/>
              <w:rPr>
                <w:szCs w:val="24"/>
                <w:lang w:eastAsia="ko-KR"/>
              </w:rPr>
            </w:pPr>
            <w:r>
              <w:t>0</w:t>
            </w:r>
          </w:p>
        </w:tc>
        <w:tc>
          <w:tcPr>
            <w:tcW w:w="720" w:type="dxa"/>
            <w:noWrap/>
            <w:vAlign w:val="bottom"/>
          </w:tcPr>
          <w:p w14:paraId="68676145" w14:textId="77777777" w:rsidR="00085E73" w:rsidRPr="007A3043" w:rsidRDefault="00085E73" w:rsidP="003475E2">
            <w:pPr>
              <w:pStyle w:val="TableText"/>
              <w:rPr>
                <w:szCs w:val="24"/>
                <w:lang w:eastAsia="ko-KR"/>
              </w:rPr>
            </w:pPr>
            <w:r>
              <w:t>0%</w:t>
            </w:r>
          </w:p>
        </w:tc>
        <w:tc>
          <w:tcPr>
            <w:tcW w:w="864" w:type="dxa"/>
            <w:noWrap/>
            <w:vAlign w:val="bottom"/>
          </w:tcPr>
          <w:p w14:paraId="610B7C84" w14:textId="77777777" w:rsidR="00085E73" w:rsidRPr="007A3043" w:rsidRDefault="00085E73" w:rsidP="003475E2">
            <w:pPr>
              <w:pStyle w:val="TableText"/>
              <w:rPr>
                <w:szCs w:val="24"/>
                <w:lang w:eastAsia="ko-KR"/>
              </w:rPr>
            </w:pPr>
            <w:r>
              <w:t>0</w:t>
            </w:r>
          </w:p>
        </w:tc>
        <w:tc>
          <w:tcPr>
            <w:tcW w:w="720" w:type="dxa"/>
            <w:noWrap/>
            <w:vAlign w:val="bottom"/>
          </w:tcPr>
          <w:p w14:paraId="10B4B5BD" w14:textId="77777777" w:rsidR="00085E73" w:rsidRPr="007A3043" w:rsidRDefault="00085E73" w:rsidP="003475E2">
            <w:pPr>
              <w:pStyle w:val="TableText"/>
              <w:rPr>
                <w:szCs w:val="24"/>
                <w:lang w:eastAsia="ko-KR"/>
              </w:rPr>
            </w:pPr>
            <w:r>
              <w:t>0%</w:t>
            </w:r>
          </w:p>
        </w:tc>
        <w:tc>
          <w:tcPr>
            <w:tcW w:w="864" w:type="dxa"/>
            <w:noWrap/>
            <w:vAlign w:val="bottom"/>
          </w:tcPr>
          <w:p w14:paraId="7FACC8B5" w14:textId="77777777" w:rsidR="00085E73" w:rsidRPr="007A3043" w:rsidRDefault="00085E73" w:rsidP="003475E2">
            <w:pPr>
              <w:pStyle w:val="TableText"/>
              <w:rPr>
                <w:szCs w:val="24"/>
                <w:lang w:eastAsia="ko-KR"/>
              </w:rPr>
            </w:pPr>
            <w:r>
              <w:t>0</w:t>
            </w:r>
          </w:p>
        </w:tc>
        <w:tc>
          <w:tcPr>
            <w:tcW w:w="720" w:type="dxa"/>
            <w:noWrap/>
            <w:vAlign w:val="bottom"/>
          </w:tcPr>
          <w:p w14:paraId="229CB8AC" w14:textId="77777777" w:rsidR="00085E73" w:rsidRPr="007A3043" w:rsidRDefault="00085E73" w:rsidP="003475E2">
            <w:pPr>
              <w:pStyle w:val="TableText"/>
              <w:rPr>
                <w:szCs w:val="24"/>
                <w:lang w:eastAsia="ko-KR"/>
              </w:rPr>
            </w:pPr>
            <w:r>
              <w:t>0%</w:t>
            </w:r>
          </w:p>
        </w:tc>
        <w:tc>
          <w:tcPr>
            <w:tcW w:w="864" w:type="dxa"/>
            <w:noWrap/>
            <w:vAlign w:val="bottom"/>
          </w:tcPr>
          <w:p w14:paraId="71656E21" w14:textId="77777777" w:rsidR="00085E73" w:rsidRPr="007A3043" w:rsidRDefault="00085E73" w:rsidP="003475E2">
            <w:pPr>
              <w:pStyle w:val="TableText"/>
              <w:rPr>
                <w:szCs w:val="24"/>
                <w:lang w:eastAsia="ko-KR"/>
              </w:rPr>
            </w:pPr>
            <w:r>
              <w:t>0</w:t>
            </w:r>
          </w:p>
        </w:tc>
        <w:tc>
          <w:tcPr>
            <w:tcW w:w="720" w:type="dxa"/>
            <w:noWrap/>
            <w:vAlign w:val="bottom"/>
          </w:tcPr>
          <w:p w14:paraId="5B3EEB69" w14:textId="77777777" w:rsidR="00085E73" w:rsidRPr="007A3043" w:rsidRDefault="00085E73" w:rsidP="003475E2">
            <w:pPr>
              <w:pStyle w:val="TableText"/>
              <w:rPr>
                <w:szCs w:val="24"/>
                <w:lang w:eastAsia="ko-KR"/>
              </w:rPr>
            </w:pPr>
            <w:r>
              <w:t>0%</w:t>
            </w:r>
          </w:p>
        </w:tc>
      </w:tr>
      <w:tr w:rsidR="00085E73" w:rsidRPr="00B96179" w14:paraId="407F3E56" w14:textId="77777777" w:rsidTr="003475E2">
        <w:tc>
          <w:tcPr>
            <w:tcW w:w="7056" w:type="dxa"/>
            <w:tcBorders>
              <w:bottom w:val="nil"/>
            </w:tcBorders>
          </w:tcPr>
          <w:p w14:paraId="230D9163" w14:textId="77777777" w:rsidR="00085E73" w:rsidRPr="0093049F" w:rsidRDefault="00085E73" w:rsidP="003475E2">
            <w:pPr>
              <w:pStyle w:val="TableText"/>
              <w:jc w:val="left"/>
              <w:rPr>
                <w:szCs w:val="20"/>
              </w:rPr>
            </w:pPr>
            <w:r>
              <w:t>Non-Embedded Accommodation—Unlisted Resources</w:t>
            </w:r>
          </w:p>
        </w:tc>
        <w:tc>
          <w:tcPr>
            <w:tcW w:w="864" w:type="dxa"/>
            <w:tcBorders>
              <w:bottom w:val="nil"/>
            </w:tcBorders>
            <w:noWrap/>
            <w:vAlign w:val="bottom"/>
          </w:tcPr>
          <w:p w14:paraId="5A8F590E" w14:textId="77777777" w:rsidR="00085E73" w:rsidRPr="007A3043" w:rsidRDefault="00085E73" w:rsidP="003475E2">
            <w:pPr>
              <w:pStyle w:val="TableText"/>
              <w:rPr>
                <w:szCs w:val="24"/>
                <w:lang w:eastAsia="ko-KR"/>
              </w:rPr>
            </w:pPr>
            <w:r>
              <w:t>0</w:t>
            </w:r>
          </w:p>
        </w:tc>
        <w:tc>
          <w:tcPr>
            <w:tcW w:w="720" w:type="dxa"/>
            <w:tcBorders>
              <w:bottom w:val="nil"/>
            </w:tcBorders>
            <w:noWrap/>
            <w:vAlign w:val="bottom"/>
          </w:tcPr>
          <w:p w14:paraId="485862F9" w14:textId="77777777" w:rsidR="00085E73" w:rsidRPr="007A3043" w:rsidRDefault="00085E73" w:rsidP="003475E2">
            <w:pPr>
              <w:pStyle w:val="TableText"/>
              <w:rPr>
                <w:szCs w:val="24"/>
                <w:lang w:eastAsia="ko-KR"/>
              </w:rPr>
            </w:pPr>
            <w:r>
              <w:t>0%</w:t>
            </w:r>
          </w:p>
        </w:tc>
        <w:tc>
          <w:tcPr>
            <w:tcW w:w="864" w:type="dxa"/>
            <w:tcBorders>
              <w:bottom w:val="nil"/>
            </w:tcBorders>
            <w:noWrap/>
            <w:vAlign w:val="bottom"/>
          </w:tcPr>
          <w:p w14:paraId="01D9D216" w14:textId="77777777" w:rsidR="00085E73" w:rsidRPr="007A3043" w:rsidRDefault="00085E73" w:rsidP="003475E2">
            <w:pPr>
              <w:pStyle w:val="TableText"/>
              <w:rPr>
                <w:szCs w:val="24"/>
                <w:lang w:eastAsia="ko-KR"/>
              </w:rPr>
            </w:pPr>
            <w:r>
              <w:t>0</w:t>
            </w:r>
          </w:p>
        </w:tc>
        <w:tc>
          <w:tcPr>
            <w:tcW w:w="720" w:type="dxa"/>
            <w:tcBorders>
              <w:bottom w:val="nil"/>
            </w:tcBorders>
            <w:noWrap/>
            <w:vAlign w:val="bottom"/>
          </w:tcPr>
          <w:p w14:paraId="1C5D517D" w14:textId="77777777" w:rsidR="00085E73" w:rsidRPr="007A3043" w:rsidRDefault="00085E73" w:rsidP="003475E2">
            <w:pPr>
              <w:pStyle w:val="TableText"/>
              <w:rPr>
                <w:szCs w:val="24"/>
                <w:lang w:eastAsia="ko-KR"/>
              </w:rPr>
            </w:pPr>
            <w:r>
              <w:t>0%</w:t>
            </w:r>
          </w:p>
        </w:tc>
        <w:tc>
          <w:tcPr>
            <w:tcW w:w="864" w:type="dxa"/>
            <w:tcBorders>
              <w:bottom w:val="nil"/>
            </w:tcBorders>
            <w:noWrap/>
            <w:vAlign w:val="bottom"/>
          </w:tcPr>
          <w:p w14:paraId="430BE46E" w14:textId="77777777" w:rsidR="00085E73" w:rsidRPr="007A3043" w:rsidRDefault="00085E73" w:rsidP="003475E2">
            <w:pPr>
              <w:pStyle w:val="TableText"/>
              <w:rPr>
                <w:szCs w:val="24"/>
                <w:lang w:eastAsia="ko-KR"/>
              </w:rPr>
            </w:pPr>
            <w:r>
              <w:t>0</w:t>
            </w:r>
          </w:p>
        </w:tc>
        <w:tc>
          <w:tcPr>
            <w:tcW w:w="720" w:type="dxa"/>
            <w:tcBorders>
              <w:bottom w:val="nil"/>
            </w:tcBorders>
            <w:noWrap/>
            <w:vAlign w:val="bottom"/>
          </w:tcPr>
          <w:p w14:paraId="3A472D66" w14:textId="77777777" w:rsidR="00085E73" w:rsidRPr="007A3043" w:rsidRDefault="00085E73" w:rsidP="003475E2">
            <w:pPr>
              <w:pStyle w:val="TableText"/>
              <w:rPr>
                <w:szCs w:val="24"/>
                <w:lang w:eastAsia="ko-KR"/>
              </w:rPr>
            </w:pPr>
            <w:r>
              <w:t>0%</w:t>
            </w:r>
          </w:p>
        </w:tc>
        <w:tc>
          <w:tcPr>
            <w:tcW w:w="864" w:type="dxa"/>
            <w:tcBorders>
              <w:bottom w:val="nil"/>
            </w:tcBorders>
            <w:noWrap/>
            <w:vAlign w:val="bottom"/>
          </w:tcPr>
          <w:p w14:paraId="57A568F0" w14:textId="77777777" w:rsidR="00085E73" w:rsidRPr="007A3043" w:rsidRDefault="00085E73" w:rsidP="003475E2">
            <w:pPr>
              <w:pStyle w:val="TableText"/>
              <w:rPr>
                <w:szCs w:val="24"/>
                <w:lang w:eastAsia="ko-KR"/>
              </w:rPr>
            </w:pPr>
            <w:r>
              <w:t>0</w:t>
            </w:r>
          </w:p>
        </w:tc>
        <w:tc>
          <w:tcPr>
            <w:tcW w:w="720" w:type="dxa"/>
            <w:tcBorders>
              <w:bottom w:val="nil"/>
            </w:tcBorders>
            <w:noWrap/>
            <w:vAlign w:val="bottom"/>
          </w:tcPr>
          <w:p w14:paraId="7FB79294" w14:textId="77777777" w:rsidR="00085E73" w:rsidRPr="007A3043" w:rsidRDefault="00085E73" w:rsidP="003475E2">
            <w:pPr>
              <w:pStyle w:val="TableText"/>
              <w:rPr>
                <w:szCs w:val="24"/>
                <w:lang w:eastAsia="ko-KR"/>
              </w:rPr>
            </w:pPr>
            <w:r>
              <w:t>0%</w:t>
            </w:r>
          </w:p>
        </w:tc>
      </w:tr>
      <w:tr w:rsidR="00085E73" w:rsidRPr="00B96179" w14:paraId="1EA3F8F7" w14:textId="77777777" w:rsidTr="003475E2">
        <w:tc>
          <w:tcPr>
            <w:tcW w:w="7056" w:type="dxa"/>
            <w:tcBorders>
              <w:top w:val="nil"/>
              <w:bottom w:val="single" w:sz="4" w:space="0" w:color="auto"/>
            </w:tcBorders>
            <w:hideMark/>
          </w:tcPr>
          <w:p w14:paraId="6C874BC5" w14:textId="77777777" w:rsidR="00085E73" w:rsidRPr="0093049F" w:rsidRDefault="00085E73" w:rsidP="003475E2">
            <w:pPr>
              <w:pStyle w:val="TableText"/>
              <w:jc w:val="left"/>
              <w:rPr>
                <w:szCs w:val="20"/>
                <w:lang w:eastAsia="ko-KR"/>
              </w:rPr>
            </w:pPr>
            <w:r>
              <w:t>Non-Embedded Accommodation—Word Prediction</w:t>
            </w:r>
          </w:p>
        </w:tc>
        <w:tc>
          <w:tcPr>
            <w:tcW w:w="864" w:type="dxa"/>
            <w:tcBorders>
              <w:top w:val="nil"/>
              <w:bottom w:val="single" w:sz="4" w:space="0" w:color="auto"/>
            </w:tcBorders>
            <w:noWrap/>
            <w:vAlign w:val="bottom"/>
          </w:tcPr>
          <w:p w14:paraId="1D72BF4D" w14:textId="77777777" w:rsidR="00085E73" w:rsidRPr="007A3043" w:rsidRDefault="00085E73" w:rsidP="003475E2">
            <w:pPr>
              <w:pStyle w:val="TableText"/>
              <w:rPr>
                <w:szCs w:val="24"/>
                <w:lang w:eastAsia="ko-KR"/>
              </w:rPr>
            </w:pPr>
            <w:r>
              <w:t>1</w:t>
            </w:r>
          </w:p>
        </w:tc>
        <w:tc>
          <w:tcPr>
            <w:tcW w:w="720" w:type="dxa"/>
            <w:tcBorders>
              <w:top w:val="nil"/>
              <w:bottom w:val="single" w:sz="4" w:space="0" w:color="auto"/>
            </w:tcBorders>
            <w:noWrap/>
            <w:vAlign w:val="bottom"/>
          </w:tcPr>
          <w:p w14:paraId="5621B4D4" w14:textId="77777777" w:rsidR="00085E73" w:rsidRPr="007A3043" w:rsidRDefault="00085E73" w:rsidP="003475E2">
            <w:pPr>
              <w:pStyle w:val="TableText"/>
              <w:rPr>
                <w:szCs w:val="24"/>
                <w:lang w:eastAsia="ko-KR"/>
              </w:rPr>
            </w:pPr>
            <w:r>
              <w:t>1%</w:t>
            </w:r>
          </w:p>
        </w:tc>
        <w:tc>
          <w:tcPr>
            <w:tcW w:w="864" w:type="dxa"/>
            <w:tcBorders>
              <w:top w:val="nil"/>
              <w:bottom w:val="single" w:sz="4" w:space="0" w:color="auto"/>
            </w:tcBorders>
            <w:noWrap/>
            <w:vAlign w:val="bottom"/>
          </w:tcPr>
          <w:p w14:paraId="66230A45" w14:textId="77777777" w:rsidR="00085E73" w:rsidRPr="007A3043" w:rsidRDefault="00085E73" w:rsidP="003475E2">
            <w:pPr>
              <w:pStyle w:val="TableText"/>
              <w:rPr>
                <w:szCs w:val="24"/>
                <w:lang w:eastAsia="ko-KR"/>
              </w:rPr>
            </w:pPr>
            <w:r>
              <w:t>1</w:t>
            </w:r>
          </w:p>
        </w:tc>
        <w:tc>
          <w:tcPr>
            <w:tcW w:w="720" w:type="dxa"/>
            <w:tcBorders>
              <w:top w:val="nil"/>
              <w:bottom w:val="single" w:sz="4" w:space="0" w:color="auto"/>
            </w:tcBorders>
            <w:noWrap/>
            <w:vAlign w:val="bottom"/>
          </w:tcPr>
          <w:p w14:paraId="694DF06D" w14:textId="77777777" w:rsidR="00085E73" w:rsidRPr="007A3043" w:rsidRDefault="00085E73" w:rsidP="003475E2">
            <w:pPr>
              <w:pStyle w:val="TableText"/>
              <w:rPr>
                <w:szCs w:val="24"/>
                <w:lang w:eastAsia="ko-KR"/>
              </w:rPr>
            </w:pPr>
            <w:r>
              <w:t>0%</w:t>
            </w:r>
          </w:p>
        </w:tc>
        <w:tc>
          <w:tcPr>
            <w:tcW w:w="864" w:type="dxa"/>
            <w:tcBorders>
              <w:top w:val="nil"/>
              <w:bottom w:val="single" w:sz="4" w:space="0" w:color="auto"/>
            </w:tcBorders>
            <w:noWrap/>
            <w:vAlign w:val="bottom"/>
          </w:tcPr>
          <w:p w14:paraId="6E0D6CFF" w14:textId="77777777" w:rsidR="00085E73" w:rsidRPr="007A3043" w:rsidRDefault="00085E73" w:rsidP="003475E2">
            <w:pPr>
              <w:pStyle w:val="TableText"/>
              <w:rPr>
                <w:szCs w:val="24"/>
                <w:lang w:eastAsia="ko-KR"/>
              </w:rPr>
            </w:pPr>
            <w:r>
              <w:t>1</w:t>
            </w:r>
          </w:p>
        </w:tc>
        <w:tc>
          <w:tcPr>
            <w:tcW w:w="720" w:type="dxa"/>
            <w:tcBorders>
              <w:top w:val="nil"/>
              <w:bottom w:val="single" w:sz="4" w:space="0" w:color="auto"/>
            </w:tcBorders>
            <w:noWrap/>
            <w:vAlign w:val="bottom"/>
          </w:tcPr>
          <w:p w14:paraId="141B65F4" w14:textId="77777777" w:rsidR="00085E73" w:rsidRPr="007A3043" w:rsidRDefault="00085E73" w:rsidP="003475E2">
            <w:pPr>
              <w:pStyle w:val="TableText"/>
              <w:rPr>
                <w:szCs w:val="24"/>
                <w:lang w:eastAsia="ko-KR"/>
              </w:rPr>
            </w:pPr>
            <w:r>
              <w:t>0%</w:t>
            </w:r>
          </w:p>
        </w:tc>
        <w:tc>
          <w:tcPr>
            <w:tcW w:w="864" w:type="dxa"/>
            <w:tcBorders>
              <w:top w:val="nil"/>
              <w:bottom w:val="single" w:sz="4" w:space="0" w:color="auto"/>
            </w:tcBorders>
            <w:noWrap/>
            <w:vAlign w:val="bottom"/>
          </w:tcPr>
          <w:p w14:paraId="7A230A18" w14:textId="77777777" w:rsidR="00085E73" w:rsidRPr="007A3043" w:rsidRDefault="00085E73" w:rsidP="003475E2">
            <w:pPr>
              <w:pStyle w:val="TableText"/>
              <w:rPr>
                <w:szCs w:val="24"/>
                <w:lang w:eastAsia="ko-KR"/>
              </w:rPr>
            </w:pPr>
            <w:r>
              <w:t>3</w:t>
            </w:r>
          </w:p>
        </w:tc>
        <w:tc>
          <w:tcPr>
            <w:tcW w:w="720" w:type="dxa"/>
            <w:tcBorders>
              <w:top w:val="nil"/>
              <w:bottom w:val="single" w:sz="4" w:space="0" w:color="auto"/>
            </w:tcBorders>
            <w:noWrap/>
            <w:vAlign w:val="bottom"/>
          </w:tcPr>
          <w:p w14:paraId="2D472D5C" w14:textId="77777777" w:rsidR="00085E73" w:rsidRPr="007A3043" w:rsidRDefault="00085E73" w:rsidP="003475E2">
            <w:pPr>
              <w:pStyle w:val="TableText"/>
              <w:rPr>
                <w:szCs w:val="24"/>
                <w:lang w:eastAsia="ko-KR"/>
              </w:rPr>
            </w:pPr>
            <w:r>
              <w:t>0%</w:t>
            </w:r>
          </w:p>
        </w:tc>
      </w:tr>
      <w:tr w:rsidR="00085E73" w:rsidRPr="00B96179" w14:paraId="13929DA9" w14:textId="77777777" w:rsidTr="003475E2">
        <w:tc>
          <w:tcPr>
            <w:tcW w:w="7056" w:type="dxa"/>
            <w:tcBorders>
              <w:top w:val="single" w:sz="4" w:space="0" w:color="auto"/>
            </w:tcBorders>
            <w:hideMark/>
          </w:tcPr>
          <w:p w14:paraId="1392EDB4" w14:textId="77777777" w:rsidR="00085E73" w:rsidRPr="00B96179" w:rsidRDefault="00085E73" w:rsidP="003475E2">
            <w:pPr>
              <w:pStyle w:val="TableText"/>
              <w:jc w:val="left"/>
              <w:rPr>
                <w:lang w:eastAsia="ko-KR"/>
              </w:rPr>
            </w:pPr>
            <w:r>
              <w:t>Embedded Designated Support—Color Contrast</w:t>
            </w:r>
          </w:p>
        </w:tc>
        <w:tc>
          <w:tcPr>
            <w:tcW w:w="864" w:type="dxa"/>
            <w:tcBorders>
              <w:top w:val="single" w:sz="4" w:space="0" w:color="auto"/>
            </w:tcBorders>
            <w:noWrap/>
            <w:vAlign w:val="bottom"/>
          </w:tcPr>
          <w:p w14:paraId="06B5E14B" w14:textId="77777777" w:rsidR="00085E73" w:rsidRPr="007A3043" w:rsidRDefault="00085E73" w:rsidP="003475E2">
            <w:pPr>
              <w:pStyle w:val="TableText"/>
              <w:rPr>
                <w:szCs w:val="24"/>
                <w:lang w:eastAsia="ko-KR"/>
              </w:rPr>
            </w:pPr>
            <w:r>
              <w:t>0</w:t>
            </w:r>
          </w:p>
        </w:tc>
        <w:tc>
          <w:tcPr>
            <w:tcW w:w="720" w:type="dxa"/>
            <w:tcBorders>
              <w:top w:val="single" w:sz="4" w:space="0" w:color="auto"/>
            </w:tcBorders>
            <w:noWrap/>
            <w:vAlign w:val="bottom"/>
          </w:tcPr>
          <w:p w14:paraId="0A90B7FE" w14:textId="77777777" w:rsidR="00085E73" w:rsidRPr="007A3043" w:rsidRDefault="00085E73" w:rsidP="003475E2">
            <w:pPr>
              <w:pStyle w:val="TableText"/>
              <w:rPr>
                <w:szCs w:val="24"/>
                <w:lang w:eastAsia="ko-KR"/>
              </w:rPr>
            </w:pPr>
            <w:r>
              <w:t>0%</w:t>
            </w:r>
          </w:p>
        </w:tc>
        <w:tc>
          <w:tcPr>
            <w:tcW w:w="864" w:type="dxa"/>
            <w:tcBorders>
              <w:top w:val="single" w:sz="4" w:space="0" w:color="auto"/>
            </w:tcBorders>
            <w:noWrap/>
            <w:vAlign w:val="bottom"/>
          </w:tcPr>
          <w:p w14:paraId="6CEF3229" w14:textId="77777777" w:rsidR="00085E73" w:rsidRPr="007A3043" w:rsidRDefault="00085E73" w:rsidP="003475E2">
            <w:pPr>
              <w:pStyle w:val="TableText"/>
              <w:rPr>
                <w:szCs w:val="24"/>
                <w:lang w:eastAsia="ko-KR"/>
              </w:rPr>
            </w:pPr>
            <w:r>
              <w:t>0</w:t>
            </w:r>
          </w:p>
        </w:tc>
        <w:tc>
          <w:tcPr>
            <w:tcW w:w="720" w:type="dxa"/>
            <w:tcBorders>
              <w:top w:val="single" w:sz="4" w:space="0" w:color="auto"/>
            </w:tcBorders>
            <w:noWrap/>
            <w:vAlign w:val="bottom"/>
          </w:tcPr>
          <w:p w14:paraId="2F643326" w14:textId="77777777" w:rsidR="00085E73" w:rsidRPr="007A3043" w:rsidRDefault="00085E73" w:rsidP="003475E2">
            <w:pPr>
              <w:pStyle w:val="TableText"/>
              <w:rPr>
                <w:szCs w:val="24"/>
                <w:lang w:eastAsia="ko-KR"/>
              </w:rPr>
            </w:pPr>
            <w:r>
              <w:t>0%</w:t>
            </w:r>
          </w:p>
        </w:tc>
        <w:tc>
          <w:tcPr>
            <w:tcW w:w="864" w:type="dxa"/>
            <w:tcBorders>
              <w:top w:val="single" w:sz="4" w:space="0" w:color="auto"/>
            </w:tcBorders>
            <w:noWrap/>
            <w:vAlign w:val="bottom"/>
          </w:tcPr>
          <w:p w14:paraId="320B1425" w14:textId="77777777" w:rsidR="00085E73" w:rsidRPr="007A3043" w:rsidRDefault="00085E73" w:rsidP="003475E2">
            <w:pPr>
              <w:pStyle w:val="TableText"/>
              <w:rPr>
                <w:szCs w:val="24"/>
                <w:lang w:eastAsia="ko-KR"/>
              </w:rPr>
            </w:pPr>
            <w:r>
              <w:t>0</w:t>
            </w:r>
          </w:p>
        </w:tc>
        <w:tc>
          <w:tcPr>
            <w:tcW w:w="720" w:type="dxa"/>
            <w:tcBorders>
              <w:top w:val="single" w:sz="4" w:space="0" w:color="auto"/>
            </w:tcBorders>
            <w:noWrap/>
            <w:vAlign w:val="bottom"/>
          </w:tcPr>
          <w:p w14:paraId="6E109306" w14:textId="77777777" w:rsidR="00085E73" w:rsidRPr="007A3043" w:rsidRDefault="00085E73" w:rsidP="003475E2">
            <w:pPr>
              <w:pStyle w:val="TableText"/>
              <w:rPr>
                <w:szCs w:val="24"/>
                <w:lang w:eastAsia="ko-KR"/>
              </w:rPr>
            </w:pPr>
            <w:r>
              <w:t>0%</w:t>
            </w:r>
          </w:p>
        </w:tc>
        <w:tc>
          <w:tcPr>
            <w:tcW w:w="864" w:type="dxa"/>
            <w:tcBorders>
              <w:top w:val="single" w:sz="4" w:space="0" w:color="auto"/>
            </w:tcBorders>
            <w:noWrap/>
            <w:vAlign w:val="bottom"/>
          </w:tcPr>
          <w:p w14:paraId="0CE5473E" w14:textId="77777777" w:rsidR="00085E73" w:rsidRPr="007A3043" w:rsidRDefault="00085E73" w:rsidP="003475E2">
            <w:pPr>
              <w:pStyle w:val="TableText"/>
              <w:rPr>
                <w:szCs w:val="24"/>
                <w:lang w:eastAsia="ko-KR"/>
              </w:rPr>
            </w:pPr>
            <w:r>
              <w:t>0</w:t>
            </w:r>
          </w:p>
        </w:tc>
        <w:tc>
          <w:tcPr>
            <w:tcW w:w="720" w:type="dxa"/>
            <w:tcBorders>
              <w:top w:val="single" w:sz="4" w:space="0" w:color="auto"/>
            </w:tcBorders>
            <w:noWrap/>
            <w:vAlign w:val="bottom"/>
          </w:tcPr>
          <w:p w14:paraId="52EAC4F4" w14:textId="77777777" w:rsidR="00085E73" w:rsidRPr="007A3043" w:rsidRDefault="00085E73" w:rsidP="003475E2">
            <w:pPr>
              <w:pStyle w:val="TableText"/>
              <w:rPr>
                <w:szCs w:val="24"/>
                <w:lang w:eastAsia="ko-KR"/>
              </w:rPr>
            </w:pPr>
            <w:r>
              <w:t>0%</w:t>
            </w:r>
          </w:p>
        </w:tc>
      </w:tr>
      <w:tr w:rsidR="00085E73" w:rsidRPr="00B96179" w14:paraId="700CB937" w14:textId="77777777" w:rsidTr="003475E2">
        <w:tc>
          <w:tcPr>
            <w:tcW w:w="7056" w:type="dxa"/>
            <w:hideMark/>
          </w:tcPr>
          <w:p w14:paraId="7AB707C6" w14:textId="77777777" w:rsidR="00085E73" w:rsidRPr="0093049F" w:rsidRDefault="00085E73" w:rsidP="003475E2">
            <w:pPr>
              <w:pStyle w:val="TableText"/>
              <w:jc w:val="left"/>
              <w:rPr>
                <w:szCs w:val="20"/>
                <w:lang w:eastAsia="ko-KR"/>
              </w:rPr>
            </w:pPr>
            <w:r>
              <w:t>Embedded Designated Support—Masking</w:t>
            </w:r>
          </w:p>
        </w:tc>
        <w:tc>
          <w:tcPr>
            <w:tcW w:w="864" w:type="dxa"/>
            <w:noWrap/>
            <w:vAlign w:val="bottom"/>
          </w:tcPr>
          <w:p w14:paraId="5AB23DA6" w14:textId="77777777" w:rsidR="00085E73" w:rsidRPr="007A3043" w:rsidRDefault="00085E73" w:rsidP="003475E2">
            <w:pPr>
              <w:pStyle w:val="TableText"/>
              <w:rPr>
                <w:szCs w:val="24"/>
                <w:lang w:eastAsia="ko-KR"/>
              </w:rPr>
            </w:pPr>
            <w:r>
              <w:t>7</w:t>
            </w:r>
          </w:p>
        </w:tc>
        <w:tc>
          <w:tcPr>
            <w:tcW w:w="720" w:type="dxa"/>
            <w:noWrap/>
            <w:vAlign w:val="bottom"/>
          </w:tcPr>
          <w:p w14:paraId="02F3F9ED" w14:textId="77777777" w:rsidR="00085E73" w:rsidRPr="007A3043" w:rsidRDefault="00085E73" w:rsidP="003475E2">
            <w:pPr>
              <w:pStyle w:val="TableText"/>
              <w:rPr>
                <w:szCs w:val="24"/>
                <w:lang w:eastAsia="ko-KR"/>
              </w:rPr>
            </w:pPr>
            <w:r>
              <w:t>5%</w:t>
            </w:r>
          </w:p>
        </w:tc>
        <w:tc>
          <w:tcPr>
            <w:tcW w:w="864" w:type="dxa"/>
            <w:noWrap/>
            <w:vAlign w:val="bottom"/>
          </w:tcPr>
          <w:p w14:paraId="64C7ACCC" w14:textId="77777777" w:rsidR="00085E73" w:rsidRPr="007A3043" w:rsidRDefault="00085E73" w:rsidP="003475E2">
            <w:pPr>
              <w:pStyle w:val="TableText"/>
              <w:rPr>
                <w:szCs w:val="24"/>
                <w:lang w:eastAsia="ko-KR"/>
              </w:rPr>
            </w:pPr>
            <w:r>
              <w:t>0</w:t>
            </w:r>
          </w:p>
        </w:tc>
        <w:tc>
          <w:tcPr>
            <w:tcW w:w="720" w:type="dxa"/>
            <w:noWrap/>
            <w:vAlign w:val="bottom"/>
          </w:tcPr>
          <w:p w14:paraId="5B3CF4B0" w14:textId="77777777" w:rsidR="00085E73" w:rsidRPr="007A3043" w:rsidRDefault="00085E73" w:rsidP="003475E2">
            <w:pPr>
              <w:pStyle w:val="TableText"/>
              <w:rPr>
                <w:szCs w:val="24"/>
                <w:lang w:eastAsia="ko-KR"/>
              </w:rPr>
            </w:pPr>
            <w:r>
              <w:t>0%</w:t>
            </w:r>
          </w:p>
        </w:tc>
        <w:tc>
          <w:tcPr>
            <w:tcW w:w="864" w:type="dxa"/>
            <w:noWrap/>
            <w:vAlign w:val="bottom"/>
          </w:tcPr>
          <w:p w14:paraId="4C83E7F7" w14:textId="77777777" w:rsidR="00085E73" w:rsidRPr="007A3043" w:rsidRDefault="00085E73" w:rsidP="003475E2">
            <w:pPr>
              <w:pStyle w:val="TableText"/>
              <w:rPr>
                <w:szCs w:val="24"/>
                <w:lang w:eastAsia="ko-KR"/>
              </w:rPr>
            </w:pPr>
            <w:r>
              <w:t>4</w:t>
            </w:r>
          </w:p>
        </w:tc>
        <w:tc>
          <w:tcPr>
            <w:tcW w:w="720" w:type="dxa"/>
            <w:noWrap/>
            <w:vAlign w:val="bottom"/>
          </w:tcPr>
          <w:p w14:paraId="7B66DB60" w14:textId="77777777" w:rsidR="00085E73" w:rsidRPr="007A3043" w:rsidRDefault="00085E73" w:rsidP="003475E2">
            <w:pPr>
              <w:pStyle w:val="TableText"/>
              <w:rPr>
                <w:szCs w:val="24"/>
                <w:lang w:eastAsia="ko-KR"/>
              </w:rPr>
            </w:pPr>
            <w:r>
              <w:t>2%</w:t>
            </w:r>
          </w:p>
        </w:tc>
        <w:tc>
          <w:tcPr>
            <w:tcW w:w="864" w:type="dxa"/>
            <w:noWrap/>
            <w:vAlign w:val="bottom"/>
          </w:tcPr>
          <w:p w14:paraId="33FADA40" w14:textId="77777777" w:rsidR="00085E73" w:rsidRPr="007A3043" w:rsidRDefault="00085E73" w:rsidP="003475E2">
            <w:pPr>
              <w:pStyle w:val="TableText"/>
              <w:rPr>
                <w:szCs w:val="24"/>
                <w:lang w:eastAsia="ko-KR"/>
              </w:rPr>
            </w:pPr>
            <w:r>
              <w:t>11</w:t>
            </w:r>
          </w:p>
        </w:tc>
        <w:tc>
          <w:tcPr>
            <w:tcW w:w="720" w:type="dxa"/>
            <w:noWrap/>
            <w:vAlign w:val="bottom"/>
          </w:tcPr>
          <w:p w14:paraId="3993A424" w14:textId="77777777" w:rsidR="00085E73" w:rsidRPr="007A3043" w:rsidRDefault="00085E73" w:rsidP="003475E2">
            <w:pPr>
              <w:pStyle w:val="TableText"/>
              <w:rPr>
                <w:szCs w:val="24"/>
                <w:lang w:eastAsia="ko-KR"/>
              </w:rPr>
            </w:pPr>
            <w:r>
              <w:t>2%</w:t>
            </w:r>
          </w:p>
        </w:tc>
      </w:tr>
      <w:tr w:rsidR="00085E73" w:rsidRPr="00B96179" w14:paraId="07C34622" w14:textId="77777777" w:rsidTr="003475E2">
        <w:tc>
          <w:tcPr>
            <w:tcW w:w="7056" w:type="dxa"/>
            <w:hideMark/>
          </w:tcPr>
          <w:p w14:paraId="332A5F67" w14:textId="77777777" w:rsidR="00085E73" w:rsidRPr="0093049F" w:rsidRDefault="00085E73" w:rsidP="003475E2">
            <w:pPr>
              <w:pStyle w:val="TableText"/>
              <w:jc w:val="left"/>
              <w:rPr>
                <w:szCs w:val="20"/>
                <w:lang w:eastAsia="ko-KR"/>
              </w:rPr>
            </w:pPr>
            <w:r>
              <w:t>Embedded Designated Support—Mouse Pointer</w:t>
            </w:r>
          </w:p>
        </w:tc>
        <w:tc>
          <w:tcPr>
            <w:tcW w:w="864" w:type="dxa"/>
            <w:noWrap/>
            <w:vAlign w:val="bottom"/>
          </w:tcPr>
          <w:p w14:paraId="7B9AC5F6" w14:textId="77777777" w:rsidR="00085E73" w:rsidRPr="007A3043" w:rsidRDefault="00085E73" w:rsidP="003475E2">
            <w:pPr>
              <w:pStyle w:val="TableText"/>
              <w:rPr>
                <w:szCs w:val="24"/>
                <w:lang w:eastAsia="ko-KR"/>
              </w:rPr>
            </w:pPr>
            <w:r>
              <w:t>1</w:t>
            </w:r>
          </w:p>
        </w:tc>
        <w:tc>
          <w:tcPr>
            <w:tcW w:w="720" w:type="dxa"/>
            <w:noWrap/>
            <w:vAlign w:val="bottom"/>
          </w:tcPr>
          <w:p w14:paraId="7BA95C82" w14:textId="77777777" w:rsidR="00085E73" w:rsidRPr="007A3043" w:rsidRDefault="00085E73" w:rsidP="003475E2">
            <w:pPr>
              <w:pStyle w:val="TableText"/>
              <w:rPr>
                <w:szCs w:val="24"/>
                <w:lang w:eastAsia="ko-KR"/>
              </w:rPr>
            </w:pPr>
            <w:r>
              <w:t>1%</w:t>
            </w:r>
          </w:p>
        </w:tc>
        <w:tc>
          <w:tcPr>
            <w:tcW w:w="864" w:type="dxa"/>
            <w:noWrap/>
            <w:vAlign w:val="bottom"/>
          </w:tcPr>
          <w:p w14:paraId="2B4EE808" w14:textId="77777777" w:rsidR="00085E73" w:rsidRPr="007A3043" w:rsidRDefault="00085E73" w:rsidP="003475E2">
            <w:pPr>
              <w:pStyle w:val="TableText"/>
              <w:rPr>
                <w:szCs w:val="24"/>
                <w:lang w:eastAsia="ko-KR"/>
              </w:rPr>
            </w:pPr>
            <w:r>
              <w:t>2</w:t>
            </w:r>
          </w:p>
        </w:tc>
        <w:tc>
          <w:tcPr>
            <w:tcW w:w="720" w:type="dxa"/>
            <w:noWrap/>
            <w:vAlign w:val="bottom"/>
          </w:tcPr>
          <w:p w14:paraId="0D2837AD" w14:textId="77777777" w:rsidR="00085E73" w:rsidRPr="007A3043" w:rsidRDefault="00085E73" w:rsidP="003475E2">
            <w:pPr>
              <w:pStyle w:val="TableText"/>
              <w:rPr>
                <w:szCs w:val="24"/>
                <w:lang w:eastAsia="ko-KR"/>
              </w:rPr>
            </w:pPr>
            <w:r>
              <w:t>1%</w:t>
            </w:r>
          </w:p>
        </w:tc>
        <w:tc>
          <w:tcPr>
            <w:tcW w:w="864" w:type="dxa"/>
            <w:noWrap/>
            <w:vAlign w:val="bottom"/>
          </w:tcPr>
          <w:p w14:paraId="5AECA73C" w14:textId="77777777" w:rsidR="00085E73" w:rsidRPr="007A3043" w:rsidRDefault="00085E73" w:rsidP="003475E2">
            <w:pPr>
              <w:pStyle w:val="TableText"/>
              <w:rPr>
                <w:szCs w:val="24"/>
                <w:lang w:eastAsia="ko-KR"/>
              </w:rPr>
            </w:pPr>
            <w:r>
              <w:t>2</w:t>
            </w:r>
          </w:p>
        </w:tc>
        <w:tc>
          <w:tcPr>
            <w:tcW w:w="720" w:type="dxa"/>
            <w:noWrap/>
            <w:vAlign w:val="bottom"/>
          </w:tcPr>
          <w:p w14:paraId="43D89C43" w14:textId="77777777" w:rsidR="00085E73" w:rsidRPr="007A3043" w:rsidRDefault="00085E73" w:rsidP="003475E2">
            <w:pPr>
              <w:pStyle w:val="TableText"/>
              <w:rPr>
                <w:szCs w:val="24"/>
                <w:lang w:eastAsia="ko-KR"/>
              </w:rPr>
            </w:pPr>
            <w:r>
              <w:t>1%</w:t>
            </w:r>
          </w:p>
        </w:tc>
        <w:tc>
          <w:tcPr>
            <w:tcW w:w="864" w:type="dxa"/>
            <w:noWrap/>
            <w:vAlign w:val="bottom"/>
          </w:tcPr>
          <w:p w14:paraId="67EF8CA8" w14:textId="77777777" w:rsidR="00085E73" w:rsidRPr="007A3043" w:rsidRDefault="00085E73" w:rsidP="003475E2">
            <w:pPr>
              <w:pStyle w:val="TableText"/>
              <w:rPr>
                <w:szCs w:val="24"/>
                <w:lang w:eastAsia="ko-KR"/>
              </w:rPr>
            </w:pPr>
            <w:r>
              <w:t>5</w:t>
            </w:r>
          </w:p>
        </w:tc>
        <w:tc>
          <w:tcPr>
            <w:tcW w:w="720" w:type="dxa"/>
            <w:noWrap/>
            <w:vAlign w:val="bottom"/>
          </w:tcPr>
          <w:p w14:paraId="6BF3EC75" w14:textId="77777777" w:rsidR="00085E73" w:rsidRPr="007A3043" w:rsidRDefault="00085E73" w:rsidP="003475E2">
            <w:pPr>
              <w:pStyle w:val="TableText"/>
              <w:rPr>
                <w:szCs w:val="24"/>
                <w:lang w:eastAsia="ko-KR"/>
              </w:rPr>
            </w:pPr>
            <w:r>
              <w:t>1%</w:t>
            </w:r>
          </w:p>
        </w:tc>
      </w:tr>
      <w:tr w:rsidR="00085E73" w:rsidRPr="00B96179" w14:paraId="4B925383" w14:textId="77777777" w:rsidTr="003475E2">
        <w:tc>
          <w:tcPr>
            <w:tcW w:w="7056" w:type="dxa"/>
          </w:tcPr>
          <w:p w14:paraId="6966431E" w14:textId="77777777" w:rsidR="00085E73" w:rsidRPr="0093049F" w:rsidRDefault="00085E73" w:rsidP="003475E2">
            <w:pPr>
              <w:pStyle w:val="TableText"/>
              <w:jc w:val="left"/>
              <w:rPr>
                <w:szCs w:val="20"/>
              </w:rPr>
            </w:pPr>
            <w:r>
              <w:t>Embedded Designated Support—Permissive Mode</w:t>
            </w:r>
          </w:p>
        </w:tc>
        <w:tc>
          <w:tcPr>
            <w:tcW w:w="864" w:type="dxa"/>
            <w:noWrap/>
            <w:vAlign w:val="bottom"/>
          </w:tcPr>
          <w:p w14:paraId="1329BBA7" w14:textId="77777777" w:rsidR="00085E73" w:rsidRPr="007A3043" w:rsidRDefault="00085E73" w:rsidP="003475E2">
            <w:pPr>
              <w:pStyle w:val="TableText"/>
              <w:rPr>
                <w:szCs w:val="24"/>
                <w:lang w:eastAsia="ko-KR"/>
              </w:rPr>
            </w:pPr>
            <w:r>
              <w:t>0</w:t>
            </w:r>
          </w:p>
        </w:tc>
        <w:tc>
          <w:tcPr>
            <w:tcW w:w="720" w:type="dxa"/>
            <w:noWrap/>
            <w:vAlign w:val="bottom"/>
          </w:tcPr>
          <w:p w14:paraId="4310C2C5" w14:textId="77777777" w:rsidR="00085E73" w:rsidRPr="007A3043" w:rsidRDefault="00085E73" w:rsidP="003475E2">
            <w:pPr>
              <w:pStyle w:val="TableText"/>
              <w:rPr>
                <w:szCs w:val="24"/>
                <w:lang w:eastAsia="ko-KR"/>
              </w:rPr>
            </w:pPr>
            <w:r>
              <w:t>0%</w:t>
            </w:r>
          </w:p>
        </w:tc>
        <w:tc>
          <w:tcPr>
            <w:tcW w:w="864" w:type="dxa"/>
            <w:noWrap/>
            <w:vAlign w:val="bottom"/>
          </w:tcPr>
          <w:p w14:paraId="750CD5E2" w14:textId="77777777" w:rsidR="00085E73" w:rsidRPr="007A3043" w:rsidRDefault="00085E73" w:rsidP="003475E2">
            <w:pPr>
              <w:pStyle w:val="TableText"/>
              <w:rPr>
                <w:szCs w:val="24"/>
                <w:lang w:eastAsia="ko-KR"/>
              </w:rPr>
            </w:pPr>
            <w:r>
              <w:t>1</w:t>
            </w:r>
          </w:p>
        </w:tc>
        <w:tc>
          <w:tcPr>
            <w:tcW w:w="720" w:type="dxa"/>
            <w:noWrap/>
            <w:vAlign w:val="bottom"/>
          </w:tcPr>
          <w:p w14:paraId="08762289" w14:textId="77777777" w:rsidR="00085E73" w:rsidRPr="007A3043" w:rsidRDefault="00085E73" w:rsidP="003475E2">
            <w:pPr>
              <w:pStyle w:val="TableText"/>
              <w:rPr>
                <w:szCs w:val="24"/>
                <w:lang w:eastAsia="ko-KR"/>
              </w:rPr>
            </w:pPr>
            <w:r>
              <w:t>0%</w:t>
            </w:r>
          </w:p>
        </w:tc>
        <w:tc>
          <w:tcPr>
            <w:tcW w:w="864" w:type="dxa"/>
            <w:noWrap/>
            <w:vAlign w:val="bottom"/>
          </w:tcPr>
          <w:p w14:paraId="371796BF" w14:textId="77777777" w:rsidR="00085E73" w:rsidRPr="007A3043" w:rsidRDefault="00085E73" w:rsidP="003475E2">
            <w:pPr>
              <w:pStyle w:val="TableText"/>
              <w:rPr>
                <w:szCs w:val="24"/>
                <w:lang w:eastAsia="ko-KR"/>
              </w:rPr>
            </w:pPr>
            <w:r>
              <w:t>1</w:t>
            </w:r>
          </w:p>
        </w:tc>
        <w:tc>
          <w:tcPr>
            <w:tcW w:w="720" w:type="dxa"/>
            <w:noWrap/>
            <w:vAlign w:val="bottom"/>
          </w:tcPr>
          <w:p w14:paraId="1EFEE0F9" w14:textId="77777777" w:rsidR="00085E73" w:rsidRPr="007A3043" w:rsidRDefault="00085E73" w:rsidP="003475E2">
            <w:pPr>
              <w:pStyle w:val="TableText"/>
              <w:rPr>
                <w:szCs w:val="24"/>
                <w:lang w:eastAsia="ko-KR"/>
              </w:rPr>
            </w:pPr>
            <w:r>
              <w:t>0%</w:t>
            </w:r>
          </w:p>
        </w:tc>
        <w:tc>
          <w:tcPr>
            <w:tcW w:w="864" w:type="dxa"/>
            <w:noWrap/>
            <w:vAlign w:val="bottom"/>
          </w:tcPr>
          <w:p w14:paraId="33098427" w14:textId="77777777" w:rsidR="00085E73" w:rsidRPr="007A3043" w:rsidRDefault="00085E73" w:rsidP="003475E2">
            <w:pPr>
              <w:pStyle w:val="TableText"/>
              <w:rPr>
                <w:szCs w:val="24"/>
                <w:lang w:eastAsia="ko-KR"/>
              </w:rPr>
            </w:pPr>
            <w:r>
              <w:t>2</w:t>
            </w:r>
          </w:p>
        </w:tc>
        <w:tc>
          <w:tcPr>
            <w:tcW w:w="720" w:type="dxa"/>
            <w:noWrap/>
            <w:vAlign w:val="bottom"/>
          </w:tcPr>
          <w:p w14:paraId="0F1FA1E4" w14:textId="77777777" w:rsidR="00085E73" w:rsidRPr="007A3043" w:rsidRDefault="00085E73" w:rsidP="003475E2">
            <w:pPr>
              <w:pStyle w:val="TableText"/>
              <w:rPr>
                <w:szCs w:val="24"/>
                <w:lang w:eastAsia="ko-KR"/>
              </w:rPr>
            </w:pPr>
            <w:r>
              <w:t>0%</w:t>
            </w:r>
          </w:p>
        </w:tc>
      </w:tr>
      <w:tr w:rsidR="00085E73" w:rsidRPr="00B96179" w14:paraId="53C99F30" w14:textId="77777777" w:rsidTr="003475E2">
        <w:tc>
          <w:tcPr>
            <w:tcW w:w="7056" w:type="dxa"/>
            <w:hideMark/>
          </w:tcPr>
          <w:p w14:paraId="479A9E75" w14:textId="77777777" w:rsidR="00085E73" w:rsidRPr="0093049F" w:rsidRDefault="00085E73" w:rsidP="003475E2">
            <w:pPr>
              <w:pStyle w:val="TableText"/>
              <w:jc w:val="left"/>
              <w:rPr>
                <w:szCs w:val="20"/>
                <w:lang w:eastAsia="ko-KR"/>
              </w:rPr>
            </w:pPr>
            <w:r>
              <w:t>Embedded Designated Support—Print Size</w:t>
            </w:r>
          </w:p>
        </w:tc>
        <w:tc>
          <w:tcPr>
            <w:tcW w:w="864" w:type="dxa"/>
            <w:noWrap/>
            <w:vAlign w:val="bottom"/>
          </w:tcPr>
          <w:p w14:paraId="11BDCE7D" w14:textId="77777777" w:rsidR="00085E73" w:rsidRPr="007A3043" w:rsidRDefault="00085E73" w:rsidP="003475E2">
            <w:pPr>
              <w:pStyle w:val="TableText"/>
              <w:rPr>
                <w:szCs w:val="24"/>
                <w:lang w:eastAsia="ko-KR"/>
              </w:rPr>
            </w:pPr>
            <w:r>
              <w:t>1</w:t>
            </w:r>
          </w:p>
        </w:tc>
        <w:tc>
          <w:tcPr>
            <w:tcW w:w="720" w:type="dxa"/>
            <w:noWrap/>
            <w:vAlign w:val="bottom"/>
          </w:tcPr>
          <w:p w14:paraId="39A75F09" w14:textId="77777777" w:rsidR="00085E73" w:rsidRPr="007A3043" w:rsidRDefault="00085E73" w:rsidP="003475E2">
            <w:pPr>
              <w:pStyle w:val="TableText"/>
              <w:rPr>
                <w:szCs w:val="24"/>
                <w:lang w:eastAsia="ko-KR"/>
              </w:rPr>
            </w:pPr>
            <w:r>
              <w:t>1%</w:t>
            </w:r>
          </w:p>
        </w:tc>
        <w:tc>
          <w:tcPr>
            <w:tcW w:w="864" w:type="dxa"/>
            <w:noWrap/>
            <w:vAlign w:val="bottom"/>
          </w:tcPr>
          <w:p w14:paraId="64F5BD00" w14:textId="77777777" w:rsidR="00085E73" w:rsidRPr="007A3043" w:rsidRDefault="00085E73" w:rsidP="003475E2">
            <w:pPr>
              <w:pStyle w:val="TableText"/>
              <w:rPr>
                <w:szCs w:val="24"/>
                <w:lang w:eastAsia="ko-KR"/>
              </w:rPr>
            </w:pPr>
            <w:r>
              <w:t>1</w:t>
            </w:r>
          </w:p>
        </w:tc>
        <w:tc>
          <w:tcPr>
            <w:tcW w:w="720" w:type="dxa"/>
            <w:noWrap/>
            <w:vAlign w:val="bottom"/>
          </w:tcPr>
          <w:p w14:paraId="426095F2" w14:textId="77777777" w:rsidR="00085E73" w:rsidRPr="007A3043" w:rsidRDefault="00085E73" w:rsidP="003475E2">
            <w:pPr>
              <w:pStyle w:val="TableText"/>
              <w:rPr>
                <w:szCs w:val="24"/>
                <w:lang w:eastAsia="ko-KR"/>
              </w:rPr>
            </w:pPr>
            <w:r>
              <w:t>0%</w:t>
            </w:r>
          </w:p>
        </w:tc>
        <w:tc>
          <w:tcPr>
            <w:tcW w:w="864" w:type="dxa"/>
            <w:noWrap/>
            <w:vAlign w:val="bottom"/>
          </w:tcPr>
          <w:p w14:paraId="0E6542CD" w14:textId="77777777" w:rsidR="00085E73" w:rsidRPr="007A3043" w:rsidRDefault="00085E73" w:rsidP="003475E2">
            <w:pPr>
              <w:pStyle w:val="TableText"/>
              <w:rPr>
                <w:szCs w:val="24"/>
                <w:lang w:eastAsia="ko-KR"/>
              </w:rPr>
            </w:pPr>
            <w:r>
              <w:t>2</w:t>
            </w:r>
          </w:p>
        </w:tc>
        <w:tc>
          <w:tcPr>
            <w:tcW w:w="720" w:type="dxa"/>
            <w:noWrap/>
            <w:vAlign w:val="bottom"/>
          </w:tcPr>
          <w:p w14:paraId="5DC07CCD" w14:textId="77777777" w:rsidR="00085E73" w:rsidRPr="007A3043" w:rsidRDefault="00085E73" w:rsidP="003475E2">
            <w:pPr>
              <w:pStyle w:val="TableText"/>
              <w:rPr>
                <w:szCs w:val="24"/>
                <w:lang w:eastAsia="ko-KR"/>
              </w:rPr>
            </w:pPr>
            <w:r>
              <w:t>1%</w:t>
            </w:r>
          </w:p>
        </w:tc>
        <w:tc>
          <w:tcPr>
            <w:tcW w:w="864" w:type="dxa"/>
            <w:noWrap/>
            <w:vAlign w:val="bottom"/>
          </w:tcPr>
          <w:p w14:paraId="3C80A581" w14:textId="77777777" w:rsidR="00085E73" w:rsidRPr="007A3043" w:rsidRDefault="00085E73" w:rsidP="003475E2">
            <w:pPr>
              <w:pStyle w:val="TableText"/>
              <w:rPr>
                <w:szCs w:val="24"/>
                <w:lang w:eastAsia="ko-KR"/>
              </w:rPr>
            </w:pPr>
            <w:r>
              <w:t>4</w:t>
            </w:r>
          </w:p>
        </w:tc>
        <w:tc>
          <w:tcPr>
            <w:tcW w:w="720" w:type="dxa"/>
            <w:noWrap/>
            <w:vAlign w:val="bottom"/>
          </w:tcPr>
          <w:p w14:paraId="2E5A2852" w14:textId="77777777" w:rsidR="00085E73" w:rsidRPr="007A3043" w:rsidRDefault="00085E73" w:rsidP="003475E2">
            <w:pPr>
              <w:pStyle w:val="TableText"/>
              <w:rPr>
                <w:szCs w:val="24"/>
                <w:lang w:eastAsia="ko-KR"/>
              </w:rPr>
            </w:pPr>
            <w:r>
              <w:t>1%</w:t>
            </w:r>
          </w:p>
        </w:tc>
      </w:tr>
      <w:tr w:rsidR="00085E73" w:rsidRPr="00B96179" w14:paraId="06A078DB" w14:textId="77777777" w:rsidTr="00290DC6">
        <w:tc>
          <w:tcPr>
            <w:tcW w:w="7056" w:type="dxa"/>
            <w:tcBorders>
              <w:bottom w:val="nil"/>
            </w:tcBorders>
            <w:hideMark/>
          </w:tcPr>
          <w:p w14:paraId="78ECE6A0" w14:textId="77777777" w:rsidR="00085E73" w:rsidRPr="0093049F" w:rsidRDefault="00085E73" w:rsidP="003475E2">
            <w:pPr>
              <w:pStyle w:val="TableText"/>
              <w:jc w:val="left"/>
              <w:rPr>
                <w:szCs w:val="20"/>
                <w:lang w:eastAsia="ko-KR"/>
              </w:rPr>
            </w:pPr>
            <w:r>
              <w:t>Embedded Designated Support—Streamline</w:t>
            </w:r>
          </w:p>
        </w:tc>
        <w:tc>
          <w:tcPr>
            <w:tcW w:w="864" w:type="dxa"/>
            <w:tcBorders>
              <w:bottom w:val="nil"/>
            </w:tcBorders>
            <w:noWrap/>
            <w:vAlign w:val="bottom"/>
          </w:tcPr>
          <w:p w14:paraId="3358816F" w14:textId="77777777" w:rsidR="00085E73" w:rsidRPr="007A3043" w:rsidRDefault="00085E73" w:rsidP="003475E2">
            <w:pPr>
              <w:pStyle w:val="TableText"/>
              <w:rPr>
                <w:szCs w:val="24"/>
                <w:lang w:eastAsia="ko-KR"/>
              </w:rPr>
            </w:pPr>
            <w:r>
              <w:t>1</w:t>
            </w:r>
          </w:p>
        </w:tc>
        <w:tc>
          <w:tcPr>
            <w:tcW w:w="720" w:type="dxa"/>
            <w:tcBorders>
              <w:bottom w:val="nil"/>
            </w:tcBorders>
            <w:noWrap/>
            <w:vAlign w:val="bottom"/>
          </w:tcPr>
          <w:p w14:paraId="656A5C29" w14:textId="77777777" w:rsidR="00085E73" w:rsidRPr="007A3043" w:rsidRDefault="00085E73" w:rsidP="003475E2">
            <w:pPr>
              <w:pStyle w:val="TableText"/>
              <w:rPr>
                <w:szCs w:val="24"/>
                <w:lang w:eastAsia="ko-KR"/>
              </w:rPr>
            </w:pPr>
            <w:r>
              <w:t>1%</w:t>
            </w:r>
          </w:p>
        </w:tc>
        <w:tc>
          <w:tcPr>
            <w:tcW w:w="864" w:type="dxa"/>
            <w:tcBorders>
              <w:bottom w:val="nil"/>
            </w:tcBorders>
            <w:noWrap/>
            <w:vAlign w:val="bottom"/>
          </w:tcPr>
          <w:p w14:paraId="3C5E6CC2" w14:textId="77777777" w:rsidR="00085E73" w:rsidRPr="007A3043" w:rsidRDefault="00085E73" w:rsidP="003475E2">
            <w:pPr>
              <w:pStyle w:val="TableText"/>
              <w:rPr>
                <w:szCs w:val="24"/>
                <w:lang w:eastAsia="ko-KR"/>
              </w:rPr>
            </w:pPr>
            <w:r>
              <w:t>0</w:t>
            </w:r>
          </w:p>
        </w:tc>
        <w:tc>
          <w:tcPr>
            <w:tcW w:w="720" w:type="dxa"/>
            <w:tcBorders>
              <w:bottom w:val="nil"/>
            </w:tcBorders>
            <w:noWrap/>
            <w:vAlign w:val="bottom"/>
          </w:tcPr>
          <w:p w14:paraId="0D7F1C7B" w14:textId="77777777" w:rsidR="00085E73" w:rsidRPr="007A3043" w:rsidRDefault="00085E73" w:rsidP="003475E2">
            <w:pPr>
              <w:pStyle w:val="TableText"/>
              <w:rPr>
                <w:szCs w:val="24"/>
                <w:lang w:eastAsia="ko-KR"/>
              </w:rPr>
            </w:pPr>
            <w:r>
              <w:t>0%</w:t>
            </w:r>
          </w:p>
        </w:tc>
        <w:tc>
          <w:tcPr>
            <w:tcW w:w="864" w:type="dxa"/>
            <w:tcBorders>
              <w:bottom w:val="nil"/>
            </w:tcBorders>
            <w:noWrap/>
            <w:vAlign w:val="bottom"/>
          </w:tcPr>
          <w:p w14:paraId="60745188" w14:textId="77777777" w:rsidR="00085E73" w:rsidRPr="007A3043" w:rsidRDefault="00085E73" w:rsidP="003475E2">
            <w:pPr>
              <w:pStyle w:val="TableText"/>
              <w:rPr>
                <w:szCs w:val="24"/>
                <w:lang w:eastAsia="ko-KR"/>
              </w:rPr>
            </w:pPr>
            <w:r>
              <w:t>4</w:t>
            </w:r>
          </w:p>
        </w:tc>
        <w:tc>
          <w:tcPr>
            <w:tcW w:w="720" w:type="dxa"/>
            <w:tcBorders>
              <w:bottom w:val="nil"/>
            </w:tcBorders>
            <w:noWrap/>
            <w:vAlign w:val="bottom"/>
          </w:tcPr>
          <w:p w14:paraId="6968A6BF" w14:textId="77777777" w:rsidR="00085E73" w:rsidRPr="007A3043" w:rsidRDefault="00085E73" w:rsidP="003475E2">
            <w:pPr>
              <w:pStyle w:val="TableText"/>
              <w:rPr>
                <w:szCs w:val="24"/>
                <w:lang w:eastAsia="ko-KR"/>
              </w:rPr>
            </w:pPr>
            <w:r>
              <w:t>2%</w:t>
            </w:r>
          </w:p>
        </w:tc>
        <w:tc>
          <w:tcPr>
            <w:tcW w:w="864" w:type="dxa"/>
            <w:tcBorders>
              <w:bottom w:val="nil"/>
            </w:tcBorders>
            <w:noWrap/>
            <w:vAlign w:val="bottom"/>
          </w:tcPr>
          <w:p w14:paraId="6ED1CD24" w14:textId="77777777" w:rsidR="00085E73" w:rsidRPr="007A3043" w:rsidRDefault="00085E73" w:rsidP="003475E2">
            <w:pPr>
              <w:pStyle w:val="TableText"/>
              <w:rPr>
                <w:szCs w:val="24"/>
                <w:lang w:eastAsia="ko-KR"/>
              </w:rPr>
            </w:pPr>
            <w:r>
              <w:t>5</w:t>
            </w:r>
          </w:p>
        </w:tc>
        <w:tc>
          <w:tcPr>
            <w:tcW w:w="720" w:type="dxa"/>
            <w:tcBorders>
              <w:bottom w:val="nil"/>
            </w:tcBorders>
            <w:noWrap/>
            <w:vAlign w:val="bottom"/>
          </w:tcPr>
          <w:p w14:paraId="01B7E388" w14:textId="77777777" w:rsidR="00085E73" w:rsidRPr="007A3043" w:rsidRDefault="00085E73" w:rsidP="003475E2">
            <w:pPr>
              <w:pStyle w:val="TableText"/>
              <w:rPr>
                <w:szCs w:val="24"/>
                <w:lang w:eastAsia="ko-KR"/>
              </w:rPr>
            </w:pPr>
            <w:r>
              <w:t>1%</w:t>
            </w:r>
          </w:p>
        </w:tc>
      </w:tr>
      <w:tr w:rsidR="00085E73" w:rsidRPr="00B96179" w14:paraId="2A286AA7" w14:textId="77777777" w:rsidTr="00290DC6">
        <w:tc>
          <w:tcPr>
            <w:tcW w:w="7056" w:type="dxa"/>
            <w:tcBorders>
              <w:top w:val="nil"/>
              <w:bottom w:val="single" w:sz="12" w:space="0" w:color="auto"/>
            </w:tcBorders>
          </w:tcPr>
          <w:p w14:paraId="55490FA0" w14:textId="5AE880D2" w:rsidR="00085E73" w:rsidRPr="0093049F" w:rsidRDefault="00085E73" w:rsidP="003475E2">
            <w:pPr>
              <w:pStyle w:val="TableText"/>
              <w:jc w:val="left"/>
              <w:rPr>
                <w:szCs w:val="20"/>
              </w:rPr>
            </w:pPr>
            <w:r>
              <w:t xml:space="preserve">Embedded Designated Support—Turn </w:t>
            </w:r>
            <w:r w:rsidR="006766C8">
              <w:t>O</w:t>
            </w:r>
            <w:r>
              <w:t xml:space="preserve">ff </w:t>
            </w:r>
            <w:r w:rsidR="006766C8">
              <w:t xml:space="preserve">Any </w:t>
            </w:r>
            <w:r>
              <w:t>Universal Tools</w:t>
            </w:r>
          </w:p>
        </w:tc>
        <w:tc>
          <w:tcPr>
            <w:tcW w:w="864" w:type="dxa"/>
            <w:tcBorders>
              <w:top w:val="nil"/>
              <w:bottom w:val="single" w:sz="12" w:space="0" w:color="auto"/>
            </w:tcBorders>
            <w:noWrap/>
            <w:vAlign w:val="bottom"/>
          </w:tcPr>
          <w:p w14:paraId="6EE94215" w14:textId="77777777" w:rsidR="00085E73" w:rsidRPr="007A3043" w:rsidRDefault="00085E73" w:rsidP="003475E2">
            <w:pPr>
              <w:pStyle w:val="TableText"/>
              <w:rPr>
                <w:szCs w:val="24"/>
              </w:rPr>
            </w:pPr>
            <w:r>
              <w:t>0</w:t>
            </w:r>
          </w:p>
        </w:tc>
        <w:tc>
          <w:tcPr>
            <w:tcW w:w="720" w:type="dxa"/>
            <w:tcBorders>
              <w:top w:val="nil"/>
              <w:bottom w:val="single" w:sz="12" w:space="0" w:color="auto"/>
            </w:tcBorders>
            <w:noWrap/>
            <w:vAlign w:val="bottom"/>
          </w:tcPr>
          <w:p w14:paraId="05990FCD" w14:textId="77777777" w:rsidR="00085E73" w:rsidRPr="007A3043" w:rsidRDefault="00085E73" w:rsidP="003475E2">
            <w:pPr>
              <w:pStyle w:val="TableText"/>
              <w:rPr>
                <w:szCs w:val="24"/>
              </w:rPr>
            </w:pPr>
            <w:r>
              <w:t>0</w:t>
            </w:r>
          </w:p>
        </w:tc>
        <w:tc>
          <w:tcPr>
            <w:tcW w:w="864" w:type="dxa"/>
            <w:tcBorders>
              <w:top w:val="nil"/>
              <w:bottom w:val="single" w:sz="12" w:space="0" w:color="auto"/>
            </w:tcBorders>
            <w:noWrap/>
            <w:vAlign w:val="bottom"/>
          </w:tcPr>
          <w:p w14:paraId="5BFFDBCD" w14:textId="77777777" w:rsidR="00085E73" w:rsidRPr="007A3043" w:rsidRDefault="00085E73" w:rsidP="003475E2">
            <w:pPr>
              <w:pStyle w:val="TableText"/>
              <w:rPr>
                <w:szCs w:val="24"/>
              </w:rPr>
            </w:pPr>
            <w:r>
              <w:t>0</w:t>
            </w:r>
          </w:p>
        </w:tc>
        <w:tc>
          <w:tcPr>
            <w:tcW w:w="720" w:type="dxa"/>
            <w:tcBorders>
              <w:top w:val="nil"/>
              <w:bottom w:val="single" w:sz="12" w:space="0" w:color="auto"/>
            </w:tcBorders>
            <w:noWrap/>
            <w:vAlign w:val="bottom"/>
          </w:tcPr>
          <w:p w14:paraId="01A02763" w14:textId="77777777" w:rsidR="00085E73" w:rsidRPr="007A3043" w:rsidRDefault="00085E73" w:rsidP="003475E2">
            <w:pPr>
              <w:pStyle w:val="TableText"/>
              <w:rPr>
                <w:szCs w:val="24"/>
              </w:rPr>
            </w:pPr>
            <w:r>
              <w:t>0</w:t>
            </w:r>
          </w:p>
        </w:tc>
        <w:tc>
          <w:tcPr>
            <w:tcW w:w="864" w:type="dxa"/>
            <w:tcBorders>
              <w:top w:val="nil"/>
              <w:bottom w:val="single" w:sz="12" w:space="0" w:color="auto"/>
            </w:tcBorders>
            <w:noWrap/>
            <w:vAlign w:val="bottom"/>
          </w:tcPr>
          <w:p w14:paraId="7813A141" w14:textId="77777777" w:rsidR="00085E73" w:rsidRPr="007A3043" w:rsidRDefault="00085E73" w:rsidP="003475E2">
            <w:pPr>
              <w:pStyle w:val="TableText"/>
              <w:rPr>
                <w:szCs w:val="24"/>
              </w:rPr>
            </w:pPr>
            <w:r>
              <w:t>0</w:t>
            </w:r>
          </w:p>
        </w:tc>
        <w:tc>
          <w:tcPr>
            <w:tcW w:w="720" w:type="dxa"/>
            <w:tcBorders>
              <w:top w:val="nil"/>
              <w:bottom w:val="single" w:sz="12" w:space="0" w:color="auto"/>
            </w:tcBorders>
            <w:noWrap/>
            <w:vAlign w:val="bottom"/>
          </w:tcPr>
          <w:p w14:paraId="241E45D5" w14:textId="77777777" w:rsidR="00085E73" w:rsidRPr="007A3043" w:rsidRDefault="00085E73" w:rsidP="003475E2">
            <w:pPr>
              <w:pStyle w:val="TableText"/>
              <w:rPr>
                <w:szCs w:val="24"/>
              </w:rPr>
            </w:pPr>
            <w:r>
              <w:t>0</w:t>
            </w:r>
          </w:p>
        </w:tc>
        <w:tc>
          <w:tcPr>
            <w:tcW w:w="864" w:type="dxa"/>
            <w:tcBorders>
              <w:top w:val="nil"/>
              <w:bottom w:val="single" w:sz="12" w:space="0" w:color="auto"/>
            </w:tcBorders>
            <w:noWrap/>
            <w:vAlign w:val="bottom"/>
          </w:tcPr>
          <w:p w14:paraId="3869CE20" w14:textId="77777777" w:rsidR="00085E73" w:rsidRPr="007A3043" w:rsidRDefault="00085E73" w:rsidP="003475E2">
            <w:pPr>
              <w:pStyle w:val="TableText"/>
              <w:rPr>
                <w:szCs w:val="24"/>
              </w:rPr>
            </w:pPr>
            <w:r>
              <w:t>0</w:t>
            </w:r>
          </w:p>
        </w:tc>
        <w:tc>
          <w:tcPr>
            <w:tcW w:w="720" w:type="dxa"/>
            <w:tcBorders>
              <w:top w:val="nil"/>
              <w:bottom w:val="single" w:sz="12" w:space="0" w:color="auto"/>
            </w:tcBorders>
            <w:noWrap/>
            <w:vAlign w:val="bottom"/>
          </w:tcPr>
          <w:p w14:paraId="4E1581FB" w14:textId="77777777" w:rsidR="00085E73" w:rsidRPr="007A3043" w:rsidRDefault="00085E73" w:rsidP="003475E2">
            <w:pPr>
              <w:pStyle w:val="TableText"/>
              <w:rPr>
                <w:szCs w:val="24"/>
              </w:rPr>
            </w:pPr>
            <w:r>
              <w:t>0</w:t>
            </w:r>
          </w:p>
        </w:tc>
      </w:tr>
      <w:tr w:rsidR="00085E73" w:rsidRPr="00B96179" w14:paraId="26222027" w14:textId="77777777" w:rsidTr="003475E2">
        <w:tc>
          <w:tcPr>
            <w:tcW w:w="7056" w:type="dxa"/>
            <w:tcBorders>
              <w:top w:val="single" w:sz="4" w:space="0" w:color="auto"/>
              <w:bottom w:val="nil"/>
            </w:tcBorders>
          </w:tcPr>
          <w:p w14:paraId="6B9054CB" w14:textId="77777777" w:rsidR="00085E73" w:rsidRPr="00025A56" w:rsidRDefault="00085E73" w:rsidP="00290DC6">
            <w:pPr>
              <w:pStyle w:val="TableText"/>
              <w:keepNext/>
              <w:keepLines/>
              <w:jc w:val="left"/>
              <w:rPr>
                <w:szCs w:val="20"/>
              </w:rPr>
            </w:pPr>
            <w:r>
              <w:lastRenderedPageBreak/>
              <w:t>Non-Embedded Designated Support—Amplification</w:t>
            </w:r>
          </w:p>
        </w:tc>
        <w:tc>
          <w:tcPr>
            <w:tcW w:w="864" w:type="dxa"/>
            <w:tcBorders>
              <w:top w:val="single" w:sz="4" w:space="0" w:color="auto"/>
              <w:bottom w:val="nil"/>
            </w:tcBorders>
            <w:noWrap/>
            <w:vAlign w:val="bottom"/>
          </w:tcPr>
          <w:p w14:paraId="1B11DE91" w14:textId="77777777" w:rsidR="00085E73" w:rsidRDefault="00085E73" w:rsidP="00290DC6">
            <w:pPr>
              <w:pStyle w:val="TableText"/>
              <w:keepNext/>
              <w:keepLines/>
              <w:rPr>
                <w:szCs w:val="24"/>
                <w:lang w:eastAsia="ko-KR"/>
              </w:rPr>
            </w:pPr>
            <w:r>
              <w:t>0</w:t>
            </w:r>
          </w:p>
        </w:tc>
        <w:tc>
          <w:tcPr>
            <w:tcW w:w="720" w:type="dxa"/>
            <w:tcBorders>
              <w:top w:val="single" w:sz="4" w:space="0" w:color="auto"/>
              <w:bottom w:val="nil"/>
            </w:tcBorders>
            <w:noWrap/>
            <w:vAlign w:val="bottom"/>
          </w:tcPr>
          <w:p w14:paraId="17942D08" w14:textId="77777777" w:rsidR="00085E73" w:rsidRDefault="00085E73" w:rsidP="00290DC6">
            <w:pPr>
              <w:pStyle w:val="TableText"/>
              <w:keepNext/>
              <w:keepLines/>
            </w:pPr>
            <w:r>
              <w:t>0%</w:t>
            </w:r>
          </w:p>
        </w:tc>
        <w:tc>
          <w:tcPr>
            <w:tcW w:w="864" w:type="dxa"/>
            <w:tcBorders>
              <w:top w:val="single" w:sz="4" w:space="0" w:color="auto"/>
              <w:bottom w:val="nil"/>
            </w:tcBorders>
            <w:noWrap/>
            <w:vAlign w:val="bottom"/>
          </w:tcPr>
          <w:p w14:paraId="2A9042E8" w14:textId="77777777" w:rsidR="00085E73" w:rsidRDefault="00085E73" w:rsidP="00290DC6">
            <w:pPr>
              <w:pStyle w:val="TableText"/>
              <w:keepNext/>
              <w:keepLines/>
              <w:rPr>
                <w:szCs w:val="24"/>
                <w:lang w:eastAsia="ko-KR"/>
              </w:rPr>
            </w:pPr>
            <w:r>
              <w:t>0</w:t>
            </w:r>
          </w:p>
        </w:tc>
        <w:tc>
          <w:tcPr>
            <w:tcW w:w="720" w:type="dxa"/>
            <w:tcBorders>
              <w:top w:val="single" w:sz="4" w:space="0" w:color="auto"/>
              <w:bottom w:val="nil"/>
            </w:tcBorders>
            <w:noWrap/>
            <w:vAlign w:val="bottom"/>
          </w:tcPr>
          <w:p w14:paraId="7B637E31" w14:textId="77777777" w:rsidR="00085E73" w:rsidRDefault="00085E73" w:rsidP="00290DC6">
            <w:pPr>
              <w:pStyle w:val="TableText"/>
              <w:keepNext/>
              <w:keepLines/>
            </w:pPr>
            <w:r>
              <w:t>0%</w:t>
            </w:r>
          </w:p>
        </w:tc>
        <w:tc>
          <w:tcPr>
            <w:tcW w:w="864" w:type="dxa"/>
            <w:tcBorders>
              <w:top w:val="single" w:sz="4" w:space="0" w:color="auto"/>
              <w:bottom w:val="nil"/>
            </w:tcBorders>
            <w:noWrap/>
            <w:vAlign w:val="bottom"/>
          </w:tcPr>
          <w:p w14:paraId="32ED1BAE" w14:textId="77777777" w:rsidR="00085E73" w:rsidRDefault="00085E73" w:rsidP="00290DC6">
            <w:pPr>
              <w:pStyle w:val="TableText"/>
              <w:keepNext/>
              <w:keepLines/>
              <w:rPr>
                <w:szCs w:val="24"/>
                <w:lang w:eastAsia="ko-KR"/>
              </w:rPr>
            </w:pPr>
            <w:r>
              <w:t>1</w:t>
            </w:r>
          </w:p>
        </w:tc>
        <w:tc>
          <w:tcPr>
            <w:tcW w:w="720" w:type="dxa"/>
            <w:tcBorders>
              <w:top w:val="single" w:sz="4" w:space="0" w:color="auto"/>
              <w:bottom w:val="nil"/>
            </w:tcBorders>
            <w:noWrap/>
            <w:vAlign w:val="bottom"/>
          </w:tcPr>
          <w:p w14:paraId="4D4BC20B" w14:textId="77777777" w:rsidR="00085E73" w:rsidRDefault="00085E73" w:rsidP="00290DC6">
            <w:pPr>
              <w:pStyle w:val="TableText"/>
              <w:keepNext/>
              <w:keepLines/>
            </w:pPr>
            <w:r>
              <w:t>0%</w:t>
            </w:r>
          </w:p>
        </w:tc>
        <w:tc>
          <w:tcPr>
            <w:tcW w:w="864" w:type="dxa"/>
            <w:tcBorders>
              <w:top w:val="single" w:sz="4" w:space="0" w:color="auto"/>
              <w:bottom w:val="nil"/>
            </w:tcBorders>
            <w:noWrap/>
            <w:vAlign w:val="bottom"/>
          </w:tcPr>
          <w:p w14:paraId="6E60060C" w14:textId="77777777" w:rsidR="00085E73" w:rsidRDefault="00085E73" w:rsidP="00290DC6">
            <w:pPr>
              <w:pStyle w:val="TableText"/>
              <w:keepNext/>
              <w:keepLines/>
              <w:rPr>
                <w:szCs w:val="24"/>
                <w:lang w:eastAsia="ko-KR"/>
              </w:rPr>
            </w:pPr>
            <w:r>
              <w:t>1</w:t>
            </w:r>
          </w:p>
        </w:tc>
        <w:tc>
          <w:tcPr>
            <w:tcW w:w="720" w:type="dxa"/>
            <w:tcBorders>
              <w:top w:val="single" w:sz="4" w:space="0" w:color="auto"/>
              <w:bottom w:val="nil"/>
            </w:tcBorders>
            <w:noWrap/>
            <w:vAlign w:val="bottom"/>
          </w:tcPr>
          <w:p w14:paraId="74D4E355" w14:textId="77777777" w:rsidR="00085E73" w:rsidRDefault="00085E73" w:rsidP="00290DC6">
            <w:pPr>
              <w:pStyle w:val="TableText"/>
              <w:keepNext/>
              <w:keepLines/>
            </w:pPr>
            <w:r>
              <w:t>0%</w:t>
            </w:r>
          </w:p>
        </w:tc>
      </w:tr>
      <w:tr w:rsidR="00085E73" w:rsidRPr="00B96179" w14:paraId="5019A708" w14:textId="77777777" w:rsidTr="003475E2">
        <w:tc>
          <w:tcPr>
            <w:tcW w:w="7056" w:type="dxa"/>
            <w:tcBorders>
              <w:top w:val="nil"/>
            </w:tcBorders>
          </w:tcPr>
          <w:p w14:paraId="06383DC8" w14:textId="77777777" w:rsidR="00085E73" w:rsidRPr="00025A56" w:rsidRDefault="00085E73" w:rsidP="00290DC6">
            <w:pPr>
              <w:pStyle w:val="TableText"/>
              <w:keepNext/>
              <w:keepLines/>
              <w:jc w:val="left"/>
              <w:rPr>
                <w:szCs w:val="20"/>
              </w:rPr>
            </w:pPr>
            <w:r>
              <w:t>Non-Embedded Designated Support—Color Contrast</w:t>
            </w:r>
          </w:p>
        </w:tc>
        <w:tc>
          <w:tcPr>
            <w:tcW w:w="864" w:type="dxa"/>
            <w:tcBorders>
              <w:top w:val="nil"/>
            </w:tcBorders>
            <w:noWrap/>
            <w:vAlign w:val="bottom"/>
          </w:tcPr>
          <w:p w14:paraId="36A6CB51" w14:textId="77777777" w:rsidR="00085E73" w:rsidRDefault="00085E73" w:rsidP="00290DC6">
            <w:pPr>
              <w:pStyle w:val="TableText"/>
              <w:keepNext/>
              <w:keepLines/>
              <w:rPr>
                <w:szCs w:val="24"/>
                <w:lang w:eastAsia="ko-KR"/>
              </w:rPr>
            </w:pPr>
            <w:r>
              <w:t>0</w:t>
            </w:r>
          </w:p>
        </w:tc>
        <w:tc>
          <w:tcPr>
            <w:tcW w:w="720" w:type="dxa"/>
            <w:tcBorders>
              <w:top w:val="nil"/>
            </w:tcBorders>
            <w:noWrap/>
            <w:vAlign w:val="bottom"/>
          </w:tcPr>
          <w:p w14:paraId="37D2BBF7" w14:textId="77777777" w:rsidR="00085E73" w:rsidRDefault="00085E73" w:rsidP="00290DC6">
            <w:pPr>
              <w:pStyle w:val="TableText"/>
              <w:keepNext/>
              <w:keepLines/>
            </w:pPr>
            <w:r>
              <w:t>0%</w:t>
            </w:r>
          </w:p>
        </w:tc>
        <w:tc>
          <w:tcPr>
            <w:tcW w:w="864" w:type="dxa"/>
            <w:tcBorders>
              <w:top w:val="nil"/>
            </w:tcBorders>
            <w:noWrap/>
            <w:vAlign w:val="bottom"/>
          </w:tcPr>
          <w:p w14:paraId="2A81CEE5" w14:textId="77777777" w:rsidR="00085E73" w:rsidRDefault="00085E73" w:rsidP="00290DC6">
            <w:pPr>
              <w:pStyle w:val="TableText"/>
              <w:keepNext/>
              <w:keepLines/>
              <w:rPr>
                <w:szCs w:val="24"/>
                <w:lang w:eastAsia="ko-KR"/>
              </w:rPr>
            </w:pPr>
            <w:r>
              <w:t>0</w:t>
            </w:r>
          </w:p>
        </w:tc>
        <w:tc>
          <w:tcPr>
            <w:tcW w:w="720" w:type="dxa"/>
            <w:tcBorders>
              <w:top w:val="nil"/>
            </w:tcBorders>
            <w:noWrap/>
            <w:vAlign w:val="bottom"/>
          </w:tcPr>
          <w:p w14:paraId="50EAEAB3" w14:textId="77777777" w:rsidR="00085E73" w:rsidRDefault="00085E73" w:rsidP="00290DC6">
            <w:pPr>
              <w:pStyle w:val="TableText"/>
              <w:keepNext/>
              <w:keepLines/>
            </w:pPr>
            <w:r>
              <w:t>0%</w:t>
            </w:r>
          </w:p>
        </w:tc>
        <w:tc>
          <w:tcPr>
            <w:tcW w:w="864" w:type="dxa"/>
            <w:tcBorders>
              <w:top w:val="nil"/>
            </w:tcBorders>
            <w:noWrap/>
            <w:vAlign w:val="bottom"/>
          </w:tcPr>
          <w:p w14:paraId="5F3AC81E" w14:textId="77777777" w:rsidR="00085E73" w:rsidRDefault="00085E73" w:rsidP="00290DC6">
            <w:pPr>
              <w:pStyle w:val="TableText"/>
              <w:keepNext/>
              <w:keepLines/>
              <w:rPr>
                <w:szCs w:val="24"/>
                <w:lang w:eastAsia="ko-KR"/>
              </w:rPr>
            </w:pPr>
            <w:r>
              <w:t>2</w:t>
            </w:r>
          </w:p>
        </w:tc>
        <w:tc>
          <w:tcPr>
            <w:tcW w:w="720" w:type="dxa"/>
            <w:tcBorders>
              <w:top w:val="nil"/>
            </w:tcBorders>
            <w:noWrap/>
            <w:vAlign w:val="bottom"/>
          </w:tcPr>
          <w:p w14:paraId="6D1C00BC" w14:textId="77777777" w:rsidR="00085E73" w:rsidRDefault="00085E73" w:rsidP="00290DC6">
            <w:pPr>
              <w:pStyle w:val="TableText"/>
              <w:keepNext/>
              <w:keepLines/>
            </w:pPr>
            <w:r>
              <w:t>1%</w:t>
            </w:r>
          </w:p>
        </w:tc>
        <w:tc>
          <w:tcPr>
            <w:tcW w:w="864" w:type="dxa"/>
            <w:tcBorders>
              <w:top w:val="nil"/>
            </w:tcBorders>
            <w:noWrap/>
            <w:vAlign w:val="bottom"/>
          </w:tcPr>
          <w:p w14:paraId="66552454" w14:textId="77777777" w:rsidR="00085E73" w:rsidRDefault="00085E73" w:rsidP="00290DC6">
            <w:pPr>
              <w:pStyle w:val="TableText"/>
              <w:keepNext/>
              <w:keepLines/>
              <w:rPr>
                <w:szCs w:val="24"/>
                <w:lang w:eastAsia="ko-KR"/>
              </w:rPr>
            </w:pPr>
            <w:r>
              <w:t>2</w:t>
            </w:r>
          </w:p>
        </w:tc>
        <w:tc>
          <w:tcPr>
            <w:tcW w:w="720" w:type="dxa"/>
            <w:tcBorders>
              <w:top w:val="nil"/>
            </w:tcBorders>
            <w:noWrap/>
            <w:vAlign w:val="bottom"/>
          </w:tcPr>
          <w:p w14:paraId="6B5FAA6A" w14:textId="77777777" w:rsidR="00085E73" w:rsidRDefault="00085E73" w:rsidP="00290DC6">
            <w:pPr>
              <w:pStyle w:val="TableText"/>
              <w:keepNext/>
              <w:keepLines/>
            </w:pPr>
            <w:r>
              <w:t>0%</w:t>
            </w:r>
          </w:p>
        </w:tc>
      </w:tr>
      <w:tr w:rsidR="00085E73" w:rsidRPr="00B96179" w14:paraId="5DC8ADF3" w14:textId="77777777" w:rsidTr="003475E2">
        <w:tc>
          <w:tcPr>
            <w:tcW w:w="7056" w:type="dxa"/>
          </w:tcPr>
          <w:p w14:paraId="0329C7EF" w14:textId="77777777" w:rsidR="00085E73" w:rsidRPr="00025A56" w:rsidRDefault="00085E73" w:rsidP="00290DC6">
            <w:pPr>
              <w:pStyle w:val="TableText"/>
              <w:keepNext/>
              <w:keepLines/>
              <w:jc w:val="left"/>
              <w:rPr>
                <w:szCs w:val="20"/>
              </w:rPr>
            </w:pPr>
            <w:r>
              <w:t>Non-Embedded Designated Support—Color Overlay</w:t>
            </w:r>
          </w:p>
        </w:tc>
        <w:tc>
          <w:tcPr>
            <w:tcW w:w="864" w:type="dxa"/>
            <w:noWrap/>
            <w:vAlign w:val="bottom"/>
          </w:tcPr>
          <w:p w14:paraId="74E7D01F" w14:textId="77777777" w:rsidR="00085E73" w:rsidRDefault="00085E73" w:rsidP="00290DC6">
            <w:pPr>
              <w:pStyle w:val="TableText"/>
              <w:keepNext/>
              <w:keepLines/>
              <w:rPr>
                <w:szCs w:val="24"/>
                <w:lang w:eastAsia="ko-KR"/>
              </w:rPr>
            </w:pPr>
            <w:r>
              <w:t>0</w:t>
            </w:r>
          </w:p>
        </w:tc>
        <w:tc>
          <w:tcPr>
            <w:tcW w:w="720" w:type="dxa"/>
            <w:noWrap/>
            <w:vAlign w:val="bottom"/>
          </w:tcPr>
          <w:p w14:paraId="7C282D39" w14:textId="77777777" w:rsidR="00085E73" w:rsidRDefault="00085E73" w:rsidP="00290DC6">
            <w:pPr>
              <w:pStyle w:val="TableText"/>
              <w:keepNext/>
              <w:keepLines/>
            </w:pPr>
            <w:r>
              <w:t>0%</w:t>
            </w:r>
          </w:p>
        </w:tc>
        <w:tc>
          <w:tcPr>
            <w:tcW w:w="864" w:type="dxa"/>
            <w:noWrap/>
            <w:vAlign w:val="bottom"/>
          </w:tcPr>
          <w:p w14:paraId="2C5BCD22" w14:textId="77777777" w:rsidR="00085E73" w:rsidRDefault="00085E73" w:rsidP="00290DC6">
            <w:pPr>
              <w:pStyle w:val="TableText"/>
              <w:keepNext/>
              <w:keepLines/>
              <w:rPr>
                <w:szCs w:val="24"/>
                <w:lang w:eastAsia="ko-KR"/>
              </w:rPr>
            </w:pPr>
            <w:r>
              <w:t>0</w:t>
            </w:r>
          </w:p>
        </w:tc>
        <w:tc>
          <w:tcPr>
            <w:tcW w:w="720" w:type="dxa"/>
            <w:noWrap/>
            <w:vAlign w:val="bottom"/>
          </w:tcPr>
          <w:p w14:paraId="58D95AB5" w14:textId="77777777" w:rsidR="00085E73" w:rsidRDefault="00085E73" w:rsidP="00290DC6">
            <w:pPr>
              <w:pStyle w:val="TableText"/>
              <w:keepNext/>
              <w:keepLines/>
            </w:pPr>
            <w:r>
              <w:t>0%</w:t>
            </w:r>
          </w:p>
        </w:tc>
        <w:tc>
          <w:tcPr>
            <w:tcW w:w="864" w:type="dxa"/>
            <w:noWrap/>
            <w:vAlign w:val="bottom"/>
          </w:tcPr>
          <w:p w14:paraId="2579A4ED" w14:textId="77777777" w:rsidR="00085E73" w:rsidRDefault="00085E73" w:rsidP="00290DC6">
            <w:pPr>
              <w:pStyle w:val="TableText"/>
              <w:keepNext/>
              <w:keepLines/>
              <w:rPr>
                <w:szCs w:val="24"/>
                <w:lang w:eastAsia="ko-KR"/>
              </w:rPr>
            </w:pPr>
            <w:r>
              <w:t>1</w:t>
            </w:r>
          </w:p>
        </w:tc>
        <w:tc>
          <w:tcPr>
            <w:tcW w:w="720" w:type="dxa"/>
            <w:noWrap/>
            <w:vAlign w:val="bottom"/>
          </w:tcPr>
          <w:p w14:paraId="46B8E367" w14:textId="77777777" w:rsidR="00085E73" w:rsidRDefault="00085E73" w:rsidP="00290DC6">
            <w:pPr>
              <w:pStyle w:val="TableText"/>
              <w:keepNext/>
              <w:keepLines/>
            </w:pPr>
            <w:r>
              <w:t>0%</w:t>
            </w:r>
          </w:p>
        </w:tc>
        <w:tc>
          <w:tcPr>
            <w:tcW w:w="864" w:type="dxa"/>
            <w:noWrap/>
            <w:vAlign w:val="bottom"/>
          </w:tcPr>
          <w:p w14:paraId="3DF8AEF3" w14:textId="77777777" w:rsidR="00085E73" w:rsidRDefault="00085E73" w:rsidP="00290DC6">
            <w:pPr>
              <w:pStyle w:val="TableText"/>
              <w:keepNext/>
              <w:keepLines/>
              <w:rPr>
                <w:szCs w:val="24"/>
                <w:lang w:eastAsia="ko-KR"/>
              </w:rPr>
            </w:pPr>
            <w:r>
              <w:t>1</w:t>
            </w:r>
          </w:p>
        </w:tc>
        <w:tc>
          <w:tcPr>
            <w:tcW w:w="720" w:type="dxa"/>
            <w:noWrap/>
            <w:vAlign w:val="bottom"/>
          </w:tcPr>
          <w:p w14:paraId="085C7387" w14:textId="77777777" w:rsidR="00085E73" w:rsidRDefault="00085E73" w:rsidP="00290DC6">
            <w:pPr>
              <w:pStyle w:val="TableText"/>
              <w:keepNext/>
              <w:keepLines/>
            </w:pPr>
            <w:r>
              <w:t>0%</w:t>
            </w:r>
          </w:p>
        </w:tc>
      </w:tr>
      <w:tr w:rsidR="00085E73" w:rsidRPr="00B96179" w14:paraId="3AFE9F82" w14:textId="77777777" w:rsidTr="003475E2">
        <w:tc>
          <w:tcPr>
            <w:tcW w:w="7056" w:type="dxa"/>
          </w:tcPr>
          <w:p w14:paraId="76C62E0C" w14:textId="77777777" w:rsidR="00085E73" w:rsidRPr="00025A56" w:rsidRDefault="00085E73" w:rsidP="00290DC6">
            <w:pPr>
              <w:pStyle w:val="TableText"/>
              <w:keepNext/>
              <w:keepLines/>
              <w:jc w:val="left"/>
              <w:rPr>
                <w:szCs w:val="20"/>
              </w:rPr>
            </w:pPr>
            <w:r>
              <w:t>Non-Embedded Designated Support—Magnification</w:t>
            </w:r>
          </w:p>
        </w:tc>
        <w:tc>
          <w:tcPr>
            <w:tcW w:w="864" w:type="dxa"/>
            <w:noWrap/>
            <w:vAlign w:val="bottom"/>
          </w:tcPr>
          <w:p w14:paraId="2BE17C58" w14:textId="77777777" w:rsidR="00085E73" w:rsidRDefault="00085E73" w:rsidP="00290DC6">
            <w:pPr>
              <w:pStyle w:val="TableText"/>
              <w:keepNext/>
              <w:keepLines/>
              <w:rPr>
                <w:szCs w:val="24"/>
                <w:lang w:eastAsia="ko-KR"/>
              </w:rPr>
            </w:pPr>
            <w:r>
              <w:t>0</w:t>
            </w:r>
          </w:p>
        </w:tc>
        <w:tc>
          <w:tcPr>
            <w:tcW w:w="720" w:type="dxa"/>
            <w:noWrap/>
            <w:vAlign w:val="bottom"/>
          </w:tcPr>
          <w:p w14:paraId="046C0AB9" w14:textId="77777777" w:rsidR="00085E73" w:rsidRDefault="00085E73" w:rsidP="00290DC6">
            <w:pPr>
              <w:pStyle w:val="TableText"/>
              <w:keepNext/>
              <w:keepLines/>
            </w:pPr>
            <w:r>
              <w:t>0%</w:t>
            </w:r>
          </w:p>
        </w:tc>
        <w:tc>
          <w:tcPr>
            <w:tcW w:w="864" w:type="dxa"/>
            <w:noWrap/>
            <w:vAlign w:val="bottom"/>
          </w:tcPr>
          <w:p w14:paraId="3FE40B03" w14:textId="77777777" w:rsidR="00085E73" w:rsidRDefault="00085E73" w:rsidP="00290DC6">
            <w:pPr>
              <w:pStyle w:val="TableText"/>
              <w:keepNext/>
              <w:keepLines/>
              <w:rPr>
                <w:szCs w:val="24"/>
                <w:lang w:eastAsia="ko-KR"/>
              </w:rPr>
            </w:pPr>
            <w:r>
              <w:t>4</w:t>
            </w:r>
          </w:p>
        </w:tc>
        <w:tc>
          <w:tcPr>
            <w:tcW w:w="720" w:type="dxa"/>
            <w:noWrap/>
            <w:vAlign w:val="bottom"/>
          </w:tcPr>
          <w:p w14:paraId="2A874796" w14:textId="77777777" w:rsidR="00085E73" w:rsidRDefault="00085E73" w:rsidP="00290DC6">
            <w:pPr>
              <w:pStyle w:val="TableText"/>
              <w:keepNext/>
              <w:keepLines/>
            </w:pPr>
            <w:r>
              <w:t>1%</w:t>
            </w:r>
          </w:p>
        </w:tc>
        <w:tc>
          <w:tcPr>
            <w:tcW w:w="864" w:type="dxa"/>
            <w:noWrap/>
            <w:vAlign w:val="bottom"/>
          </w:tcPr>
          <w:p w14:paraId="22D202A3" w14:textId="77777777" w:rsidR="00085E73" w:rsidRDefault="00085E73" w:rsidP="00290DC6">
            <w:pPr>
              <w:pStyle w:val="TableText"/>
              <w:keepNext/>
              <w:keepLines/>
              <w:rPr>
                <w:szCs w:val="24"/>
                <w:lang w:eastAsia="ko-KR"/>
              </w:rPr>
            </w:pPr>
            <w:r>
              <w:t>2</w:t>
            </w:r>
          </w:p>
        </w:tc>
        <w:tc>
          <w:tcPr>
            <w:tcW w:w="720" w:type="dxa"/>
            <w:noWrap/>
            <w:vAlign w:val="bottom"/>
          </w:tcPr>
          <w:p w14:paraId="6DBBE315" w14:textId="77777777" w:rsidR="00085E73" w:rsidRDefault="00085E73" w:rsidP="00290DC6">
            <w:pPr>
              <w:pStyle w:val="TableText"/>
              <w:keepNext/>
              <w:keepLines/>
            </w:pPr>
            <w:r>
              <w:t>1%</w:t>
            </w:r>
          </w:p>
        </w:tc>
        <w:tc>
          <w:tcPr>
            <w:tcW w:w="864" w:type="dxa"/>
            <w:noWrap/>
            <w:vAlign w:val="bottom"/>
          </w:tcPr>
          <w:p w14:paraId="5C037B7D" w14:textId="77777777" w:rsidR="00085E73" w:rsidRDefault="00085E73" w:rsidP="00290DC6">
            <w:pPr>
              <w:pStyle w:val="TableText"/>
              <w:keepNext/>
              <w:keepLines/>
              <w:rPr>
                <w:szCs w:val="24"/>
                <w:lang w:eastAsia="ko-KR"/>
              </w:rPr>
            </w:pPr>
            <w:r>
              <w:t>6</w:t>
            </w:r>
          </w:p>
        </w:tc>
        <w:tc>
          <w:tcPr>
            <w:tcW w:w="720" w:type="dxa"/>
            <w:noWrap/>
            <w:vAlign w:val="bottom"/>
          </w:tcPr>
          <w:p w14:paraId="0CA542C1" w14:textId="77777777" w:rsidR="00085E73" w:rsidRDefault="00085E73" w:rsidP="00290DC6">
            <w:pPr>
              <w:pStyle w:val="TableText"/>
              <w:keepNext/>
              <w:keepLines/>
            </w:pPr>
            <w:r>
              <w:t>1%</w:t>
            </w:r>
          </w:p>
        </w:tc>
      </w:tr>
      <w:tr w:rsidR="00085E73" w:rsidRPr="00B96179" w14:paraId="7CFBEDC5" w14:textId="77777777" w:rsidTr="003475E2">
        <w:tc>
          <w:tcPr>
            <w:tcW w:w="7056" w:type="dxa"/>
          </w:tcPr>
          <w:p w14:paraId="553A1D4F" w14:textId="77777777" w:rsidR="00085E73" w:rsidRPr="00025A56" w:rsidRDefault="00085E73" w:rsidP="00290DC6">
            <w:pPr>
              <w:pStyle w:val="TableText"/>
              <w:keepNext/>
              <w:keepLines/>
              <w:jc w:val="left"/>
              <w:rPr>
                <w:szCs w:val="20"/>
              </w:rPr>
            </w:pPr>
            <w:r>
              <w:t>Non-Embedded Designated Support—Medical Supports</w:t>
            </w:r>
          </w:p>
        </w:tc>
        <w:tc>
          <w:tcPr>
            <w:tcW w:w="864" w:type="dxa"/>
            <w:noWrap/>
            <w:vAlign w:val="bottom"/>
          </w:tcPr>
          <w:p w14:paraId="31834CCC" w14:textId="77777777" w:rsidR="00085E73" w:rsidRDefault="00085E73" w:rsidP="00290DC6">
            <w:pPr>
              <w:pStyle w:val="TableText"/>
              <w:keepNext/>
              <w:keepLines/>
              <w:rPr>
                <w:szCs w:val="24"/>
                <w:lang w:eastAsia="ko-KR"/>
              </w:rPr>
            </w:pPr>
            <w:r>
              <w:t>0</w:t>
            </w:r>
          </w:p>
        </w:tc>
        <w:tc>
          <w:tcPr>
            <w:tcW w:w="720" w:type="dxa"/>
            <w:noWrap/>
            <w:vAlign w:val="bottom"/>
          </w:tcPr>
          <w:p w14:paraId="1525F392" w14:textId="77777777" w:rsidR="00085E73" w:rsidRDefault="00085E73" w:rsidP="00290DC6">
            <w:pPr>
              <w:pStyle w:val="TableText"/>
              <w:keepNext/>
              <w:keepLines/>
            </w:pPr>
            <w:r>
              <w:t>0%</w:t>
            </w:r>
          </w:p>
        </w:tc>
        <w:tc>
          <w:tcPr>
            <w:tcW w:w="864" w:type="dxa"/>
            <w:noWrap/>
            <w:vAlign w:val="bottom"/>
          </w:tcPr>
          <w:p w14:paraId="6BFDEA20" w14:textId="77777777" w:rsidR="00085E73" w:rsidRDefault="00085E73" w:rsidP="00290DC6">
            <w:pPr>
              <w:pStyle w:val="TableText"/>
              <w:keepNext/>
              <w:keepLines/>
              <w:rPr>
                <w:szCs w:val="24"/>
                <w:lang w:eastAsia="ko-KR"/>
              </w:rPr>
            </w:pPr>
            <w:r>
              <w:t>0</w:t>
            </w:r>
          </w:p>
        </w:tc>
        <w:tc>
          <w:tcPr>
            <w:tcW w:w="720" w:type="dxa"/>
            <w:noWrap/>
            <w:vAlign w:val="bottom"/>
          </w:tcPr>
          <w:p w14:paraId="070BAF69" w14:textId="77777777" w:rsidR="00085E73" w:rsidRDefault="00085E73" w:rsidP="00290DC6">
            <w:pPr>
              <w:pStyle w:val="TableText"/>
              <w:keepNext/>
              <w:keepLines/>
            </w:pPr>
            <w:r>
              <w:t>0%</w:t>
            </w:r>
          </w:p>
        </w:tc>
        <w:tc>
          <w:tcPr>
            <w:tcW w:w="864" w:type="dxa"/>
            <w:noWrap/>
            <w:vAlign w:val="bottom"/>
          </w:tcPr>
          <w:p w14:paraId="66550444" w14:textId="77777777" w:rsidR="00085E73" w:rsidRDefault="00085E73" w:rsidP="00290DC6">
            <w:pPr>
              <w:pStyle w:val="TableText"/>
              <w:keepNext/>
              <w:keepLines/>
              <w:rPr>
                <w:szCs w:val="24"/>
                <w:lang w:eastAsia="ko-KR"/>
              </w:rPr>
            </w:pPr>
            <w:r>
              <w:t>1</w:t>
            </w:r>
          </w:p>
        </w:tc>
        <w:tc>
          <w:tcPr>
            <w:tcW w:w="720" w:type="dxa"/>
            <w:noWrap/>
            <w:vAlign w:val="bottom"/>
          </w:tcPr>
          <w:p w14:paraId="66919C96" w14:textId="77777777" w:rsidR="00085E73" w:rsidRDefault="00085E73" w:rsidP="00290DC6">
            <w:pPr>
              <w:pStyle w:val="TableText"/>
              <w:keepNext/>
              <w:keepLines/>
            </w:pPr>
            <w:r>
              <w:t>0%</w:t>
            </w:r>
          </w:p>
        </w:tc>
        <w:tc>
          <w:tcPr>
            <w:tcW w:w="864" w:type="dxa"/>
            <w:noWrap/>
            <w:vAlign w:val="bottom"/>
          </w:tcPr>
          <w:p w14:paraId="7B31184E" w14:textId="77777777" w:rsidR="00085E73" w:rsidRDefault="00085E73" w:rsidP="00290DC6">
            <w:pPr>
              <w:pStyle w:val="TableText"/>
              <w:keepNext/>
              <w:keepLines/>
              <w:rPr>
                <w:szCs w:val="24"/>
                <w:lang w:eastAsia="ko-KR"/>
              </w:rPr>
            </w:pPr>
            <w:r>
              <w:t>1</w:t>
            </w:r>
          </w:p>
        </w:tc>
        <w:tc>
          <w:tcPr>
            <w:tcW w:w="720" w:type="dxa"/>
            <w:noWrap/>
            <w:vAlign w:val="bottom"/>
          </w:tcPr>
          <w:p w14:paraId="257E652B" w14:textId="77777777" w:rsidR="00085E73" w:rsidRDefault="00085E73" w:rsidP="00290DC6">
            <w:pPr>
              <w:pStyle w:val="TableText"/>
              <w:keepNext/>
              <w:keepLines/>
            </w:pPr>
            <w:r>
              <w:t>0%</w:t>
            </w:r>
          </w:p>
        </w:tc>
      </w:tr>
      <w:tr w:rsidR="00085E73" w:rsidRPr="00B96179" w14:paraId="3E1B7FA1" w14:textId="77777777" w:rsidTr="003475E2">
        <w:tc>
          <w:tcPr>
            <w:tcW w:w="7056" w:type="dxa"/>
          </w:tcPr>
          <w:p w14:paraId="67DDA5E3" w14:textId="77777777" w:rsidR="00085E73" w:rsidRPr="00025A56" w:rsidRDefault="00085E73" w:rsidP="00290DC6">
            <w:pPr>
              <w:pStyle w:val="TableText"/>
              <w:keepNext/>
              <w:keepLines/>
              <w:jc w:val="left"/>
              <w:rPr>
                <w:szCs w:val="20"/>
              </w:rPr>
            </w:pPr>
            <w:r>
              <w:t>Non-Embedded Designated Support—Multiplication Table</w:t>
            </w:r>
          </w:p>
        </w:tc>
        <w:tc>
          <w:tcPr>
            <w:tcW w:w="864" w:type="dxa"/>
            <w:noWrap/>
            <w:vAlign w:val="bottom"/>
          </w:tcPr>
          <w:p w14:paraId="3D31D11A" w14:textId="77777777" w:rsidR="00085E73" w:rsidRDefault="00085E73" w:rsidP="00290DC6">
            <w:pPr>
              <w:pStyle w:val="TableText"/>
              <w:keepNext/>
              <w:keepLines/>
              <w:rPr>
                <w:szCs w:val="24"/>
                <w:lang w:eastAsia="ko-KR"/>
              </w:rPr>
            </w:pPr>
            <w:r>
              <w:t>0</w:t>
            </w:r>
          </w:p>
        </w:tc>
        <w:tc>
          <w:tcPr>
            <w:tcW w:w="720" w:type="dxa"/>
            <w:noWrap/>
            <w:vAlign w:val="bottom"/>
          </w:tcPr>
          <w:p w14:paraId="3B2FB1E8" w14:textId="77777777" w:rsidR="00085E73" w:rsidRDefault="00085E73" w:rsidP="00290DC6">
            <w:pPr>
              <w:pStyle w:val="TableText"/>
              <w:keepNext/>
              <w:keepLines/>
            </w:pPr>
            <w:r>
              <w:t>0%</w:t>
            </w:r>
          </w:p>
        </w:tc>
        <w:tc>
          <w:tcPr>
            <w:tcW w:w="864" w:type="dxa"/>
            <w:noWrap/>
            <w:vAlign w:val="bottom"/>
          </w:tcPr>
          <w:p w14:paraId="2FC8D47E" w14:textId="77777777" w:rsidR="00085E73" w:rsidRDefault="00085E73" w:rsidP="00290DC6">
            <w:pPr>
              <w:pStyle w:val="TableText"/>
              <w:keepNext/>
              <w:keepLines/>
              <w:rPr>
                <w:szCs w:val="24"/>
                <w:lang w:eastAsia="ko-KR"/>
              </w:rPr>
            </w:pPr>
            <w:r>
              <w:t>5</w:t>
            </w:r>
          </w:p>
        </w:tc>
        <w:tc>
          <w:tcPr>
            <w:tcW w:w="720" w:type="dxa"/>
            <w:noWrap/>
            <w:vAlign w:val="bottom"/>
          </w:tcPr>
          <w:p w14:paraId="468CBCFD" w14:textId="77777777" w:rsidR="00085E73" w:rsidRDefault="00085E73" w:rsidP="00290DC6">
            <w:pPr>
              <w:pStyle w:val="TableText"/>
              <w:keepNext/>
              <w:keepLines/>
            </w:pPr>
            <w:r>
              <w:t>1%</w:t>
            </w:r>
          </w:p>
        </w:tc>
        <w:tc>
          <w:tcPr>
            <w:tcW w:w="864" w:type="dxa"/>
            <w:noWrap/>
            <w:vAlign w:val="bottom"/>
          </w:tcPr>
          <w:p w14:paraId="203B203C" w14:textId="77777777" w:rsidR="00085E73" w:rsidRDefault="00085E73" w:rsidP="00290DC6">
            <w:pPr>
              <w:pStyle w:val="TableText"/>
              <w:keepNext/>
              <w:keepLines/>
              <w:rPr>
                <w:szCs w:val="24"/>
                <w:lang w:eastAsia="ko-KR"/>
              </w:rPr>
            </w:pPr>
            <w:r>
              <w:t>4</w:t>
            </w:r>
          </w:p>
        </w:tc>
        <w:tc>
          <w:tcPr>
            <w:tcW w:w="720" w:type="dxa"/>
            <w:noWrap/>
            <w:vAlign w:val="bottom"/>
          </w:tcPr>
          <w:p w14:paraId="17506DF9" w14:textId="77777777" w:rsidR="00085E73" w:rsidRDefault="00085E73" w:rsidP="00290DC6">
            <w:pPr>
              <w:pStyle w:val="TableText"/>
              <w:keepNext/>
              <w:keepLines/>
            </w:pPr>
            <w:r>
              <w:t>2%</w:t>
            </w:r>
          </w:p>
        </w:tc>
        <w:tc>
          <w:tcPr>
            <w:tcW w:w="864" w:type="dxa"/>
            <w:noWrap/>
            <w:vAlign w:val="bottom"/>
          </w:tcPr>
          <w:p w14:paraId="0397AA93" w14:textId="77777777" w:rsidR="00085E73" w:rsidRDefault="00085E73" w:rsidP="00290DC6">
            <w:pPr>
              <w:pStyle w:val="TableText"/>
              <w:keepNext/>
              <w:keepLines/>
              <w:rPr>
                <w:szCs w:val="24"/>
                <w:lang w:eastAsia="ko-KR"/>
              </w:rPr>
            </w:pPr>
            <w:r>
              <w:t>9</w:t>
            </w:r>
          </w:p>
        </w:tc>
        <w:tc>
          <w:tcPr>
            <w:tcW w:w="720" w:type="dxa"/>
            <w:noWrap/>
            <w:vAlign w:val="bottom"/>
          </w:tcPr>
          <w:p w14:paraId="6C7776F5" w14:textId="77777777" w:rsidR="00085E73" w:rsidRDefault="00085E73" w:rsidP="00290DC6">
            <w:pPr>
              <w:pStyle w:val="TableText"/>
              <w:keepNext/>
              <w:keepLines/>
            </w:pPr>
            <w:r>
              <w:t>1%</w:t>
            </w:r>
          </w:p>
        </w:tc>
      </w:tr>
      <w:tr w:rsidR="00085E73" w:rsidRPr="00B96179" w14:paraId="0924775C" w14:textId="77777777" w:rsidTr="003475E2">
        <w:tc>
          <w:tcPr>
            <w:tcW w:w="7056" w:type="dxa"/>
          </w:tcPr>
          <w:p w14:paraId="3FFC093F" w14:textId="77777777" w:rsidR="00085E73" w:rsidRPr="00025A56" w:rsidRDefault="00085E73" w:rsidP="0035722A">
            <w:pPr>
              <w:pStyle w:val="TableText"/>
              <w:keepNext/>
              <w:jc w:val="left"/>
              <w:rPr>
                <w:szCs w:val="20"/>
              </w:rPr>
            </w:pPr>
            <w:r>
              <w:t>Non-Embedded Designated Support—Noise Buffers</w:t>
            </w:r>
          </w:p>
        </w:tc>
        <w:tc>
          <w:tcPr>
            <w:tcW w:w="864" w:type="dxa"/>
            <w:noWrap/>
            <w:vAlign w:val="bottom"/>
          </w:tcPr>
          <w:p w14:paraId="42FB93D9" w14:textId="77777777" w:rsidR="00085E73" w:rsidRDefault="00085E73" w:rsidP="003475E2">
            <w:pPr>
              <w:pStyle w:val="TableText"/>
              <w:rPr>
                <w:szCs w:val="24"/>
                <w:lang w:eastAsia="ko-KR"/>
              </w:rPr>
            </w:pPr>
            <w:r>
              <w:t>8</w:t>
            </w:r>
          </w:p>
        </w:tc>
        <w:tc>
          <w:tcPr>
            <w:tcW w:w="720" w:type="dxa"/>
            <w:noWrap/>
            <w:vAlign w:val="bottom"/>
          </w:tcPr>
          <w:p w14:paraId="4863BD21" w14:textId="77777777" w:rsidR="00085E73" w:rsidRDefault="00085E73" w:rsidP="003475E2">
            <w:pPr>
              <w:pStyle w:val="TableText"/>
            </w:pPr>
            <w:r>
              <w:t>6%</w:t>
            </w:r>
          </w:p>
        </w:tc>
        <w:tc>
          <w:tcPr>
            <w:tcW w:w="864" w:type="dxa"/>
            <w:noWrap/>
            <w:vAlign w:val="bottom"/>
          </w:tcPr>
          <w:p w14:paraId="355B77E6" w14:textId="77777777" w:rsidR="00085E73" w:rsidRDefault="00085E73" w:rsidP="003475E2">
            <w:pPr>
              <w:pStyle w:val="TableText"/>
              <w:rPr>
                <w:szCs w:val="24"/>
                <w:lang w:eastAsia="ko-KR"/>
              </w:rPr>
            </w:pPr>
            <w:r>
              <w:t>5</w:t>
            </w:r>
          </w:p>
        </w:tc>
        <w:tc>
          <w:tcPr>
            <w:tcW w:w="720" w:type="dxa"/>
            <w:noWrap/>
            <w:vAlign w:val="bottom"/>
          </w:tcPr>
          <w:p w14:paraId="11139563" w14:textId="77777777" w:rsidR="00085E73" w:rsidRDefault="00085E73" w:rsidP="003475E2">
            <w:pPr>
              <w:pStyle w:val="TableText"/>
            </w:pPr>
            <w:r>
              <w:t>1%</w:t>
            </w:r>
          </w:p>
        </w:tc>
        <w:tc>
          <w:tcPr>
            <w:tcW w:w="864" w:type="dxa"/>
            <w:noWrap/>
            <w:vAlign w:val="bottom"/>
          </w:tcPr>
          <w:p w14:paraId="3756C0D8" w14:textId="77777777" w:rsidR="00085E73" w:rsidRDefault="00085E73" w:rsidP="003475E2">
            <w:pPr>
              <w:pStyle w:val="TableText"/>
              <w:rPr>
                <w:szCs w:val="24"/>
                <w:lang w:eastAsia="ko-KR"/>
              </w:rPr>
            </w:pPr>
            <w:r>
              <w:t>12</w:t>
            </w:r>
          </w:p>
        </w:tc>
        <w:tc>
          <w:tcPr>
            <w:tcW w:w="720" w:type="dxa"/>
            <w:noWrap/>
            <w:vAlign w:val="bottom"/>
          </w:tcPr>
          <w:p w14:paraId="1630FC0F" w14:textId="77777777" w:rsidR="00085E73" w:rsidRDefault="00085E73" w:rsidP="003475E2">
            <w:pPr>
              <w:pStyle w:val="TableText"/>
            </w:pPr>
            <w:r>
              <w:t>5%</w:t>
            </w:r>
          </w:p>
        </w:tc>
        <w:tc>
          <w:tcPr>
            <w:tcW w:w="864" w:type="dxa"/>
            <w:noWrap/>
            <w:vAlign w:val="bottom"/>
          </w:tcPr>
          <w:p w14:paraId="704279E7" w14:textId="77777777" w:rsidR="00085E73" w:rsidRDefault="00085E73" w:rsidP="003475E2">
            <w:pPr>
              <w:pStyle w:val="TableText"/>
              <w:rPr>
                <w:szCs w:val="24"/>
                <w:lang w:eastAsia="ko-KR"/>
              </w:rPr>
            </w:pPr>
            <w:r>
              <w:t>25</w:t>
            </w:r>
          </w:p>
        </w:tc>
        <w:tc>
          <w:tcPr>
            <w:tcW w:w="720" w:type="dxa"/>
            <w:noWrap/>
            <w:vAlign w:val="bottom"/>
          </w:tcPr>
          <w:p w14:paraId="414B846F" w14:textId="77777777" w:rsidR="00085E73" w:rsidRDefault="00085E73" w:rsidP="003475E2">
            <w:pPr>
              <w:pStyle w:val="TableText"/>
            </w:pPr>
            <w:r>
              <w:t>3%</w:t>
            </w:r>
          </w:p>
        </w:tc>
      </w:tr>
      <w:tr w:rsidR="00085E73" w:rsidRPr="00B96179" w14:paraId="053E8AA8" w14:textId="77777777" w:rsidTr="003475E2">
        <w:tc>
          <w:tcPr>
            <w:tcW w:w="7056" w:type="dxa"/>
          </w:tcPr>
          <w:p w14:paraId="5703C083" w14:textId="77777777" w:rsidR="00085E73" w:rsidRPr="00025A56" w:rsidRDefault="00085E73" w:rsidP="0035722A">
            <w:pPr>
              <w:pStyle w:val="TableText"/>
              <w:keepNext/>
              <w:jc w:val="left"/>
              <w:rPr>
                <w:szCs w:val="20"/>
              </w:rPr>
            </w:pPr>
            <w:r>
              <w:t>Non-Embedded Designated Support—Read Aloud Items</w:t>
            </w:r>
          </w:p>
        </w:tc>
        <w:tc>
          <w:tcPr>
            <w:tcW w:w="864" w:type="dxa"/>
            <w:noWrap/>
            <w:vAlign w:val="bottom"/>
          </w:tcPr>
          <w:p w14:paraId="45FD555B" w14:textId="77777777" w:rsidR="00085E73" w:rsidRDefault="00085E73" w:rsidP="003475E2">
            <w:pPr>
              <w:pStyle w:val="TableText"/>
              <w:rPr>
                <w:szCs w:val="24"/>
                <w:lang w:eastAsia="ko-KR"/>
              </w:rPr>
            </w:pPr>
            <w:r>
              <w:t>30</w:t>
            </w:r>
          </w:p>
        </w:tc>
        <w:tc>
          <w:tcPr>
            <w:tcW w:w="720" w:type="dxa"/>
            <w:noWrap/>
            <w:vAlign w:val="bottom"/>
          </w:tcPr>
          <w:p w14:paraId="22C04FE3" w14:textId="77777777" w:rsidR="00085E73" w:rsidRDefault="00085E73" w:rsidP="003475E2">
            <w:pPr>
              <w:pStyle w:val="TableText"/>
            </w:pPr>
            <w:r>
              <w:t>22%</w:t>
            </w:r>
          </w:p>
        </w:tc>
        <w:tc>
          <w:tcPr>
            <w:tcW w:w="864" w:type="dxa"/>
            <w:noWrap/>
            <w:vAlign w:val="bottom"/>
          </w:tcPr>
          <w:p w14:paraId="46C58A69" w14:textId="77777777" w:rsidR="00085E73" w:rsidRDefault="00085E73" w:rsidP="003475E2">
            <w:pPr>
              <w:pStyle w:val="TableText"/>
              <w:rPr>
                <w:szCs w:val="24"/>
                <w:lang w:eastAsia="ko-KR"/>
              </w:rPr>
            </w:pPr>
            <w:r>
              <w:t>22</w:t>
            </w:r>
          </w:p>
        </w:tc>
        <w:tc>
          <w:tcPr>
            <w:tcW w:w="720" w:type="dxa"/>
            <w:noWrap/>
            <w:vAlign w:val="bottom"/>
          </w:tcPr>
          <w:p w14:paraId="235BBAE8" w14:textId="77777777" w:rsidR="00085E73" w:rsidRDefault="00085E73" w:rsidP="003475E2">
            <w:pPr>
              <w:pStyle w:val="TableText"/>
            </w:pPr>
            <w:r>
              <w:t>6%</w:t>
            </w:r>
          </w:p>
        </w:tc>
        <w:tc>
          <w:tcPr>
            <w:tcW w:w="864" w:type="dxa"/>
            <w:noWrap/>
            <w:vAlign w:val="bottom"/>
          </w:tcPr>
          <w:p w14:paraId="111E2B2E" w14:textId="77777777" w:rsidR="00085E73" w:rsidRDefault="00085E73" w:rsidP="003475E2">
            <w:pPr>
              <w:pStyle w:val="TableText"/>
              <w:rPr>
                <w:szCs w:val="24"/>
                <w:lang w:eastAsia="ko-KR"/>
              </w:rPr>
            </w:pPr>
            <w:r>
              <w:t>50</w:t>
            </w:r>
          </w:p>
        </w:tc>
        <w:tc>
          <w:tcPr>
            <w:tcW w:w="720" w:type="dxa"/>
            <w:noWrap/>
            <w:vAlign w:val="bottom"/>
          </w:tcPr>
          <w:p w14:paraId="4D6B2F78" w14:textId="77777777" w:rsidR="00085E73" w:rsidRDefault="00085E73" w:rsidP="003475E2">
            <w:pPr>
              <w:pStyle w:val="TableText"/>
            </w:pPr>
            <w:r>
              <w:t>20%</w:t>
            </w:r>
          </w:p>
        </w:tc>
        <w:tc>
          <w:tcPr>
            <w:tcW w:w="864" w:type="dxa"/>
            <w:noWrap/>
            <w:vAlign w:val="bottom"/>
          </w:tcPr>
          <w:p w14:paraId="2408EB6F" w14:textId="77777777" w:rsidR="00085E73" w:rsidRDefault="00085E73" w:rsidP="003475E2">
            <w:pPr>
              <w:pStyle w:val="TableText"/>
              <w:rPr>
                <w:szCs w:val="24"/>
                <w:lang w:eastAsia="ko-KR"/>
              </w:rPr>
            </w:pPr>
            <w:r>
              <w:t>102</w:t>
            </w:r>
          </w:p>
        </w:tc>
        <w:tc>
          <w:tcPr>
            <w:tcW w:w="720" w:type="dxa"/>
            <w:noWrap/>
            <w:vAlign w:val="bottom"/>
          </w:tcPr>
          <w:p w14:paraId="053CB6D4" w14:textId="77777777" w:rsidR="00085E73" w:rsidRDefault="00085E73" w:rsidP="003475E2">
            <w:pPr>
              <w:pStyle w:val="TableText"/>
            </w:pPr>
            <w:r>
              <w:t>14%</w:t>
            </w:r>
          </w:p>
        </w:tc>
      </w:tr>
      <w:tr w:rsidR="00085E73" w:rsidRPr="00B96179" w14:paraId="2747AF8C" w14:textId="77777777" w:rsidTr="003475E2">
        <w:tc>
          <w:tcPr>
            <w:tcW w:w="7056" w:type="dxa"/>
          </w:tcPr>
          <w:p w14:paraId="4B5A05E1" w14:textId="77777777" w:rsidR="00085E73" w:rsidRPr="00025A56" w:rsidRDefault="00085E73" w:rsidP="0035722A">
            <w:pPr>
              <w:pStyle w:val="TableText"/>
              <w:keepNext/>
              <w:jc w:val="left"/>
              <w:rPr>
                <w:szCs w:val="20"/>
              </w:rPr>
            </w:pPr>
            <w:r>
              <w:t>Non-Embedded Designated Support—Scribe Items</w:t>
            </w:r>
          </w:p>
        </w:tc>
        <w:tc>
          <w:tcPr>
            <w:tcW w:w="864" w:type="dxa"/>
            <w:noWrap/>
            <w:vAlign w:val="bottom"/>
          </w:tcPr>
          <w:p w14:paraId="57A06114" w14:textId="77777777" w:rsidR="00085E73" w:rsidRDefault="00085E73" w:rsidP="003475E2">
            <w:pPr>
              <w:pStyle w:val="TableText"/>
              <w:rPr>
                <w:szCs w:val="24"/>
                <w:lang w:eastAsia="ko-KR"/>
              </w:rPr>
            </w:pPr>
            <w:r>
              <w:t>7</w:t>
            </w:r>
          </w:p>
        </w:tc>
        <w:tc>
          <w:tcPr>
            <w:tcW w:w="720" w:type="dxa"/>
            <w:noWrap/>
            <w:vAlign w:val="bottom"/>
          </w:tcPr>
          <w:p w14:paraId="3EB91C06" w14:textId="77777777" w:rsidR="00085E73" w:rsidRDefault="00085E73" w:rsidP="003475E2">
            <w:pPr>
              <w:pStyle w:val="TableText"/>
            </w:pPr>
            <w:r>
              <w:t>5%</w:t>
            </w:r>
          </w:p>
        </w:tc>
        <w:tc>
          <w:tcPr>
            <w:tcW w:w="864" w:type="dxa"/>
            <w:noWrap/>
            <w:vAlign w:val="bottom"/>
          </w:tcPr>
          <w:p w14:paraId="5E74F143" w14:textId="77777777" w:rsidR="00085E73" w:rsidRDefault="00085E73" w:rsidP="003475E2">
            <w:pPr>
              <w:pStyle w:val="TableText"/>
              <w:rPr>
                <w:szCs w:val="24"/>
                <w:lang w:eastAsia="ko-KR"/>
              </w:rPr>
            </w:pPr>
            <w:r>
              <w:t>7</w:t>
            </w:r>
          </w:p>
        </w:tc>
        <w:tc>
          <w:tcPr>
            <w:tcW w:w="720" w:type="dxa"/>
            <w:noWrap/>
            <w:vAlign w:val="bottom"/>
          </w:tcPr>
          <w:p w14:paraId="4758846F" w14:textId="77777777" w:rsidR="00085E73" w:rsidRDefault="00085E73" w:rsidP="003475E2">
            <w:pPr>
              <w:pStyle w:val="TableText"/>
            </w:pPr>
            <w:r>
              <w:t>2%</w:t>
            </w:r>
          </w:p>
        </w:tc>
        <w:tc>
          <w:tcPr>
            <w:tcW w:w="864" w:type="dxa"/>
            <w:noWrap/>
            <w:vAlign w:val="bottom"/>
          </w:tcPr>
          <w:p w14:paraId="29DD8226" w14:textId="77777777" w:rsidR="00085E73" w:rsidRDefault="00085E73" w:rsidP="003475E2">
            <w:pPr>
              <w:pStyle w:val="TableText"/>
              <w:rPr>
                <w:szCs w:val="24"/>
                <w:lang w:eastAsia="ko-KR"/>
              </w:rPr>
            </w:pPr>
            <w:r>
              <w:t>10</w:t>
            </w:r>
          </w:p>
        </w:tc>
        <w:tc>
          <w:tcPr>
            <w:tcW w:w="720" w:type="dxa"/>
            <w:noWrap/>
            <w:vAlign w:val="bottom"/>
          </w:tcPr>
          <w:p w14:paraId="31D6ADE5" w14:textId="77777777" w:rsidR="00085E73" w:rsidRDefault="00085E73" w:rsidP="003475E2">
            <w:pPr>
              <w:pStyle w:val="TableText"/>
            </w:pPr>
            <w:r>
              <w:t>4%</w:t>
            </w:r>
          </w:p>
        </w:tc>
        <w:tc>
          <w:tcPr>
            <w:tcW w:w="864" w:type="dxa"/>
            <w:noWrap/>
            <w:vAlign w:val="bottom"/>
          </w:tcPr>
          <w:p w14:paraId="13D9E59D" w14:textId="77777777" w:rsidR="00085E73" w:rsidRDefault="00085E73" w:rsidP="003475E2">
            <w:pPr>
              <w:pStyle w:val="TableText"/>
              <w:rPr>
                <w:szCs w:val="24"/>
                <w:lang w:eastAsia="ko-KR"/>
              </w:rPr>
            </w:pPr>
            <w:r>
              <w:t>24</w:t>
            </w:r>
          </w:p>
        </w:tc>
        <w:tc>
          <w:tcPr>
            <w:tcW w:w="720" w:type="dxa"/>
            <w:noWrap/>
            <w:vAlign w:val="bottom"/>
          </w:tcPr>
          <w:p w14:paraId="294A6D16" w14:textId="77777777" w:rsidR="00085E73" w:rsidRDefault="00085E73" w:rsidP="003475E2">
            <w:pPr>
              <w:pStyle w:val="TableText"/>
            </w:pPr>
            <w:r>
              <w:t>3%</w:t>
            </w:r>
          </w:p>
        </w:tc>
      </w:tr>
      <w:tr w:rsidR="00085E73" w:rsidRPr="00B96179" w14:paraId="26388E20" w14:textId="77777777" w:rsidTr="003475E2">
        <w:tc>
          <w:tcPr>
            <w:tcW w:w="7056" w:type="dxa"/>
          </w:tcPr>
          <w:p w14:paraId="04265D70" w14:textId="77777777" w:rsidR="00085E73" w:rsidRPr="00025A56" w:rsidRDefault="00085E73" w:rsidP="0035722A">
            <w:pPr>
              <w:pStyle w:val="TableText"/>
              <w:keepNext/>
              <w:jc w:val="left"/>
              <w:rPr>
                <w:szCs w:val="20"/>
              </w:rPr>
            </w:pPr>
            <w:r>
              <w:t>Non-Embedded Designated Support—Separate Setting</w:t>
            </w:r>
          </w:p>
        </w:tc>
        <w:tc>
          <w:tcPr>
            <w:tcW w:w="864" w:type="dxa"/>
            <w:noWrap/>
            <w:vAlign w:val="bottom"/>
          </w:tcPr>
          <w:p w14:paraId="4EDB416B" w14:textId="77777777" w:rsidR="00085E73" w:rsidRDefault="00085E73" w:rsidP="003475E2">
            <w:pPr>
              <w:pStyle w:val="TableText"/>
              <w:rPr>
                <w:szCs w:val="24"/>
                <w:lang w:eastAsia="ko-KR"/>
              </w:rPr>
            </w:pPr>
            <w:r>
              <w:t>26</w:t>
            </w:r>
          </w:p>
        </w:tc>
        <w:tc>
          <w:tcPr>
            <w:tcW w:w="720" w:type="dxa"/>
            <w:noWrap/>
            <w:vAlign w:val="bottom"/>
          </w:tcPr>
          <w:p w14:paraId="4C697465" w14:textId="77777777" w:rsidR="00085E73" w:rsidRDefault="00085E73" w:rsidP="003475E2">
            <w:pPr>
              <w:pStyle w:val="TableText"/>
            </w:pPr>
            <w:r>
              <w:t>19%</w:t>
            </w:r>
          </w:p>
        </w:tc>
        <w:tc>
          <w:tcPr>
            <w:tcW w:w="864" w:type="dxa"/>
            <w:noWrap/>
            <w:vAlign w:val="bottom"/>
          </w:tcPr>
          <w:p w14:paraId="04A32E52" w14:textId="77777777" w:rsidR="00085E73" w:rsidRDefault="00085E73" w:rsidP="003475E2">
            <w:pPr>
              <w:pStyle w:val="TableText"/>
              <w:rPr>
                <w:szCs w:val="24"/>
                <w:lang w:eastAsia="ko-KR"/>
              </w:rPr>
            </w:pPr>
            <w:r>
              <w:t>25</w:t>
            </w:r>
          </w:p>
        </w:tc>
        <w:tc>
          <w:tcPr>
            <w:tcW w:w="720" w:type="dxa"/>
            <w:noWrap/>
            <w:vAlign w:val="bottom"/>
          </w:tcPr>
          <w:p w14:paraId="0334BB49" w14:textId="77777777" w:rsidR="00085E73" w:rsidRDefault="00085E73" w:rsidP="003475E2">
            <w:pPr>
              <w:pStyle w:val="TableText"/>
            </w:pPr>
            <w:r>
              <w:t>7%</w:t>
            </w:r>
          </w:p>
        </w:tc>
        <w:tc>
          <w:tcPr>
            <w:tcW w:w="864" w:type="dxa"/>
            <w:noWrap/>
            <w:vAlign w:val="bottom"/>
          </w:tcPr>
          <w:p w14:paraId="19019B8A" w14:textId="77777777" w:rsidR="00085E73" w:rsidRDefault="00085E73" w:rsidP="003475E2">
            <w:pPr>
              <w:pStyle w:val="TableText"/>
              <w:rPr>
                <w:szCs w:val="24"/>
                <w:lang w:eastAsia="ko-KR"/>
              </w:rPr>
            </w:pPr>
            <w:r>
              <w:t>49</w:t>
            </w:r>
          </w:p>
        </w:tc>
        <w:tc>
          <w:tcPr>
            <w:tcW w:w="720" w:type="dxa"/>
            <w:noWrap/>
            <w:vAlign w:val="bottom"/>
          </w:tcPr>
          <w:p w14:paraId="6DB8C391" w14:textId="77777777" w:rsidR="00085E73" w:rsidRDefault="00085E73" w:rsidP="003475E2">
            <w:pPr>
              <w:pStyle w:val="TableText"/>
            </w:pPr>
            <w:r>
              <w:t>20%</w:t>
            </w:r>
          </w:p>
        </w:tc>
        <w:tc>
          <w:tcPr>
            <w:tcW w:w="864" w:type="dxa"/>
            <w:noWrap/>
            <w:vAlign w:val="bottom"/>
          </w:tcPr>
          <w:p w14:paraId="643378A0" w14:textId="77777777" w:rsidR="00085E73" w:rsidRDefault="00085E73" w:rsidP="003475E2">
            <w:pPr>
              <w:pStyle w:val="TableText"/>
              <w:rPr>
                <w:szCs w:val="24"/>
                <w:lang w:eastAsia="ko-KR"/>
              </w:rPr>
            </w:pPr>
            <w:r>
              <w:t>100</w:t>
            </w:r>
          </w:p>
        </w:tc>
        <w:tc>
          <w:tcPr>
            <w:tcW w:w="720" w:type="dxa"/>
            <w:noWrap/>
            <w:vAlign w:val="bottom"/>
          </w:tcPr>
          <w:p w14:paraId="25A78225" w14:textId="77777777" w:rsidR="00085E73" w:rsidRDefault="00085E73" w:rsidP="003475E2">
            <w:pPr>
              <w:pStyle w:val="TableText"/>
            </w:pPr>
            <w:r>
              <w:t>14%</w:t>
            </w:r>
          </w:p>
        </w:tc>
      </w:tr>
      <w:tr w:rsidR="00085E73" w:rsidRPr="00B96179" w14:paraId="49831047" w14:textId="77777777" w:rsidTr="003475E2">
        <w:tc>
          <w:tcPr>
            <w:tcW w:w="7056" w:type="dxa"/>
            <w:tcBorders>
              <w:bottom w:val="single" w:sz="4" w:space="0" w:color="auto"/>
            </w:tcBorders>
          </w:tcPr>
          <w:p w14:paraId="62B11C71" w14:textId="77777777" w:rsidR="00085E73" w:rsidRPr="00025A56" w:rsidRDefault="00085E73" w:rsidP="003475E2">
            <w:pPr>
              <w:pStyle w:val="TableText"/>
              <w:jc w:val="left"/>
              <w:rPr>
                <w:szCs w:val="20"/>
              </w:rPr>
            </w:pPr>
            <w:r>
              <w:t>Non-Embedded Designated Support—100s Number Table</w:t>
            </w:r>
          </w:p>
        </w:tc>
        <w:tc>
          <w:tcPr>
            <w:tcW w:w="864" w:type="dxa"/>
            <w:tcBorders>
              <w:bottom w:val="single" w:sz="4" w:space="0" w:color="auto"/>
            </w:tcBorders>
            <w:noWrap/>
            <w:vAlign w:val="bottom"/>
          </w:tcPr>
          <w:p w14:paraId="3F9D0B72" w14:textId="77777777" w:rsidR="00085E73" w:rsidRDefault="00085E73" w:rsidP="003475E2">
            <w:pPr>
              <w:pStyle w:val="TableText"/>
              <w:rPr>
                <w:szCs w:val="24"/>
                <w:lang w:eastAsia="ko-KR"/>
              </w:rPr>
            </w:pPr>
            <w:r>
              <w:t>4</w:t>
            </w:r>
          </w:p>
        </w:tc>
        <w:tc>
          <w:tcPr>
            <w:tcW w:w="720" w:type="dxa"/>
            <w:tcBorders>
              <w:bottom w:val="single" w:sz="4" w:space="0" w:color="auto"/>
            </w:tcBorders>
            <w:noWrap/>
            <w:vAlign w:val="bottom"/>
          </w:tcPr>
          <w:p w14:paraId="06CCD994" w14:textId="77777777" w:rsidR="00085E73" w:rsidRDefault="00085E73" w:rsidP="003475E2">
            <w:pPr>
              <w:pStyle w:val="TableText"/>
            </w:pPr>
            <w:r>
              <w:t>3%</w:t>
            </w:r>
          </w:p>
        </w:tc>
        <w:tc>
          <w:tcPr>
            <w:tcW w:w="864" w:type="dxa"/>
            <w:tcBorders>
              <w:bottom w:val="single" w:sz="4" w:space="0" w:color="auto"/>
            </w:tcBorders>
            <w:noWrap/>
            <w:vAlign w:val="bottom"/>
          </w:tcPr>
          <w:p w14:paraId="7BC3A8FA" w14:textId="77777777" w:rsidR="00085E73" w:rsidRDefault="00085E73" w:rsidP="003475E2">
            <w:pPr>
              <w:pStyle w:val="TableText"/>
              <w:rPr>
                <w:szCs w:val="24"/>
                <w:lang w:eastAsia="ko-KR"/>
              </w:rPr>
            </w:pPr>
            <w:r>
              <w:t>5</w:t>
            </w:r>
          </w:p>
        </w:tc>
        <w:tc>
          <w:tcPr>
            <w:tcW w:w="720" w:type="dxa"/>
            <w:tcBorders>
              <w:bottom w:val="single" w:sz="4" w:space="0" w:color="auto"/>
            </w:tcBorders>
            <w:noWrap/>
            <w:vAlign w:val="bottom"/>
          </w:tcPr>
          <w:p w14:paraId="1C367117" w14:textId="77777777" w:rsidR="00085E73" w:rsidRDefault="00085E73" w:rsidP="003475E2">
            <w:pPr>
              <w:pStyle w:val="TableText"/>
            </w:pPr>
            <w:r>
              <w:t>1%</w:t>
            </w:r>
          </w:p>
        </w:tc>
        <w:tc>
          <w:tcPr>
            <w:tcW w:w="864" w:type="dxa"/>
            <w:tcBorders>
              <w:bottom w:val="single" w:sz="4" w:space="0" w:color="auto"/>
            </w:tcBorders>
            <w:noWrap/>
            <w:vAlign w:val="bottom"/>
          </w:tcPr>
          <w:p w14:paraId="6F9D32FA" w14:textId="77777777" w:rsidR="00085E73" w:rsidRDefault="00085E73" w:rsidP="003475E2">
            <w:pPr>
              <w:pStyle w:val="TableText"/>
              <w:rPr>
                <w:szCs w:val="24"/>
                <w:lang w:eastAsia="ko-KR"/>
              </w:rPr>
            </w:pPr>
            <w:r>
              <w:t>3</w:t>
            </w:r>
          </w:p>
        </w:tc>
        <w:tc>
          <w:tcPr>
            <w:tcW w:w="720" w:type="dxa"/>
            <w:tcBorders>
              <w:bottom w:val="single" w:sz="4" w:space="0" w:color="auto"/>
            </w:tcBorders>
            <w:noWrap/>
            <w:vAlign w:val="bottom"/>
          </w:tcPr>
          <w:p w14:paraId="7CB9A6CA" w14:textId="77777777" w:rsidR="00085E73" w:rsidRDefault="00085E73" w:rsidP="003475E2">
            <w:pPr>
              <w:pStyle w:val="TableText"/>
            </w:pPr>
            <w:r>
              <w:t>1%</w:t>
            </w:r>
          </w:p>
        </w:tc>
        <w:tc>
          <w:tcPr>
            <w:tcW w:w="864" w:type="dxa"/>
            <w:tcBorders>
              <w:bottom w:val="single" w:sz="4" w:space="0" w:color="auto"/>
            </w:tcBorders>
            <w:noWrap/>
            <w:vAlign w:val="bottom"/>
          </w:tcPr>
          <w:p w14:paraId="79408AE4" w14:textId="77777777" w:rsidR="00085E73" w:rsidRDefault="00085E73" w:rsidP="003475E2">
            <w:pPr>
              <w:pStyle w:val="TableText"/>
              <w:rPr>
                <w:szCs w:val="24"/>
                <w:lang w:eastAsia="ko-KR"/>
              </w:rPr>
            </w:pPr>
            <w:r>
              <w:t>12</w:t>
            </w:r>
          </w:p>
        </w:tc>
        <w:tc>
          <w:tcPr>
            <w:tcW w:w="720" w:type="dxa"/>
            <w:tcBorders>
              <w:bottom w:val="single" w:sz="4" w:space="0" w:color="auto"/>
            </w:tcBorders>
            <w:noWrap/>
            <w:vAlign w:val="bottom"/>
          </w:tcPr>
          <w:p w14:paraId="3C1D423E" w14:textId="77777777" w:rsidR="00085E73" w:rsidRDefault="00085E73" w:rsidP="003475E2">
            <w:pPr>
              <w:pStyle w:val="TableText"/>
            </w:pPr>
            <w:r>
              <w:t>2%</w:t>
            </w:r>
          </w:p>
        </w:tc>
      </w:tr>
      <w:tr w:rsidR="00085E73" w:rsidRPr="00B96179" w14:paraId="31BFA8D4" w14:textId="77777777" w:rsidTr="003475E2">
        <w:tc>
          <w:tcPr>
            <w:tcW w:w="7056" w:type="dxa"/>
            <w:tcBorders>
              <w:top w:val="single" w:sz="4" w:space="0" w:color="auto"/>
              <w:bottom w:val="single" w:sz="12" w:space="0" w:color="auto"/>
            </w:tcBorders>
          </w:tcPr>
          <w:p w14:paraId="44143FC5" w14:textId="77777777" w:rsidR="00085E73" w:rsidRPr="00E31117" w:rsidRDefault="00085E73" w:rsidP="003475E2">
            <w:pPr>
              <w:pStyle w:val="TableText"/>
              <w:rPr>
                <w:b/>
                <w:bCs/>
              </w:rPr>
            </w:pPr>
            <w:r w:rsidRPr="00E31117">
              <w:rPr>
                <w:b/>
                <w:bCs/>
              </w:rPr>
              <w:t>Total Students Tested</w:t>
            </w:r>
          </w:p>
        </w:tc>
        <w:tc>
          <w:tcPr>
            <w:tcW w:w="864" w:type="dxa"/>
            <w:tcBorders>
              <w:top w:val="single" w:sz="4" w:space="0" w:color="auto"/>
              <w:bottom w:val="single" w:sz="12" w:space="0" w:color="auto"/>
            </w:tcBorders>
            <w:noWrap/>
            <w:vAlign w:val="bottom"/>
          </w:tcPr>
          <w:p w14:paraId="57DF4973" w14:textId="77777777" w:rsidR="00085E73" w:rsidRDefault="00085E73" w:rsidP="003475E2">
            <w:pPr>
              <w:pStyle w:val="TableText"/>
            </w:pPr>
            <w:r>
              <w:rPr>
                <w:b/>
                <w:bCs/>
              </w:rPr>
              <w:t>136</w:t>
            </w:r>
          </w:p>
        </w:tc>
        <w:tc>
          <w:tcPr>
            <w:tcW w:w="720" w:type="dxa"/>
            <w:tcBorders>
              <w:top w:val="single" w:sz="4" w:space="0" w:color="auto"/>
              <w:bottom w:val="single" w:sz="12" w:space="0" w:color="auto"/>
            </w:tcBorders>
            <w:noWrap/>
            <w:vAlign w:val="bottom"/>
          </w:tcPr>
          <w:p w14:paraId="2C11954C" w14:textId="77777777" w:rsidR="00085E73" w:rsidRDefault="00085E73" w:rsidP="003475E2">
            <w:pPr>
              <w:pStyle w:val="TableText"/>
            </w:pPr>
            <w:r w:rsidRPr="001E5994">
              <w:rPr>
                <w:b/>
                <w:bCs/>
              </w:rPr>
              <w:t>N/A</w:t>
            </w:r>
          </w:p>
        </w:tc>
        <w:tc>
          <w:tcPr>
            <w:tcW w:w="864" w:type="dxa"/>
            <w:tcBorders>
              <w:top w:val="single" w:sz="4" w:space="0" w:color="auto"/>
              <w:bottom w:val="single" w:sz="12" w:space="0" w:color="auto"/>
            </w:tcBorders>
            <w:noWrap/>
            <w:vAlign w:val="bottom"/>
          </w:tcPr>
          <w:p w14:paraId="39995A41" w14:textId="77777777" w:rsidR="00085E73" w:rsidRDefault="00085E73" w:rsidP="003475E2">
            <w:pPr>
              <w:pStyle w:val="TableText"/>
            </w:pPr>
            <w:r>
              <w:rPr>
                <w:b/>
                <w:bCs/>
              </w:rPr>
              <w:t>347</w:t>
            </w:r>
          </w:p>
        </w:tc>
        <w:tc>
          <w:tcPr>
            <w:tcW w:w="720" w:type="dxa"/>
            <w:tcBorders>
              <w:top w:val="single" w:sz="4" w:space="0" w:color="auto"/>
              <w:bottom w:val="single" w:sz="12" w:space="0" w:color="auto"/>
            </w:tcBorders>
            <w:noWrap/>
            <w:vAlign w:val="bottom"/>
          </w:tcPr>
          <w:p w14:paraId="4B283AB1" w14:textId="77777777" w:rsidR="00085E73" w:rsidRDefault="00085E73" w:rsidP="003475E2">
            <w:pPr>
              <w:pStyle w:val="TableText"/>
            </w:pPr>
            <w:r w:rsidRPr="001E5994">
              <w:rPr>
                <w:b/>
                <w:bCs/>
              </w:rPr>
              <w:t>N/A</w:t>
            </w:r>
          </w:p>
        </w:tc>
        <w:tc>
          <w:tcPr>
            <w:tcW w:w="864" w:type="dxa"/>
            <w:tcBorders>
              <w:top w:val="single" w:sz="4" w:space="0" w:color="auto"/>
              <w:bottom w:val="single" w:sz="12" w:space="0" w:color="auto"/>
            </w:tcBorders>
            <w:noWrap/>
            <w:vAlign w:val="bottom"/>
          </w:tcPr>
          <w:p w14:paraId="6160724A" w14:textId="77777777" w:rsidR="00085E73" w:rsidRDefault="00085E73" w:rsidP="003475E2">
            <w:pPr>
              <w:pStyle w:val="TableText"/>
            </w:pPr>
            <w:r>
              <w:rPr>
                <w:b/>
                <w:bCs/>
              </w:rPr>
              <w:t>246</w:t>
            </w:r>
          </w:p>
        </w:tc>
        <w:tc>
          <w:tcPr>
            <w:tcW w:w="720" w:type="dxa"/>
            <w:tcBorders>
              <w:top w:val="single" w:sz="4" w:space="0" w:color="auto"/>
              <w:bottom w:val="single" w:sz="12" w:space="0" w:color="auto"/>
            </w:tcBorders>
            <w:noWrap/>
            <w:vAlign w:val="bottom"/>
          </w:tcPr>
          <w:p w14:paraId="4C0D607E" w14:textId="77777777" w:rsidR="00085E73" w:rsidRDefault="00085E73" w:rsidP="003475E2">
            <w:pPr>
              <w:pStyle w:val="TableText"/>
            </w:pPr>
            <w:r w:rsidRPr="001E5994">
              <w:rPr>
                <w:b/>
                <w:bCs/>
              </w:rPr>
              <w:t>N/A</w:t>
            </w:r>
          </w:p>
        </w:tc>
        <w:tc>
          <w:tcPr>
            <w:tcW w:w="864" w:type="dxa"/>
            <w:tcBorders>
              <w:top w:val="single" w:sz="4" w:space="0" w:color="auto"/>
              <w:bottom w:val="single" w:sz="12" w:space="0" w:color="auto"/>
            </w:tcBorders>
            <w:noWrap/>
            <w:vAlign w:val="bottom"/>
          </w:tcPr>
          <w:p w14:paraId="383B92EC" w14:textId="77777777" w:rsidR="00085E73" w:rsidRDefault="00085E73" w:rsidP="003475E2">
            <w:pPr>
              <w:pStyle w:val="TableText"/>
            </w:pPr>
            <w:r>
              <w:rPr>
                <w:b/>
                <w:bCs/>
              </w:rPr>
              <w:t>729</w:t>
            </w:r>
          </w:p>
        </w:tc>
        <w:tc>
          <w:tcPr>
            <w:tcW w:w="720" w:type="dxa"/>
            <w:tcBorders>
              <w:top w:val="single" w:sz="4" w:space="0" w:color="auto"/>
              <w:bottom w:val="single" w:sz="12" w:space="0" w:color="auto"/>
            </w:tcBorders>
            <w:noWrap/>
            <w:vAlign w:val="bottom"/>
          </w:tcPr>
          <w:p w14:paraId="608036B5" w14:textId="77777777" w:rsidR="00085E73" w:rsidRDefault="00085E73" w:rsidP="003475E2">
            <w:pPr>
              <w:pStyle w:val="TableText"/>
            </w:pPr>
            <w:r w:rsidRPr="001E5994">
              <w:rPr>
                <w:b/>
                <w:bCs/>
              </w:rPr>
              <w:t>N/A</w:t>
            </w:r>
          </w:p>
        </w:tc>
      </w:tr>
    </w:tbl>
    <w:p w14:paraId="3415D54E" w14:textId="113A15F4" w:rsidR="00085E73" w:rsidRDefault="00AD5AE6" w:rsidP="00AD5AE6">
      <w:pPr>
        <w:pageBreakBefore/>
      </w:pPr>
      <w:r w:rsidRPr="002B4A82">
        <w:rPr>
          <w:b/>
        </w:rPr>
        <w:lastRenderedPageBreak/>
        <w:t xml:space="preserve">Note: </w:t>
      </w:r>
      <w:r>
        <w:t>Some students are eligible for multiple accessibility resources. As a result, the number of students tested in each grade level may not equal the sum of the number of students eligible per accessibility resource across all accessibility resources.</w:t>
      </w:r>
    </w:p>
    <w:p w14:paraId="2FB63E9C" w14:textId="47EE9612" w:rsidR="00085E73" w:rsidRDefault="00085E73" w:rsidP="00AD5AE6">
      <w:pPr>
        <w:pStyle w:val="Caption"/>
      </w:pPr>
      <w:bookmarkStart w:id="213" w:name="_Ref66862572"/>
      <w:bookmarkStart w:id="214" w:name="_Toc67319688"/>
      <w:bookmarkStart w:id="215" w:name="_Toc220498692"/>
      <w:r>
        <w:t>Table 2.A.</w:t>
      </w:r>
      <w:r>
        <w:fldChar w:fldCharType="begin"/>
      </w:r>
      <w:r>
        <w:instrText>SEQ Table_2.A. \* ARABIC</w:instrText>
      </w:r>
      <w:r>
        <w:fldChar w:fldCharType="separate"/>
      </w:r>
      <w:r w:rsidR="00961502">
        <w:rPr>
          <w:noProof/>
        </w:rPr>
        <w:t>6</w:t>
      </w:r>
      <w:r>
        <w:fldChar w:fldCharType="end"/>
      </w:r>
      <w:bookmarkEnd w:id="213"/>
      <w:r>
        <w:t xml:space="preserve">  Assignment of Designated Supports and Accommodations—High School for </w:t>
      </w:r>
      <w:r>
        <w:rPr>
          <w:rFonts w:cs="Arial"/>
        </w:rPr>
        <w:t>Life</w:t>
      </w:r>
      <w:r w:rsidR="00423D3A">
        <w:rPr>
          <w:rFonts w:cs="Arial"/>
        </w:rPr>
        <w:t> </w:t>
      </w:r>
      <w:r>
        <w:rPr>
          <w:rFonts w:cs="Arial"/>
        </w:rPr>
        <w:t>Sciences</w:t>
      </w:r>
      <w:bookmarkEnd w:id="214"/>
      <w:bookmarkEnd w:id="215"/>
    </w:p>
    <w:tbl>
      <w:tblPr>
        <w:tblStyle w:val="TRs"/>
        <w:tblW w:w="0" w:type="auto"/>
        <w:tblLayout w:type="fixed"/>
        <w:tblLook w:val="04A0" w:firstRow="1" w:lastRow="0" w:firstColumn="1" w:lastColumn="0" w:noHBand="0" w:noVBand="1"/>
        <w:tblDescription w:val="Assignment of Designated Supports and Accommodations—High School for Life Sciences"/>
      </w:tblPr>
      <w:tblGrid>
        <w:gridCol w:w="7056"/>
        <w:gridCol w:w="864"/>
        <w:gridCol w:w="720"/>
        <w:gridCol w:w="864"/>
        <w:gridCol w:w="720"/>
        <w:gridCol w:w="864"/>
        <w:gridCol w:w="720"/>
        <w:gridCol w:w="864"/>
        <w:gridCol w:w="720"/>
      </w:tblGrid>
      <w:tr w:rsidR="00BC3368" w:rsidRPr="006A1E3E" w14:paraId="6C072A87" w14:textId="77777777" w:rsidTr="006E1E47">
        <w:trPr>
          <w:cnfStyle w:val="100000000000" w:firstRow="1" w:lastRow="0" w:firstColumn="0" w:lastColumn="0" w:oddVBand="0" w:evenVBand="0" w:oddHBand="0" w:evenHBand="0" w:firstRowFirstColumn="0" w:firstRowLastColumn="0" w:lastRowFirstColumn="0" w:lastRowLastColumn="0"/>
          <w:trHeight w:val="1872"/>
        </w:trPr>
        <w:tc>
          <w:tcPr>
            <w:tcW w:w="7056" w:type="dxa"/>
            <w:hideMark/>
          </w:tcPr>
          <w:p w14:paraId="7D8CB5F1" w14:textId="77777777" w:rsidR="00085E73" w:rsidRPr="006A1E3E" w:rsidRDefault="00085E73" w:rsidP="003475E2">
            <w:pPr>
              <w:pStyle w:val="TableHead"/>
            </w:pPr>
            <w:r>
              <w:t>Accessibility Resource</w:t>
            </w:r>
          </w:p>
        </w:tc>
        <w:tc>
          <w:tcPr>
            <w:tcW w:w="864" w:type="dxa"/>
            <w:textDirection w:val="btLr"/>
            <w:vAlign w:val="center"/>
            <w:hideMark/>
          </w:tcPr>
          <w:p w14:paraId="1A2CE580" w14:textId="77777777" w:rsidR="00085E73" w:rsidRPr="006A1E3E" w:rsidRDefault="00085E73" w:rsidP="006E1E47">
            <w:pPr>
              <w:pStyle w:val="TableHead"/>
              <w:ind w:left="72" w:right="115"/>
              <w:jc w:val="left"/>
            </w:pPr>
            <w:r w:rsidRPr="006A1E3E">
              <w:t xml:space="preserve">Grade </w:t>
            </w:r>
            <w:r>
              <w:t xml:space="preserve">10: </w:t>
            </w:r>
            <w:r w:rsidRPr="006A1E3E">
              <w:t>N</w:t>
            </w:r>
          </w:p>
        </w:tc>
        <w:tc>
          <w:tcPr>
            <w:tcW w:w="720" w:type="dxa"/>
            <w:textDirection w:val="btLr"/>
            <w:vAlign w:val="center"/>
            <w:hideMark/>
          </w:tcPr>
          <w:p w14:paraId="476D1838" w14:textId="77777777" w:rsidR="00085E73" w:rsidRPr="006A1E3E" w:rsidRDefault="00085E73" w:rsidP="006E1E47">
            <w:pPr>
              <w:pStyle w:val="TableHead"/>
              <w:ind w:left="72" w:right="115"/>
              <w:jc w:val="left"/>
            </w:pPr>
            <w:r w:rsidRPr="006A1E3E">
              <w:t xml:space="preserve">Grade </w:t>
            </w:r>
            <w:r>
              <w:t>10: % of Total T</w:t>
            </w:r>
            <w:r w:rsidRPr="006A1E3E">
              <w:t>ested</w:t>
            </w:r>
          </w:p>
        </w:tc>
        <w:tc>
          <w:tcPr>
            <w:tcW w:w="864" w:type="dxa"/>
            <w:textDirection w:val="btLr"/>
            <w:vAlign w:val="center"/>
            <w:hideMark/>
          </w:tcPr>
          <w:p w14:paraId="3F470971" w14:textId="77777777" w:rsidR="00085E73" w:rsidRPr="006A1E3E" w:rsidRDefault="00085E73" w:rsidP="006E1E47">
            <w:pPr>
              <w:pStyle w:val="TableHead"/>
              <w:ind w:left="72" w:right="115"/>
              <w:jc w:val="left"/>
            </w:pPr>
            <w:r w:rsidRPr="006A1E3E">
              <w:t xml:space="preserve">Grade </w:t>
            </w:r>
            <w:r>
              <w:t xml:space="preserve">11: </w:t>
            </w:r>
            <w:r w:rsidRPr="006A1E3E">
              <w:t>N</w:t>
            </w:r>
          </w:p>
        </w:tc>
        <w:tc>
          <w:tcPr>
            <w:tcW w:w="720" w:type="dxa"/>
            <w:textDirection w:val="btLr"/>
            <w:vAlign w:val="center"/>
            <w:hideMark/>
          </w:tcPr>
          <w:p w14:paraId="2341F983" w14:textId="77777777" w:rsidR="00085E73" w:rsidRPr="006A1E3E" w:rsidRDefault="00085E73" w:rsidP="006E1E47">
            <w:pPr>
              <w:pStyle w:val="TableHead"/>
              <w:ind w:left="72" w:right="115"/>
              <w:jc w:val="left"/>
            </w:pPr>
            <w:r w:rsidRPr="006A1E3E">
              <w:t xml:space="preserve">Grade </w:t>
            </w:r>
            <w:r>
              <w:t>11: % of Total T</w:t>
            </w:r>
            <w:r w:rsidRPr="006A1E3E">
              <w:t>ested</w:t>
            </w:r>
          </w:p>
        </w:tc>
        <w:tc>
          <w:tcPr>
            <w:tcW w:w="864" w:type="dxa"/>
            <w:textDirection w:val="btLr"/>
            <w:vAlign w:val="center"/>
            <w:hideMark/>
          </w:tcPr>
          <w:p w14:paraId="350DD8AD" w14:textId="77777777" w:rsidR="00085E73" w:rsidRPr="006A1E3E" w:rsidRDefault="00085E73" w:rsidP="006E1E47">
            <w:pPr>
              <w:pStyle w:val="TableHead"/>
              <w:ind w:left="72" w:right="115"/>
              <w:jc w:val="left"/>
            </w:pPr>
            <w:r w:rsidRPr="006A1E3E">
              <w:t xml:space="preserve">Grade </w:t>
            </w:r>
            <w:r>
              <w:t xml:space="preserve">12: </w:t>
            </w:r>
            <w:r w:rsidRPr="006A1E3E">
              <w:t>N</w:t>
            </w:r>
          </w:p>
        </w:tc>
        <w:tc>
          <w:tcPr>
            <w:tcW w:w="720" w:type="dxa"/>
            <w:textDirection w:val="btLr"/>
            <w:vAlign w:val="center"/>
            <w:hideMark/>
          </w:tcPr>
          <w:p w14:paraId="6F3E46A0" w14:textId="77777777" w:rsidR="00085E73" w:rsidRPr="006A1E3E" w:rsidRDefault="00085E73" w:rsidP="006E1E47">
            <w:pPr>
              <w:pStyle w:val="TableHead"/>
              <w:ind w:left="72" w:right="115"/>
              <w:jc w:val="left"/>
            </w:pPr>
            <w:r w:rsidRPr="006A1E3E">
              <w:t xml:space="preserve">Grade </w:t>
            </w:r>
            <w:r>
              <w:t>12: % of Total T</w:t>
            </w:r>
            <w:r w:rsidRPr="006A1E3E">
              <w:t>ested</w:t>
            </w:r>
          </w:p>
        </w:tc>
        <w:tc>
          <w:tcPr>
            <w:tcW w:w="864" w:type="dxa"/>
            <w:textDirection w:val="btLr"/>
            <w:vAlign w:val="center"/>
            <w:hideMark/>
          </w:tcPr>
          <w:p w14:paraId="432869E7" w14:textId="77777777" w:rsidR="00085E73" w:rsidRPr="006A1E3E" w:rsidRDefault="00085E73" w:rsidP="006E1E47">
            <w:pPr>
              <w:pStyle w:val="TableHead"/>
              <w:ind w:left="72" w:right="115"/>
              <w:jc w:val="left"/>
            </w:pPr>
            <w:r>
              <w:t xml:space="preserve">High School: </w:t>
            </w:r>
            <w:r w:rsidRPr="006A1E3E">
              <w:t>N</w:t>
            </w:r>
          </w:p>
        </w:tc>
        <w:tc>
          <w:tcPr>
            <w:tcW w:w="720" w:type="dxa"/>
            <w:textDirection w:val="btLr"/>
            <w:vAlign w:val="center"/>
            <w:hideMark/>
          </w:tcPr>
          <w:p w14:paraId="00738D7A" w14:textId="77777777" w:rsidR="00085E73" w:rsidRPr="006A1E3E" w:rsidRDefault="00085E73" w:rsidP="006E1E47">
            <w:pPr>
              <w:pStyle w:val="TableHead"/>
              <w:ind w:left="72" w:right="115"/>
              <w:jc w:val="left"/>
            </w:pPr>
            <w:r>
              <w:t>High School: % of Total T</w:t>
            </w:r>
            <w:r w:rsidRPr="006A1E3E">
              <w:t>ested</w:t>
            </w:r>
          </w:p>
        </w:tc>
      </w:tr>
      <w:tr w:rsidR="00085E73" w:rsidRPr="00B96179" w14:paraId="759A1754" w14:textId="77777777" w:rsidTr="003117E6">
        <w:tc>
          <w:tcPr>
            <w:tcW w:w="7056" w:type="dxa"/>
            <w:tcBorders>
              <w:top w:val="single" w:sz="4" w:space="0" w:color="auto"/>
            </w:tcBorders>
            <w:hideMark/>
          </w:tcPr>
          <w:p w14:paraId="69F7797F" w14:textId="77777777" w:rsidR="00085E73" w:rsidRPr="0093049F" w:rsidRDefault="00085E73" w:rsidP="003475E2">
            <w:pPr>
              <w:pStyle w:val="TableText"/>
              <w:jc w:val="left"/>
              <w:rPr>
                <w:szCs w:val="20"/>
                <w:lang w:eastAsia="ko-KR"/>
              </w:rPr>
            </w:pPr>
            <w:r>
              <w:t>Non-Embedded Accommodation—Abacus</w:t>
            </w:r>
          </w:p>
        </w:tc>
        <w:tc>
          <w:tcPr>
            <w:tcW w:w="864" w:type="dxa"/>
            <w:tcBorders>
              <w:top w:val="single" w:sz="4" w:space="0" w:color="auto"/>
            </w:tcBorders>
            <w:noWrap/>
            <w:vAlign w:val="bottom"/>
          </w:tcPr>
          <w:p w14:paraId="55FCFDA3" w14:textId="77777777" w:rsidR="00085E73" w:rsidRPr="007A3043" w:rsidRDefault="00085E73" w:rsidP="003475E2">
            <w:pPr>
              <w:pStyle w:val="TableText"/>
              <w:rPr>
                <w:szCs w:val="24"/>
                <w:lang w:eastAsia="ko-KR"/>
              </w:rPr>
            </w:pPr>
            <w:r>
              <w:t>0</w:t>
            </w:r>
          </w:p>
        </w:tc>
        <w:tc>
          <w:tcPr>
            <w:tcW w:w="720" w:type="dxa"/>
            <w:tcBorders>
              <w:top w:val="single" w:sz="4" w:space="0" w:color="auto"/>
            </w:tcBorders>
            <w:noWrap/>
            <w:vAlign w:val="bottom"/>
          </w:tcPr>
          <w:p w14:paraId="659B43C2" w14:textId="77777777" w:rsidR="00085E73" w:rsidRPr="007A3043" w:rsidRDefault="00085E73" w:rsidP="003475E2">
            <w:pPr>
              <w:pStyle w:val="TableText"/>
              <w:rPr>
                <w:szCs w:val="24"/>
                <w:lang w:eastAsia="ko-KR"/>
              </w:rPr>
            </w:pPr>
            <w:r>
              <w:t>0%</w:t>
            </w:r>
          </w:p>
        </w:tc>
        <w:tc>
          <w:tcPr>
            <w:tcW w:w="864" w:type="dxa"/>
            <w:tcBorders>
              <w:top w:val="single" w:sz="4" w:space="0" w:color="auto"/>
            </w:tcBorders>
            <w:noWrap/>
            <w:vAlign w:val="bottom"/>
          </w:tcPr>
          <w:p w14:paraId="108358C0" w14:textId="77777777" w:rsidR="00085E73" w:rsidRPr="007A3043" w:rsidRDefault="00085E73" w:rsidP="003475E2">
            <w:pPr>
              <w:pStyle w:val="TableText"/>
              <w:rPr>
                <w:szCs w:val="24"/>
                <w:lang w:eastAsia="ko-KR"/>
              </w:rPr>
            </w:pPr>
            <w:r>
              <w:t>2</w:t>
            </w:r>
          </w:p>
        </w:tc>
        <w:tc>
          <w:tcPr>
            <w:tcW w:w="720" w:type="dxa"/>
            <w:tcBorders>
              <w:top w:val="single" w:sz="4" w:space="0" w:color="auto"/>
            </w:tcBorders>
            <w:noWrap/>
            <w:vAlign w:val="bottom"/>
          </w:tcPr>
          <w:p w14:paraId="19F0671D" w14:textId="77777777" w:rsidR="00085E73" w:rsidRPr="007A3043" w:rsidRDefault="00085E73" w:rsidP="003475E2">
            <w:pPr>
              <w:pStyle w:val="TableText"/>
              <w:rPr>
                <w:szCs w:val="24"/>
                <w:lang w:eastAsia="ko-KR"/>
              </w:rPr>
            </w:pPr>
            <w:r>
              <w:t>1%</w:t>
            </w:r>
          </w:p>
        </w:tc>
        <w:tc>
          <w:tcPr>
            <w:tcW w:w="864" w:type="dxa"/>
            <w:tcBorders>
              <w:top w:val="single" w:sz="4" w:space="0" w:color="auto"/>
            </w:tcBorders>
            <w:noWrap/>
            <w:vAlign w:val="bottom"/>
          </w:tcPr>
          <w:p w14:paraId="36B08134" w14:textId="77777777" w:rsidR="00085E73" w:rsidRPr="007A3043" w:rsidRDefault="00085E73" w:rsidP="003475E2">
            <w:pPr>
              <w:pStyle w:val="TableText"/>
              <w:rPr>
                <w:szCs w:val="24"/>
                <w:lang w:eastAsia="ko-KR"/>
              </w:rPr>
            </w:pPr>
            <w:r>
              <w:t>1</w:t>
            </w:r>
          </w:p>
        </w:tc>
        <w:tc>
          <w:tcPr>
            <w:tcW w:w="720" w:type="dxa"/>
            <w:tcBorders>
              <w:top w:val="single" w:sz="4" w:space="0" w:color="auto"/>
            </w:tcBorders>
            <w:noWrap/>
            <w:vAlign w:val="bottom"/>
          </w:tcPr>
          <w:p w14:paraId="2C596E2D" w14:textId="77777777" w:rsidR="00085E73" w:rsidRPr="007A3043" w:rsidRDefault="00085E73" w:rsidP="003475E2">
            <w:pPr>
              <w:pStyle w:val="TableText"/>
              <w:rPr>
                <w:szCs w:val="24"/>
                <w:lang w:eastAsia="ko-KR"/>
              </w:rPr>
            </w:pPr>
            <w:r>
              <w:t>0%</w:t>
            </w:r>
          </w:p>
        </w:tc>
        <w:tc>
          <w:tcPr>
            <w:tcW w:w="864" w:type="dxa"/>
            <w:tcBorders>
              <w:top w:val="single" w:sz="4" w:space="0" w:color="auto"/>
            </w:tcBorders>
            <w:noWrap/>
            <w:vAlign w:val="bottom"/>
          </w:tcPr>
          <w:p w14:paraId="7DE4765B" w14:textId="77777777" w:rsidR="00085E73" w:rsidRPr="007A3043" w:rsidRDefault="00085E73" w:rsidP="003475E2">
            <w:pPr>
              <w:pStyle w:val="TableText"/>
              <w:rPr>
                <w:szCs w:val="24"/>
                <w:lang w:eastAsia="ko-KR"/>
              </w:rPr>
            </w:pPr>
            <w:r>
              <w:t>3</w:t>
            </w:r>
          </w:p>
        </w:tc>
        <w:tc>
          <w:tcPr>
            <w:tcW w:w="720" w:type="dxa"/>
            <w:tcBorders>
              <w:top w:val="single" w:sz="4" w:space="0" w:color="auto"/>
            </w:tcBorders>
            <w:noWrap/>
            <w:vAlign w:val="bottom"/>
          </w:tcPr>
          <w:p w14:paraId="409D823C" w14:textId="77777777" w:rsidR="00085E73" w:rsidRPr="007A3043" w:rsidRDefault="00085E73" w:rsidP="003475E2">
            <w:pPr>
              <w:pStyle w:val="TableText"/>
              <w:rPr>
                <w:szCs w:val="24"/>
                <w:lang w:eastAsia="ko-KR"/>
              </w:rPr>
            </w:pPr>
            <w:r>
              <w:t>0%</w:t>
            </w:r>
          </w:p>
        </w:tc>
      </w:tr>
      <w:tr w:rsidR="00085E73" w:rsidRPr="00B96179" w14:paraId="1F7BF811" w14:textId="77777777" w:rsidTr="003475E2">
        <w:tc>
          <w:tcPr>
            <w:tcW w:w="7056" w:type="dxa"/>
            <w:hideMark/>
          </w:tcPr>
          <w:p w14:paraId="337DE20F" w14:textId="77777777" w:rsidR="00085E73" w:rsidRPr="0093049F" w:rsidRDefault="00085E73" w:rsidP="003475E2">
            <w:pPr>
              <w:pStyle w:val="TableText"/>
              <w:jc w:val="left"/>
              <w:rPr>
                <w:szCs w:val="20"/>
                <w:lang w:eastAsia="ko-KR"/>
              </w:rPr>
            </w:pPr>
            <w:r>
              <w:t>Non-Embedded Accommodation—Additional Instructional Supports for Alternate Assessments</w:t>
            </w:r>
          </w:p>
        </w:tc>
        <w:tc>
          <w:tcPr>
            <w:tcW w:w="864" w:type="dxa"/>
            <w:noWrap/>
            <w:vAlign w:val="bottom"/>
          </w:tcPr>
          <w:p w14:paraId="7F562CB1" w14:textId="77777777" w:rsidR="00085E73" w:rsidRPr="007A3043" w:rsidRDefault="00085E73" w:rsidP="003475E2">
            <w:pPr>
              <w:pStyle w:val="TableText"/>
              <w:rPr>
                <w:szCs w:val="24"/>
                <w:lang w:eastAsia="ko-KR"/>
              </w:rPr>
            </w:pPr>
            <w:r>
              <w:t>7</w:t>
            </w:r>
          </w:p>
        </w:tc>
        <w:tc>
          <w:tcPr>
            <w:tcW w:w="720" w:type="dxa"/>
            <w:noWrap/>
            <w:vAlign w:val="bottom"/>
          </w:tcPr>
          <w:p w14:paraId="27FD7AF0" w14:textId="77777777" w:rsidR="00085E73" w:rsidRPr="007A3043" w:rsidRDefault="00085E73" w:rsidP="003475E2">
            <w:pPr>
              <w:pStyle w:val="TableText"/>
              <w:rPr>
                <w:szCs w:val="24"/>
                <w:lang w:eastAsia="ko-KR"/>
              </w:rPr>
            </w:pPr>
            <w:r>
              <w:t>5%</w:t>
            </w:r>
          </w:p>
        </w:tc>
        <w:tc>
          <w:tcPr>
            <w:tcW w:w="864" w:type="dxa"/>
            <w:noWrap/>
            <w:vAlign w:val="bottom"/>
          </w:tcPr>
          <w:p w14:paraId="42620DBF" w14:textId="77777777" w:rsidR="00085E73" w:rsidRPr="007A3043" w:rsidRDefault="00085E73" w:rsidP="003475E2">
            <w:pPr>
              <w:pStyle w:val="TableText"/>
              <w:rPr>
                <w:szCs w:val="24"/>
                <w:lang w:eastAsia="ko-KR"/>
              </w:rPr>
            </w:pPr>
            <w:r>
              <w:t>18</w:t>
            </w:r>
          </w:p>
        </w:tc>
        <w:tc>
          <w:tcPr>
            <w:tcW w:w="720" w:type="dxa"/>
            <w:noWrap/>
            <w:vAlign w:val="bottom"/>
          </w:tcPr>
          <w:p w14:paraId="46B639F1" w14:textId="77777777" w:rsidR="00085E73" w:rsidRPr="007A3043" w:rsidRDefault="00085E73" w:rsidP="003475E2">
            <w:pPr>
              <w:pStyle w:val="TableText"/>
              <w:rPr>
                <w:szCs w:val="24"/>
                <w:lang w:eastAsia="ko-KR"/>
              </w:rPr>
            </w:pPr>
            <w:r>
              <w:t>5%</w:t>
            </w:r>
          </w:p>
        </w:tc>
        <w:tc>
          <w:tcPr>
            <w:tcW w:w="864" w:type="dxa"/>
            <w:noWrap/>
            <w:vAlign w:val="bottom"/>
          </w:tcPr>
          <w:p w14:paraId="57D9BF6C" w14:textId="77777777" w:rsidR="00085E73" w:rsidRPr="007A3043" w:rsidRDefault="00085E73" w:rsidP="003475E2">
            <w:pPr>
              <w:pStyle w:val="TableText"/>
              <w:rPr>
                <w:szCs w:val="24"/>
                <w:lang w:eastAsia="ko-KR"/>
              </w:rPr>
            </w:pPr>
            <w:r>
              <w:t>7</w:t>
            </w:r>
          </w:p>
        </w:tc>
        <w:tc>
          <w:tcPr>
            <w:tcW w:w="720" w:type="dxa"/>
            <w:noWrap/>
            <w:vAlign w:val="bottom"/>
          </w:tcPr>
          <w:p w14:paraId="57916926" w14:textId="77777777" w:rsidR="00085E73" w:rsidRPr="007A3043" w:rsidRDefault="00085E73" w:rsidP="003475E2">
            <w:pPr>
              <w:pStyle w:val="TableText"/>
              <w:rPr>
                <w:szCs w:val="24"/>
                <w:lang w:eastAsia="ko-KR"/>
              </w:rPr>
            </w:pPr>
            <w:r>
              <w:t>3%</w:t>
            </w:r>
          </w:p>
        </w:tc>
        <w:tc>
          <w:tcPr>
            <w:tcW w:w="864" w:type="dxa"/>
            <w:noWrap/>
            <w:vAlign w:val="bottom"/>
          </w:tcPr>
          <w:p w14:paraId="007BCB9F" w14:textId="77777777" w:rsidR="00085E73" w:rsidRPr="007A3043" w:rsidRDefault="00085E73" w:rsidP="003475E2">
            <w:pPr>
              <w:pStyle w:val="TableText"/>
              <w:rPr>
                <w:szCs w:val="24"/>
                <w:lang w:eastAsia="ko-KR"/>
              </w:rPr>
            </w:pPr>
            <w:r>
              <w:t>32</w:t>
            </w:r>
          </w:p>
        </w:tc>
        <w:tc>
          <w:tcPr>
            <w:tcW w:w="720" w:type="dxa"/>
            <w:noWrap/>
            <w:vAlign w:val="bottom"/>
          </w:tcPr>
          <w:p w14:paraId="283F4D0F" w14:textId="77777777" w:rsidR="00085E73" w:rsidRPr="007A3043" w:rsidRDefault="00085E73" w:rsidP="003475E2">
            <w:pPr>
              <w:pStyle w:val="TableText"/>
              <w:rPr>
                <w:szCs w:val="24"/>
                <w:lang w:eastAsia="ko-KR"/>
              </w:rPr>
            </w:pPr>
            <w:r>
              <w:t>4%</w:t>
            </w:r>
          </w:p>
        </w:tc>
      </w:tr>
      <w:tr w:rsidR="00085E73" w:rsidRPr="00B96179" w14:paraId="24E8C780" w14:textId="77777777" w:rsidTr="003475E2">
        <w:tc>
          <w:tcPr>
            <w:tcW w:w="7056" w:type="dxa"/>
            <w:hideMark/>
          </w:tcPr>
          <w:p w14:paraId="71E86B51" w14:textId="77777777" w:rsidR="00085E73" w:rsidRPr="0093049F" w:rsidRDefault="00085E73" w:rsidP="003475E2">
            <w:pPr>
              <w:pStyle w:val="TableText"/>
              <w:jc w:val="left"/>
              <w:rPr>
                <w:szCs w:val="20"/>
                <w:lang w:eastAsia="ko-KR"/>
              </w:rPr>
            </w:pPr>
            <w:r>
              <w:t>Non-Embedded Accommodation—Alternate Response Options</w:t>
            </w:r>
          </w:p>
        </w:tc>
        <w:tc>
          <w:tcPr>
            <w:tcW w:w="864" w:type="dxa"/>
            <w:noWrap/>
            <w:vAlign w:val="bottom"/>
          </w:tcPr>
          <w:p w14:paraId="7C6A0163" w14:textId="77777777" w:rsidR="00085E73" w:rsidRPr="007A3043" w:rsidRDefault="00085E73" w:rsidP="003475E2">
            <w:pPr>
              <w:pStyle w:val="TableText"/>
              <w:rPr>
                <w:szCs w:val="24"/>
                <w:lang w:eastAsia="ko-KR"/>
              </w:rPr>
            </w:pPr>
            <w:r>
              <w:t>11</w:t>
            </w:r>
          </w:p>
        </w:tc>
        <w:tc>
          <w:tcPr>
            <w:tcW w:w="720" w:type="dxa"/>
            <w:noWrap/>
            <w:vAlign w:val="bottom"/>
          </w:tcPr>
          <w:p w14:paraId="09C43E69" w14:textId="77777777" w:rsidR="00085E73" w:rsidRPr="007A3043" w:rsidRDefault="00085E73" w:rsidP="003475E2">
            <w:pPr>
              <w:pStyle w:val="TableText"/>
              <w:rPr>
                <w:szCs w:val="24"/>
                <w:lang w:eastAsia="ko-KR"/>
              </w:rPr>
            </w:pPr>
            <w:r>
              <w:t>8%</w:t>
            </w:r>
          </w:p>
        </w:tc>
        <w:tc>
          <w:tcPr>
            <w:tcW w:w="864" w:type="dxa"/>
            <w:noWrap/>
            <w:vAlign w:val="bottom"/>
          </w:tcPr>
          <w:p w14:paraId="489AF6F8" w14:textId="77777777" w:rsidR="00085E73" w:rsidRPr="007A3043" w:rsidRDefault="00085E73" w:rsidP="003475E2">
            <w:pPr>
              <w:pStyle w:val="TableText"/>
              <w:rPr>
                <w:szCs w:val="24"/>
                <w:lang w:eastAsia="ko-KR"/>
              </w:rPr>
            </w:pPr>
            <w:r>
              <w:t>8</w:t>
            </w:r>
          </w:p>
        </w:tc>
        <w:tc>
          <w:tcPr>
            <w:tcW w:w="720" w:type="dxa"/>
            <w:noWrap/>
            <w:vAlign w:val="bottom"/>
          </w:tcPr>
          <w:p w14:paraId="7C01641A" w14:textId="77777777" w:rsidR="00085E73" w:rsidRPr="007A3043" w:rsidRDefault="00085E73" w:rsidP="003475E2">
            <w:pPr>
              <w:pStyle w:val="TableText"/>
              <w:rPr>
                <w:szCs w:val="24"/>
                <w:lang w:eastAsia="ko-KR"/>
              </w:rPr>
            </w:pPr>
            <w:r>
              <w:t>2%</w:t>
            </w:r>
          </w:p>
        </w:tc>
        <w:tc>
          <w:tcPr>
            <w:tcW w:w="864" w:type="dxa"/>
            <w:noWrap/>
            <w:vAlign w:val="bottom"/>
          </w:tcPr>
          <w:p w14:paraId="5C6A3BBF" w14:textId="77777777" w:rsidR="00085E73" w:rsidRPr="007A3043" w:rsidRDefault="00085E73" w:rsidP="003475E2">
            <w:pPr>
              <w:pStyle w:val="TableText"/>
              <w:rPr>
                <w:szCs w:val="24"/>
                <w:lang w:eastAsia="ko-KR"/>
              </w:rPr>
            </w:pPr>
            <w:r>
              <w:t>8</w:t>
            </w:r>
          </w:p>
        </w:tc>
        <w:tc>
          <w:tcPr>
            <w:tcW w:w="720" w:type="dxa"/>
            <w:noWrap/>
            <w:vAlign w:val="bottom"/>
          </w:tcPr>
          <w:p w14:paraId="7282E36D" w14:textId="77777777" w:rsidR="00085E73" w:rsidRPr="007A3043" w:rsidRDefault="00085E73" w:rsidP="003475E2">
            <w:pPr>
              <w:pStyle w:val="TableText"/>
              <w:rPr>
                <w:szCs w:val="24"/>
                <w:lang w:eastAsia="ko-KR"/>
              </w:rPr>
            </w:pPr>
            <w:r>
              <w:t>3%</w:t>
            </w:r>
          </w:p>
        </w:tc>
        <w:tc>
          <w:tcPr>
            <w:tcW w:w="864" w:type="dxa"/>
            <w:noWrap/>
            <w:vAlign w:val="bottom"/>
          </w:tcPr>
          <w:p w14:paraId="225BD305" w14:textId="77777777" w:rsidR="00085E73" w:rsidRPr="007A3043" w:rsidRDefault="00085E73" w:rsidP="003475E2">
            <w:pPr>
              <w:pStyle w:val="TableText"/>
              <w:rPr>
                <w:szCs w:val="24"/>
                <w:lang w:eastAsia="ko-KR"/>
              </w:rPr>
            </w:pPr>
            <w:r>
              <w:t>27</w:t>
            </w:r>
          </w:p>
        </w:tc>
        <w:tc>
          <w:tcPr>
            <w:tcW w:w="720" w:type="dxa"/>
            <w:noWrap/>
            <w:vAlign w:val="bottom"/>
          </w:tcPr>
          <w:p w14:paraId="37BB3B90" w14:textId="77777777" w:rsidR="00085E73" w:rsidRPr="007A3043" w:rsidRDefault="00085E73" w:rsidP="003475E2">
            <w:pPr>
              <w:pStyle w:val="TableText"/>
              <w:rPr>
                <w:szCs w:val="24"/>
                <w:lang w:eastAsia="ko-KR"/>
              </w:rPr>
            </w:pPr>
            <w:r>
              <w:t>4%</w:t>
            </w:r>
          </w:p>
        </w:tc>
      </w:tr>
      <w:tr w:rsidR="00085E73" w:rsidRPr="00B96179" w14:paraId="41D2FF0A" w14:textId="77777777" w:rsidTr="003475E2">
        <w:tc>
          <w:tcPr>
            <w:tcW w:w="7056" w:type="dxa"/>
            <w:hideMark/>
          </w:tcPr>
          <w:p w14:paraId="113A3838" w14:textId="77777777" w:rsidR="00085E73" w:rsidRPr="0093049F" w:rsidRDefault="00085E73" w:rsidP="003475E2">
            <w:pPr>
              <w:pStyle w:val="TableText"/>
              <w:jc w:val="left"/>
              <w:rPr>
                <w:szCs w:val="20"/>
                <w:lang w:eastAsia="ko-KR"/>
              </w:rPr>
            </w:pPr>
            <w:r>
              <w:t>Non-Embedded Accommodation—Print on Demand</w:t>
            </w:r>
          </w:p>
        </w:tc>
        <w:tc>
          <w:tcPr>
            <w:tcW w:w="864" w:type="dxa"/>
            <w:noWrap/>
            <w:vAlign w:val="bottom"/>
          </w:tcPr>
          <w:p w14:paraId="018B7119" w14:textId="77777777" w:rsidR="00085E73" w:rsidRPr="007A3043" w:rsidRDefault="00085E73" w:rsidP="003475E2">
            <w:pPr>
              <w:pStyle w:val="TableText"/>
              <w:rPr>
                <w:szCs w:val="24"/>
                <w:lang w:eastAsia="ko-KR"/>
              </w:rPr>
            </w:pPr>
            <w:r>
              <w:t>0</w:t>
            </w:r>
          </w:p>
        </w:tc>
        <w:tc>
          <w:tcPr>
            <w:tcW w:w="720" w:type="dxa"/>
            <w:noWrap/>
            <w:vAlign w:val="bottom"/>
          </w:tcPr>
          <w:p w14:paraId="5D7E7AC3" w14:textId="77777777" w:rsidR="00085E73" w:rsidRPr="007A3043" w:rsidRDefault="00085E73" w:rsidP="003475E2">
            <w:pPr>
              <w:pStyle w:val="TableText"/>
              <w:rPr>
                <w:szCs w:val="24"/>
                <w:lang w:eastAsia="ko-KR"/>
              </w:rPr>
            </w:pPr>
            <w:r>
              <w:t>0%</w:t>
            </w:r>
          </w:p>
        </w:tc>
        <w:tc>
          <w:tcPr>
            <w:tcW w:w="864" w:type="dxa"/>
            <w:noWrap/>
            <w:vAlign w:val="bottom"/>
          </w:tcPr>
          <w:p w14:paraId="58386AE6" w14:textId="77777777" w:rsidR="00085E73" w:rsidRPr="007A3043" w:rsidRDefault="00085E73" w:rsidP="003475E2">
            <w:pPr>
              <w:pStyle w:val="TableText"/>
              <w:rPr>
                <w:szCs w:val="24"/>
                <w:lang w:eastAsia="ko-KR"/>
              </w:rPr>
            </w:pPr>
            <w:r>
              <w:t>0</w:t>
            </w:r>
          </w:p>
        </w:tc>
        <w:tc>
          <w:tcPr>
            <w:tcW w:w="720" w:type="dxa"/>
            <w:noWrap/>
            <w:vAlign w:val="bottom"/>
          </w:tcPr>
          <w:p w14:paraId="0769D99E" w14:textId="77777777" w:rsidR="00085E73" w:rsidRPr="007A3043" w:rsidRDefault="00085E73" w:rsidP="003475E2">
            <w:pPr>
              <w:pStyle w:val="TableText"/>
              <w:rPr>
                <w:szCs w:val="24"/>
                <w:lang w:eastAsia="ko-KR"/>
              </w:rPr>
            </w:pPr>
            <w:r>
              <w:t>0%</w:t>
            </w:r>
          </w:p>
        </w:tc>
        <w:tc>
          <w:tcPr>
            <w:tcW w:w="864" w:type="dxa"/>
            <w:noWrap/>
            <w:vAlign w:val="bottom"/>
          </w:tcPr>
          <w:p w14:paraId="02CE30A2" w14:textId="77777777" w:rsidR="00085E73" w:rsidRPr="007A3043" w:rsidRDefault="00085E73" w:rsidP="003475E2">
            <w:pPr>
              <w:pStyle w:val="TableText"/>
              <w:rPr>
                <w:szCs w:val="24"/>
                <w:lang w:eastAsia="ko-KR"/>
              </w:rPr>
            </w:pPr>
            <w:r>
              <w:t>0</w:t>
            </w:r>
          </w:p>
        </w:tc>
        <w:tc>
          <w:tcPr>
            <w:tcW w:w="720" w:type="dxa"/>
            <w:noWrap/>
            <w:vAlign w:val="bottom"/>
          </w:tcPr>
          <w:p w14:paraId="3B2C6D1A" w14:textId="77777777" w:rsidR="00085E73" w:rsidRPr="007A3043" w:rsidRDefault="00085E73" w:rsidP="003475E2">
            <w:pPr>
              <w:pStyle w:val="TableText"/>
              <w:rPr>
                <w:szCs w:val="24"/>
                <w:lang w:eastAsia="ko-KR"/>
              </w:rPr>
            </w:pPr>
            <w:r>
              <w:t>0%</w:t>
            </w:r>
          </w:p>
        </w:tc>
        <w:tc>
          <w:tcPr>
            <w:tcW w:w="864" w:type="dxa"/>
            <w:noWrap/>
            <w:vAlign w:val="bottom"/>
          </w:tcPr>
          <w:p w14:paraId="32624568" w14:textId="77777777" w:rsidR="00085E73" w:rsidRPr="007A3043" w:rsidRDefault="00085E73" w:rsidP="003475E2">
            <w:pPr>
              <w:pStyle w:val="TableText"/>
              <w:rPr>
                <w:szCs w:val="24"/>
                <w:lang w:eastAsia="ko-KR"/>
              </w:rPr>
            </w:pPr>
            <w:r>
              <w:t>0</w:t>
            </w:r>
          </w:p>
        </w:tc>
        <w:tc>
          <w:tcPr>
            <w:tcW w:w="720" w:type="dxa"/>
            <w:noWrap/>
            <w:vAlign w:val="bottom"/>
          </w:tcPr>
          <w:p w14:paraId="7F0D71C8" w14:textId="77777777" w:rsidR="00085E73" w:rsidRPr="007A3043" w:rsidRDefault="00085E73" w:rsidP="003475E2">
            <w:pPr>
              <w:pStyle w:val="TableText"/>
              <w:rPr>
                <w:szCs w:val="24"/>
                <w:lang w:eastAsia="ko-KR"/>
              </w:rPr>
            </w:pPr>
            <w:r>
              <w:t>0%</w:t>
            </w:r>
          </w:p>
        </w:tc>
      </w:tr>
      <w:tr w:rsidR="00085E73" w:rsidRPr="00B96179" w14:paraId="7A1FE282" w14:textId="77777777" w:rsidTr="003475E2">
        <w:tc>
          <w:tcPr>
            <w:tcW w:w="7056" w:type="dxa"/>
            <w:tcBorders>
              <w:bottom w:val="nil"/>
            </w:tcBorders>
          </w:tcPr>
          <w:p w14:paraId="568F065C" w14:textId="77777777" w:rsidR="00085E73" w:rsidRPr="0093049F" w:rsidRDefault="00085E73" w:rsidP="003475E2">
            <w:pPr>
              <w:pStyle w:val="TableText"/>
              <w:jc w:val="left"/>
              <w:rPr>
                <w:szCs w:val="20"/>
              </w:rPr>
            </w:pPr>
            <w:r>
              <w:t>Non-Embedded Accommodation—Unlisted Resources</w:t>
            </w:r>
          </w:p>
        </w:tc>
        <w:tc>
          <w:tcPr>
            <w:tcW w:w="864" w:type="dxa"/>
            <w:tcBorders>
              <w:bottom w:val="nil"/>
            </w:tcBorders>
            <w:noWrap/>
            <w:vAlign w:val="bottom"/>
          </w:tcPr>
          <w:p w14:paraId="47F3EE8F" w14:textId="77777777" w:rsidR="00085E73" w:rsidRPr="007A3043" w:rsidRDefault="00085E73" w:rsidP="003475E2">
            <w:pPr>
              <w:pStyle w:val="TableText"/>
              <w:rPr>
                <w:szCs w:val="24"/>
                <w:lang w:eastAsia="ko-KR"/>
              </w:rPr>
            </w:pPr>
            <w:r>
              <w:t>0</w:t>
            </w:r>
          </w:p>
        </w:tc>
        <w:tc>
          <w:tcPr>
            <w:tcW w:w="720" w:type="dxa"/>
            <w:tcBorders>
              <w:bottom w:val="nil"/>
            </w:tcBorders>
            <w:noWrap/>
            <w:vAlign w:val="bottom"/>
          </w:tcPr>
          <w:p w14:paraId="7413B671" w14:textId="77777777" w:rsidR="00085E73" w:rsidRPr="007A3043" w:rsidRDefault="00085E73" w:rsidP="003475E2">
            <w:pPr>
              <w:pStyle w:val="TableText"/>
              <w:rPr>
                <w:szCs w:val="24"/>
                <w:lang w:eastAsia="ko-KR"/>
              </w:rPr>
            </w:pPr>
            <w:r>
              <w:t>0%</w:t>
            </w:r>
          </w:p>
        </w:tc>
        <w:tc>
          <w:tcPr>
            <w:tcW w:w="864" w:type="dxa"/>
            <w:tcBorders>
              <w:bottom w:val="nil"/>
            </w:tcBorders>
            <w:noWrap/>
            <w:vAlign w:val="bottom"/>
          </w:tcPr>
          <w:p w14:paraId="334B0CBB" w14:textId="77777777" w:rsidR="00085E73" w:rsidRPr="007A3043" w:rsidRDefault="00085E73" w:rsidP="003475E2">
            <w:pPr>
              <w:pStyle w:val="TableText"/>
              <w:rPr>
                <w:szCs w:val="24"/>
                <w:lang w:eastAsia="ko-KR"/>
              </w:rPr>
            </w:pPr>
            <w:r>
              <w:t>0</w:t>
            </w:r>
          </w:p>
        </w:tc>
        <w:tc>
          <w:tcPr>
            <w:tcW w:w="720" w:type="dxa"/>
            <w:tcBorders>
              <w:bottom w:val="nil"/>
            </w:tcBorders>
            <w:noWrap/>
            <w:vAlign w:val="bottom"/>
          </w:tcPr>
          <w:p w14:paraId="61342930" w14:textId="77777777" w:rsidR="00085E73" w:rsidRPr="007A3043" w:rsidRDefault="00085E73" w:rsidP="003475E2">
            <w:pPr>
              <w:pStyle w:val="TableText"/>
              <w:rPr>
                <w:szCs w:val="24"/>
                <w:lang w:eastAsia="ko-KR"/>
              </w:rPr>
            </w:pPr>
            <w:r>
              <w:t>0%</w:t>
            </w:r>
          </w:p>
        </w:tc>
        <w:tc>
          <w:tcPr>
            <w:tcW w:w="864" w:type="dxa"/>
            <w:tcBorders>
              <w:bottom w:val="nil"/>
            </w:tcBorders>
            <w:noWrap/>
            <w:vAlign w:val="bottom"/>
          </w:tcPr>
          <w:p w14:paraId="291D0CAD" w14:textId="77777777" w:rsidR="00085E73" w:rsidRPr="007A3043" w:rsidRDefault="00085E73" w:rsidP="003475E2">
            <w:pPr>
              <w:pStyle w:val="TableText"/>
              <w:rPr>
                <w:szCs w:val="24"/>
                <w:lang w:eastAsia="ko-KR"/>
              </w:rPr>
            </w:pPr>
            <w:r>
              <w:t>0</w:t>
            </w:r>
          </w:p>
        </w:tc>
        <w:tc>
          <w:tcPr>
            <w:tcW w:w="720" w:type="dxa"/>
            <w:tcBorders>
              <w:bottom w:val="nil"/>
            </w:tcBorders>
            <w:noWrap/>
            <w:vAlign w:val="bottom"/>
          </w:tcPr>
          <w:p w14:paraId="5A7C1473" w14:textId="77777777" w:rsidR="00085E73" w:rsidRPr="007A3043" w:rsidRDefault="00085E73" w:rsidP="003475E2">
            <w:pPr>
              <w:pStyle w:val="TableText"/>
              <w:rPr>
                <w:szCs w:val="24"/>
                <w:lang w:eastAsia="ko-KR"/>
              </w:rPr>
            </w:pPr>
            <w:r>
              <w:t>0%</w:t>
            </w:r>
          </w:p>
        </w:tc>
        <w:tc>
          <w:tcPr>
            <w:tcW w:w="864" w:type="dxa"/>
            <w:tcBorders>
              <w:bottom w:val="nil"/>
            </w:tcBorders>
            <w:noWrap/>
            <w:vAlign w:val="bottom"/>
          </w:tcPr>
          <w:p w14:paraId="6529642E" w14:textId="77777777" w:rsidR="00085E73" w:rsidRPr="007A3043" w:rsidRDefault="00085E73" w:rsidP="003475E2">
            <w:pPr>
              <w:pStyle w:val="TableText"/>
              <w:rPr>
                <w:szCs w:val="24"/>
                <w:lang w:eastAsia="ko-KR"/>
              </w:rPr>
            </w:pPr>
            <w:r>
              <w:t>0</w:t>
            </w:r>
          </w:p>
        </w:tc>
        <w:tc>
          <w:tcPr>
            <w:tcW w:w="720" w:type="dxa"/>
            <w:tcBorders>
              <w:bottom w:val="nil"/>
            </w:tcBorders>
            <w:noWrap/>
            <w:vAlign w:val="bottom"/>
          </w:tcPr>
          <w:p w14:paraId="7FF521D5" w14:textId="77777777" w:rsidR="00085E73" w:rsidRPr="007A3043" w:rsidRDefault="00085E73" w:rsidP="003475E2">
            <w:pPr>
              <w:pStyle w:val="TableText"/>
              <w:rPr>
                <w:szCs w:val="24"/>
                <w:lang w:eastAsia="ko-KR"/>
              </w:rPr>
            </w:pPr>
            <w:r>
              <w:t>0%</w:t>
            </w:r>
          </w:p>
        </w:tc>
      </w:tr>
      <w:tr w:rsidR="00085E73" w:rsidRPr="00B96179" w14:paraId="5518C47A" w14:textId="77777777" w:rsidTr="003475E2">
        <w:tc>
          <w:tcPr>
            <w:tcW w:w="7056" w:type="dxa"/>
            <w:tcBorders>
              <w:top w:val="nil"/>
              <w:bottom w:val="single" w:sz="4" w:space="0" w:color="auto"/>
            </w:tcBorders>
            <w:hideMark/>
          </w:tcPr>
          <w:p w14:paraId="3441986D" w14:textId="77777777" w:rsidR="00085E73" w:rsidRPr="0093049F" w:rsidRDefault="00085E73" w:rsidP="003475E2">
            <w:pPr>
              <w:pStyle w:val="TableText"/>
              <w:jc w:val="left"/>
              <w:rPr>
                <w:szCs w:val="20"/>
                <w:lang w:eastAsia="ko-KR"/>
              </w:rPr>
            </w:pPr>
            <w:r>
              <w:t>Non-Embedded Accommodation—Word Prediction</w:t>
            </w:r>
          </w:p>
        </w:tc>
        <w:tc>
          <w:tcPr>
            <w:tcW w:w="864" w:type="dxa"/>
            <w:tcBorders>
              <w:top w:val="nil"/>
              <w:bottom w:val="single" w:sz="4" w:space="0" w:color="auto"/>
            </w:tcBorders>
            <w:noWrap/>
            <w:vAlign w:val="bottom"/>
          </w:tcPr>
          <w:p w14:paraId="53816989" w14:textId="77777777" w:rsidR="00085E73" w:rsidRPr="007A3043" w:rsidRDefault="00085E73" w:rsidP="003475E2">
            <w:pPr>
              <w:pStyle w:val="TableText"/>
              <w:rPr>
                <w:szCs w:val="24"/>
                <w:lang w:eastAsia="ko-KR"/>
              </w:rPr>
            </w:pPr>
            <w:r>
              <w:t>1</w:t>
            </w:r>
          </w:p>
        </w:tc>
        <w:tc>
          <w:tcPr>
            <w:tcW w:w="720" w:type="dxa"/>
            <w:tcBorders>
              <w:top w:val="nil"/>
              <w:bottom w:val="single" w:sz="4" w:space="0" w:color="auto"/>
            </w:tcBorders>
            <w:noWrap/>
            <w:vAlign w:val="bottom"/>
          </w:tcPr>
          <w:p w14:paraId="26BA81BD" w14:textId="77777777" w:rsidR="00085E73" w:rsidRPr="007A3043" w:rsidRDefault="00085E73" w:rsidP="003475E2">
            <w:pPr>
              <w:pStyle w:val="TableText"/>
              <w:rPr>
                <w:szCs w:val="24"/>
                <w:lang w:eastAsia="ko-KR"/>
              </w:rPr>
            </w:pPr>
            <w:r>
              <w:t>1%</w:t>
            </w:r>
          </w:p>
        </w:tc>
        <w:tc>
          <w:tcPr>
            <w:tcW w:w="864" w:type="dxa"/>
            <w:tcBorders>
              <w:top w:val="nil"/>
              <w:bottom w:val="single" w:sz="4" w:space="0" w:color="auto"/>
            </w:tcBorders>
            <w:noWrap/>
            <w:vAlign w:val="bottom"/>
          </w:tcPr>
          <w:p w14:paraId="5C1008C0" w14:textId="77777777" w:rsidR="00085E73" w:rsidRPr="007A3043" w:rsidRDefault="00085E73" w:rsidP="003475E2">
            <w:pPr>
              <w:pStyle w:val="TableText"/>
              <w:rPr>
                <w:szCs w:val="24"/>
                <w:lang w:eastAsia="ko-KR"/>
              </w:rPr>
            </w:pPr>
            <w:r>
              <w:t>7</w:t>
            </w:r>
          </w:p>
        </w:tc>
        <w:tc>
          <w:tcPr>
            <w:tcW w:w="720" w:type="dxa"/>
            <w:tcBorders>
              <w:top w:val="nil"/>
              <w:bottom w:val="single" w:sz="4" w:space="0" w:color="auto"/>
            </w:tcBorders>
            <w:noWrap/>
            <w:vAlign w:val="bottom"/>
          </w:tcPr>
          <w:p w14:paraId="6E2C8676" w14:textId="77777777" w:rsidR="00085E73" w:rsidRPr="007A3043" w:rsidRDefault="00085E73" w:rsidP="003475E2">
            <w:pPr>
              <w:pStyle w:val="TableText"/>
              <w:rPr>
                <w:szCs w:val="24"/>
                <w:lang w:eastAsia="ko-KR"/>
              </w:rPr>
            </w:pPr>
            <w:r>
              <w:t>2%</w:t>
            </w:r>
          </w:p>
        </w:tc>
        <w:tc>
          <w:tcPr>
            <w:tcW w:w="864" w:type="dxa"/>
            <w:tcBorders>
              <w:top w:val="nil"/>
              <w:bottom w:val="single" w:sz="4" w:space="0" w:color="auto"/>
            </w:tcBorders>
            <w:noWrap/>
            <w:vAlign w:val="bottom"/>
          </w:tcPr>
          <w:p w14:paraId="3D2F5F78" w14:textId="77777777" w:rsidR="00085E73" w:rsidRPr="007A3043" w:rsidRDefault="00085E73" w:rsidP="003475E2">
            <w:pPr>
              <w:pStyle w:val="TableText"/>
              <w:rPr>
                <w:szCs w:val="24"/>
                <w:lang w:eastAsia="ko-KR"/>
              </w:rPr>
            </w:pPr>
            <w:r>
              <w:t>1</w:t>
            </w:r>
          </w:p>
        </w:tc>
        <w:tc>
          <w:tcPr>
            <w:tcW w:w="720" w:type="dxa"/>
            <w:tcBorders>
              <w:top w:val="nil"/>
              <w:bottom w:val="single" w:sz="4" w:space="0" w:color="auto"/>
            </w:tcBorders>
            <w:noWrap/>
            <w:vAlign w:val="bottom"/>
          </w:tcPr>
          <w:p w14:paraId="5D6E4925" w14:textId="77777777" w:rsidR="00085E73" w:rsidRPr="007A3043" w:rsidRDefault="00085E73" w:rsidP="003475E2">
            <w:pPr>
              <w:pStyle w:val="TableText"/>
              <w:rPr>
                <w:szCs w:val="24"/>
                <w:lang w:eastAsia="ko-KR"/>
              </w:rPr>
            </w:pPr>
            <w:r>
              <w:t>0%</w:t>
            </w:r>
          </w:p>
        </w:tc>
        <w:tc>
          <w:tcPr>
            <w:tcW w:w="864" w:type="dxa"/>
            <w:tcBorders>
              <w:top w:val="nil"/>
              <w:bottom w:val="single" w:sz="4" w:space="0" w:color="auto"/>
            </w:tcBorders>
            <w:noWrap/>
            <w:vAlign w:val="bottom"/>
          </w:tcPr>
          <w:p w14:paraId="6AF90660" w14:textId="77777777" w:rsidR="00085E73" w:rsidRPr="007A3043" w:rsidRDefault="00085E73" w:rsidP="003475E2">
            <w:pPr>
              <w:pStyle w:val="TableText"/>
              <w:rPr>
                <w:szCs w:val="24"/>
                <w:lang w:eastAsia="ko-KR"/>
              </w:rPr>
            </w:pPr>
            <w:r>
              <w:t>9</w:t>
            </w:r>
          </w:p>
        </w:tc>
        <w:tc>
          <w:tcPr>
            <w:tcW w:w="720" w:type="dxa"/>
            <w:tcBorders>
              <w:top w:val="nil"/>
              <w:bottom w:val="single" w:sz="4" w:space="0" w:color="auto"/>
            </w:tcBorders>
            <w:noWrap/>
            <w:vAlign w:val="bottom"/>
          </w:tcPr>
          <w:p w14:paraId="6E768D54" w14:textId="77777777" w:rsidR="00085E73" w:rsidRPr="007A3043" w:rsidRDefault="00085E73" w:rsidP="003475E2">
            <w:pPr>
              <w:pStyle w:val="TableText"/>
              <w:rPr>
                <w:szCs w:val="24"/>
                <w:lang w:eastAsia="ko-KR"/>
              </w:rPr>
            </w:pPr>
            <w:r>
              <w:t>1%</w:t>
            </w:r>
          </w:p>
        </w:tc>
      </w:tr>
      <w:tr w:rsidR="00085E73" w:rsidRPr="00B96179" w14:paraId="55168B2A" w14:textId="77777777" w:rsidTr="003475E2">
        <w:tc>
          <w:tcPr>
            <w:tcW w:w="7056" w:type="dxa"/>
            <w:tcBorders>
              <w:top w:val="single" w:sz="4" w:space="0" w:color="auto"/>
            </w:tcBorders>
            <w:hideMark/>
          </w:tcPr>
          <w:p w14:paraId="32366AFE" w14:textId="77777777" w:rsidR="00085E73" w:rsidRPr="00B96179" w:rsidRDefault="00085E73" w:rsidP="003475E2">
            <w:pPr>
              <w:pStyle w:val="TableText"/>
              <w:jc w:val="left"/>
              <w:rPr>
                <w:lang w:eastAsia="ko-KR"/>
              </w:rPr>
            </w:pPr>
            <w:r>
              <w:t>Embedded Designated Support—Color Contrast</w:t>
            </w:r>
          </w:p>
        </w:tc>
        <w:tc>
          <w:tcPr>
            <w:tcW w:w="864" w:type="dxa"/>
            <w:tcBorders>
              <w:top w:val="single" w:sz="4" w:space="0" w:color="auto"/>
            </w:tcBorders>
            <w:noWrap/>
            <w:vAlign w:val="bottom"/>
          </w:tcPr>
          <w:p w14:paraId="6CB3509D" w14:textId="77777777" w:rsidR="00085E73" w:rsidRPr="007A3043" w:rsidRDefault="00085E73" w:rsidP="003475E2">
            <w:pPr>
              <w:pStyle w:val="TableText"/>
              <w:rPr>
                <w:szCs w:val="24"/>
                <w:lang w:eastAsia="ko-KR"/>
              </w:rPr>
            </w:pPr>
            <w:r>
              <w:t>0</w:t>
            </w:r>
          </w:p>
        </w:tc>
        <w:tc>
          <w:tcPr>
            <w:tcW w:w="720" w:type="dxa"/>
            <w:tcBorders>
              <w:top w:val="single" w:sz="4" w:space="0" w:color="auto"/>
            </w:tcBorders>
            <w:noWrap/>
            <w:vAlign w:val="bottom"/>
          </w:tcPr>
          <w:p w14:paraId="362875AC" w14:textId="77777777" w:rsidR="00085E73" w:rsidRPr="007A3043" w:rsidRDefault="00085E73" w:rsidP="003475E2">
            <w:pPr>
              <w:pStyle w:val="TableText"/>
              <w:rPr>
                <w:szCs w:val="24"/>
                <w:lang w:eastAsia="ko-KR"/>
              </w:rPr>
            </w:pPr>
            <w:r>
              <w:t>0%</w:t>
            </w:r>
          </w:p>
        </w:tc>
        <w:tc>
          <w:tcPr>
            <w:tcW w:w="864" w:type="dxa"/>
            <w:tcBorders>
              <w:top w:val="single" w:sz="4" w:space="0" w:color="auto"/>
            </w:tcBorders>
            <w:noWrap/>
            <w:vAlign w:val="bottom"/>
          </w:tcPr>
          <w:p w14:paraId="49370AD8" w14:textId="77777777" w:rsidR="00085E73" w:rsidRPr="007A3043" w:rsidRDefault="00085E73" w:rsidP="003475E2">
            <w:pPr>
              <w:pStyle w:val="TableText"/>
              <w:rPr>
                <w:szCs w:val="24"/>
                <w:lang w:eastAsia="ko-KR"/>
              </w:rPr>
            </w:pPr>
            <w:r>
              <w:t>0</w:t>
            </w:r>
          </w:p>
        </w:tc>
        <w:tc>
          <w:tcPr>
            <w:tcW w:w="720" w:type="dxa"/>
            <w:tcBorders>
              <w:top w:val="single" w:sz="4" w:space="0" w:color="auto"/>
            </w:tcBorders>
            <w:noWrap/>
            <w:vAlign w:val="bottom"/>
          </w:tcPr>
          <w:p w14:paraId="5FA7E59F" w14:textId="77777777" w:rsidR="00085E73" w:rsidRPr="007A3043" w:rsidRDefault="00085E73" w:rsidP="003475E2">
            <w:pPr>
              <w:pStyle w:val="TableText"/>
              <w:rPr>
                <w:szCs w:val="24"/>
                <w:lang w:eastAsia="ko-KR"/>
              </w:rPr>
            </w:pPr>
            <w:r>
              <w:t>0%</w:t>
            </w:r>
          </w:p>
        </w:tc>
        <w:tc>
          <w:tcPr>
            <w:tcW w:w="864" w:type="dxa"/>
            <w:tcBorders>
              <w:top w:val="single" w:sz="4" w:space="0" w:color="auto"/>
            </w:tcBorders>
            <w:noWrap/>
            <w:vAlign w:val="bottom"/>
          </w:tcPr>
          <w:p w14:paraId="4720E6D8" w14:textId="77777777" w:rsidR="00085E73" w:rsidRPr="007A3043" w:rsidRDefault="00085E73" w:rsidP="003475E2">
            <w:pPr>
              <w:pStyle w:val="TableText"/>
              <w:rPr>
                <w:szCs w:val="24"/>
                <w:lang w:eastAsia="ko-KR"/>
              </w:rPr>
            </w:pPr>
            <w:r>
              <w:t>0</w:t>
            </w:r>
          </w:p>
        </w:tc>
        <w:tc>
          <w:tcPr>
            <w:tcW w:w="720" w:type="dxa"/>
            <w:tcBorders>
              <w:top w:val="single" w:sz="4" w:space="0" w:color="auto"/>
            </w:tcBorders>
            <w:noWrap/>
            <w:vAlign w:val="bottom"/>
          </w:tcPr>
          <w:p w14:paraId="5444BD64" w14:textId="77777777" w:rsidR="00085E73" w:rsidRPr="007A3043" w:rsidRDefault="00085E73" w:rsidP="003475E2">
            <w:pPr>
              <w:pStyle w:val="TableText"/>
              <w:rPr>
                <w:szCs w:val="24"/>
                <w:lang w:eastAsia="ko-KR"/>
              </w:rPr>
            </w:pPr>
            <w:r>
              <w:t>0%</w:t>
            </w:r>
          </w:p>
        </w:tc>
        <w:tc>
          <w:tcPr>
            <w:tcW w:w="864" w:type="dxa"/>
            <w:tcBorders>
              <w:top w:val="single" w:sz="4" w:space="0" w:color="auto"/>
            </w:tcBorders>
            <w:noWrap/>
            <w:vAlign w:val="bottom"/>
          </w:tcPr>
          <w:p w14:paraId="6C2285C2" w14:textId="77777777" w:rsidR="00085E73" w:rsidRPr="007A3043" w:rsidRDefault="00085E73" w:rsidP="003475E2">
            <w:pPr>
              <w:pStyle w:val="TableText"/>
              <w:rPr>
                <w:szCs w:val="24"/>
                <w:lang w:eastAsia="ko-KR"/>
              </w:rPr>
            </w:pPr>
            <w:r>
              <w:t>0</w:t>
            </w:r>
          </w:p>
        </w:tc>
        <w:tc>
          <w:tcPr>
            <w:tcW w:w="720" w:type="dxa"/>
            <w:tcBorders>
              <w:top w:val="single" w:sz="4" w:space="0" w:color="auto"/>
            </w:tcBorders>
            <w:noWrap/>
            <w:vAlign w:val="bottom"/>
          </w:tcPr>
          <w:p w14:paraId="03725AEB" w14:textId="77777777" w:rsidR="00085E73" w:rsidRPr="007A3043" w:rsidRDefault="00085E73" w:rsidP="003475E2">
            <w:pPr>
              <w:pStyle w:val="TableText"/>
              <w:rPr>
                <w:szCs w:val="24"/>
                <w:lang w:eastAsia="ko-KR"/>
              </w:rPr>
            </w:pPr>
            <w:r>
              <w:t>0%</w:t>
            </w:r>
          </w:p>
        </w:tc>
      </w:tr>
      <w:tr w:rsidR="00085E73" w:rsidRPr="00B96179" w14:paraId="638F3C21" w14:textId="77777777" w:rsidTr="003475E2">
        <w:tc>
          <w:tcPr>
            <w:tcW w:w="7056" w:type="dxa"/>
            <w:hideMark/>
          </w:tcPr>
          <w:p w14:paraId="5CE5A106" w14:textId="77777777" w:rsidR="00085E73" w:rsidRPr="0093049F" w:rsidRDefault="00085E73" w:rsidP="003475E2">
            <w:pPr>
              <w:pStyle w:val="TableText"/>
              <w:jc w:val="left"/>
              <w:rPr>
                <w:szCs w:val="20"/>
                <w:lang w:eastAsia="ko-KR"/>
              </w:rPr>
            </w:pPr>
            <w:r>
              <w:t>Embedded Designated Support—Masking</w:t>
            </w:r>
          </w:p>
        </w:tc>
        <w:tc>
          <w:tcPr>
            <w:tcW w:w="864" w:type="dxa"/>
            <w:noWrap/>
            <w:vAlign w:val="bottom"/>
          </w:tcPr>
          <w:p w14:paraId="705F4A0E" w14:textId="77777777" w:rsidR="00085E73" w:rsidRPr="007A3043" w:rsidRDefault="00085E73" w:rsidP="003475E2">
            <w:pPr>
              <w:pStyle w:val="TableText"/>
              <w:rPr>
                <w:szCs w:val="24"/>
                <w:lang w:eastAsia="ko-KR"/>
              </w:rPr>
            </w:pPr>
            <w:r>
              <w:t>8</w:t>
            </w:r>
          </w:p>
        </w:tc>
        <w:tc>
          <w:tcPr>
            <w:tcW w:w="720" w:type="dxa"/>
            <w:noWrap/>
            <w:vAlign w:val="bottom"/>
          </w:tcPr>
          <w:p w14:paraId="12A8E3FD" w14:textId="77777777" w:rsidR="00085E73" w:rsidRPr="007A3043" w:rsidRDefault="00085E73" w:rsidP="003475E2">
            <w:pPr>
              <w:pStyle w:val="TableText"/>
              <w:rPr>
                <w:szCs w:val="24"/>
                <w:lang w:eastAsia="ko-KR"/>
              </w:rPr>
            </w:pPr>
            <w:r>
              <w:t>6%</w:t>
            </w:r>
          </w:p>
        </w:tc>
        <w:tc>
          <w:tcPr>
            <w:tcW w:w="864" w:type="dxa"/>
            <w:noWrap/>
            <w:vAlign w:val="bottom"/>
          </w:tcPr>
          <w:p w14:paraId="743F1FC6" w14:textId="77777777" w:rsidR="00085E73" w:rsidRPr="007A3043" w:rsidRDefault="00085E73" w:rsidP="003475E2">
            <w:pPr>
              <w:pStyle w:val="TableText"/>
              <w:rPr>
                <w:szCs w:val="24"/>
                <w:lang w:eastAsia="ko-KR"/>
              </w:rPr>
            </w:pPr>
            <w:r>
              <w:t>1</w:t>
            </w:r>
          </w:p>
        </w:tc>
        <w:tc>
          <w:tcPr>
            <w:tcW w:w="720" w:type="dxa"/>
            <w:noWrap/>
            <w:vAlign w:val="bottom"/>
          </w:tcPr>
          <w:p w14:paraId="34B2D7FB" w14:textId="77777777" w:rsidR="00085E73" w:rsidRPr="007A3043" w:rsidRDefault="00085E73" w:rsidP="003475E2">
            <w:pPr>
              <w:pStyle w:val="TableText"/>
              <w:rPr>
                <w:szCs w:val="24"/>
                <w:lang w:eastAsia="ko-KR"/>
              </w:rPr>
            </w:pPr>
            <w:r>
              <w:t>0%</w:t>
            </w:r>
          </w:p>
        </w:tc>
        <w:tc>
          <w:tcPr>
            <w:tcW w:w="864" w:type="dxa"/>
            <w:noWrap/>
            <w:vAlign w:val="bottom"/>
          </w:tcPr>
          <w:p w14:paraId="4C148522" w14:textId="77777777" w:rsidR="00085E73" w:rsidRPr="007A3043" w:rsidRDefault="00085E73" w:rsidP="003475E2">
            <w:pPr>
              <w:pStyle w:val="TableText"/>
              <w:rPr>
                <w:szCs w:val="24"/>
                <w:lang w:eastAsia="ko-KR"/>
              </w:rPr>
            </w:pPr>
            <w:r>
              <w:t>4</w:t>
            </w:r>
          </w:p>
        </w:tc>
        <w:tc>
          <w:tcPr>
            <w:tcW w:w="720" w:type="dxa"/>
            <w:noWrap/>
            <w:vAlign w:val="bottom"/>
          </w:tcPr>
          <w:p w14:paraId="4A445818" w14:textId="77777777" w:rsidR="00085E73" w:rsidRPr="007A3043" w:rsidRDefault="00085E73" w:rsidP="003475E2">
            <w:pPr>
              <w:pStyle w:val="TableText"/>
              <w:rPr>
                <w:szCs w:val="24"/>
                <w:lang w:eastAsia="ko-KR"/>
              </w:rPr>
            </w:pPr>
            <w:r>
              <w:t>2%</w:t>
            </w:r>
          </w:p>
        </w:tc>
        <w:tc>
          <w:tcPr>
            <w:tcW w:w="864" w:type="dxa"/>
            <w:noWrap/>
            <w:vAlign w:val="bottom"/>
          </w:tcPr>
          <w:p w14:paraId="3AF47C64" w14:textId="77777777" w:rsidR="00085E73" w:rsidRPr="007A3043" w:rsidRDefault="00085E73" w:rsidP="003475E2">
            <w:pPr>
              <w:pStyle w:val="TableText"/>
              <w:rPr>
                <w:szCs w:val="24"/>
                <w:lang w:eastAsia="ko-KR"/>
              </w:rPr>
            </w:pPr>
            <w:r>
              <w:t>13</w:t>
            </w:r>
          </w:p>
        </w:tc>
        <w:tc>
          <w:tcPr>
            <w:tcW w:w="720" w:type="dxa"/>
            <w:noWrap/>
            <w:vAlign w:val="bottom"/>
          </w:tcPr>
          <w:p w14:paraId="5054E2D7" w14:textId="77777777" w:rsidR="00085E73" w:rsidRPr="007A3043" w:rsidRDefault="00085E73" w:rsidP="003475E2">
            <w:pPr>
              <w:pStyle w:val="TableText"/>
              <w:rPr>
                <w:szCs w:val="24"/>
                <w:lang w:eastAsia="ko-KR"/>
              </w:rPr>
            </w:pPr>
            <w:r>
              <w:t>2%</w:t>
            </w:r>
          </w:p>
        </w:tc>
      </w:tr>
      <w:tr w:rsidR="00085E73" w:rsidRPr="00B96179" w14:paraId="0A7C6368" w14:textId="77777777" w:rsidTr="003475E2">
        <w:tc>
          <w:tcPr>
            <w:tcW w:w="7056" w:type="dxa"/>
            <w:hideMark/>
          </w:tcPr>
          <w:p w14:paraId="090298A8" w14:textId="77777777" w:rsidR="00085E73" w:rsidRPr="0093049F" w:rsidRDefault="00085E73" w:rsidP="003475E2">
            <w:pPr>
              <w:pStyle w:val="TableText"/>
              <w:jc w:val="left"/>
              <w:rPr>
                <w:szCs w:val="20"/>
                <w:lang w:eastAsia="ko-KR"/>
              </w:rPr>
            </w:pPr>
            <w:r>
              <w:t>Embedded Designated Support—Mouse Pointer</w:t>
            </w:r>
          </w:p>
        </w:tc>
        <w:tc>
          <w:tcPr>
            <w:tcW w:w="864" w:type="dxa"/>
            <w:noWrap/>
            <w:vAlign w:val="bottom"/>
          </w:tcPr>
          <w:p w14:paraId="43A71044" w14:textId="77777777" w:rsidR="00085E73" w:rsidRPr="007A3043" w:rsidRDefault="00085E73" w:rsidP="003475E2">
            <w:pPr>
              <w:pStyle w:val="TableText"/>
              <w:rPr>
                <w:szCs w:val="24"/>
                <w:lang w:eastAsia="ko-KR"/>
              </w:rPr>
            </w:pPr>
            <w:r>
              <w:t>1</w:t>
            </w:r>
          </w:p>
        </w:tc>
        <w:tc>
          <w:tcPr>
            <w:tcW w:w="720" w:type="dxa"/>
            <w:noWrap/>
            <w:vAlign w:val="bottom"/>
          </w:tcPr>
          <w:p w14:paraId="7B27D31F" w14:textId="77777777" w:rsidR="00085E73" w:rsidRPr="007A3043" w:rsidRDefault="00085E73" w:rsidP="003475E2">
            <w:pPr>
              <w:pStyle w:val="TableText"/>
              <w:rPr>
                <w:szCs w:val="24"/>
                <w:lang w:eastAsia="ko-KR"/>
              </w:rPr>
            </w:pPr>
            <w:r>
              <w:t>1%</w:t>
            </w:r>
          </w:p>
        </w:tc>
        <w:tc>
          <w:tcPr>
            <w:tcW w:w="864" w:type="dxa"/>
            <w:noWrap/>
            <w:vAlign w:val="bottom"/>
          </w:tcPr>
          <w:p w14:paraId="41DB44F9" w14:textId="77777777" w:rsidR="00085E73" w:rsidRPr="007A3043" w:rsidRDefault="00085E73" w:rsidP="003475E2">
            <w:pPr>
              <w:pStyle w:val="TableText"/>
              <w:rPr>
                <w:szCs w:val="24"/>
                <w:lang w:eastAsia="ko-KR"/>
              </w:rPr>
            </w:pPr>
            <w:r>
              <w:t>2</w:t>
            </w:r>
          </w:p>
        </w:tc>
        <w:tc>
          <w:tcPr>
            <w:tcW w:w="720" w:type="dxa"/>
            <w:noWrap/>
            <w:vAlign w:val="bottom"/>
          </w:tcPr>
          <w:p w14:paraId="13F1CFEA" w14:textId="77777777" w:rsidR="00085E73" w:rsidRPr="007A3043" w:rsidRDefault="00085E73" w:rsidP="003475E2">
            <w:pPr>
              <w:pStyle w:val="TableText"/>
              <w:rPr>
                <w:szCs w:val="24"/>
                <w:lang w:eastAsia="ko-KR"/>
              </w:rPr>
            </w:pPr>
            <w:r>
              <w:t>1%</w:t>
            </w:r>
          </w:p>
        </w:tc>
        <w:tc>
          <w:tcPr>
            <w:tcW w:w="864" w:type="dxa"/>
            <w:noWrap/>
            <w:vAlign w:val="bottom"/>
          </w:tcPr>
          <w:p w14:paraId="3EC1F41D" w14:textId="77777777" w:rsidR="00085E73" w:rsidRPr="007A3043" w:rsidRDefault="00085E73" w:rsidP="003475E2">
            <w:pPr>
              <w:pStyle w:val="TableText"/>
              <w:rPr>
                <w:szCs w:val="24"/>
                <w:lang w:eastAsia="ko-KR"/>
              </w:rPr>
            </w:pPr>
            <w:r>
              <w:t>2</w:t>
            </w:r>
          </w:p>
        </w:tc>
        <w:tc>
          <w:tcPr>
            <w:tcW w:w="720" w:type="dxa"/>
            <w:noWrap/>
            <w:vAlign w:val="bottom"/>
          </w:tcPr>
          <w:p w14:paraId="31BEC78A" w14:textId="77777777" w:rsidR="00085E73" w:rsidRPr="007A3043" w:rsidRDefault="00085E73" w:rsidP="003475E2">
            <w:pPr>
              <w:pStyle w:val="TableText"/>
              <w:rPr>
                <w:szCs w:val="24"/>
                <w:lang w:eastAsia="ko-KR"/>
              </w:rPr>
            </w:pPr>
            <w:r>
              <w:t>1%</w:t>
            </w:r>
          </w:p>
        </w:tc>
        <w:tc>
          <w:tcPr>
            <w:tcW w:w="864" w:type="dxa"/>
            <w:noWrap/>
            <w:vAlign w:val="bottom"/>
          </w:tcPr>
          <w:p w14:paraId="7EF9CC26" w14:textId="77777777" w:rsidR="00085E73" w:rsidRPr="007A3043" w:rsidRDefault="00085E73" w:rsidP="003475E2">
            <w:pPr>
              <w:pStyle w:val="TableText"/>
              <w:rPr>
                <w:szCs w:val="24"/>
                <w:lang w:eastAsia="ko-KR"/>
              </w:rPr>
            </w:pPr>
            <w:r>
              <w:t>5</w:t>
            </w:r>
          </w:p>
        </w:tc>
        <w:tc>
          <w:tcPr>
            <w:tcW w:w="720" w:type="dxa"/>
            <w:noWrap/>
            <w:vAlign w:val="bottom"/>
          </w:tcPr>
          <w:p w14:paraId="5019D7E6" w14:textId="77777777" w:rsidR="00085E73" w:rsidRPr="007A3043" w:rsidRDefault="00085E73" w:rsidP="003475E2">
            <w:pPr>
              <w:pStyle w:val="TableText"/>
              <w:rPr>
                <w:szCs w:val="24"/>
                <w:lang w:eastAsia="ko-KR"/>
              </w:rPr>
            </w:pPr>
            <w:r>
              <w:t>1%</w:t>
            </w:r>
          </w:p>
        </w:tc>
      </w:tr>
      <w:tr w:rsidR="00085E73" w:rsidRPr="00B96179" w14:paraId="7375E686" w14:textId="77777777" w:rsidTr="003475E2">
        <w:tc>
          <w:tcPr>
            <w:tcW w:w="7056" w:type="dxa"/>
          </w:tcPr>
          <w:p w14:paraId="60FE3FE1" w14:textId="77777777" w:rsidR="00085E73" w:rsidRPr="0093049F" w:rsidRDefault="00085E73" w:rsidP="003475E2">
            <w:pPr>
              <w:pStyle w:val="TableText"/>
              <w:jc w:val="left"/>
              <w:rPr>
                <w:szCs w:val="20"/>
              </w:rPr>
            </w:pPr>
            <w:r>
              <w:t>Embedded Designated Support—Permissive Mode</w:t>
            </w:r>
          </w:p>
        </w:tc>
        <w:tc>
          <w:tcPr>
            <w:tcW w:w="864" w:type="dxa"/>
            <w:noWrap/>
            <w:vAlign w:val="bottom"/>
          </w:tcPr>
          <w:p w14:paraId="14E5964C" w14:textId="77777777" w:rsidR="00085E73" w:rsidRPr="007A3043" w:rsidRDefault="00085E73" w:rsidP="003475E2">
            <w:pPr>
              <w:pStyle w:val="TableText"/>
              <w:rPr>
                <w:szCs w:val="24"/>
                <w:lang w:eastAsia="ko-KR"/>
              </w:rPr>
            </w:pPr>
            <w:r>
              <w:t>2</w:t>
            </w:r>
          </w:p>
        </w:tc>
        <w:tc>
          <w:tcPr>
            <w:tcW w:w="720" w:type="dxa"/>
            <w:noWrap/>
            <w:vAlign w:val="bottom"/>
          </w:tcPr>
          <w:p w14:paraId="46C3A93E" w14:textId="77777777" w:rsidR="00085E73" w:rsidRPr="007A3043" w:rsidRDefault="00085E73" w:rsidP="003475E2">
            <w:pPr>
              <w:pStyle w:val="TableText"/>
              <w:rPr>
                <w:szCs w:val="24"/>
                <w:lang w:eastAsia="ko-KR"/>
              </w:rPr>
            </w:pPr>
            <w:r>
              <w:t>1%</w:t>
            </w:r>
          </w:p>
        </w:tc>
        <w:tc>
          <w:tcPr>
            <w:tcW w:w="864" w:type="dxa"/>
            <w:noWrap/>
            <w:vAlign w:val="bottom"/>
          </w:tcPr>
          <w:p w14:paraId="5B407BE0" w14:textId="77777777" w:rsidR="00085E73" w:rsidRPr="007A3043" w:rsidRDefault="00085E73" w:rsidP="003475E2">
            <w:pPr>
              <w:pStyle w:val="TableText"/>
              <w:rPr>
                <w:szCs w:val="24"/>
                <w:lang w:eastAsia="ko-KR"/>
              </w:rPr>
            </w:pPr>
            <w:r>
              <w:t>2</w:t>
            </w:r>
          </w:p>
        </w:tc>
        <w:tc>
          <w:tcPr>
            <w:tcW w:w="720" w:type="dxa"/>
            <w:noWrap/>
            <w:vAlign w:val="bottom"/>
          </w:tcPr>
          <w:p w14:paraId="53DD1DBC" w14:textId="77777777" w:rsidR="00085E73" w:rsidRPr="007A3043" w:rsidRDefault="00085E73" w:rsidP="003475E2">
            <w:pPr>
              <w:pStyle w:val="TableText"/>
              <w:rPr>
                <w:szCs w:val="24"/>
                <w:lang w:eastAsia="ko-KR"/>
              </w:rPr>
            </w:pPr>
            <w:r>
              <w:t>1%</w:t>
            </w:r>
          </w:p>
        </w:tc>
        <w:tc>
          <w:tcPr>
            <w:tcW w:w="864" w:type="dxa"/>
            <w:noWrap/>
            <w:vAlign w:val="bottom"/>
          </w:tcPr>
          <w:p w14:paraId="64CA9B92" w14:textId="77777777" w:rsidR="00085E73" w:rsidRPr="007A3043" w:rsidRDefault="00085E73" w:rsidP="003475E2">
            <w:pPr>
              <w:pStyle w:val="TableText"/>
              <w:rPr>
                <w:szCs w:val="24"/>
                <w:lang w:eastAsia="ko-KR"/>
              </w:rPr>
            </w:pPr>
            <w:r>
              <w:t>1</w:t>
            </w:r>
          </w:p>
        </w:tc>
        <w:tc>
          <w:tcPr>
            <w:tcW w:w="720" w:type="dxa"/>
            <w:noWrap/>
            <w:vAlign w:val="bottom"/>
          </w:tcPr>
          <w:p w14:paraId="4BBF2DEB" w14:textId="77777777" w:rsidR="00085E73" w:rsidRPr="007A3043" w:rsidRDefault="00085E73" w:rsidP="003475E2">
            <w:pPr>
              <w:pStyle w:val="TableText"/>
              <w:rPr>
                <w:szCs w:val="24"/>
                <w:lang w:eastAsia="ko-KR"/>
              </w:rPr>
            </w:pPr>
            <w:r>
              <w:t>0%</w:t>
            </w:r>
          </w:p>
        </w:tc>
        <w:tc>
          <w:tcPr>
            <w:tcW w:w="864" w:type="dxa"/>
            <w:noWrap/>
            <w:vAlign w:val="bottom"/>
          </w:tcPr>
          <w:p w14:paraId="00517035" w14:textId="77777777" w:rsidR="00085E73" w:rsidRPr="007A3043" w:rsidRDefault="00085E73" w:rsidP="003475E2">
            <w:pPr>
              <w:pStyle w:val="TableText"/>
              <w:rPr>
                <w:szCs w:val="24"/>
                <w:lang w:eastAsia="ko-KR"/>
              </w:rPr>
            </w:pPr>
            <w:r>
              <w:t>5</w:t>
            </w:r>
          </w:p>
        </w:tc>
        <w:tc>
          <w:tcPr>
            <w:tcW w:w="720" w:type="dxa"/>
            <w:noWrap/>
            <w:vAlign w:val="bottom"/>
          </w:tcPr>
          <w:p w14:paraId="4F4A60F1" w14:textId="77777777" w:rsidR="00085E73" w:rsidRPr="007A3043" w:rsidRDefault="00085E73" w:rsidP="003475E2">
            <w:pPr>
              <w:pStyle w:val="TableText"/>
              <w:rPr>
                <w:szCs w:val="24"/>
                <w:lang w:eastAsia="ko-KR"/>
              </w:rPr>
            </w:pPr>
            <w:r>
              <w:t>1%</w:t>
            </w:r>
          </w:p>
        </w:tc>
      </w:tr>
      <w:tr w:rsidR="00085E73" w:rsidRPr="00B96179" w14:paraId="462D0551" w14:textId="77777777" w:rsidTr="003475E2">
        <w:tc>
          <w:tcPr>
            <w:tcW w:w="7056" w:type="dxa"/>
            <w:hideMark/>
          </w:tcPr>
          <w:p w14:paraId="0D199D44" w14:textId="77777777" w:rsidR="00085E73" w:rsidRPr="0093049F" w:rsidRDefault="00085E73" w:rsidP="003475E2">
            <w:pPr>
              <w:pStyle w:val="TableText"/>
              <w:jc w:val="left"/>
              <w:rPr>
                <w:szCs w:val="20"/>
                <w:lang w:eastAsia="ko-KR"/>
              </w:rPr>
            </w:pPr>
            <w:r>
              <w:t>Embedded Designated Support—Print Size</w:t>
            </w:r>
          </w:p>
        </w:tc>
        <w:tc>
          <w:tcPr>
            <w:tcW w:w="864" w:type="dxa"/>
            <w:noWrap/>
            <w:vAlign w:val="bottom"/>
          </w:tcPr>
          <w:p w14:paraId="2AB2F379" w14:textId="77777777" w:rsidR="00085E73" w:rsidRPr="007A3043" w:rsidRDefault="00085E73" w:rsidP="003475E2">
            <w:pPr>
              <w:pStyle w:val="TableText"/>
              <w:rPr>
                <w:szCs w:val="24"/>
                <w:lang w:eastAsia="ko-KR"/>
              </w:rPr>
            </w:pPr>
            <w:r>
              <w:t>2</w:t>
            </w:r>
          </w:p>
        </w:tc>
        <w:tc>
          <w:tcPr>
            <w:tcW w:w="720" w:type="dxa"/>
            <w:noWrap/>
            <w:vAlign w:val="bottom"/>
          </w:tcPr>
          <w:p w14:paraId="2E334485" w14:textId="77777777" w:rsidR="00085E73" w:rsidRPr="007A3043" w:rsidRDefault="00085E73" w:rsidP="003475E2">
            <w:pPr>
              <w:pStyle w:val="TableText"/>
              <w:rPr>
                <w:szCs w:val="24"/>
                <w:lang w:eastAsia="ko-KR"/>
              </w:rPr>
            </w:pPr>
            <w:r>
              <w:t>1%</w:t>
            </w:r>
          </w:p>
        </w:tc>
        <w:tc>
          <w:tcPr>
            <w:tcW w:w="864" w:type="dxa"/>
            <w:noWrap/>
            <w:vAlign w:val="bottom"/>
          </w:tcPr>
          <w:p w14:paraId="7FD87ACE" w14:textId="77777777" w:rsidR="00085E73" w:rsidRPr="007A3043" w:rsidRDefault="00085E73" w:rsidP="003475E2">
            <w:pPr>
              <w:pStyle w:val="TableText"/>
              <w:rPr>
                <w:szCs w:val="24"/>
                <w:lang w:eastAsia="ko-KR"/>
              </w:rPr>
            </w:pPr>
            <w:r>
              <w:t>1</w:t>
            </w:r>
          </w:p>
        </w:tc>
        <w:tc>
          <w:tcPr>
            <w:tcW w:w="720" w:type="dxa"/>
            <w:noWrap/>
            <w:vAlign w:val="bottom"/>
          </w:tcPr>
          <w:p w14:paraId="2EEC1E88" w14:textId="77777777" w:rsidR="00085E73" w:rsidRPr="007A3043" w:rsidRDefault="00085E73" w:rsidP="003475E2">
            <w:pPr>
              <w:pStyle w:val="TableText"/>
              <w:rPr>
                <w:szCs w:val="24"/>
                <w:lang w:eastAsia="ko-KR"/>
              </w:rPr>
            </w:pPr>
            <w:r>
              <w:t>0%</w:t>
            </w:r>
          </w:p>
        </w:tc>
        <w:tc>
          <w:tcPr>
            <w:tcW w:w="864" w:type="dxa"/>
            <w:noWrap/>
            <w:vAlign w:val="bottom"/>
          </w:tcPr>
          <w:p w14:paraId="335C1E40" w14:textId="77777777" w:rsidR="00085E73" w:rsidRPr="007A3043" w:rsidRDefault="00085E73" w:rsidP="003475E2">
            <w:pPr>
              <w:pStyle w:val="TableText"/>
              <w:rPr>
                <w:szCs w:val="24"/>
                <w:lang w:eastAsia="ko-KR"/>
              </w:rPr>
            </w:pPr>
            <w:r>
              <w:t>2</w:t>
            </w:r>
          </w:p>
        </w:tc>
        <w:tc>
          <w:tcPr>
            <w:tcW w:w="720" w:type="dxa"/>
            <w:noWrap/>
            <w:vAlign w:val="bottom"/>
          </w:tcPr>
          <w:p w14:paraId="700144BB" w14:textId="77777777" w:rsidR="00085E73" w:rsidRPr="007A3043" w:rsidRDefault="00085E73" w:rsidP="003475E2">
            <w:pPr>
              <w:pStyle w:val="TableText"/>
              <w:rPr>
                <w:szCs w:val="24"/>
                <w:lang w:eastAsia="ko-KR"/>
              </w:rPr>
            </w:pPr>
            <w:r>
              <w:t>1%</w:t>
            </w:r>
          </w:p>
        </w:tc>
        <w:tc>
          <w:tcPr>
            <w:tcW w:w="864" w:type="dxa"/>
            <w:noWrap/>
            <w:vAlign w:val="bottom"/>
          </w:tcPr>
          <w:p w14:paraId="7BB69EB5" w14:textId="77777777" w:rsidR="00085E73" w:rsidRPr="007A3043" w:rsidRDefault="00085E73" w:rsidP="003475E2">
            <w:pPr>
              <w:pStyle w:val="TableText"/>
              <w:rPr>
                <w:szCs w:val="24"/>
                <w:lang w:eastAsia="ko-KR"/>
              </w:rPr>
            </w:pPr>
            <w:r>
              <w:t>5</w:t>
            </w:r>
          </w:p>
        </w:tc>
        <w:tc>
          <w:tcPr>
            <w:tcW w:w="720" w:type="dxa"/>
            <w:noWrap/>
            <w:vAlign w:val="bottom"/>
          </w:tcPr>
          <w:p w14:paraId="27F391CC" w14:textId="77777777" w:rsidR="00085E73" w:rsidRPr="007A3043" w:rsidRDefault="00085E73" w:rsidP="003475E2">
            <w:pPr>
              <w:pStyle w:val="TableText"/>
              <w:rPr>
                <w:szCs w:val="24"/>
                <w:lang w:eastAsia="ko-KR"/>
              </w:rPr>
            </w:pPr>
            <w:r>
              <w:t>1%</w:t>
            </w:r>
          </w:p>
        </w:tc>
      </w:tr>
      <w:tr w:rsidR="00085E73" w:rsidRPr="00B96179" w14:paraId="18FD1455" w14:textId="77777777" w:rsidTr="00290DC6">
        <w:tc>
          <w:tcPr>
            <w:tcW w:w="7056" w:type="dxa"/>
            <w:tcBorders>
              <w:bottom w:val="nil"/>
            </w:tcBorders>
            <w:hideMark/>
          </w:tcPr>
          <w:p w14:paraId="4831D5D5" w14:textId="77777777" w:rsidR="00085E73" w:rsidRPr="0093049F" w:rsidRDefault="00085E73" w:rsidP="003475E2">
            <w:pPr>
              <w:pStyle w:val="TableText"/>
              <w:jc w:val="left"/>
              <w:rPr>
                <w:szCs w:val="20"/>
                <w:lang w:eastAsia="ko-KR"/>
              </w:rPr>
            </w:pPr>
            <w:r>
              <w:t>Embedded Designated Support—Streamline</w:t>
            </w:r>
          </w:p>
        </w:tc>
        <w:tc>
          <w:tcPr>
            <w:tcW w:w="864" w:type="dxa"/>
            <w:tcBorders>
              <w:bottom w:val="nil"/>
            </w:tcBorders>
            <w:noWrap/>
            <w:vAlign w:val="bottom"/>
          </w:tcPr>
          <w:p w14:paraId="3AE52B50" w14:textId="77777777" w:rsidR="00085E73" w:rsidRPr="007A3043" w:rsidRDefault="00085E73" w:rsidP="003475E2">
            <w:pPr>
              <w:pStyle w:val="TableText"/>
              <w:rPr>
                <w:szCs w:val="24"/>
                <w:lang w:eastAsia="ko-KR"/>
              </w:rPr>
            </w:pPr>
            <w:r>
              <w:t>3</w:t>
            </w:r>
          </w:p>
        </w:tc>
        <w:tc>
          <w:tcPr>
            <w:tcW w:w="720" w:type="dxa"/>
            <w:tcBorders>
              <w:bottom w:val="nil"/>
            </w:tcBorders>
            <w:noWrap/>
            <w:vAlign w:val="bottom"/>
          </w:tcPr>
          <w:p w14:paraId="04BB7B3A" w14:textId="77777777" w:rsidR="00085E73" w:rsidRPr="007A3043" w:rsidRDefault="00085E73" w:rsidP="003475E2">
            <w:pPr>
              <w:pStyle w:val="TableText"/>
              <w:rPr>
                <w:szCs w:val="24"/>
                <w:lang w:eastAsia="ko-KR"/>
              </w:rPr>
            </w:pPr>
            <w:r>
              <w:t>2%</w:t>
            </w:r>
          </w:p>
        </w:tc>
        <w:tc>
          <w:tcPr>
            <w:tcW w:w="864" w:type="dxa"/>
            <w:tcBorders>
              <w:bottom w:val="nil"/>
            </w:tcBorders>
            <w:noWrap/>
            <w:vAlign w:val="bottom"/>
          </w:tcPr>
          <w:p w14:paraId="27730769" w14:textId="77777777" w:rsidR="00085E73" w:rsidRPr="007A3043" w:rsidRDefault="00085E73" w:rsidP="003475E2">
            <w:pPr>
              <w:pStyle w:val="TableText"/>
              <w:rPr>
                <w:szCs w:val="24"/>
                <w:lang w:eastAsia="ko-KR"/>
              </w:rPr>
            </w:pPr>
            <w:r>
              <w:t>1</w:t>
            </w:r>
          </w:p>
        </w:tc>
        <w:tc>
          <w:tcPr>
            <w:tcW w:w="720" w:type="dxa"/>
            <w:tcBorders>
              <w:bottom w:val="nil"/>
            </w:tcBorders>
            <w:noWrap/>
            <w:vAlign w:val="bottom"/>
          </w:tcPr>
          <w:p w14:paraId="02F0087C" w14:textId="77777777" w:rsidR="00085E73" w:rsidRPr="007A3043" w:rsidRDefault="00085E73" w:rsidP="003475E2">
            <w:pPr>
              <w:pStyle w:val="TableText"/>
              <w:rPr>
                <w:szCs w:val="24"/>
                <w:lang w:eastAsia="ko-KR"/>
              </w:rPr>
            </w:pPr>
            <w:r>
              <w:t>0%</w:t>
            </w:r>
          </w:p>
        </w:tc>
        <w:tc>
          <w:tcPr>
            <w:tcW w:w="864" w:type="dxa"/>
            <w:tcBorders>
              <w:bottom w:val="nil"/>
            </w:tcBorders>
            <w:noWrap/>
            <w:vAlign w:val="bottom"/>
          </w:tcPr>
          <w:p w14:paraId="4D823F82" w14:textId="77777777" w:rsidR="00085E73" w:rsidRPr="007A3043" w:rsidRDefault="00085E73" w:rsidP="003475E2">
            <w:pPr>
              <w:pStyle w:val="TableText"/>
              <w:rPr>
                <w:szCs w:val="24"/>
                <w:lang w:eastAsia="ko-KR"/>
              </w:rPr>
            </w:pPr>
            <w:r>
              <w:t>4</w:t>
            </w:r>
          </w:p>
        </w:tc>
        <w:tc>
          <w:tcPr>
            <w:tcW w:w="720" w:type="dxa"/>
            <w:tcBorders>
              <w:bottom w:val="nil"/>
            </w:tcBorders>
            <w:noWrap/>
            <w:vAlign w:val="bottom"/>
          </w:tcPr>
          <w:p w14:paraId="18CB3C7E" w14:textId="77777777" w:rsidR="00085E73" w:rsidRPr="007A3043" w:rsidRDefault="00085E73" w:rsidP="003475E2">
            <w:pPr>
              <w:pStyle w:val="TableText"/>
              <w:rPr>
                <w:szCs w:val="24"/>
                <w:lang w:eastAsia="ko-KR"/>
              </w:rPr>
            </w:pPr>
            <w:r>
              <w:t>2%</w:t>
            </w:r>
          </w:p>
        </w:tc>
        <w:tc>
          <w:tcPr>
            <w:tcW w:w="864" w:type="dxa"/>
            <w:tcBorders>
              <w:bottom w:val="nil"/>
            </w:tcBorders>
            <w:noWrap/>
            <w:vAlign w:val="bottom"/>
          </w:tcPr>
          <w:p w14:paraId="47DC6538" w14:textId="77777777" w:rsidR="00085E73" w:rsidRPr="007A3043" w:rsidRDefault="00085E73" w:rsidP="003475E2">
            <w:pPr>
              <w:pStyle w:val="TableText"/>
              <w:rPr>
                <w:szCs w:val="24"/>
                <w:lang w:eastAsia="ko-KR"/>
              </w:rPr>
            </w:pPr>
            <w:r>
              <w:t>8</w:t>
            </w:r>
          </w:p>
        </w:tc>
        <w:tc>
          <w:tcPr>
            <w:tcW w:w="720" w:type="dxa"/>
            <w:tcBorders>
              <w:bottom w:val="nil"/>
            </w:tcBorders>
            <w:noWrap/>
            <w:vAlign w:val="bottom"/>
          </w:tcPr>
          <w:p w14:paraId="6D23FF11" w14:textId="77777777" w:rsidR="00085E73" w:rsidRPr="007A3043" w:rsidRDefault="00085E73" w:rsidP="003475E2">
            <w:pPr>
              <w:pStyle w:val="TableText"/>
              <w:rPr>
                <w:szCs w:val="24"/>
                <w:lang w:eastAsia="ko-KR"/>
              </w:rPr>
            </w:pPr>
            <w:r>
              <w:t>1%</w:t>
            </w:r>
          </w:p>
        </w:tc>
      </w:tr>
      <w:tr w:rsidR="00085E73" w:rsidRPr="00B96179" w14:paraId="695BE25A" w14:textId="77777777" w:rsidTr="00290DC6">
        <w:tc>
          <w:tcPr>
            <w:tcW w:w="7056" w:type="dxa"/>
            <w:tcBorders>
              <w:top w:val="nil"/>
              <w:bottom w:val="single" w:sz="12" w:space="0" w:color="auto"/>
            </w:tcBorders>
          </w:tcPr>
          <w:p w14:paraId="4001BCBF" w14:textId="638F5E50" w:rsidR="00085E73" w:rsidRPr="0093049F" w:rsidRDefault="00085E73" w:rsidP="003475E2">
            <w:pPr>
              <w:pStyle w:val="TableText"/>
              <w:jc w:val="left"/>
              <w:rPr>
                <w:szCs w:val="20"/>
              </w:rPr>
            </w:pPr>
            <w:r>
              <w:t xml:space="preserve">Embedded Designated Support—Turn </w:t>
            </w:r>
            <w:r w:rsidR="006766C8">
              <w:t>O</w:t>
            </w:r>
            <w:r>
              <w:t>ff</w:t>
            </w:r>
            <w:r w:rsidR="006766C8">
              <w:t xml:space="preserve"> Any</w:t>
            </w:r>
            <w:r>
              <w:t xml:space="preserve"> Universal Tools</w:t>
            </w:r>
          </w:p>
        </w:tc>
        <w:tc>
          <w:tcPr>
            <w:tcW w:w="864" w:type="dxa"/>
            <w:tcBorders>
              <w:top w:val="nil"/>
              <w:bottom w:val="single" w:sz="12" w:space="0" w:color="auto"/>
            </w:tcBorders>
            <w:noWrap/>
            <w:vAlign w:val="bottom"/>
          </w:tcPr>
          <w:p w14:paraId="1DB2CA40" w14:textId="77777777" w:rsidR="00085E73" w:rsidRPr="007A3043" w:rsidRDefault="00085E73" w:rsidP="003475E2">
            <w:pPr>
              <w:pStyle w:val="TableText"/>
              <w:rPr>
                <w:szCs w:val="24"/>
              </w:rPr>
            </w:pPr>
            <w:r>
              <w:t>0</w:t>
            </w:r>
          </w:p>
        </w:tc>
        <w:tc>
          <w:tcPr>
            <w:tcW w:w="720" w:type="dxa"/>
            <w:tcBorders>
              <w:top w:val="nil"/>
              <w:bottom w:val="single" w:sz="12" w:space="0" w:color="auto"/>
            </w:tcBorders>
            <w:noWrap/>
            <w:vAlign w:val="bottom"/>
          </w:tcPr>
          <w:p w14:paraId="6F05AB13" w14:textId="77777777" w:rsidR="00085E73" w:rsidRPr="007A3043" w:rsidRDefault="00085E73" w:rsidP="003475E2">
            <w:pPr>
              <w:pStyle w:val="TableText"/>
              <w:rPr>
                <w:szCs w:val="24"/>
              </w:rPr>
            </w:pPr>
            <w:r>
              <w:t>0%</w:t>
            </w:r>
          </w:p>
        </w:tc>
        <w:tc>
          <w:tcPr>
            <w:tcW w:w="864" w:type="dxa"/>
            <w:tcBorders>
              <w:top w:val="nil"/>
              <w:bottom w:val="single" w:sz="12" w:space="0" w:color="auto"/>
            </w:tcBorders>
            <w:noWrap/>
            <w:vAlign w:val="bottom"/>
          </w:tcPr>
          <w:p w14:paraId="4780F016" w14:textId="77777777" w:rsidR="00085E73" w:rsidRPr="007A3043" w:rsidRDefault="00085E73" w:rsidP="003475E2">
            <w:pPr>
              <w:pStyle w:val="TableText"/>
              <w:rPr>
                <w:szCs w:val="24"/>
              </w:rPr>
            </w:pPr>
            <w:r>
              <w:t>1</w:t>
            </w:r>
          </w:p>
        </w:tc>
        <w:tc>
          <w:tcPr>
            <w:tcW w:w="720" w:type="dxa"/>
            <w:tcBorders>
              <w:top w:val="nil"/>
              <w:bottom w:val="single" w:sz="12" w:space="0" w:color="auto"/>
            </w:tcBorders>
            <w:noWrap/>
            <w:vAlign w:val="bottom"/>
          </w:tcPr>
          <w:p w14:paraId="38876352" w14:textId="77777777" w:rsidR="00085E73" w:rsidRPr="007A3043" w:rsidRDefault="00085E73" w:rsidP="003475E2">
            <w:pPr>
              <w:pStyle w:val="TableText"/>
              <w:rPr>
                <w:szCs w:val="24"/>
              </w:rPr>
            </w:pPr>
            <w:r>
              <w:t>0%</w:t>
            </w:r>
          </w:p>
        </w:tc>
        <w:tc>
          <w:tcPr>
            <w:tcW w:w="864" w:type="dxa"/>
            <w:tcBorders>
              <w:top w:val="nil"/>
              <w:bottom w:val="single" w:sz="12" w:space="0" w:color="auto"/>
            </w:tcBorders>
            <w:noWrap/>
            <w:vAlign w:val="bottom"/>
          </w:tcPr>
          <w:p w14:paraId="3CFA06C6" w14:textId="77777777" w:rsidR="00085E73" w:rsidRPr="007A3043" w:rsidRDefault="00085E73" w:rsidP="003475E2">
            <w:pPr>
              <w:pStyle w:val="TableText"/>
              <w:rPr>
                <w:szCs w:val="24"/>
              </w:rPr>
            </w:pPr>
            <w:r>
              <w:t>0</w:t>
            </w:r>
          </w:p>
        </w:tc>
        <w:tc>
          <w:tcPr>
            <w:tcW w:w="720" w:type="dxa"/>
            <w:tcBorders>
              <w:top w:val="nil"/>
              <w:bottom w:val="single" w:sz="12" w:space="0" w:color="auto"/>
            </w:tcBorders>
            <w:noWrap/>
            <w:vAlign w:val="bottom"/>
          </w:tcPr>
          <w:p w14:paraId="5EE2A66E" w14:textId="77777777" w:rsidR="00085E73" w:rsidRPr="007A3043" w:rsidRDefault="00085E73" w:rsidP="003475E2">
            <w:pPr>
              <w:pStyle w:val="TableText"/>
              <w:rPr>
                <w:szCs w:val="24"/>
              </w:rPr>
            </w:pPr>
            <w:r>
              <w:t>0%</w:t>
            </w:r>
          </w:p>
        </w:tc>
        <w:tc>
          <w:tcPr>
            <w:tcW w:w="864" w:type="dxa"/>
            <w:tcBorders>
              <w:top w:val="nil"/>
              <w:bottom w:val="single" w:sz="12" w:space="0" w:color="auto"/>
            </w:tcBorders>
            <w:noWrap/>
            <w:vAlign w:val="bottom"/>
          </w:tcPr>
          <w:p w14:paraId="3817B542" w14:textId="77777777" w:rsidR="00085E73" w:rsidRPr="007A3043" w:rsidRDefault="00085E73" w:rsidP="003475E2">
            <w:pPr>
              <w:pStyle w:val="TableText"/>
              <w:rPr>
                <w:szCs w:val="24"/>
              </w:rPr>
            </w:pPr>
            <w:r>
              <w:t>1</w:t>
            </w:r>
          </w:p>
        </w:tc>
        <w:tc>
          <w:tcPr>
            <w:tcW w:w="720" w:type="dxa"/>
            <w:tcBorders>
              <w:top w:val="nil"/>
              <w:bottom w:val="single" w:sz="12" w:space="0" w:color="auto"/>
            </w:tcBorders>
            <w:noWrap/>
            <w:vAlign w:val="bottom"/>
          </w:tcPr>
          <w:p w14:paraId="00918304" w14:textId="77777777" w:rsidR="00085E73" w:rsidRPr="007A3043" w:rsidRDefault="00085E73" w:rsidP="003475E2">
            <w:pPr>
              <w:pStyle w:val="TableText"/>
              <w:rPr>
                <w:szCs w:val="24"/>
              </w:rPr>
            </w:pPr>
            <w:r>
              <w:t>0%</w:t>
            </w:r>
          </w:p>
        </w:tc>
      </w:tr>
      <w:tr w:rsidR="00085E73" w:rsidRPr="00B96179" w14:paraId="64B3FE4C" w14:textId="77777777" w:rsidTr="003475E2">
        <w:tc>
          <w:tcPr>
            <w:tcW w:w="7056" w:type="dxa"/>
            <w:tcBorders>
              <w:top w:val="single" w:sz="4" w:space="0" w:color="auto"/>
              <w:bottom w:val="nil"/>
            </w:tcBorders>
          </w:tcPr>
          <w:p w14:paraId="050795DB" w14:textId="77777777" w:rsidR="00085E73" w:rsidRPr="00025A56" w:rsidRDefault="00085E73" w:rsidP="00290DC6">
            <w:pPr>
              <w:pStyle w:val="TableText"/>
              <w:keepNext/>
              <w:keepLines/>
              <w:jc w:val="left"/>
              <w:rPr>
                <w:szCs w:val="20"/>
              </w:rPr>
            </w:pPr>
            <w:r>
              <w:lastRenderedPageBreak/>
              <w:t>Non-Embedded Designated Support—Amplification</w:t>
            </w:r>
          </w:p>
        </w:tc>
        <w:tc>
          <w:tcPr>
            <w:tcW w:w="864" w:type="dxa"/>
            <w:tcBorders>
              <w:top w:val="single" w:sz="4" w:space="0" w:color="auto"/>
              <w:bottom w:val="nil"/>
            </w:tcBorders>
            <w:noWrap/>
            <w:vAlign w:val="bottom"/>
          </w:tcPr>
          <w:p w14:paraId="0F0C9481" w14:textId="77777777" w:rsidR="00085E73" w:rsidRDefault="00085E73" w:rsidP="00290DC6">
            <w:pPr>
              <w:pStyle w:val="TableText"/>
              <w:keepNext/>
              <w:keepLines/>
              <w:rPr>
                <w:szCs w:val="24"/>
                <w:lang w:eastAsia="ko-KR"/>
              </w:rPr>
            </w:pPr>
            <w:r>
              <w:t>0</w:t>
            </w:r>
          </w:p>
        </w:tc>
        <w:tc>
          <w:tcPr>
            <w:tcW w:w="720" w:type="dxa"/>
            <w:tcBorders>
              <w:top w:val="single" w:sz="4" w:space="0" w:color="auto"/>
              <w:bottom w:val="nil"/>
            </w:tcBorders>
            <w:noWrap/>
            <w:vAlign w:val="bottom"/>
          </w:tcPr>
          <w:p w14:paraId="70A9D733" w14:textId="77777777" w:rsidR="00085E73" w:rsidRDefault="00085E73" w:rsidP="00290DC6">
            <w:pPr>
              <w:pStyle w:val="TableText"/>
              <w:keepNext/>
              <w:keepLines/>
            </w:pPr>
            <w:r>
              <w:t>0%</w:t>
            </w:r>
          </w:p>
        </w:tc>
        <w:tc>
          <w:tcPr>
            <w:tcW w:w="864" w:type="dxa"/>
            <w:tcBorders>
              <w:top w:val="single" w:sz="4" w:space="0" w:color="auto"/>
              <w:bottom w:val="nil"/>
            </w:tcBorders>
            <w:noWrap/>
            <w:vAlign w:val="bottom"/>
          </w:tcPr>
          <w:p w14:paraId="3EB1C487" w14:textId="77777777" w:rsidR="00085E73" w:rsidRDefault="00085E73" w:rsidP="00290DC6">
            <w:pPr>
              <w:pStyle w:val="TableText"/>
              <w:keepNext/>
              <w:keepLines/>
              <w:rPr>
                <w:szCs w:val="24"/>
                <w:lang w:eastAsia="ko-KR"/>
              </w:rPr>
            </w:pPr>
            <w:r>
              <w:t>1</w:t>
            </w:r>
          </w:p>
        </w:tc>
        <w:tc>
          <w:tcPr>
            <w:tcW w:w="720" w:type="dxa"/>
            <w:tcBorders>
              <w:top w:val="single" w:sz="4" w:space="0" w:color="auto"/>
              <w:bottom w:val="nil"/>
            </w:tcBorders>
            <w:noWrap/>
            <w:vAlign w:val="bottom"/>
          </w:tcPr>
          <w:p w14:paraId="44CD3267" w14:textId="77777777" w:rsidR="00085E73" w:rsidRDefault="00085E73" w:rsidP="00290DC6">
            <w:pPr>
              <w:pStyle w:val="TableText"/>
              <w:keepNext/>
              <w:keepLines/>
            </w:pPr>
            <w:r>
              <w:t>0%</w:t>
            </w:r>
          </w:p>
        </w:tc>
        <w:tc>
          <w:tcPr>
            <w:tcW w:w="864" w:type="dxa"/>
            <w:tcBorders>
              <w:top w:val="single" w:sz="4" w:space="0" w:color="auto"/>
              <w:bottom w:val="nil"/>
            </w:tcBorders>
            <w:noWrap/>
            <w:vAlign w:val="bottom"/>
          </w:tcPr>
          <w:p w14:paraId="0F137E93" w14:textId="77777777" w:rsidR="00085E73" w:rsidRDefault="00085E73" w:rsidP="00290DC6">
            <w:pPr>
              <w:pStyle w:val="TableText"/>
              <w:keepNext/>
              <w:keepLines/>
              <w:rPr>
                <w:szCs w:val="24"/>
                <w:lang w:eastAsia="ko-KR"/>
              </w:rPr>
            </w:pPr>
            <w:r>
              <w:t>1</w:t>
            </w:r>
          </w:p>
        </w:tc>
        <w:tc>
          <w:tcPr>
            <w:tcW w:w="720" w:type="dxa"/>
            <w:tcBorders>
              <w:top w:val="single" w:sz="4" w:space="0" w:color="auto"/>
              <w:bottom w:val="nil"/>
            </w:tcBorders>
            <w:noWrap/>
            <w:vAlign w:val="bottom"/>
          </w:tcPr>
          <w:p w14:paraId="79EB891E" w14:textId="77777777" w:rsidR="00085E73" w:rsidRDefault="00085E73" w:rsidP="00290DC6">
            <w:pPr>
              <w:pStyle w:val="TableText"/>
              <w:keepNext/>
              <w:keepLines/>
            </w:pPr>
            <w:r>
              <w:t>0%</w:t>
            </w:r>
          </w:p>
        </w:tc>
        <w:tc>
          <w:tcPr>
            <w:tcW w:w="864" w:type="dxa"/>
            <w:tcBorders>
              <w:top w:val="single" w:sz="4" w:space="0" w:color="auto"/>
              <w:bottom w:val="nil"/>
            </w:tcBorders>
            <w:noWrap/>
            <w:vAlign w:val="bottom"/>
          </w:tcPr>
          <w:p w14:paraId="5BF83B2F" w14:textId="77777777" w:rsidR="00085E73" w:rsidRDefault="00085E73" w:rsidP="00290DC6">
            <w:pPr>
              <w:pStyle w:val="TableText"/>
              <w:keepNext/>
              <w:keepLines/>
              <w:rPr>
                <w:szCs w:val="24"/>
                <w:lang w:eastAsia="ko-KR"/>
              </w:rPr>
            </w:pPr>
            <w:r>
              <w:t>2</w:t>
            </w:r>
          </w:p>
        </w:tc>
        <w:tc>
          <w:tcPr>
            <w:tcW w:w="720" w:type="dxa"/>
            <w:tcBorders>
              <w:top w:val="single" w:sz="4" w:space="0" w:color="auto"/>
              <w:bottom w:val="nil"/>
            </w:tcBorders>
            <w:noWrap/>
            <w:vAlign w:val="bottom"/>
          </w:tcPr>
          <w:p w14:paraId="5D035A81" w14:textId="77777777" w:rsidR="00085E73" w:rsidRDefault="00085E73" w:rsidP="00290DC6">
            <w:pPr>
              <w:pStyle w:val="TableText"/>
              <w:keepNext/>
              <w:keepLines/>
            </w:pPr>
            <w:r>
              <w:t>0%</w:t>
            </w:r>
          </w:p>
        </w:tc>
      </w:tr>
      <w:tr w:rsidR="00085E73" w:rsidRPr="00B96179" w14:paraId="7BCFA616" w14:textId="77777777" w:rsidTr="003475E2">
        <w:tc>
          <w:tcPr>
            <w:tcW w:w="7056" w:type="dxa"/>
            <w:tcBorders>
              <w:top w:val="nil"/>
            </w:tcBorders>
          </w:tcPr>
          <w:p w14:paraId="682F97FA" w14:textId="77777777" w:rsidR="00085E73" w:rsidRPr="00025A56" w:rsidRDefault="00085E73" w:rsidP="00290DC6">
            <w:pPr>
              <w:pStyle w:val="TableText"/>
              <w:keepNext/>
              <w:keepLines/>
              <w:jc w:val="left"/>
              <w:rPr>
                <w:szCs w:val="20"/>
              </w:rPr>
            </w:pPr>
            <w:r>
              <w:t>Non-Embedded Designated Support—Color Contrast</w:t>
            </w:r>
          </w:p>
        </w:tc>
        <w:tc>
          <w:tcPr>
            <w:tcW w:w="864" w:type="dxa"/>
            <w:tcBorders>
              <w:top w:val="nil"/>
            </w:tcBorders>
            <w:noWrap/>
            <w:vAlign w:val="bottom"/>
          </w:tcPr>
          <w:p w14:paraId="04E64105" w14:textId="77777777" w:rsidR="00085E73" w:rsidRDefault="00085E73" w:rsidP="00290DC6">
            <w:pPr>
              <w:pStyle w:val="TableText"/>
              <w:keepNext/>
              <w:keepLines/>
              <w:rPr>
                <w:szCs w:val="24"/>
                <w:lang w:eastAsia="ko-KR"/>
              </w:rPr>
            </w:pPr>
            <w:r>
              <w:t>0</w:t>
            </w:r>
          </w:p>
        </w:tc>
        <w:tc>
          <w:tcPr>
            <w:tcW w:w="720" w:type="dxa"/>
            <w:tcBorders>
              <w:top w:val="nil"/>
            </w:tcBorders>
            <w:noWrap/>
            <w:vAlign w:val="bottom"/>
          </w:tcPr>
          <w:p w14:paraId="1058FF36" w14:textId="77777777" w:rsidR="00085E73" w:rsidRDefault="00085E73" w:rsidP="00290DC6">
            <w:pPr>
              <w:pStyle w:val="TableText"/>
              <w:keepNext/>
              <w:keepLines/>
            </w:pPr>
            <w:r>
              <w:t>0%</w:t>
            </w:r>
          </w:p>
        </w:tc>
        <w:tc>
          <w:tcPr>
            <w:tcW w:w="864" w:type="dxa"/>
            <w:tcBorders>
              <w:top w:val="nil"/>
            </w:tcBorders>
            <w:noWrap/>
            <w:vAlign w:val="bottom"/>
          </w:tcPr>
          <w:p w14:paraId="41437C68" w14:textId="77777777" w:rsidR="00085E73" w:rsidRDefault="00085E73" w:rsidP="00290DC6">
            <w:pPr>
              <w:pStyle w:val="TableText"/>
              <w:keepNext/>
              <w:keepLines/>
              <w:rPr>
                <w:szCs w:val="24"/>
                <w:lang w:eastAsia="ko-KR"/>
              </w:rPr>
            </w:pPr>
            <w:r>
              <w:t>0</w:t>
            </w:r>
          </w:p>
        </w:tc>
        <w:tc>
          <w:tcPr>
            <w:tcW w:w="720" w:type="dxa"/>
            <w:tcBorders>
              <w:top w:val="nil"/>
            </w:tcBorders>
            <w:noWrap/>
            <w:vAlign w:val="bottom"/>
          </w:tcPr>
          <w:p w14:paraId="550867B0" w14:textId="77777777" w:rsidR="00085E73" w:rsidRDefault="00085E73" w:rsidP="00290DC6">
            <w:pPr>
              <w:pStyle w:val="TableText"/>
              <w:keepNext/>
              <w:keepLines/>
            </w:pPr>
            <w:r>
              <w:t>0%</w:t>
            </w:r>
          </w:p>
        </w:tc>
        <w:tc>
          <w:tcPr>
            <w:tcW w:w="864" w:type="dxa"/>
            <w:tcBorders>
              <w:top w:val="nil"/>
            </w:tcBorders>
            <w:noWrap/>
            <w:vAlign w:val="bottom"/>
          </w:tcPr>
          <w:p w14:paraId="3E7EB6D6" w14:textId="77777777" w:rsidR="00085E73" w:rsidRDefault="00085E73" w:rsidP="00290DC6">
            <w:pPr>
              <w:pStyle w:val="TableText"/>
              <w:keepNext/>
              <w:keepLines/>
              <w:rPr>
                <w:szCs w:val="24"/>
                <w:lang w:eastAsia="ko-KR"/>
              </w:rPr>
            </w:pPr>
            <w:r>
              <w:t>2</w:t>
            </w:r>
          </w:p>
        </w:tc>
        <w:tc>
          <w:tcPr>
            <w:tcW w:w="720" w:type="dxa"/>
            <w:tcBorders>
              <w:top w:val="nil"/>
            </w:tcBorders>
            <w:noWrap/>
            <w:vAlign w:val="bottom"/>
          </w:tcPr>
          <w:p w14:paraId="1E38F8CD" w14:textId="77777777" w:rsidR="00085E73" w:rsidRDefault="00085E73" w:rsidP="00290DC6">
            <w:pPr>
              <w:pStyle w:val="TableText"/>
              <w:keepNext/>
              <w:keepLines/>
            </w:pPr>
            <w:r>
              <w:t>1%</w:t>
            </w:r>
          </w:p>
        </w:tc>
        <w:tc>
          <w:tcPr>
            <w:tcW w:w="864" w:type="dxa"/>
            <w:tcBorders>
              <w:top w:val="nil"/>
            </w:tcBorders>
            <w:noWrap/>
            <w:vAlign w:val="bottom"/>
          </w:tcPr>
          <w:p w14:paraId="0AAD87C6" w14:textId="77777777" w:rsidR="00085E73" w:rsidRDefault="00085E73" w:rsidP="00290DC6">
            <w:pPr>
              <w:pStyle w:val="TableText"/>
              <w:keepNext/>
              <w:keepLines/>
              <w:rPr>
                <w:szCs w:val="24"/>
                <w:lang w:eastAsia="ko-KR"/>
              </w:rPr>
            </w:pPr>
            <w:r>
              <w:t>2</w:t>
            </w:r>
          </w:p>
        </w:tc>
        <w:tc>
          <w:tcPr>
            <w:tcW w:w="720" w:type="dxa"/>
            <w:tcBorders>
              <w:top w:val="nil"/>
            </w:tcBorders>
            <w:noWrap/>
            <w:vAlign w:val="bottom"/>
          </w:tcPr>
          <w:p w14:paraId="3E3E6C5B" w14:textId="77777777" w:rsidR="00085E73" w:rsidRDefault="00085E73" w:rsidP="00290DC6">
            <w:pPr>
              <w:pStyle w:val="TableText"/>
              <w:keepNext/>
              <w:keepLines/>
            </w:pPr>
            <w:r>
              <w:t>0%</w:t>
            </w:r>
          </w:p>
        </w:tc>
      </w:tr>
      <w:tr w:rsidR="00085E73" w:rsidRPr="00B96179" w14:paraId="75535755" w14:textId="77777777" w:rsidTr="003475E2">
        <w:tc>
          <w:tcPr>
            <w:tcW w:w="7056" w:type="dxa"/>
          </w:tcPr>
          <w:p w14:paraId="6823A1AF" w14:textId="77777777" w:rsidR="00085E73" w:rsidRPr="00025A56" w:rsidRDefault="00085E73" w:rsidP="00290DC6">
            <w:pPr>
              <w:pStyle w:val="TableText"/>
              <w:keepNext/>
              <w:keepLines/>
              <w:jc w:val="left"/>
              <w:rPr>
                <w:szCs w:val="20"/>
              </w:rPr>
            </w:pPr>
            <w:r>
              <w:t>Non-Embedded Designated Support—Color Overlay</w:t>
            </w:r>
          </w:p>
        </w:tc>
        <w:tc>
          <w:tcPr>
            <w:tcW w:w="864" w:type="dxa"/>
            <w:noWrap/>
            <w:vAlign w:val="bottom"/>
          </w:tcPr>
          <w:p w14:paraId="39FEB4FB" w14:textId="77777777" w:rsidR="00085E73" w:rsidRDefault="00085E73" w:rsidP="00290DC6">
            <w:pPr>
              <w:pStyle w:val="TableText"/>
              <w:keepNext/>
              <w:keepLines/>
              <w:rPr>
                <w:szCs w:val="24"/>
                <w:lang w:eastAsia="ko-KR"/>
              </w:rPr>
            </w:pPr>
            <w:r>
              <w:t>0</w:t>
            </w:r>
          </w:p>
        </w:tc>
        <w:tc>
          <w:tcPr>
            <w:tcW w:w="720" w:type="dxa"/>
            <w:noWrap/>
            <w:vAlign w:val="bottom"/>
          </w:tcPr>
          <w:p w14:paraId="7B71C511" w14:textId="77777777" w:rsidR="00085E73" w:rsidRDefault="00085E73" w:rsidP="00290DC6">
            <w:pPr>
              <w:pStyle w:val="TableText"/>
              <w:keepNext/>
              <w:keepLines/>
            </w:pPr>
            <w:r>
              <w:t>0%</w:t>
            </w:r>
          </w:p>
        </w:tc>
        <w:tc>
          <w:tcPr>
            <w:tcW w:w="864" w:type="dxa"/>
            <w:noWrap/>
            <w:vAlign w:val="bottom"/>
          </w:tcPr>
          <w:p w14:paraId="56A20CBE" w14:textId="77777777" w:rsidR="00085E73" w:rsidRDefault="00085E73" w:rsidP="00290DC6">
            <w:pPr>
              <w:pStyle w:val="TableText"/>
              <w:keepNext/>
              <w:keepLines/>
              <w:rPr>
                <w:szCs w:val="24"/>
                <w:lang w:eastAsia="ko-KR"/>
              </w:rPr>
            </w:pPr>
            <w:r>
              <w:t>0</w:t>
            </w:r>
          </w:p>
        </w:tc>
        <w:tc>
          <w:tcPr>
            <w:tcW w:w="720" w:type="dxa"/>
            <w:noWrap/>
            <w:vAlign w:val="bottom"/>
          </w:tcPr>
          <w:p w14:paraId="21CFC0B3" w14:textId="77777777" w:rsidR="00085E73" w:rsidRDefault="00085E73" w:rsidP="00290DC6">
            <w:pPr>
              <w:pStyle w:val="TableText"/>
              <w:keepNext/>
              <w:keepLines/>
            </w:pPr>
            <w:r>
              <w:t>0%</w:t>
            </w:r>
          </w:p>
        </w:tc>
        <w:tc>
          <w:tcPr>
            <w:tcW w:w="864" w:type="dxa"/>
            <w:noWrap/>
            <w:vAlign w:val="bottom"/>
          </w:tcPr>
          <w:p w14:paraId="3A20472E" w14:textId="77777777" w:rsidR="00085E73" w:rsidRDefault="00085E73" w:rsidP="00290DC6">
            <w:pPr>
              <w:pStyle w:val="TableText"/>
              <w:keepNext/>
              <w:keepLines/>
              <w:rPr>
                <w:szCs w:val="24"/>
                <w:lang w:eastAsia="ko-KR"/>
              </w:rPr>
            </w:pPr>
            <w:r>
              <w:t>1</w:t>
            </w:r>
          </w:p>
        </w:tc>
        <w:tc>
          <w:tcPr>
            <w:tcW w:w="720" w:type="dxa"/>
            <w:noWrap/>
            <w:vAlign w:val="bottom"/>
          </w:tcPr>
          <w:p w14:paraId="03577360" w14:textId="77777777" w:rsidR="00085E73" w:rsidRDefault="00085E73" w:rsidP="00290DC6">
            <w:pPr>
              <w:pStyle w:val="TableText"/>
              <w:keepNext/>
              <w:keepLines/>
            </w:pPr>
            <w:r>
              <w:t>0%</w:t>
            </w:r>
          </w:p>
        </w:tc>
        <w:tc>
          <w:tcPr>
            <w:tcW w:w="864" w:type="dxa"/>
            <w:noWrap/>
            <w:vAlign w:val="bottom"/>
          </w:tcPr>
          <w:p w14:paraId="4CF1DE2D" w14:textId="77777777" w:rsidR="00085E73" w:rsidRDefault="00085E73" w:rsidP="00290DC6">
            <w:pPr>
              <w:pStyle w:val="TableText"/>
              <w:keepNext/>
              <w:keepLines/>
              <w:rPr>
                <w:szCs w:val="24"/>
                <w:lang w:eastAsia="ko-KR"/>
              </w:rPr>
            </w:pPr>
            <w:r>
              <w:t>1</w:t>
            </w:r>
          </w:p>
        </w:tc>
        <w:tc>
          <w:tcPr>
            <w:tcW w:w="720" w:type="dxa"/>
            <w:noWrap/>
            <w:vAlign w:val="bottom"/>
          </w:tcPr>
          <w:p w14:paraId="75E535F1" w14:textId="77777777" w:rsidR="00085E73" w:rsidRDefault="00085E73" w:rsidP="00290DC6">
            <w:pPr>
              <w:pStyle w:val="TableText"/>
              <w:keepNext/>
              <w:keepLines/>
            </w:pPr>
            <w:r>
              <w:t>0%</w:t>
            </w:r>
          </w:p>
        </w:tc>
      </w:tr>
      <w:tr w:rsidR="00085E73" w:rsidRPr="00B96179" w14:paraId="47DFD530" w14:textId="77777777" w:rsidTr="003475E2">
        <w:tc>
          <w:tcPr>
            <w:tcW w:w="7056" w:type="dxa"/>
          </w:tcPr>
          <w:p w14:paraId="194A5097" w14:textId="77777777" w:rsidR="00085E73" w:rsidRPr="00025A56" w:rsidRDefault="00085E73" w:rsidP="00290DC6">
            <w:pPr>
              <w:pStyle w:val="TableText"/>
              <w:keepNext/>
              <w:keepLines/>
              <w:jc w:val="left"/>
              <w:rPr>
                <w:szCs w:val="20"/>
              </w:rPr>
            </w:pPr>
            <w:r>
              <w:t>Non-Embedded Designated Support—Magnification</w:t>
            </w:r>
          </w:p>
        </w:tc>
        <w:tc>
          <w:tcPr>
            <w:tcW w:w="864" w:type="dxa"/>
            <w:noWrap/>
            <w:vAlign w:val="bottom"/>
          </w:tcPr>
          <w:p w14:paraId="53027C4F" w14:textId="77777777" w:rsidR="00085E73" w:rsidRDefault="00085E73" w:rsidP="00290DC6">
            <w:pPr>
              <w:pStyle w:val="TableText"/>
              <w:keepNext/>
              <w:keepLines/>
              <w:rPr>
                <w:szCs w:val="24"/>
                <w:lang w:eastAsia="ko-KR"/>
              </w:rPr>
            </w:pPr>
            <w:r>
              <w:t>1</w:t>
            </w:r>
          </w:p>
        </w:tc>
        <w:tc>
          <w:tcPr>
            <w:tcW w:w="720" w:type="dxa"/>
            <w:noWrap/>
            <w:vAlign w:val="bottom"/>
          </w:tcPr>
          <w:p w14:paraId="2167B92B" w14:textId="77777777" w:rsidR="00085E73" w:rsidRDefault="00085E73" w:rsidP="00290DC6">
            <w:pPr>
              <w:pStyle w:val="TableText"/>
              <w:keepNext/>
              <w:keepLines/>
            </w:pPr>
            <w:r>
              <w:t>1%</w:t>
            </w:r>
          </w:p>
        </w:tc>
        <w:tc>
          <w:tcPr>
            <w:tcW w:w="864" w:type="dxa"/>
            <w:noWrap/>
            <w:vAlign w:val="bottom"/>
          </w:tcPr>
          <w:p w14:paraId="233771A0" w14:textId="77777777" w:rsidR="00085E73" w:rsidRDefault="00085E73" w:rsidP="00290DC6">
            <w:pPr>
              <w:pStyle w:val="TableText"/>
              <w:keepNext/>
              <w:keepLines/>
              <w:rPr>
                <w:szCs w:val="24"/>
                <w:lang w:eastAsia="ko-KR"/>
              </w:rPr>
            </w:pPr>
            <w:r>
              <w:t>4</w:t>
            </w:r>
          </w:p>
        </w:tc>
        <w:tc>
          <w:tcPr>
            <w:tcW w:w="720" w:type="dxa"/>
            <w:noWrap/>
            <w:vAlign w:val="bottom"/>
          </w:tcPr>
          <w:p w14:paraId="210EDA26" w14:textId="77777777" w:rsidR="00085E73" w:rsidRDefault="00085E73" w:rsidP="00290DC6">
            <w:pPr>
              <w:pStyle w:val="TableText"/>
              <w:keepNext/>
              <w:keepLines/>
            </w:pPr>
            <w:r>
              <w:t>1%</w:t>
            </w:r>
          </w:p>
        </w:tc>
        <w:tc>
          <w:tcPr>
            <w:tcW w:w="864" w:type="dxa"/>
            <w:noWrap/>
            <w:vAlign w:val="bottom"/>
          </w:tcPr>
          <w:p w14:paraId="51D3A12C" w14:textId="77777777" w:rsidR="00085E73" w:rsidRDefault="00085E73" w:rsidP="00290DC6">
            <w:pPr>
              <w:pStyle w:val="TableText"/>
              <w:keepNext/>
              <w:keepLines/>
              <w:rPr>
                <w:szCs w:val="24"/>
                <w:lang w:eastAsia="ko-KR"/>
              </w:rPr>
            </w:pPr>
            <w:r>
              <w:t>2</w:t>
            </w:r>
          </w:p>
        </w:tc>
        <w:tc>
          <w:tcPr>
            <w:tcW w:w="720" w:type="dxa"/>
            <w:noWrap/>
            <w:vAlign w:val="bottom"/>
          </w:tcPr>
          <w:p w14:paraId="3EDAE5C2" w14:textId="77777777" w:rsidR="00085E73" w:rsidRDefault="00085E73" w:rsidP="00290DC6">
            <w:pPr>
              <w:pStyle w:val="TableText"/>
              <w:keepNext/>
              <w:keepLines/>
            </w:pPr>
            <w:r>
              <w:t>1%</w:t>
            </w:r>
          </w:p>
        </w:tc>
        <w:tc>
          <w:tcPr>
            <w:tcW w:w="864" w:type="dxa"/>
            <w:noWrap/>
            <w:vAlign w:val="bottom"/>
          </w:tcPr>
          <w:p w14:paraId="6EAD15F8" w14:textId="77777777" w:rsidR="00085E73" w:rsidRDefault="00085E73" w:rsidP="00290DC6">
            <w:pPr>
              <w:pStyle w:val="TableText"/>
              <w:keepNext/>
              <w:keepLines/>
              <w:rPr>
                <w:szCs w:val="24"/>
                <w:lang w:eastAsia="ko-KR"/>
              </w:rPr>
            </w:pPr>
            <w:r>
              <w:t>7</w:t>
            </w:r>
          </w:p>
        </w:tc>
        <w:tc>
          <w:tcPr>
            <w:tcW w:w="720" w:type="dxa"/>
            <w:noWrap/>
            <w:vAlign w:val="bottom"/>
          </w:tcPr>
          <w:p w14:paraId="0130CAC7" w14:textId="77777777" w:rsidR="00085E73" w:rsidRDefault="00085E73" w:rsidP="00290DC6">
            <w:pPr>
              <w:pStyle w:val="TableText"/>
              <w:keepNext/>
              <w:keepLines/>
            </w:pPr>
            <w:r>
              <w:t>1%</w:t>
            </w:r>
          </w:p>
        </w:tc>
      </w:tr>
      <w:tr w:rsidR="00085E73" w:rsidRPr="00B96179" w14:paraId="7C57D107" w14:textId="77777777" w:rsidTr="003475E2">
        <w:tc>
          <w:tcPr>
            <w:tcW w:w="7056" w:type="dxa"/>
          </w:tcPr>
          <w:p w14:paraId="7102624F" w14:textId="77777777" w:rsidR="00085E73" w:rsidRPr="00025A56" w:rsidRDefault="00085E73" w:rsidP="00290DC6">
            <w:pPr>
              <w:pStyle w:val="TableText"/>
              <w:keepNext/>
              <w:keepLines/>
              <w:jc w:val="left"/>
              <w:rPr>
                <w:szCs w:val="20"/>
              </w:rPr>
            </w:pPr>
            <w:r>
              <w:t>Non-Embedded Designated Support—Medical Supports</w:t>
            </w:r>
          </w:p>
        </w:tc>
        <w:tc>
          <w:tcPr>
            <w:tcW w:w="864" w:type="dxa"/>
            <w:noWrap/>
            <w:vAlign w:val="bottom"/>
          </w:tcPr>
          <w:p w14:paraId="03826E22" w14:textId="77777777" w:rsidR="00085E73" w:rsidRDefault="00085E73" w:rsidP="00290DC6">
            <w:pPr>
              <w:pStyle w:val="TableText"/>
              <w:keepNext/>
              <w:keepLines/>
              <w:rPr>
                <w:szCs w:val="24"/>
                <w:lang w:eastAsia="ko-KR"/>
              </w:rPr>
            </w:pPr>
            <w:r>
              <w:t>0</w:t>
            </w:r>
          </w:p>
        </w:tc>
        <w:tc>
          <w:tcPr>
            <w:tcW w:w="720" w:type="dxa"/>
            <w:noWrap/>
            <w:vAlign w:val="bottom"/>
          </w:tcPr>
          <w:p w14:paraId="3DC7C486" w14:textId="77777777" w:rsidR="00085E73" w:rsidRDefault="00085E73" w:rsidP="00290DC6">
            <w:pPr>
              <w:pStyle w:val="TableText"/>
              <w:keepNext/>
              <w:keepLines/>
            </w:pPr>
            <w:r>
              <w:t>0%</w:t>
            </w:r>
          </w:p>
        </w:tc>
        <w:tc>
          <w:tcPr>
            <w:tcW w:w="864" w:type="dxa"/>
            <w:noWrap/>
            <w:vAlign w:val="bottom"/>
          </w:tcPr>
          <w:p w14:paraId="33CB2F08" w14:textId="77777777" w:rsidR="00085E73" w:rsidRDefault="00085E73" w:rsidP="00290DC6">
            <w:pPr>
              <w:pStyle w:val="TableText"/>
              <w:keepNext/>
              <w:keepLines/>
              <w:rPr>
                <w:szCs w:val="24"/>
                <w:lang w:eastAsia="ko-KR"/>
              </w:rPr>
            </w:pPr>
            <w:r>
              <w:t>0</w:t>
            </w:r>
          </w:p>
        </w:tc>
        <w:tc>
          <w:tcPr>
            <w:tcW w:w="720" w:type="dxa"/>
            <w:noWrap/>
            <w:vAlign w:val="bottom"/>
          </w:tcPr>
          <w:p w14:paraId="14D82465" w14:textId="77777777" w:rsidR="00085E73" w:rsidRDefault="00085E73" w:rsidP="00290DC6">
            <w:pPr>
              <w:pStyle w:val="TableText"/>
              <w:keepNext/>
              <w:keepLines/>
            </w:pPr>
            <w:r>
              <w:t>0%</w:t>
            </w:r>
          </w:p>
        </w:tc>
        <w:tc>
          <w:tcPr>
            <w:tcW w:w="864" w:type="dxa"/>
            <w:noWrap/>
            <w:vAlign w:val="bottom"/>
          </w:tcPr>
          <w:p w14:paraId="42F8EC0A" w14:textId="77777777" w:rsidR="00085E73" w:rsidRDefault="00085E73" w:rsidP="00290DC6">
            <w:pPr>
              <w:pStyle w:val="TableText"/>
              <w:keepNext/>
              <w:keepLines/>
              <w:rPr>
                <w:szCs w:val="24"/>
                <w:lang w:eastAsia="ko-KR"/>
              </w:rPr>
            </w:pPr>
            <w:r>
              <w:t>1</w:t>
            </w:r>
          </w:p>
        </w:tc>
        <w:tc>
          <w:tcPr>
            <w:tcW w:w="720" w:type="dxa"/>
            <w:noWrap/>
            <w:vAlign w:val="bottom"/>
          </w:tcPr>
          <w:p w14:paraId="6284220F" w14:textId="77777777" w:rsidR="00085E73" w:rsidRDefault="00085E73" w:rsidP="00290DC6">
            <w:pPr>
              <w:pStyle w:val="TableText"/>
              <w:keepNext/>
              <w:keepLines/>
            </w:pPr>
            <w:r>
              <w:t>0%</w:t>
            </w:r>
          </w:p>
        </w:tc>
        <w:tc>
          <w:tcPr>
            <w:tcW w:w="864" w:type="dxa"/>
            <w:noWrap/>
            <w:vAlign w:val="bottom"/>
          </w:tcPr>
          <w:p w14:paraId="021B7EE8" w14:textId="77777777" w:rsidR="00085E73" w:rsidRDefault="00085E73" w:rsidP="00290DC6">
            <w:pPr>
              <w:pStyle w:val="TableText"/>
              <w:keepNext/>
              <w:keepLines/>
              <w:rPr>
                <w:szCs w:val="24"/>
                <w:lang w:eastAsia="ko-KR"/>
              </w:rPr>
            </w:pPr>
            <w:r>
              <w:t>1</w:t>
            </w:r>
          </w:p>
        </w:tc>
        <w:tc>
          <w:tcPr>
            <w:tcW w:w="720" w:type="dxa"/>
            <w:noWrap/>
            <w:vAlign w:val="bottom"/>
          </w:tcPr>
          <w:p w14:paraId="73E03B82" w14:textId="77777777" w:rsidR="00085E73" w:rsidRDefault="00085E73" w:rsidP="00290DC6">
            <w:pPr>
              <w:pStyle w:val="TableText"/>
              <w:keepNext/>
              <w:keepLines/>
            </w:pPr>
            <w:r>
              <w:t>0%</w:t>
            </w:r>
          </w:p>
        </w:tc>
      </w:tr>
      <w:tr w:rsidR="00085E73" w:rsidRPr="00B96179" w14:paraId="7AAAF709" w14:textId="77777777" w:rsidTr="003475E2">
        <w:tc>
          <w:tcPr>
            <w:tcW w:w="7056" w:type="dxa"/>
          </w:tcPr>
          <w:p w14:paraId="4FFAF28D" w14:textId="77777777" w:rsidR="00085E73" w:rsidRPr="00025A56" w:rsidRDefault="00085E73" w:rsidP="0035722A">
            <w:pPr>
              <w:pStyle w:val="TableText"/>
              <w:keepNext/>
              <w:jc w:val="left"/>
              <w:rPr>
                <w:szCs w:val="20"/>
              </w:rPr>
            </w:pPr>
            <w:r>
              <w:t>Non-Embedded Designated Support—Multiplication Table</w:t>
            </w:r>
          </w:p>
        </w:tc>
        <w:tc>
          <w:tcPr>
            <w:tcW w:w="864" w:type="dxa"/>
            <w:noWrap/>
            <w:vAlign w:val="bottom"/>
          </w:tcPr>
          <w:p w14:paraId="6937F28C" w14:textId="77777777" w:rsidR="00085E73" w:rsidRDefault="00085E73" w:rsidP="003475E2">
            <w:pPr>
              <w:pStyle w:val="TableText"/>
              <w:rPr>
                <w:szCs w:val="24"/>
                <w:lang w:eastAsia="ko-KR"/>
              </w:rPr>
            </w:pPr>
            <w:r>
              <w:t>0</w:t>
            </w:r>
          </w:p>
        </w:tc>
        <w:tc>
          <w:tcPr>
            <w:tcW w:w="720" w:type="dxa"/>
            <w:noWrap/>
            <w:vAlign w:val="bottom"/>
          </w:tcPr>
          <w:p w14:paraId="2260D135" w14:textId="77777777" w:rsidR="00085E73" w:rsidRDefault="00085E73" w:rsidP="003475E2">
            <w:pPr>
              <w:pStyle w:val="TableText"/>
            </w:pPr>
            <w:r>
              <w:t>0%</w:t>
            </w:r>
          </w:p>
        </w:tc>
        <w:tc>
          <w:tcPr>
            <w:tcW w:w="864" w:type="dxa"/>
            <w:noWrap/>
            <w:vAlign w:val="bottom"/>
          </w:tcPr>
          <w:p w14:paraId="7746AAC1" w14:textId="77777777" w:rsidR="00085E73" w:rsidRDefault="00085E73" w:rsidP="003475E2">
            <w:pPr>
              <w:pStyle w:val="TableText"/>
              <w:rPr>
                <w:szCs w:val="24"/>
                <w:lang w:eastAsia="ko-KR"/>
              </w:rPr>
            </w:pPr>
            <w:r>
              <w:t>18</w:t>
            </w:r>
          </w:p>
        </w:tc>
        <w:tc>
          <w:tcPr>
            <w:tcW w:w="720" w:type="dxa"/>
            <w:noWrap/>
            <w:vAlign w:val="bottom"/>
          </w:tcPr>
          <w:p w14:paraId="6D119968" w14:textId="77777777" w:rsidR="00085E73" w:rsidRDefault="00085E73" w:rsidP="003475E2">
            <w:pPr>
              <w:pStyle w:val="TableText"/>
            </w:pPr>
            <w:r>
              <w:t>5%</w:t>
            </w:r>
          </w:p>
        </w:tc>
        <w:tc>
          <w:tcPr>
            <w:tcW w:w="864" w:type="dxa"/>
            <w:noWrap/>
            <w:vAlign w:val="bottom"/>
          </w:tcPr>
          <w:p w14:paraId="57372F2E" w14:textId="77777777" w:rsidR="00085E73" w:rsidRDefault="00085E73" w:rsidP="003475E2">
            <w:pPr>
              <w:pStyle w:val="TableText"/>
              <w:rPr>
                <w:szCs w:val="24"/>
                <w:lang w:eastAsia="ko-KR"/>
              </w:rPr>
            </w:pPr>
            <w:r>
              <w:t>4</w:t>
            </w:r>
          </w:p>
        </w:tc>
        <w:tc>
          <w:tcPr>
            <w:tcW w:w="720" w:type="dxa"/>
            <w:noWrap/>
            <w:vAlign w:val="bottom"/>
          </w:tcPr>
          <w:p w14:paraId="7B19D00C" w14:textId="77777777" w:rsidR="00085E73" w:rsidRDefault="00085E73" w:rsidP="003475E2">
            <w:pPr>
              <w:pStyle w:val="TableText"/>
            </w:pPr>
            <w:r>
              <w:t>2%</w:t>
            </w:r>
          </w:p>
        </w:tc>
        <w:tc>
          <w:tcPr>
            <w:tcW w:w="864" w:type="dxa"/>
            <w:noWrap/>
            <w:vAlign w:val="bottom"/>
          </w:tcPr>
          <w:p w14:paraId="284F627C" w14:textId="77777777" w:rsidR="00085E73" w:rsidRDefault="00085E73" w:rsidP="003475E2">
            <w:pPr>
              <w:pStyle w:val="TableText"/>
              <w:rPr>
                <w:szCs w:val="24"/>
                <w:lang w:eastAsia="ko-KR"/>
              </w:rPr>
            </w:pPr>
            <w:r>
              <w:t>22</w:t>
            </w:r>
          </w:p>
        </w:tc>
        <w:tc>
          <w:tcPr>
            <w:tcW w:w="720" w:type="dxa"/>
            <w:noWrap/>
            <w:vAlign w:val="bottom"/>
          </w:tcPr>
          <w:p w14:paraId="0881E7EC" w14:textId="77777777" w:rsidR="00085E73" w:rsidRDefault="00085E73" w:rsidP="003475E2">
            <w:pPr>
              <w:pStyle w:val="TableText"/>
            </w:pPr>
            <w:r>
              <w:t>3%</w:t>
            </w:r>
          </w:p>
        </w:tc>
      </w:tr>
      <w:tr w:rsidR="00085E73" w:rsidRPr="00B96179" w14:paraId="5BC4C74E" w14:textId="77777777" w:rsidTr="003475E2">
        <w:tc>
          <w:tcPr>
            <w:tcW w:w="7056" w:type="dxa"/>
          </w:tcPr>
          <w:p w14:paraId="0BD41E37" w14:textId="77777777" w:rsidR="00085E73" w:rsidRPr="00025A56" w:rsidRDefault="00085E73" w:rsidP="0035722A">
            <w:pPr>
              <w:pStyle w:val="TableText"/>
              <w:keepNext/>
              <w:jc w:val="left"/>
              <w:rPr>
                <w:szCs w:val="20"/>
              </w:rPr>
            </w:pPr>
            <w:r>
              <w:t>Non-Embedded Designated Support—Noise Buffers</w:t>
            </w:r>
          </w:p>
        </w:tc>
        <w:tc>
          <w:tcPr>
            <w:tcW w:w="864" w:type="dxa"/>
            <w:noWrap/>
            <w:vAlign w:val="bottom"/>
          </w:tcPr>
          <w:p w14:paraId="6397E6E4" w14:textId="77777777" w:rsidR="00085E73" w:rsidRDefault="00085E73" w:rsidP="003475E2">
            <w:pPr>
              <w:pStyle w:val="TableText"/>
              <w:rPr>
                <w:szCs w:val="24"/>
                <w:lang w:eastAsia="ko-KR"/>
              </w:rPr>
            </w:pPr>
            <w:r>
              <w:t>8</w:t>
            </w:r>
          </w:p>
        </w:tc>
        <w:tc>
          <w:tcPr>
            <w:tcW w:w="720" w:type="dxa"/>
            <w:noWrap/>
            <w:vAlign w:val="bottom"/>
          </w:tcPr>
          <w:p w14:paraId="55819A89" w14:textId="77777777" w:rsidR="00085E73" w:rsidRDefault="00085E73" w:rsidP="003475E2">
            <w:pPr>
              <w:pStyle w:val="TableText"/>
            </w:pPr>
            <w:r>
              <w:t>6%</w:t>
            </w:r>
          </w:p>
        </w:tc>
        <w:tc>
          <w:tcPr>
            <w:tcW w:w="864" w:type="dxa"/>
            <w:noWrap/>
            <w:vAlign w:val="bottom"/>
          </w:tcPr>
          <w:p w14:paraId="68124E36" w14:textId="77777777" w:rsidR="00085E73" w:rsidRDefault="00085E73" w:rsidP="003475E2">
            <w:pPr>
              <w:pStyle w:val="TableText"/>
              <w:rPr>
                <w:szCs w:val="24"/>
                <w:lang w:eastAsia="ko-KR"/>
              </w:rPr>
            </w:pPr>
            <w:r>
              <w:t>9</w:t>
            </w:r>
          </w:p>
        </w:tc>
        <w:tc>
          <w:tcPr>
            <w:tcW w:w="720" w:type="dxa"/>
            <w:noWrap/>
            <w:vAlign w:val="bottom"/>
          </w:tcPr>
          <w:p w14:paraId="214F62A8" w14:textId="77777777" w:rsidR="00085E73" w:rsidRDefault="00085E73" w:rsidP="003475E2">
            <w:pPr>
              <w:pStyle w:val="TableText"/>
            </w:pPr>
            <w:r>
              <w:t>3%</w:t>
            </w:r>
          </w:p>
        </w:tc>
        <w:tc>
          <w:tcPr>
            <w:tcW w:w="864" w:type="dxa"/>
            <w:noWrap/>
            <w:vAlign w:val="bottom"/>
          </w:tcPr>
          <w:p w14:paraId="7D88963A" w14:textId="77777777" w:rsidR="00085E73" w:rsidRDefault="00085E73" w:rsidP="003475E2">
            <w:pPr>
              <w:pStyle w:val="TableText"/>
              <w:rPr>
                <w:szCs w:val="24"/>
                <w:lang w:eastAsia="ko-KR"/>
              </w:rPr>
            </w:pPr>
            <w:r>
              <w:t>13</w:t>
            </w:r>
          </w:p>
        </w:tc>
        <w:tc>
          <w:tcPr>
            <w:tcW w:w="720" w:type="dxa"/>
            <w:noWrap/>
            <w:vAlign w:val="bottom"/>
          </w:tcPr>
          <w:p w14:paraId="7BF82F0B" w14:textId="77777777" w:rsidR="00085E73" w:rsidRDefault="00085E73" w:rsidP="003475E2">
            <w:pPr>
              <w:pStyle w:val="TableText"/>
            </w:pPr>
            <w:r>
              <w:t>5%</w:t>
            </w:r>
          </w:p>
        </w:tc>
        <w:tc>
          <w:tcPr>
            <w:tcW w:w="864" w:type="dxa"/>
            <w:noWrap/>
            <w:vAlign w:val="bottom"/>
          </w:tcPr>
          <w:p w14:paraId="7B31C27C" w14:textId="77777777" w:rsidR="00085E73" w:rsidRDefault="00085E73" w:rsidP="003475E2">
            <w:pPr>
              <w:pStyle w:val="TableText"/>
              <w:rPr>
                <w:szCs w:val="24"/>
                <w:lang w:eastAsia="ko-KR"/>
              </w:rPr>
            </w:pPr>
            <w:r>
              <w:t>30</w:t>
            </w:r>
          </w:p>
        </w:tc>
        <w:tc>
          <w:tcPr>
            <w:tcW w:w="720" w:type="dxa"/>
            <w:noWrap/>
            <w:vAlign w:val="bottom"/>
          </w:tcPr>
          <w:p w14:paraId="3EFF1B3D" w14:textId="77777777" w:rsidR="00085E73" w:rsidRDefault="00085E73" w:rsidP="003475E2">
            <w:pPr>
              <w:pStyle w:val="TableText"/>
            </w:pPr>
            <w:r>
              <w:t>4%</w:t>
            </w:r>
          </w:p>
        </w:tc>
      </w:tr>
      <w:tr w:rsidR="00085E73" w:rsidRPr="00B96179" w14:paraId="63B3F35E" w14:textId="77777777" w:rsidTr="003475E2">
        <w:tc>
          <w:tcPr>
            <w:tcW w:w="7056" w:type="dxa"/>
          </w:tcPr>
          <w:p w14:paraId="271ED481" w14:textId="77777777" w:rsidR="00085E73" w:rsidRPr="00025A56" w:rsidRDefault="00085E73" w:rsidP="0035722A">
            <w:pPr>
              <w:pStyle w:val="TableText"/>
              <w:keepNext/>
              <w:jc w:val="left"/>
              <w:rPr>
                <w:szCs w:val="20"/>
              </w:rPr>
            </w:pPr>
            <w:r>
              <w:t>Non-Embedded Designated Support—Read Aloud Items</w:t>
            </w:r>
          </w:p>
        </w:tc>
        <w:tc>
          <w:tcPr>
            <w:tcW w:w="864" w:type="dxa"/>
            <w:noWrap/>
            <w:vAlign w:val="bottom"/>
          </w:tcPr>
          <w:p w14:paraId="64CB122E" w14:textId="77777777" w:rsidR="00085E73" w:rsidRDefault="00085E73" w:rsidP="003475E2">
            <w:pPr>
              <w:pStyle w:val="TableText"/>
              <w:rPr>
                <w:szCs w:val="24"/>
                <w:lang w:eastAsia="ko-KR"/>
              </w:rPr>
            </w:pPr>
            <w:r>
              <w:t>32</w:t>
            </w:r>
          </w:p>
        </w:tc>
        <w:tc>
          <w:tcPr>
            <w:tcW w:w="720" w:type="dxa"/>
            <w:noWrap/>
            <w:vAlign w:val="bottom"/>
          </w:tcPr>
          <w:p w14:paraId="5D856D30" w14:textId="77777777" w:rsidR="00085E73" w:rsidRDefault="00085E73" w:rsidP="003475E2">
            <w:pPr>
              <w:pStyle w:val="TableText"/>
            </w:pPr>
            <w:r>
              <w:t>24%</w:t>
            </w:r>
          </w:p>
        </w:tc>
        <w:tc>
          <w:tcPr>
            <w:tcW w:w="864" w:type="dxa"/>
            <w:noWrap/>
            <w:vAlign w:val="bottom"/>
          </w:tcPr>
          <w:p w14:paraId="62BABBA7" w14:textId="77777777" w:rsidR="00085E73" w:rsidRDefault="00085E73" w:rsidP="003475E2">
            <w:pPr>
              <w:pStyle w:val="TableText"/>
              <w:rPr>
                <w:szCs w:val="24"/>
                <w:lang w:eastAsia="ko-KR"/>
              </w:rPr>
            </w:pPr>
            <w:r>
              <w:t>35</w:t>
            </w:r>
          </w:p>
        </w:tc>
        <w:tc>
          <w:tcPr>
            <w:tcW w:w="720" w:type="dxa"/>
            <w:noWrap/>
            <w:vAlign w:val="bottom"/>
          </w:tcPr>
          <w:p w14:paraId="30BDE11E" w14:textId="77777777" w:rsidR="00085E73" w:rsidRDefault="00085E73" w:rsidP="003475E2">
            <w:pPr>
              <w:pStyle w:val="TableText"/>
            </w:pPr>
            <w:r>
              <w:t>10%</w:t>
            </w:r>
          </w:p>
        </w:tc>
        <w:tc>
          <w:tcPr>
            <w:tcW w:w="864" w:type="dxa"/>
            <w:noWrap/>
            <w:vAlign w:val="bottom"/>
          </w:tcPr>
          <w:p w14:paraId="7F720181" w14:textId="77777777" w:rsidR="00085E73" w:rsidRDefault="00085E73" w:rsidP="003475E2">
            <w:pPr>
              <w:pStyle w:val="TableText"/>
              <w:rPr>
                <w:szCs w:val="24"/>
                <w:lang w:eastAsia="ko-KR"/>
              </w:rPr>
            </w:pPr>
            <w:r>
              <w:t>51</w:t>
            </w:r>
          </w:p>
        </w:tc>
        <w:tc>
          <w:tcPr>
            <w:tcW w:w="720" w:type="dxa"/>
            <w:noWrap/>
            <w:vAlign w:val="bottom"/>
          </w:tcPr>
          <w:p w14:paraId="53B0A840" w14:textId="77777777" w:rsidR="00085E73" w:rsidRDefault="00085E73" w:rsidP="003475E2">
            <w:pPr>
              <w:pStyle w:val="TableText"/>
            </w:pPr>
            <w:r>
              <w:t>21%</w:t>
            </w:r>
          </w:p>
        </w:tc>
        <w:tc>
          <w:tcPr>
            <w:tcW w:w="864" w:type="dxa"/>
            <w:noWrap/>
            <w:vAlign w:val="bottom"/>
          </w:tcPr>
          <w:p w14:paraId="3B3378CA" w14:textId="77777777" w:rsidR="00085E73" w:rsidRDefault="00085E73" w:rsidP="003475E2">
            <w:pPr>
              <w:pStyle w:val="TableText"/>
              <w:rPr>
                <w:szCs w:val="24"/>
                <w:lang w:eastAsia="ko-KR"/>
              </w:rPr>
            </w:pPr>
            <w:r>
              <w:t>118</w:t>
            </w:r>
          </w:p>
        </w:tc>
        <w:tc>
          <w:tcPr>
            <w:tcW w:w="720" w:type="dxa"/>
            <w:noWrap/>
            <w:vAlign w:val="bottom"/>
          </w:tcPr>
          <w:p w14:paraId="40ADB98B" w14:textId="77777777" w:rsidR="00085E73" w:rsidRDefault="00085E73" w:rsidP="003475E2">
            <w:pPr>
              <w:pStyle w:val="TableText"/>
            </w:pPr>
            <w:r>
              <w:t>16%</w:t>
            </w:r>
          </w:p>
        </w:tc>
      </w:tr>
      <w:tr w:rsidR="00085E73" w:rsidRPr="00B96179" w14:paraId="0498D556" w14:textId="77777777" w:rsidTr="003475E2">
        <w:tc>
          <w:tcPr>
            <w:tcW w:w="7056" w:type="dxa"/>
          </w:tcPr>
          <w:p w14:paraId="098C503E" w14:textId="77777777" w:rsidR="00085E73" w:rsidRPr="00025A56" w:rsidRDefault="00085E73" w:rsidP="0035722A">
            <w:pPr>
              <w:pStyle w:val="TableText"/>
              <w:keepNext/>
              <w:jc w:val="left"/>
              <w:rPr>
                <w:szCs w:val="20"/>
              </w:rPr>
            </w:pPr>
            <w:r>
              <w:t>Non-Embedded Designated Support—Scribe Items</w:t>
            </w:r>
          </w:p>
        </w:tc>
        <w:tc>
          <w:tcPr>
            <w:tcW w:w="864" w:type="dxa"/>
            <w:noWrap/>
            <w:vAlign w:val="bottom"/>
          </w:tcPr>
          <w:p w14:paraId="66EF0DFF" w14:textId="77777777" w:rsidR="00085E73" w:rsidRDefault="00085E73" w:rsidP="003475E2">
            <w:pPr>
              <w:pStyle w:val="TableText"/>
              <w:rPr>
                <w:szCs w:val="24"/>
                <w:lang w:eastAsia="ko-KR"/>
              </w:rPr>
            </w:pPr>
            <w:r>
              <w:t>7</w:t>
            </w:r>
          </w:p>
        </w:tc>
        <w:tc>
          <w:tcPr>
            <w:tcW w:w="720" w:type="dxa"/>
            <w:noWrap/>
            <w:vAlign w:val="bottom"/>
          </w:tcPr>
          <w:p w14:paraId="7BF8E7AB" w14:textId="77777777" w:rsidR="00085E73" w:rsidRDefault="00085E73" w:rsidP="003475E2">
            <w:pPr>
              <w:pStyle w:val="TableText"/>
            </w:pPr>
            <w:r>
              <w:t>5%</w:t>
            </w:r>
          </w:p>
        </w:tc>
        <w:tc>
          <w:tcPr>
            <w:tcW w:w="864" w:type="dxa"/>
            <w:noWrap/>
            <w:vAlign w:val="bottom"/>
          </w:tcPr>
          <w:p w14:paraId="16DC8AE0" w14:textId="77777777" w:rsidR="00085E73" w:rsidRDefault="00085E73" w:rsidP="003475E2">
            <w:pPr>
              <w:pStyle w:val="TableText"/>
              <w:rPr>
                <w:szCs w:val="24"/>
                <w:lang w:eastAsia="ko-KR"/>
              </w:rPr>
            </w:pPr>
            <w:r>
              <w:t>11</w:t>
            </w:r>
          </w:p>
        </w:tc>
        <w:tc>
          <w:tcPr>
            <w:tcW w:w="720" w:type="dxa"/>
            <w:noWrap/>
            <w:vAlign w:val="bottom"/>
          </w:tcPr>
          <w:p w14:paraId="25C881AD" w14:textId="77777777" w:rsidR="00085E73" w:rsidRDefault="00085E73" w:rsidP="003475E2">
            <w:pPr>
              <w:pStyle w:val="TableText"/>
            </w:pPr>
            <w:r>
              <w:t>3%</w:t>
            </w:r>
          </w:p>
        </w:tc>
        <w:tc>
          <w:tcPr>
            <w:tcW w:w="864" w:type="dxa"/>
            <w:noWrap/>
            <w:vAlign w:val="bottom"/>
          </w:tcPr>
          <w:p w14:paraId="18239C92" w14:textId="77777777" w:rsidR="00085E73" w:rsidRDefault="00085E73" w:rsidP="003475E2">
            <w:pPr>
              <w:pStyle w:val="TableText"/>
              <w:rPr>
                <w:szCs w:val="24"/>
                <w:lang w:eastAsia="ko-KR"/>
              </w:rPr>
            </w:pPr>
            <w:r>
              <w:t>14</w:t>
            </w:r>
          </w:p>
        </w:tc>
        <w:tc>
          <w:tcPr>
            <w:tcW w:w="720" w:type="dxa"/>
            <w:noWrap/>
            <w:vAlign w:val="bottom"/>
          </w:tcPr>
          <w:p w14:paraId="293A54E6" w14:textId="77777777" w:rsidR="00085E73" w:rsidRDefault="00085E73" w:rsidP="003475E2">
            <w:pPr>
              <w:pStyle w:val="TableText"/>
            </w:pPr>
            <w:r>
              <w:t>6%</w:t>
            </w:r>
          </w:p>
        </w:tc>
        <w:tc>
          <w:tcPr>
            <w:tcW w:w="864" w:type="dxa"/>
            <w:noWrap/>
            <w:vAlign w:val="bottom"/>
          </w:tcPr>
          <w:p w14:paraId="3DD7B673" w14:textId="77777777" w:rsidR="00085E73" w:rsidRDefault="00085E73" w:rsidP="003475E2">
            <w:pPr>
              <w:pStyle w:val="TableText"/>
              <w:rPr>
                <w:szCs w:val="24"/>
                <w:lang w:eastAsia="ko-KR"/>
              </w:rPr>
            </w:pPr>
            <w:r>
              <w:t>32</w:t>
            </w:r>
          </w:p>
        </w:tc>
        <w:tc>
          <w:tcPr>
            <w:tcW w:w="720" w:type="dxa"/>
            <w:noWrap/>
            <w:vAlign w:val="bottom"/>
          </w:tcPr>
          <w:p w14:paraId="177F2AC7" w14:textId="77777777" w:rsidR="00085E73" w:rsidRDefault="00085E73" w:rsidP="003475E2">
            <w:pPr>
              <w:pStyle w:val="TableText"/>
            </w:pPr>
            <w:r>
              <w:t>4%</w:t>
            </w:r>
          </w:p>
        </w:tc>
      </w:tr>
      <w:tr w:rsidR="00085E73" w:rsidRPr="00B96179" w14:paraId="787618EB" w14:textId="77777777" w:rsidTr="003475E2">
        <w:tc>
          <w:tcPr>
            <w:tcW w:w="7056" w:type="dxa"/>
          </w:tcPr>
          <w:p w14:paraId="763CEAD4" w14:textId="77777777" w:rsidR="00085E73" w:rsidRPr="00025A56" w:rsidRDefault="00085E73" w:rsidP="0035722A">
            <w:pPr>
              <w:pStyle w:val="TableText"/>
              <w:keepNext/>
              <w:jc w:val="left"/>
              <w:rPr>
                <w:szCs w:val="20"/>
              </w:rPr>
            </w:pPr>
            <w:r>
              <w:t>Non-Embedded Designated Support—Separate Setting</w:t>
            </w:r>
          </w:p>
        </w:tc>
        <w:tc>
          <w:tcPr>
            <w:tcW w:w="864" w:type="dxa"/>
            <w:noWrap/>
            <w:vAlign w:val="bottom"/>
          </w:tcPr>
          <w:p w14:paraId="1A09B5C3" w14:textId="77777777" w:rsidR="00085E73" w:rsidRDefault="00085E73" w:rsidP="003475E2">
            <w:pPr>
              <w:pStyle w:val="TableText"/>
              <w:rPr>
                <w:szCs w:val="24"/>
                <w:lang w:eastAsia="ko-KR"/>
              </w:rPr>
            </w:pPr>
            <w:r>
              <w:t>30</w:t>
            </w:r>
          </w:p>
        </w:tc>
        <w:tc>
          <w:tcPr>
            <w:tcW w:w="720" w:type="dxa"/>
            <w:noWrap/>
            <w:vAlign w:val="bottom"/>
          </w:tcPr>
          <w:p w14:paraId="018EBF4D" w14:textId="77777777" w:rsidR="00085E73" w:rsidRDefault="00085E73" w:rsidP="003475E2">
            <w:pPr>
              <w:pStyle w:val="TableText"/>
            </w:pPr>
            <w:r>
              <w:t>22%</w:t>
            </w:r>
          </w:p>
        </w:tc>
        <w:tc>
          <w:tcPr>
            <w:tcW w:w="864" w:type="dxa"/>
            <w:noWrap/>
            <w:vAlign w:val="bottom"/>
          </w:tcPr>
          <w:p w14:paraId="5C4DAF0F" w14:textId="77777777" w:rsidR="00085E73" w:rsidRDefault="00085E73" w:rsidP="003475E2">
            <w:pPr>
              <w:pStyle w:val="TableText"/>
              <w:rPr>
                <w:szCs w:val="24"/>
                <w:lang w:eastAsia="ko-KR"/>
              </w:rPr>
            </w:pPr>
            <w:r>
              <w:t>38</w:t>
            </w:r>
          </w:p>
        </w:tc>
        <w:tc>
          <w:tcPr>
            <w:tcW w:w="720" w:type="dxa"/>
            <w:noWrap/>
            <w:vAlign w:val="bottom"/>
          </w:tcPr>
          <w:p w14:paraId="2B41B43C" w14:textId="77777777" w:rsidR="00085E73" w:rsidRDefault="00085E73" w:rsidP="003475E2">
            <w:pPr>
              <w:pStyle w:val="TableText"/>
            </w:pPr>
            <w:r>
              <w:t>11%</w:t>
            </w:r>
          </w:p>
        </w:tc>
        <w:tc>
          <w:tcPr>
            <w:tcW w:w="864" w:type="dxa"/>
            <w:noWrap/>
            <w:vAlign w:val="bottom"/>
          </w:tcPr>
          <w:p w14:paraId="12AC2250" w14:textId="77777777" w:rsidR="00085E73" w:rsidRDefault="00085E73" w:rsidP="003475E2">
            <w:pPr>
              <w:pStyle w:val="TableText"/>
              <w:rPr>
                <w:szCs w:val="24"/>
                <w:lang w:eastAsia="ko-KR"/>
              </w:rPr>
            </w:pPr>
            <w:r>
              <w:t>47</w:t>
            </w:r>
          </w:p>
        </w:tc>
        <w:tc>
          <w:tcPr>
            <w:tcW w:w="720" w:type="dxa"/>
            <w:noWrap/>
            <w:vAlign w:val="bottom"/>
          </w:tcPr>
          <w:p w14:paraId="70AD1999" w14:textId="77777777" w:rsidR="00085E73" w:rsidRDefault="00085E73" w:rsidP="003475E2">
            <w:pPr>
              <w:pStyle w:val="TableText"/>
            </w:pPr>
            <w:r>
              <w:t>19%</w:t>
            </w:r>
          </w:p>
        </w:tc>
        <w:tc>
          <w:tcPr>
            <w:tcW w:w="864" w:type="dxa"/>
            <w:noWrap/>
            <w:vAlign w:val="bottom"/>
          </w:tcPr>
          <w:p w14:paraId="3BBBE7D0" w14:textId="77777777" w:rsidR="00085E73" w:rsidRDefault="00085E73" w:rsidP="003475E2">
            <w:pPr>
              <w:pStyle w:val="TableText"/>
              <w:rPr>
                <w:szCs w:val="24"/>
                <w:lang w:eastAsia="ko-KR"/>
              </w:rPr>
            </w:pPr>
            <w:r>
              <w:t>115</w:t>
            </w:r>
          </w:p>
        </w:tc>
        <w:tc>
          <w:tcPr>
            <w:tcW w:w="720" w:type="dxa"/>
            <w:noWrap/>
            <w:vAlign w:val="bottom"/>
          </w:tcPr>
          <w:p w14:paraId="32B8D953" w14:textId="77777777" w:rsidR="00085E73" w:rsidRDefault="00085E73" w:rsidP="003475E2">
            <w:pPr>
              <w:pStyle w:val="TableText"/>
            </w:pPr>
            <w:r>
              <w:t>16%</w:t>
            </w:r>
          </w:p>
        </w:tc>
      </w:tr>
      <w:tr w:rsidR="00085E73" w:rsidRPr="00B96179" w14:paraId="0E6ED752" w14:textId="77777777" w:rsidTr="003475E2">
        <w:tc>
          <w:tcPr>
            <w:tcW w:w="7056" w:type="dxa"/>
            <w:tcBorders>
              <w:bottom w:val="single" w:sz="4" w:space="0" w:color="auto"/>
            </w:tcBorders>
          </w:tcPr>
          <w:p w14:paraId="65A6F26B" w14:textId="77777777" w:rsidR="00085E73" w:rsidRPr="00025A56" w:rsidRDefault="00085E73" w:rsidP="003475E2">
            <w:pPr>
              <w:pStyle w:val="TableText"/>
              <w:jc w:val="left"/>
              <w:rPr>
                <w:szCs w:val="20"/>
              </w:rPr>
            </w:pPr>
            <w:r>
              <w:t>Non-Embedded Designated Support—100s Number Table</w:t>
            </w:r>
          </w:p>
        </w:tc>
        <w:tc>
          <w:tcPr>
            <w:tcW w:w="864" w:type="dxa"/>
            <w:tcBorders>
              <w:bottom w:val="single" w:sz="4" w:space="0" w:color="auto"/>
            </w:tcBorders>
            <w:noWrap/>
            <w:vAlign w:val="bottom"/>
          </w:tcPr>
          <w:p w14:paraId="50AEE73C" w14:textId="77777777" w:rsidR="00085E73" w:rsidRDefault="00085E73" w:rsidP="003475E2">
            <w:pPr>
              <w:pStyle w:val="TableText"/>
              <w:rPr>
                <w:szCs w:val="24"/>
                <w:lang w:eastAsia="ko-KR"/>
              </w:rPr>
            </w:pPr>
            <w:r>
              <w:t>4</w:t>
            </w:r>
          </w:p>
        </w:tc>
        <w:tc>
          <w:tcPr>
            <w:tcW w:w="720" w:type="dxa"/>
            <w:tcBorders>
              <w:bottom w:val="single" w:sz="4" w:space="0" w:color="auto"/>
            </w:tcBorders>
            <w:noWrap/>
            <w:vAlign w:val="bottom"/>
          </w:tcPr>
          <w:p w14:paraId="60E9C602" w14:textId="77777777" w:rsidR="00085E73" w:rsidRDefault="00085E73" w:rsidP="003475E2">
            <w:pPr>
              <w:pStyle w:val="TableText"/>
            </w:pPr>
            <w:r>
              <w:t>3%</w:t>
            </w:r>
          </w:p>
        </w:tc>
        <w:tc>
          <w:tcPr>
            <w:tcW w:w="864" w:type="dxa"/>
            <w:tcBorders>
              <w:bottom w:val="single" w:sz="4" w:space="0" w:color="auto"/>
            </w:tcBorders>
            <w:noWrap/>
            <w:vAlign w:val="bottom"/>
          </w:tcPr>
          <w:p w14:paraId="035E1312" w14:textId="77777777" w:rsidR="00085E73" w:rsidRDefault="00085E73" w:rsidP="003475E2">
            <w:pPr>
              <w:pStyle w:val="TableText"/>
              <w:rPr>
                <w:szCs w:val="24"/>
                <w:lang w:eastAsia="ko-KR"/>
              </w:rPr>
            </w:pPr>
            <w:r>
              <w:t>18</w:t>
            </w:r>
          </w:p>
        </w:tc>
        <w:tc>
          <w:tcPr>
            <w:tcW w:w="720" w:type="dxa"/>
            <w:tcBorders>
              <w:bottom w:val="single" w:sz="4" w:space="0" w:color="auto"/>
            </w:tcBorders>
            <w:noWrap/>
            <w:vAlign w:val="bottom"/>
          </w:tcPr>
          <w:p w14:paraId="4B0E52EF" w14:textId="77777777" w:rsidR="00085E73" w:rsidRDefault="00085E73" w:rsidP="003475E2">
            <w:pPr>
              <w:pStyle w:val="TableText"/>
            </w:pPr>
            <w:r>
              <w:t>5%</w:t>
            </w:r>
          </w:p>
        </w:tc>
        <w:tc>
          <w:tcPr>
            <w:tcW w:w="864" w:type="dxa"/>
            <w:tcBorders>
              <w:bottom w:val="single" w:sz="4" w:space="0" w:color="auto"/>
            </w:tcBorders>
            <w:noWrap/>
            <w:vAlign w:val="bottom"/>
          </w:tcPr>
          <w:p w14:paraId="7F9079E8" w14:textId="77777777" w:rsidR="00085E73" w:rsidRDefault="00085E73" w:rsidP="003475E2">
            <w:pPr>
              <w:pStyle w:val="TableText"/>
              <w:rPr>
                <w:szCs w:val="24"/>
                <w:lang w:eastAsia="ko-KR"/>
              </w:rPr>
            </w:pPr>
            <w:r>
              <w:t>3</w:t>
            </w:r>
          </w:p>
        </w:tc>
        <w:tc>
          <w:tcPr>
            <w:tcW w:w="720" w:type="dxa"/>
            <w:tcBorders>
              <w:bottom w:val="single" w:sz="4" w:space="0" w:color="auto"/>
            </w:tcBorders>
            <w:noWrap/>
            <w:vAlign w:val="bottom"/>
          </w:tcPr>
          <w:p w14:paraId="64A1A660" w14:textId="77777777" w:rsidR="00085E73" w:rsidRDefault="00085E73" w:rsidP="003475E2">
            <w:pPr>
              <w:pStyle w:val="TableText"/>
            </w:pPr>
            <w:r>
              <w:t>1%</w:t>
            </w:r>
          </w:p>
        </w:tc>
        <w:tc>
          <w:tcPr>
            <w:tcW w:w="864" w:type="dxa"/>
            <w:tcBorders>
              <w:bottom w:val="single" w:sz="4" w:space="0" w:color="auto"/>
            </w:tcBorders>
            <w:noWrap/>
            <w:vAlign w:val="bottom"/>
          </w:tcPr>
          <w:p w14:paraId="28789CB3" w14:textId="77777777" w:rsidR="00085E73" w:rsidRDefault="00085E73" w:rsidP="003475E2">
            <w:pPr>
              <w:pStyle w:val="TableText"/>
              <w:rPr>
                <w:szCs w:val="24"/>
                <w:lang w:eastAsia="ko-KR"/>
              </w:rPr>
            </w:pPr>
            <w:r>
              <w:t>25</w:t>
            </w:r>
          </w:p>
        </w:tc>
        <w:tc>
          <w:tcPr>
            <w:tcW w:w="720" w:type="dxa"/>
            <w:tcBorders>
              <w:bottom w:val="single" w:sz="4" w:space="0" w:color="auto"/>
            </w:tcBorders>
            <w:noWrap/>
            <w:vAlign w:val="bottom"/>
          </w:tcPr>
          <w:p w14:paraId="3620411D" w14:textId="77777777" w:rsidR="00085E73" w:rsidRDefault="00085E73" w:rsidP="003475E2">
            <w:pPr>
              <w:pStyle w:val="TableText"/>
            </w:pPr>
            <w:r>
              <w:t>3%</w:t>
            </w:r>
          </w:p>
        </w:tc>
      </w:tr>
      <w:tr w:rsidR="00085E73" w:rsidRPr="00B96179" w14:paraId="3B9796C5" w14:textId="77777777" w:rsidTr="003475E2">
        <w:tc>
          <w:tcPr>
            <w:tcW w:w="7056" w:type="dxa"/>
            <w:tcBorders>
              <w:top w:val="single" w:sz="4" w:space="0" w:color="auto"/>
              <w:bottom w:val="single" w:sz="12" w:space="0" w:color="auto"/>
            </w:tcBorders>
          </w:tcPr>
          <w:p w14:paraId="4D4719D6" w14:textId="77777777" w:rsidR="00085E73" w:rsidRPr="00E31117" w:rsidRDefault="00085E73" w:rsidP="003475E2">
            <w:pPr>
              <w:pStyle w:val="TableText"/>
              <w:rPr>
                <w:b/>
                <w:bCs/>
              </w:rPr>
            </w:pPr>
            <w:r w:rsidRPr="00E31117">
              <w:rPr>
                <w:b/>
                <w:bCs/>
              </w:rPr>
              <w:t>Total Students Tested</w:t>
            </w:r>
          </w:p>
        </w:tc>
        <w:tc>
          <w:tcPr>
            <w:tcW w:w="864" w:type="dxa"/>
            <w:tcBorders>
              <w:top w:val="single" w:sz="4" w:space="0" w:color="auto"/>
              <w:bottom w:val="single" w:sz="12" w:space="0" w:color="auto"/>
            </w:tcBorders>
            <w:noWrap/>
            <w:vAlign w:val="bottom"/>
          </w:tcPr>
          <w:p w14:paraId="3BB717A9" w14:textId="77777777" w:rsidR="00085E73" w:rsidRDefault="00085E73" w:rsidP="003475E2">
            <w:pPr>
              <w:pStyle w:val="TableText"/>
            </w:pPr>
            <w:r>
              <w:rPr>
                <w:b/>
                <w:bCs/>
              </w:rPr>
              <w:t>136</w:t>
            </w:r>
          </w:p>
        </w:tc>
        <w:tc>
          <w:tcPr>
            <w:tcW w:w="720" w:type="dxa"/>
            <w:tcBorders>
              <w:top w:val="single" w:sz="4" w:space="0" w:color="auto"/>
              <w:bottom w:val="single" w:sz="12" w:space="0" w:color="auto"/>
            </w:tcBorders>
            <w:noWrap/>
            <w:vAlign w:val="bottom"/>
          </w:tcPr>
          <w:p w14:paraId="7A137DF7" w14:textId="77777777" w:rsidR="00085E73" w:rsidRPr="001E5994" w:rsidRDefault="00085E73" w:rsidP="003475E2">
            <w:pPr>
              <w:pStyle w:val="TableText"/>
              <w:rPr>
                <w:b/>
                <w:bCs/>
              </w:rPr>
            </w:pPr>
            <w:r w:rsidRPr="001E5994">
              <w:rPr>
                <w:b/>
                <w:bCs/>
              </w:rPr>
              <w:t>N/A</w:t>
            </w:r>
          </w:p>
        </w:tc>
        <w:tc>
          <w:tcPr>
            <w:tcW w:w="864" w:type="dxa"/>
            <w:tcBorders>
              <w:top w:val="single" w:sz="4" w:space="0" w:color="auto"/>
              <w:bottom w:val="single" w:sz="12" w:space="0" w:color="auto"/>
            </w:tcBorders>
            <w:noWrap/>
            <w:vAlign w:val="bottom"/>
          </w:tcPr>
          <w:p w14:paraId="58D4692F" w14:textId="77777777" w:rsidR="00085E73" w:rsidRPr="001E5994" w:rsidRDefault="00085E73" w:rsidP="003475E2">
            <w:pPr>
              <w:pStyle w:val="TableText"/>
              <w:rPr>
                <w:b/>
                <w:bCs/>
              </w:rPr>
            </w:pPr>
            <w:r w:rsidRPr="001E5994">
              <w:rPr>
                <w:b/>
                <w:bCs/>
              </w:rPr>
              <w:t>347</w:t>
            </w:r>
          </w:p>
        </w:tc>
        <w:tc>
          <w:tcPr>
            <w:tcW w:w="720" w:type="dxa"/>
            <w:tcBorders>
              <w:top w:val="single" w:sz="4" w:space="0" w:color="auto"/>
              <w:bottom w:val="single" w:sz="12" w:space="0" w:color="auto"/>
            </w:tcBorders>
            <w:noWrap/>
            <w:vAlign w:val="bottom"/>
          </w:tcPr>
          <w:p w14:paraId="67D42509" w14:textId="77777777" w:rsidR="00085E73" w:rsidRPr="001E5994" w:rsidRDefault="00085E73" w:rsidP="003475E2">
            <w:pPr>
              <w:pStyle w:val="TableText"/>
              <w:rPr>
                <w:b/>
                <w:bCs/>
              </w:rPr>
            </w:pPr>
            <w:r w:rsidRPr="001E5994">
              <w:rPr>
                <w:b/>
                <w:bCs/>
              </w:rPr>
              <w:t>N/A</w:t>
            </w:r>
          </w:p>
        </w:tc>
        <w:tc>
          <w:tcPr>
            <w:tcW w:w="864" w:type="dxa"/>
            <w:tcBorders>
              <w:top w:val="single" w:sz="4" w:space="0" w:color="auto"/>
              <w:bottom w:val="single" w:sz="12" w:space="0" w:color="auto"/>
            </w:tcBorders>
            <w:noWrap/>
            <w:vAlign w:val="bottom"/>
          </w:tcPr>
          <w:p w14:paraId="509DB8DD" w14:textId="77777777" w:rsidR="00085E73" w:rsidRPr="001E5994" w:rsidRDefault="00085E73" w:rsidP="003475E2">
            <w:pPr>
              <w:pStyle w:val="TableText"/>
              <w:rPr>
                <w:b/>
                <w:bCs/>
              </w:rPr>
            </w:pPr>
            <w:r w:rsidRPr="001E5994">
              <w:rPr>
                <w:b/>
                <w:bCs/>
              </w:rPr>
              <w:t>246</w:t>
            </w:r>
          </w:p>
        </w:tc>
        <w:tc>
          <w:tcPr>
            <w:tcW w:w="720" w:type="dxa"/>
            <w:tcBorders>
              <w:top w:val="single" w:sz="4" w:space="0" w:color="auto"/>
              <w:bottom w:val="single" w:sz="12" w:space="0" w:color="auto"/>
            </w:tcBorders>
            <w:noWrap/>
            <w:vAlign w:val="bottom"/>
          </w:tcPr>
          <w:p w14:paraId="4DC9D405" w14:textId="77777777" w:rsidR="00085E73" w:rsidRPr="001E5994" w:rsidRDefault="00085E73" w:rsidP="003475E2">
            <w:pPr>
              <w:pStyle w:val="TableText"/>
              <w:rPr>
                <w:b/>
                <w:bCs/>
              </w:rPr>
            </w:pPr>
            <w:r w:rsidRPr="001E5994">
              <w:rPr>
                <w:b/>
                <w:bCs/>
              </w:rPr>
              <w:t>N/A</w:t>
            </w:r>
          </w:p>
        </w:tc>
        <w:tc>
          <w:tcPr>
            <w:tcW w:w="864" w:type="dxa"/>
            <w:tcBorders>
              <w:top w:val="single" w:sz="4" w:space="0" w:color="auto"/>
              <w:bottom w:val="single" w:sz="12" w:space="0" w:color="auto"/>
            </w:tcBorders>
            <w:noWrap/>
            <w:vAlign w:val="bottom"/>
          </w:tcPr>
          <w:p w14:paraId="52D7A692" w14:textId="77777777" w:rsidR="00085E73" w:rsidRPr="001E5994" w:rsidRDefault="00085E73" w:rsidP="003475E2">
            <w:pPr>
              <w:pStyle w:val="TableText"/>
              <w:rPr>
                <w:b/>
                <w:bCs/>
              </w:rPr>
            </w:pPr>
            <w:r w:rsidRPr="001E5994">
              <w:rPr>
                <w:b/>
                <w:bCs/>
              </w:rPr>
              <w:t>729</w:t>
            </w:r>
          </w:p>
        </w:tc>
        <w:tc>
          <w:tcPr>
            <w:tcW w:w="720" w:type="dxa"/>
            <w:tcBorders>
              <w:top w:val="single" w:sz="4" w:space="0" w:color="auto"/>
              <w:bottom w:val="single" w:sz="12" w:space="0" w:color="auto"/>
            </w:tcBorders>
            <w:noWrap/>
            <w:vAlign w:val="bottom"/>
          </w:tcPr>
          <w:p w14:paraId="361E1850" w14:textId="77777777" w:rsidR="00085E73" w:rsidRPr="001E5994" w:rsidRDefault="00085E73" w:rsidP="003475E2">
            <w:pPr>
              <w:pStyle w:val="TableText"/>
              <w:rPr>
                <w:b/>
                <w:bCs/>
              </w:rPr>
            </w:pPr>
            <w:r w:rsidRPr="001E5994">
              <w:rPr>
                <w:b/>
                <w:bCs/>
              </w:rPr>
              <w:t>N/A</w:t>
            </w:r>
          </w:p>
        </w:tc>
      </w:tr>
    </w:tbl>
    <w:p w14:paraId="1039A2B5" w14:textId="77777777" w:rsidR="00BE5720" w:rsidRDefault="00BE5720" w:rsidP="00BE5720">
      <w:pPr>
        <w:sectPr w:rsidR="00BE5720" w:rsidSect="00BE5720">
          <w:headerReference w:type="default" r:id="rId25"/>
          <w:footerReference w:type="even" r:id="rId26"/>
          <w:footerReference w:type="default" r:id="rId27"/>
          <w:headerReference w:type="first" r:id="rId28"/>
          <w:footerReference w:type="first" r:id="rId29"/>
          <w:pgSz w:w="15840" w:h="12240" w:orient="landscape" w:code="1"/>
          <w:pgMar w:top="1152" w:right="1152" w:bottom="1152" w:left="1152" w:header="576" w:footer="360" w:gutter="0"/>
          <w:cols w:space="720"/>
          <w:titlePg/>
          <w:docGrid w:linePitch="360"/>
        </w:sectPr>
      </w:pPr>
    </w:p>
    <w:p w14:paraId="7351B33C" w14:textId="3B1A933C" w:rsidR="00E16AE1" w:rsidRPr="004B2D24" w:rsidRDefault="00063342" w:rsidP="00670FD2">
      <w:pPr>
        <w:pStyle w:val="Heading2"/>
      </w:pPr>
      <w:bookmarkStart w:id="216" w:name="_Embedded_PT_and_1"/>
      <w:bookmarkStart w:id="217" w:name="_Embedded_Performance_Task"/>
      <w:bookmarkStart w:id="218" w:name="_Toc182555130"/>
      <w:bookmarkEnd w:id="216"/>
      <w:bookmarkEnd w:id="217"/>
      <w:r w:rsidRPr="004B2D24">
        <w:lastRenderedPageBreak/>
        <w:t>Embedded P</w:t>
      </w:r>
      <w:r w:rsidR="00EF69B0">
        <w:t xml:space="preserve">erformance </w:t>
      </w:r>
      <w:r w:rsidRPr="004B2D24">
        <w:t>T</w:t>
      </w:r>
      <w:r w:rsidR="00EF69B0">
        <w:t>ask</w:t>
      </w:r>
      <w:r w:rsidR="00424AF4" w:rsidRPr="004B2D24">
        <w:t xml:space="preserve"> </w:t>
      </w:r>
      <w:r w:rsidR="3C872FAC" w:rsidRPr="004B2D24">
        <w:t xml:space="preserve">and Item </w:t>
      </w:r>
      <w:r w:rsidR="00424AF4" w:rsidRPr="004B2D24">
        <w:t>Development and Review</w:t>
      </w:r>
      <w:bookmarkEnd w:id="218"/>
    </w:p>
    <w:p w14:paraId="64AD897B" w14:textId="03EF18CB" w:rsidR="00685D48" w:rsidRPr="00C34C12" w:rsidRDefault="00685D48" w:rsidP="00685D48">
      <w:r w:rsidRPr="00C34C12">
        <w:t>This chapter provides an overview of the processes implemented by ETS to develop items for use on the California Alternate Assessment (CAA) for Science. These processes include those that are entirely internal to ETS and those that are conducted in coordination with the California Department of Education (CDE).</w:t>
      </w:r>
    </w:p>
    <w:p w14:paraId="203B550A" w14:textId="22E4DF1F" w:rsidR="00B35998" w:rsidRDefault="00063342" w:rsidP="007A71B3">
      <w:pPr>
        <w:pStyle w:val="Heading3"/>
      </w:pPr>
      <w:bookmarkStart w:id="219" w:name="_Toc66787365"/>
      <w:bookmarkStart w:id="220" w:name="_Toc66787824"/>
      <w:bookmarkStart w:id="221" w:name="_Toc67035416"/>
      <w:bookmarkStart w:id="222" w:name="_Toc67319280"/>
      <w:bookmarkStart w:id="223" w:name="_Toc67382392"/>
      <w:bookmarkStart w:id="224" w:name="_Toc67465950"/>
      <w:bookmarkStart w:id="225" w:name="_Toc68088933"/>
      <w:bookmarkStart w:id="226" w:name="_Toc68107782"/>
      <w:bookmarkStart w:id="227" w:name="_Toc182555131"/>
      <w:bookmarkEnd w:id="219"/>
      <w:bookmarkEnd w:id="220"/>
      <w:bookmarkEnd w:id="221"/>
      <w:bookmarkEnd w:id="222"/>
      <w:bookmarkEnd w:id="223"/>
      <w:bookmarkEnd w:id="224"/>
      <w:bookmarkEnd w:id="225"/>
      <w:bookmarkEnd w:id="226"/>
      <w:r w:rsidRPr="004B2D24">
        <w:t>Embedded P</w:t>
      </w:r>
      <w:r w:rsidR="00C66744">
        <w:t xml:space="preserve">erformance </w:t>
      </w:r>
      <w:r w:rsidRPr="004B2D24">
        <w:t>T</w:t>
      </w:r>
      <w:r w:rsidR="00C66744">
        <w:t>ask</w:t>
      </w:r>
      <w:r w:rsidR="00424AF4" w:rsidRPr="004B2D24">
        <w:t xml:space="preserve"> </w:t>
      </w:r>
      <w:r w:rsidR="004329FF" w:rsidRPr="004B2D24">
        <w:t xml:space="preserve">and Item </w:t>
      </w:r>
      <w:r w:rsidR="00424AF4" w:rsidRPr="004B2D24">
        <w:t>Development</w:t>
      </w:r>
      <w:bookmarkEnd w:id="227"/>
    </w:p>
    <w:p w14:paraId="455918EA" w14:textId="277A3FD4" w:rsidR="004C3A43" w:rsidRDefault="004C3A43" w:rsidP="00BC5076">
      <w:pPr>
        <w:pStyle w:val="Heading4"/>
      </w:pPr>
      <w:bookmarkStart w:id="228" w:name="_Toc182555132"/>
      <w:r>
        <w:t>Overview</w:t>
      </w:r>
      <w:bookmarkEnd w:id="228"/>
    </w:p>
    <w:p w14:paraId="717DE55A" w14:textId="1877C1F8" w:rsidR="00536C48" w:rsidRDefault="007B286F" w:rsidP="007A71B3">
      <w:pPr>
        <w:rPr>
          <w:rFonts w:eastAsia="TimesNewRomanMTStd"/>
        </w:rPr>
      </w:pPr>
      <w:r w:rsidRPr="00C34C12">
        <w:rPr>
          <w:rFonts w:eastAsia="TimesNewRomanMTStd"/>
        </w:rPr>
        <w:t xml:space="preserve">Each CAA for Science embedded performance task (PT) item is developed through a comprehensive cycle and designed to conform to ETS-defined principles of item writing. Each item in the CAA for Science item bank was developed to measure a specific California Next Generation Science Standard (CA NGSS) Core Content Connector (Science Connector). </w:t>
      </w:r>
      <w:r w:rsidRPr="00C34C12">
        <w:t>The Science Connectors are based on the performance expectations (PEs) from the CA NGSS and were designed to incorporate the science and engineering practices, disciplinary core ideas, and the crosscutting concepts that comprise the CA NGSS. The Science Connectors are further broken down into more discrete focal knowledge, skills, and abilities (FKSAs) and, at the simplest level, the essential understandings (EUs).</w:t>
      </w:r>
      <w:r w:rsidRPr="00C34C12">
        <w:rPr>
          <w:rFonts w:eastAsia="TimesNewRomanMTStd"/>
        </w:rPr>
        <w:t xml:space="preserve"> </w:t>
      </w:r>
    </w:p>
    <w:p w14:paraId="1318F047" w14:textId="0DC59F53" w:rsidR="007A71B3" w:rsidRPr="007A71B3" w:rsidRDefault="007B286F" w:rsidP="007A71B3">
      <w:r w:rsidRPr="00C34C12">
        <w:rPr>
          <w:rFonts w:eastAsia="TimesNewRomanMTStd"/>
        </w:rPr>
        <w:t>In addition, guidelines for style, fairness, and bias and sensitivity help item developers and reviewers ensure consistency across the item development process.</w:t>
      </w:r>
    </w:p>
    <w:p w14:paraId="1F3A3228" w14:textId="613854BC" w:rsidR="00424AF4" w:rsidRDefault="00424AF4" w:rsidP="007A71B3">
      <w:pPr>
        <w:pStyle w:val="Heading4"/>
      </w:pPr>
      <w:bookmarkStart w:id="229" w:name="_Specifications_for_the"/>
      <w:bookmarkStart w:id="230" w:name="_Toc182555133"/>
      <w:bookmarkEnd w:id="229"/>
      <w:r w:rsidRPr="004B2D24">
        <w:t>Specifications</w:t>
      </w:r>
      <w:r w:rsidR="00B9516D" w:rsidRPr="004B2D24">
        <w:t xml:space="preserve"> for the Embedded P</w:t>
      </w:r>
      <w:r w:rsidR="00F30019">
        <w:t xml:space="preserve">erformance </w:t>
      </w:r>
      <w:r w:rsidR="00B9516D" w:rsidRPr="004B2D24">
        <w:t>T</w:t>
      </w:r>
      <w:r w:rsidR="00F30019">
        <w:t>ask</w:t>
      </w:r>
      <w:r w:rsidR="00B9516D" w:rsidRPr="004B2D24">
        <w:t>s</w:t>
      </w:r>
      <w:r w:rsidR="004329FF" w:rsidRPr="004B2D24">
        <w:t xml:space="preserve"> and Items</w:t>
      </w:r>
      <w:bookmarkEnd w:id="230"/>
    </w:p>
    <w:p w14:paraId="08AFB459" w14:textId="77777777" w:rsidR="002544DD" w:rsidRPr="00C34C12" w:rsidRDefault="002544DD" w:rsidP="002544DD">
      <w:r w:rsidRPr="00C34C12">
        <w:t>The item specifications for prioritized Science Connectors describe the characteristics of the tasks developed to measure each Science Connector and provide detailed information to task writers who develop items for the CAA for Science. The specifications include the following:</w:t>
      </w:r>
    </w:p>
    <w:p w14:paraId="57A65EF9" w14:textId="77777777" w:rsidR="002544DD" w:rsidRPr="00C34C12" w:rsidRDefault="002544DD" w:rsidP="002544DD">
      <w:pPr>
        <w:pStyle w:val="bullets-one"/>
      </w:pPr>
      <w:r w:rsidRPr="00C34C12">
        <w:t>The full statement of the associated CA NGSS PE</w:t>
      </w:r>
    </w:p>
    <w:p w14:paraId="2496497B" w14:textId="77777777" w:rsidR="002544DD" w:rsidRPr="00C34C12" w:rsidRDefault="002544DD" w:rsidP="002544DD">
      <w:pPr>
        <w:pStyle w:val="bullets-one"/>
      </w:pPr>
      <w:r w:rsidRPr="00C34C12">
        <w:t>The full statement of the Science Connector</w:t>
      </w:r>
    </w:p>
    <w:p w14:paraId="348DB10D" w14:textId="77777777" w:rsidR="002544DD" w:rsidRPr="00C34C12" w:rsidRDefault="002544DD" w:rsidP="002544DD">
      <w:pPr>
        <w:pStyle w:val="bullets-one"/>
      </w:pPr>
      <w:r w:rsidRPr="00C34C12">
        <w:t>The full content of each assessed FKSA of the Science Connector</w:t>
      </w:r>
    </w:p>
    <w:p w14:paraId="3ACE107F" w14:textId="77777777" w:rsidR="002544DD" w:rsidRPr="00C34C12" w:rsidRDefault="002544DD" w:rsidP="002544DD">
      <w:pPr>
        <w:pStyle w:val="bullets-one"/>
      </w:pPr>
      <w:r w:rsidRPr="00C34C12">
        <w:t>The full content of each assessed EU of the Science Connector</w:t>
      </w:r>
    </w:p>
    <w:p w14:paraId="0E5BAAA3" w14:textId="77777777" w:rsidR="002544DD" w:rsidRPr="00C34C12" w:rsidRDefault="002544DD" w:rsidP="002544DD">
      <w:pPr>
        <w:pStyle w:val="bullets-one"/>
      </w:pPr>
      <w:r w:rsidRPr="00C34C12">
        <w:t>How mastery of the EUs and FKSA(s) is demonstrated</w:t>
      </w:r>
    </w:p>
    <w:p w14:paraId="30BF0376" w14:textId="670AC865" w:rsidR="002E56EB" w:rsidRPr="002E56EB" w:rsidRDefault="006D52F8" w:rsidP="002E56EB">
      <w:pPr>
        <w:pStyle w:val="Heading4"/>
      </w:pPr>
      <w:bookmarkStart w:id="231" w:name="_Toc182555134"/>
      <w:r w:rsidRPr="004B2D24">
        <w:t>Five</w:t>
      </w:r>
      <w:r w:rsidR="005037C1">
        <w:t>-</w:t>
      </w:r>
      <w:r w:rsidRPr="004B2D24">
        <w:t>Year Plan</w:t>
      </w:r>
      <w:bookmarkEnd w:id="231"/>
    </w:p>
    <w:p w14:paraId="6F5096F7" w14:textId="1FFB659B" w:rsidR="007A71B3" w:rsidRPr="007A71B3" w:rsidRDefault="0759B97D" w:rsidP="3A2EB724">
      <w:pPr>
        <w:ind w:left="0"/>
      </w:pPr>
      <w:r w:rsidRPr="2D85FA21">
        <w:rPr>
          <w:color w:val="000000" w:themeColor="text1"/>
        </w:rPr>
        <w:t>The CAA for Science blueprint</w:t>
      </w:r>
      <w:r w:rsidR="0090666A">
        <w:rPr>
          <w:color w:val="000000" w:themeColor="text1"/>
        </w:rPr>
        <w:t>s</w:t>
      </w:r>
      <w:r w:rsidRPr="2D85FA21">
        <w:rPr>
          <w:color w:val="000000" w:themeColor="text1"/>
        </w:rPr>
        <w:t xml:space="preserve"> require that all of the Science Connectors prioritized for ass</w:t>
      </w:r>
      <w:r w:rsidR="1B23E617" w:rsidRPr="2D85FA21">
        <w:rPr>
          <w:color w:val="000000" w:themeColor="text1"/>
        </w:rPr>
        <w:t>essment be assessed at least once during a five</w:t>
      </w:r>
      <w:r w:rsidR="6BA8C87B" w:rsidRPr="2D85FA21">
        <w:rPr>
          <w:color w:val="000000" w:themeColor="text1"/>
        </w:rPr>
        <w:t>-</w:t>
      </w:r>
      <w:r w:rsidR="1B23E617" w:rsidRPr="2D85FA21">
        <w:rPr>
          <w:color w:val="000000" w:themeColor="text1"/>
        </w:rPr>
        <w:t>year period</w:t>
      </w:r>
      <w:r w:rsidR="008C092A">
        <w:rPr>
          <w:color w:val="000000" w:themeColor="text1"/>
        </w:rPr>
        <w:t xml:space="preserve"> (CDE, 2018)</w:t>
      </w:r>
      <w:r w:rsidR="1B23E617" w:rsidRPr="2D85FA21">
        <w:rPr>
          <w:color w:val="000000" w:themeColor="text1"/>
        </w:rPr>
        <w:t>. T</w:t>
      </w:r>
      <w:r w:rsidR="6AB2F243" w:rsidRPr="2D85FA21">
        <w:rPr>
          <w:color w:val="000000" w:themeColor="text1"/>
        </w:rPr>
        <w:t xml:space="preserve">o support the planning for this rotation, ETS and </w:t>
      </w:r>
      <w:r w:rsidR="006B462B">
        <w:rPr>
          <w:color w:val="000000" w:themeColor="text1"/>
        </w:rPr>
        <w:t xml:space="preserve">the </w:t>
      </w:r>
      <w:r w:rsidR="6AB2F243" w:rsidRPr="2D85FA21">
        <w:rPr>
          <w:color w:val="000000" w:themeColor="text1"/>
        </w:rPr>
        <w:t>CDE collaborated to create a five-year</w:t>
      </w:r>
      <w:r w:rsidR="00207FDE">
        <w:rPr>
          <w:color w:val="000000" w:themeColor="text1"/>
        </w:rPr>
        <w:t xml:space="preserve"> </w:t>
      </w:r>
      <w:r w:rsidR="6AB2F243" w:rsidRPr="2D85FA21">
        <w:rPr>
          <w:color w:val="000000" w:themeColor="text1"/>
        </w:rPr>
        <w:t>plan</w:t>
      </w:r>
      <w:r w:rsidR="22D367D1" w:rsidRPr="2D85FA21">
        <w:rPr>
          <w:color w:val="000000" w:themeColor="text1"/>
        </w:rPr>
        <w:t xml:space="preserve">. This </w:t>
      </w:r>
      <w:r w:rsidR="00207FDE">
        <w:rPr>
          <w:color w:val="000000" w:themeColor="text1"/>
        </w:rPr>
        <w:t>plan</w:t>
      </w:r>
      <w:r w:rsidR="22D367D1" w:rsidRPr="2D85FA21">
        <w:rPr>
          <w:color w:val="000000" w:themeColor="text1"/>
        </w:rPr>
        <w:t xml:space="preserve"> contains a ru</w:t>
      </w:r>
      <w:r w:rsidR="315387E5" w:rsidRPr="2D85FA21">
        <w:rPr>
          <w:color w:val="000000" w:themeColor="text1"/>
        </w:rPr>
        <w:t>nning record of the Science Connectors that have been assessed as well as a projection of the Science Connectors proposed for assessments in the coming years</w:t>
      </w:r>
      <w:r w:rsidR="2257C303" w:rsidRPr="2D85FA21">
        <w:rPr>
          <w:color w:val="000000" w:themeColor="text1"/>
        </w:rPr>
        <w:t xml:space="preserve">. </w:t>
      </w:r>
      <w:r w:rsidR="3D9FFDB3" w:rsidRPr="2D85FA21">
        <w:rPr>
          <w:color w:val="000000" w:themeColor="text1"/>
        </w:rPr>
        <w:t>Th</w:t>
      </w:r>
      <w:r w:rsidR="00E32DF9">
        <w:rPr>
          <w:color w:val="000000" w:themeColor="text1"/>
        </w:rPr>
        <w:t>e</w:t>
      </w:r>
      <w:r w:rsidR="3D9FFDB3" w:rsidRPr="2D85FA21">
        <w:rPr>
          <w:color w:val="000000" w:themeColor="text1"/>
        </w:rPr>
        <w:t xml:space="preserve"> </w:t>
      </w:r>
      <w:r w:rsidR="00E32DF9">
        <w:rPr>
          <w:color w:val="000000" w:themeColor="text1"/>
        </w:rPr>
        <w:t>plan</w:t>
      </w:r>
      <w:r w:rsidR="3D9FFDB3" w:rsidRPr="2D85FA21">
        <w:rPr>
          <w:color w:val="000000" w:themeColor="text1"/>
        </w:rPr>
        <w:t xml:space="preserve"> is reviewed and updated annually and </w:t>
      </w:r>
      <w:r w:rsidR="00E32DF9">
        <w:rPr>
          <w:color w:val="000000" w:themeColor="text1"/>
        </w:rPr>
        <w:t xml:space="preserve">is </w:t>
      </w:r>
      <w:r w:rsidR="3D9FFDB3" w:rsidRPr="2D85FA21">
        <w:rPr>
          <w:color w:val="000000" w:themeColor="text1"/>
        </w:rPr>
        <w:t>consulted during the planning for item development and forms construction.</w:t>
      </w:r>
    </w:p>
    <w:p w14:paraId="16A2F3FD" w14:textId="53FB2CB7" w:rsidR="00424AF4" w:rsidRDefault="00063342" w:rsidP="007A71B3">
      <w:pPr>
        <w:pStyle w:val="Heading4"/>
      </w:pPr>
      <w:bookmarkStart w:id="232" w:name="_Embedded_PT_and"/>
      <w:bookmarkStart w:id="233" w:name="_Toc182555135"/>
      <w:bookmarkEnd w:id="232"/>
      <w:r>
        <w:lastRenderedPageBreak/>
        <w:t>Embedded P</w:t>
      </w:r>
      <w:r w:rsidR="00AF19CA">
        <w:t xml:space="preserve">erformance </w:t>
      </w:r>
      <w:r>
        <w:t>T</w:t>
      </w:r>
      <w:r w:rsidR="00AF19CA">
        <w:t>ask</w:t>
      </w:r>
      <w:r w:rsidR="00424AF4">
        <w:t xml:space="preserve"> </w:t>
      </w:r>
      <w:r w:rsidR="004329FF">
        <w:t xml:space="preserve">and Item </w:t>
      </w:r>
      <w:r w:rsidR="00424AF4">
        <w:t>Format</w:t>
      </w:r>
      <w:bookmarkEnd w:id="233"/>
    </w:p>
    <w:p w14:paraId="179C0A07" w14:textId="050C1E34" w:rsidR="00A2493B" w:rsidRPr="00C34C12" w:rsidRDefault="00A2493B" w:rsidP="00A2493B">
      <w:pPr>
        <w:keepLines/>
      </w:pPr>
      <w:r w:rsidRPr="00C34C12">
        <w:t xml:space="preserve">Embedded PTs for the CAA for Science were designed to be engaging to the target population. Embedded PTs were developed with the understanding that a test examiner would deliver each task individually to each eligible student and assist the student in responding as appropriate during each portion of the embedded PT. Instructions and guidance for each embedded PT are contained within the embedded PT </w:t>
      </w:r>
      <w:r w:rsidR="00B24ECD" w:rsidRPr="00C34C12">
        <w:rPr>
          <w:i/>
        </w:rPr>
        <w:t>Directions for Administration (DFAs)</w:t>
      </w:r>
      <w:r w:rsidRPr="00C34C12">
        <w:t>.</w:t>
      </w:r>
    </w:p>
    <w:p w14:paraId="58396337" w14:textId="3CEF5E73" w:rsidR="00A2493B" w:rsidRPr="00C34C12" w:rsidRDefault="00A2493B" w:rsidP="00A2493B">
      <w:r w:rsidRPr="00C34C12">
        <w:t xml:space="preserve">Each embedded PT </w:t>
      </w:r>
      <w:r w:rsidRPr="00C34C12">
        <w:rPr>
          <w:i/>
        </w:rPr>
        <w:t>DFA</w:t>
      </w:r>
      <w:r w:rsidRPr="00C34C12">
        <w:t xml:space="preserve"> began with background information and instructions for the test examiner. These instructions included</w:t>
      </w:r>
    </w:p>
    <w:p w14:paraId="2CA0296C" w14:textId="77777777" w:rsidR="00A2493B" w:rsidRPr="00C34C12" w:rsidRDefault="00A2493B" w:rsidP="00B33B75">
      <w:pPr>
        <w:pStyle w:val="bullets"/>
        <w:numPr>
          <w:ilvl w:val="0"/>
          <w:numId w:val="69"/>
        </w:numPr>
        <w:tabs>
          <w:tab w:val="clear" w:pos="727"/>
        </w:tabs>
        <w:ind w:left="864" w:hanging="288"/>
      </w:pPr>
      <w:r w:rsidRPr="00C34C12">
        <w:t>student engagement, student response, and survey;</w:t>
      </w:r>
    </w:p>
    <w:p w14:paraId="1761D20E" w14:textId="77777777" w:rsidR="00A2493B" w:rsidRPr="00C34C12" w:rsidRDefault="00A2493B" w:rsidP="00B33B75">
      <w:pPr>
        <w:pStyle w:val="bullets"/>
        <w:numPr>
          <w:ilvl w:val="0"/>
          <w:numId w:val="69"/>
        </w:numPr>
        <w:tabs>
          <w:tab w:val="clear" w:pos="727"/>
        </w:tabs>
        <w:ind w:left="864" w:hanging="288"/>
      </w:pPr>
      <w:r w:rsidRPr="00C34C12">
        <w:t>the concept of individualization;</w:t>
      </w:r>
    </w:p>
    <w:p w14:paraId="1EC410F2" w14:textId="7199C1E1" w:rsidR="00A2493B" w:rsidRPr="00C34C12" w:rsidRDefault="00BB5D79" w:rsidP="00B33B75">
      <w:pPr>
        <w:pStyle w:val="bullets"/>
        <w:numPr>
          <w:ilvl w:val="0"/>
          <w:numId w:val="69"/>
        </w:numPr>
        <w:tabs>
          <w:tab w:val="clear" w:pos="727"/>
        </w:tabs>
        <w:ind w:left="864" w:hanging="288"/>
      </w:pPr>
      <w:r>
        <w:t xml:space="preserve">the </w:t>
      </w:r>
      <w:r w:rsidR="00A2493B" w:rsidRPr="00C34C12">
        <w:t xml:space="preserve">Student Response Decision Matrix (refer to subsection </w:t>
      </w:r>
      <w:hyperlink w:anchor="_Administration_of_Orienting" w:history="1">
        <w:r w:rsidR="00A2493B" w:rsidRPr="00BB5D79">
          <w:rPr>
            <w:rStyle w:val="Hyperlink"/>
            <w:i/>
            <w:iCs/>
          </w:rPr>
          <w:t xml:space="preserve">5.3.1 Administration of </w:t>
        </w:r>
        <w:r w:rsidR="0096252F" w:rsidRPr="00BB5D79">
          <w:rPr>
            <w:rStyle w:val="Hyperlink"/>
            <w:i/>
            <w:iCs/>
          </w:rPr>
          <w:t>Orienting Activit</w:t>
        </w:r>
        <w:r>
          <w:rPr>
            <w:rStyle w:val="Hyperlink"/>
            <w:i/>
            <w:iCs/>
          </w:rPr>
          <w:t>ies</w:t>
        </w:r>
      </w:hyperlink>
      <w:r w:rsidR="00A2493B" w:rsidRPr="00C34C12">
        <w:t>)</w:t>
      </w:r>
      <w:r w:rsidR="00F47D74">
        <w:t>;</w:t>
      </w:r>
    </w:p>
    <w:p w14:paraId="62CACDAF" w14:textId="77777777" w:rsidR="00A2493B" w:rsidRPr="00C34C12" w:rsidRDefault="00A2493B" w:rsidP="00B33B75">
      <w:pPr>
        <w:pStyle w:val="bullets"/>
        <w:numPr>
          <w:ilvl w:val="0"/>
          <w:numId w:val="69"/>
        </w:numPr>
        <w:tabs>
          <w:tab w:val="clear" w:pos="727"/>
        </w:tabs>
        <w:ind w:left="864" w:hanging="288"/>
      </w:pPr>
      <w:r w:rsidRPr="00C34C12">
        <w:t>orienting activities and graphics for the orienting activities, if needed;</w:t>
      </w:r>
    </w:p>
    <w:p w14:paraId="19418E24" w14:textId="46072609" w:rsidR="00A2493B" w:rsidRPr="00C34C12" w:rsidRDefault="00A2493B" w:rsidP="00B33B75">
      <w:pPr>
        <w:pStyle w:val="bullets"/>
        <w:numPr>
          <w:ilvl w:val="0"/>
          <w:numId w:val="69"/>
        </w:numPr>
        <w:tabs>
          <w:tab w:val="clear" w:pos="727"/>
        </w:tabs>
        <w:ind w:left="864" w:hanging="288"/>
      </w:pPr>
      <w:r w:rsidRPr="00C34C12">
        <w:t>the associated script for the online test questions</w:t>
      </w:r>
      <w:r w:rsidR="009C1A37">
        <w:t>;</w:t>
      </w:r>
      <w:r w:rsidRPr="00C34C12">
        <w:t xml:space="preserve"> and</w:t>
      </w:r>
    </w:p>
    <w:p w14:paraId="02F6AD36" w14:textId="77777777" w:rsidR="00A2493B" w:rsidRPr="00C34C12" w:rsidRDefault="00A2493B" w:rsidP="00B33B75">
      <w:pPr>
        <w:pStyle w:val="bullets"/>
        <w:numPr>
          <w:ilvl w:val="0"/>
          <w:numId w:val="69"/>
        </w:numPr>
        <w:tabs>
          <w:tab w:val="clear" w:pos="727"/>
        </w:tabs>
        <w:ind w:left="864" w:hanging="288"/>
      </w:pPr>
      <w:r w:rsidRPr="00C34C12">
        <w:t>a complete list of materials needed for the administration of this</w:t>
      </w:r>
      <w:r w:rsidRPr="00C34C12">
        <w:rPr>
          <w:rFonts w:eastAsia="Calibri"/>
        </w:rPr>
        <w:t xml:space="preserve"> embedded</w:t>
      </w:r>
      <w:r w:rsidRPr="00C34C12">
        <w:t xml:space="preserve"> PT and suggestions for individualization, if needed.</w:t>
      </w:r>
    </w:p>
    <w:p w14:paraId="4C5F9196" w14:textId="77777777" w:rsidR="00A2493B" w:rsidRPr="00C34C12" w:rsidRDefault="00A2493B" w:rsidP="00A2493B">
      <w:r w:rsidRPr="00C34C12">
        <w:t>The CAA for Science included the following item formats:</w:t>
      </w:r>
    </w:p>
    <w:p w14:paraId="0960FE57" w14:textId="0466B2A9" w:rsidR="00A2493B" w:rsidRPr="00C34C12" w:rsidRDefault="00A2493B" w:rsidP="00B33B75">
      <w:pPr>
        <w:pStyle w:val="bullets"/>
        <w:numPr>
          <w:ilvl w:val="0"/>
          <w:numId w:val="69"/>
        </w:numPr>
        <w:tabs>
          <w:tab w:val="clear" w:pos="727"/>
        </w:tabs>
        <w:ind w:left="864" w:hanging="288"/>
      </w:pPr>
      <w:r w:rsidRPr="00C34C12">
        <w:rPr>
          <w:b/>
          <w:bCs/>
        </w:rPr>
        <w:t xml:space="preserve">Selected </w:t>
      </w:r>
      <w:r w:rsidR="009C1A37">
        <w:rPr>
          <w:b/>
          <w:bCs/>
        </w:rPr>
        <w:t>r</w:t>
      </w:r>
      <w:r w:rsidRPr="00C34C12">
        <w:rPr>
          <w:b/>
          <w:bCs/>
        </w:rPr>
        <w:t>esponse</w:t>
      </w:r>
      <w:r w:rsidR="00DC6453">
        <w:rPr>
          <w:b/>
          <w:bCs/>
        </w:rPr>
        <w:t xml:space="preserve"> (SR)</w:t>
      </w:r>
      <w:r w:rsidRPr="00C34C12">
        <w:rPr>
          <w:b/>
          <w:bCs/>
        </w:rPr>
        <w:t>—</w:t>
      </w:r>
      <w:r w:rsidR="000B3015">
        <w:t>A s</w:t>
      </w:r>
      <w:r w:rsidRPr="00C34C12">
        <w:t xml:space="preserve">tudent </w:t>
      </w:r>
      <w:r w:rsidR="002D4838">
        <w:t>was</w:t>
      </w:r>
      <w:r w:rsidRPr="00C34C12">
        <w:t xml:space="preserve"> instructed to select one or more choices. Most CAA for Science items had two or three options; a few items ha</w:t>
      </w:r>
      <w:r w:rsidR="002D4838">
        <w:t>d</w:t>
      </w:r>
      <w:r w:rsidRPr="00C34C12">
        <w:t xml:space="preserve"> four options.</w:t>
      </w:r>
    </w:p>
    <w:p w14:paraId="690A07B9" w14:textId="7F4B4982" w:rsidR="00A2493B" w:rsidRPr="00C34C12" w:rsidRDefault="00A2493B" w:rsidP="00B33B75">
      <w:pPr>
        <w:pStyle w:val="bullets"/>
        <w:numPr>
          <w:ilvl w:val="0"/>
          <w:numId w:val="69"/>
        </w:numPr>
        <w:tabs>
          <w:tab w:val="clear" w:pos="727"/>
        </w:tabs>
        <w:ind w:left="864" w:hanging="288"/>
      </w:pPr>
      <w:r w:rsidRPr="00C34C12">
        <w:rPr>
          <w:b/>
          <w:bCs/>
        </w:rPr>
        <w:t>Match—</w:t>
      </w:r>
      <w:r w:rsidR="002D4838">
        <w:t>A s</w:t>
      </w:r>
      <w:r w:rsidRPr="00C34C12">
        <w:t xml:space="preserve">tudent </w:t>
      </w:r>
      <w:r w:rsidR="002D4838">
        <w:t>was</w:t>
      </w:r>
      <w:r w:rsidR="002D4838" w:rsidRPr="00C34C12">
        <w:t xml:space="preserve"> </w:t>
      </w:r>
      <w:r w:rsidRPr="00C34C12">
        <w:t>instructed to place a picture on a specified part of a diagram or chart.</w:t>
      </w:r>
    </w:p>
    <w:p w14:paraId="40D74648" w14:textId="314076BF" w:rsidR="00A2493B" w:rsidRPr="00C34C12" w:rsidRDefault="00A2493B" w:rsidP="00B33B75">
      <w:pPr>
        <w:pStyle w:val="bullets"/>
        <w:numPr>
          <w:ilvl w:val="0"/>
          <w:numId w:val="69"/>
        </w:numPr>
        <w:tabs>
          <w:tab w:val="clear" w:pos="727"/>
        </w:tabs>
        <w:ind w:left="864" w:hanging="288"/>
        <w:rPr>
          <w:rFonts w:asciiTheme="minorHAnsi" w:eastAsiaTheme="minorEastAsia" w:hAnsiTheme="minorHAnsi" w:cstheme="minorBidi"/>
          <w:b/>
          <w:bCs/>
        </w:rPr>
      </w:pPr>
      <w:r w:rsidRPr="00C34C12">
        <w:rPr>
          <w:b/>
          <w:bCs/>
        </w:rPr>
        <w:t>Grid—</w:t>
      </w:r>
      <w:r w:rsidR="002D4838">
        <w:t>A s</w:t>
      </w:r>
      <w:r w:rsidRPr="00C34C12">
        <w:t xml:space="preserve">tudent </w:t>
      </w:r>
      <w:r w:rsidR="002D4838">
        <w:t>was</w:t>
      </w:r>
      <w:r w:rsidR="002D4838" w:rsidRPr="00C34C12">
        <w:t xml:space="preserve"> </w:t>
      </w:r>
      <w:r w:rsidRPr="00C34C12">
        <w:t>instructed to place a check</w:t>
      </w:r>
      <w:r w:rsidR="00D34046">
        <w:t xml:space="preserve"> </w:t>
      </w:r>
      <w:r w:rsidRPr="00C34C12">
        <w:t>mark in a specified section in a table of responses.</w:t>
      </w:r>
    </w:p>
    <w:p w14:paraId="1DB01E96" w14:textId="696A90B2" w:rsidR="00A2493B" w:rsidRPr="00C34C12" w:rsidRDefault="00A2493B" w:rsidP="00A2493B">
      <w:r w:rsidRPr="00C34C12">
        <w:rPr>
          <w:rFonts w:eastAsia="Calibri"/>
        </w:rPr>
        <w:t xml:space="preserve">All </w:t>
      </w:r>
      <w:r w:rsidR="00DC6453">
        <w:rPr>
          <w:rFonts w:eastAsia="Calibri"/>
        </w:rPr>
        <w:t>SR</w:t>
      </w:r>
      <w:r w:rsidR="00BA3133">
        <w:rPr>
          <w:rFonts w:eastAsia="Calibri"/>
        </w:rPr>
        <w:t>,</w:t>
      </w:r>
      <w:r w:rsidRPr="00C34C12">
        <w:rPr>
          <w:rFonts w:eastAsia="Calibri"/>
        </w:rPr>
        <w:t xml:space="preserve"> match</w:t>
      </w:r>
      <w:r w:rsidR="00D10384">
        <w:rPr>
          <w:rFonts w:eastAsia="Calibri"/>
        </w:rPr>
        <w:t>, and grid</w:t>
      </w:r>
      <w:r w:rsidRPr="00C34C12">
        <w:rPr>
          <w:rFonts w:eastAsia="Calibri"/>
        </w:rPr>
        <w:t xml:space="preserve"> items were scored by the test </w:t>
      </w:r>
      <w:r w:rsidRPr="00C34C12">
        <w:t>delivery system.</w:t>
      </w:r>
    </w:p>
    <w:p w14:paraId="06AFB746" w14:textId="6E63D1AF" w:rsidR="00BA29C4" w:rsidRPr="0062337F" w:rsidRDefault="00A2493B" w:rsidP="00907F51">
      <w:pPr>
        <w:keepNext/>
        <w:keepLines/>
        <w:pageBreakBefore/>
        <w:rPr>
          <w:rFonts w:eastAsia="Calibri" w:cs="Times New Roman"/>
        </w:rPr>
      </w:pPr>
      <w:r w:rsidRPr="00C34C12">
        <w:rPr>
          <w:rFonts w:eastAsia="Calibri"/>
        </w:rPr>
        <w:lastRenderedPageBreak/>
        <w:t xml:space="preserve">The number of items and points for each embedded PT is provided in </w:t>
      </w:r>
      <w:r w:rsidRPr="00C34C12">
        <w:rPr>
          <w:rStyle w:val="Cross-Reference"/>
        </w:rPr>
        <w:fldChar w:fldCharType="begin"/>
      </w:r>
      <w:r w:rsidRPr="00C34C12">
        <w:rPr>
          <w:rStyle w:val="Cross-Reference"/>
        </w:rPr>
        <w:instrText xml:space="preserve"> REF  _Ref22140467 \* Lower \h  \* MERGEFORMAT </w:instrText>
      </w:r>
      <w:r w:rsidRPr="00C34C12">
        <w:rPr>
          <w:rStyle w:val="Cross-Reference"/>
        </w:rPr>
      </w:r>
      <w:r w:rsidRPr="00C34C12">
        <w:rPr>
          <w:rStyle w:val="Cross-Reference"/>
        </w:rPr>
        <w:fldChar w:fldCharType="separate"/>
      </w:r>
      <w:r w:rsidR="00907F51" w:rsidRPr="00907F51">
        <w:rPr>
          <w:rStyle w:val="Cross-Reference"/>
        </w:rPr>
        <w:t>table 3.1</w:t>
      </w:r>
      <w:r w:rsidRPr="00C34C12">
        <w:rPr>
          <w:rStyle w:val="Cross-Reference"/>
        </w:rPr>
        <w:fldChar w:fldCharType="end"/>
      </w:r>
      <w:r w:rsidRPr="00C34C12">
        <w:rPr>
          <w:rFonts w:eastAsia="Calibri" w:cs="Times New Roman"/>
        </w:rPr>
        <w:t>.</w:t>
      </w:r>
      <w:r w:rsidR="00BA29C4">
        <w:rPr>
          <w:rFonts w:eastAsia="Calibri" w:cs="Times New Roman"/>
        </w:rPr>
        <w:t xml:space="preserve"> Note that </w:t>
      </w:r>
      <w:r w:rsidR="00BA29C4">
        <w:t>t</w:t>
      </w:r>
      <w:r w:rsidR="00BA29C4" w:rsidRPr="004B2D24">
        <w:t>he field test</w:t>
      </w:r>
      <w:r w:rsidR="00BA29C4">
        <w:t xml:space="preserve"> embedded</w:t>
      </w:r>
      <w:r w:rsidR="00BA29C4" w:rsidRPr="004B2D24">
        <w:t xml:space="preserve"> PT does not count towards a student’s total raw score, the total number of operational items, or the maximum number of points.</w:t>
      </w:r>
    </w:p>
    <w:p w14:paraId="7CF478C8" w14:textId="0219E0E3" w:rsidR="00050FF2" w:rsidRPr="004B2D24" w:rsidRDefault="00050FF2" w:rsidP="007F218B">
      <w:pPr>
        <w:pStyle w:val="Caption"/>
      </w:pPr>
      <w:bookmarkStart w:id="234" w:name="_Ref22140467"/>
      <w:bookmarkStart w:id="235" w:name="_Toc30414265"/>
      <w:bookmarkStart w:id="236" w:name="_Toc38901372"/>
      <w:bookmarkStart w:id="237" w:name="_Toc67319689"/>
      <w:bookmarkStart w:id="238" w:name="_Toc220498693"/>
      <w:r w:rsidRPr="004B2D24">
        <w:t xml:space="preserve">Table </w:t>
      </w:r>
      <w:r>
        <w:fldChar w:fldCharType="begin"/>
      </w:r>
      <w:r>
        <w:instrText>STYLEREF 2 \s</w:instrText>
      </w:r>
      <w:r>
        <w:fldChar w:fldCharType="separate"/>
      </w:r>
      <w:r w:rsidR="00961502">
        <w:rPr>
          <w:noProof/>
        </w:rPr>
        <w:t>3</w:t>
      </w:r>
      <w:r>
        <w:fldChar w:fldCharType="end"/>
      </w:r>
      <w:r w:rsidR="00A40753">
        <w:t>.</w:t>
      </w:r>
      <w:r>
        <w:fldChar w:fldCharType="begin"/>
      </w:r>
      <w:r>
        <w:instrText>SEQ Table \* ARABIC \s 2</w:instrText>
      </w:r>
      <w:r>
        <w:fldChar w:fldCharType="separate"/>
      </w:r>
      <w:r w:rsidR="00961502">
        <w:rPr>
          <w:noProof/>
        </w:rPr>
        <w:t>1</w:t>
      </w:r>
      <w:r>
        <w:fldChar w:fldCharType="end"/>
      </w:r>
      <w:bookmarkEnd w:id="234"/>
      <w:r w:rsidRPr="004B2D24">
        <w:t xml:space="preserve">  Number of Items and Points for Each</w:t>
      </w:r>
      <w:r w:rsidRPr="004B2D24">
        <w:rPr>
          <w:rFonts w:eastAsia="Calibri"/>
        </w:rPr>
        <w:t xml:space="preserve"> Embedded</w:t>
      </w:r>
      <w:r w:rsidRPr="004B2D24">
        <w:t xml:space="preserve"> PT</w:t>
      </w:r>
      <w:bookmarkEnd w:id="235"/>
      <w:bookmarkEnd w:id="236"/>
      <w:bookmarkEnd w:id="237"/>
      <w:bookmarkEnd w:id="238"/>
    </w:p>
    <w:tbl>
      <w:tblPr>
        <w:tblStyle w:val="TRs"/>
        <w:tblW w:w="9997" w:type="dxa"/>
        <w:tblLayout w:type="fixed"/>
        <w:tblLook w:val="04A0" w:firstRow="1" w:lastRow="0" w:firstColumn="1" w:lastColumn="0" w:noHBand="0" w:noVBand="1"/>
        <w:tblDescription w:val="Number of Items and Points for Each Embedded PT"/>
      </w:tblPr>
      <w:tblGrid>
        <w:gridCol w:w="2016"/>
        <w:gridCol w:w="799"/>
        <w:gridCol w:w="798"/>
        <w:gridCol w:w="798"/>
        <w:gridCol w:w="798"/>
        <w:gridCol w:w="798"/>
        <w:gridCol w:w="798"/>
        <w:gridCol w:w="798"/>
        <w:gridCol w:w="798"/>
        <w:gridCol w:w="798"/>
        <w:gridCol w:w="798"/>
      </w:tblGrid>
      <w:tr w:rsidR="008C24F5" w:rsidRPr="004B2D24" w14:paraId="2BB06658" w14:textId="77777777" w:rsidTr="000E48BE">
        <w:trPr>
          <w:cnfStyle w:val="100000000000" w:firstRow="1" w:lastRow="0" w:firstColumn="0" w:lastColumn="0" w:oddVBand="0" w:evenVBand="0" w:oddHBand="0" w:evenHBand="0" w:firstRowFirstColumn="0" w:firstRowLastColumn="0" w:lastRowFirstColumn="0" w:lastRowLastColumn="0"/>
          <w:trHeight w:val="2448"/>
        </w:trPr>
        <w:tc>
          <w:tcPr>
            <w:tcW w:w="2016" w:type="dxa"/>
            <w:noWrap/>
            <w:hideMark/>
          </w:tcPr>
          <w:p w14:paraId="49CA8060" w14:textId="7C7CD2E0" w:rsidR="00050FF2" w:rsidRPr="004B2D24" w:rsidRDefault="000E48BE" w:rsidP="004261C8">
            <w:pPr>
              <w:pStyle w:val="TableHead"/>
              <w:rPr>
                <w:b w:val="0"/>
                <w:noProof w:val="0"/>
              </w:rPr>
            </w:pPr>
            <w:r>
              <w:rPr>
                <w:noProof w:val="0"/>
              </w:rPr>
              <w:t>Grade Level or Grade Band</w:t>
            </w:r>
          </w:p>
        </w:tc>
        <w:tc>
          <w:tcPr>
            <w:tcW w:w="799" w:type="dxa"/>
            <w:textDirection w:val="btLr"/>
          </w:tcPr>
          <w:p w14:paraId="78ABB61E" w14:textId="77777777" w:rsidR="00050FF2" w:rsidRPr="004B2D24" w:rsidRDefault="00050FF2" w:rsidP="004261C8">
            <w:pPr>
              <w:pStyle w:val="TableHead"/>
              <w:ind w:left="72" w:right="72"/>
              <w:jc w:val="left"/>
              <w:rPr>
                <w:b w:val="0"/>
                <w:noProof w:val="0"/>
              </w:rPr>
            </w:pPr>
            <w:r w:rsidRPr="004B2D24">
              <w:rPr>
                <w:noProof w:val="0"/>
              </w:rPr>
              <w:t>Number of Items—PT 1</w:t>
            </w:r>
          </w:p>
        </w:tc>
        <w:tc>
          <w:tcPr>
            <w:tcW w:w="798" w:type="dxa"/>
            <w:noWrap/>
            <w:textDirection w:val="btLr"/>
          </w:tcPr>
          <w:p w14:paraId="6E769588" w14:textId="77777777" w:rsidR="00050FF2" w:rsidRPr="004B2D24" w:rsidRDefault="00050FF2" w:rsidP="004261C8">
            <w:pPr>
              <w:pStyle w:val="TableHead"/>
              <w:ind w:left="72" w:right="72"/>
              <w:jc w:val="left"/>
              <w:rPr>
                <w:b w:val="0"/>
                <w:noProof w:val="0"/>
              </w:rPr>
            </w:pPr>
            <w:r w:rsidRPr="004B2D24">
              <w:rPr>
                <w:noProof w:val="0"/>
              </w:rPr>
              <w:t>Number of Points—PT 1</w:t>
            </w:r>
          </w:p>
        </w:tc>
        <w:tc>
          <w:tcPr>
            <w:tcW w:w="798" w:type="dxa"/>
            <w:textDirection w:val="btLr"/>
          </w:tcPr>
          <w:p w14:paraId="56536D54" w14:textId="77777777" w:rsidR="00050FF2" w:rsidRPr="004B2D24" w:rsidRDefault="00050FF2" w:rsidP="004261C8">
            <w:pPr>
              <w:pStyle w:val="TableHead"/>
              <w:ind w:left="72" w:right="72"/>
              <w:jc w:val="left"/>
              <w:rPr>
                <w:b w:val="0"/>
                <w:noProof w:val="0"/>
              </w:rPr>
            </w:pPr>
            <w:r w:rsidRPr="004B2D24">
              <w:rPr>
                <w:noProof w:val="0"/>
              </w:rPr>
              <w:t>Number of Items—PT 2</w:t>
            </w:r>
          </w:p>
        </w:tc>
        <w:tc>
          <w:tcPr>
            <w:tcW w:w="798" w:type="dxa"/>
            <w:noWrap/>
            <w:textDirection w:val="btLr"/>
          </w:tcPr>
          <w:p w14:paraId="59961125" w14:textId="77777777" w:rsidR="00050FF2" w:rsidRPr="004B2D24" w:rsidRDefault="00050FF2" w:rsidP="004261C8">
            <w:pPr>
              <w:pStyle w:val="TableHead"/>
              <w:ind w:left="72" w:right="72"/>
              <w:jc w:val="left"/>
              <w:rPr>
                <w:b w:val="0"/>
                <w:noProof w:val="0"/>
              </w:rPr>
            </w:pPr>
            <w:r w:rsidRPr="004B2D24">
              <w:rPr>
                <w:noProof w:val="0"/>
              </w:rPr>
              <w:t>Number of Points—PT 2</w:t>
            </w:r>
          </w:p>
        </w:tc>
        <w:tc>
          <w:tcPr>
            <w:tcW w:w="798" w:type="dxa"/>
            <w:textDirection w:val="btLr"/>
          </w:tcPr>
          <w:p w14:paraId="6D1CAC47" w14:textId="77777777" w:rsidR="00050FF2" w:rsidRPr="004B2D24" w:rsidRDefault="00050FF2" w:rsidP="004261C8">
            <w:pPr>
              <w:pStyle w:val="TableHead"/>
              <w:ind w:left="72" w:right="72"/>
              <w:jc w:val="left"/>
              <w:rPr>
                <w:b w:val="0"/>
                <w:noProof w:val="0"/>
              </w:rPr>
            </w:pPr>
            <w:r w:rsidRPr="004B2D24">
              <w:rPr>
                <w:noProof w:val="0"/>
              </w:rPr>
              <w:t>Number of Items—PT 3</w:t>
            </w:r>
          </w:p>
        </w:tc>
        <w:tc>
          <w:tcPr>
            <w:tcW w:w="798" w:type="dxa"/>
            <w:textDirection w:val="btLr"/>
          </w:tcPr>
          <w:p w14:paraId="000A18F5" w14:textId="77777777" w:rsidR="00050FF2" w:rsidRPr="004B2D24" w:rsidRDefault="00050FF2" w:rsidP="004261C8">
            <w:pPr>
              <w:pStyle w:val="TableHead"/>
              <w:ind w:left="72" w:right="72"/>
              <w:jc w:val="left"/>
              <w:rPr>
                <w:b w:val="0"/>
                <w:noProof w:val="0"/>
              </w:rPr>
            </w:pPr>
            <w:r w:rsidRPr="004B2D24">
              <w:rPr>
                <w:noProof w:val="0"/>
              </w:rPr>
              <w:t>Number of Points—PT 3</w:t>
            </w:r>
          </w:p>
        </w:tc>
        <w:tc>
          <w:tcPr>
            <w:tcW w:w="798" w:type="dxa"/>
            <w:textDirection w:val="btLr"/>
          </w:tcPr>
          <w:p w14:paraId="1E6C178B" w14:textId="77777777" w:rsidR="00050FF2" w:rsidRPr="004B2D24" w:rsidRDefault="00050FF2" w:rsidP="004261C8">
            <w:pPr>
              <w:pStyle w:val="TableHead"/>
              <w:ind w:left="72" w:right="72"/>
              <w:jc w:val="left"/>
              <w:rPr>
                <w:b w:val="0"/>
                <w:noProof w:val="0"/>
              </w:rPr>
            </w:pPr>
            <w:r w:rsidRPr="004B2D24">
              <w:rPr>
                <w:noProof w:val="0"/>
              </w:rPr>
              <w:t>Number of Items—Field Test PT</w:t>
            </w:r>
          </w:p>
        </w:tc>
        <w:tc>
          <w:tcPr>
            <w:tcW w:w="798" w:type="dxa"/>
            <w:textDirection w:val="btLr"/>
          </w:tcPr>
          <w:p w14:paraId="33CFED3D" w14:textId="77777777" w:rsidR="00050FF2" w:rsidRPr="004B2D24" w:rsidRDefault="00050FF2" w:rsidP="004261C8">
            <w:pPr>
              <w:pStyle w:val="TableHead"/>
              <w:ind w:left="72" w:right="72"/>
              <w:jc w:val="left"/>
              <w:rPr>
                <w:b w:val="0"/>
                <w:noProof w:val="0"/>
              </w:rPr>
            </w:pPr>
            <w:r w:rsidRPr="004B2D24">
              <w:rPr>
                <w:noProof w:val="0"/>
              </w:rPr>
              <w:t>Number of Points—Field Test PT</w:t>
            </w:r>
          </w:p>
        </w:tc>
        <w:tc>
          <w:tcPr>
            <w:tcW w:w="798" w:type="dxa"/>
            <w:noWrap/>
            <w:textDirection w:val="btLr"/>
            <w:hideMark/>
          </w:tcPr>
          <w:p w14:paraId="4ACD180C" w14:textId="77777777" w:rsidR="00050FF2" w:rsidRPr="004B2D24" w:rsidRDefault="00050FF2" w:rsidP="004261C8">
            <w:pPr>
              <w:pStyle w:val="TableHead"/>
              <w:ind w:left="72" w:right="72"/>
              <w:jc w:val="left"/>
              <w:rPr>
                <w:b w:val="0"/>
                <w:noProof w:val="0"/>
              </w:rPr>
            </w:pPr>
            <w:r w:rsidRPr="004B2D24">
              <w:rPr>
                <w:noProof w:val="0"/>
              </w:rPr>
              <w:t>Total Number of Operational Items</w:t>
            </w:r>
          </w:p>
        </w:tc>
        <w:tc>
          <w:tcPr>
            <w:tcW w:w="798" w:type="dxa"/>
            <w:noWrap/>
            <w:textDirection w:val="btLr"/>
            <w:hideMark/>
          </w:tcPr>
          <w:p w14:paraId="39206ADD" w14:textId="77777777" w:rsidR="00050FF2" w:rsidRPr="004B2D24" w:rsidRDefault="00050FF2" w:rsidP="004261C8">
            <w:pPr>
              <w:pStyle w:val="TableHead"/>
              <w:ind w:left="72" w:right="72"/>
              <w:jc w:val="left"/>
              <w:rPr>
                <w:b w:val="0"/>
                <w:noProof w:val="0"/>
              </w:rPr>
            </w:pPr>
            <w:r w:rsidRPr="004B2D24">
              <w:rPr>
                <w:noProof w:val="0"/>
              </w:rPr>
              <w:t>Maximum Number of Points</w:t>
            </w:r>
          </w:p>
        </w:tc>
      </w:tr>
      <w:tr w:rsidR="00050FF2" w:rsidRPr="004B2D24" w14:paraId="2421714E" w14:textId="77777777" w:rsidTr="000E48BE">
        <w:tc>
          <w:tcPr>
            <w:tcW w:w="2016" w:type="dxa"/>
            <w:noWrap/>
            <w:hideMark/>
          </w:tcPr>
          <w:p w14:paraId="29531171" w14:textId="77777777" w:rsidR="00050FF2" w:rsidRPr="004B2D24" w:rsidRDefault="00050FF2" w:rsidP="004261C8">
            <w:pPr>
              <w:pStyle w:val="TableText"/>
              <w:keepNext/>
            </w:pPr>
            <w:r w:rsidRPr="004B2D24">
              <w:t>Grade 5</w:t>
            </w:r>
          </w:p>
        </w:tc>
        <w:tc>
          <w:tcPr>
            <w:tcW w:w="799" w:type="dxa"/>
          </w:tcPr>
          <w:p w14:paraId="72D0DCDC" w14:textId="77777777" w:rsidR="00050FF2" w:rsidRPr="004B2D24" w:rsidRDefault="00050FF2" w:rsidP="004261C8">
            <w:pPr>
              <w:pStyle w:val="TableText"/>
              <w:keepNext/>
              <w:ind w:right="144"/>
            </w:pPr>
            <w:r w:rsidRPr="004B2D24">
              <w:t>10</w:t>
            </w:r>
          </w:p>
        </w:tc>
        <w:tc>
          <w:tcPr>
            <w:tcW w:w="798" w:type="dxa"/>
            <w:noWrap/>
          </w:tcPr>
          <w:p w14:paraId="51B5E8B2" w14:textId="77777777" w:rsidR="00050FF2" w:rsidRPr="004B2D24" w:rsidRDefault="00050FF2" w:rsidP="004261C8">
            <w:pPr>
              <w:pStyle w:val="TableText"/>
              <w:keepNext/>
              <w:ind w:right="144"/>
            </w:pPr>
            <w:r w:rsidRPr="004B2D24">
              <w:t>12</w:t>
            </w:r>
          </w:p>
        </w:tc>
        <w:tc>
          <w:tcPr>
            <w:tcW w:w="798" w:type="dxa"/>
          </w:tcPr>
          <w:p w14:paraId="4AACC968" w14:textId="77777777" w:rsidR="00050FF2" w:rsidRPr="004B2D24" w:rsidRDefault="00050FF2" w:rsidP="004261C8">
            <w:pPr>
              <w:pStyle w:val="TableText"/>
              <w:keepNext/>
              <w:ind w:right="144"/>
            </w:pPr>
            <w:r w:rsidRPr="004B2D24">
              <w:t>10</w:t>
            </w:r>
          </w:p>
        </w:tc>
        <w:tc>
          <w:tcPr>
            <w:tcW w:w="798" w:type="dxa"/>
            <w:noWrap/>
          </w:tcPr>
          <w:p w14:paraId="61B78554" w14:textId="77777777" w:rsidR="00050FF2" w:rsidRPr="004B2D24" w:rsidRDefault="00050FF2" w:rsidP="004261C8">
            <w:pPr>
              <w:pStyle w:val="TableText"/>
              <w:keepNext/>
              <w:ind w:right="144"/>
            </w:pPr>
            <w:r w:rsidRPr="004B2D24">
              <w:t>12</w:t>
            </w:r>
          </w:p>
        </w:tc>
        <w:tc>
          <w:tcPr>
            <w:tcW w:w="798" w:type="dxa"/>
          </w:tcPr>
          <w:p w14:paraId="5882CC98" w14:textId="77777777" w:rsidR="00050FF2" w:rsidRPr="004B2D24" w:rsidRDefault="00050FF2" w:rsidP="004261C8">
            <w:pPr>
              <w:pStyle w:val="TableText"/>
              <w:keepNext/>
              <w:ind w:right="144"/>
            </w:pPr>
            <w:r w:rsidRPr="004B2D24">
              <w:t>10</w:t>
            </w:r>
          </w:p>
        </w:tc>
        <w:tc>
          <w:tcPr>
            <w:tcW w:w="798" w:type="dxa"/>
          </w:tcPr>
          <w:p w14:paraId="2CEFBE55" w14:textId="77777777" w:rsidR="00050FF2" w:rsidRPr="004B2D24" w:rsidRDefault="00050FF2" w:rsidP="004261C8">
            <w:pPr>
              <w:pStyle w:val="TableText"/>
              <w:keepNext/>
              <w:ind w:right="144"/>
            </w:pPr>
            <w:r w:rsidRPr="004B2D24">
              <w:t>12</w:t>
            </w:r>
          </w:p>
        </w:tc>
        <w:tc>
          <w:tcPr>
            <w:tcW w:w="798" w:type="dxa"/>
          </w:tcPr>
          <w:p w14:paraId="046597ED" w14:textId="77777777" w:rsidR="00050FF2" w:rsidRPr="004B2D24" w:rsidRDefault="00050FF2" w:rsidP="004261C8">
            <w:pPr>
              <w:pStyle w:val="TableText"/>
              <w:keepNext/>
              <w:ind w:right="144"/>
            </w:pPr>
            <w:r w:rsidRPr="004B2D24">
              <w:t>10</w:t>
            </w:r>
          </w:p>
        </w:tc>
        <w:tc>
          <w:tcPr>
            <w:tcW w:w="798" w:type="dxa"/>
          </w:tcPr>
          <w:p w14:paraId="488218CB" w14:textId="77777777" w:rsidR="00050FF2" w:rsidRPr="004B2D24" w:rsidRDefault="00050FF2" w:rsidP="004261C8">
            <w:pPr>
              <w:pStyle w:val="TableText"/>
              <w:keepNext/>
              <w:ind w:right="144"/>
            </w:pPr>
            <w:r w:rsidRPr="004B2D24">
              <w:t>12</w:t>
            </w:r>
          </w:p>
        </w:tc>
        <w:tc>
          <w:tcPr>
            <w:tcW w:w="798" w:type="dxa"/>
            <w:noWrap/>
          </w:tcPr>
          <w:p w14:paraId="41FDF857" w14:textId="77777777" w:rsidR="00050FF2" w:rsidRPr="004B2D24" w:rsidRDefault="00050FF2" w:rsidP="004261C8">
            <w:pPr>
              <w:pStyle w:val="TableText"/>
              <w:keepNext/>
              <w:ind w:right="144"/>
            </w:pPr>
            <w:r w:rsidRPr="004B2D24">
              <w:t>30</w:t>
            </w:r>
          </w:p>
        </w:tc>
        <w:tc>
          <w:tcPr>
            <w:tcW w:w="798" w:type="dxa"/>
            <w:noWrap/>
          </w:tcPr>
          <w:p w14:paraId="472CFE37" w14:textId="77777777" w:rsidR="00050FF2" w:rsidRPr="004B2D24" w:rsidRDefault="00050FF2" w:rsidP="004261C8">
            <w:pPr>
              <w:pStyle w:val="TableText"/>
              <w:keepNext/>
              <w:ind w:right="144"/>
            </w:pPr>
            <w:r w:rsidRPr="004B2D24">
              <w:t>36</w:t>
            </w:r>
          </w:p>
        </w:tc>
      </w:tr>
      <w:tr w:rsidR="00050FF2" w:rsidRPr="004B2D24" w14:paraId="6A86CD8A" w14:textId="77777777" w:rsidTr="000E48BE">
        <w:tc>
          <w:tcPr>
            <w:tcW w:w="2016" w:type="dxa"/>
            <w:noWrap/>
            <w:hideMark/>
          </w:tcPr>
          <w:p w14:paraId="32047156" w14:textId="77777777" w:rsidR="00050FF2" w:rsidRPr="004B2D24" w:rsidRDefault="00050FF2" w:rsidP="004261C8">
            <w:pPr>
              <w:pStyle w:val="TableText"/>
              <w:keepNext/>
            </w:pPr>
            <w:r w:rsidRPr="004B2D24">
              <w:t>Grade 8</w:t>
            </w:r>
          </w:p>
        </w:tc>
        <w:tc>
          <w:tcPr>
            <w:tcW w:w="799" w:type="dxa"/>
          </w:tcPr>
          <w:p w14:paraId="6F7CCC54" w14:textId="77777777" w:rsidR="00050FF2" w:rsidRPr="004B2D24" w:rsidRDefault="00050FF2" w:rsidP="004261C8">
            <w:pPr>
              <w:pStyle w:val="TableText"/>
              <w:ind w:right="144"/>
            </w:pPr>
            <w:r w:rsidRPr="004B2D24">
              <w:t>10</w:t>
            </w:r>
          </w:p>
        </w:tc>
        <w:tc>
          <w:tcPr>
            <w:tcW w:w="798" w:type="dxa"/>
            <w:noWrap/>
          </w:tcPr>
          <w:p w14:paraId="21B7956C" w14:textId="77777777" w:rsidR="00050FF2" w:rsidRPr="004B2D24" w:rsidRDefault="00050FF2" w:rsidP="004261C8">
            <w:pPr>
              <w:pStyle w:val="TableText"/>
              <w:ind w:right="144"/>
            </w:pPr>
            <w:r w:rsidRPr="004B2D24">
              <w:t>12</w:t>
            </w:r>
          </w:p>
        </w:tc>
        <w:tc>
          <w:tcPr>
            <w:tcW w:w="798" w:type="dxa"/>
          </w:tcPr>
          <w:p w14:paraId="1AEC2116" w14:textId="77777777" w:rsidR="00050FF2" w:rsidRPr="004B2D24" w:rsidRDefault="00050FF2" w:rsidP="004261C8">
            <w:pPr>
              <w:pStyle w:val="TableText"/>
              <w:ind w:right="144"/>
            </w:pPr>
            <w:r w:rsidRPr="004B2D24">
              <w:t>10</w:t>
            </w:r>
          </w:p>
        </w:tc>
        <w:tc>
          <w:tcPr>
            <w:tcW w:w="798" w:type="dxa"/>
            <w:noWrap/>
          </w:tcPr>
          <w:p w14:paraId="6FBDFC17" w14:textId="77777777" w:rsidR="00050FF2" w:rsidRPr="004B2D24" w:rsidRDefault="00050FF2" w:rsidP="004261C8">
            <w:pPr>
              <w:pStyle w:val="TableText"/>
              <w:ind w:right="144"/>
            </w:pPr>
            <w:r w:rsidRPr="004B2D24">
              <w:t>12</w:t>
            </w:r>
          </w:p>
        </w:tc>
        <w:tc>
          <w:tcPr>
            <w:tcW w:w="798" w:type="dxa"/>
          </w:tcPr>
          <w:p w14:paraId="667CF9E9" w14:textId="77777777" w:rsidR="00050FF2" w:rsidRPr="004B2D24" w:rsidRDefault="00050FF2" w:rsidP="004261C8">
            <w:pPr>
              <w:pStyle w:val="TableText"/>
              <w:ind w:right="144"/>
            </w:pPr>
            <w:r w:rsidRPr="004B2D24">
              <w:t>10</w:t>
            </w:r>
          </w:p>
        </w:tc>
        <w:tc>
          <w:tcPr>
            <w:tcW w:w="798" w:type="dxa"/>
          </w:tcPr>
          <w:p w14:paraId="638C4DB6" w14:textId="77777777" w:rsidR="00050FF2" w:rsidRPr="004B2D24" w:rsidRDefault="00050FF2" w:rsidP="004261C8">
            <w:pPr>
              <w:pStyle w:val="TableText"/>
              <w:ind w:right="144"/>
            </w:pPr>
            <w:r w:rsidRPr="004B2D24">
              <w:t>12</w:t>
            </w:r>
          </w:p>
        </w:tc>
        <w:tc>
          <w:tcPr>
            <w:tcW w:w="798" w:type="dxa"/>
          </w:tcPr>
          <w:p w14:paraId="188E38CE" w14:textId="77777777" w:rsidR="00050FF2" w:rsidRPr="004B2D24" w:rsidRDefault="00050FF2" w:rsidP="004261C8">
            <w:pPr>
              <w:pStyle w:val="TableText"/>
              <w:ind w:right="144"/>
            </w:pPr>
            <w:r w:rsidRPr="004B2D24">
              <w:t>10</w:t>
            </w:r>
          </w:p>
        </w:tc>
        <w:tc>
          <w:tcPr>
            <w:tcW w:w="798" w:type="dxa"/>
          </w:tcPr>
          <w:p w14:paraId="2325E9B7" w14:textId="77777777" w:rsidR="00050FF2" w:rsidRPr="004B2D24" w:rsidRDefault="00050FF2" w:rsidP="004261C8">
            <w:pPr>
              <w:pStyle w:val="TableText"/>
              <w:ind w:right="144"/>
            </w:pPr>
            <w:r w:rsidRPr="004B2D24">
              <w:t>12</w:t>
            </w:r>
          </w:p>
        </w:tc>
        <w:tc>
          <w:tcPr>
            <w:tcW w:w="798" w:type="dxa"/>
            <w:noWrap/>
          </w:tcPr>
          <w:p w14:paraId="0083D1C6" w14:textId="77777777" w:rsidR="00050FF2" w:rsidRPr="004B2D24" w:rsidRDefault="00050FF2" w:rsidP="004261C8">
            <w:pPr>
              <w:pStyle w:val="TableText"/>
              <w:ind w:right="144"/>
            </w:pPr>
            <w:r w:rsidRPr="004B2D24">
              <w:t>30</w:t>
            </w:r>
          </w:p>
        </w:tc>
        <w:tc>
          <w:tcPr>
            <w:tcW w:w="798" w:type="dxa"/>
            <w:noWrap/>
          </w:tcPr>
          <w:p w14:paraId="5C13468F" w14:textId="77777777" w:rsidR="00050FF2" w:rsidRPr="004B2D24" w:rsidRDefault="00050FF2" w:rsidP="004261C8">
            <w:pPr>
              <w:pStyle w:val="TableText"/>
              <w:ind w:right="144"/>
            </w:pPr>
            <w:r w:rsidRPr="004B2D24">
              <w:t>36</w:t>
            </w:r>
          </w:p>
        </w:tc>
      </w:tr>
      <w:tr w:rsidR="00050FF2" w:rsidRPr="004B2D24" w14:paraId="1C7A2074" w14:textId="77777777" w:rsidTr="000E48BE">
        <w:tc>
          <w:tcPr>
            <w:tcW w:w="2016" w:type="dxa"/>
            <w:noWrap/>
            <w:hideMark/>
          </w:tcPr>
          <w:p w14:paraId="50881A86" w14:textId="77777777" w:rsidR="00050FF2" w:rsidRPr="004B2D24" w:rsidRDefault="00050FF2" w:rsidP="004261C8">
            <w:pPr>
              <w:pStyle w:val="TableText"/>
            </w:pPr>
            <w:r w:rsidRPr="004B2D24">
              <w:t>High School</w:t>
            </w:r>
          </w:p>
        </w:tc>
        <w:tc>
          <w:tcPr>
            <w:tcW w:w="799" w:type="dxa"/>
          </w:tcPr>
          <w:p w14:paraId="106E5608" w14:textId="77777777" w:rsidR="00050FF2" w:rsidRPr="004B2D24" w:rsidRDefault="00050FF2" w:rsidP="004261C8">
            <w:pPr>
              <w:pStyle w:val="TableText"/>
              <w:ind w:right="144"/>
            </w:pPr>
            <w:r w:rsidRPr="004B2D24">
              <w:t>10</w:t>
            </w:r>
          </w:p>
        </w:tc>
        <w:tc>
          <w:tcPr>
            <w:tcW w:w="798" w:type="dxa"/>
            <w:noWrap/>
          </w:tcPr>
          <w:p w14:paraId="73E73217" w14:textId="77777777" w:rsidR="00050FF2" w:rsidRPr="004B2D24" w:rsidRDefault="00050FF2" w:rsidP="004261C8">
            <w:pPr>
              <w:pStyle w:val="TableText"/>
              <w:ind w:right="144"/>
            </w:pPr>
            <w:r w:rsidRPr="004B2D24">
              <w:t>12</w:t>
            </w:r>
          </w:p>
        </w:tc>
        <w:tc>
          <w:tcPr>
            <w:tcW w:w="798" w:type="dxa"/>
          </w:tcPr>
          <w:p w14:paraId="07799D9C" w14:textId="77777777" w:rsidR="00050FF2" w:rsidRPr="004B2D24" w:rsidRDefault="00050FF2" w:rsidP="004261C8">
            <w:pPr>
              <w:pStyle w:val="TableText"/>
              <w:ind w:right="144"/>
            </w:pPr>
            <w:r w:rsidRPr="004B2D24">
              <w:t>10</w:t>
            </w:r>
          </w:p>
        </w:tc>
        <w:tc>
          <w:tcPr>
            <w:tcW w:w="798" w:type="dxa"/>
            <w:noWrap/>
          </w:tcPr>
          <w:p w14:paraId="5FA029E2" w14:textId="77777777" w:rsidR="00050FF2" w:rsidRPr="004B2D24" w:rsidRDefault="00050FF2" w:rsidP="004261C8">
            <w:pPr>
              <w:pStyle w:val="TableText"/>
              <w:ind w:right="144"/>
            </w:pPr>
            <w:r w:rsidRPr="004B2D24">
              <w:t>12</w:t>
            </w:r>
          </w:p>
        </w:tc>
        <w:tc>
          <w:tcPr>
            <w:tcW w:w="798" w:type="dxa"/>
          </w:tcPr>
          <w:p w14:paraId="1E73B67E" w14:textId="77777777" w:rsidR="00050FF2" w:rsidRPr="004B2D24" w:rsidRDefault="00050FF2" w:rsidP="004261C8">
            <w:pPr>
              <w:pStyle w:val="TableText"/>
              <w:ind w:right="144"/>
            </w:pPr>
            <w:r w:rsidRPr="004B2D24">
              <w:t>10</w:t>
            </w:r>
          </w:p>
        </w:tc>
        <w:tc>
          <w:tcPr>
            <w:tcW w:w="798" w:type="dxa"/>
          </w:tcPr>
          <w:p w14:paraId="582CCF1F" w14:textId="77777777" w:rsidR="00050FF2" w:rsidRPr="004B2D24" w:rsidRDefault="00050FF2" w:rsidP="004261C8">
            <w:pPr>
              <w:pStyle w:val="TableText"/>
              <w:ind w:right="144"/>
            </w:pPr>
            <w:r w:rsidRPr="004B2D24">
              <w:t>12</w:t>
            </w:r>
          </w:p>
        </w:tc>
        <w:tc>
          <w:tcPr>
            <w:tcW w:w="798" w:type="dxa"/>
          </w:tcPr>
          <w:p w14:paraId="4A12BFD0" w14:textId="77777777" w:rsidR="00050FF2" w:rsidRPr="004B2D24" w:rsidRDefault="00050FF2" w:rsidP="004261C8">
            <w:pPr>
              <w:pStyle w:val="TableText"/>
              <w:ind w:right="144"/>
            </w:pPr>
            <w:r w:rsidRPr="004B2D24">
              <w:t>10</w:t>
            </w:r>
          </w:p>
        </w:tc>
        <w:tc>
          <w:tcPr>
            <w:tcW w:w="798" w:type="dxa"/>
          </w:tcPr>
          <w:p w14:paraId="4C556973" w14:textId="77777777" w:rsidR="00050FF2" w:rsidRPr="004B2D24" w:rsidRDefault="00050FF2" w:rsidP="004261C8">
            <w:pPr>
              <w:pStyle w:val="TableText"/>
              <w:ind w:right="144"/>
            </w:pPr>
            <w:r w:rsidRPr="004B2D24">
              <w:t>12</w:t>
            </w:r>
          </w:p>
        </w:tc>
        <w:tc>
          <w:tcPr>
            <w:tcW w:w="798" w:type="dxa"/>
            <w:noWrap/>
          </w:tcPr>
          <w:p w14:paraId="03BB4749" w14:textId="77777777" w:rsidR="00050FF2" w:rsidRPr="004B2D24" w:rsidRDefault="00050FF2" w:rsidP="004261C8">
            <w:pPr>
              <w:pStyle w:val="TableText"/>
              <w:ind w:right="144"/>
            </w:pPr>
            <w:r w:rsidRPr="004B2D24">
              <w:t>30</w:t>
            </w:r>
          </w:p>
        </w:tc>
        <w:tc>
          <w:tcPr>
            <w:tcW w:w="798" w:type="dxa"/>
            <w:noWrap/>
          </w:tcPr>
          <w:p w14:paraId="42AA5B37" w14:textId="77777777" w:rsidR="00050FF2" w:rsidRPr="004B2D24" w:rsidRDefault="00050FF2" w:rsidP="004261C8">
            <w:pPr>
              <w:pStyle w:val="TableText"/>
              <w:ind w:right="144"/>
            </w:pPr>
            <w:r w:rsidRPr="004B2D24">
              <w:t>36</w:t>
            </w:r>
          </w:p>
        </w:tc>
      </w:tr>
    </w:tbl>
    <w:p w14:paraId="0476E105" w14:textId="7C9498B8" w:rsidR="00424AF4" w:rsidRDefault="00B9516D" w:rsidP="007A71B3">
      <w:pPr>
        <w:pStyle w:val="Heading4"/>
      </w:pPr>
      <w:bookmarkStart w:id="239" w:name="_Toc182555136"/>
      <w:bookmarkStart w:id="240" w:name="_Toc182555137"/>
      <w:bookmarkEnd w:id="239"/>
      <w:r>
        <w:t xml:space="preserve">Recruitment and </w:t>
      </w:r>
      <w:r w:rsidR="00424AF4">
        <w:t xml:space="preserve">Selection of </w:t>
      </w:r>
      <w:r w:rsidR="00063342">
        <w:t>Embedded P</w:t>
      </w:r>
      <w:r w:rsidR="00C66744">
        <w:t xml:space="preserve">erformance </w:t>
      </w:r>
      <w:r w:rsidR="00063342">
        <w:t>T</w:t>
      </w:r>
      <w:r w:rsidR="00C66744">
        <w:t>ask</w:t>
      </w:r>
      <w:r w:rsidR="00063342">
        <w:t xml:space="preserve"> </w:t>
      </w:r>
      <w:r w:rsidR="00424AF4">
        <w:t>Item Writers</w:t>
      </w:r>
      <w:bookmarkEnd w:id="240"/>
    </w:p>
    <w:p w14:paraId="0AD95697" w14:textId="77777777" w:rsidR="00A2493B" w:rsidRPr="00C34C12" w:rsidRDefault="00A2493B" w:rsidP="00A2493B">
      <w:pPr>
        <w:rPr>
          <w:rFonts w:eastAsia="Calibri"/>
        </w:rPr>
      </w:pPr>
      <w:r w:rsidRPr="00C34C12">
        <w:rPr>
          <w:rFonts w:eastAsia="Calibri"/>
        </w:rPr>
        <w:t>Applications for embedded PT item writing were screened by senior ETS content staff. Only those applicants with strong science content or special education teaching backgrounds were approved for inclusion in the training program for item writing.</w:t>
      </w:r>
    </w:p>
    <w:p w14:paraId="4EDB8BF6" w14:textId="77777777" w:rsidR="00A2493B" w:rsidRPr="00C34C12" w:rsidRDefault="00A2493B" w:rsidP="00A2493B">
      <w:pPr>
        <w:rPr>
          <w:rFonts w:eastAsia="Calibri"/>
        </w:rPr>
      </w:pPr>
      <w:r w:rsidRPr="00C34C12">
        <w:rPr>
          <w:rFonts w:eastAsia="Calibri"/>
        </w:rPr>
        <w:t>All item writers met the following minimum qualifications:</w:t>
      </w:r>
    </w:p>
    <w:p w14:paraId="5795438B" w14:textId="210063AB" w:rsidR="00A2493B" w:rsidRPr="00C34C12" w:rsidRDefault="00A2493B" w:rsidP="00B33B75">
      <w:pPr>
        <w:pStyle w:val="bullets"/>
        <w:numPr>
          <w:ilvl w:val="0"/>
          <w:numId w:val="69"/>
        </w:numPr>
        <w:tabs>
          <w:tab w:val="clear" w:pos="727"/>
        </w:tabs>
        <w:ind w:left="864" w:hanging="288"/>
      </w:pPr>
      <w:r w:rsidRPr="00C34C12">
        <w:t>Possession of a bachelor’s degree in a science content area or in the field of education</w:t>
      </w:r>
      <w:r w:rsidR="008C1596">
        <w:t>,</w:t>
      </w:r>
      <w:r w:rsidRPr="00C34C12">
        <w:t xml:space="preserve"> with special focus on a particular science content area </w:t>
      </w:r>
      <w:r w:rsidR="008C1596">
        <w:t>(A</w:t>
      </w:r>
      <w:r w:rsidRPr="00C34C12">
        <w:t xml:space="preserve">n advanced degree in science or special education </w:t>
      </w:r>
      <w:r w:rsidR="004C3A43">
        <w:t>was</w:t>
      </w:r>
      <w:r w:rsidR="004C3A43" w:rsidRPr="00C34C12">
        <w:t xml:space="preserve"> </w:t>
      </w:r>
      <w:r w:rsidRPr="00C34C12">
        <w:t>desirable</w:t>
      </w:r>
      <w:r w:rsidR="008C1596">
        <w:t>.)</w:t>
      </w:r>
    </w:p>
    <w:p w14:paraId="144D09E9" w14:textId="73888E73" w:rsidR="00A2493B" w:rsidRPr="00C34C12" w:rsidRDefault="00A2493B" w:rsidP="00B33B75">
      <w:pPr>
        <w:pStyle w:val="bullets"/>
        <w:numPr>
          <w:ilvl w:val="0"/>
          <w:numId w:val="69"/>
        </w:numPr>
        <w:tabs>
          <w:tab w:val="clear" w:pos="727"/>
        </w:tabs>
        <w:ind w:left="864" w:hanging="288"/>
      </w:pPr>
      <w:r w:rsidRPr="00C34C12">
        <w:t>Experience teaching students with cognitive disabilities and</w:t>
      </w:r>
      <w:r w:rsidR="008C1596">
        <w:t>,</w:t>
      </w:r>
      <w:r w:rsidRPr="00C34C12">
        <w:t xml:space="preserve"> preferably</w:t>
      </w:r>
      <w:r w:rsidR="008C1596">
        <w:t>,</w:t>
      </w:r>
      <w:r w:rsidRPr="00C34C12">
        <w:t xml:space="preserve"> experience teaching science in grades five through twelve</w:t>
      </w:r>
    </w:p>
    <w:p w14:paraId="6A81DE06" w14:textId="77777777" w:rsidR="00A2493B" w:rsidRPr="00C34C12" w:rsidRDefault="00A2493B" w:rsidP="00B33B75">
      <w:pPr>
        <w:pStyle w:val="bullets"/>
        <w:numPr>
          <w:ilvl w:val="0"/>
          <w:numId w:val="69"/>
        </w:numPr>
        <w:tabs>
          <w:tab w:val="clear" w:pos="727"/>
        </w:tabs>
        <w:ind w:left="864" w:hanging="288"/>
      </w:pPr>
      <w:r w:rsidRPr="00C34C12">
        <w:t>Previous experience or training in writing items for standards-based assessments, including knowledge of the many considerations that are important when developing items for special student populations</w:t>
      </w:r>
    </w:p>
    <w:p w14:paraId="132F76BB" w14:textId="7CE7264D" w:rsidR="00A2493B" w:rsidRPr="00C34C12" w:rsidRDefault="00A2493B" w:rsidP="00B33B75">
      <w:pPr>
        <w:pStyle w:val="bullets"/>
        <w:numPr>
          <w:ilvl w:val="0"/>
          <w:numId w:val="69"/>
        </w:numPr>
        <w:tabs>
          <w:tab w:val="clear" w:pos="727"/>
        </w:tabs>
        <w:ind w:left="864" w:hanging="288"/>
      </w:pPr>
      <w:r w:rsidRPr="00C34C12">
        <w:t xml:space="preserve">Previous experience or training in writing items in the content areas covered by CAA </w:t>
      </w:r>
      <w:r w:rsidR="00355DE7">
        <w:t>for Science</w:t>
      </w:r>
      <w:r w:rsidRPr="00C34C12">
        <w:t xml:space="preserve"> grade</w:t>
      </w:r>
      <w:r w:rsidR="008C1596">
        <w:t xml:space="preserve"> level</w:t>
      </w:r>
      <w:r w:rsidRPr="00C34C12">
        <w:t>s, content domains, or both</w:t>
      </w:r>
    </w:p>
    <w:p w14:paraId="1EEAA2A7" w14:textId="77777777" w:rsidR="00A2493B" w:rsidRPr="00C34C12" w:rsidRDefault="00A2493B" w:rsidP="00B33B75">
      <w:pPr>
        <w:pStyle w:val="bullets"/>
        <w:numPr>
          <w:ilvl w:val="0"/>
          <w:numId w:val="69"/>
        </w:numPr>
        <w:tabs>
          <w:tab w:val="clear" w:pos="727"/>
        </w:tabs>
        <w:ind w:left="864" w:hanging="288"/>
      </w:pPr>
      <w:r w:rsidRPr="00C34C12">
        <w:t>Familiarity, understanding, and support of the Science Connectors</w:t>
      </w:r>
      <w:r w:rsidRPr="00C34C12">
        <w:rPr>
          <w:rFonts w:eastAsia="Calibri"/>
        </w:rPr>
        <w:t>, EUs, and FKSAs</w:t>
      </w:r>
    </w:p>
    <w:p w14:paraId="5FA32174" w14:textId="66442BAC" w:rsidR="00424AF4" w:rsidRDefault="00063342" w:rsidP="00265D30">
      <w:pPr>
        <w:pStyle w:val="Heading4"/>
        <w:keepLines/>
      </w:pPr>
      <w:bookmarkStart w:id="241" w:name="_Toc66787371"/>
      <w:bookmarkStart w:id="242" w:name="_Toc66787830"/>
      <w:bookmarkStart w:id="243" w:name="_Toc182555138"/>
      <w:bookmarkEnd w:id="241"/>
      <w:bookmarkEnd w:id="242"/>
      <w:r>
        <w:t>Embedded P</w:t>
      </w:r>
      <w:r w:rsidR="00C66744">
        <w:t xml:space="preserve">erformance </w:t>
      </w:r>
      <w:r>
        <w:t>T</w:t>
      </w:r>
      <w:r w:rsidR="00C66744">
        <w:t>ask</w:t>
      </w:r>
      <w:r>
        <w:t xml:space="preserve"> </w:t>
      </w:r>
      <w:r w:rsidR="00424AF4">
        <w:t>Item Writer Training</w:t>
      </w:r>
      <w:bookmarkEnd w:id="243"/>
    </w:p>
    <w:p w14:paraId="6E9CDB83" w14:textId="3944F00E" w:rsidR="00A2493B" w:rsidRPr="00C34C12" w:rsidRDefault="00A2493B" w:rsidP="008C1596">
      <w:pPr>
        <w:keepLines/>
      </w:pPr>
      <w:r w:rsidRPr="00C34C12">
        <w:t xml:space="preserve">Item writer training for the </w:t>
      </w:r>
      <w:r w:rsidR="1DD5A744">
        <w:t>operational</w:t>
      </w:r>
      <w:r w:rsidRPr="00C34C12">
        <w:t xml:space="preserve"> </w:t>
      </w:r>
      <w:r w:rsidR="007B2A45">
        <w:t>assessment</w:t>
      </w:r>
      <w:r w:rsidRPr="00C34C12">
        <w:t xml:space="preserve"> cycle took place over two days in July 2018. Attendees received training on the Science Connectors used for the CAA for Science, general principles of universal design, CAA for Science item specifications, and how to account for bias and sensitivity when writing items.</w:t>
      </w:r>
    </w:p>
    <w:p w14:paraId="129E2D46" w14:textId="77777777" w:rsidR="00A2493B" w:rsidRPr="00C34C12" w:rsidRDefault="00A2493B" w:rsidP="008C1596">
      <w:pPr>
        <w:keepLines/>
      </w:pPr>
      <w:r w:rsidRPr="00C34C12">
        <w:t>During the training, attendees wrote sample items that were evaluated and returned with feedback from ETS science assessment specialists.</w:t>
      </w:r>
    </w:p>
    <w:p w14:paraId="10475887" w14:textId="1222E38F" w:rsidR="00FC62D1" w:rsidRDefault="00063342" w:rsidP="007A71B3">
      <w:pPr>
        <w:pStyle w:val="Heading3"/>
      </w:pPr>
      <w:bookmarkStart w:id="244" w:name="_ETS_Item_Review"/>
      <w:bookmarkStart w:id="245" w:name="_Toc182555139"/>
      <w:bookmarkEnd w:id="244"/>
      <w:r>
        <w:lastRenderedPageBreak/>
        <w:t>E</w:t>
      </w:r>
      <w:r w:rsidR="00411D8D">
        <w:t>TS</w:t>
      </w:r>
      <w:r w:rsidR="001F6178">
        <w:t xml:space="preserve"> </w:t>
      </w:r>
      <w:r w:rsidR="004E2D7D">
        <w:t xml:space="preserve">Item </w:t>
      </w:r>
      <w:r w:rsidR="00FC62D1">
        <w:t>Review Process</w:t>
      </w:r>
      <w:bookmarkEnd w:id="245"/>
    </w:p>
    <w:p w14:paraId="576AB634" w14:textId="0DF30577" w:rsidR="00E66F75" w:rsidRPr="00C34C12" w:rsidRDefault="00E66F75" w:rsidP="00E66F75">
      <w:bookmarkStart w:id="246" w:name="_Selection_of_Embedded"/>
      <w:bookmarkEnd w:id="246"/>
      <w:r w:rsidRPr="00C34C12">
        <w:t>The activities and items developed for the CAA for Science embedded PTs underwent an extensive item review process that was designed to provide the best standards-based assessments possible. This section summarizes the item review process that ensured the quality of CAA for Science activities and items.</w:t>
      </w:r>
    </w:p>
    <w:p w14:paraId="1C1BF069" w14:textId="73DB3C12" w:rsidR="00424AF4" w:rsidRDefault="00E84C50" w:rsidP="007A71B3">
      <w:pPr>
        <w:pStyle w:val="Heading4"/>
      </w:pPr>
      <w:bookmarkStart w:id="247" w:name="_Toc182555140"/>
      <w:r>
        <w:t>Overview</w:t>
      </w:r>
      <w:bookmarkEnd w:id="247"/>
    </w:p>
    <w:p w14:paraId="1B98BF97" w14:textId="0ADE5C7E" w:rsidR="00A2493B" w:rsidRPr="00C34C12" w:rsidRDefault="00A2493B" w:rsidP="00A2493B">
      <w:pPr>
        <w:rPr>
          <w:rFonts w:eastAsiaTheme="minorEastAsia"/>
          <w:color w:val="auto"/>
          <w:sz w:val="22"/>
          <w:szCs w:val="22"/>
          <w:lang w:eastAsia="ko-KR"/>
        </w:rPr>
      </w:pPr>
      <w:r w:rsidRPr="00C34C12">
        <w:t>Tasks and items submitted by the item writers were reviewed by ETS assessment specialists, who determined whether each embedded PT and item met the criteria expected for submission, including accuracy and adherence to the item specifications. Embedded PTs and items that did not meet the criteria were rejected, with notes for future revision submitted to authors. Items that met the criteria were accepted into the pool and authored into the system.</w:t>
      </w:r>
    </w:p>
    <w:p w14:paraId="4DFAC651" w14:textId="77777777" w:rsidR="00A2493B" w:rsidRPr="00C34C12" w:rsidRDefault="00A2493B" w:rsidP="00A2493B">
      <w:r w:rsidRPr="00C34C12">
        <w:t>Once an item was accepted for further development—that is, once it was entered into the ETS item bank and formatted for use in an assessment—ETS employed a series of internal reviews to judge the quality of item content and ensure that each item measured what it was intended to measure. These internal reviews also examined the overall quality of the test items before presentation to the CDE and California educators.</w:t>
      </w:r>
    </w:p>
    <w:p w14:paraId="2896EFB0" w14:textId="166774CD" w:rsidR="00A2493B" w:rsidRPr="00C34C12" w:rsidRDefault="00A2493B" w:rsidP="00A2493B">
      <w:r w:rsidRPr="00C34C12">
        <w:t xml:space="preserve">The ETS review process for the CAA for Science included the following; these </w:t>
      </w:r>
      <w:r w:rsidR="00990ADE">
        <w:t>tasks</w:t>
      </w:r>
      <w:r w:rsidR="00990ADE" w:rsidRPr="00C34C12">
        <w:t xml:space="preserve"> </w:t>
      </w:r>
      <w:r w:rsidRPr="00C34C12">
        <w:t>are described in the next subsections:</w:t>
      </w:r>
    </w:p>
    <w:p w14:paraId="4175F9BF" w14:textId="77777777" w:rsidR="00A2493B" w:rsidRPr="00C34C12" w:rsidRDefault="00A2493B" w:rsidP="00B33B75">
      <w:pPr>
        <w:numPr>
          <w:ilvl w:val="0"/>
          <w:numId w:val="73"/>
        </w:numPr>
        <w:spacing w:before="0" w:after="0"/>
        <w:ind w:left="864" w:hanging="288"/>
        <w:contextualSpacing/>
      </w:pPr>
      <w:r w:rsidRPr="00C34C12">
        <w:t>Content review</w:t>
      </w:r>
    </w:p>
    <w:p w14:paraId="65FAE0D0" w14:textId="77777777" w:rsidR="00A2493B" w:rsidRPr="00C34C12" w:rsidRDefault="00A2493B" w:rsidP="00B33B75">
      <w:pPr>
        <w:pStyle w:val="Numbered"/>
        <w:numPr>
          <w:ilvl w:val="0"/>
          <w:numId w:val="70"/>
        </w:numPr>
        <w:spacing w:before="0" w:after="0"/>
        <w:ind w:left="864" w:hanging="288"/>
        <w:contextualSpacing/>
      </w:pPr>
      <w:r w:rsidRPr="00C34C12">
        <w:t>Editorial review</w:t>
      </w:r>
    </w:p>
    <w:p w14:paraId="648F6FE4" w14:textId="77777777" w:rsidR="00A2493B" w:rsidRPr="00C34C12" w:rsidRDefault="00A2493B" w:rsidP="00B33B75">
      <w:pPr>
        <w:pStyle w:val="Numbered"/>
        <w:numPr>
          <w:ilvl w:val="0"/>
          <w:numId w:val="70"/>
        </w:numPr>
        <w:spacing w:before="0"/>
        <w:ind w:left="864" w:hanging="288"/>
        <w:contextualSpacing/>
      </w:pPr>
      <w:r w:rsidRPr="00C34C12">
        <w:t>Sensitivity review</w:t>
      </w:r>
    </w:p>
    <w:p w14:paraId="6DC45FFB" w14:textId="77777777" w:rsidR="00A2493B" w:rsidRPr="00C34C12" w:rsidRDefault="00A2493B" w:rsidP="00A2493B">
      <w:r w:rsidRPr="00C34C12">
        <w:t>Throughout this multistep item review process, the lead content-area assessment specialists and development team members continually evaluated the activities and items in adherence to the rules for item development.</w:t>
      </w:r>
    </w:p>
    <w:p w14:paraId="76E2BCEA" w14:textId="33163B88" w:rsidR="00CB6FCE" w:rsidRDefault="00063342" w:rsidP="00265D30">
      <w:pPr>
        <w:pStyle w:val="Heading4"/>
        <w:keepLines/>
      </w:pPr>
      <w:bookmarkStart w:id="248" w:name="_Toc182555141"/>
      <w:r>
        <w:t xml:space="preserve">ETS </w:t>
      </w:r>
      <w:r w:rsidR="00CB6FCE">
        <w:t>Content Review</w:t>
      </w:r>
      <w:bookmarkEnd w:id="248"/>
    </w:p>
    <w:p w14:paraId="21FFBBEB" w14:textId="0F8F0FA4" w:rsidR="00A2493B" w:rsidRPr="00C34C12" w:rsidRDefault="00990ADE" w:rsidP="00265D30">
      <w:pPr>
        <w:keepNext/>
        <w:keepLines/>
      </w:pPr>
      <w:r>
        <w:t>During the development cycle, e</w:t>
      </w:r>
      <w:r w:rsidR="00A2493B" w:rsidRPr="00C34C12">
        <w:t xml:space="preserve">mbedded PTs underwent three rounds of content reviews by content-area assessment specialists with increasing levels of expertise, called Round 1, Round 2, and Final Round. The assessment specialists ensured </w:t>
      </w:r>
      <w:r w:rsidR="00A2493B" w:rsidRPr="00C34C12">
        <w:rPr>
          <w:iCs/>
        </w:rPr>
        <w:t>that</w:t>
      </w:r>
      <w:r w:rsidR="00A2493B" w:rsidRPr="00C34C12">
        <w:rPr>
          <w:i/>
          <w:iCs/>
        </w:rPr>
        <w:t xml:space="preserve"> </w:t>
      </w:r>
      <w:r w:rsidR="00A2493B" w:rsidRPr="00C34C12">
        <w:t>the embedded PTs complied with the approved item specifications and with ETS written guidelines for clarity, style, accuracy, and appropriateness for California students. Assessment specialists reviewed each embedded PT and item for the following characteristics:</w:t>
      </w:r>
    </w:p>
    <w:p w14:paraId="6AD8E289" w14:textId="77777777" w:rsidR="00A2493B" w:rsidRPr="00C34C12" w:rsidRDefault="00A2493B" w:rsidP="00265D30">
      <w:pPr>
        <w:pStyle w:val="bullets-one"/>
        <w:keepNext/>
        <w:keepLines/>
      </w:pPr>
      <w:r w:rsidRPr="00C34C12">
        <w:t>Relevance to the purpose of the test</w:t>
      </w:r>
    </w:p>
    <w:p w14:paraId="1D779C81" w14:textId="77777777" w:rsidR="00A2493B" w:rsidRPr="00C34C12" w:rsidRDefault="00A2493B" w:rsidP="00265D30">
      <w:pPr>
        <w:pStyle w:val="bullets-one"/>
        <w:keepNext/>
        <w:keepLines/>
      </w:pPr>
      <w:r w:rsidRPr="00C34C12">
        <w:t>Match to the item specifications, including the level of item complexity</w:t>
      </w:r>
    </w:p>
    <w:p w14:paraId="10BBC8B9" w14:textId="77777777" w:rsidR="00A2493B" w:rsidRPr="00C34C12" w:rsidRDefault="00A2493B" w:rsidP="00A2493B">
      <w:pPr>
        <w:pStyle w:val="bullets-one"/>
      </w:pPr>
      <w:r w:rsidRPr="00C34C12">
        <w:t>Match to the principles of quality item writing</w:t>
      </w:r>
    </w:p>
    <w:p w14:paraId="0F101C1B" w14:textId="77777777" w:rsidR="00A2493B" w:rsidRPr="00C34C12" w:rsidRDefault="00A2493B" w:rsidP="00A2493B">
      <w:pPr>
        <w:pStyle w:val="bullets-one"/>
      </w:pPr>
      <w:r w:rsidRPr="00C34C12">
        <w:t>Match to the identified standard or standards</w:t>
      </w:r>
    </w:p>
    <w:p w14:paraId="7812E271" w14:textId="77777777" w:rsidR="00A2493B" w:rsidRPr="00C34C12" w:rsidRDefault="00A2493B" w:rsidP="00A2493B">
      <w:pPr>
        <w:pStyle w:val="bullets-one"/>
      </w:pPr>
      <w:r w:rsidRPr="00C34C12">
        <w:t>Difficulty</w:t>
      </w:r>
    </w:p>
    <w:p w14:paraId="0785F075" w14:textId="77777777" w:rsidR="00A2493B" w:rsidRPr="00C34C12" w:rsidRDefault="00A2493B" w:rsidP="00A2493B">
      <w:pPr>
        <w:pStyle w:val="bullets-one"/>
      </w:pPr>
      <w:r w:rsidRPr="00C34C12">
        <w:t>Accuracy of the content</w:t>
      </w:r>
    </w:p>
    <w:p w14:paraId="38665F18" w14:textId="77777777" w:rsidR="00A2493B" w:rsidRPr="00C34C12" w:rsidRDefault="00A2493B" w:rsidP="00A2493B">
      <w:pPr>
        <w:pStyle w:val="bullets-one"/>
      </w:pPr>
      <w:r w:rsidRPr="00C34C12">
        <w:t>Readability</w:t>
      </w:r>
    </w:p>
    <w:p w14:paraId="4A5AE419" w14:textId="77777777" w:rsidR="00A2493B" w:rsidRPr="00C34C12" w:rsidRDefault="00A2493B" w:rsidP="00A2493B">
      <w:pPr>
        <w:pStyle w:val="bullets-one"/>
      </w:pPr>
      <w:r w:rsidRPr="00C34C12">
        <w:t>Grade-level appropriateness</w:t>
      </w:r>
    </w:p>
    <w:p w14:paraId="1BED7EC2" w14:textId="77777777" w:rsidR="00A2493B" w:rsidRPr="00C34C12" w:rsidRDefault="00A2493B" w:rsidP="00A2493B">
      <w:pPr>
        <w:pStyle w:val="bullets-one"/>
      </w:pPr>
      <w:r w:rsidRPr="00C34C12">
        <w:t>Appropriateness of any illustrations, graphs, or figures</w:t>
      </w:r>
    </w:p>
    <w:p w14:paraId="01248CA1" w14:textId="77777777" w:rsidR="00A2493B" w:rsidRPr="00C34C12" w:rsidRDefault="00A2493B" w:rsidP="00A2493B">
      <w:r w:rsidRPr="00C34C12">
        <w:t xml:space="preserve">Each embedded PT item was classified with the Science Connector, EU, and the FKSA it was intended to measure. Assessment specialists checked each item against its </w:t>
      </w:r>
      <w:r w:rsidRPr="00C34C12">
        <w:lastRenderedPageBreak/>
        <w:t>classification codes, both to evaluate the correctness of the classification and to ensure that the task posed by the item was relevant to the outcome it was intended to measure. The reviewers</w:t>
      </w:r>
      <w:r w:rsidRPr="00C34C12" w:rsidDel="00BB5822">
        <w:t xml:space="preserve"> </w:t>
      </w:r>
      <w:r w:rsidRPr="00C34C12">
        <w:t>could accept the item and classification as written, suggest revisions, or recommend that the item be discarded. These steps occurred prior to the CDE’s review.</w:t>
      </w:r>
    </w:p>
    <w:p w14:paraId="737655DD" w14:textId="0468228B" w:rsidR="00CB6FCE" w:rsidRDefault="00063342" w:rsidP="007A71B3">
      <w:pPr>
        <w:pStyle w:val="Heading4"/>
      </w:pPr>
      <w:bookmarkStart w:id="249" w:name="_Toc182555142"/>
      <w:r>
        <w:t xml:space="preserve">ETS </w:t>
      </w:r>
      <w:r w:rsidR="00CB6FCE">
        <w:t>Editorial Review</w:t>
      </w:r>
      <w:bookmarkEnd w:id="249"/>
    </w:p>
    <w:p w14:paraId="2197A1D2" w14:textId="77777777" w:rsidR="00A2493B" w:rsidRPr="00C34C12" w:rsidRDefault="00A2493B" w:rsidP="00A2493B">
      <w:r w:rsidRPr="00C34C12">
        <w:t>After the content-area assessment specialists reviewed each item, a group of specially trained editors also reviewed each embedded PT and item in preparation for consideration by the CDE and California educators. The editors checked items for clarity, correctness of language, appropriateness of language for the grade level assessed, adherence to the CAA for Science style guidelines, and conformity with accepted item-writing practices.</w:t>
      </w:r>
    </w:p>
    <w:p w14:paraId="1DC8FF0A" w14:textId="547D4635" w:rsidR="00CB6FCE" w:rsidRDefault="00063342" w:rsidP="007A71B3">
      <w:pPr>
        <w:pStyle w:val="Heading4"/>
      </w:pPr>
      <w:bookmarkStart w:id="250" w:name="_Toc182555143"/>
      <w:r>
        <w:t xml:space="preserve">ETS </w:t>
      </w:r>
      <w:r w:rsidR="00CB6FCE">
        <w:t xml:space="preserve">Sensitivity </w:t>
      </w:r>
      <w:r w:rsidR="00424AF4">
        <w:t xml:space="preserve">and Fairness </w:t>
      </w:r>
      <w:r w:rsidR="00CB6FCE">
        <w:t>Review</w:t>
      </w:r>
      <w:bookmarkEnd w:id="250"/>
    </w:p>
    <w:p w14:paraId="5FBA69DD" w14:textId="560A10CF" w:rsidR="00A2493B" w:rsidRPr="00C34C12" w:rsidRDefault="00A2493B" w:rsidP="00A2493B">
      <w:r w:rsidRPr="00C34C12">
        <w:t>ETS assessment specialists who are specially trained to identify and eliminate questions that contain content or wording that could be construed to be offensive to</w:t>
      </w:r>
      <w:r w:rsidR="007F09BF">
        <w:t>,</w:t>
      </w:r>
      <w:r w:rsidRPr="00C34C12">
        <w:t xml:space="preserve"> or biased against</w:t>
      </w:r>
      <w:r w:rsidR="007F09BF">
        <w:t>,</w:t>
      </w:r>
      <w:r w:rsidRPr="00C34C12">
        <w:t xml:space="preserve"> members of specific student groups—ethnic, racial, or gender—conducted the next level of review. These trained staff members reviewed every item before the CDE and formal embedded PT item reviews.</w:t>
      </w:r>
    </w:p>
    <w:p w14:paraId="0D7C370E" w14:textId="456E5E98" w:rsidR="00A2493B" w:rsidRPr="00C34C12" w:rsidRDefault="00A2493B" w:rsidP="00A2493B">
      <w:r w:rsidRPr="00C34C12">
        <w:t>The review process promoted a general awareness of</w:t>
      </w:r>
      <w:r w:rsidR="00D753EC">
        <w:t>,</w:t>
      </w:r>
      <w:r w:rsidRPr="00C34C12">
        <w:t xml:space="preserve"> and responsiveness to</w:t>
      </w:r>
      <w:r w:rsidR="00D753EC">
        <w:t>,</w:t>
      </w:r>
      <w:r w:rsidRPr="00C34C12">
        <w:t xml:space="preserve"> the following:</w:t>
      </w:r>
    </w:p>
    <w:p w14:paraId="7158B98C" w14:textId="7E57AD16" w:rsidR="00A2493B" w:rsidRPr="00C34C12" w:rsidRDefault="00A2493B" w:rsidP="00B33B75">
      <w:pPr>
        <w:pStyle w:val="bullets"/>
        <w:numPr>
          <w:ilvl w:val="0"/>
          <w:numId w:val="69"/>
        </w:numPr>
        <w:tabs>
          <w:tab w:val="clear" w:pos="727"/>
        </w:tabs>
        <w:ind w:left="864" w:hanging="288"/>
      </w:pPr>
      <w:r w:rsidRPr="00C34C12">
        <w:t>Diversity of background, cultural tradition, and viewpoints to be found in the test</w:t>
      </w:r>
      <w:r w:rsidR="00D753EC">
        <w:t>-</w:t>
      </w:r>
      <w:r w:rsidRPr="00C34C12">
        <w:t>taking population</w:t>
      </w:r>
    </w:p>
    <w:p w14:paraId="73D3292A" w14:textId="77777777" w:rsidR="00A2493B" w:rsidRPr="00C34C12" w:rsidRDefault="00A2493B" w:rsidP="00B33B75">
      <w:pPr>
        <w:pStyle w:val="bullets"/>
        <w:numPr>
          <w:ilvl w:val="0"/>
          <w:numId w:val="69"/>
        </w:numPr>
        <w:tabs>
          <w:tab w:val="clear" w:pos="727"/>
        </w:tabs>
        <w:ind w:left="864" w:hanging="288"/>
      </w:pPr>
      <w:r w:rsidRPr="00C34C12">
        <w:t>Changing roles and attitudes toward various groups</w:t>
      </w:r>
    </w:p>
    <w:p w14:paraId="06DF3376" w14:textId="77777777" w:rsidR="00A2493B" w:rsidRPr="00C34C12" w:rsidRDefault="00A2493B" w:rsidP="00B33B75">
      <w:pPr>
        <w:pStyle w:val="bullets"/>
        <w:numPr>
          <w:ilvl w:val="0"/>
          <w:numId w:val="69"/>
        </w:numPr>
        <w:tabs>
          <w:tab w:val="clear" w:pos="727"/>
        </w:tabs>
        <w:ind w:left="864" w:hanging="288"/>
      </w:pPr>
      <w:r w:rsidRPr="00C34C12">
        <w:t>Role of language in setting and changing attitudes toward various groups</w:t>
      </w:r>
    </w:p>
    <w:p w14:paraId="3BC5EB71" w14:textId="77777777" w:rsidR="00A2493B" w:rsidRPr="00C34C12" w:rsidRDefault="00A2493B" w:rsidP="00B33B75">
      <w:pPr>
        <w:pStyle w:val="bullets"/>
        <w:numPr>
          <w:ilvl w:val="0"/>
          <w:numId w:val="69"/>
        </w:numPr>
        <w:tabs>
          <w:tab w:val="clear" w:pos="727"/>
        </w:tabs>
        <w:ind w:left="864" w:hanging="288"/>
      </w:pPr>
      <w:r w:rsidRPr="00C34C12">
        <w:t>Contributions of diverse groups (including ethnic and minority groups, individuals with disabilities, and women) to the history and culture of the United States and the achievements of individuals within these groups</w:t>
      </w:r>
    </w:p>
    <w:p w14:paraId="32E62305" w14:textId="3AABDD19" w:rsidR="00A2493B" w:rsidRPr="00C34C12" w:rsidRDefault="00A2493B" w:rsidP="00B33B75">
      <w:pPr>
        <w:pStyle w:val="bullets"/>
        <w:numPr>
          <w:ilvl w:val="0"/>
          <w:numId w:val="69"/>
        </w:numPr>
        <w:tabs>
          <w:tab w:val="clear" w:pos="727"/>
        </w:tabs>
        <w:ind w:left="864" w:hanging="288"/>
      </w:pPr>
      <w:r w:rsidRPr="00C34C12">
        <w:t>Item accessibility for English learner</w:t>
      </w:r>
      <w:r w:rsidR="00E13DCB">
        <w:t xml:space="preserve"> </w:t>
      </w:r>
      <w:r w:rsidRPr="00C34C12">
        <w:t>s</w:t>
      </w:r>
      <w:r w:rsidR="00E13DCB">
        <w:t>tudents</w:t>
      </w:r>
    </w:p>
    <w:p w14:paraId="42ECF0EF" w14:textId="1E397AAB" w:rsidR="00CB6FCE" w:rsidRDefault="004D5051" w:rsidP="007A71B3">
      <w:pPr>
        <w:pStyle w:val="Heading3"/>
      </w:pPr>
      <w:bookmarkStart w:id="251" w:name="_Toc182555144"/>
      <w:r>
        <w:t>C</w:t>
      </w:r>
      <w:r w:rsidR="00995789">
        <w:t>alifornia</w:t>
      </w:r>
      <w:r>
        <w:t xml:space="preserve"> </w:t>
      </w:r>
      <w:r w:rsidR="00995789">
        <w:t xml:space="preserve">Educator </w:t>
      </w:r>
      <w:r w:rsidR="00CB6FCE">
        <w:t>Review</w:t>
      </w:r>
      <w:bookmarkEnd w:id="251"/>
    </w:p>
    <w:p w14:paraId="1469CF9D" w14:textId="2EE2E8AE" w:rsidR="00055964" w:rsidRDefault="00055964" w:rsidP="007A71B3">
      <w:pPr>
        <w:pStyle w:val="Heading4"/>
      </w:pPr>
      <w:bookmarkStart w:id="252" w:name="_Toc182555145"/>
      <w:r>
        <w:t xml:space="preserve">California Educators as Content </w:t>
      </w:r>
      <w:r w:rsidR="00B9516D">
        <w:t>Experts</w:t>
      </w:r>
      <w:bookmarkEnd w:id="252"/>
    </w:p>
    <w:p w14:paraId="757A7080" w14:textId="42BE5B4F" w:rsidR="00A2493B" w:rsidRPr="00C34C12" w:rsidRDefault="00990ADE" w:rsidP="00A2493B">
      <w:pPr>
        <w:rPr>
          <w:lang w:eastAsia="x-none"/>
        </w:rPr>
      </w:pPr>
      <w:r>
        <w:rPr>
          <w:lang w:eastAsia="x-none"/>
        </w:rPr>
        <w:t>Item review m</w:t>
      </w:r>
      <w:r w:rsidR="00A2493B" w:rsidRPr="00C34C12">
        <w:rPr>
          <w:lang w:eastAsia="x-none"/>
        </w:rPr>
        <w:t xml:space="preserve">eetings with California educators were held at the end of the item review process as the final content expert review that items must undergo before being placed </w:t>
      </w:r>
      <w:r>
        <w:rPr>
          <w:lang w:eastAsia="x-none"/>
        </w:rPr>
        <w:t>in</w:t>
      </w:r>
      <w:r w:rsidRPr="00C34C12">
        <w:rPr>
          <w:lang w:eastAsia="x-none"/>
        </w:rPr>
        <w:t xml:space="preserve"> </w:t>
      </w:r>
      <w:r w:rsidR="00A2493B" w:rsidRPr="00C34C12">
        <w:rPr>
          <w:lang w:eastAsia="x-none"/>
        </w:rPr>
        <w:t>an operational assessment. The California educators filled an advisory role to the CDE and ETS and provided guidance on matters related to embedded PT item development for the CAA for Science.</w:t>
      </w:r>
    </w:p>
    <w:p w14:paraId="753AC825" w14:textId="5CD176AD" w:rsidR="00A2493B" w:rsidRPr="00C34C12" w:rsidRDefault="00A2493B" w:rsidP="00A2493B">
      <w:r w:rsidRPr="00C34C12">
        <w:rPr>
          <w:lang w:eastAsia="x-none"/>
        </w:rPr>
        <w:t xml:space="preserve">These educators were responsible for reviewing all newly developed items for alignment to the CA NGSS and Science Connectors. Meeting participants also reviewed the items for accuracy of content, clarity of phrasing, and quality. In their examination of embedded PT items, </w:t>
      </w:r>
      <w:r w:rsidR="00990ADE" w:rsidRPr="00FC1977">
        <w:rPr>
          <w:lang w:eastAsia="x-none"/>
        </w:rPr>
        <w:t xml:space="preserve">participants can raise concerns about the appropriateness of the items as related to the grade, age, and cognitive level of the test taker. Additionally, items </w:t>
      </w:r>
      <w:r w:rsidR="00990ADE">
        <w:rPr>
          <w:lang w:eastAsia="x-none"/>
        </w:rPr>
        <w:t>were</w:t>
      </w:r>
      <w:r w:rsidR="00990ADE" w:rsidRPr="00FC1977">
        <w:rPr>
          <w:lang w:eastAsia="x-none"/>
        </w:rPr>
        <w:t xml:space="preserve"> evaluated for any potential bias or sensitivity </w:t>
      </w:r>
      <w:r w:rsidRPr="00C34C12">
        <w:rPr>
          <w:lang w:eastAsia="x-none"/>
        </w:rPr>
        <w:t xml:space="preserve">concerns </w:t>
      </w:r>
      <w:r w:rsidR="00990ADE">
        <w:rPr>
          <w:lang w:eastAsia="x-none"/>
        </w:rPr>
        <w:t>associated with</w:t>
      </w:r>
      <w:r w:rsidRPr="00C34C12">
        <w:rPr>
          <w:lang w:eastAsia="x-none"/>
        </w:rPr>
        <w:t xml:space="preserve"> </w:t>
      </w:r>
      <w:r w:rsidR="00990ADE">
        <w:rPr>
          <w:lang w:eastAsia="x-none"/>
        </w:rPr>
        <w:t xml:space="preserve">disability, </w:t>
      </w:r>
      <w:r w:rsidRPr="00C34C12">
        <w:rPr>
          <w:lang w:eastAsia="x-none"/>
        </w:rPr>
        <w:t xml:space="preserve">gender, </w:t>
      </w:r>
      <w:r w:rsidR="00990ADE">
        <w:rPr>
          <w:lang w:eastAsia="x-none"/>
        </w:rPr>
        <w:t>race</w:t>
      </w:r>
      <w:r w:rsidRPr="00C34C12">
        <w:rPr>
          <w:lang w:eastAsia="x-none"/>
        </w:rPr>
        <w:t>, ethnic</w:t>
      </w:r>
      <w:r w:rsidR="00990ADE">
        <w:rPr>
          <w:lang w:eastAsia="x-none"/>
        </w:rPr>
        <w:t>ity</w:t>
      </w:r>
      <w:r w:rsidRPr="00C34C12">
        <w:rPr>
          <w:lang w:eastAsia="x-none"/>
        </w:rPr>
        <w:t>,</w:t>
      </w:r>
      <w:r w:rsidR="00990ADE">
        <w:rPr>
          <w:lang w:eastAsia="x-none"/>
        </w:rPr>
        <w:t xml:space="preserve"> religion,</w:t>
      </w:r>
      <w:r w:rsidRPr="00C34C12">
        <w:rPr>
          <w:lang w:eastAsia="x-none"/>
        </w:rPr>
        <w:t xml:space="preserve"> or socioeconomic </w:t>
      </w:r>
      <w:r w:rsidR="00990ADE">
        <w:rPr>
          <w:lang w:eastAsia="x-none"/>
        </w:rPr>
        <w:t>status</w:t>
      </w:r>
      <w:r w:rsidRPr="00C34C12">
        <w:rPr>
          <w:lang w:eastAsia="x-none"/>
        </w:rPr>
        <w:t>.</w:t>
      </w:r>
      <w:r w:rsidR="00990ADE" w:rsidRPr="00990ADE">
        <w:rPr>
          <w:lang w:eastAsia="x-none"/>
        </w:rPr>
        <w:t xml:space="preserve"> </w:t>
      </w:r>
      <w:r w:rsidR="00990ADE" w:rsidRPr="00FC1977">
        <w:rPr>
          <w:lang w:eastAsia="x-none"/>
        </w:rPr>
        <w:t>ETS record</w:t>
      </w:r>
      <w:r w:rsidR="00990ADE">
        <w:rPr>
          <w:lang w:eastAsia="x-none"/>
        </w:rPr>
        <w:t>ed</w:t>
      </w:r>
      <w:r w:rsidR="00990ADE" w:rsidRPr="00FC1977">
        <w:rPr>
          <w:lang w:eastAsia="x-none"/>
        </w:rPr>
        <w:t xml:space="preserve"> educator feedback for each item and adjust</w:t>
      </w:r>
      <w:r w:rsidR="00990ADE">
        <w:rPr>
          <w:lang w:eastAsia="x-none"/>
        </w:rPr>
        <w:t>ed</w:t>
      </w:r>
      <w:r w:rsidR="00990ADE" w:rsidRPr="00FC1977">
        <w:rPr>
          <w:lang w:eastAsia="x-none"/>
        </w:rPr>
        <w:t xml:space="preserve"> item content based on approval from the CDE.</w:t>
      </w:r>
    </w:p>
    <w:p w14:paraId="2B913B40" w14:textId="6AC2C1FB" w:rsidR="00055964" w:rsidRDefault="00055964" w:rsidP="007A71B3">
      <w:pPr>
        <w:pStyle w:val="Heading4"/>
      </w:pPr>
      <w:bookmarkStart w:id="253" w:name="_Toc182555146"/>
      <w:r>
        <w:lastRenderedPageBreak/>
        <w:t xml:space="preserve">Composition of Item Review </w:t>
      </w:r>
      <w:r w:rsidR="00990ADE">
        <w:t>Panels</w:t>
      </w:r>
      <w:bookmarkEnd w:id="253"/>
    </w:p>
    <w:p w14:paraId="6EEE261D" w14:textId="74B3559E" w:rsidR="00A2493B" w:rsidRPr="00C34C12" w:rsidRDefault="008A0A9E" w:rsidP="00A2493B">
      <w:r>
        <w:t>For the last item review meeting, t</w:t>
      </w:r>
      <w:r w:rsidR="00A2493B" w:rsidRPr="00C34C12">
        <w:t xml:space="preserve">he group of </w:t>
      </w:r>
      <w:r>
        <w:t xml:space="preserve">participating </w:t>
      </w:r>
      <w:r w:rsidR="00A2493B" w:rsidRPr="00C34C12">
        <w:t>California educators consisted of current and former teachers (some of whom</w:t>
      </w:r>
      <w:r>
        <w:t xml:space="preserve"> had</w:t>
      </w:r>
      <w:r w:rsidR="00A2493B" w:rsidRPr="00C34C12">
        <w:t xml:space="preserve"> taught students who comprised the identified population, and others who were subject matter experts in science), resource specialists, administrators, curriculum and content experts, and other education professionals. Minimum qualifications to be invited to participate were</w:t>
      </w:r>
    </w:p>
    <w:p w14:paraId="413910DC" w14:textId="77777777" w:rsidR="00A2493B" w:rsidRPr="00C34C12" w:rsidRDefault="00A2493B" w:rsidP="00B33B75">
      <w:pPr>
        <w:pStyle w:val="bullets"/>
        <w:numPr>
          <w:ilvl w:val="0"/>
          <w:numId w:val="69"/>
        </w:numPr>
        <w:tabs>
          <w:tab w:val="clear" w:pos="727"/>
        </w:tabs>
        <w:ind w:left="864" w:hanging="288"/>
      </w:pPr>
      <w:r w:rsidRPr="00C34C12">
        <w:t>three or more years of teaching experience in kindergarten through grade twelve, and</w:t>
      </w:r>
    </w:p>
    <w:p w14:paraId="4548982C" w14:textId="77777777" w:rsidR="00A2493B" w:rsidRPr="00C34C12" w:rsidRDefault="00A2493B" w:rsidP="00B33B75">
      <w:pPr>
        <w:pStyle w:val="bullets"/>
        <w:numPr>
          <w:ilvl w:val="0"/>
          <w:numId w:val="69"/>
        </w:numPr>
        <w:tabs>
          <w:tab w:val="clear" w:pos="727"/>
        </w:tabs>
        <w:ind w:left="864" w:hanging="288"/>
      </w:pPr>
      <w:r w:rsidRPr="00C34C12">
        <w:t>bachelor’s or higher degree in a grade or content area related to special education.</w:t>
      </w:r>
    </w:p>
    <w:p w14:paraId="0D029812" w14:textId="77777777" w:rsidR="00A2493B" w:rsidRPr="00C34C12" w:rsidRDefault="00A2493B" w:rsidP="00A2493B">
      <w:pPr>
        <w:keepNext/>
      </w:pPr>
      <w:r w:rsidRPr="00C34C12">
        <w:t>Preferred qualifications included</w:t>
      </w:r>
    </w:p>
    <w:p w14:paraId="379093FA" w14:textId="77777777" w:rsidR="00A2493B" w:rsidRPr="00C34C12" w:rsidRDefault="00A2493B" w:rsidP="00B33B75">
      <w:pPr>
        <w:pStyle w:val="bullets"/>
        <w:numPr>
          <w:ilvl w:val="0"/>
          <w:numId w:val="69"/>
        </w:numPr>
        <w:tabs>
          <w:tab w:val="clear" w:pos="727"/>
        </w:tabs>
        <w:ind w:left="864" w:hanging="288"/>
      </w:pPr>
      <w:r w:rsidRPr="00C34C12">
        <w:t>experience teaching students with more than one type of disability, and</w:t>
      </w:r>
    </w:p>
    <w:p w14:paraId="4089A274" w14:textId="77777777" w:rsidR="00A2493B" w:rsidRPr="00C34C12" w:rsidRDefault="00A2493B" w:rsidP="00B33B75">
      <w:pPr>
        <w:pStyle w:val="bullets"/>
        <w:numPr>
          <w:ilvl w:val="0"/>
          <w:numId w:val="69"/>
        </w:numPr>
        <w:tabs>
          <w:tab w:val="clear" w:pos="727"/>
        </w:tabs>
        <w:ind w:left="864" w:hanging="288"/>
      </w:pPr>
      <w:r w:rsidRPr="00C34C12">
        <w:t>three to five years of experience as a teacher or school administrator with a special education credential.</w:t>
      </w:r>
    </w:p>
    <w:p w14:paraId="7B2A24AA" w14:textId="77777777" w:rsidR="00A2493B" w:rsidRPr="00C34C12" w:rsidRDefault="00A2493B" w:rsidP="00A2493B">
      <w:pPr>
        <w:rPr>
          <w:lang w:eastAsia="x-none"/>
        </w:rPr>
      </w:pPr>
      <w:r w:rsidRPr="00C34C12">
        <w:rPr>
          <w:lang w:eastAsia="x-none"/>
        </w:rPr>
        <w:t>School administrators; local educational agency (LEA), county content, or program specialists; or university educators must have met the following qualifications to be invited to participate:</w:t>
      </w:r>
    </w:p>
    <w:p w14:paraId="1ACD7683" w14:textId="1EE879B3" w:rsidR="00A2493B" w:rsidRPr="00C34C12" w:rsidRDefault="00A2493B" w:rsidP="00B33B75">
      <w:pPr>
        <w:pStyle w:val="bullets"/>
        <w:numPr>
          <w:ilvl w:val="0"/>
          <w:numId w:val="69"/>
        </w:numPr>
        <w:tabs>
          <w:tab w:val="clear" w:pos="727"/>
        </w:tabs>
        <w:ind w:left="864" w:hanging="288"/>
      </w:pPr>
      <w:r w:rsidRPr="00C34C12">
        <w:t>Three or more years of experience as a school administrator; LEA, county content, or program specialist; or university instructor in a content-specific area</w:t>
      </w:r>
    </w:p>
    <w:p w14:paraId="574830AB" w14:textId="57917FB3" w:rsidR="00A2493B" w:rsidRPr="00C34C12" w:rsidRDefault="00A2493B" w:rsidP="00B33B75">
      <w:pPr>
        <w:pStyle w:val="bullets"/>
        <w:numPr>
          <w:ilvl w:val="0"/>
          <w:numId w:val="69"/>
        </w:numPr>
        <w:tabs>
          <w:tab w:val="clear" w:pos="727"/>
        </w:tabs>
        <w:ind w:left="864" w:hanging="288"/>
      </w:pPr>
      <w:r w:rsidRPr="00C34C12">
        <w:t>Knowledge of</w:t>
      </w:r>
      <w:r w:rsidR="005E3D45">
        <w:t>,</w:t>
      </w:r>
      <w:r w:rsidRPr="00C34C12">
        <w:t xml:space="preserve"> and experience with</w:t>
      </w:r>
      <w:r w:rsidR="005E3D45">
        <w:t>,</w:t>
      </w:r>
      <w:r w:rsidRPr="00C34C12">
        <w:t xml:space="preserve"> the CA NGSS</w:t>
      </w:r>
    </w:p>
    <w:p w14:paraId="077FE8FD" w14:textId="359AA70E" w:rsidR="00A2493B" w:rsidRPr="00C34C12" w:rsidRDefault="00A2493B" w:rsidP="00A2493B">
      <w:pPr>
        <w:rPr>
          <w:lang w:eastAsia="x-none"/>
        </w:rPr>
      </w:pPr>
      <w:r w:rsidRPr="00C34C12">
        <w:rPr>
          <w:lang w:eastAsia="x-none"/>
        </w:rPr>
        <w:t>Every effort was made to ensure that groups of item reviewers included a wide representation of gender, geographic regions</w:t>
      </w:r>
      <w:r w:rsidR="005E3D45">
        <w:rPr>
          <w:lang w:eastAsia="x-none"/>
        </w:rPr>
        <w:t>,</w:t>
      </w:r>
      <w:r w:rsidRPr="00C34C12">
        <w:rPr>
          <w:lang w:eastAsia="x-none"/>
        </w:rPr>
        <w:t xml:space="preserve"> and ethnic groups in California. Efforts also were made to ensure representation by members with experience serving California’s diverse special education population.</w:t>
      </w:r>
    </w:p>
    <w:p w14:paraId="4D81591F" w14:textId="25C21989" w:rsidR="001534DB" w:rsidRPr="00C34C12" w:rsidRDefault="00FD1D7F" w:rsidP="00907F51">
      <w:pPr>
        <w:keepNext/>
      </w:pPr>
      <w:r w:rsidRPr="007C431E">
        <w:rPr>
          <w:rStyle w:val="Cross-Reference"/>
        </w:rPr>
        <w:fldChar w:fldCharType="begin"/>
      </w:r>
      <w:r w:rsidRPr="007C431E">
        <w:rPr>
          <w:rStyle w:val="Cross-Reference"/>
        </w:rPr>
        <w:instrText xml:space="preserve"> REF _Ref61504765 \h  \* MERGEFORMAT </w:instrText>
      </w:r>
      <w:r w:rsidRPr="007C431E">
        <w:rPr>
          <w:rStyle w:val="Cross-Reference"/>
        </w:rPr>
      </w:r>
      <w:r w:rsidRPr="007C431E">
        <w:rPr>
          <w:rStyle w:val="Cross-Reference"/>
        </w:rPr>
        <w:fldChar w:fldCharType="separate"/>
      </w:r>
      <w:r w:rsidR="00907F51" w:rsidRPr="00907F51">
        <w:rPr>
          <w:rStyle w:val="Cross-Reference"/>
        </w:rPr>
        <w:t>Table 3.2</w:t>
      </w:r>
      <w:r w:rsidRPr="007C431E">
        <w:rPr>
          <w:rStyle w:val="Cross-Reference"/>
        </w:rPr>
        <w:fldChar w:fldCharType="end"/>
      </w:r>
      <w:r w:rsidR="00A2493B" w:rsidRPr="00C34C12">
        <w:t xml:space="preserve"> shows the educational qualifications, present occupation, and credentials of the individuals who participated in CAA for Science item review.</w:t>
      </w:r>
      <w:r w:rsidR="00CE2248">
        <w:t xml:space="preserve"> </w:t>
      </w:r>
      <w:r w:rsidR="001534DB">
        <w:t>Note that n</w:t>
      </w:r>
      <w:r w:rsidR="001534DB" w:rsidRPr="004B2D24">
        <w:t xml:space="preserve">umbers may not match the totals because </w:t>
      </w:r>
      <w:r w:rsidR="001534DB">
        <w:t>item reviewers</w:t>
      </w:r>
      <w:r w:rsidR="001534DB" w:rsidRPr="004B2D24">
        <w:t xml:space="preserve"> may have multiple occupations or teaching credentials or are currently working toward earning their highest degree.</w:t>
      </w:r>
    </w:p>
    <w:p w14:paraId="598642C3" w14:textId="27931314" w:rsidR="0017008F" w:rsidRPr="004B2D24" w:rsidRDefault="0017008F" w:rsidP="00265D30">
      <w:pPr>
        <w:pStyle w:val="Caption"/>
      </w:pPr>
      <w:bookmarkStart w:id="254" w:name="_Ref61504765"/>
      <w:bookmarkStart w:id="255" w:name="_Ref32215125"/>
      <w:bookmarkStart w:id="256" w:name="_Toc34737531"/>
      <w:bookmarkStart w:id="257" w:name="_Toc54962483"/>
      <w:bookmarkStart w:id="258" w:name="_Toc67319690"/>
      <w:bookmarkStart w:id="259" w:name="_Toc220498694"/>
      <w:r w:rsidRPr="004B2D24">
        <w:t xml:space="preserve">Table </w:t>
      </w:r>
      <w:r>
        <w:fldChar w:fldCharType="begin"/>
      </w:r>
      <w:r>
        <w:instrText>STYLEREF 2 \s</w:instrText>
      </w:r>
      <w:r>
        <w:fldChar w:fldCharType="separate"/>
      </w:r>
      <w:r w:rsidR="00961502">
        <w:rPr>
          <w:noProof/>
        </w:rPr>
        <w:t>3</w:t>
      </w:r>
      <w:r>
        <w:fldChar w:fldCharType="end"/>
      </w:r>
      <w:r w:rsidR="00A40753">
        <w:t>.</w:t>
      </w:r>
      <w:r>
        <w:fldChar w:fldCharType="begin"/>
      </w:r>
      <w:r>
        <w:instrText>SEQ Table \* ARABIC \s 2</w:instrText>
      </w:r>
      <w:r>
        <w:fldChar w:fldCharType="separate"/>
      </w:r>
      <w:r w:rsidR="00961502">
        <w:rPr>
          <w:noProof/>
        </w:rPr>
        <w:t>2</w:t>
      </w:r>
      <w:r>
        <w:fldChar w:fldCharType="end"/>
      </w:r>
      <w:bookmarkEnd w:id="254"/>
      <w:r w:rsidRPr="004B2D24">
        <w:t xml:space="preserve">  Number of Item </w:t>
      </w:r>
      <w:r w:rsidR="5AF284D6">
        <w:t>Reviewers</w:t>
      </w:r>
      <w:r w:rsidRPr="004B2D24">
        <w:t xml:space="preserve"> with Each Qualification</w:t>
      </w:r>
      <w:bookmarkEnd w:id="255"/>
      <w:bookmarkEnd w:id="256"/>
      <w:bookmarkEnd w:id="257"/>
      <w:bookmarkEnd w:id="258"/>
      <w:bookmarkEnd w:id="259"/>
    </w:p>
    <w:tbl>
      <w:tblPr>
        <w:tblStyle w:val="TRsBorders"/>
        <w:tblW w:w="9648" w:type="dxa"/>
        <w:tblLayout w:type="fixed"/>
        <w:tblLook w:val="04A0" w:firstRow="1" w:lastRow="0" w:firstColumn="1" w:lastColumn="0" w:noHBand="0" w:noVBand="1"/>
        <w:tblDescription w:val="Number of Item Reviewers with Each Qualification"/>
      </w:tblPr>
      <w:tblGrid>
        <w:gridCol w:w="3168"/>
        <w:gridCol w:w="5616"/>
        <w:gridCol w:w="864"/>
      </w:tblGrid>
      <w:tr w:rsidR="0017008F" w:rsidRPr="004B2D24" w14:paraId="231F8A9D" w14:textId="77777777" w:rsidTr="00BA1018">
        <w:trPr>
          <w:cnfStyle w:val="100000000000" w:firstRow="1" w:lastRow="0" w:firstColumn="0" w:lastColumn="0" w:oddVBand="0" w:evenVBand="0" w:oddHBand="0" w:evenHBand="0" w:firstRowFirstColumn="0" w:firstRowLastColumn="0" w:lastRowFirstColumn="0" w:lastRowLastColumn="0"/>
          <w:cantSplit/>
          <w:trHeight w:val="288"/>
        </w:trPr>
        <w:tc>
          <w:tcPr>
            <w:tcW w:w="3168" w:type="dxa"/>
          </w:tcPr>
          <w:p w14:paraId="0EBC1274" w14:textId="77777777" w:rsidR="0017008F" w:rsidRPr="004B2D24" w:rsidRDefault="0017008F" w:rsidP="004261C8">
            <w:pPr>
              <w:pStyle w:val="TableHead"/>
              <w:rPr>
                <w:b w:val="0"/>
                <w:bCs w:val="0"/>
                <w:noProof w:val="0"/>
              </w:rPr>
            </w:pPr>
            <w:r w:rsidRPr="004B2D24">
              <w:rPr>
                <w:noProof w:val="0"/>
              </w:rPr>
              <w:t>Qualification Type</w:t>
            </w:r>
          </w:p>
        </w:tc>
        <w:tc>
          <w:tcPr>
            <w:tcW w:w="5616" w:type="dxa"/>
            <w:hideMark/>
          </w:tcPr>
          <w:p w14:paraId="601C96EC" w14:textId="77777777" w:rsidR="0017008F" w:rsidRPr="004B2D24" w:rsidRDefault="0017008F" w:rsidP="004261C8">
            <w:pPr>
              <w:pStyle w:val="TableHead"/>
              <w:rPr>
                <w:b w:val="0"/>
                <w:bCs w:val="0"/>
                <w:noProof w:val="0"/>
              </w:rPr>
            </w:pPr>
            <w:r w:rsidRPr="004B2D24">
              <w:rPr>
                <w:noProof w:val="0"/>
              </w:rPr>
              <w:t>Qualification</w:t>
            </w:r>
          </w:p>
        </w:tc>
        <w:tc>
          <w:tcPr>
            <w:tcW w:w="864" w:type="dxa"/>
            <w:hideMark/>
          </w:tcPr>
          <w:p w14:paraId="43D6D112" w14:textId="03A0EFC2" w:rsidR="0017008F" w:rsidRPr="004B2D24" w:rsidRDefault="00720986" w:rsidP="004261C8">
            <w:pPr>
              <w:pStyle w:val="TableHead"/>
              <w:jc w:val="left"/>
              <w:rPr>
                <w:b w:val="0"/>
                <w:bCs w:val="0"/>
                <w:noProof w:val="0"/>
                <w:szCs w:val="24"/>
              </w:rPr>
            </w:pPr>
            <w:r>
              <w:rPr>
                <w:noProof w:val="0"/>
                <w:szCs w:val="24"/>
              </w:rPr>
              <w:t>Total</w:t>
            </w:r>
          </w:p>
        </w:tc>
      </w:tr>
      <w:tr w:rsidR="007D1567" w:rsidRPr="004B2D24" w14:paraId="5FFDECC2" w14:textId="77777777" w:rsidTr="00BA1018">
        <w:trPr>
          <w:trHeight w:val="20"/>
        </w:trPr>
        <w:tc>
          <w:tcPr>
            <w:tcW w:w="3168" w:type="dxa"/>
          </w:tcPr>
          <w:p w14:paraId="0C15722B" w14:textId="77777777" w:rsidR="007D1567" w:rsidRPr="004B2D24" w:rsidRDefault="007D1567" w:rsidP="007D1567">
            <w:pPr>
              <w:pStyle w:val="TableText"/>
              <w:rPr>
                <w:b/>
              </w:rPr>
            </w:pPr>
            <w:r w:rsidRPr="004B2D24">
              <w:rPr>
                <w:b/>
              </w:rPr>
              <w:t>N/A</w:t>
            </w:r>
          </w:p>
        </w:tc>
        <w:tc>
          <w:tcPr>
            <w:tcW w:w="5616" w:type="dxa"/>
            <w:hideMark/>
          </w:tcPr>
          <w:p w14:paraId="2DC999E3" w14:textId="77777777" w:rsidR="007D1567" w:rsidRPr="004B2D24" w:rsidRDefault="007D1567" w:rsidP="007D1567">
            <w:pPr>
              <w:pStyle w:val="TableText"/>
              <w:rPr>
                <w:b/>
              </w:rPr>
            </w:pPr>
            <w:r w:rsidRPr="004B2D24">
              <w:rPr>
                <w:b/>
              </w:rPr>
              <w:t>Total number of reviewers</w:t>
            </w:r>
          </w:p>
        </w:tc>
        <w:tc>
          <w:tcPr>
            <w:tcW w:w="864" w:type="dxa"/>
          </w:tcPr>
          <w:p w14:paraId="2A217122" w14:textId="00EEB724" w:rsidR="007D1567" w:rsidRPr="004B2D24" w:rsidRDefault="007D1567" w:rsidP="007D1567">
            <w:pPr>
              <w:pStyle w:val="TableText"/>
              <w:rPr>
                <w:b/>
                <w:bCs/>
              </w:rPr>
            </w:pPr>
            <w:r>
              <w:rPr>
                <w:rFonts w:eastAsia="Times New Roman"/>
                <w:b/>
                <w:bCs/>
                <w:szCs w:val="24"/>
              </w:rPr>
              <w:t>9</w:t>
            </w:r>
          </w:p>
        </w:tc>
      </w:tr>
      <w:tr w:rsidR="007D1567" w:rsidRPr="004B2D24" w14:paraId="686F67ED" w14:textId="77777777" w:rsidTr="00BA1018">
        <w:trPr>
          <w:trHeight w:val="20"/>
        </w:trPr>
        <w:tc>
          <w:tcPr>
            <w:tcW w:w="3168" w:type="dxa"/>
          </w:tcPr>
          <w:p w14:paraId="2B70AC4A" w14:textId="77777777" w:rsidR="007D1567" w:rsidRPr="004B2D24" w:rsidRDefault="007D1567" w:rsidP="007D1567">
            <w:pPr>
              <w:pStyle w:val="TableText"/>
            </w:pPr>
            <w:r w:rsidRPr="004B2D24">
              <w:rPr>
                <w:b/>
              </w:rPr>
              <w:t>Occupation</w:t>
            </w:r>
          </w:p>
        </w:tc>
        <w:tc>
          <w:tcPr>
            <w:tcW w:w="5616" w:type="dxa"/>
            <w:hideMark/>
          </w:tcPr>
          <w:p w14:paraId="1C8E563F" w14:textId="77777777" w:rsidR="007D1567" w:rsidRPr="004B2D24" w:rsidRDefault="007D1567" w:rsidP="007D1567">
            <w:pPr>
              <w:pStyle w:val="TableText"/>
              <w:jc w:val="left"/>
            </w:pPr>
            <w:r w:rsidRPr="004B2D24">
              <w:t>Teacher or Program Specialist, Elementary School</w:t>
            </w:r>
          </w:p>
        </w:tc>
        <w:tc>
          <w:tcPr>
            <w:tcW w:w="864" w:type="dxa"/>
          </w:tcPr>
          <w:p w14:paraId="1B8F6DAE" w14:textId="239F1BD5" w:rsidR="007D1567" w:rsidRPr="004B2D24" w:rsidRDefault="007D1567" w:rsidP="007D1567">
            <w:pPr>
              <w:pStyle w:val="TableText"/>
            </w:pPr>
            <w:r>
              <w:rPr>
                <w:rFonts w:eastAsia="Times New Roman"/>
                <w:szCs w:val="24"/>
              </w:rPr>
              <w:t>3</w:t>
            </w:r>
          </w:p>
        </w:tc>
      </w:tr>
      <w:tr w:rsidR="007D1567" w:rsidRPr="004B2D24" w14:paraId="59DDC7F9" w14:textId="77777777" w:rsidTr="00BA1018">
        <w:trPr>
          <w:trHeight w:val="20"/>
        </w:trPr>
        <w:tc>
          <w:tcPr>
            <w:tcW w:w="3168" w:type="dxa"/>
          </w:tcPr>
          <w:p w14:paraId="14F2E663" w14:textId="77777777" w:rsidR="007D1567" w:rsidRPr="004B2D24" w:rsidRDefault="007D1567" w:rsidP="007D1567">
            <w:pPr>
              <w:pStyle w:val="TableText"/>
            </w:pPr>
            <w:r w:rsidRPr="004B2D24">
              <w:rPr>
                <w:b/>
              </w:rPr>
              <w:t>Occupation</w:t>
            </w:r>
          </w:p>
        </w:tc>
        <w:tc>
          <w:tcPr>
            <w:tcW w:w="5616" w:type="dxa"/>
            <w:hideMark/>
          </w:tcPr>
          <w:p w14:paraId="457D1E09" w14:textId="77777777" w:rsidR="007D1567" w:rsidRPr="004B2D24" w:rsidRDefault="007D1567" w:rsidP="007D1567">
            <w:pPr>
              <w:pStyle w:val="TableText"/>
              <w:jc w:val="left"/>
              <w:rPr>
                <w:rFonts w:cs="Times New Roman"/>
              </w:rPr>
            </w:pPr>
            <w:r w:rsidRPr="004B2D24">
              <w:t>Teacher or Program Specialist, Middle School</w:t>
            </w:r>
          </w:p>
        </w:tc>
        <w:tc>
          <w:tcPr>
            <w:tcW w:w="864" w:type="dxa"/>
          </w:tcPr>
          <w:p w14:paraId="6BF61057" w14:textId="6C26A76B" w:rsidR="007D1567" w:rsidRPr="004B2D24" w:rsidRDefault="007D1567" w:rsidP="007D1567">
            <w:pPr>
              <w:pStyle w:val="TableText"/>
            </w:pPr>
            <w:r>
              <w:rPr>
                <w:rFonts w:eastAsia="Times New Roman"/>
                <w:szCs w:val="24"/>
              </w:rPr>
              <w:t>4</w:t>
            </w:r>
          </w:p>
        </w:tc>
      </w:tr>
      <w:tr w:rsidR="007D1567" w:rsidRPr="004B2D24" w14:paraId="24398014" w14:textId="77777777" w:rsidTr="00BA1018">
        <w:trPr>
          <w:trHeight w:val="20"/>
        </w:trPr>
        <w:tc>
          <w:tcPr>
            <w:tcW w:w="3168" w:type="dxa"/>
          </w:tcPr>
          <w:p w14:paraId="2C4D8ABA" w14:textId="77777777" w:rsidR="007D1567" w:rsidRPr="004B2D24" w:rsidRDefault="007D1567" w:rsidP="007D1567">
            <w:pPr>
              <w:pStyle w:val="TableText"/>
            </w:pPr>
            <w:r w:rsidRPr="004B2D24">
              <w:rPr>
                <w:b/>
              </w:rPr>
              <w:t>Occupation</w:t>
            </w:r>
          </w:p>
        </w:tc>
        <w:tc>
          <w:tcPr>
            <w:tcW w:w="5616" w:type="dxa"/>
            <w:hideMark/>
          </w:tcPr>
          <w:p w14:paraId="35CFD14C" w14:textId="77777777" w:rsidR="007D1567" w:rsidRPr="004B2D24" w:rsidRDefault="007D1567" w:rsidP="007D1567">
            <w:pPr>
              <w:pStyle w:val="TableText"/>
              <w:jc w:val="left"/>
              <w:rPr>
                <w:rFonts w:cs="Times New Roman"/>
              </w:rPr>
            </w:pPr>
            <w:r w:rsidRPr="004B2D24">
              <w:t>Teacher or Program Specialist, High School</w:t>
            </w:r>
          </w:p>
        </w:tc>
        <w:tc>
          <w:tcPr>
            <w:tcW w:w="864" w:type="dxa"/>
          </w:tcPr>
          <w:p w14:paraId="009D0E48" w14:textId="512DB46B" w:rsidR="007D1567" w:rsidRPr="004B2D24" w:rsidRDefault="007D1567" w:rsidP="007D1567">
            <w:pPr>
              <w:pStyle w:val="TableText"/>
            </w:pPr>
            <w:r>
              <w:rPr>
                <w:rFonts w:eastAsia="Times New Roman"/>
                <w:szCs w:val="24"/>
              </w:rPr>
              <w:t>2</w:t>
            </w:r>
          </w:p>
        </w:tc>
      </w:tr>
      <w:tr w:rsidR="007D1567" w:rsidRPr="004B2D24" w14:paraId="30377EEE" w14:textId="77777777" w:rsidTr="00BA1018">
        <w:trPr>
          <w:trHeight w:val="20"/>
        </w:trPr>
        <w:tc>
          <w:tcPr>
            <w:tcW w:w="3168" w:type="dxa"/>
            <w:tcBorders>
              <w:bottom w:val="single" w:sz="12" w:space="0" w:color="auto"/>
            </w:tcBorders>
          </w:tcPr>
          <w:p w14:paraId="4CF34147" w14:textId="77777777" w:rsidR="007D1567" w:rsidRPr="004B2D24" w:rsidRDefault="007D1567" w:rsidP="007D1567">
            <w:pPr>
              <w:pStyle w:val="TableText"/>
            </w:pPr>
            <w:r w:rsidRPr="004B2D24">
              <w:rPr>
                <w:b/>
              </w:rPr>
              <w:t>Occupation</w:t>
            </w:r>
          </w:p>
        </w:tc>
        <w:tc>
          <w:tcPr>
            <w:tcW w:w="5616" w:type="dxa"/>
            <w:tcBorders>
              <w:bottom w:val="single" w:sz="12" w:space="0" w:color="auto"/>
            </w:tcBorders>
            <w:hideMark/>
          </w:tcPr>
          <w:p w14:paraId="2B1C271C" w14:textId="77777777" w:rsidR="007D1567" w:rsidRPr="004B2D24" w:rsidRDefault="007D1567" w:rsidP="007D1567">
            <w:pPr>
              <w:pStyle w:val="TableText"/>
              <w:jc w:val="left"/>
            </w:pPr>
            <w:r w:rsidRPr="004B2D24">
              <w:t>Other District Personnel</w:t>
            </w:r>
          </w:p>
        </w:tc>
        <w:tc>
          <w:tcPr>
            <w:tcW w:w="864" w:type="dxa"/>
            <w:tcBorders>
              <w:bottom w:val="single" w:sz="12" w:space="0" w:color="auto"/>
            </w:tcBorders>
          </w:tcPr>
          <w:p w14:paraId="721524F3" w14:textId="20BF39B2" w:rsidR="007D1567" w:rsidRPr="004B2D24" w:rsidRDefault="007D1567" w:rsidP="007D1567">
            <w:pPr>
              <w:pStyle w:val="TableText"/>
            </w:pPr>
            <w:r>
              <w:rPr>
                <w:rFonts w:eastAsia="Times New Roman"/>
                <w:szCs w:val="24"/>
              </w:rPr>
              <w:t>0</w:t>
            </w:r>
          </w:p>
        </w:tc>
      </w:tr>
      <w:tr w:rsidR="00710BAB" w:rsidRPr="004B2D24" w14:paraId="3D537E72" w14:textId="77777777" w:rsidTr="00BA1018">
        <w:trPr>
          <w:trHeight w:val="20"/>
        </w:trPr>
        <w:tc>
          <w:tcPr>
            <w:tcW w:w="3168" w:type="dxa"/>
          </w:tcPr>
          <w:p w14:paraId="440888E6" w14:textId="77777777" w:rsidR="00710BAB" w:rsidRPr="004B2D24" w:rsidRDefault="00710BAB" w:rsidP="0000414C">
            <w:pPr>
              <w:pStyle w:val="TableText"/>
              <w:keepNext/>
              <w:rPr>
                <w:b/>
              </w:rPr>
            </w:pPr>
            <w:r w:rsidRPr="004B2D24">
              <w:rPr>
                <w:b/>
              </w:rPr>
              <w:t>Highest Degree Earned</w:t>
            </w:r>
          </w:p>
        </w:tc>
        <w:tc>
          <w:tcPr>
            <w:tcW w:w="5616" w:type="dxa"/>
            <w:hideMark/>
          </w:tcPr>
          <w:p w14:paraId="1678C011" w14:textId="77777777" w:rsidR="00710BAB" w:rsidRPr="004B2D24" w:rsidRDefault="00710BAB" w:rsidP="0000414C">
            <w:pPr>
              <w:pStyle w:val="TableText"/>
              <w:jc w:val="left"/>
            </w:pPr>
            <w:r w:rsidRPr="004B2D24">
              <w:t>Bachelor’s Degree</w:t>
            </w:r>
          </w:p>
        </w:tc>
        <w:tc>
          <w:tcPr>
            <w:tcW w:w="864" w:type="dxa"/>
          </w:tcPr>
          <w:p w14:paraId="316CFDDB" w14:textId="77777777" w:rsidR="00710BAB" w:rsidRPr="004B2D24" w:rsidRDefault="00710BAB" w:rsidP="0000414C">
            <w:pPr>
              <w:pStyle w:val="TableText"/>
            </w:pPr>
            <w:r>
              <w:rPr>
                <w:rFonts w:eastAsia="Times New Roman"/>
                <w:szCs w:val="24"/>
              </w:rPr>
              <w:t>0</w:t>
            </w:r>
          </w:p>
        </w:tc>
      </w:tr>
      <w:tr w:rsidR="00710BAB" w:rsidRPr="004B2D24" w14:paraId="0BEF00DC" w14:textId="77777777" w:rsidTr="00BA1018">
        <w:trPr>
          <w:trHeight w:val="20"/>
        </w:trPr>
        <w:tc>
          <w:tcPr>
            <w:tcW w:w="3168" w:type="dxa"/>
          </w:tcPr>
          <w:p w14:paraId="4726A49E" w14:textId="77777777" w:rsidR="00710BAB" w:rsidRPr="004B2D24" w:rsidRDefault="00710BAB" w:rsidP="0000414C">
            <w:pPr>
              <w:pStyle w:val="TableText"/>
              <w:keepNext/>
            </w:pPr>
            <w:r w:rsidRPr="004B2D24">
              <w:rPr>
                <w:b/>
              </w:rPr>
              <w:t>Highest Degree Earned</w:t>
            </w:r>
          </w:p>
        </w:tc>
        <w:tc>
          <w:tcPr>
            <w:tcW w:w="5616" w:type="dxa"/>
            <w:hideMark/>
          </w:tcPr>
          <w:p w14:paraId="30862CFF" w14:textId="77777777" w:rsidR="00710BAB" w:rsidRPr="004B2D24" w:rsidRDefault="00710BAB" w:rsidP="0000414C">
            <w:pPr>
              <w:pStyle w:val="TableText"/>
              <w:jc w:val="left"/>
            </w:pPr>
            <w:r w:rsidRPr="004B2D24">
              <w:t>Master’s Degree</w:t>
            </w:r>
          </w:p>
        </w:tc>
        <w:tc>
          <w:tcPr>
            <w:tcW w:w="864" w:type="dxa"/>
          </w:tcPr>
          <w:p w14:paraId="2679062F" w14:textId="77777777" w:rsidR="00710BAB" w:rsidRPr="004B2D24" w:rsidRDefault="00710BAB" w:rsidP="0000414C">
            <w:pPr>
              <w:pStyle w:val="TableText"/>
            </w:pPr>
            <w:r>
              <w:rPr>
                <w:rFonts w:eastAsia="Times New Roman"/>
                <w:szCs w:val="24"/>
              </w:rPr>
              <w:t>9</w:t>
            </w:r>
          </w:p>
        </w:tc>
      </w:tr>
      <w:tr w:rsidR="00710BAB" w:rsidRPr="004B2D24" w14:paraId="13F425D0" w14:textId="77777777" w:rsidTr="00BA1018">
        <w:trPr>
          <w:trHeight w:val="20"/>
        </w:trPr>
        <w:tc>
          <w:tcPr>
            <w:tcW w:w="3168" w:type="dxa"/>
          </w:tcPr>
          <w:p w14:paraId="6B00ABD8" w14:textId="77777777" w:rsidR="00710BAB" w:rsidRPr="004B2D24" w:rsidRDefault="00710BAB" w:rsidP="0000414C">
            <w:pPr>
              <w:pStyle w:val="TableText"/>
            </w:pPr>
            <w:r w:rsidRPr="004B2D24">
              <w:rPr>
                <w:b/>
              </w:rPr>
              <w:t>Highest Degree Earned</w:t>
            </w:r>
          </w:p>
        </w:tc>
        <w:tc>
          <w:tcPr>
            <w:tcW w:w="5616" w:type="dxa"/>
            <w:hideMark/>
          </w:tcPr>
          <w:p w14:paraId="13CD78F4" w14:textId="77777777" w:rsidR="00710BAB" w:rsidRPr="004B2D24" w:rsidRDefault="00710BAB" w:rsidP="0000414C">
            <w:pPr>
              <w:pStyle w:val="TableText"/>
              <w:jc w:val="left"/>
            </w:pPr>
            <w:r w:rsidRPr="004B2D24">
              <w:t>Doctorate</w:t>
            </w:r>
          </w:p>
        </w:tc>
        <w:tc>
          <w:tcPr>
            <w:tcW w:w="864" w:type="dxa"/>
          </w:tcPr>
          <w:p w14:paraId="4CA5E94E" w14:textId="77777777" w:rsidR="00710BAB" w:rsidRPr="004B2D24" w:rsidRDefault="00710BAB" w:rsidP="0000414C">
            <w:pPr>
              <w:pStyle w:val="TableText"/>
            </w:pPr>
            <w:r>
              <w:rPr>
                <w:rFonts w:eastAsia="Times New Roman"/>
                <w:szCs w:val="24"/>
              </w:rPr>
              <w:t>1</w:t>
            </w:r>
          </w:p>
        </w:tc>
      </w:tr>
      <w:tr w:rsidR="007D1567" w:rsidRPr="004B2D24" w14:paraId="2D3E2520" w14:textId="77777777" w:rsidTr="00BA1018">
        <w:trPr>
          <w:trHeight w:val="20"/>
        </w:trPr>
        <w:tc>
          <w:tcPr>
            <w:tcW w:w="3168" w:type="dxa"/>
          </w:tcPr>
          <w:p w14:paraId="0A50F37D" w14:textId="77777777" w:rsidR="007D1567" w:rsidRPr="004B2D24" w:rsidRDefault="007D1567" w:rsidP="007D1567">
            <w:pPr>
              <w:pStyle w:val="TableText"/>
              <w:keepNext/>
              <w:rPr>
                <w:b/>
              </w:rPr>
            </w:pPr>
            <w:r w:rsidRPr="004B2D24">
              <w:rPr>
                <w:b/>
              </w:rPr>
              <w:lastRenderedPageBreak/>
              <w:t>K–12 Teaching Credential</w:t>
            </w:r>
          </w:p>
        </w:tc>
        <w:tc>
          <w:tcPr>
            <w:tcW w:w="5616" w:type="dxa"/>
            <w:hideMark/>
          </w:tcPr>
          <w:p w14:paraId="5E99BB5B" w14:textId="77777777" w:rsidR="007D1567" w:rsidRPr="004B2D24" w:rsidRDefault="007D1567" w:rsidP="007D1567">
            <w:pPr>
              <w:pStyle w:val="TableText"/>
              <w:jc w:val="left"/>
            </w:pPr>
            <w:r w:rsidRPr="004B2D24">
              <w:t>Elementary Teaching (multiple subjects)</w:t>
            </w:r>
          </w:p>
        </w:tc>
        <w:tc>
          <w:tcPr>
            <w:tcW w:w="864" w:type="dxa"/>
          </w:tcPr>
          <w:p w14:paraId="4AB56DB2" w14:textId="07937868" w:rsidR="007D1567" w:rsidRPr="004B2D24" w:rsidRDefault="007D1567" w:rsidP="007D1567">
            <w:pPr>
              <w:pStyle w:val="TableText"/>
            </w:pPr>
            <w:r>
              <w:rPr>
                <w:rFonts w:eastAsia="Times New Roman"/>
                <w:szCs w:val="24"/>
              </w:rPr>
              <w:t>3</w:t>
            </w:r>
          </w:p>
        </w:tc>
      </w:tr>
      <w:tr w:rsidR="007D1567" w:rsidRPr="004B2D24" w14:paraId="487806B0" w14:textId="77777777" w:rsidTr="00BA1018">
        <w:trPr>
          <w:trHeight w:val="20"/>
        </w:trPr>
        <w:tc>
          <w:tcPr>
            <w:tcW w:w="3168" w:type="dxa"/>
          </w:tcPr>
          <w:p w14:paraId="4422FFD6" w14:textId="77777777" w:rsidR="007D1567" w:rsidRPr="004B2D24" w:rsidRDefault="007D1567" w:rsidP="007D1567">
            <w:pPr>
              <w:pStyle w:val="TableText"/>
              <w:keepNext/>
              <w:rPr>
                <w:b/>
              </w:rPr>
            </w:pPr>
            <w:r w:rsidRPr="004B2D24">
              <w:rPr>
                <w:b/>
              </w:rPr>
              <w:t>K–12 Teaching Credential</w:t>
            </w:r>
          </w:p>
        </w:tc>
        <w:tc>
          <w:tcPr>
            <w:tcW w:w="5616" w:type="dxa"/>
            <w:hideMark/>
          </w:tcPr>
          <w:p w14:paraId="0DBD8BF6" w14:textId="77777777" w:rsidR="007D1567" w:rsidRPr="004B2D24" w:rsidRDefault="007D1567" w:rsidP="007D1567">
            <w:pPr>
              <w:pStyle w:val="TableText"/>
              <w:jc w:val="left"/>
            </w:pPr>
            <w:r w:rsidRPr="004B2D24">
              <w:t>Secondary Teaching (single subject)</w:t>
            </w:r>
          </w:p>
        </w:tc>
        <w:tc>
          <w:tcPr>
            <w:tcW w:w="864" w:type="dxa"/>
          </w:tcPr>
          <w:p w14:paraId="3BAF2054" w14:textId="670597BB" w:rsidR="007D1567" w:rsidRPr="004B2D24" w:rsidRDefault="007D1567" w:rsidP="007D1567">
            <w:pPr>
              <w:pStyle w:val="TableText"/>
            </w:pPr>
            <w:r>
              <w:rPr>
                <w:rFonts w:eastAsia="Times New Roman"/>
                <w:szCs w:val="24"/>
              </w:rPr>
              <w:t>2</w:t>
            </w:r>
          </w:p>
        </w:tc>
      </w:tr>
      <w:tr w:rsidR="007D1567" w:rsidRPr="004B2D24" w14:paraId="02C1BF65" w14:textId="77777777" w:rsidTr="00BA1018">
        <w:trPr>
          <w:trHeight w:val="20"/>
        </w:trPr>
        <w:tc>
          <w:tcPr>
            <w:tcW w:w="3168" w:type="dxa"/>
          </w:tcPr>
          <w:p w14:paraId="3FA5756A" w14:textId="77777777" w:rsidR="007D1567" w:rsidRPr="004B2D24" w:rsidRDefault="007D1567" w:rsidP="007D1567">
            <w:pPr>
              <w:pStyle w:val="TableText"/>
              <w:keepNext/>
              <w:rPr>
                <w:b/>
              </w:rPr>
            </w:pPr>
            <w:r w:rsidRPr="004B2D24">
              <w:rPr>
                <w:b/>
              </w:rPr>
              <w:t>K–12 Teaching Credential</w:t>
            </w:r>
          </w:p>
        </w:tc>
        <w:tc>
          <w:tcPr>
            <w:tcW w:w="5616" w:type="dxa"/>
            <w:hideMark/>
          </w:tcPr>
          <w:p w14:paraId="4996376D" w14:textId="77777777" w:rsidR="007D1567" w:rsidRPr="004B2D24" w:rsidRDefault="007D1567" w:rsidP="007D1567">
            <w:pPr>
              <w:pStyle w:val="TableText"/>
              <w:jc w:val="left"/>
            </w:pPr>
            <w:r w:rsidRPr="004B2D24">
              <w:t>Special Education</w:t>
            </w:r>
          </w:p>
        </w:tc>
        <w:tc>
          <w:tcPr>
            <w:tcW w:w="864" w:type="dxa"/>
          </w:tcPr>
          <w:p w14:paraId="22D93B39" w14:textId="66A03C69" w:rsidR="007D1567" w:rsidRPr="004B2D24" w:rsidRDefault="007D1567" w:rsidP="007D1567">
            <w:pPr>
              <w:pStyle w:val="TableText"/>
            </w:pPr>
            <w:r>
              <w:rPr>
                <w:rFonts w:eastAsia="Times New Roman"/>
                <w:szCs w:val="24"/>
              </w:rPr>
              <w:t>5</w:t>
            </w:r>
          </w:p>
        </w:tc>
      </w:tr>
      <w:tr w:rsidR="007D1567" w:rsidRPr="004B2D24" w14:paraId="409F8208" w14:textId="77777777" w:rsidTr="00BA1018">
        <w:trPr>
          <w:trHeight w:val="20"/>
        </w:trPr>
        <w:tc>
          <w:tcPr>
            <w:tcW w:w="3168" w:type="dxa"/>
          </w:tcPr>
          <w:p w14:paraId="5DD83652" w14:textId="77777777" w:rsidR="007D1567" w:rsidRPr="004B2D24" w:rsidRDefault="007D1567" w:rsidP="007D1567">
            <w:pPr>
              <w:pStyle w:val="TableText"/>
              <w:keepNext/>
              <w:rPr>
                <w:b/>
              </w:rPr>
            </w:pPr>
            <w:r w:rsidRPr="004B2D24">
              <w:rPr>
                <w:b/>
              </w:rPr>
              <w:t>K–12 Teaching Credential</w:t>
            </w:r>
          </w:p>
        </w:tc>
        <w:tc>
          <w:tcPr>
            <w:tcW w:w="5616" w:type="dxa"/>
            <w:hideMark/>
          </w:tcPr>
          <w:p w14:paraId="4AA8BD36" w14:textId="77777777" w:rsidR="007D1567" w:rsidRPr="004B2D24" w:rsidRDefault="007D1567" w:rsidP="007D1567">
            <w:pPr>
              <w:pStyle w:val="TableText"/>
              <w:jc w:val="left"/>
            </w:pPr>
            <w:r w:rsidRPr="004B2D24">
              <w:t>Reading Specialist</w:t>
            </w:r>
          </w:p>
        </w:tc>
        <w:tc>
          <w:tcPr>
            <w:tcW w:w="864" w:type="dxa"/>
          </w:tcPr>
          <w:p w14:paraId="466F8DCB" w14:textId="582FE5CD" w:rsidR="007D1567" w:rsidRPr="000234E6" w:rsidRDefault="007D1567" w:rsidP="007D1567">
            <w:pPr>
              <w:pStyle w:val="TableText"/>
              <w:rPr>
                <w:rFonts w:eastAsia="Times New Roman"/>
                <w:szCs w:val="24"/>
              </w:rPr>
            </w:pPr>
            <w:r>
              <w:rPr>
                <w:rFonts w:eastAsia="Times New Roman"/>
                <w:szCs w:val="24"/>
              </w:rPr>
              <w:t>0</w:t>
            </w:r>
          </w:p>
        </w:tc>
      </w:tr>
      <w:tr w:rsidR="007D1567" w:rsidRPr="004B2D24" w14:paraId="6D1FB421" w14:textId="77777777" w:rsidTr="00BA1018">
        <w:trPr>
          <w:trHeight w:val="20"/>
        </w:trPr>
        <w:tc>
          <w:tcPr>
            <w:tcW w:w="3168" w:type="dxa"/>
          </w:tcPr>
          <w:p w14:paraId="424C4C37" w14:textId="77777777" w:rsidR="007D1567" w:rsidRPr="004B2D24" w:rsidRDefault="007D1567" w:rsidP="007D1567">
            <w:pPr>
              <w:pStyle w:val="TableText"/>
              <w:keepNext/>
              <w:rPr>
                <w:b/>
              </w:rPr>
            </w:pPr>
            <w:r w:rsidRPr="004B2D24">
              <w:rPr>
                <w:b/>
              </w:rPr>
              <w:t>K–12 Teaching Credential</w:t>
            </w:r>
          </w:p>
        </w:tc>
        <w:tc>
          <w:tcPr>
            <w:tcW w:w="5616" w:type="dxa"/>
            <w:hideMark/>
          </w:tcPr>
          <w:p w14:paraId="0414B59F" w14:textId="77777777" w:rsidR="007D1567" w:rsidRPr="004B2D24" w:rsidRDefault="007D1567" w:rsidP="007D1567">
            <w:pPr>
              <w:pStyle w:val="TableText"/>
              <w:jc w:val="left"/>
            </w:pPr>
            <w:r w:rsidRPr="004B2D24">
              <w:t>English Learner (Crosscultural, Language and Academic Development; Bilingual, Crosscultural, Language and Academic Development)</w:t>
            </w:r>
          </w:p>
        </w:tc>
        <w:tc>
          <w:tcPr>
            <w:tcW w:w="864" w:type="dxa"/>
          </w:tcPr>
          <w:p w14:paraId="29884DDC" w14:textId="46D9A966" w:rsidR="007D1567" w:rsidRPr="000234E6" w:rsidRDefault="007D1567" w:rsidP="007D1567">
            <w:pPr>
              <w:pStyle w:val="TableText"/>
              <w:rPr>
                <w:rFonts w:eastAsia="Times New Roman"/>
                <w:szCs w:val="24"/>
              </w:rPr>
            </w:pPr>
            <w:r>
              <w:rPr>
                <w:rFonts w:eastAsia="Times New Roman"/>
                <w:szCs w:val="24"/>
              </w:rPr>
              <w:t>0</w:t>
            </w:r>
          </w:p>
        </w:tc>
      </w:tr>
      <w:tr w:rsidR="007D1567" w:rsidRPr="004B2D24" w14:paraId="32021B68" w14:textId="77777777" w:rsidTr="00BA1018">
        <w:trPr>
          <w:trHeight w:val="58"/>
        </w:trPr>
        <w:tc>
          <w:tcPr>
            <w:tcW w:w="3168" w:type="dxa"/>
          </w:tcPr>
          <w:p w14:paraId="744E5391" w14:textId="77777777" w:rsidR="007D1567" w:rsidRPr="004B2D24" w:rsidRDefault="007D1567" w:rsidP="007D1567">
            <w:pPr>
              <w:pStyle w:val="TableText"/>
              <w:rPr>
                <w:b/>
              </w:rPr>
            </w:pPr>
            <w:r w:rsidRPr="004B2D24">
              <w:rPr>
                <w:b/>
              </w:rPr>
              <w:t>K–12 Teaching Credential</w:t>
            </w:r>
          </w:p>
        </w:tc>
        <w:tc>
          <w:tcPr>
            <w:tcW w:w="5616" w:type="dxa"/>
            <w:hideMark/>
          </w:tcPr>
          <w:p w14:paraId="7BE8CBFF" w14:textId="77777777" w:rsidR="007D1567" w:rsidRPr="004B2D24" w:rsidRDefault="007D1567" w:rsidP="007D1567">
            <w:pPr>
              <w:pStyle w:val="TableText"/>
              <w:jc w:val="left"/>
            </w:pPr>
            <w:r w:rsidRPr="004B2D24">
              <w:t>Administrative</w:t>
            </w:r>
          </w:p>
        </w:tc>
        <w:tc>
          <w:tcPr>
            <w:tcW w:w="864" w:type="dxa"/>
          </w:tcPr>
          <w:p w14:paraId="2CE6EC40" w14:textId="0C7B753D" w:rsidR="007D1567" w:rsidRPr="004B2D24" w:rsidRDefault="007D1567" w:rsidP="007D1567">
            <w:pPr>
              <w:pStyle w:val="TableText"/>
            </w:pPr>
            <w:r>
              <w:rPr>
                <w:rFonts w:eastAsia="Times New Roman"/>
                <w:szCs w:val="24"/>
              </w:rPr>
              <w:t>0</w:t>
            </w:r>
          </w:p>
        </w:tc>
      </w:tr>
      <w:tr w:rsidR="007D1567" w:rsidRPr="004B2D24" w14:paraId="0E58D465" w14:textId="77777777" w:rsidTr="00BA1018">
        <w:trPr>
          <w:trHeight w:val="20"/>
        </w:trPr>
        <w:tc>
          <w:tcPr>
            <w:tcW w:w="3168" w:type="dxa"/>
          </w:tcPr>
          <w:p w14:paraId="15E23B8D" w14:textId="77777777" w:rsidR="007D1567" w:rsidRPr="004B2D24" w:rsidRDefault="007D1567" w:rsidP="007D1567">
            <w:pPr>
              <w:pStyle w:val="TableText"/>
              <w:rPr>
                <w:b/>
              </w:rPr>
            </w:pPr>
            <w:r w:rsidRPr="004B2D24">
              <w:rPr>
                <w:b/>
              </w:rPr>
              <w:t>K–12 Teaching Credential</w:t>
            </w:r>
          </w:p>
        </w:tc>
        <w:tc>
          <w:tcPr>
            <w:tcW w:w="5616" w:type="dxa"/>
            <w:hideMark/>
          </w:tcPr>
          <w:p w14:paraId="231350BD" w14:textId="77777777" w:rsidR="007D1567" w:rsidRPr="004B2D24" w:rsidRDefault="007D1567" w:rsidP="007D1567">
            <w:pPr>
              <w:pStyle w:val="TableText"/>
              <w:jc w:val="left"/>
            </w:pPr>
            <w:r w:rsidRPr="004B2D24">
              <w:t>Other</w:t>
            </w:r>
          </w:p>
        </w:tc>
        <w:tc>
          <w:tcPr>
            <w:tcW w:w="864" w:type="dxa"/>
          </w:tcPr>
          <w:p w14:paraId="370D2533" w14:textId="58359C57" w:rsidR="007D1567" w:rsidRPr="004B2D24" w:rsidRDefault="007D1567" w:rsidP="007D1567">
            <w:pPr>
              <w:pStyle w:val="TableText"/>
            </w:pPr>
            <w:r>
              <w:rPr>
                <w:rFonts w:eastAsia="Times New Roman"/>
                <w:szCs w:val="24"/>
              </w:rPr>
              <w:t>0</w:t>
            </w:r>
          </w:p>
        </w:tc>
      </w:tr>
    </w:tbl>
    <w:p w14:paraId="0F977838" w14:textId="77777777" w:rsidR="00A2493B" w:rsidRPr="00C34C12" w:rsidRDefault="00A2493B" w:rsidP="001534DB">
      <w:pPr>
        <w:spacing w:before="120"/>
        <w:rPr>
          <w:lang w:eastAsia="x-none"/>
        </w:rPr>
      </w:pPr>
      <w:r w:rsidRPr="00C34C12">
        <w:rPr>
          <w:lang w:eastAsia="x-none"/>
        </w:rPr>
        <w:t>Item reviewers were recruited through an application process. Recommendations were solicited from LEAs and county offices of education as well as from the CDE. Applications were reviewed by ETS assessment directors, who confirmed that an applicant’s qualifications met the specified criteria. Applicants who met the criteria had their information forwarded to the CDE for further review and agreement before invitations to participate were distributed.</w:t>
      </w:r>
    </w:p>
    <w:p w14:paraId="4D2E1F38" w14:textId="7989B111" w:rsidR="00055964" w:rsidRDefault="00055964" w:rsidP="00265D30">
      <w:pPr>
        <w:pStyle w:val="Heading4"/>
        <w:keepLines/>
      </w:pPr>
      <w:bookmarkStart w:id="260" w:name="_Toc182555147"/>
      <w:r>
        <w:t>Meetings for Review of CAA for Science Embedded P</w:t>
      </w:r>
      <w:r w:rsidR="00C66744">
        <w:t xml:space="preserve">erformance </w:t>
      </w:r>
      <w:r>
        <w:t>T</w:t>
      </w:r>
      <w:r w:rsidR="00C66744">
        <w:t>ask</w:t>
      </w:r>
      <w:r>
        <w:t>s and Items</w:t>
      </w:r>
      <w:bookmarkEnd w:id="260"/>
    </w:p>
    <w:p w14:paraId="26E87D76" w14:textId="38898155" w:rsidR="00194D71" w:rsidRDefault="00194D71" w:rsidP="00265D30">
      <w:pPr>
        <w:keepNext/>
        <w:keepLines/>
        <w:rPr>
          <w:rFonts w:ascii="Calibri" w:eastAsiaTheme="minorHAnsi" w:hAnsi="Calibri" w:cs="Calibri"/>
          <w:color w:val="auto"/>
          <w:sz w:val="22"/>
          <w:szCs w:val="22"/>
          <w:lang w:eastAsia="x-none"/>
        </w:rPr>
      </w:pPr>
      <w:r>
        <w:t>The 2019–2020 CAA for Science I</w:t>
      </w:r>
      <w:r w:rsidR="00331AF7">
        <w:t xml:space="preserve">tem </w:t>
      </w:r>
      <w:r>
        <w:t>R</w:t>
      </w:r>
      <w:r w:rsidR="00331AF7">
        <w:t xml:space="preserve">eview </w:t>
      </w:r>
      <w:r>
        <w:t>M</w:t>
      </w:r>
      <w:r w:rsidR="00331AF7">
        <w:t>eeting</w:t>
      </w:r>
      <w:r>
        <w:t xml:space="preserve"> was held from to April 2 to April 5, 2019. ETS content-area assessment specialists facilitated CAA for Science item review meetings. </w:t>
      </w:r>
      <w:r>
        <w:rPr>
          <w:lang w:eastAsia="x-none"/>
        </w:rPr>
        <w:t>Each meeting began with a brief training session on how to review and make recommendations for revising items. ETS provided training on the following topics:</w:t>
      </w:r>
    </w:p>
    <w:p w14:paraId="24253A8C" w14:textId="77777777" w:rsidR="000125FB" w:rsidRPr="00C34C12" w:rsidRDefault="000125FB" w:rsidP="000125FB">
      <w:pPr>
        <w:pStyle w:val="bullets-one"/>
      </w:pPr>
      <w:r w:rsidRPr="00C34C12">
        <w:t>Overview of the purpose and scope of the CAA for Science</w:t>
      </w:r>
    </w:p>
    <w:p w14:paraId="4343D790" w14:textId="77777777" w:rsidR="000125FB" w:rsidRPr="00C34C12" w:rsidRDefault="000125FB" w:rsidP="000125FB">
      <w:pPr>
        <w:pStyle w:val="bullets-one"/>
      </w:pPr>
      <w:r w:rsidRPr="00C34C12">
        <w:t>Overview of the CAA for Science test design specifications and blueprints</w:t>
      </w:r>
    </w:p>
    <w:p w14:paraId="1CB18CD3" w14:textId="77777777" w:rsidR="000125FB" w:rsidRPr="00C34C12" w:rsidRDefault="000125FB" w:rsidP="000125FB">
      <w:pPr>
        <w:pStyle w:val="bullets-one"/>
      </w:pPr>
      <w:r w:rsidRPr="00C34C12">
        <w:t>Analysis of the CAA for Science embedded PT item specifications</w:t>
      </w:r>
    </w:p>
    <w:p w14:paraId="62744880" w14:textId="77777777" w:rsidR="000125FB" w:rsidRPr="00C34C12" w:rsidRDefault="000125FB" w:rsidP="009A1CDD">
      <w:pPr>
        <w:pStyle w:val="bullets-one"/>
      </w:pPr>
      <w:r w:rsidRPr="00C34C12">
        <w:t>Overview of criteria for evaluating test items</w:t>
      </w:r>
    </w:p>
    <w:p w14:paraId="220E4C24" w14:textId="77777777" w:rsidR="000125FB" w:rsidRPr="00C34C12" w:rsidRDefault="000125FB" w:rsidP="009A1CDD">
      <w:pPr>
        <w:pStyle w:val="bullets-one"/>
      </w:pPr>
      <w:r w:rsidRPr="00C34C12">
        <w:t>Review and evaluation of items for bias and sensitivity issues</w:t>
      </w:r>
    </w:p>
    <w:p w14:paraId="198BBB4D" w14:textId="77777777" w:rsidR="000125FB" w:rsidRPr="00C34C12" w:rsidRDefault="000125FB" w:rsidP="000125FB">
      <w:pPr>
        <w:keepNext/>
        <w:rPr>
          <w:lang w:eastAsia="x-none"/>
        </w:rPr>
      </w:pPr>
      <w:r w:rsidRPr="00C34C12">
        <w:rPr>
          <w:lang w:eastAsia="x-none"/>
        </w:rPr>
        <w:t>The criteria for evaluating items included the following:</w:t>
      </w:r>
    </w:p>
    <w:p w14:paraId="209D319F" w14:textId="77777777" w:rsidR="000125FB" w:rsidRPr="00C34C12" w:rsidRDefault="000125FB" w:rsidP="000125FB">
      <w:pPr>
        <w:pStyle w:val="bullets-one"/>
      </w:pPr>
      <w:r w:rsidRPr="00C34C12">
        <w:t>Overall technical quality</w:t>
      </w:r>
    </w:p>
    <w:p w14:paraId="49856087" w14:textId="42E9F1AF" w:rsidR="000125FB" w:rsidRPr="00C34C12" w:rsidRDefault="00551CB0" w:rsidP="000125FB">
      <w:pPr>
        <w:pStyle w:val="bullets-one"/>
      </w:pPr>
      <w:r>
        <w:t xml:space="preserve">Alignment </w:t>
      </w:r>
      <w:r w:rsidR="00C5102A">
        <w:t>with</w:t>
      </w:r>
      <w:r w:rsidR="00C5102A" w:rsidRPr="00C34C12">
        <w:t xml:space="preserve"> </w:t>
      </w:r>
      <w:r w:rsidR="000125FB" w:rsidRPr="00C34C12">
        <w:t>the Science Connectors</w:t>
      </w:r>
    </w:p>
    <w:p w14:paraId="1CD4E4A0" w14:textId="23E98D3C" w:rsidR="000125FB" w:rsidRPr="00C34C12" w:rsidRDefault="00C5102A" w:rsidP="000125FB">
      <w:pPr>
        <w:pStyle w:val="bullets-one"/>
      </w:pPr>
      <w:r>
        <w:t>Alignment with</w:t>
      </w:r>
      <w:r w:rsidR="000125FB" w:rsidRPr="00C34C12">
        <w:t xml:space="preserve"> the construct being assessed by the Science Connector</w:t>
      </w:r>
    </w:p>
    <w:p w14:paraId="2E538FD7" w14:textId="77777777" w:rsidR="000125FB" w:rsidRPr="00C34C12" w:rsidRDefault="000125FB" w:rsidP="000125FB">
      <w:pPr>
        <w:pStyle w:val="bullets-one"/>
      </w:pPr>
      <w:r w:rsidRPr="00C34C12">
        <w:t>Difficulty range</w:t>
      </w:r>
    </w:p>
    <w:p w14:paraId="56C1EA0B" w14:textId="77777777" w:rsidR="000125FB" w:rsidRPr="00C34C12" w:rsidRDefault="000125FB" w:rsidP="000125FB">
      <w:pPr>
        <w:pStyle w:val="bullets-one"/>
      </w:pPr>
      <w:r w:rsidRPr="00C34C12">
        <w:t>Clarity</w:t>
      </w:r>
    </w:p>
    <w:p w14:paraId="683C9803" w14:textId="77777777" w:rsidR="000125FB" w:rsidRPr="00C34C12" w:rsidRDefault="000125FB" w:rsidP="000125FB">
      <w:pPr>
        <w:pStyle w:val="bullets-one"/>
      </w:pPr>
      <w:r w:rsidRPr="00C34C12">
        <w:t>Correctness of the answer</w:t>
      </w:r>
    </w:p>
    <w:p w14:paraId="77A09A21" w14:textId="77777777" w:rsidR="000125FB" w:rsidRPr="00C34C12" w:rsidRDefault="000125FB" w:rsidP="000125FB">
      <w:pPr>
        <w:pStyle w:val="bullets-one"/>
      </w:pPr>
      <w:r w:rsidRPr="00C34C12">
        <w:t>Plausibility of the distractors</w:t>
      </w:r>
    </w:p>
    <w:p w14:paraId="6745EB88" w14:textId="77777777" w:rsidR="000125FB" w:rsidRPr="00C34C12" w:rsidRDefault="000125FB" w:rsidP="000125FB">
      <w:pPr>
        <w:pStyle w:val="bullets-one"/>
      </w:pPr>
      <w:r w:rsidRPr="00C34C12">
        <w:t>Bias and sensitivity factors</w:t>
      </w:r>
    </w:p>
    <w:p w14:paraId="0069B0E1" w14:textId="77777777" w:rsidR="000125FB" w:rsidRPr="00C34C12" w:rsidRDefault="000125FB" w:rsidP="000125FB">
      <w:pPr>
        <w:rPr>
          <w:lang w:eastAsia="x-none"/>
        </w:rPr>
      </w:pPr>
      <w:r w:rsidRPr="00C34C12">
        <w:rPr>
          <w:lang w:eastAsia="x-none"/>
        </w:rPr>
        <w:t>Criteria also encompassed more global factors, including the quality of the alternative text to confirm that it describes an image in an age- and audience-appropriate manner within the context of the question. Meeting participants also were trained on how to make recommendations for revising items.</w:t>
      </w:r>
    </w:p>
    <w:p w14:paraId="71B34D80" w14:textId="51DBF549" w:rsidR="000125FB" w:rsidRPr="00C34C12" w:rsidRDefault="000125FB" w:rsidP="00903992">
      <w:pPr>
        <w:keepNext/>
        <w:rPr>
          <w:lang w:eastAsia="x-none"/>
        </w:rPr>
      </w:pPr>
      <w:r w:rsidRPr="00C34C12">
        <w:rPr>
          <w:lang w:eastAsia="x-none"/>
        </w:rPr>
        <w:lastRenderedPageBreak/>
        <w:t>Guidelines for reviewing items were provided by ETS and approved by the CDE. The set of guidelines for reviewing items is summarized next</w:t>
      </w:r>
      <w:r w:rsidR="009A1CDD">
        <w:rPr>
          <w:lang w:eastAsia="x-none"/>
        </w:rPr>
        <w:t>:</w:t>
      </w:r>
    </w:p>
    <w:p w14:paraId="06B11653" w14:textId="77777777" w:rsidR="000125FB" w:rsidRPr="00C34C12" w:rsidRDefault="000125FB" w:rsidP="00B33B75">
      <w:pPr>
        <w:pStyle w:val="bullets"/>
        <w:numPr>
          <w:ilvl w:val="0"/>
          <w:numId w:val="69"/>
        </w:numPr>
        <w:tabs>
          <w:tab w:val="clear" w:pos="727"/>
        </w:tabs>
        <w:ind w:left="864" w:hanging="288"/>
      </w:pPr>
      <w:r w:rsidRPr="00C34C12">
        <w:t>Does the item</w:t>
      </w:r>
    </w:p>
    <w:p w14:paraId="52B22287" w14:textId="77777777" w:rsidR="000125FB" w:rsidRPr="00C34C12" w:rsidRDefault="000125FB" w:rsidP="00B33B75">
      <w:pPr>
        <w:pStyle w:val="bullets2-one"/>
        <w:numPr>
          <w:ilvl w:val="0"/>
          <w:numId w:val="74"/>
        </w:numPr>
        <w:spacing w:before="0"/>
        <w:ind w:left="1224"/>
      </w:pPr>
      <w:r w:rsidRPr="00C34C12">
        <w:t>have one and only one clearly correct answer (for single-select items)?</w:t>
      </w:r>
    </w:p>
    <w:p w14:paraId="16E36D9C" w14:textId="77777777" w:rsidR="000125FB" w:rsidRPr="00C34C12" w:rsidRDefault="000125FB" w:rsidP="00B33B75">
      <w:pPr>
        <w:pStyle w:val="bullets2-one"/>
        <w:numPr>
          <w:ilvl w:val="0"/>
          <w:numId w:val="74"/>
        </w:numPr>
        <w:spacing w:before="0"/>
        <w:ind w:left="1224"/>
      </w:pPr>
      <w:r w:rsidRPr="00C34C12">
        <w:t>measure the content standard?</w:t>
      </w:r>
    </w:p>
    <w:p w14:paraId="2DF0C7F9" w14:textId="77777777" w:rsidR="000125FB" w:rsidRPr="00C34C12" w:rsidRDefault="000125FB" w:rsidP="00B33B75">
      <w:pPr>
        <w:pStyle w:val="bullets2-one"/>
        <w:numPr>
          <w:ilvl w:val="0"/>
          <w:numId w:val="74"/>
        </w:numPr>
        <w:spacing w:before="0"/>
        <w:ind w:left="1224"/>
      </w:pPr>
      <w:r w:rsidRPr="00C34C12">
        <w:t>match the item specifications?</w:t>
      </w:r>
    </w:p>
    <w:p w14:paraId="09346E2E" w14:textId="77777777" w:rsidR="000125FB" w:rsidRPr="00C34C12" w:rsidRDefault="000125FB" w:rsidP="00B33B75">
      <w:pPr>
        <w:pStyle w:val="bullets2-one"/>
        <w:numPr>
          <w:ilvl w:val="0"/>
          <w:numId w:val="74"/>
        </w:numPr>
        <w:spacing w:before="0"/>
        <w:ind w:left="1224"/>
      </w:pPr>
      <w:r w:rsidRPr="00C34C12">
        <w:t>align with the construct being measured?</w:t>
      </w:r>
    </w:p>
    <w:p w14:paraId="3B73A291" w14:textId="77777777" w:rsidR="000125FB" w:rsidRPr="00C34C12" w:rsidRDefault="000125FB" w:rsidP="00B33B75">
      <w:pPr>
        <w:pStyle w:val="bullets2-one"/>
        <w:numPr>
          <w:ilvl w:val="0"/>
          <w:numId w:val="74"/>
        </w:numPr>
        <w:spacing w:before="0"/>
        <w:ind w:left="1224"/>
      </w:pPr>
      <w:r w:rsidRPr="00C34C12">
        <w:t>test worthwhile concepts or information?</w:t>
      </w:r>
    </w:p>
    <w:p w14:paraId="5E3075EE" w14:textId="77777777" w:rsidR="000125FB" w:rsidRPr="00C34C12" w:rsidRDefault="000125FB" w:rsidP="00B33B75">
      <w:pPr>
        <w:pStyle w:val="bullets"/>
        <w:numPr>
          <w:ilvl w:val="0"/>
          <w:numId w:val="69"/>
        </w:numPr>
        <w:tabs>
          <w:tab w:val="clear" w:pos="727"/>
        </w:tabs>
        <w:ind w:left="864" w:hanging="288"/>
      </w:pPr>
      <w:r w:rsidRPr="00C34C12">
        <w:t>Is the stimulus, if any, for the item</w:t>
      </w:r>
    </w:p>
    <w:p w14:paraId="042922D3" w14:textId="7E5DDE16" w:rsidR="000125FB" w:rsidRPr="00C34C12" w:rsidRDefault="000125FB" w:rsidP="00B33B75">
      <w:pPr>
        <w:pStyle w:val="bullets2-one"/>
        <w:numPr>
          <w:ilvl w:val="0"/>
          <w:numId w:val="74"/>
        </w:numPr>
        <w:spacing w:before="0"/>
        <w:ind w:left="1224"/>
      </w:pPr>
      <w:r w:rsidRPr="00C34C12">
        <w:t>required to answer the item?</w:t>
      </w:r>
    </w:p>
    <w:p w14:paraId="3929B9B1" w14:textId="77777777" w:rsidR="000125FB" w:rsidRPr="00C34C12" w:rsidRDefault="000125FB" w:rsidP="00B33B75">
      <w:pPr>
        <w:pStyle w:val="bullets2-one"/>
        <w:numPr>
          <w:ilvl w:val="0"/>
          <w:numId w:val="74"/>
        </w:numPr>
        <w:spacing w:before="0"/>
        <w:ind w:left="1224"/>
      </w:pPr>
      <w:r w:rsidRPr="00C34C12">
        <w:t>likely to be interesting to students?</w:t>
      </w:r>
    </w:p>
    <w:p w14:paraId="10C58841" w14:textId="77777777" w:rsidR="000125FB" w:rsidRPr="00C34C12" w:rsidRDefault="000125FB" w:rsidP="00B33B75">
      <w:pPr>
        <w:pStyle w:val="bullets2-one"/>
        <w:numPr>
          <w:ilvl w:val="0"/>
          <w:numId w:val="74"/>
        </w:numPr>
        <w:spacing w:before="0"/>
        <w:ind w:left="1224"/>
      </w:pPr>
      <w:r w:rsidRPr="00C34C12">
        <w:t>clearly and correctly labeled?</w:t>
      </w:r>
    </w:p>
    <w:p w14:paraId="0508EDFF" w14:textId="77777777" w:rsidR="000125FB" w:rsidRPr="00C34C12" w:rsidRDefault="000125FB" w:rsidP="00B33B75">
      <w:pPr>
        <w:pStyle w:val="bullets2-one"/>
        <w:numPr>
          <w:ilvl w:val="0"/>
          <w:numId w:val="74"/>
        </w:numPr>
        <w:spacing w:before="0"/>
        <w:ind w:left="1224"/>
      </w:pPr>
      <w:r w:rsidRPr="00C34C12">
        <w:t>providing all the information needed to answer the item?</w:t>
      </w:r>
    </w:p>
    <w:p w14:paraId="39C89AD7" w14:textId="77777777" w:rsidR="000125FB" w:rsidRPr="00C34C12" w:rsidRDefault="000125FB" w:rsidP="00265D30">
      <w:pPr>
        <w:pStyle w:val="Heading3"/>
        <w:keepLines/>
      </w:pPr>
      <w:bookmarkStart w:id="261" w:name="_Toc38901232"/>
      <w:bookmarkStart w:id="262" w:name="_Toc182555148"/>
      <w:r>
        <w:t>Data Review Meeting</w:t>
      </w:r>
      <w:bookmarkEnd w:id="261"/>
      <w:bookmarkEnd w:id="262"/>
    </w:p>
    <w:p w14:paraId="5FE908E3" w14:textId="024B058B" w:rsidR="000125FB" w:rsidRPr="00C34C12" w:rsidRDefault="00BE2D9F" w:rsidP="00265D30">
      <w:pPr>
        <w:keepNext/>
        <w:keepLines/>
      </w:pPr>
      <w:r>
        <w:t xml:space="preserve">No data review meeting was held after the </w:t>
      </w:r>
      <w:r w:rsidRPr="00C34C12">
        <w:t>201</w:t>
      </w:r>
      <w:r>
        <w:t>9</w:t>
      </w:r>
      <w:r w:rsidRPr="00C34C12">
        <w:t>–20</w:t>
      </w:r>
      <w:r>
        <w:t>20</w:t>
      </w:r>
      <w:r w:rsidRPr="00C34C12">
        <w:t xml:space="preserve"> CAA for Science </w:t>
      </w:r>
      <w:r>
        <w:t>administration because of the suspension of testing on March 18, 2020.</w:t>
      </w:r>
      <w:r w:rsidR="00CA57C3">
        <w:t xml:space="preserve"> </w:t>
      </w:r>
      <w:r w:rsidR="004D2445">
        <w:t>Typically</w:t>
      </w:r>
      <w:r w:rsidR="00CA57C3">
        <w:t xml:space="preserve">, </w:t>
      </w:r>
      <w:r w:rsidR="002F20E5">
        <w:t>a</w:t>
      </w:r>
      <w:r w:rsidR="000125FB" w:rsidRPr="00C34C12">
        <w:t xml:space="preserve">fter items </w:t>
      </w:r>
      <w:r w:rsidR="002F20E5">
        <w:t>are</w:t>
      </w:r>
      <w:r w:rsidR="002F20E5" w:rsidRPr="00C34C12">
        <w:t xml:space="preserve"> </w:t>
      </w:r>
      <w:r w:rsidR="000125FB" w:rsidRPr="00C34C12">
        <w:t>administered to students, ETS prepare</w:t>
      </w:r>
      <w:r w:rsidR="002F20E5">
        <w:t>s</w:t>
      </w:r>
      <w:r w:rsidR="000125FB" w:rsidRPr="00C34C12">
        <w:t xml:space="preserve"> the items and the associated statistics for review by the CDE and California educators.</w:t>
      </w:r>
    </w:p>
    <w:p w14:paraId="0A06E40E" w14:textId="40569026" w:rsidR="000125FB" w:rsidRPr="00C34C12" w:rsidRDefault="00597CD4" w:rsidP="2D85FA21">
      <w:r>
        <w:t>In previous data review meetings f</w:t>
      </w:r>
      <w:r w:rsidR="000125FB">
        <w:t xml:space="preserve">or the CAA for Science, review materials included embedded PT items with their statistical data along with annotated comment sheets for use by reviewers. ETS conducted an introductory training to highlight any new issues and serve as a statistical refresher. Reviewers then made decisions about which items should be included in the item bank for future assembly. If an item was considered problematic and not to be included in the item bank, it </w:t>
      </w:r>
      <w:r w:rsidR="2E91B195" w:rsidRPr="2D85FA21">
        <w:rPr>
          <w:rFonts w:eastAsia="Arial"/>
        </w:rPr>
        <w:t>could be revised</w:t>
      </w:r>
      <w:r w:rsidR="004F0762">
        <w:rPr>
          <w:rFonts w:eastAsia="Arial"/>
        </w:rPr>
        <w:t>,</w:t>
      </w:r>
      <w:r w:rsidR="2E91B195" w:rsidRPr="2D85FA21">
        <w:rPr>
          <w:rFonts w:eastAsia="Arial"/>
        </w:rPr>
        <w:t xml:space="preserve"> field</w:t>
      </w:r>
      <w:r w:rsidR="004F0762">
        <w:rPr>
          <w:rFonts w:eastAsia="Arial"/>
        </w:rPr>
        <w:t>-</w:t>
      </w:r>
      <w:r w:rsidR="2E91B195" w:rsidRPr="2D85FA21">
        <w:rPr>
          <w:rFonts w:eastAsia="Arial"/>
        </w:rPr>
        <w:t>tested once again</w:t>
      </w:r>
      <w:r w:rsidR="004F0762">
        <w:rPr>
          <w:rFonts w:eastAsia="Arial"/>
        </w:rPr>
        <w:t>, and</w:t>
      </w:r>
      <w:r w:rsidR="2E91B195" w:rsidRPr="2D85FA21">
        <w:rPr>
          <w:rFonts w:eastAsia="Arial"/>
        </w:rPr>
        <w:t xml:space="preserve"> </w:t>
      </w:r>
      <w:r w:rsidR="004F0762">
        <w:rPr>
          <w:rFonts w:eastAsia="Arial"/>
        </w:rPr>
        <w:t>put through</w:t>
      </w:r>
      <w:r w:rsidR="2E91B195" w:rsidRPr="2D85FA21">
        <w:rPr>
          <w:rFonts w:eastAsia="Arial"/>
        </w:rPr>
        <w:t xml:space="preserve"> another round of item analysis</w:t>
      </w:r>
      <w:r w:rsidR="000125FB">
        <w:t>. ETS psychometric and content staff were available to reviewers throughout this process.</w:t>
      </w:r>
    </w:p>
    <w:p w14:paraId="45679CAA" w14:textId="3F0A947B" w:rsidR="000125FB" w:rsidRPr="00C34C12" w:rsidRDefault="001E3499" w:rsidP="00572887">
      <w:pPr>
        <w:keepNext/>
      </w:pPr>
      <w:r>
        <w:t>ETS c</w:t>
      </w:r>
      <w:r w:rsidR="000125FB" w:rsidRPr="00C34C12">
        <w:t>ontent staff facilitated the meeting, confirming that all educators weighed in on each flagged item to confirm there were no concerns, from a content perspective, as it pertained to the flag. ETS psychometricians provided training on the item statistics and responded to questions about the item statistics during the item discussion. The data review meeting participants reviewed the content and statistics of each item and then made a recommendation to accept or reject an item.</w:t>
      </w:r>
    </w:p>
    <w:p w14:paraId="3DAD9DF8" w14:textId="53E4C8B0" w:rsidR="00572887" w:rsidRDefault="000125FB" w:rsidP="00572887">
      <w:pPr>
        <w:keepLines/>
      </w:pPr>
      <w:r w:rsidRPr="00C34C12">
        <w:t>Content staff recorded each participant’s recommendations and comments regarding the flagged items. The feedback was referenced when working with the CDE to reconcile educator feedback and to make a final decision on whether to include the item in the operational pool.</w:t>
      </w:r>
    </w:p>
    <w:p w14:paraId="3D3769B7" w14:textId="0AF3DB56" w:rsidR="00417F6F" w:rsidRDefault="00417F6F" w:rsidP="00572887">
      <w:pPr>
        <w:pStyle w:val="Heading3"/>
        <w:keepLines/>
        <w:pageBreakBefore/>
        <w:numPr>
          <w:ilvl w:val="0"/>
          <w:numId w:val="0"/>
        </w:numPr>
        <w:ind w:left="446" w:hanging="446"/>
      </w:pPr>
      <w:bookmarkStart w:id="263" w:name="_Toc182555149"/>
      <w:r w:rsidRPr="004B2D24">
        <w:lastRenderedPageBreak/>
        <w:t>Reference</w:t>
      </w:r>
      <w:bookmarkEnd w:id="263"/>
    </w:p>
    <w:p w14:paraId="282D6176" w14:textId="0FD075CE" w:rsidR="00B62EB6" w:rsidRPr="00C34C12" w:rsidRDefault="00B62EB6" w:rsidP="00B62EB6">
      <w:pPr>
        <w:pStyle w:val="References"/>
      </w:pPr>
      <w:bookmarkStart w:id="264" w:name="_Test_Assembly"/>
      <w:bookmarkEnd w:id="264"/>
      <w:r w:rsidRPr="00C34C12">
        <w:t xml:space="preserve">California Department of Education. (2018). </w:t>
      </w:r>
      <w:r w:rsidRPr="00C34C12">
        <w:rPr>
          <w:i/>
        </w:rPr>
        <w:t>California Alternate Assessment for Science blueprint</w:t>
      </w:r>
      <w:r w:rsidRPr="00C34C12">
        <w:t>. Sacrament</w:t>
      </w:r>
      <w:r w:rsidR="00035C6C" w:rsidRPr="00C34C12">
        <w:t>o</w:t>
      </w:r>
      <w:r w:rsidRPr="00C34C12">
        <w:t xml:space="preserve">, CA: California Department of Education. </w:t>
      </w:r>
    </w:p>
    <w:p w14:paraId="19754841" w14:textId="3217A18E" w:rsidR="00F37841" w:rsidRPr="004B2D24" w:rsidRDefault="00F37841" w:rsidP="00670FD2">
      <w:pPr>
        <w:pStyle w:val="Heading2"/>
      </w:pPr>
      <w:bookmarkStart w:id="265" w:name="_Test_Assembly_1"/>
      <w:bookmarkStart w:id="266" w:name="_Toc182555150"/>
      <w:bookmarkEnd w:id="265"/>
      <w:r w:rsidRPr="004B2D24">
        <w:lastRenderedPageBreak/>
        <w:t>Test Assembly</w:t>
      </w:r>
      <w:bookmarkEnd w:id="266"/>
    </w:p>
    <w:p w14:paraId="49288310" w14:textId="77777777" w:rsidR="006942EB" w:rsidRPr="00C34C12" w:rsidRDefault="006942EB" w:rsidP="006942EB">
      <w:r w:rsidRPr="00C34C12">
        <w:t>This chapter provides details of test assembly, including a description of the content being measured (i.e., test blueprints), process of item selection, final reviews before test production, and the production process (e.g., preparation of the test forms for online test delivery).</w:t>
      </w:r>
    </w:p>
    <w:p w14:paraId="3DB8438F" w14:textId="61D595EA" w:rsidR="00146254" w:rsidRDefault="00193B21" w:rsidP="007A71B3">
      <w:pPr>
        <w:pStyle w:val="Heading3"/>
      </w:pPr>
      <w:bookmarkStart w:id="267" w:name="_Toc66787384"/>
      <w:bookmarkStart w:id="268" w:name="_Toc66787843"/>
      <w:bookmarkStart w:id="269" w:name="_Toc67035435"/>
      <w:bookmarkStart w:id="270" w:name="_Toc67319299"/>
      <w:bookmarkStart w:id="271" w:name="_Toc67382411"/>
      <w:bookmarkStart w:id="272" w:name="_Toc67465969"/>
      <w:bookmarkStart w:id="273" w:name="_Toc68088953"/>
      <w:bookmarkStart w:id="274" w:name="_Toc68107802"/>
      <w:bookmarkStart w:id="275" w:name="_Test_Design"/>
      <w:bookmarkStart w:id="276" w:name="_Overview"/>
      <w:bookmarkStart w:id="277" w:name="_Toc182555151"/>
      <w:bookmarkEnd w:id="267"/>
      <w:bookmarkEnd w:id="268"/>
      <w:bookmarkEnd w:id="269"/>
      <w:bookmarkEnd w:id="270"/>
      <w:bookmarkEnd w:id="271"/>
      <w:bookmarkEnd w:id="272"/>
      <w:bookmarkEnd w:id="273"/>
      <w:bookmarkEnd w:id="274"/>
      <w:bookmarkEnd w:id="275"/>
      <w:bookmarkEnd w:id="276"/>
      <w:r>
        <w:t>Overview</w:t>
      </w:r>
      <w:bookmarkEnd w:id="277"/>
    </w:p>
    <w:p w14:paraId="6C73D2A9" w14:textId="0FC83836" w:rsidR="000125FB" w:rsidRPr="00C34C12" w:rsidRDefault="000125FB" w:rsidP="000125FB">
      <w:r w:rsidRPr="00C34C12">
        <w:rPr>
          <w:rFonts w:eastAsia="Times New Roman"/>
        </w:rPr>
        <w:t xml:space="preserve">The </w:t>
      </w:r>
      <w:r w:rsidR="073CEB5B" w:rsidRPr="09E26592">
        <w:rPr>
          <w:rFonts w:eastAsia="Times New Roman"/>
        </w:rPr>
        <w:t>operational</w:t>
      </w:r>
      <w:r w:rsidRPr="00C34C12">
        <w:rPr>
          <w:rFonts w:eastAsia="Times New Roman"/>
        </w:rPr>
        <w:t xml:space="preserve"> </w:t>
      </w:r>
      <w:r w:rsidR="00193B21">
        <w:rPr>
          <w:rFonts w:eastAsia="Times New Roman"/>
        </w:rPr>
        <w:t>California Alternate Assessment (CAA) for Science</w:t>
      </w:r>
      <w:r w:rsidRPr="00C34C12">
        <w:rPr>
          <w:rFonts w:eastAsia="Times New Roman"/>
        </w:rPr>
        <w:t xml:space="preserve"> was administered as </w:t>
      </w:r>
      <w:r w:rsidR="620596D7">
        <w:t>t</w:t>
      </w:r>
      <w:r>
        <w:t>hree</w:t>
      </w:r>
      <w:r w:rsidRPr="00C34C12">
        <w:t xml:space="preserve"> embedded performance tasks </w:t>
      </w:r>
      <w:r w:rsidR="00C322F6">
        <w:t xml:space="preserve">(PTs) </w:t>
      </w:r>
      <w:r w:rsidRPr="00C34C12">
        <w:t xml:space="preserve">during the </w:t>
      </w:r>
      <w:r w:rsidR="00F77BA4">
        <w:t xml:space="preserve">school </w:t>
      </w:r>
      <w:r w:rsidRPr="00C34C12">
        <w:t xml:space="preserve">year in each of grades five and eight and in high school. Each embedded </w:t>
      </w:r>
      <w:r w:rsidR="00C322F6">
        <w:t xml:space="preserve">PT </w:t>
      </w:r>
      <w:r w:rsidRPr="00C34C12">
        <w:t>within a grade assessed one of the three science domains</w:t>
      </w:r>
      <w:r w:rsidR="00F77BA4">
        <w:t>, which</w:t>
      </w:r>
      <w:r w:rsidRPr="00C34C12">
        <w:t xml:space="preserve"> are Life Sciences, Physical Sciences, and Earth and Space Sciences.</w:t>
      </w:r>
    </w:p>
    <w:p w14:paraId="326592F5" w14:textId="56BB9114" w:rsidR="000125FB" w:rsidRPr="00C34C12" w:rsidRDefault="000125FB" w:rsidP="000125FB">
      <w:pPr>
        <w:rPr>
          <w:strike/>
        </w:rPr>
      </w:pPr>
      <w:r w:rsidRPr="00C34C12">
        <w:t xml:space="preserve">Each embedded </w:t>
      </w:r>
      <w:r w:rsidR="00F06E27">
        <w:t>PT</w:t>
      </w:r>
      <w:r w:rsidRPr="00C34C12">
        <w:t xml:space="preserve"> assessed two Science </w:t>
      </w:r>
      <w:r w:rsidR="0003763D">
        <w:t xml:space="preserve">Core Content </w:t>
      </w:r>
      <w:r w:rsidRPr="00C34C12">
        <w:t xml:space="preserve">Connectors </w:t>
      </w:r>
      <w:r w:rsidR="0003763D">
        <w:t>(</w:t>
      </w:r>
      <w:r w:rsidRPr="00C34C12">
        <w:t>Science Connectors</w:t>
      </w:r>
      <w:r w:rsidR="0003763D">
        <w:t>)</w:t>
      </w:r>
      <w:r w:rsidRPr="00C34C12">
        <w:t xml:space="preserve"> from a domain. The embedded </w:t>
      </w:r>
      <w:r w:rsidR="00255371">
        <w:t>PTs</w:t>
      </w:r>
      <w:r w:rsidRPr="00C34C12">
        <w:t xml:space="preserve"> contained an orienting activity and five questions aligned to each of the two Science Connectors. Thus, an embedded </w:t>
      </w:r>
      <w:r w:rsidR="00F12316">
        <w:t>PT</w:t>
      </w:r>
      <w:r w:rsidRPr="00C34C12">
        <w:t xml:space="preserve"> contained </w:t>
      </w:r>
      <w:r w:rsidR="006A223A">
        <w:t xml:space="preserve">10 questions assessing </w:t>
      </w:r>
      <w:r w:rsidR="00C01DB3">
        <w:t>two Science Connectors</w:t>
      </w:r>
      <w:r w:rsidR="00F77BA4">
        <w:t>,</w:t>
      </w:r>
      <w:r w:rsidR="00C01DB3">
        <w:t xml:space="preserve"> each with an </w:t>
      </w:r>
      <w:r w:rsidRPr="00C34C12">
        <w:t>orienting activit</w:t>
      </w:r>
      <w:r w:rsidR="00C01DB3">
        <w:t>y</w:t>
      </w:r>
      <w:r w:rsidRPr="00C34C12">
        <w:t>. Some of the orienting activities and questions incorporated simple activities designed to demonstrate a key concept associated with the assessed Science Connector.</w:t>
      </w:r>
    </w:p>
    <w:p w14:paraId="2B525F26" w14:textId="116D14C2" w:rsidR="00F37841" w:rsidRDefault="00146254" w:rsidP="007A71B3">
      <w:pPr>
        <w:pStyle w:val="Heading3"/>
      </w:pPr>
      <w:bookmarkStart w:id="278" w:name="_Toc182555152"/>
      <w:r w:rsidRPr="004B2D24">
        <w:t>Test Blueprints and Test</w:t>
      </w:r>
      <w:r w:rsidR="00F37841" w:rsidRPr="004B2D24">
        <w:t xml:space="preserve"> Content Specifications</w:t>
      </w:r>
      <w:bookmarkEnd w:id="278"/>
    </w:p>
    <w:p w14:paraId="20C21E56" w14:textId="73F503EE" w:rsidR="007A71B3" w:rsidRPr="007A71B3" w:rsidRDefault="000125FB" w:rsidP="007A71B3">
      <w:r w:rsidRPr="00C34C12">
        <w:rPr>
          <w:kern w:val="32"/>
        </w:rPr>
        <w:t xml:space="preserve">The CAA </w:t>
      </w:r>
      <w:bookmarkStart w:id="279" w:name="_Hlk27561177"/>
      <w:r w:rsidRPr="00C34C12">
        <w:rPr>
          <w:kern w:val="32"/>
        </w:rPr>
        <w:t xml:space="preserve">for Science </w:t>
      </w:r>
      <w:bookmarkEnd w:id="279"/>
      <w:r w:rsidRPr="00C34C12">
        <w:t xml:space="preserve">incorporates innovations and best practices from recent national alternate assessment initiatives, including the National Center and State Collaborative and the Dynamic Learning Maps. All items and tasks are developed to </w:t>
      </w:r>
      <w:r w:rsidRPr="00C34C12">
        <w:rPr>
          <w:rFonts w:cstheme="minorHAnsi"/>
        </w:rPr>
        <w:t xml:space="preserve">the California Next Generation Science Standards </w:t>
      </w:r>
      <w:r w:rsidR="00F41BF9">
        <w:rPr>
          <w:rFonts w:cstheme="minorHAnsi"/>
        </w:rPr>
        <w:t xml:space="preserve">(CA NGSS) </w:t>
      </w:r>
      <w:r w:rsidRPr="00C34C12">
        <w:rPr>
          <w:rFonts w:cstheme="minorHAnsi"/>
        </w:rPr>
        <w:t xml:space="preserve">Science Connectors developed by California educators, ETS, and EdCount. </w:t>
      </w:r>
      <w:r w:rsidRPr="00C34C12">
        <w:t>An essential understanding (EU) and focal knowledge, skills, and abilities (FKSA) are identified for each Science Connector. EUs define a basic, foundational key idea or concept based on the Science Connector that builds increasing understanding of the grade-level content. FKSAs provide more specific detail about the requirements described by the Science Connectors.</w:t>
      </w:r>
    </w:p>
    <w:p w14:paraId="14680C0B" w14:textId="35279AA3" w:rsidR="00F37841" w:rsidRDefault="00F37841" w:rsidP="007A71B3">
      <w:pPr>
        <w:pStyle w:val="Heading4"/>
      </w:pPr>
      <w:bookmarkStart w:id="280" w:name="_Toc182555153"/>
      <w:r>
        <w:t xml:space="preserve">Test </w:t>
      </w:r>
      <w:r w:rsidR="00146254">
        <w:t>Blueprints</w:t>
      </w:r>
      <w:bookmarkEnd w:id="280"/>
    </w:p>
    <w:p w14:paraId="2DFF64ED" w14:textId="60FCA4A0" w:rsidR="000125FB" w:rsidRPr="00C34C12" w:rsidRDefault="000125FB" w:rsidP="000125FB">
      <w:r w:rsidRPr="00C34C12">
        <w:t xml:space="preserve">The CAA for Science test blueprints are unique to each grade </w:t>
      </w:r>
      <w:r w:rsidR="00B44717">
        <w:t>level</w:t>
      </w:r>
      <w:r w:rsidR="00B44717" w:rsidRPr="00C34C12">
        <w:t xml:space="preserve"> </w:t>
      </w:r>
      <w:r w:rsidRPr="00C34C12">
        <w:t xml:space="preserve">or </w:t>
      </w:r>
      <w:r w:rsidR="00B44717">
        <w:t>band</w:t>
      </w:r>
      <w:r w:rsidR="00B44717" w:rsidRPr="00C34C12">
        <w:t xml:space="preserve"> </w:t>
      </w:r>
      <w:r w:rsidRPr="00C34C12">
        <w:t>(California Department of Education [CDE], 2018). These blueprints designate the breakdown of each assessment, first by science domain and then by Science Connectors. Information on a test blueprint for a given grade and content area includes the</w:t>
      </w:r>
    </w:p>
    <w:p w14:paraId="39CFA7AC" w14:textId="574465F1" w:rsidR="000125FB" w:rsidRPr="00C34C12" w:rsidRDefault="000125FB" w:rsidP="000125FB">
      <w:pPr>
        <w:pStyle w:val="bullets-one"/>
      </w:pPr>
      <w:r w:rsidRPr="00C34C12">
        <w:t xml:space="preserve">specific ratio of each content domain on the overall </w:t>
      </w:r>
      <w:r w:rsidR="00B44717">
        <w:t>assessment,</w:t>
      </w:r>
    </w:p>
    <w:p w14:paraId="6E604793" w14:textId="7607A3E4" w:rsidR="000125FB" w:rsidRPr="00C34C12" w:rsidRDefault="000125FB" w:rsidP="000125FB">
      <w:pPr>
        <w:pStyle w:val="bullets-one"/>
      </w:pPr>
      <w:r w:rsidRPr="00C34C12">
        <w:t>specific Science Connectors to be assessed</w:t>
      </w:r>
      <w:r w:rsidR="00B44717">
        <w:t>,</w:t>
      </w:r>
      <w:r w:rsidRPr="00C34C12">
        <w:t xml:space="preserve"> and</w:t>
      </w:r>
    </w:p>
    <w:p w14:paraId="7EA6C749" w14:textId="77777777" w:rsidR="000125FB" w:rsidRPr="00C34C12" w:rsidRDefault="000125FB" w:rsidP="000125FB">
      <w:pPr>
        <w:pStyle w:val="bullets-one"/>
      </w:pPr>
      <w:r w:rsidRPr="00C34C12">
        <w:t>number of items on a test.</w:t>
      </w:r>
    </w:p>
    <w:p w14:paraId="5F384982" w14:textId="6744C619" w:rsidR="000125FB" w:rsidRPr="00C34C12" w:rsidRDefault="000125FB" w:rsidP="000125FB">
      <w:pPr>
        <w:spacing w:before="120"/>
        <w:rPr>
          <w:rFonts w:cs="Times New Roman"/>
          <w:color w:val="auto"/>
        </w:rPr>
      </w:pPr>
      <w:r w:rsidRPr="00C34C12">
        <w:t>The 201</w:t>
      </w:r>
      <w:r w:rsidR="148176AF">
        <w:t>9</w:t>
      </w:r>
      <w:r>
        <w:t>–20</w:t>
      </w:r>
      <w:r w:rsidR="4FD33619">
        <w:t>20</w:t>
      </w:r>
      <w:r w:rsidRPr="00C34C12">
        <w:t xml:space="preserve"> forms had 100 percent alignment with the test blueprint</w:t>
      </w:r>
      <w:r w:rsidR="00B44717">
        <w:t>s</w:t>
      </w:r>
      <w:r w:rsidRPr="00C34C12">
        <w:t>. Each of the three content domains were assessed by 10 items for a total of 12 points.</w:t>
      </w:r>
    </w:p>
    <w:p w14:paraId="0D68E229" w14:textId="45899F9A" w:rsidR="000125FB" w:rsidRPr="00C34C12" w:rsidRDefault="000125FB" w:rsidP="000125FB">
      <w:r w:rsidRPr="00C34C12">
        <w:rPr>
          <w:rFonts w:cs="Times New Roman"/>
          <w:color w:val="auto"/>
        </w:rPr>
        <w:t xml:space="preserve">Overall, the percent of items per content domain based on the Science Connector assigned during item development and those in the CAA </w:t>
      </w:r>
      <w:r w:rsidR="00B44717">
        <w:rPr>
          <w:rFonts w:cs="Times New Roman"/>
          <w:color w:val="auto"/>
        </w:rPr>
        <w:t xml:space="preserve">for Science </w:t>
      </w:r>
      <w:r w:rsidRPr="00C34C12">
        <w:rPr>
          <w:rFonts w:cs="Times New Roman"/>
          <w:color w:val="auto"/>
        </w:rPr>
        <w:t>blueprint</w:t>
      </w:r>
      <w:r w:rsidR="00B44717">
        <w:rPr>
          <w:rFonts w:cs="Times New Roman"/>
          <w:color w:val="auto"/>
        </w:rPr>
        <w:t>s</w:t>
      </w:r>
      <w:r w:rsidRPr="00C34C12">
        <w:rPr>
          <w:rFonts w:cs="Times New Roman"/>
          <w:color w:val="auto"/>
        </w:rPr>
        <w:t xml:space="preserve"> are comparable.</w:t>
      </w:r>
    </w:p>
    <w:p w14:paraId="5AE21716" w14:textId="70751B15" w:rsidR="00F37841" w:rsidRDefault="00F37841" w:rsidP="007A71B3">
      <w:pPr>
        <w:pStyle w:val="Heading4"/>
      </w:pPr>
      <w:bookmarkStart w:id="281" w:name="_Toc182555154"/>
      <w:r w:rsidRPr="004B2D24">
        <w:lastRenderedPageBreak/>
        <w:t xml:space="preserve">Test </w:t>
      </w:r>
      <w:r w:rsidR="00146254" w:rsidRPr="004B2D24">
        <w:t>Content Specifications</w:t>
      </w:r>
      <w:bookmarkEnd w:id="281"/>
    </w:p>
    <w:p w14:paraId="036CD989" w14:textId="28B53B9B" w:rsidR="000125FB" w:rsidRPr="00C34C12" w:rsidRDefault="000125FB" w:rsidP="000125FB">
      <w:r w:rsidRPr="00C34C12">
        <w:rPr>
          <w:kern w:val="32"/>
        </w:rPr>
        <w:t>The CAA for Science assesses each Science Connector through</w:t>
      </w:r>
      <w:r w:rsidRPr="00C34C12">
        <w:t xml:space="preserve"> the </w:t>
      </w:r>
      <w:r w:rsidRPr="00C34C12">
        <w:rPr>
          <w:kern w:val="32"/>
        </w:rPr>
        <w:t>FKSAs and EUs derived from the Science Connectors</w:t>
      </w:r>
      <w:r w:rsidRPr="00C34C12">
        <w:rPr>
          <w:rFonts w:eastAsia="TimesNewRomanMTStd"/>
        </w:rPr>
        <w:t xml:space="preserve">. These Science Connectors </w:t>
      </w:r>
      <w:r w:rsidRPr="00C34C12">
        <w:t xml:space="preserve">identify the most salient grade-level, core academic content in science found in the CA NGSS and illustrate the necessary knowledge and skills required to reach the learning targets within the CA NGSS. Additionally, the Science Connectors focus on the core content, knowledge, and skills needed to help students at each grade level succeed; and identify priorities in science to guide the instruction for students in this population and for an alternate assessment. </w:t>
      </w:r>
      <w:r w:rsidRPr="00C34C12">
        <w:rPr>
          <w:rFonts w:eastAsia="TimesNewRomanMTStd"/>
        </w:rPr>
        <w:t>Finally, the Science Connectors provide a foundation that permits teachers, parents/guardians, and the students themselves to h</w:t>
      </w:r>
      <w:r w:rsidRPr="00C34C12">
        <w:rPr>
          <w:kern w:val="32"/>
        </w:rPr>
        <w:t>elp students with significant cognitive</w:t>
      </w:r>
      <w:r w:rsidRPr="00C34C12">
        <w:t xml:space="preserve"> disabilities identify and address gaps in knowledge or skills early so students can receive the support they need (CDE, 2020).</w:t>
      </w:r>
    </w:p>
    <w:p w14:paraId="01E217E4" w14:textId="0617AFC2" w:rsidR="000125FB" w:rsidRPr="00C34C12" w:rsidRDefault="000125FB" w:rsidP="000125FB">
      <w:r w:rsidRPr="00C34C12">
        <w:t xml:space="preserve">Each content standard is assessed through the Science Connectors and related FKSAs and EUs under a three-level structure of item complexity. </w:t>
      </w:r>
    </w:p>
    <w:p w14:paraId="6606DF25" w14:textId="6DD09D2D" w:rsidR="00F37841" w:rsidRDefault="00F37841" w:rsidP="007A71B3">
      <w:pPr>
        <w:pStyle w:val="Heading3"/>
      </w:pPr>
      <w:bookmarkStart w:id="282" w:name="_Toc182555155"/>
      <w:r w:rsidRPr="004B2D24">
        <w:t>Test Production Process</w:t>
      </w:r>
      <w:bookmarkEnd w:id="282"/>
    </w:p>
    <w:p w14:paraId="76EE2B24" w14:textId="6732A6B0" w:rsidR="00F37841" w:rsidRDefault="00DD2A9C" w:rsidP="007A71B3">
      <w:pPr>
        <w:pStyle w:val="Heading4"/>
      </w:pPr>
      <w:bookmarkStart w:id="283" w:name="_Toc182555156"/>
      <w:r w:rsidRPr="004B2D24">
        <w:t>Selection of Items</w:t>
      </w:r>
      <w:bookmarkEnd w:id="283"/>
    </w:p>
    <w:p w14:paraId="21DEBC68" w14:textId="77777777" w:rsidR="000125FB" w:rsidRPr="00C34C12" w:rsidRDefault="000125FB" w:rsidP="000125FB">
      <w:pPr>
        <w:keepNext/>
        <w:rPr>
          <w:kern w:val="32"/>
        </w:rPr>
      </w:pPr>
      <w:r w:rsidRPr="00C34C12">
        <w:rPr>
          <w:kern w:val="32"/>
        </w:rPr>
        <w:t>From the eligible item pool, test developers selected items that, as a whole,</w:t>
      </w:r>
    </w:p>
    <w:p w14:paraId="78EE9EEB" w14:textId="77777777" w:rsidR="000125FB" w:rsidRPr="00C34C12" w:rsidRDefault="000125FB" w:rsidP="000125FB">
      <w:pPr>
        <w:pStyle w:val="bullets-one"/>
      </w:pPr>
      <w:r w:rsidRPr="00C34C12">
        <w:t>met the coverage specifications of the test blueprint,</w:t>
      </w:r>
    </w:p>
    <w:p w14:paraId="7553A5F6" w14:textId="77777777" w:rsidR="000125FB" w:rsidRPr="00C34C12" w:rsidRDefault="000125FB" w:rsidP="000125FB">
      <w:pPr>
        <w:pStyle w:val="bullets-one"/>
      </w:pPr>
      <w:r w:rsidRPr="00C34C12">
        <w:t>met the form-building guidelines developed by the ETS psychometrics team,</w:t>
      </w:r>
    </w:p>
    <w:p w14:paraId="2512D3AB" w14:textId="77777777" w:rsidR="000125FB" w:rsidRPr="00C34C12" w:rsidRDefault="000125FB" w:rsidP="000125FB">
      <w:pPr>
        <w:pStyle w:val="bullets-one"/>
      </w:pPr>
      <w:r w:rsidRPr="00C34C12">
        <w:t>represented a wide variety of item types, and</w:t>
      </w:r>
    </w:p>
    <w:p w14:paraId="5E4EFFFD" w14:textId="7FDAF81A" w:rsidR="000125FB" w:rsidRPr="00C34C12" w:rsidRDefault="000125FB" w:rsidP="000125FB">
      <w:pPr>
        <w:pStyle w:val="bullets-one"/>
      </w:pPr>
      <w:r w:rsidRPr="00C34C12">
        <w:t xml:space="preserve">provided a wide variety of item </w:t>
      </w:r>
      <w:r>
        <w:t>context</w:t>
      </w:r>
      <w:r w:rsidR="2E2F3557">
        <w:t>s</w:t>
      </w:r>
      <w:r w:rsidRPr="00C34C12">
        <w:t>.</w:t>
      </w:r>
    </w:p>
    <w:p w14:paraId="50E8B488" w14:textId="372B65A8" w:rsidR="00DD2A9C" w:rsidRDefault="009D0CE5" w:rsidP="007A71B3">
      <w:pPr>
        <w:pStyle w:val="Heading4"/>
      </w:pPr>
      <w:bookmarkStart w:id="284" w:name="_Toc66787392"/>
      <w:bookmarkStart w:id="285" w:name="_Toc66787851"/>
      <w:bookmarkStart w:id="286" w:name="_Toc67035443"/>
      <w:bookmarkStart w:id="287" w:name="_Toc67319307"/>
      <w:bookmarkStart w:id="288" w:name="_Toc67382419"/>
      <w:bookmarkStart w:id="289" w:name="_Toc67465977"/>
      <w:bookmarkStart w:id="290" w:name="_Toc66787393"/>
      <w:bookmarkStart w:id="291" w:name="_Toc66787852"/>
      <w:bookmarkStart w:id="292" w:name="_Toc67035444"/>
      <w:bookmarkStart w:id="293" w:name="_Toc67319308"/>
      <w:bookmarkStart w:id="294" w:name="_Toc67382420"/>
      <w:bookmarkStart w:id="295" w:name="_Toc67465978"/>
      <w:bookmarkStart w:id="296" w:name="_Toc182555157"/>
      <w:bookmarkEnd w:id="284"/>
      <w:bookmarkEnd w:id="285"/>
      <w:bookmarkEnd w:id="286"/>
      <w:bookmarkEnd w:id="287"/>
      <w:bookmarkEnd w:id="288"/>
      <w:bookmarkEnd w:id="289"/>
      <w:bookmarkEnd w:id="290"/>
      <w:bookmarkEnd w:id="291"/>
      <w:bookmarkEnd w:id="292"/>
      <w:bookmarkEnd w:id="293"/>
      <w:bookmarkEnd w:id="294"/>
      <w:bookmarkEnd w:id="295"/>
      <w:r>
        <w:t xml:space="preserve">Psychometric Criteria and </w:t>
      </w:r>
      <w:r w:rsidR="00DD2A9C" w:rsidRPr="004B2D24">
        <w:t>Verification of Statistics</w:t>
      </w:r>
      <w:bookmarkEnd w:id="296"/>
    </w:p>
    <w:p w14:paraId="1053D8D1" w14:textId="2323D0A8" w:rsidR="007A71B3" w:rsidRDefault="00EE1DC7" w:rsidP="007A71B3">
      <w:pPr>
        <w:rPr>
          <w:rFonts w:eastAsia="Arial"/>
        </w:rPr>
      </w:pPr>
      <w:r w:rsidRPr="00380C0B">
        <w:rPr>
          <w:kern w:val="32"/>
          <w:szCs w:val="26"/>
        </w:rPr>
        <w:t>ETS test developers sent the proposed assessment to the ETS psychometrics team for approval. The proposed assessment was reviewed to ensure that all statistical guidelines were met for both individual items and the assessment as a whole.</w:t>
      </w:r>
      <w:r w:rsidR="00876BE3">
        <w:rPr>
          <w:kern w:val="32"/>
          <w:szCs w:val="26"/>
        </w:rPr>
        <w:t xml:space="preserve"> ETS psychometricians review</w:t>
      </w:r>
      <w:r w:rsidR="002A2DD7">
        <w:rPr>
          <w:kern w:val="32"/>
          <w:szCs w:val="26"/>
        </w:rPr>
        <w:t>ed</w:t>
      </w:r>
      <w:r w:rsidR="00876BE3">
        <w:rPr>
          <w:kern w:val="32"/>
          <w:szCs w:val="26"/>
        </w:rPr>
        <w:t xml:space="preserve"> the </w:t>
      </w:r>
      <w:r w:rsidR="00876BE3">
        <w:t>item statistics</w:t>
      </w:r>
      <w:r w:rsidR="002A2DD7">
        <w:t>,</w:t>
      </w:r>
      <w:r w:rsidR="00876BE3">
        <w:t xml:space="preserve"> such as the </w:t>
      </w:r>
      <w:r w:rsidR="00876BE3" w:rsidRPr="001441CC">
        <w:rPr>
          <w:i/>
        </w:rPr>
        <w:t>p</w:t>
      </w:r>
      <w:r w:rsidR="00876BE3">
        <w:t>-value</w:t>
      </w:r>
      <w:r w:rsidR="00876BE3" w:rsidDel="000C37FD">
        <w:t xml:space="preserve"> (</w:t>
      </w:r>
      <w:r w:rsidR="00876BE3">
        <w:t>item difficulty;</w:t>
      </w:r>
      <w:r w:rsidR="00876BE3" w:rsidRPr="006E7C6B">
        <w:t xml:space="preserve"> </w:t>
      </w:r>
      <w:r w:rsidR="00876BE3">
        <w:t xml:space="preserve">refer to subsection </w:t>
      </w:r>
      <w:hyperlink w:anchor="_Classical_Item_Difficulty" w:history="1">
        <w:r w:rsidR="00BC5AF9" w:rsidRPr="00683EFF">
          <w:rPr>
            <w:rStyle w:val="Hyperlink"/>
            <w:rFonts w:eastAsia="Arial"/>
            <w:i/>
          </w:rPr>
          <w:t>7</w:t>
        </w:r>
        <w:r w:rsidR="00876BE3" w:rsidRPr="00683EFF">
          <w:rPr>
            <w:rStyle w:val="Hyperlink"/>
            <w:rFonts w:eastAsia="Arial"/>
            <w:i/>
          </w:rPr>
          <w:t xml:space="preserve">.2.1 Classical Item Difficulty Indices </w:t>
        </w:r>
        <w:r w:rsidR="00903992">
          <w:rPr>
            <w:rStyle w:val="Hyperlink"/>
            <w:rFonts w:eastAsia="Arial"/>
            <w:i/>
          </w:rPr>
          <w:t>[</w:t>
        </w:r>
        <w:r w:rsidR="00876BE3" w:rsidRPr="00683EFF">
          <w:rPr>
            <w:rStyle w:val="Hyperlink"/>
            <w:i/>
          </w:rPr>
          <w:t>p</w:t>
        </w:r>
        <w:r w:rsidR="00876BE3" w:rsidRPr="00683EFF">
          <w:rPr>
            <w:rStyle w:val="Hyperlink"/>
            <w:rFonts w:eastAsia="Arial"/>
            <w:i/>
          </w:rPr>
          <w:t>-value</w:t>
        </w:r>
        <w:r w:rsidR="00311384" w:rsidRPr="00683EFF">
          <w:rPr>
            <w:rStyle w:val="Hyperlink"/>
            <w:rFonts w:eastAsia="Arial"/>
            <w:i/>
            <w:iCs/>
          </w:rPr>
          <w:t xml:space="preserve"> </w:t>
        </w:r>
        <w:r w:rsidR="00311384" w:rsidRPr="00683EFF">
          <w:rPr>
            <w:rStyle w:val="Hyperlink"/>
            <w:i/>
            <w:iCs/>
          </w:rPr>
          <w:t>and Average Item Score</w:t>
        </w:r>
        <w:r w:rsidR="00903992">
          <w:rPr>
            <w:rStyle w:val="Hyperlink"/>
            <w:i/>
            <w:iCs/>
          </w:rPr>
          <w:t>]</w:t>
        </w:r>
      </w:hyperlink>
      <w:r w:rsidR="00876BE3">
        <w:t xml:space="preserve"> for more details on this statistic) and item</w:t>
      </w:r>
      <w:r w:rsidR="00BB10BC">
        <w:t>-</w:t>
      </w:r>
      <w:r w:rsidR="00876BE3">
        <w:t>total correlation</w:t>
      </w:r>
      <w:r w:rsidR="00876BE3" w:rsidDel="000C37FD">
        <w:t xml:space="preserve"> (</w:t>
      </w:r>
      <w:r w:rsidR="00876BE3">
        <w:t xml:space="preserve">item discrimination; refer to subsection </w:t>
      </w:r>
      <w:hyperlink w:anchor="_Item_Discrimination_(Item-Total" w:history="1">
        <w:r w:rsidR="00BC5AF9" w:rsidRPr="004A2E28">
          <w:rPr>
            <w:rStyle w:val="Hyperlink"/>
            <w:i/>
          </w:rPr>
          <w:t>7</w:t>
        </w:r>
        <w:r w:rsidR="00876BE3" w:rsidRPr="004A2E28">
          <w:rPr>
            <w:rStyle w:val="Hyperlink"/>
            <w:i/>
          </w:rPr>
          <w:t>.2.2 Item</w:t>
        </w:r>
        <w:r w:rsidR="002377B6" w:rsidRPr="004A2E28">
          <w:rPr>
            <w:rStyle w:val="Hyperlink"/>
            <w:i/>
          </w:rPr>
          <w:t xml:space="preserve"> Discrimination </w:t>
        </w:r>
        <w:r w:rsidR="00903992">
          <w:rPr>
            <w:rStyle w:val="Hyperlink"/>
            <w:i/>
          </w:rPr>
          <w:t>[</w:t>
        </w:r>
        <w:r w:rsidR="002377B6" w:rsidRPr="004A2E28">
          <w:rPr>
            <w:rStyle w:val="Hyperlink"/>
            <w:i/>
          </w:rPr>
          <w:t>Item</w:t>
        </w:r>
        <w:r w:rsidR="00876BE3" w:rsidRPr="004A2E28">
          <w:rPr>
            <w:rStyle w:val="Hyperlink"/>
            <w:i/>
          </w:rPr>
          <w:t>-Total Correlation</w:t>
        </w:r>
        <w:r w:rsidR="00903992">
          <w:rPr>
            <w:rStyle w:val="Hyperlink"/>
            <w:i/>
          </w:rPr>
          <w:t>]</w:t>
        </w:r>
      </w:hyperlink>
      <w:r w:rsidR="00876BE3">
        <w:t xml:space="preserve"> for more details on this statistic</w:t>
      </w:r>
      <w:r w:rsidR="00876BE3" w:rsidDel="000C37FD">
        <w:t xml:space="preserve">) </w:t>
      </w:r>
      <w:r w:rsidR="00876BE3">
        <w:t>obtained from the field test administration</w:t>
      </w:r>
      <w:r w:rsidR="002A2DD7">
        <w:t>,</w:t>
      </w:r>
      <w:r w:rsidR="00876BE3">
        <w:t xml:space="preserve"> </w:t>
      </w:r>
      <w:r w:rsidR="002A2DD7">
        <w:t>and</w:t>
      </w:r>
      <w:r w:rsidR="00876BE3">
        <w:t xml:space="preserve"> used t</w:t>
      </w:r>
      <w:r w:rsidR="002A2DD7">
        <w:t>hem to</w:t>
      </w:r>
      <w:r w:rsidR="00876BE3">
        <w:t xml:space="preserve"> inform the item selection for the operational forms. </w:t>
      </w:r>
      <w:r w:rsidR="00876BE3">
        <w:rPr>
          <w:rFonts w:eastAsia="Arial"/>
        </w:rPr>
        <w:t xml:space="preserve">At the form level, the distribution of </w:t>
      </w:r>
      <w:r w:rsidR="00876BE3" w:rsidRPr="001441CC">
        <w:rPr>
          <w:rFonts w:eastAsia="Arial"/>
          <w:i/>
        </w:rPr>
        <w:t>p</w:t>
      </w:r>
      <w:r w:rsidR="00876BE3">
        <w:rPr>
          <w:rFonts w:eastAsia="Arial"/>
        </w:rPr>
        <w:t>-values ranged from 0.</w:t>
      </w:r>
      <w:r w:rsidR="003A62B3">
        <w:rPr>
          <w:rFonts w:eastAsia="Arial"/>
        </w:rPr>
        <w:t>35</w:t>
      </w:r>
      <w:r w:rsidR="00876BE3">
        <w:rPr>
          <w:rFonts w:eastAsia="Arial"/>
        </w:rPr>
        <w:t xml:space="preserve"> to 0.9</w:t>
      </w:r>
      <w:r w:rsidR="003A62B3">
        <w:rPr>
          <w:rFonts w:eastAsia="Arial"/>
        </w:rPr>
        <w:t>2</w:t>
      </w:r>
      <w:r w:rsidR="002A2DD7">
        <w:rPr>
          <w:rFonts w:eastAsia="Arial"/>
        </w:rPr>
        <w:t>,</w:t>
      </w:r>
      <w:r w:rsidR="000D4DF2">
        <w:rPr>
          <w:rFonts w:eastAsia="Arial"/>
        </w:rPr>
        <w:t xml:space="preserve"> and all the i</w:t>
      </w:r>
      <w:r w:rsidR="003673E3">
        <w:rPr>
          <w:rFonts w:eastAsia="Arial"/>
        </w:rPr>
        <w:t>tems selected had item-total correlations higher than 0.3</w:t>
      </w:r>
      <w:r w:rsidR="000D4DF2">
        <w:rPr>
          <w:rFonts w:eastAsia="Arial"/>
        </w:rPr>
        <w:t>0</w:t>
      </w:r>
      <w:r w:rsidR="00BC5AF9">
        <w:rPr>
          <w:rFonts w:eastAsia="Arial"/>
        </w:rPr>
        <w:t>.</w:t>
      </w:r>
    </w:p>
    <w:p w14:paraId="108A496E" w14:textId="37336A62" w:rsidR="00995CE3" w:rsidRDefault="00995CE3" w:rsidP="00995CE3">
      <w:r>
        <w:t>The following psychometric criteria were applied in the form assembly:</w:t>
      </w:r>
    </w:p>
    <w:p w14:paraId="242FB650" w14:textId="734A2915" w:rsidR="00995CE3" w:rsidRDefault="00995CE3" w:rsidP="00995CE3">
      <w:pPr>
        <w:pStyle w:val="bullets"/>
        <w:numPr>
          <w:ilvl w:val="0"/>
          <w:numId w:val="69"/>
        </w:numPr>
        <w:tabs>
          <w:tab w:val="clear" w:pos="727"/>
        </w:tabs>
        <w:spacing w:before="10"/>
        <w:ind w:left="864" w:hanging="288"/>
        <w:rPr>
          <w:rFonts w:eastAsia="Arial"/>
        </w:rPr>
      </w:pPr>
      <w:r>
        <w:rPr>
          <w:rFonts w:eastAsia="Arial"/>
        </w:rPr>
        <w:t xml:space="preserve">The </w:t>
      </w:r>
      <w:r w:rsidRPr="00015DD9">
        <w:rPr>
          <w:rFonts w:eastAsia="Arial"/>
          <w:i/>
        </w:rPr>
        <w:t>p</w:t>
      </w:r>
      <w:r>
        <w:rPr>
          <w:rFonts w:eastAsia="Arial"/>
        </w:rPr>
        <w:t xml:space="preserve">-value is between 0.2 and 0.95. A </w:t>
      </w:r>
      <w:r w:rsidRPr="00015DD9">
        <w:rPr>
          <w:rFonts w:eastAsia="Arial"/>
          <w:i/>
        </w:rPr>
        <w:t>p</w:t>
      </w:r>
      <w:r>
        <w:rPr>
          <w:rFonts w:eastAsia="Arial"/>
        </w:rPr>
        <w:t xml:space="preserve">-value less than 0.2 suggests that the item might be too difficult; a </w:t>
      </w:r>
      <w:r w:rsidRPr="00015DD9">
        <w:rPr>
          <w:rFonts w:eastAsia="Arial"/>
          <w:i/>
        </w:rPr>
        <w:t>p</w:t>
      </w:r>
      <w:r>
        <w:rPr>
          <w:rFonts w:eastAsia="Arial"/>
        </w:rPr>
        <w:t>-value greater than 0.95 suggests that the item might be too easy. Items that were too easy or too difficult</w:t>
      </w:r>
      <w:r w:rsidDel="000C37FD">
        <w:rPr>
          <w:rFonts w:eastAsia="Arial"/>
        </w:rPr>
        <w:t xml:space="preserve"> </w:t>
      </w:r>
      <w:r>
        <w:rPr>
          <w:rFonts w:eastAsia="Arial"/>
        </w:rPr>
        <w:t>were not used</w:t>
      </w:r>
      <w:r w:rsidR="00050B3A">
        <w:rPr>
          <w:rFonts w:eastAsia="Arial"/>
        </w:rPr>
        <w:t>,</w:t>
      </w:r>
      <w:r>
        <w:rPr>
          <w:rFonts w:eastAsia="Arial"/>
        </w:rPr>
        <w:t xml:space="preserve"> as they provided little information on evaluating students’ abilities.</w:t>
      </w:r>
    </w:p>
    <w:p w14:paraId="5571DB20" w14:textId="73F0EC74" w:rsidR="00995CE3" w:rsidRDefault="00995CE3" w:rsidP="00BA1018">
      <w:pPr>
        <w:pStyle w:val="bullets"/>
        <w:keepNext/>
        <w:numPr>
          <w:ilvl w:val="0"/>
          <w:numId w:val="69"/>
        </w:numPr>
        <w:tabs>
          <w:tab w:val="clear" w:pos="727"/>
        </w:tabs>
        <w:spacing w:before="10"/>
        <w:ind w:left="864" w:hanging="288"/>
        <w:rPr>
          <w:rFonts w:eastAsia="Arial"/>
        </w:rPr>
      </w:pPr>
      <w:r>
        <w:rPr>
          <w:rFonts w:eastAsia="Arial"/>
        </w:rPr>
        <w:lastRenderedPageBreak/>
        <w:t xml:space="preserve">The item-total correlation is at least 0.2. </w:t>
      </w:r>
      <w:r w:rsidR="00F05825">
        <w:rPr>
          <w:rFonts w:eastAsia="Arial"/>
        </w:rPr>
        <w:t>I</w:t>
      </w:r>
      <w:r>
        <w:rPr>
          <w:rFonts w:eastAsia="Arial"/>
        </w:rPr>
        <w:t xml:space="preserve">tems selected had </w:t>
      </w:r>
      <w:r w:rsidR="002377B6">
        <w:rPr>
          <w:rFonts w:eastAsia="Arial"/>
        </w:rPr>
        <w:t>item-total</w:t>
      </w:r>
      <w:r>
        <w:rPr>
          <w:rFonts w:eastAsia="Arial"/>
        </w:rPr>
        <w:t xml:space="preserve"> correlations higher than 0.3.</w:t>
      </w:r>
    </w:p>
    <w:p w14:paraId="7A99765F" w14:textId="7610F86E" w:rsidR="00995CE3" w:rsidRPr="00C25F58" w:rsidRDefault="00995CE3" w:rsidP="0089466D">
      <w:pPr>
        <w:pStyle w:val="bullets"/>
        <w:keepNext/>
        <w:keepLines/>
        <w:numPr>
          <w:ilvl w:val="0"/>
          <w:numId w:val="69"/>
        </w:numPr>
        <w:tabs>
          <w:tab w:val="clear" w:pos="727"/>
        </w:tabs>
        <w:spacing w:before="10"/>
        <w:ind w:left="864" w:hanging="288"/>
      </w:pPr>
      <w:r w:rsidRPr="00030F81">
        <w:rPr>
          <w:rFonts w:eastAsia="Arial"/>
        </w:rPr>
        <w:t>Items with C-DIF should not be used unless it is necessary for content coverage (refer to sec</w:t>
      </w:r>
      <w:r w:rsidRPr="0089466D">
        <w:rPr>
          <w:rFonts w:eastAsia="Arial"/>
        </w:rPr>
        <w:t xml:space="preserve">tion </w:t>
      </w:r>
      <w:hyperlink w:anchor="_Differential_Item_Functioning" w:history="1">
        <w:r w:rsidR="002372AA" w:rsidRPr="0089466D">
          <w:rPr>
            <w:rStyle w:val="Hyperlink"/>
            <w:rFonts w:eastAsia="Arial"/>
            <w:i/>
          </w:rPr>
          <w:t>7.5 Differential Item Functioning Analyses</w:t>
        </w:r>
      </w:hyperlink>
      <w:r w:rsidRPr="0089466D">
        <w:rPr>
          <w:rFonts w:eastAsia="Arial"/>
        </w:rPr>
        <w:t xml:space="preserve"> for</w:t>
      </w:r>
      <w:r w:rsidRPr="00030F81">
        <w:rPr>
          <w:rFonts w:eastAsia="Arial"/>
        </w:rPr>
        <w:t xml:space="preserve"> more details on the differential item functioning [DIF]). All C</w:t>
      </w:r>
      <w:r w:rsidRPr="00A52C99">
        <w:rPr>
          <w:rFonts w:eastAsia="Arial"/>
        </w:rPr>
        <w:noBreakHyphen/>
        <w:t>DIF items</w:t>
      </w:r>
      <w:r w:rsidRPr="00C8642D">
        <w:rPr>
          <w:rFonts w:eastAsia="Arial"/>
        </w:rPr>
        <w:t xml:space="preserve"> </w:t>
      </w:r>
      <w:r w:rsidRPr="00BA3A41">
        <w:rPr>
          <w:rFonts w:eastAsia="Arial"/>
        </w:rPr>
        <w:t>were reviewed by a DIF panel that include</w:t>
      </w:r>
      <w:r w:rsidRPr="005C5054">
        <w:rPr>
          <w:rFonts w:eastAsia="Arial"/>
        </w:rPr>
        <w:t>d members of the focal groups that were affected and who confirmed the items were not biased before the items could be selected for use. The</w:t>
      </w:r>
      <w:r w:rsidRPr="005C5054" w:rsidDel="000C37FD">
        <w:rPr>
          <w:rFonts w:eastAsia="Arial"/>
        </w:rPr>
        <w:t xml:space="preserve"> </w:t>
      </w:r>
      <w:r w:rsidRPr="005C5054">
        <w:rPr>
          <w:rFonts w:eastAsia="Arial"/>
        </w:rPr>
        <w:t>panelists did not have a vested interest in the outcome of the decision.</w:t>
      </w:r>
    </w:p>
    <w:p w14:paraId="162201D8" w14:textId="039435CE" w:rsidR="00AE3137" w:rsidRDefault="004B6BE2" w:rsidP="00AE3137">
      <w:r>
        <w:t>Psychometric review results, including the number of forms and number of items</w:t>
      </w:r>
      <w:r w:rsidR="00A40753">
        <w:t>,</w:t>
      </w:r>
      <w:r>
        <w:t xml:space="preserve"> are presented in </w:t>
      </w:r>
      <w:r w:rsidR="00A40753" w:rsidRPr="007C431E">
        <w:rPr>
          <w:rStyle w:val="Cross-Reference"/>
        </w:rPr>
        <w:fldChar w:fldCharType="begin"/>
      </w:r>
      <w:r w:rsidR="00A40753" w:rsidRPr="007C431E">
        <w:rPr>
          <w:rStyle w:val="Cross-Reference"/>
        </w:rPr>
        <w:instrText xml:space="preserve"> REF  _Ref66967805 \* Lower \h  \* MERGEFORMAT </w:instrText>
      </w:r>
      <w:r w:rsidR="00A40753" w:rsidRPr="007C431E">
        <w:rPr>
          <w:rStyle w:val="Cross-Reference"/>
        </w:rPr>
      </w:r>
      <w:r w:rsidR="00A40753" w:rsidRPr="007C431E">
        <w:rPr>
          <w:rStyle w:val="Cross-Reference"/>
        </w:rPr>
        <w:fldChar w:fldCharType="separate"/>
      </w:r>
      <w:r w:rsidR="00907F51" w:rsidRPr="00907F51">
        <w:rPr>
          <w:rStyle w:val="Cross-Reference"/>
        </w:rPr>
        <w:t>table 4.1</w:t>
      </w:r>
      <w:r w:rsidR="00A40753" w:rsidRPr="007C431E">
        <w:rPr>
          <w:rStyle w:val="Cross-Reference"/>
        </w:rPr>
        <w:fldChar w:fldCharType="end"/>
      </w:r>
      <w:r w:rsidRPr="00A40753">
        <w:t>.</w:t>
      </w:r>
      <w:r w:rsidR="00AE3137">
        <w:t xml:space="preserve"> Note that some </w:t>
      </w:r>
      <w:r w:rsidR="00AE3137" w:rsidRPr="00D518DE">
        <w:t>operational</w:t>
      </w:r>
      <w:r w:rsidR="00AE3137">
        <w:t xml:space="preserve"> and field test items were administered across two or more forms.</w:t>
      </w:r>
    </w:p>
    <w:p w14:paraId="152C3875" w14:textId="54781C80" w:rsidR="00A40753" w:rsidRDefault="00A40753" w:rsidP="00A40753">
      <w:pPr>
        <w:pStyle w:val="Caption"/>
      </w:pPr>
      <w:bookmarkStart w:id="297" w:name="_Ref66967805"/>
      <w:bookmarkStart w:id="298" w:name="_Toc67319691"/>
      <w:bookmarkStart w:id="299" w:name="_Toc220498695"/>
      <w:r>
        <w:t xml:space="preserve">Table </w:t>
      </w:r>
      <w:r>
        <w:fldChar w:fldCharType="begin"/>
      </w:r>
      <w:r>
        <w:instrText>STYLEREF 2 \s</w:instrText>
      </w:r>
      <w:r>
        <w:fldChar w:fldCharType="separate"/>
      </w:r>
      <w:r w:rsidR="00961502">
        <w:rPr>
          <w:noProof/>
        </w:rPr>
        <w:t>4</w:t>
      </w:r>
      <w:r>
        <w:fldChar w:fldCharType="end"/>
      </w:r>
      <w:r>
        <w:t>.</w:t>
      </w:r>
      <w:r>
        <w:fldChar w:fldCharType="begin"/>
      </w:r>
      <w:r>
        <w:instrText>SEQ Table \* ARABIC \s 2</w:instrText>
      </w:r>
      <w:r>
        <w:fldChar w:fldCharType="separate"/>
      </w:r>
      <w:r w:rsidR="00961502">
        <w:rPr>
          <w:noProof/>
        </w:rPr>
        <w:t>1</w:t>
      </w:r>
      <w:r>
        <w:fldChar w:fldCharType="end"/>
      </w:r>
      <w:bookmarkEnd w:id="297"/>
      <w:r>
        <w:t xml:space="preserve">  Number of Forms and Items Reviewed Psychometrically</w:t>
      </w:r>
      <w:bookmarkEnd w:id="298"/>
      <w:bookmarkEnd w:id="299"/>
    </w:p>
    <w:tbl>
      <w:tblPr>
        <w:tblStyle w:val="TRs"/>
        <w:tblW w:w="7905" w:type="dxa"/>
        <w:tblLook w:val="04A0" w:firstRow="1" w:lastRow="0" w:firstColumn="1" w:lastColumn="0" w:noHBand="0" w:noVBand="1"/>
        <w:tblDescription w:val="Number of forms, operational items, field test items, and total items reviewed psychometrically by content area and grade"/>
      </w:tblPr>
      <w:tblGrid>
        <w:gridCol w:w="2016"/>
        <w:gridCol w:w="1529"/>
        <w:gridCol w:w="1550"/>
        <w:gridCol w:w="1440"/>
        <w:gridCol w:w="1370"/>
      </w:tblGrid>
      <w:tr w:rsidR="00380551" w:rsidRPr="00380C0B" w14:paraId="074A54B5" w14:textId="77777777" w:rsidTr="00BF353A">
        <w:trPr>
          <w:cnfStyle w:val="100000000000" w:firstRow="1" w:lastRow="0" w:firstColumn="0" w:lastColumn="0" w:oddVBand="0" w:evenVBand="0" w:oddHBand="0" w:evenHBand="0" w:firstRowFirstColumn="0" w:firstRowLastColumn="0" w:lastRowFirstColumn="0" w:lastRowLastColumn="0"/>
          <w:trHeight w:val="821"/>
        </w:trPr>
        <w:tc>
          <w:tcPr>
            <w:tcW w:w="2016" w:type="dxa"/>
            <w:hideMark/>
          </w:tcPr>
          <w:p w14:paraId="1ECA7E79" w14:textId="0E908D10" w:rsidR="00ED31C2" w:rsidRPr="00380C0B" w:rsidRDefault="00ED31C2" w:rsidP="00BF353A">
            <w:pPr>
              <w:pStyle w:val="TableHead"/>
              <w:spacing w:before="20" w:after="20"/>
              <w:rPr>
                <w:b w:val="0"/>
                <w:bCs w:val="0"/>
                <w:noProof w:val="0"/>
              </w:rPr>
            </w:pPr>
            <w:r w:rsidRPr="00380C0B">
              <w:t>Grade</w:t>
            </w:r>
            <w:r w:rsidR="00345AB8">
              <w:t xml:space="preserve"> Level or Grade Band</w:t>
            </w:r>
          </w:p>
        </w:tc>
        <w:tc>
          <w:tcPr>
            <w:tcW w:w="1529" w:type="dxa"/>
          </w:tcPr>
          <w:p w14:paraId="5962B8F4" w14:textId="77777777" w:rsidR="00ED31C2" w:rsidRPr="00380C0B" w:rsidRDefault="00ED31C2" w:rsidP="00BF353A">
            <w:pPr>
              <w:pStyle w:val="TableHead"/>
              <w:spacing w:before="20" w:after="20"/>
              <w:rPr>
                <w:b w:val="0"/>
                <w:bCs w:val="0"/>
                <w:noProof w:val="0"/>
              </w:rPr>
            </w:pPr>
            <w:r>
              <w:t>Number of Forms</w:t>
            </w:r>
          </w:p>
        </w:tc>
        <w:tc>
          <w:tcPr>
            <w:tcW w:w="1550" w:type="dxa"/>
            <w:hideMark/>
          </w:tcPr>
          <w:p w14:paraId="3B5E500B" w14:textId="0C2F2F05" w:rsidR="00ED31C2" w:rsidRPr="00380C0B" w:rsidRDefault="00ED31C2" w:rsidP="00BF353A">
            <w:pPr>
              <w:pStyle w:val="TableHead"/>
              <w:spacing w:before="20" w:after="20"/>
              <w:rPr>
                <w:b w:val="0"/>
                <w:bCs w:val="0"/>
                <w:noProof w:val="0"/>
              </w:rPr>
            </w:pPr>
            <w:r>
              <w:t xml:space="preserve">Number of </w:t>
            </w:r>
            <w:r w:rsidR="005B4F81">
              <w:t xml:space="preserve">Unique </w:t>
            </w:r>
            <w:r>
              <w:t>Operational Items</w:t>
            </w:r>
          </w:p>
        </w:tc>
        <w:tc>
          <w:tcPr>
            <w:tcW w:w="1440" w:type="dxa"/>
          </w:tcPr>
          <w:p w14:paraId="2C3182F3" w14:textId="5C3DE03F" w:rsidR="00ED31C2" w:rsidRPr="000405C0" w:rsidRDefault="00ED31C2" w:rsidP="00BF353A">
            <w:pPr>
              <w:pStyle w:val="TableHead"/>
              <w:spacing w:before="20" w:after="20"/>
              <w:rPr>
                <w:bCs w:val="0"/>
                <w:noProof w:val="0"/>
              </w:rPr>
            </w:pPr>
            <w:r>
              <w:rPr>
                <w:bCs w:val="0"/>
                <w:noProof w:val="0"/>
              </w:rPr>
              <w:t xml:space="preserve">Number of </w:t>
            </w:r>
            <w:r w:rsidR="005B4F81">
              <w:rPr>
                <w:bCs w:val="0"/>
                <w:noProof w:val="0"/>
              </w:rPr>
              <w:t xml:space="preserve">Unique </w:t>
            </w:r>
            <w:r>
              <w:rPr>
                <w:bCs w:val="0"/>
                <w:noProof w:val="0"/>
              </w:rPr>
              <w:t>Field Test Items</w:t>
            </w:r>
          </w:p>
        </w:tc>
        <w:tc>
          <w:tcPr>
            <w:tcW w:w="1370" w:type="dxa"/>
          </w:tcPr>
          <w:p w14:paraId="02796CAA" w14:textId="30C359E0" w:rsidR="00ED31C2" w:rsidRPr="00175F75" w:rsidRDefault="00ED31C2" w:rsidP="00BF353A">
            <w:pPr>
              <w:pStyle w:val="TableHead"/>
              <w:spacing w:before="20" w:after="20"/>
              <w:rPr>
                <w:bCs w:val="0"/>
                <w:noProof w:val="0"/>
              </w:rPr>
            </w:pPr>
            <w:r>
              <w:rPr>
                <w:bCs w:val="0"/>
                <w:noProof w:val="0"/>
              </w:rPr>
              <w:t xml:space="preserve">Total </w:t>
            </w:r>
            <w:r w:rsidR="005B4F81">
              <w:rPr>
                <w:bCs w:val="0"/>
                <w:noProof w:val="0"/>
              </w:rPr>
              <w:t xml:space="preserve">Number of Unique </w:t>
            </w:r>
            <w:r>
              <w:rPr>
                <w:bCs w:val="0"/>
                <w:noProof w:val="0"/>
              </w:rPr>
              <w:t>Items</w:t>
            </w:r>
          </w:p>
        </w:tc>
      </w:tr>
      <w:tr w:rsidR="005B4F81" w:rsidRPr="00380C0B" w14:paraId="385FF212" w14:textId="77777777" w:rsidTr="00345AB8">
        <w:tc>
          <w:tcPr>
            <w:tcW w:w="2016" w:type="dxa"/>
            <w:tcBorders>
              <w:top w:val="single" w:sz="4" w:space="0" w:color="auto"/>
            </w:tcBorders>
            <w:hideMark/>
          </w:tcPr>
          <w:p w14:paraId="49A057E8" w14:textId="682396DC" w:rsidR="00ED31C2" w:rsidRPr="00380C0B" w:rsidRDefault="00ED31C2" w:rsidP="00D17607">
            <w:pPr>
              <w:pStyle w:val="TableText"/>
              <w:rPr>
                <w:noProof w:val="0"/>
              </w:rPr>
            </w:pPr>
            <w:r>
              <w:t>Five</w:t>
            </w:r>
          </w:p>
        </w:tc>
        <w:tc>
          <w:tcPr>
            <w:tcW w:w="1529" w:type="dxa"/>
            <w:tcBorders>
              <w:top w:val="single" w:sz="4" w:space="0" w:color="auto"/>
            </w:tcBorders>
          </w:tcPr>
          <w:p w14:paraId="275939F0" w14:textId="595E0558" w:rsidR="00ED31C2" w:rsidRPr="00380C0B" w:rsidRDefault="00EE1AA2" w:rsidP="00386016">
            <w:pPr>
              <w:pStyle w:val="TableText"/>
              <w:ind w:right="503"/>
              <w:rPr>
                <w:noProof w:val="0"/>
              </w:rPr>
            </w:pPr>
            <w:r>
              <w:rPr>
                <w:noProof w:val="0"/>
              </w:rPr>
              <w:t>4</w:t>
            </w:r>
          </w:p>
        </w:tc>
        <w:tc>
          <w:tcPr>
            <w:tcW w:w="1550" w:type="dxa"/>
            <w:tcBorders>
              <w:top w:val="single" w:sz="4" w:space="0" w:color="auto"/>
            </w:tcBorders>
          </w:tcPr>
          <w:p w14:paraId="25106E80" w14:textId="43FE136B" w:rsidR="00ED31C2" w:rsidRPr="00380C0B" w:rsidRDefault="00F55FAC" w:rsidP="00386016">
            <w:pPr>
              <w:pStyle w:val="TableText"/>
              <w:ind w:right="503"/>
              <w:rPr>
                <w:noProof w:val="0"/>
              </w:rPr>
            </w:pPr>
            <w:r>
              <w:rPr>
                <w:noProof w:val="0"/>
              </w:rPr>
              <w:t>60</w:t>
            </w:r>
          </w:p>
        </w:tc>
        <w:tc>
          <w:tcPr>
            <w:tcW w:w="1440" w:type="dxa"/>
            <w:tcBorders>
              <w:top w:val="single" w:sz="4" w:space="0" w:color="auto"/>
            </w:tcBorders>
          </w:tcPr>
          <w:p w14:paraId="026BF4D4" w14:textId="02E921B0" w:rsidR="00ED31C2" w:rsidRPr="00380C0B" w:rsidRDefault="00F55FAC" w:rsidP="00386016">
            <w:pPr>
              <w:pStyle w:val="TableText"/>
              <w:ind w:right="503"/>
              <w:rPr>
                <w:noProof w:val="0"/>
              </w:rPr>
            </w:pPr>
            <w:r>
              <w:rPr>
                <w:noProof w:val="0"/>
              </w:rPr>
              <w:t>16</w:t>
            </w:r>
          </w:p>
        </w:tc>
        <w:tc>
          <w:tcPr>
            <w:tcW w:w="1370" w:type="dxa"/>
            <w:tcBorders>
              <w:top w:val="single" w:sz="4" w:space="0" w:color="auto"/>
            </w:tcBorders>
          </w:tcPr>
          <w:p w14:paraId="029C11B5" w14:textId="264CB24E" w:rsidR="00ED31C2" w:rsidRPr="00852ADE" w:rsidRDefault="00F55FAC" w:rsidP="00345AB8">
            <w:pPr>
              <w:pStyle w:val="TableText"/>
              <w:ind w:right="360"/>
            </w:pPr>
            <w:r>
              <w:t>76</w:t>
            </w:r>
          </w:p>
        </w:tc>
      </w:tr>
      <w:tr w:rsidR="005B4F81" w:rsidRPr="00380C0B" w14:paraId="5E95D087" w14:textId="77777777" w:rsidTr="00345AB8">
        <w:tc>
          <w:tcPr>
            <w:tcW w:w="2016" w:type="dxa"/>
            <w:hideMark/>
          </w:tcPr>
          <w:p w14:paraId="53D6788C" w14:textId="3C7BCF37" w:rsidR="00ED31C2" w:rsidRPr="00380C0B" w:rsidRDefault="00ED31C2" w:rsidP="00D17607">
            <w:pPr>
              <w:pStyle w:val="TableText"/>
              <w:rPr>
                <w:noProof w:val="0"/>
              </w:rPr>
            </w:pPr>
            <w:r>
              <w:t>Eight</w:t>
            </w:r>
          </w:p>
        </w:tc>
        <w:tc>
          <w:tcPr>
            <w:tcW w:w="1529" w:type="dxa"/>
          </w:tcPr>
          <w:p w14:paraId="65DB6727" w14:textId="2024FAF9" w:rsidR="00ED31C2" w:rsidRPr="00380C0B" w:rsidRDefault="00EE1AA2" w:rsidP="00386016">
            <w:pPr>
              <w:pStyle w:val="TableText"/>
              <w:ind w:right="503"/>
              <w:rPr>
                <w:noProof w:val="0"/>
              </w:rPr>
            </w:pPr>
            <w:r>
              <w:rPr>
                <w:noProof w:val="0"/>
              </w:rPr>
              <w:t>4</w:t>
            </w:r>
          </w:p>
        </w:tc>
        <w:tc>
          <w:tcPr>
            <w:tcW w:w="1550" w:type="dxa"/>
          </w:tcPr>
          <w:p w14:paraId="2D112A45" w14:textId="12FABE97" w:rsidR="00ED31C2" w:rsidRPr="00380C0B" w:rsidRDefault="006C7FFA" w:rsidP="00386016">
            <w:pPr>
              <w:pStyle w:val="TableText"/>
              <w:ind w:right="503"/>
              <w:rPr>
                <w:noProof w:val="0"/>
              </w:rPr>
            </w:pPr>
            <w:r>
              <w:rPr>
                <w:noProof w:val="0"/>
              </w:rPr>
              <w:t>59</w:t>
            </w:r>
          </w:p>
        </w:tc>
        <w:tc>
          <w:tcPr>
            <w:tcW w:w="1440" w:type="dxa"/>
          </w:tcPr>
          <w:p w14:paraId="068F7083" w14:textId="5B3F4C07" w:rsidR="00ED31C2" w:rsidRPr="00380C0B" w:rsidRDefault="0072680B" w:rsidP="00386016">
            <w:pPr>
              <w:pStyle w:val="TableText"/>
              <w:ind w:right="503"/>
              <w:rPr>
                <w:noProof w:val="0"/>
              </w:rPr>
            </w:pPr>
            <w:r>
              <w:rPr>
                <w:noProof w:val="0"/>
              </w:rPr>
              <w:t>14</w:t>
            </w:r>
          </w:p>
        </w:tc>
        <w:tc>
          <w:tcPr>
            <w:tcW w:w="1370" w:type="dxa"/>
          </w:tcPr>
          <w:p w14:paraId="47DC0417" w14:textId="3CA25580" w:rsidR="00ED31C2" w:rsidRPr="00852ADE" w:rsidRDefault="00125F2C" w:rsidP="00345AB8">
            <w:pPr>
              <w:pStyle w:val="TableText"/>
              <w:ind w:right="360"/>
            </w:pPr>
            <w:r>
              <w:t>73</w:t>
            </w:r>
          </w:p>
        </w:tc>
      </w:tr>
      <w:tr w:rsidR="005B4F81" w:rsidRPr="00380C0B" w14:paraId="54500D11" w14:textId="77777777" w:rsidTr="00345AB8">
        <w:tc>
          <w:tcPr>
            <w:tcW w:w="2016" w:type="dxa"/>
          </w:tcPr>
          <w:p w14:paraId="68C71794" w14:textId="002FF48A" w:rsidR="00ED31C2" w:rsidRPr="00A73424" w:rsidRDefault="00ED31C2" w:rsidP="00D17607">
            <w:pPr>
              <w:pStyle w:val="TableText"/>
            </w:pPr>
            <w:r>
              <w:t>High School</w:t>
            </w:r>
          </w:p>
        </w:tc>
        <w:tc>
          <w:tcPr>
            <w:tcW w:w="1529" w:type="dxa"/>
          </w:tcPr>
          <w:p w14:paraId="38E07C28" w14:textId="4B4912F4" w:rsidR="00ED31C2" w:rsidRPr="009A1ADD" w:rsidRDefault="00EE1AA2" w:rsidP="00386016">
            <w:pPr>
              <w:pStyle w:val="TableText"/>
              <w:ind w:right="503"/>
            </w:pPr>
            <w:r>
              <w:t>4</w:t>
            </w:r>
          </w:p>
        </w:tc>
        <w:tc>
          <w:tcPr>
            <w:tcW w:w="1550" w:type="dxa"/>
          </w:tcPr>
          <w:p w14:paraId="1707D9E2" w14:textId="0E36001A" w:rsidR="00ED31C2" w:rsidRPr="009A1ADD" w:rsidRDefault="00125F2C" w:rsidP="00386016">
            <w:pPr>
              <w:pStyle w:val="TableText"/>
              <w:ind w:right="503"/>
            </w:pPr>
            <w:r>
              <w:t>59</w:t>
            </w:r>
          </w:p>
        </w:tc>
        <w:tc>
          <w:tcPr>
            <w:tcW w:w="1440" w:type="dxa"/>
          </w:tcPr>
          <w:p w14:paraId="233E744B" w14:textId="3EEAE6FD" w:rsidR="00ED31C2" w:rsidRPr="009A1ADD" w:rsidRDefault="00125F2C" w:rsidP="00386016">
            <w:pPr>
              <w:pStyle w:val="TableText"/>
              <w:ind w:right="503"/>
            </w:pPr>
            <w:r>
              <w:t>15</w:t>
            </w:r>
          </w:p>
        </w:tc>
        <w:tc>
          <w:tcPr>
            <w:tcW w:w="1370" w:type="dxa"/>
          </w:tcPr>
          <w:p w14:paraId="2E0015C6" w14:textId="3E814734" w:rsidR="00ED31C2" w:rsidRPr="009A1ADD" w:rsidRDefault="00125F2C" w:rsidP="00345AB8">
            <w:pPr>
              <w:pStyle w:val="TableText"/>
              <w:ind w:right="360"/>
            </w:pPr>
            <w:r>
              <w:t>74</w:t>
            </w:r>
          </w:p>
        </w:tc>
      </w:tr>
      <w:tr w:rsidR="005B4F81" w:rsidRPr="00380C0B" w14:paraId="3EB26C81" w14:textId="77777777" w:rsidTr="00345AB8">
        <w:tc>
          <w:tcPr>
            <w:tcW w:w="2016" w:type="dxa"/>
          </w:tcPr>
          <w:p w14:paraId="1E123199" w14:textId="77777777" w:rsidR="00ED31C2" w:rsidRDefault="00ED31C2" w:rsidP="00D17607">
            <w:pPr>
              <w:pStyle w:val="TableText"/>
            </w:pPr>
            <w:r>
              <w:t>Overall</w:t>
            </w:r>
          </w:p>
        </w:tc>
        <w:tc>
          <w:tcPr>
            <w:tcW w:w="1529" w:type="dxa"/>
          </w:tcPr>
          <w:p w14:paraId="3B058E0E" w14:textId="2358B3C7" w:rsidR="00ED31C2" w:rsidRDefault="00EE1AA2" w:rsidP="00386016">
            <w:pPr>
              <w:pStyle w:val="TableText"/>
              <w:ind w:right="503"/>
            </w:pPr>
            <w:r>
              <w:t>12</w:t>
            </w:r>
          </w:p>
        </w:tc>
        <w:tc>
          <w:tcPr>
            <w:tcW w:w="1550" w:type="dxa"/>
          </w:tcPr>
          <w:p w14:paraId="5F276FE6" w14:textId="6C9077EE" w:rsidR="00ED31C2" w:rsidRDefault="00175DEB" w:rsidP="00386016">
            <w:pPr>
              <w:pStyle w:val="TableText"/>
              <w:ind w:right="503"/>
            </w:pPr>
            <w:r>
              <w:t>178</w:t>
            </w:r>
          </w:p>
        </w:tc>
        <w:tc>
          <w:tcPr>
            <w:tcW w:w="1440" w:type="dxa"/>
          </w:tcPr>
          <w:p w14:paraId="06FCA8F8" w14:textId="769E194F" w:rsidR="00ED31C2" w:rsidRDefault="00175DEB" w:rsidP="00386016">
            <w:pPr>
              <w:pStyle w:val="TableText"/>
              <w:ind w:right="503"/>
            </w:pPr>
            <w:r>
              <w:t>45</w:t>
            </w:r>
          </w:p>
        </w:tc>
        <w:tc>
          <w:tcPr>
            <w:tcW w:w="1370" w:type="dxa"/>
          </w:tcPr>
          <w:p w14:paraId="25EAE07A" w14:textId="64C3B4DE" w:rsidR="00ED31C2" w:rsidRDefault="00175DEB" w:rsidP="00345AB8">
            <w:pPr>
              <w:pStyle w:val="TableText"/>
              <w:ind w:right="360"/>
            </w:pPr>
            <w:r>
              <w:t>223</w:t>
            </w:r>
          </w:p>
        </w:tc>
      </w:tr>
    </w:tbl>
    <w:p w14:paraId="05E2B5C9" w14:textId="40FC029E" w:rsidR="00DD2A9C" w:rsidRDefault="00DD2A9C" w:rsidP="007A71B3">
      <w:pPr>
        <w:pStyle w:val="Heading4"/>
      </w:pPr>
      <w:bookmarkStart w:id="300" w:name="_Toc182555158"/>
      <w:bookmarkStart w:id="301" w:name="_Toc182555159"/>
      <w:bookmarkEnd w:id="300"/>
      <w:r w:rsidRPr="004B2D24">
        <w:t>Content Review of Forms</w:t>
      </w:r>
      <w:bookmarkEnd w:id="301"/>
    </w:p>
    <w:p w14:paraId="29CF0C81" w14:textId="315A59DB" w:rsidR="000125FB" w:rsidRPr="00C34C12" w:rsidRDefault="000125FB" w:rsidP="000125FB">
      <w:pPr>
        <w:keepLines/>
        <w:rPr>
          <w:color w:val="000000" w:themeColor="text1"/>
        </w:rPr>
      </w:pPr>
      <w:r w:rsidRPr="00C34C12">
        <w:rPr>
          <w:kern w:val="32"/>
        </w:rPr>
        <w:t xml:space="preserve">After psychometric approval, the proposed assessment underwent two additional content reviews and one editorial review. </w:t>
      </w:r>
      <w:r w:rsidRPr="00C34C12">
        <w:rPr>
          <w:color w:val="000000" w:themeColor="text1"/>
        </w:rPr>
        <w:t xml:space="preserve">The form reviewers are content specialists who work on testing programs other than the CAA for </w:t>
      </w:r>
      <w:r w:rsidR="00541C90">
        <w:rPr>
          <w:color w:val="000000" w:themeColor="text1"/>
        </w:rPr>
        <w:t>Science</w:t>
      </w:r>
      <w:r w:rsidRPr="00C34C12">
        <w:rPr>
          <w:color w:val="000000" w:themeColor="text1"/>
        </w:rPr>
        <w:t>, so</w:t>
      </w:r>
      <w:r w:rsidRPr="00C34C12" w:rsidDel="009307D7">
        <w:rPr>
          <w:color w:val="000000" w:themeColor="text1"/>
        </w:rPr>
        <w:t xml:space="preserve"> </w:t>
      </w:r>
      <w:r w:rsidRPr="00C34C12">
        <w:rPr>
          <w:color w:val="000000" w:themeColor="text1"/>
        </w:rPr>
        <w:t>they were able to bring a fresh perspective</w:t>
      </w:r>
      <w:r w:rsidRPr="00C34C12" w:rsidDel="009307D7">
        <w:rPr>
          <w:color w:val="000000" w:themeColor="text1"/>
        </w:rPr>
        <w:t xml:space="preserve"> </w:t>
      </w:r>
      <w:r w:rsidRPr="00C34C12">
        <w:rPr>
          <w:color w:val="000000" w:themeColor="text1"/>
        </w:rPr>
        <w:t xml:space="preserve">to the review. They </w:t>
      </w:r>
      <w:r w:rsidR="006957BE">
        <w:rPr>
          <w:color w:val="000000" w:themeColor="text1"/>
        </w:rPr>
        <w:t>were</w:t>
      </w:r>
      <w:r w:rsidR="006957BE" w:rsidRPr="00C34C12">
        <w:rPr>
          <w:color w:val="000000" w:themeColor="text1"/>
        </w:rPr>
        <w:t xml:space="preserve"> </w:t>
      </w:r>
      <w:r w:rsidRPr="00C34C12">
        <w:rPr>
          <w:color w:val="000000" w:themeColor="text1"/>
        </w:rPr>
        <w:t xml:space="preserve">given the appropriate materials to </w:t>
      </w:r>
      <w:r w:rsidR="006957BE">
        <w:rPr>
          <w:color w:val="000000" w:themeColor="text1"/>
        </w:rPr>
        <w:t>complete</w:t>
      </w:r>
      <w:r w:rsidR="006957BE" w:rsidRPr="00C34C12">
        <w:rPr>
          <w:color w:val="000000" w:themeColor="text1"/>
        </w:rPr>
        <w:t xml:space="preserve"> </w:t>
      </w:r>
      <w:r w:rsidRPr="00C34C12">
        <w:rPr>
          <w:color w:val="000000" w:themeColor="text1"/>
        </w:rPr>
        <w:t>the following</w:t>
      </w:r>
      <w:r w:rsidR="006957BE">
        <w:rPr>
          <w:color w:val="000000" w:themeColor="text1"/>
        </w:rPr>
        <w:t xml:space="preserve"> tasks</w:t>
      </w:r>
      <w:r w:rsidRPr="00C34C12">
        <w:rPr>
          <w:color w:val="000000" w:themeColor="text1"/>
        </w:rPr>
        <w:t>:</w:t>
      </w:r>
    </w:p>
    <w:p w14:paraId="071F671D" w14:textId="77777777" w:rsidR="000125FB" w:rsidRPr="00C34C12" w:rsidRDefault="000125FB" w:rsidP="000125FB">
      <w:pPr>
        <w:pStyle w:val="bullets-one"/>
      </w:pPr>
      <w:r w:rsidRPr="00C34C12">
        <w:t>Verification of item keys</w:t>
      </w:r>
    </w:p>
    <w:p w14:paraId="5AC38A7E" w14:textId="77777777" w:rsidR="000125FB" w:rsidRPr="00C34C12" w:rsidRDefault="000125FB" w:rsidP="000125FB">
      <w:pPr>
        <w:pStyle w:val="bullets-one"/>
      </w:pPr>
      <w:r w:rsidRPr="00C34C12">
        <w:t>Identification of possible clueing across the items</w:t>
      </w:r>
    </w:p>
    <w:p w14:paraId="1AA4DE24" w14:textId="77777777" w:rsidR="000125FB" w:rsidRPr="00C34C12" w:rsidRDefault="000125FB" w:rsidP="000125FB">
      <w:pPr>
        <w:pStyle w:val="bullets-one"/>
      </w:pPr>
      <w:r w:rsidRPr="00C34C12">
        <w:t>Verification that individual items met the standard</w:t>
      </w:r>
    </w:p>
    <w:p w14:paraId="41EAC0CD" w14:textId="77777777" w:rsidR="000125FB" w:rsidRPr="00C34C12" w:rsidRDefault="000125FB" w:rsidP="000125FB">
      <w:pPr>
        <w:pStyle w:val="bullets-one"/>
      </w:pPr>
      <w:r w:rsidRPr="00C34C12">
        <w:t>Verification of coverage of the standards</w:t>
      </w:r>
    </w:p>
    <w:p w14:paraId="65F35B60" w14:textId="77777777" w:rsidR="000125FB" w:rsidRPr="00C34C12" w:rsidRDefault="000125FB" w:rsidP="000125FB">
      <w:pPr>
        <w:pStyle w:val="bullets-one"/>
      </w:pPr>
      <w:r w:rsidRPr="00C34C12">
        <w:t>Identification of any possible grammatical or production errors</w:t>
      </w:r>
    </w:p>
    <w:p w14:paraId="6876583D" w14:textId="0F75D0E8" w:rsidR="00DD2A9C" w:rsidRDefault="00DD2A9C" w:rsidP="007A71B3">
      <w:pPr>
        <w:pStyle w:val="Heading4"/>
      </w:pPr>
      <w:bookmarkStart w:id="302" w:name="_Toc182555160"/>
      <w:r w:rsidRPr="004B2D24">
        <w:t>C</w:t>
      </w:r>
      <w:r w:rsidR="00C66744">
        <w:t xml:space="preserve">alifornia </w:t>
      </w:r>
      <w:r w:rsidRPr="004B2D24">
        <w:t>D</w:t>
      </w:r>
      <w:r w:rsidR="00C66744">
        <w:t xml:space="preserve">epartment of </w:t>
      </w:r>
      <w:r w:rsidRPr="004B2D24">
        <w:t>E</w:t>
      </w:r>
      <w:r w:rsidR="00C66744">
        <w:t>ducation</w:t>
      </w:r>
      <w:r w:rsidRPr="004B2D24">
        <w:t xml:space="preserve"> </w:t>
      </w:r>
      <w:r w:rsidR="00B06953" w:rsidRPr="004B2D24">
        <w:t xml:space="preserve">Forms </w:t>
      </w:r>
      <w:r w:rsidRPr="004B2D24">
        <w:t>Review</w:t>
      </w:r>
      <w:bookmarkEnd w:id="302"/>
    </w:p>
    <w:p w14:paraId="522D76A4" w14:textId="77777777" w:rsidR="000125FB" w:rsidRPr="00C34C12" w:rsidRDefault="000125FB" w:rsidP="000125FB">
      <w:pPr>
        <w:keepNext/>
      </w:pPr>
      <w:r w:rsidRPr="00C34C12">
        <w:t>Following the ETS content review, all proposed assessments were sent to the CDE for review to ensure the proposed assessments met CAA for Science test blueprint requirements and to check there was no clueing between item</w:t>
      </w:r>
      <w:r w:rsidRPr="00C8193F">
        <w:t>s</w:t>
      </w:r>
      <w:r>
        <w:t>.</w:t>
      </w:r>
      <w:r w:rsidRPr="00C34C12">
        <w:t xml:space="preserve"> The CDE was provided with the following materials:</w:t>
      </w:r>
    </w:p>
    <w:p w14:paraId="352D5CF4" w14:textId="77777777" w:rsidR="000125FB" w:rsidRPr="00C34C12" w:rsidRDefault="000125FB" w:rsidP="000125FB">
      <w:pPr>
        <w:pStyle w:val="bullets-one"/>
        <w:rPr>
          <w:strike/>
        </w:rPr>
      </w:pPr>
      <w:r w:rsidRPr="00C34C12">
        <w:t>Access to items in the item banking system</w:t>
      </w:r>
    </w:p>
    <w:p w14:paraId="2853BB48" w14:textId="77777777" w:rsidR="000125FB" w:rsidRPr="00C34C12" w:rsidRDefault="000125FB" w:rsidP="000125FB">
      <w:pPr>
        <w:pStyle w:val="bullets-one"/>
      </w:pPr>
      <w:r w:rsidRPr="00C34C12">
        <w:t>Modified form planners</w:t>
      </w:r>
    </w:p>
    <w:p w14:paraId="2F448D4D" w14:textId="77777777" w:rsidR="000125FB" w:rsidRPr="00C34C12" w:rsidRDefault="000125FB" w:rsidP="000125FB">
      <w:pPr>
        <w:pStyle w:val="bullets-one"/>
      </w:pPr>
      <w:r w:rsidRPr="00C34C12">
        <w:t>Comment sheets</w:t>
      </w:r>
    </w:p>
    <w:p w14:paraId="73ED9C22" w14:textId="77777777" w:rsidR="000125FB" w:rsidRPr="00C34C12" w:rsidRDefault="000125FB" w:rsidP="000125FB">
      <w:r w:rsidRPr="00C34C12">
        <w:t>Comments from the CDE were resolved during a virtual meeting with the ETS test development team.</w:t>
      </w:r>
    </w:p>
    <w:p w14:paraId="66A5648D" w14:textId="10AB3D14" w:rsidR="00DD2A9C" w:rsidRDefault="00DD2A9C" w:rsidP="007A71B3">
      <w:pPr>
        <w:pStyle w:val="Heading4"/>
      </w:pPr>
      <w:bookmarkStart w:id="303" w:name="_Toc182555161"/>
      <w:r w:rsidRPr="004B2D24">
        <w:lastRenderedPageBreak/>
        <w:t xml:space="preserve">Configuration of the </w:t>
      </w:r>
      <w:r w:rsidR="001B2C50">
        <w:t>Test Delivery System</w:t>
      </w:r>
      <w:bookmarkEnd w:id="303"/>
    </w:p>
    <w:p w14:paraId="2C18D929" w14:textId="1BE2846E" w:rsidR="000125FB" w:rsidRPr="00C34C12" w:rsidRDefault="000125FB" w:rsidP="000125FB">
      <w:r w:rsidRPr="00C34C12">
        <w:t xml:space="preserve">Once all the test reviews were completed and concerns, if any, were resolved, the official ordered item sequence of the proposed forms was sent to </w:t>
      </w:r>
      <w:r w:rsidR="006114B1">
        <w:t>Cambium</w:t>
      </w:r>
      <w:r w:rsidR="47422E7E">
        <w:t xml:space="preserve"> </w:t>
      </w:r>
      <w:r w:rsidR="004A74DF">
        <w:t>Assessment, Inc.</w:t>
      </w:r>
      <w:r w:rsidR="47422E7E">
        <w:t xml:space="preserve"> (CAI)</w:t>
      </w:r>
      <w:r w:rsidRPr="00C34C12">
        <w:t xml:space="preserve"> for configuration of the California Assessment of Student Performance and Progress test delivery system (TDS).</w:t>
      </w:r>
    </w:p>
    <w:p w14:paraId="504FB277" w14:textId="5BFF253C" w:rsidR="000125FB" w:rsidRPr="00C34C12" w:rsidRDefault="275E2721" w:rsidP="000125FB">
      <w:r>
        <w:t>CAI</w:t>
      </w:r>
      <w:r w:rsidR="000125FB">
        <w:t>’s</w:t>
      </w:r>
      <w:r w:rsidR="000125FB" w:rsidRPr="00C34C12">
        <w:t xml:space="preserve"> TDS supported a variety of item layouts. Some of the item layouts had the stimulus and item response options and response area displayed side by side. In each of these item layouts, both the stimulus and response options had independent scroll bars. Each item underwent an extensive platform review on different operating systems such as Windows, Linux, and iOS, to ensure that the item looked consistent across all platforms.</w:t>
      </w:r>
    </w:p>
    <w:p w14:paraId="1C7E5E64" w14:textId="27AA81E4" w:rsidR="000125FB" w:rsidRPr="00C34C12" w:rsidRDefault="000125FB" w:rsidP="000125FB">
      <w:r w:rsidRPr="00C34C12">
        <w:t xml:space="preserve">The platform review was conducted by a team at </w:t>
      </w:r>
      <w:r w:rsidR="006114B1">
        <w:t>C</w:t>
      </w:r>
      <w:r w:rsidR="1C295C3E">
        <w:t>AI</w:t>
      </w:r>
      <w:r w:rsidR="006114B1" w:rsidRPr="00C34C12">
        <w:t xml:space="preserve"> </w:t>
      </w:r>
      <w:r w:rsidRPr="00C34C12">
        <w:t xml:space="preserve">consisting of a team leader and several team members. The team leader presented the item as it was approved in ETS and </w:t>
      </w:r>
      <w:r w:rsidR="006114B1">
        <w:t>C</w:t>
      </w:r>
      <w:r w:rsidR="14AF5907">
        <w:t>AI</w:t>
      </w:r>
      <w:r w:rsidR="006114B1" w:rsidRPr="00C34C12">
        <w:t xml:space="preserve"> </w:t>
      </w:r>
      <w:r w:rsidRPr="00C34C12">
        <w:t xml:space="preserve">item banks. Each team member was assigned a different platform—hardware device and operating system—and reviewed the item to </w:t>
      </w:r>
      <w:r w:rsidR="007330C8">
        <w:t>confirm</w:t>
      </w:r>
      <w:r w:rsidR="007330C8" w:rsidRPr="00C34C12">
        <w:t xml:space="preserve"> </w:t>
      </w:r>
      <w:r w:rsidRPr="00C34C12">
        <w:t>that it rendered as expected. This platform review meeting ensured that all items would be presented consistently to all students, regardless of testing device or operating system, for standardization of the test administration.</w:t>
      </w:r>
    </w:p>
    <w:p w14:paraId="36F7F008" w14:textId="3A0C1903" w:rsidR="000125FB" w:rsidRPr="00C34C12" w:rsidRDefault="000125FB" w:rsidP="000125FB">
      <w:r w:rsidRPr="00C34C12">
        <w:t xml:space="preserve">Prior to operational deployment, the testing system and content were deployed to a staging server, where they were subjected to user acceptance testing (UAT) by both ETS and </w:t>
      </w:r>
      <w:r w:rsidR="006114B1">
        <w:t>C</w:t>
      </w:r>
      <w:r w:rsidR="3DB58A66">
        <w:t>AI</w:t>
      </w:r>
      <w:r w:rsidR="006114B1" w:rsidRPr="00C34C12">
        <w:t xml:space="preserve"> </w:t>
      </w:r>
      <w:r w:rsidRPr="00C34C12">
        <w:t>staff. The TDS UAT served as both a software evaluation and a content approval role.</w:t>
      </w:r>
    </w:p>
    <w:p w14:paraId="60C0243E" w14:textId="77777777" w:rsidR="000125FB" w:rsidRPr="00C34C12" w:rsidRDefault="000125FB" w:rsidP="000125FB">
      <w:r w:rsidRPr="00C34C12">
        <w:t>The UAT procedures followed by the ETS staff included reviewing all items.</w:t>
      </w:r>
    </w:p>
    <w:p w14:paraId="463B4759" w14:textId="0E3C7BED" w:rsidR="000125FB" w:rsidRPr="00C34C12" w:rsidRDefault="000125FB" w:rsidP="000125FB">
      <w:r w:rsidRPr="00C34C12">
        <w:t xml:space="preserve">Following the UAT by ETS and </w:t>
      </w:r>
      <w:r w:rsidR="006114B1">
        <w:t>C</w:t>
      </w:r>
      <w:r w:rsidR="4A0A4262">
        <w:t>AI</w:t>
      </w:r>
      <w:r w:rsidR="006114B1" w:rsidRPr="00C34C12">
        <w:t xml:space="preserve"> </w:t>
      </w:r>
      <w:r w:rsidRPr="00C34C12">
        <w:t>staff, separate UAT cycles were conducted by the CDE. The UAT review provided the CDE with an opportunity to interact with the exact test that would be administered to the students. The CDE had to approve the CAA</w:t>
      </w:r>
      <w:r w:rsidR="00DE53AF">
        <w:t xml:space="preserve"> for Science</w:t>
      </w:r>
      <w:r w:rsidRPr="00C34C12">
        <w:t xml:space="preserve"> UAT before the test could be released for administration to students.</w:t>
      </w:r>
    </w:p>
    <w:p w14:paraId="701D9553" w14:textId="6B5B829E" w:rsidR="00DD2A9C" w:rsidRDefault="00DD2A9C" w:rsidP="007A71B3">
      <w:pPr>
        <w:pStyle w:val="Heading3"/>
        <w:pageBreakBefore/>
        <w:numPr>
          <w:ilvl w:val="0"/>
          <w:numId w:val="0"/>
        </w:numPr>
        <w:ind w:left="446" w:hanging="446"/>
      </w:pPr>
      <w:bookmarkStart w:id="304" w:name="_Toc182555162"/>
      <w:r w:rsidRPr="004B2D24">
        <w:lastRenderedPageBreak/>
        <w:t>References</w:t>
      </w:r>
      <w:bookmarkEnd w:id="304"/>
    </w:p>
    <w:p w14:paraId="577D7667" w14:textId="0DB0FA13" w:rsidR="000125FB" w:rsidRPr="00C34C12" w:rsidRDefault="000125FB" w:rsidP="000125FB">
      <w:pPr>
        <w:pStyle w:val="References"/>
      </w:pPr>
      <w:bookmarkStart w:id="305" w:name="_Hlk34925439"/>
      <w:r w:rsidRPr="00C34C12">
        <w:t xml:space="preserve">California Department of Education. (2018). </w:t>
      </w:r>
      <w:r w:rsidRPr="00C34C12">
        <w:rPr>
          <w:i/>
        </w:rPr>
        <w:t>California Alternate Assessment for Science blueprint</w:t>
      </w:r>
      <w:r w:rsidRPr="00C34C12">
        <w:t>. Sacrament</w:t>
      </w:r>
      <w:r w:rsidR="00035C6C">
        <w:t>o</w:t>
      </w:r>
      <w:r w:rsidRPr="00C34C12">
        <w:t xml:space="preserve">, CA: California Department of Education. </w:t>
      </w:r>
    </w:p>
    <w:p w14:paraId="033441EF" w14:textId="11876239" w:rsidR="000125FB" w:rsidRPr="00C34C12" w:rsidRDefault="000125FB" w:rsidP="000125FB">
      <w:pPr>
        <w:pStyle w:val="References"/>
      </w:pPr>
      <w:r w:rsidRPr="00C34C12">
        <w:t xml:space="preserve">California Department of Education. (2020). </w:t>
      </w:r>
      <w:r w:rsidRPr="00C34C12">
        <w:rPr>
          <w:i/>
          <w:iCs/>
        </w:rPr>
        <w:t>California Alternate Assessment for Science</w:t>
      </w:r>
      <w:r w:rsidRPr="00C34C12">
        <w:t xml:space="preserve">. Sacramento, CA: California Department of Education. </w:t>
      </w:r>
    </w:p>
    <w:p w14:paraId="11DF72BE" w14:textId="7B5E4159" w:rsidR="002F564E" w:rsidRPr="004B2D24" w:rsidRDefault="00E16AE1" w:rsidP="00670FD2">
      <w:pPr>
        <w:pStyle w:val="Heading2"/>
      </w:pPr>
      <w:bookmarkStart w:id="306" w:name="_Toc67465984"/>
      <w:bookmarkStart w:id="307" w:name="_Toc68088965"/>
      <w:bookmarkStart w:id="308" w:name="_Toc68107814"/>
      <w:bookmarkStart w:id="309" w:name="_Test_Administration"/>
      <w:bookmarkStart w:id="310" w:name="_Toc182555163"/>
      <w:bookmarkEnd w:id="305"/>
      <w:bookmarkEnd w:id="306"/>
      <w:bookmarkEnd w:id="307"/>
      <w:bookmarkEnd w:id="308"/>
      <w:bookmarkEnd w:id="309"/>
      <w:r w:rsidRPr="004B2D24">
        <w:lastRenderedPageBreak/>
        <w:t>Test Administration</w:t>
      </w:r>
      <w:bookmarkEnd w:id="310"/>
    </w:p>
    <w:p w14:paraId="44418DA8" w14:textId="20A92C32" w:rsidR="00820CFC" w:rsidRPr="004B2D24" w:rsidRDefault="00F613B4" w:rsidP="004B696F">
      <w:r w:rsidRPr="004B2D24">
        <w:t>This chapter</w:t>
      </w:r>
      <w:r w:rsidR="002F564E" w:rsidRPr="004B2D24">
        <w:t xml:space="preserve"> </w:t>
      </w:r>
      <w:r w:rsidR="001B51BC" w:rsidRPr="004B2D24">
        <w:t xml:space="preserve">describes </w:t>
      </w:r>
      <w:r w:rsidR="000B3AB2" w:rsidRPr="00C34C12">
        <w:t xml:space="preserve">the administration of </w:t>
      </w:r>
      <w:r w:rsidR="00492C5A" w:rsidRPr="004B2D24">
        <w:t xml:space="preserve">the </w:t>
      </w:r>
      <w:r w:rsidR="00063342" w:rsidRPr="004B2D24">
        <w:t xml:space="preserve">embedded </w:t>
      </w:r>
      <w:r w:rsidR="00C114E0">
        <w:t>performance t</w:t>
      </w:r>
      <w:r w:rsidR="00C34FD9">
        <w:t>asks (</w:t>
      </w:r>
      <w:r w:rsidR="00063342" w:rsidRPr="004B2D24">
        <w:t>PTs</w:t>
      </w:r>
      <w:r w:rsidR="00C114E0">
        <w:t>)</w:t>
      </w:r>
      <w:r w:rsidR="00492C5A" w:rsidRPr="004B2D24">
        <w:t xml:space="preserve"> </w:t>
      </w:r>
      <w:r w:rsidR="00063342" w:rsidRPr="004B2D24">
        <w:t xml:space="preserve">for the </w:t>
      </w:r>
      <w:r w:rsidR="00030039" w:rsidRPr="004B2D24">
        <w:t>2019</w:t>
      </w:r>
      <w:r w:rsidR="00235738" w:rsidRPr="004B2D24">
        <w:t>–‍</w:t>
      </w:r>
      <w:r w:rsidR="00030039" w:rsidRPr="004B2D24">
        <w:t xml:space="preserve">2020 </w:t>
      </w:r>
      <w:r w:rsidR="001509AB">
        <w:t>California Alternate Assessment (</w:t>
      </w:r>
      <w:r w:rsidR="00492C5A" w:rsidRPr="004B2D24">
        <w:t>CAA</w:t>
      </w:r>
      <w:r w:rsidR="001509AB">
        <w:t>)</w:t>
      </w:r>
      <w:r w:rsidR="00492C5A" w:rsidRPr="004B2D24">
        <w:t xml:space="preserve"> for Science </w:t>
      </w:r>
      <w:r w:rsidR="00030039" w:rsidRPr="004B2D24">
        <w:t>administration</w:t>
      </w:r>
      <w:r w:rsidR="00492C5A" w:rsidRPr="004B2D24">
        <w:t xml:space="preserve">, as well as the procedures followed by </w:t>
      </w:r>
      <w:r w:rsidR="00422C18" w:rsidRPr="00C34C12">
        <w:t xml:space="preserve">ETS </w:t>
      </w:r>
      <w:r w:rsidR="00492C5A" w:rsidRPr="004B2D24">
        <w:t>to ensure test security.</w:t>
      </w:r>
    </w:p>
    <w:p w14:paraId="21E44D6F" w14:textId="15113C54" w:rsidR="00CE0333" w:rsidRDefault="007330C8" w:rsidP="007A71B3">
      <w:pPr>
        <w:pStyle w:val="Heading3"/>
      </w:pPr>
      <w:bookmarkStart w:id="311" w:name="_Toc182555164"/>
      <w:r>
        <w:t>Student Test-Taking Requirements</w:t>
      </w:r>
      <w:bookmarkEnd w:id="311"/>
    </w:p>
    <w:p w14:paraId="39875F67" w14:textId="5D9288B1" w:rsidR="000125FB" w:rsidRPr="00C34C12" w:rsidRDefault="000125FB" w:rsidP="000125FB">
      <w:r w:rsidRPr="00C34C12">
        <w:t xml:space="preserve">All local educational agencies (LEAs) with eligible students in grades five and eight and high school (grade ten, eleven, or twelve) administered the CAA for Science. Students in high school who were selected by the LEA to take a science assessment and whose </w:t>
      </w:r>
      <w:bookmarkStart w:id="312" w:name="_Hlk67397117"/>
      <w:r w:rsidRPr="00C34C12">
        <w:t>individualized education program (IEP) indicated an alternate assessment were assigned to take the CAA for Science</w:t>
      </w:r>
      <w:r w:rsidRPr="00C34C12" w:rsidDel="00F976D6">
        <w:t xml:space="preserve"> (</w:t>
      </w:r>
      <w:r w:rsidRPr="00C34C12">
        <w:t>California Science Teachers Association, 2000–2019).</w:t>
      </w:r>
    </w:p>
    <w:bookmarkEnd w:id="312"/>
    <w:p w14:paraId="1963CD62" w14:textId="5992E6C9" w:rsidR="000125FB" w:rsidRPr="00C34C12" w:rsidRDefault="000125FB" w:rsidP="000125FB">
      <w:pPr>
        <w:keepNext/>
        <w:rPr>
          <w:rFonts w:eastAsia="Calibri"/>
        </w:rPr>
      </w:pPr>
      <w:r w:rsidRPr="00C34C12">
        <w:rPr>
          <w:rFonts w:eastAsia="Calibri"/>
        </w:rPr>
        <w:t xml:space="preserve">Students in grades five and eight and in high school (grade ten, eleven, or twelve) who met all of the following eligibility requirements </w:t>
      </w:r>
      <w:r w:rsidR="00FE4458">
        <w:rPr>
          <w:rFonts w:eastAsia="Calibri"/>
        </w:rPr>
        <w:t>were eligible to take</w:t>
      </w:r>
      <w:r w:rsidR="00FE4458" w:rsidRPr="00C34C12">
        <w:rPr>
          <w:rFonts w:eastAsia="Calibri"/>
        </w:rPr>
        <w:t xml:space="preserve"> </w:t>
      </w:r>
      <w:r w:rsidRPr="00C34C12">
        <w:rPr>
          <w:rFonts w:eastAsia="Calibri"/>
        </w:rPr>
        <w:t>the CAA for Science:</w:t>
      </w:r>
      <w:bookmarkStart w:id="313" w:name="CAA_eligibility"/>
      <w:bookmarkEnd w:id="313"/>
    </w:p>
    <w:p w14:paraId="24CAEFB6" w14:textId="77777777" w:rsidR="000125FB" w:rsidRPr="00C34C12" w:rsidRDefault="000125FB" w:rsidP="00B33B75">
      <w:pPr>
        <w:pStyle w:val="bullets"/>
        <w:numPr>
          <w:ilvl w:val="0"/>
          <w:numId w:val="69"/>
        </w:numPr>
        <w:tabs>
          <w:tab w:val="clear" w:pos="727"/>
        </w:tabs>
        <w:ind w:left="864" w:hanging="288"/>
      </w:pPr>
      <w:r w:rsidRPr="00C34C12">
        <w:t>The student has a significant cognitive disability that is described in the student’s IEP.</w:t>
      </w:r>
    </w:p>
    <w:p w14:paraId="185ADB0F" w14:textId="3D31726C" w:rsidR="000125FB" w:rsidRPr="00C34C12" w:rsidRDefault="000125FB" w:rsidP="00B33B75">
      <w:pPr>
        <w:pStyle w:val="bullets"/>
        <w:numPr>
          <w:ilvl w:val="0"/>
          <w:numId w:val="69"/>
        </w:numPr>
        <w:tabs>
          <w:tab w:val="clear" w:pos="727"/>
        </w:tabs>
        <w:ind w:left="864" w:hanging="288"/>
      </w:pPr>
      <w:r w:rsidRPr="00C34C12">
        <w:t>The student is learning content derived from the California Next Generation Science Standards Core Content Connectors (Science Connectors).</w:t>
      </w:r>
    </w:p>
    <w:p w14:paraId="70927BEE" w14:textId="77777777" w:rsidR="000125FB" w:rsidRPr="00C34C12" w:rsidRDefault="000125FB" w:rsidP="00B33B75">
      <w:pPr>
        <w:pStyle w:val="bullets"/>
        <w:numPr>
          <w:ilvl w:val="0"/>
          <w:numId w:val="69"/>
        </w:numPr>
        <w:tabs>
          <w:tab w:val="clear" w:pos="727"/>
        </w:tabs>
        <w:ind w:left="864" w:hanging="288"/>
      </w:pPr>
      <w:r w:rsidRPr="00C34C12">
        <w:t>The student requires extensive direct individualized instruction and substantial resources to achieve measurable gains in the grade- and age-appropriate curriculum.</w:t>
      </w:r>
    </w:p>
    <w:p w14:paraId="4E7B6846" w14:textId="1FA73B9E" w:rsidR="007C3C3C" w:rsidRDefault="007C3C3C" w:rsidP="007A71B3">
      <w:pPr>
        <w:pStyle w:val="Heading3"/>
      </w:pPr>
      <w:bookmarkStart w:id="314" w:name="_Toc182555165"/>
      <w:r w:rsidRPr="004B2D24">
        <w:t>Administration Preparations</w:t>
      </w:r>
      <w:bookmarkEnd w:id="314"/>
    </w:p>
    <w:p w14:paraId="7847ABFF" w14:textId="77777777" w:rsidR="000125FB" w:rsidRPr="00C34C12" w:rsidRDefault="000125FB" w:rsidP="000125FB">
      <w:r w:rsidRPr="00C34C12">
        <w:t>The embedded PTs were designed to be administered to students in conjunction with the normal course of instruction related to the Science Connector being assessed. The test examiner was instructed to administer the embedded PT shortly after the student received instruction aligned with the Science Connector.</w:t>
      </w:r>
    </w:p>
    <w:p w14:paraId="59075968" w14:textId="792478E1" w:rsidR="00F270EE" w:rsidRDefault="00F270EE" w:rsidP="00F270EE">
      <w:pPr>
        <w:pStyle w:val="Heading4"/>
      </w:pPr>
      <w:bookmarkStart w:id="315" w:name="_Toc182555166"/>
      <w:r>
        <w:t>Resources</w:t>
      </w:r>
      <w:r w:rsidR="00195CFC">
        <w:t xml:space="preserve"> for the CAA for Science</w:t>
      </w:r>
      <w:bookmarkEnd w:id="315"/>
    </w:p>
    <w:p w14:paraId="09FDC30D" w14:textId="22244DA6" w:rsidR="00F270EE" w:rsidRPr="00380C0B" w:rsidRDefault="00F270EE" w:rsidP="00F270EE">
      <w:r>
        <w:t>Prior to the suspension of testing, t</w:t>
      </w:r>
      <w:r w:rsidRPr="00380C0B">
        <w:t xml:space="preserve">o ensure the </w:t>
      </w:r>
      <w:r>
        <w:t>2019</w:t>
      </w:r>
      <w:r w:rsidRPr="00380C0B">
        <w:t>–</w:t>
      </w:r>
      <w:r>
        <w:t>2020</w:t>
      </w:r>
      <w:r w:rsidRPr="00380C0B">
        <w:t xml:space="preserve"> test administration was a successful experience for CAA test examiners and students, ETS provided an online, self-guided training tutorial for CAA test examiners</w:t>
      </w:r>
      <w:r w:rsidR="00FC4845">
        <w:t xml:space="preserve"> (2019a)</w:t>
      </w:r>
      <w:r w:rsidRPr="00380C0B">
        <w:t xml:space="preserve"> as well as on-site test administration workshops in various locations throughout California in January 20</w:t>
      </w:r>
      <w:r>
        <w:t>20</w:t>
      </w:r>
      <w:r w:rsidRPr="00380C0B">
        <w:t>. ETS also produced webcasts and videos for detailed information on California Assessment of Student Performance and Progress (CAASPP) test administration procedures. The on-site workshops included a session dedicated exclusively to the topic of the CAA test administration procedures.</w:t>
      </w:r>
    </w:p>
    <w:p w14:paraId="67307C26" w14:textId="481401FB" w:rsidR="00F270EE" w:rsidRPr="00380C0B" w:rsidRDefault="00F270EE" w:rsidP="00F270EE">
      <w:r w:rsidRPr="00380C0B">
        <w:t>In addition, ETS developed and posted a number of test administration resources for schools and LEAs on both the public website and on the secure Test Operations Management System (TOMS) website. These resources included detailed information on topics such as technology readiness, test administration, test security, accessibility resources, using the test delivery system (TDS), and general testing rules.</w:t>
      </w:r>
    </w:p>
    <w:p w14:paraId="4A17A102" w14:textId="4403040E" w:rsidR="00F270EE" w:rsidRDefault="00F270EE" w:rsidP="00F270EE">
      <w:r w:rsidRPr="00380C0B">
        <w:t xml:space="preserve">Given that the CAAs are administered to students who have the most significant cognitive disabilities, </w:t>
      </w:r>
      <w:r>
        <w:t xml:space="preserve">a test examiner—usually the student’s teacher, who is familiar to the student—administers the CAA to the student </w:t>
      </w:r>
      <w:r w:rsidRPr="00380C0B">
        <w:t>one</w:t>
      </w:r>
      <w:r>
        <w:t xml:space="preserve"> on </w:t>
      </w:r>
      <w:r w:rsidRPr="00380C0B">
        <w:t xml:space="preserve">one. </w:t>
      </w:r>
    </w:p>
    <w:p w14:paraId="3F4A67A8" w14:textId="43D978BA" w:rsidR="007C3C3C" w:rsidRDefault="007C3C3C" w:rsidP="007A71B3">
      <w:pPr>
        <w:pStyle w:val="Heading4"/>
      </w:pPr>
      <w:bookmarkStart w:id="316" w:name="_Toc66787402"/>
      <w:bookmarkStart w:id="317" w:name="_Toc66787861"/>
      <w:bookmarkStart w:id="318" w:name="_Toc67035453"/>
      <w:bookmarkStart w:id="319" w:name="_Toc67319317"/>
      <w:bookmarkStart w:id="320" w:name="_Toc67382429"/>
      <w:bookmarkStart w:id="321" w:name="_Toc67465988"/>
      <w:bookmarkStart w:id="322" w:name="_Toc68088970"/>
      <w:bookmarkStart w:id="323" w:name="_Toc68107819"/>
      <w:bookmarkStart w:id="324" w:name="_Toc66787403"/>
      <w:bookmarkStart w:id="325" w:name="_Toc66787862"/>
      <w:bookmarkStart w:id="326" w:name="_Toc67035454"/>
      <w:bookmarkStart w:id="327" w:name="_Toc67319318"/>
      <w:bookmarkStart w:id="328" w:name="_Toc67382430"/>
      <w:bookmarkStart w:id="329" w:name="_Toc67465989"/>
      <w:bookmarkStart w:id="330" w:name="_Toc68088971"/>
      <w:bookmarkStart w:id="331" w:name="_Toc68107820"/>
      <w:bookmarkStart w:id="332" w:name="_Toc66787404"/>
      <w:bookmarkStart w:id="333" w:name="_Toc66787863"/>
      <w:bookmarkStart w:id="334" w:name="_Toc67035455"/>
      <w:bookmarkStart w:id="335" w:name="_Toc67319319"/>
      <w:bookmarkStart w:id="336" w:name="_Toc67382431"/>
      <w:bookmarkStart w:id="337" w:name="_Toc67465990"/>
      <w:bookmarkStart w:id="338" w:name="_Toc68088972"/>
      <w:bookmarkStart w:id="339" w:name="_Toc68107821"/>
      <w:bookmarkStart w:id="340" w:name="_Toc66787405"/>
      <w:bookmarkStart w:id="341" w:name="_Toc66787864"/>
      <w:bookmarkStart w:id="342" w:name="_Toc67035456"/>
      <w:bookmarkStart w:id="343" w:name="_Toc67319320"/>
      <w:bookmarkStart w:id="344" w:name="_Toc67382432"/>
      <w:bookmarkStart w:id="345" w:name="_Toc67465991"/>
      <w:bookmarkStart w:id="346" w:name="_Toc68088973"/>
      <w:bookmarkStart w:id="347" w:name="_Toc68107822"/>
      <w:bookmarkStart w:id="348" w:name="_Toc66787406"/>
      <w:bookmarkStart w:id="349" w:name="_Toc66787865"/>
      <w:bookmarkStart w:id="350" w:name="_Toc67035457"/>
      <w:bookmarkStart w:id="351" w:name="_Toc67319321"/>
      <w:bookmarkStart w:id="352" w:name="_Toc67382433"/>
      <w:bookmarkStart w:id="353" w:name="_Toc67465992"/>
      <w:bookmarkStart w:id="354" w:name="_Toc68088974"/>
      <w:bookmarkStart w:id="355" w:name="_Toc68107823"/>
      <w:bookmarkStart w:id="356" w:name="_Toc66787407"/>
      <w:bookmarkStart w:id="357" w:name="_Toc66787866"/>
      <w:bookmarkStart w:id="358" w:name="_Toc67035458"/>
      <w:bookmarkStart w:id="359" w:name="_Toc67319322"/>
      <w:bookmarkStart w:id="360" w:name="_Toc67382434"/>
      <w:bookmarkStart w:id="361" w:name="_Toc67465993"/>
      <w:bookmarkStart w:id="362" w:name="_Toc68088975"/>
      <w:bookmarkStart w:id="363" w:name="_Toc68107824"/>
      <w:bookmarkStart w:id="364" w:name="_Toc66787408"/>
      <w:bookmarkStart w:id="365" w:name="_Toc66787867"/>
      <w:bookmarkStart w:id="366" w:name="_Toc67035459"/>
      <w:bookmarkStart w:id="367" w:name="_Toc67319323"/>
      <w:bookmarkStart w:id="368" w:name="_Toc67382435"/>
      <w:bookmarkStart w:id="369" w:name="_Toc67465994"/>
      <w:bookmarkStart w:id="370" w:name="_Toc68088976"/>
      <w:bookmarkStart w:id="371" w:name="_Toc68107825"/>
      <w:bookmarkStart w:id="372" w:name="_Toc66787409"/>
      <w:bookmarkStart w:id="373" w:name="_Toc66787868"/>
      <w:bookmarkStart w:id="374" w:name="_Toc67035460"/>
      <w:bookmarkStart w:id="375" w:name="_Toc67319324"/>
      <w:bookmarkStart w:id="376" w:name="_Toc67382436"/>
      <w:bookmarkStart w:id="377" w:name="_Toc67465995"/>
      <w:bookmarkStart w:id="378" w:name="_Toc68088977"/>
      <w:bookmarkStart w:id="379" w:name="_Toc68107826"/>
      <w:bookmarkStart w:id="380" w:name="_Toc66787410"/>
      <w:bookmarkStart w:id="381" w:name="_Toc66787869"/>
      <w:bookmarkStart w:id="382" w:name="_Toc67035461"/>
      <w:bookmarkStart w:id="383" w:name="_Toc67319325"/>
      <w:bookmarkStart w:id="384" w:name="_Toc67382437"/>
      <w:bookmarkStart w:id="385" w:name="_Toc67465996"/>
      <w:bookmarkStart w:id="386" w:name="_Toc68088978"/>
      <w:bookmarkStart w:id="387" w:name="_Toc68107827"/>
      <w:bookmarkStart w:id="388" w:name="_Toc66787411"/>
      <w:bookmarkStart w:id="389" w:name="_Toc66787870"/>
      <w:bookmarkStart w:id="390" w:name="_Toc67035462"/>
      <w:bookmarkStart w:id="391" w:name="_Toc67319326"/>
      <w:bookmarkStart w:id="392" w:name="_Toc67382438"/>
      <w:bookmarkStart w:id="393" w:name="_Toc67465997"/>
      <w:bookmarkStart w:id="394" w:name="_Toc68088979"/>
      <w:bookmarkStart w:id="395" w:name="_Toc68107828"/>
      <w:bookmarkStart w:id="396" w:name="_Practice_and_Training"/>
      <w:bookmarkStart w:id="397" w:name="_Toc182555167"/>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sidRPr="004B2D24">
        <w:lastRenderedPageBreak/>
        <w:t xml:space="preserve">Practice </w:t>
      </w:r>
      <w:r w:rsidR="00063342" w:rsidRPr="004B2D24">
        <w:t xml:space="preserve">and Training </w:t>
      </w:r>
      <w:r w:rsidRPr="004B2D24">
        <w:t>Tests</w:t>
      </w:r>
      <w:bookmarkEnd w:id="397"/>
    </w:p>
    <w:p w14:paraId="43A70859" w14:textId="04A305A5" w:rsidR="00FB7819" w:rsidRPr="00C34C12" w:rsidRDefault="6EE49695" w:rsidP="001A0290">
      <w:r>
        <w:t xml:space="preserve">The publicly available practice and training tests are provided to prepare students for the summative assessment. These tests, available for grades five and eight and high school, simulate the experience of the CAA for Science online assessments. </w:t>
      </w:r>
      <w:r w:rsidR="63C35379">
        <w:t>P</w:t>
      </w:r>
      <w:r>
        <w:t xml:space="preserve">ractice </w:t>
      </w:r>
      <w:r w:rsidR="63C35379">
        <w:t xml:space="preserve">and training </w:t>
      </w:r>
      <w:r>
        <w:t xml:space="preserve">tests align with </w:t>
      </w:r>
      <w:r w:rsidR="3ABF0ACF">
        <w:t>Science Connectors</w:t>
      </w:r>
      <w:r>
        <w:t xml:space="preserve"> but do not produce scores. Students may access them using a web browser.</w:t>
      </w:r>
    </w:p>
    <w:p w14:paraId="79F8255B" w14:textId="46B8D12C" w:rsidR="00FB7819" w:rsidRPr="00C34C12" w:rsidRDefault="00FB7819" w:rsidP="00FB7819">
      <w:r w:rsidRPr="00C34C12">
        <w:t>The purposes of the</w:t>
      </w:r>
      <w:r w:rsidR="00A72DF9">
        <w:t xml:space="preserve"> practice and</w:t>
      </w:r>
      <w:r w:rsidRPr="00C34C12">
        <w:t xml:space="preserve"> training</w:t>
      </w:r>
      <w:r>
        <w:t xml:space="preserve"> </w:t>
      </w:r>
      <w:r w:rsidRPr="00C34C12">
        <w:t>test</w:t>
      </w:r>
      <w:r>
        <w:t>s</w:t>
      </w:r>
      <w:r w:rsidRPr="00C34C12">
        <w:t xml:space="preserve"> are to</w:t>
      </w:r>
    </w:p>
    <w:p w14:paraId="3FBE0AE5" w14:textId="6BD85FDD" w:rsidR="00FB7819" w:rsidRPr="00C34C12" w:rsidRDefault="00FB7819" w:rsidP="00FB7819">
      <w:pPr>
        <w:pStyle w:val="bullets"/>
        <w:numPr>
          <w:ilvl w:val="0"/>
          <w:numId w:val="69"/>
        </w:numPr>
        <w:tabs>
          <w:tab w:val="clear" w:pos="727"/>
        </w:tabs>
        <w:ind w:left="864" w:hanging="288"/>
      </w:pPr>
      <w:r w:rsidRPr="00C34C12">
        <w:t xml:space="preserve">allow students and administrators to become familiar with the user interface and components of the </w:t>
      </w:r>
      <w:r w:rsidR="00177CA2">
        <w:t>test delivery system (</w:t>
      </w:r>
      <w:r w:rsidRPr="00C34C12">
        <w:t>TDS</w:t>
      </w:r>
      <w:r w:rsidR="00177CA2">
        <w:t>)</w:t>
      </w:r>
      <w:r w:rsidRPr="00C34C12">
        <w:t xml:space="preserve"> and the process of starting and completing a testing session; and</w:t>
      </w:r>
    </w:p>
    <w:p w14:paraId="78B4D053" w14:textId="56688CBC" w:rsidR="00FB7819" w:rsidRPr="00C34C12" w:rsidRDefault="00FB7819" w:rsidP="00FB7819">
      <w:pPr>
        <w:pStyle w:val="bullets"/>
        <w:numPr>
          <w:ilvl w:val="0"/>
          <w:numId w:val="69"/>
        </w:numPr>
        <w:tabs>
          <w:tab w:val="clear" w:pos="727"/>
        </w:tabs>
        <w:ind w:left="864" w:hanging="288"/>
      </w:pPr>
      <w:r>
        <w:t xml:space="preserve">introduce students and administrators to new grade-specific items similar to those on the operational </w:t>
      </w:r>
      <w:r w:rsidR="00A72DF9">
        <w:t>assessment</w:t>
      </w:r>
      <w:r>
        <w:t>.</w:t>
      </w:r>
    </w:p>
    <w:p w14:paraId="31CA20E4" w14:textId="3DCDD4C8" w:rsidR="00DE2FBA" w:rsidRDefault="007836A6" w:rsidP="00A72DF9">
      <w:pPr>
        <w:pStyle w:val="Heading4"/>
        <w:keepLines/>
      </w:pPr>
      <w:bookmarkStart w:id="398" w:name="_Toc182555168"/>
      <w:r w:rsidRPr="004B2D24">
        <w:t xml:space="preserve">Local Educational Agency </w:t>
      </w:r>
      <w:r w:rsidR="00DE2FBA" w:rsidRPr="004B2D24">
        <w:t>Training</w:t>
      </w:r>
      <w:bookmarkEnd w:id="398"/>
    </w:p>
    <w:p w14:paraId="77AF1D74" w14:textId="0486ABE9" w:rsidR="00CC523B" w:rsidRPr="00472BC2" w:rsidRDefault="00CC523B" w:rsidP="00D355B0">
      <w:pPr>
        <w:rPr>
          <w:color w:val="auto"/>
        </w:rPr>
      </w:pPr>
      <w:r w:rsidRPr="00D52F64">
        <w:t>Each year, ETS, in collaboration with the</w:t>
      </w:r>
      <w:r w:rsidR="00EC600A">
        <w:t xml:space="preserve"> California Department of Education</w:t>
      </w:r>
      <w:r w:rsidRPr="00D52F64">
        <w:t xml:space="preserve"> </w:t>
      </w:r>
      <w:r w:rsidR="00EC600A">
        <w:t>(</w:t>
      </w:r>
      <w:r w:rsidRPr="00D52F64">
        <w:t>CDE</w:t>
      </w:r>
      <w:r w:rsidR="00EC600A">
        <w:t>)</w:t>
      </w:r>
      <w:r w:rsidRPr="00D52F64">
        <w:t xml:space="preserve"> and </w:t>
      </w:r>
      <w:r w:rsidRPr="00B93561">
        <w:t>their Assessment Validity and Outreach contractor, the Sacramento County Office of Education (SCOE), establish</w:t>
      </w:r>
      <w:r w:rsidR="007330C8">
        <w:t>es</w:t>
      </w:r>
      <w:r w:rsidRPr="00B93561">
        <w:t xml:space="preserve"> and implement</w:t>
      </w:r>
      <w:r w:rsidR="00B9337E">
        <w:t>s</w:t>
      </w:r>
      <w:r w:rsidRPr="00B93561">
        <w:t xml:space="preserve"> a comprehensive trainin</w:t>
      </w:r>
      <w:r w:rsidRPr="00D52F64">
        <w:t xml:space="preserve">g plan for LEA assessment staff and educators on all aspects of the assessment program. The ETS and SCOE annual training plans are developed with stakeholder </w:t>
      </w:r>
      <w:r w:rsidRPr="00472BC2">
        <w:t>feedback</w:t>
      </w:r>
      <w:r w:rsidRPr="00D52F64">
        <w:t xml:space="preserve"> and specify the audience, topics, frequency, and mode (in-person, webcast, videos, modules, etc.) of the training, including such elements as format, participants, and logistics.</w:t>
      </w:r>
    </w:p>
    <w:p w14:paraId="57914F03" w14:textId="2B3F2C9C" w:rsidR="00CC523B" w:rsidRPr="00472BC2" w:rsidRDefault="00CC523B" w:rsidP="00D355B0">
      <w:r w:rsidRPr="00472BC2">
        <w:t xml:space="preserve">In 2019−2020 ETS and SCOE increased their collaboration efforts to provide a more streamlined training experience for LEA and school staff. ETS and SCOE began coordinating training plans and posting all training opportunities </w:t>
      </w:r>
      <w:r w:rsidR="00B9337E">
        <w:t xml:space="preserve">in one centralized location </w:t>
      </w:r>
      <w:r w:rsidRPr="00472BC2">
        <w:t>on the CAASPP website. LEA staff were able to register for training opportunities across both CDE contractors</w:t>
      </w:r>
      <w:r w:rsidR="00B9337E">
        <w:t>’ offerings</w:t>
      </w:r>
      <w:r w:rsidRPr="00472BC2">
        <w:t xml:space="preserve"> in one place and access all archived training materials on the </w:t>
      </w:r>
      <w:r w:rsidRPr="00EE05E9">
        <w:t>2019−2020 Training Opportunities</w:t>
      </w:r>
      <w:r w:rsidRPr="00472BC2">
        <w:t xml:space="preserve"> web page. This new streamlined and coordinated process provides easy access to all the trainings that </w:t>
      </w:r>
      <w:r w:rsidR="00B9337E">
        <w:t>were</w:t>
      </w:r>
      <w:r w:rsidRPr="00472BC2">
        <w:t xml:space="preserve"> offered.</w:t>
      </w:r>
    </w:p>
    <w:p w14:paraId="33709E30" w14:textId="5FC7B204" w:rsidR="00B9337E" w:rsidRPr="00505B10" w:rsidRDefault="00082603" w:rsidP="00AD2904">
      <w:pPr>
        <w:pStyle w:val="Heading5"/>
        <w:rPr>
          <w:color w:val="auto"/>
        </w:rPr>
      </w:pPr>
      <w:r w:rsidRPr="00FB7819">
        <w:t>Works</w:t>
      </w:r>
      <w:r w:rsidRPr="0009088C">
        <w:t>hop</w:t>
      </w:r>
      <w:r w:rsidRPr="00CC171A">
        <w:t>s</w:t>
      </w:r>
      <w:r w:rsidR="00B9337E" w:rsidRPr="00505B10">
        <w:t xml:space="preserve"> </w:t>
      </w:r>
    </w:p>
    <w:p w14:paraId="667CBE70" w14:textId="0B052517" w:rsidR="001D0704" w:rsidRPr="0045338B" w:rsidRDefault="001D0704" w:rsidP="001D0704">
      <w:r w:rsidRPr="0045338B">
        <w:t>ETS conducted eight in-person pretest workshops and a pretest webcast in January 2020 for the 2019–2020 administration</w:t>
      </w:r>
      <w:r w:rsidR="00EF317D">
        <w:t>,</w:t>
      </w:r>
      <w:r w:rsidRPr="0045338B">
        <w:t xml:space="preserve"> which focused on training LEA CAASPP coordinators on how to prepare for administering all aspects of the CAASPP online assessments.</w:t>
      </w:r>
    </w:p>
    <w:p w14:paraId="31BA0015" w14:textId="16D062BB" w:rsidR="001D0704" w:rsidRPr="0045338B" w:rsidRDefault="001D0704" w:rsidP="001D0704">
      <w:r w:rsidRPr="0045338B">
        <w:t xml:space="preserve">Training </w:t>
      </w:r>
      <w:r w:rsidR="00B9337E">
        <w:t>was also provided to</w:t>
      </w:r>
      <w:r w:rsidRPr="0045338B">
        <w:t xml:space="preserve"> focus on interpreting and using results. ETS typically provides eight in-person “CAASPP Results Are In—Now What?” workshops. </w:t>
      </w:r>
      <w:r w:rsidR="004008C6">
        <w:t>However, because of</w:t>
      </w:r>
      <w:r w:rsidRPr="0045338B">
        <w:t xml:space="preserve"> the impact of </w:t>
      </w:r>
      <w:r w:rsidR="005F325B">
        <w:t xml:space="preserve">the </w:t>
      </w:r>
      <w:r w:rsidR="001000AC">
        <w:t>novel coronavirus disease 2019</w:t>
      </w:r>
      <w:r w:rsidR="005F325B">
        <w:t xml:space="preserve"> pandemic</w:t>
      </w:r>
      <w:r w:rsidRPr="0045338B">
        <w:t xml:space="preserve"> on statewide testing</w:t>
      </w:r>
      <w:r w:rsidR="004008C6">
        <w:t>,</w:t>
      </w:r>
      <w:r w:rsidRPr="0045338B">
        <w:t xml:space="preserve"> this workshop was converted to a virtual training. With the cance</w:t>
      </w:r>
      <w:r w:rsidR="00E71800">
        <w:t>l</w:t>
      </w:r>
      <w:r w:rsidRPr="0045338B">
        <w:t>lation of statewide testing, and limited results being released to LEAs, the title of the training was changed to “CAASPP: Using Assessment Data for Decision-Making</w:t>
      </w:r>
      <w:r w:rsidR="004008C6">
        <w:t>.</w:t>
      </w:r>
      <w:r w:rsidRPr="0045338B">
        <w:t>” This training was made available to LEAs as four stand-alone modules that focused on what data can tell educators about current student learning, how to interpret data, how to communicate data to local stakeholders, and making sense of Smarter Balanced data.</w:t>
      </w:r>
    </w:p>
    <w:p w14:paraId="4402D9FF" w14:textId="3681E44E" w:rsidR="00210E84" w:rsidRPr="00341A7B" w:rsidRDefault="001D0704" w:rsidP="00341A7B">
      <w:r w:rsidRPr="0045338B">
        <w:t xml:space="preserve">In addition to the in-person training opportunities offered by ETS, SCOE held the first California Assessment Conference (CAC) </w:t>
      </w:r>
      <w:r w:rsidR="001E3499">
        <w:t>in Oakland, California, in October 2019.</w:t>
      </w:r>
      <w:r w:rsidRPr="0045338B">
        <w:t xml:space="preserve"> </w:t>
      </w:r>
      <w:r w:rsidR="001E3499">
        <w:t>This conference</w:t>
      </w:r>
      <w:r w:rsidR="001E3499" w:rsidRPr="0045338B">
        <w:t xml:space="preserve"> </w:t>
      </w:r>
      <w:r w:rsidRPr="0045338B">
        <w:t xml:space="preserve">focused on building connections between assessments and the classroom </w:t>
      </w:r>
      <w:r w:rsidR="001E3499">
        <w:t>by</w:t>
      </w:r>
      <w:r w:rsidRPr="0045338B">
        <w:t xml:space="preserve"> provid</w:t>
      </w:r>
      <w:r w:rsidR="001E3499">
        <w:t>ing</w:t>
      </w:r>
      <w:r w:rsidRPr="0045338B">
        <w:t xml:space="preserve"> classroom educators with information about using statewide assessment data to </w:t>
      </w:r>
      <w:r w:rsidRPr="0045338B">
        <w:lastRenderedPageBreak/>
        <w:t xml:space="preserve">improve teaching and learning. The conference included </w:t>
      </w:r>
      <w:r>
        <w:t>session</w:t>
      </w:r>
      <w:r w:rsidR="59512187">
        <w:t>s</w:t>
      </w:r>
      <w:r w:rsidRPr="0045338B">
        <w:t xml:space="preserve"> on the three parts of a balanced assessment system: formative assessments, interim assessments, and summative assessments. The </w:t>
      </w:r>
      <w:r w:rsidR="009231CD">
        <w:t>c</w:t>
      </w:r>
      <w:r w:rsidRPr="0045338B">
        <w:t xml:space="preserve">onference also offered sessions that provided information about accessibility resources. </w:t>
      </w:r>
    </w:p>
    <w:p w14:paraId="776DC39A" w14:textId="33B38A5B" w:rsidR="00DE2FBA" w:rsidRPr="0045338B" w:rsidRDefault="00EA6959" w:rsidP="007A71B3">
      <w:pPr>
        <w:pStyle w:val="Heading5"/>
      </w:pPr>
      <w:r w:rsidRPr="0045338B">
        <w:t xml:space="preserve">Virtual Training and </w:t>
      </w:r>
      <w:r w:rsidR="00DE2FBA" w:rsidRPr="0045338B">
        <w:t>Webcasts</w:t>
      </w:r>
    </w:p>
    <w:p w14:paraId="6DBA89DE" w14:textId="7A09A73D" w:rsidR="00F91405" w:rsidRPr="00472BC2" w:rsidRDefault="00F91405" w:rsidP="00542D2D">
      <w:r w:rsidRPr="00472BC2">
        <w:t>ETS provided a series of virtual trainings and live webcast</w:t>
      </w:r>
      <w:r w:rsidR="00B63A67">
        <w:t>s</w:t>
      </w:r>
      <w:r w:rsidRPr="00472BC2">
        <w:t xml:space="preserve"> throughout the school year that were archived and made available for training LEA and test site staff as well as test administrators</w:t>
      </w:r>
      <w:r w:rsidR="00AF5830">
        <w:t xml:space="preserve"> and test examiners</w:t>
      </w:r>
      <w:r w:rsidRPr="00472BC2">
        <w:t>. Webcast viewers were provided with a method of electronically submitting questions to the presenters during the webcast. The webcasts were recorded and archived for on-demand viewing on the 2019−2020 CAASPP Archived Webcasts web page. CAASPP webcasts were available to everyone and required neither preregistration nor a logon account.</w:t>
      </w:r>
    </w:p>
    <w:p w14:paraId="6A115705" w14:textId="68ACA645" w:rsidR="00F91405" w:rsidRPr="00733B7D" w:rsidRDefault="00F91405" w:rsidP="00542D2D">
      <w:r w:rsidRPr="002B0EB2">
        <w:t xml:space="preserve">In addition to the webcasts provided by ETS, SCOE hosted a number or virtual trainings intended to support new LEA CAASPP </w:t>
      </w:r>
      <w:r w:rsidR="00452C0C">
        <w:t>c</w:t>
      </w:r>
      <w:r w:rsidRPr="002B0EB2">
        <w:t xml:space="preserve">oordinators throughout all aspects of administration. This training series provided opportunities for new LEA CAASPP </w:t>
      </w:r>
      <w:r w:rsidR="00452C0C">
        <w:t>c</w:t>
      </w:r>
      <w:r w:rsidRPr="002B0EB2">
        <w:t>oordinators to receive timely training nearly every month.</w:t>
      </w:r>
    </w:p>
    <w:p w14:paraId="7270F985" w14:textId="74B3BDD0" w:rsidR="00F91405" w:rsidRPr="00A804DF" w:rsidRDefault="00F91405" w:rsidP="00542D2D">
      <w:r w:rsidRPr="00FC3021">
        <w:t xml:space="preserve">SCOE also offered assessment update meetings intended to provide LEA CAASPP </w:t>
      </w:r>
      <w:r w:rsidR="000F1790">
        <w:t>c</w:t>
      </w:r>
      <w:r w:rsidRPr="00FC3021">
        <w:t>oordinators with timely updates about California’s assessment system. The meetings were recorded and archived for on-demand viewing on the 2019−2020 Training Opportunities web page</w:t>
      </w:r>
      <w:r w:rsidR="006174A9">
        <w:t>.</w:t>
      </w:r>
      <w:hyperlink r:id="rId30" w:tooltip="2019−2020 Training Opportunities web page on the CAASPP website" w:history="1">
        <w:r w:rsidR="006174A9">
          <w:t xml:space="preserve"> </w:t>
        </w:r>
      </w:hyperlink>
    </w:p>
    <w:p w14:paraId="1E47D72C" w14:textId="0F0F2008" w:rsidR="00DE2FBA" w:rsidRPr="0045338B" w:rsidRDefault="00DE2FBA" w:rsidP="007A71B3">
      <w:pPr>
        <w:pStyle w:val="Heading5"/>
      </w:pPr>
      <w:r w:rsidRPr="003A0271">
        <w:t>Videos</w:t>
      </w:r>
    </w:p>
    <w:p w14:paraId="46F14435" w14:textId="72B2F02E" w:rsidR="00954A71" w:rsidRPr="0010252D" w:rsidRDefault="00954A71" w:rsidP="00542D2D">
      <w:r w:rsidRPr="0010252D">
        <w:t>To supplement the virtual trainings, webcasts, and in-person workshops, ETS also produced short demonstration videos on various aspects of administering the CAASPP</w:t>
      </w:r>
      <w:r w:rsidR="00AF5830">
        <w:t>, which</w:t>
      </w:r>
      <w:r w:rsidRPr="0010252D">
        <w:t xml:space="preserve"> were available on the CAASPP Quick Reference Guides and Videos web page. SCOE produced </w:t>
      </w:r>
      <w:r w:rsidR="00583EDC">
        <w:t>q</w:t>
      </w:r>
      <w:r w:rsidRPr="0010252D">
        <w:t xml:space="preserve">uick </w:t>
      </w:r>
      <w:r w:rsidR="00583EDC">
        <w:t>r</w:t>
      </w:r>
      <w:r w:rsidRPr="0010252D">
        <w:t xml:space="preserve">eference </w:t>
      </w:r>
      <w:r w:rsidR="00583EDC">
        <w:t>g</w:t>
      </w:r>
      <w:r w:rsidRPr="0010252D">
        <w:t>uides to accompany many of the video resources, providing multiple avenues of support for educators administering the assessments.</w:t>
      </w:r>
    </w:p>
    <w:p w14:paraId="50E5FAAF" w14:textId="330DFD25" w:rsidR="003810D6" w:rsidRPr="0045338B" w:rsidRDefault="00907F2B" w:rsidP="003810D6">
      <w:pPr>
        <w:pStyle w:val="Heading5"/>
      </w:pPr>
      <w:r w:rsidRPr="0045338B">
        <w:t>Training for Proper Assignment of Designated Supports and Accommodations</w:t>
      </w:r>
    </w:p>
    <w:p w14:paraId="748A1973" w14:textId="42CD0AF6" w:rsidR="000724E9" w:rsidRDefault="0045338B" w:rsidP="000B25A2">
      <w:pPr>
        <w:keepLines/>
      </w:pPr>
      <w:r w:rsidRPr="0045338B">
        <w:t>ETS produced short demonstration videos for every embedded accessibility resource that demonstrate</w:t>
      </w:r>
      <w:r w:rsidR="00D11B19">
        <w:t>d</w:t>
      </w:r>
      <w:r w:rsidRPr="0045338B">
        <w:t xml:space="preserve"> how to use the resource for educators, students, and parents. The videos </w:t>
      </w:r>
      <w:r w:rsidR="00D11B19">
        <w:t>we</w:t>
      </w:r>
      <w:r w:rsidRPr="0045338B">
        <w:t xml:space="preserve">re available in both English and Spanish on the </w:t>
      </w:r>
      <w:r w:rsidR="00B5404C">
        <w:t>Accessibility Resources Demonstration Videos</w:t>
      </w:r>
      <w:r w:rsidRPr="0045338B">
        <w:t xml:space="preserve"> web page.</w:t>
      </w:r>
    </w:p>
    <w:p w14:paraId="3E14CCE2" w14:textId="46E787BA" w:rsidR="000724E9" w:rsidRDefault="0045338B" w:rsidP="0045338B">
      <w:r w:rsidRPr="0045338B">
        <w:t xml:space="preserve">In addition, ETS developed a video </w:t>
      </w:r>
      <w:r w:rsidR="000724E9">
        <w:t xml:space="preserve">with LEA staff </w:t>
      </w:r>
      <w:r w:rsidRPr="0045338B">
        <w:t xml:space="preserve">about the </w:t>
      </w:r>
      <w:r w:rsidR="001860C6">
        <w:t>i</w:t>
      </w:r>
      <w:r w:rsidRPr="0045338B">
        <w:t>mportance of implementing CAASPP accessibility resources with to help California educators</w:t>
      </w:r>
      <w:r w:rsidRPr="00FB7819">
        <w:t xml:space="preserve"> learn more about the importance of accessibility resources and best practices used by educators in the field. The “Importance of Implementing CAASPP and ELPAC Accessibility Resources: Voices from Educators</w:t>
      </w:r>
      <w:r w:rsidR="00283EA8">
        <w:t>”</w:t>
      </w:r>
      <w:r w:rsidRPr="00FB7819">
        <w:t xml:space="preserve"> </w:t>
      </w:r>
      <w:r w:rsidR="00283EA8">
        <w:t>v</w:t>
      </w:r>
      <w:r w:rsidRPr="00FB7819">
        <w:t xml:space="preserve">ideo </w:t>
      </w:r>
      <w:r w:rsidR="007B2A45">
        <w:t>wa</w:t>
      </w:r>
      <w:r w:rsidRPr="00FB7819">
        <w:t>s available on the CAASPP Training Video web page</w:t>
      </w:r>
      <w:r w:rsidRPr="0045338B">
        <w:t>.</w:t>
      </w:r>
    </w:p>
    <w:p w14:paraId="24BBE977" w14:textId="2BAC2E78" w:rsidR="0045338B" w:rsidRPr="00FB7819" w:rsidRDefault="0045338B" w:rsidP="0045338B">
      <w:r w:rsidRPr="0045338B">
        <w:t xml:space="preserve">A video on how to use the Individual Student Assessment Accessibility Profile (ISAAP) Tool </w:t>
      </w:r>
      <w:r w:rsidR="007B2A45">
        <w:t>wa</w:t>
      </w:r>
      <w:r w:rsidRPr="0045338B">
        <w:t>s also available to support educators in the process of creating an individual student profile and matching accessibility resources to student needs to ensure a fair and valid testing experience.</w:t>
      </w:r>
    </w:p>
    <w:p w14:paraId="569687AA" w14:textId="1EB4EE26" w:rsidR="003810D6" w:rsidRPr="00C34C12" w:rsidRDefault="0045338B" w:rsidP="00FB7819">
      <w:r w:rsidRPr="00FB7819">
        <w:t xml:space="preserve">At the CAC, SCOE offered three sessions on accessibility. A Plenary Accessibility 101 </w:t>
      </w:r>
      <w:r w:rsidR="00D11B19">
        <w:t>s</w:t>
      </w:r>
      <w:r w:rsidRPr="00FB7819">
        <w:t xml:space="preserve">ession was presented to all conference attendees, intended to build a shared understanding of basic accessibility-related terms and considerations. The Creating an </w:t>
      </w:r>
      <w:r w:rsidRPr="00FB7819">
        <w:lastRenderedPageBreak/>
        <w:t>Equ</w:t>
      </w:r>
      <w:r w:rsidRPr="003A0271">
        <w:t>itable Process breakout session focused on developing an equitable and systematic process for matching students with appropriate accessibility resources. Matching Resources to Student Needs was another breakout session focused on providing an opportuni</w:t>
      </w:r>
      <w:r w:rsidRPr="0045338B">
        <w:t>ty to practice appropriately matching student needs to the various accessibility resources.</w:t>
      </w:r>
    </w:p>
    <w:p w14:paraId="2477729F" w14:textId="7688C5FC" w:rsidR="00205584" w:rsidRDefault="00C63BED" w:rsidP="007A71B3">
      <w:pPr>
        <w:pStyle w:val="Heading3"/>
      </w:pPr>
      <w:bookmarkStart w:id="399" w:name="_Test_Administration_1"/>
      <w:bookmarkStart w:id="400" w:name="_Toc182555169"/>
      <w:bookmarkEnd w:id="399"/>
      <w:r w:rsidRPr="00C63BED">
        <w:t>Administration of the Embedded Performance Tasks</w:t>
      </w:r>
      <w:bookmarkEnd w:id="400"/>
    </w:p>
    <w:p w14:paraId="48C879A2" w14:textId="0C43ECE1" w:rsidR="000125FB" w:rsidRPr="00C34C12" w:rsidRDefault="000125FB" w:rsidP="000125FB">
      <w:r w:rsidRPr="00C34C12">
        <w:t xml:space="preserve">The CAA for Science </w:t>
      </w:r>
      <w:r w:rsidR="70DEEB51">
        <w:t>operational</w:t>
      </w:r>
      <w:r w:rsidRPr="00C34C12">
        <w:t xml:space="preserve"> </w:t>
      </w:r>
      <w:r w:rsidR="007B2A45">
        <w:t>assessment</w:t>
      </w:r>
      <w:r w:rsidR="007B2A45" w:rsidRPr="00C34C12">
        <w:t xml:space="preserve"> </w:t>
      </w:r>
      <w:r w:rsidRPr="00C34C12">
        <w:t xml:space="preserve">was administered one-on-one by a test examiner familiar with the student being tested. The test examiner administered </w:t>
      </w:r>
      <w:r w:rsidR="00560A22">
        <w:t>four</w:t>
      </w:r>
      <w:r w:rsidR="00560A22" w:rsidRPr="00C34C12">
        <w:t xml:space="preserve"> </w:t>
      </w:r>
      <w:r w:rsidRPr="00C34C12">
        <w:t>embedded PTs to each student; these were administered online through the CAASPP TDS.</w:t>
      </w:r>
    </w:p>
    <w:p w14:paraId="15750865" w14:textId="7D8CD05D" w:rsidR="007C3C3C" w:rsidRDefault="007C3C3C" w:rsidP="007A71B3">
      <w:pPr>
        <w:pStyle w:val="Heading4"/>
      </w:pPr>
      <w:bookmarkStart w:id="401" w:name="_Administration_of_Orienting"/>
      <w:bookmarkStart w:id="402" w:name="_Toc182555170"/>
      <w:bookmarkEnd w:id="401"/>
      <w:r w:rsidRPr="004B2D24">
        <w:t>Administration of</w:t>
      </w:r>
      <w:r w:rsidR="00F3515F" w:rsidRPr="004B2D24">
        <w:t xml:space="preserve"> Orienting Activities</w:t>
      </w:r>
      <w:bookmarkEnd w:id="402"/>
    </w:p>
    <w:p w14:paraId="1E2285FC" w14:textId="2DA696CC" w:rsidR="00D442E2" w:rsidRPr="00D442E2" w:rsidRDefault="0BDDC1AC" w:rsidP="00D442E2">
      <w:r>
        <w:t xml:space="preserve">Each embedded PT has two orienting activities, one for each of the two Connector </w:t>
      </w:r>
      <w:r w:rsidR="008F306A">
        <w:t>s</w:t>
      </w:r>
      <w:r>
        <w:t xml:space="preserve">ets in an embedded PT. </w:t>
      </w:r>
      <w:r w:rsidR="00560A22">
        <w:t xml:space="preserve">The </w:t>
      </w:r>
      <w:r w:rsidR="008F306A">
        <w:t>o</w:t>
      </w:r>
      <w:r w:rsidR="00560A22">
        <w:t xml:space="preserve">rienting </w:t>
      </w:r>
      <w:r w:rsidR="008F306A">
        <w:t>a</w:t>
      </w:r>
      <w:r w:rsidR="00560A22">
        <w:t xml:space="preserve">ctivities were administered </w:t>
      </w:r>
      <w:r w:rsidR="007F6974">
        <w:t xml:space="preserve">one-one-one by the test examiner prior to </w:t>
      </w:r>
      <w:r w:rsidR="41B60D80">
        <w:t xml:space="preserve">presenting the first item in each Connector </w:t>
      </w:r>
      <w:r w:rsidR="008F306A">
        <w:t>s</w:t>
      </w:r>
      <w:r w:rsidR="41B60D80">
        <w:t xml:space="preserve">et to </w:t>
      </w:r>
      <w:r w:rsidR="007F6974">
        <w:t xml:space="preserve">the student. The </w:t>
      </w:r>
      <w:r w:rsidR="1B68FB79">
        <w:t xml:space="preserve">administration of the items in each Connector </w:t>
      </w:r>
      <w:r w:rsidR="008F306A">
        <w:t>s</w:t>
      </w:r>
      <w:r w:rsidR="1B68FB79">
        <w:t>et in an</w:t>
      </w:r>
      <w:r w:rsidR="007F6974">
        <w:t xml:space="preserve"> embedded PT should directly follow the delivery of </w:t>
      </w:r>
      <w:r w:rsidR="0B6D2EFC">
        <w:t>each</w:t>
      </w:r>
      <w:r w:rsidR="007F6974">
        <w:t xml:space="preserve"> orienting activity.</w:t>
      </w:r>
    </w:p>
    <w:p w14:paraId="45CFBADF" w14:textId="24E33454" w:rsidR="007C3C3C" w:rsidRDefault="007C3C3C" w:rsidP="007A71B3">
      <w:pPr>
        <w:pStyle w:val="Heading4"/>
      </w:pPr>
      <w:bookmarkStart w:id="403" w:name="_Toc182555171"/>
      <w:r w:rsidRPr="004B2D24">
        <w:t xml:space="preserve">Administration of the </w:t>
      </w:r>
      <w:r w:rsidR="00063342" w:rsidRPr="004B2D24">
        <w:t>Embedded P</w:t>
      </w:r>
      <w:r w:rsidR="00C66744">
        <w:t xml:space="preserve">erformance </w:t>
      </w:r>
      <w:r w:rsidR="00063342" w:rsidRPr="004B2D24">
        <w:t>T</w:t>
      </w:r>
      <w:r w:rsidR="00C66744">
        <w:t>ask</w:t>
      </w:r>
      <w:r w:rsidR="00063342" w:rsidRPr="004B2D24">
        <w:t>s</w:t>
      </w:r>
      <w:bookmarkEnd w:id="403"/>
    </w:p>
    <w:p w14:paraId="50D5B39C" w14:textId="77777777" w:rsidR="000125FB" w:rsidRPr="00C34C12" w:rsidRDefault="000125FB" w:rsidP="000125FB">
      <w:r w:rsidRPr="00C34C12">
        <w:t>The embedded PTs were designed to be administered to students in conjunction with the normal course of instruction related to the Science Connector being assessed. The test examiner was instructed to administer the embedded PT shortly after the student received instruction related to the Science Connector.</w:t>
      </w:r>
    </w:p>
    <w:p w14:paraId="4D40CEFC" w14:textId="76387DBE" w:rsidR="007C3C3C" w:rsidRDefault="007C3C3C" w:rsidP="007A71B3">
      <w:pPr>
        <w:pStyle w:val="Heading4"/>
      </w:pPr>
      <w:bookmarkStart w:id="404" w:name="_Toc182555172"/>
      <w:r w:rsidRPr="004B2D24">
        <w:t xml:space="preserve">Administration of the </w:t>
      </w:r>
      <w:r w:rsidR="002C7B5D" w:rsidRPr="004B2D24">
        <w:t>Test Administration</w:t>
      </w:r>
      <w:r w:rsidR="00F3515F" w:rsidRPr="004B2D24">
        <w:t xml:space="preserve"> </w:t>
      </w:r>
      <w:r w:rsidRPr="004B2D24">
        <w:t>Survey</w:t>
      </w:r>
      <w:bookmarkEnd w:id="404"/>
    </w:p>
    <w:p w14:paraId="5450FF89" w14:textId="31819764" w:rsidR="00DC7886" w:rsidRDefault="00DC7886" w:rsidP="00DC7886">
      <w:r>
        <w:t>During the 2019–2020 administration year, test examiners were asked to respond to a survey about their students. After the</w:t>
      </w:r>
      <w:r w:rsidR="00C1041D" w:rsidRPr="00C1041D">
        <w:t xml:space="preserve"> </w:t>
      </w:r>
      <w:r w:rsidR="00C1041D">
        <w:t>embedded</w:t>
      </w:r>
      <w:r>
        <w:t xml:space="preserve"> </w:t>
      </w:r>
      <w:r w:rsidR="000D2F09">
        <w:t>PT</w:t>
      </w:r>
      <w:r>
        <w:t xml:space="preserve"> was administered to the student, test examiners were presented with two surveys, with the instruction to </w:t>
      </w:r>
      <w:r w:rsidR="004B1298">
        <w:t>respond to</w:t>
      </w:r>
      <w:r w:rsidR="00C10307" w:rsidRPr="00C10307">
        <w:t xml:space="preserve"> </w:t>
      </w:r>
      <w:r w:rsidR="00C10307">
        <w:t>only</w:t>
      </w:r>
      <w:r w:rsidR="004B1298">
        <w:t xml:space="preserve"> </w:t>
      </w:r>
      <w:r>
        <w:t xml:space="preserve">one of the surveys </w:t>
      </w:r>
      <w:r w:rsidR="00C10307">
        <w:t>on the basis of</w:t>
      </w:r>
      <w:r>
        <w:t xml:space="preserve"> whether or not the student had been responsive during the testing session. The purpose of the survey was to collect basic information about students’ experiences with the assessment process.</w:t>
      </w:r>
    </w:p>
    <w:p w14:paraId="35912FF7" w14:textId="182A9CC4" w:rsidR="00341A7B" w:rsidRPr="00931F5C" w:rsidRDefault="00541DB1" w:rsidP="00931F5C">
      <w:r>
        <w:t>The</w:t>
      </w:r>
      <w:r w:rsidR="00DC7886" w:rsidRPr="00931F5C">
        <w:t xml:space="preserve"> </w:t>
      </w:r>
      <w:r w:rsidR="00DC7886">
        <w:t>survey</w:t>
      </w:r>
      <w:r w:rsidR="75240520">
        <w:t>s</w:t>
      </w:r>
      <w:r w:rsidR="00DC7886">
        <w:t xml:space="preserve"> w</w:t>
      </w:r>
      <w:r w:rsidR="7B92456E">
        <w:t>ere</w:t>
      </w:r>
      <w:r w:rsidR="00DC7886" w:rsidRPr="00931F5C">
        <w:t xml:space="preserve"> included in the last section of </w:t>
      </w:r>
      <w:r w:rsidR="00983530">
        <w:t>each</w:t>
      </w:r>
      <w:r w:rsidR="00DC7886" w:rsidRPr="00931F5C">
        <w:t xml:space="preserve"> embedded PT delivered through</w:t>
      </w:r>
      <w:r w:rsidR="00DC7886">
        <w:t xml:space="preserve"> the TDS</w:t>
      </w:r>
      <w:r w:rsidR="00341A7B">
        <w:t>.</w:t>
      </w:r>
    </w:p>
    <w:p w14:paraId="62802D0A" w14:textId="0F5CC17D" w:rsidR="0083581B" w:rsidRDefault="0083581B" w:rsidP="007A71B3">
      <w:pPr>
        <w:pStyle w:val="Heading3"/>
      </w:pPr>
      <w:bookmarkStart w:id="405" w:name="_Toc66787418"/>
      <w:bookmarkStart w:id="406" w:name="_Toc66787877"/>
      <w:bookmarkStart w:id="407" w:name="_Toc67035469"/>
      <w:bookmarkStart w:id="408" w:name="_Toc67319333"/>
      <w:bookmarkStart w:id="409" w:name="_Toc67382445"/>
      <w:bookmarkStart w:id="410" w:name="_Toc67466004"/>
      <w:bookmarkStart w:id="411" w:name="_Toc68088986"/>
      <w:bookmarkStart w:id="412" w:name="_Toc68107835"/>
      <w:bookmarkStart w:id="413" w:name="_Toc182555173"/>
      <w:bookmarkEnd w:id="405"/>
      <w:bookmarkEnd w:id="406"/>
      <w:bookmarkEnd w:id="407"/>
      <w:bookmarkEnd w:id="408"/>
      <w:bookmarkEnd w:id="409"/>
      <w:bookmarkEnd w:id="410"/>
      <w:bookmarkEnd w:id="411"/>
      <w:bookmarkEnd w:id="412"/>
      <w:r w:rsidRPr="004B2D24">
        <w:t>Procedures to Maintain Standardization</w:t>
      </w:r>
      <w:bookmarkEnd w:id="413"/>
    </w:p>
    <w:p w14:paraId="16A5C715" w14:textId="77777777" w:rsidR="000125FB" w:rsidRPr="00C34C12" w:rsidRDefault="000125FB" w:rsidP="000125FB">
      <w:bookmarkStart w:id="414" w:name="_Toc435796596"/>
      <w:r w:rsidRPr="00C34C12">
        <w:t>The test administration and scoring procedures were designed so that the tests are administered and scored in a standardized manner. ETS</w:t>
      </w:r>
      <w:r w:rsidRPr="00C34C12" w:rsidDel="00236782">
        <w:t xml:space="preserve"> </w:t>
      </w:r>
      <w:r w:rsidRPr="00C34C12">
        <w:t>took all necessary measures to ensure the standardization of test administration, as described in this subsection of the technical report.</w:t>
      </w:r>
    </w:p>
    <w:p w14:paraId="6A4CC0EE" w14:textId="3410E998" w:rsidR="0083581B" w:rsidRDefault="0083581B" w:rsidP="007A71B3">
      <w:pPr>
        <w:pStyle w:val="Heading4"/>
      </w:pPr>
      <w:bookmarkStart w:id="415" w:name="_Toc182555174"/>
      <w:bookmarkEnd w:id="414"/>
      <w:r w:rsidRPr="004B2D24">
        <w:t>L</w:t>
      </w:r>
      <w:r w:rsidR="00C66744">
        <w:t xml:space="preserve">ocal </w:t>
      </w:r>
      <w:r w:rsidRPr="004B2D24">
        <w:t>E</w:t>
      </w:r>
      <w:r w:rsidR="00C66744">
        <w:t xml:space="preserve">ducational </w:t>
      </w:r>
      <w:r w:rsidRPr="004B2D24">
        <w:t>A</w:t>
      </w:r>
      <w:r w:rsidR="00C66744">
        <w:t>gency</w:t>
      </w:r>
      <w:r w:rsidRPr="004B2D24">
        <w:t xml:space="preserve"> CAASPP Coordinator</w:t>
      </w:r>
      <w:bookmarkEnd w:id="415"/>
    </w:p>
    <w:p w14:paraId="2DE4F301" w14:textId="5C924509" w:rsidR="000125FB" w:rsidRPr="00C34C12" w:rsidRDefault="000125FB" w:rsidP="000125FB">
      <w:r w:rsidRPr="00C34C12">
        <w:t xml:space="preserve">An LEA CAASPP coordinator was designated by the district superintendent at the beginning of the </w:t>
      </w:r>
      <w:r w:rsidR="000336E2" w:rsidRPr="00C34C12">
        <w:t>201</w:t>
      </w:r>
      <w:r w:rsidR="000336E2">
        <w:t>9</w:t>
      </w:r>
      <w:r w:rsidRPr="00C34C12">
        <w:t>–</w:t>
      </w:r>
      <w:r w:rsidR="000336E2" w:rsidRPr="00C34C12">
        <w:t>20</w:t>
      </w:r>
      <w:r w:rsidR="000336E2">
        <w:t>20</w:t>
      </w:r>
      <w:r w:rsidR="000336E2" w:rsidRPr="00C34C12">
        <w:t xml:space="preserve"> </w:t>
      </w:r>
      <w:r w:rsidRPr="00C34C12">
        <w:t>school year. LEAs include public school districts, statewide benefit charter schools, State Board of Education–authorized charter schools, county office of education programs, and direct funded charter schools.</w:t>
      </w:r>
    </w:p>
    <w:p w14:paraId="434B4B40" w14:textId="77777777" w:rsidR="000125FB" w:rsidRPr="00C34C12" w:rsidRDefault="000125FB" w:rsidP="00382C31">
      <w:pPr>
        <w:keepLines/>
      </w:pPr>
      <w:r w:rsidRPr="00C34C12">
        <w:lastRenderedPageBreak/>
        <w:t xml:space="preserve">LEA CAASPP coordinators are responsible for ensuring the proper and consistent administration of the assessments that are part of the CAASPP System, including the CAAs. In addition to the responsibilities set forth in the </w:t>
      </w:r>
      <w:r w:rsidRPr="00C34C12">
        <w:rPr>
          <w:i/>
        </w:rPr>
        <w:t>California Code of Regulations</w:t>
      </w:r>
      <w:r w:rsidRPr="00C34C12">
        <w:t>, Title 5 (5 </w:t>
      </w:r>
      <w:r w:rsidRPr="00C34C12">
        <w:rPr>
          <w:i/>
        </w:rPr>
        <w:t>CCR</w:t>
      </w:r>
      <w:r w:rsidRPr="00C34C12">
        <w:t>) Section 857, their responsibilities include</w:t>
      </w:r>
    </w:p>
    <w:p w14:paraId="3A92A094" w14:textId="33B6DF46" w:rsidR="000125FB" w:rsidRPr="00C34C12" w:rsidRDefault="000125FB" w:rsidP="00B33B75">
      <w:pPr>
        <w:pStyle w:val="bullets"/>
        <w:numPr>
          <w:ilvl w:val="0"/>
          <w:numId w:val="69"/>
        </w:numPr>
        <w:tabs>
          <w:tab w:val="clear" w:pos="727"/>
        </w:tabs>
        <w:ind w:left="864" w:hanging="288"/>
      </w:pPr>
      <w:r w:rsidRPr="00C34C12">
        <w:t>adding CAASPP test site coordinators and test examiners into TOMS;</w:t>
      </w:r>
    </w:p>
    <w:p w14:paraId="26272ECD" w14:textId="15944A4C" w:rsidR="000125FB" w:rsidRPr="00C34C12" w:rsidRDefault="000125FB" w:rsidP="00B33B75">
      <w:pPr>
        <w:pStyle w:val="bullets"/>
        <w:numPr>
          <w:ilvl w:val="0"/>
          <w:numId w:val="69"/>
        </w:numPr>
        <w:tabs>
          <w:tab w:val="clear" w:pos="727"/>
        </w:tabs>
        <w:ind w:left="864" w:hanging="288"/>
      </w:pPr>
      <w:r w:rsidRPr="00C34C12">
        <w:t>training CAASPP test site coordinators and test examiners regarding state requirements and CAA administration</w:t>
      </w:r>
      <w:r w:rsidR="00184A5E">
        <w:t>,</w:t>
      </w:r>
      <w:r w:rsidRPr="00C34C12">
        <w:t xml:space="preserve"> as well as security policies and procedures;</w:t>
      </w:r>
    </w:p>
    <w:p w14:paraId="483B2A91" w14:textId="77777777" w:rsidR="000125FB" w:rsidRPr="00C34C12" w:rsidRDefault="000125FB" w:rsidP="00B33B75">
      <w:pPr>
        <w:pStyle w:val="bullets"/>
        <w:numPr>
          <w:ilvl w:val="0"/>
          <w:numId w:val="69"/>
        </w:numPr>
        <w:tabs>
          <w:tab w:val="clear" w:pos="727"/>
        </w:tabs>
        <w:ind w:left="864" w:hanging="288"/>
      </w:pPr>
      <w:r w:rsidRPr="00C34C12">
        <w:t>reporting test security incidents (including testing irregularities) to the CDE;</w:t>
      </w:r>
    </w:p>
    <w:p w14:paraId="20DCCA14" w14:textId="77777777" w:rsidR="000125FB" w:rsidRPr="00C34C12" w:rsidRDefault="000125FB" w:rsidP="00B33B75">
      <w:pPr>
        <w:pStyle w:val="bullets"/>
        <w:numPr>
          <w:ilvl w:val="0"/>
          <w:numId w:val="69"/>
        </w:numPr>
        <w:tabs>
          <w:tab w:val="clear" w:pos="727"/>
        </w:tabs>
        <w:ind w:left="864" w:hanging="288"/>
      </w:pPr>
      <w:r w:rsidRPr="00C34C12">
        <w:t>overseeing test administration activities;</w:t>
      </w:r>
    </w:p>
    <w:p w14:paraId="51412D18" w14:textId="77777777" w:rsidR="000125FB" w:rsidRPr="00C34C12" w:rsidRDefault="000125FB" w:rsidP="00B33B75">
      <w:pPr>
        <w:pStyle w:val="bullets"/>
        <w:numPr>
          <w:ilvl w:val="0"/>
          <w:numId w:val="69"/>
        </w:numPr>
        <w:tabs>
          <w:tab w:val="clear" w:pos="727"/>
        </w:tabs>
        <w:ind w:left="864" w:hanging="288"/>
      </w:pPr>
      <w:r w:rsidRPr="00C34C12">
        <w:t>filing a report of a testing incident in the Security and Test Administration Incident Reporting System (STAIRS); and</w:t>
      </w:r>
    </w:p>
    <w:p w14:paraId="54C6A51C" w14:textId="620F0AC6" w:rsidR="00D442E2" w:rsidRPr="00D442E2" w:rsidRDefault="000125FB" w:rsidP="00BC4CE9">
      <w:pPr>
        <w:pStyle w:val="bullets"/>
        <w:numPr>
          <w:ilvl w:val="0"/>
          <w:numId w:val="69"/>
        </w:numPr>
        <w:tabs>
          <w:tab w:val="clear" w:pos="727"/>
        </w:tabs>
        <w:ind w:left="864" w:hanging="288"/>
      </w:pPr>
      <w:r w:rsidRPr="00C34C12">
        <w:t>requesting an Appeal (if indicated by TOMS prompts while reporting an incident using the STAIRS/Appeal</w:t>
      </w:r>
      <w:r w:rsidR="00721328">
        <w:t>s</w:t>
      </w:r>
      <w:r w:rsidRPr="00C34C12">
        <w:t xml:space="preserve"> process).</w:t>
      </w:r>
    </w:p>
    <w:p w14:paraId="175EB71A" w14:textId="5E9F3AD9" w:rsidR="0083581B" w:rsidRDefault="0083581B" w:rsidP="007A71B3">
      <w:pPr>
        <w:pStyle w:val="Heading4"/>
      </w:pPr>
      <w:bookmarkStart w:id="416" w:name="_Toc182555175"/>
      <w:r w:rsidRPr="004B2D24">
        <w:t>CAASPP Test Site Coordinator</w:t>
      </w:r>
      <w:bookmarkEnd w:id="416"/>
    </w:p>
    <w:p w14:paraId="2D208907" w14:textId="77777777" w:rsidR="000125FB" w:rsidRPr="00C34C12" w:rsidRDefault="000125FB" w:rsidP="000125FB">
      <w:r w:rsidRPr="00C34C12">
        <w:t>A CAASPP test site coordinator is trained by the LEA CAASPP coordinator or district superintendent for each test site (5</w:t>
      </w:r>
      <w:r w:rsidRPr="00C34C12">
        <w:rPr>
          <w:i/>
        </w:rPr>
        <w:t xml:space="preserve"> CCR</w:t>
      </w:r>
      <w:r w:rsidRPr="00C34C12">
        <w:t xml:space="preserve"> Section 857[f]). A test site coordinator must be an employee of the LEA and must sign a security agreement (5 </w:t>
      </w:r>
      <w:r w:rsidRPr="00C34C12">
        <w:rPr>
          <w:i/>
        </w:rPr>
        <w:t>CCR</w:t>
      </w:r>
      <w:r w:rsidRPr="00C34C12">
        <w:t xml:space="preserve"> Section 859[a]).</w:t>
      </w:r>
    </w:p>
    <w:p w14:paraId="5435A251" w14:textId="77777777" w:rsidR="000125FB" w:rsidRPr="00C34C12" w:rsidRDefault="000125FB" w:rsidP="000125FB">
      <w:r w:rsidRPr="00C34C12">
        <w:t xml:space="preserve">A CAASPP test site coordinator is responsible for identifying test examiners and ensuring that they have signed CAASPP Test Security Affidavits (5 </w:t>
      </w:r>
      <w:r w:rsidRPr="00C34C12">
        <w:rPr>
          <w:i/>
        </w:rPr>
        <w:t>CCR</w:t>
      </w:r>
      <w:r w:rsidRPr="00C34C12">
        <w:t xml:space="preserve"> Section 859[d]). CAASPP test site coordinators’ duties may include</w:t>
      </w:r>
    </w:p>
    <w:p w14:paraId="28A0CFEC" w14:textId="77777777" w:rsidR="000125FB" w:rsidRPr="00C34C12" w:rsidRDefault="000125FB" w:rsidP="00B33B75">
      <w:pPr>
        <w:pStyle w:val="bullets"/>
        <w:numPr>
          <w:ilvl w:val="0"/>
          <w:numId w:val="69"/>
        </w:numPr>
        <w:tabs>
          <w:tab w:val="clear" w:pos="727"/>
        </w:tabs>
        <w:ind w:left="864" w:hanging="288"/>
      </w:pPr>
      <w:r w:rsidRPr="00C34C12">
        <w:t>adding test examiners into TOMS;</w:t>
      </w:r>
    </w:p>
    <w:p w14:paraId="3C556A0D" w14:textId="77777777" w:rsidR="000125FB" w:rsidRPr="00C34C12" w:rsidRDefault="000125FB" w:rsidP="00B33B75">
      <w:pPr>
        <w:pStyle w:val="bullets"/>
        <w:numPr>
          <w:ilvl w:val="0"/>
          <w:numId w:val="69"/>
        </w:numPr>
        <w:tabs>
          <w:tab w:val="clear" w:pos="727"/>
        </w:tabs>
        <w:ind w:left="864" w:hanging="288"/>
      </w:pPr>
      <w:r w:rsidRPr="00C34C12">
        <w:t>entering test settings for students;</w:t>
      </w:r>
    </w:p>
    <w:p w14:paraId="33D23BFB" w14:textId="77777777" w:rsidR="000125FB" w:rsidRPr="00C34C12" w:rsidRDefault="000125FB" w:rsidP="00B33B75">
      <w:pPr>
        <w:pStyle w:val="bullets"/>
        <w:numPr>
          <w:ilvl w:val="0"/>
          <w:numId w:val="69"/>
        </w:numPr>
        <w:tabs>
          <w:tab w:val="clear" w:pos="727"/>
        </w:tabs>
        <w:ind w:left="864" w:hanging="288"/>
      </w:pPr>
      <w:r w:rsidRPr="00C34C12">
        <w:t>creating testing schedules and procedures for a school consistent with state and LEA policies;</w:t>
      </w:r>
    </w:p>
    <w:p w14:paraId="2353DC0F" w14:textId="77777777" w:rsidR="000125FB" w:rsidRPr="00C34C12" w:rsidRDefault="000125FB" w:rsidP="00B33B75">
      <w:pPr>
        <w:pStyle w:val="bullets"/>
        <w:numPr>
          <w:ilvl w:val="0"/>
          <w:numId w:val="69"/>
        </w:numPr>
        <w:tabs>
          <w:tab w:val="clear" w:pos="727"/>
        </w:tabs>
        <w:ind w:left="864" w:hanging="288"/>
      </w:pPr>
      <w:r w:rsidRPr="00C34C12">
        <w:t>working with technology staff to ensure secure browsers are installed and any technical issues are resolved;</w:t>
      </w:r>
    </w:p>
    <w:p w14:paraId="632DF70D" w14:textId="77777777" w:rsidR="000125FB" w:rsidRPr="00C34C12" w:rsidRDefault="000125FB" w:rsidP="00B33B75">
      <w:pPr>
        <w:pStyle w:val="bullets"/>
        <w:numPr>
          <w:ilvl w:val="0"/>
          <w:numId w:val="69"/>
        </w:numPr>
        <w:tabs>
          <w:tab w:val="clear" w:pos="727"/>
        </w:tabs>
        <w:ind w:left="864" w:hanging="288"/>
      </w:pPr>
      <w:r w:rsidRPr="00C34C12">
        <w:t>monitoring testing progress during the testing window and ensuring all students take the test, as appropriate;</w:t>
      </w:r>
    </w:p>
    <w:p w14:paraId="756B9220" w14:textId="6546F6AC" w:rsidR="000125FB" w:rsidRPr="00C34C12" w:rsidRDefault="000125FB" w:rsidP="00B33B75">
      <w:pPr>
        <w:pStyle w:val="bullets"/>
        <w:numPr>
          <w:ilvl w:val="0"/>
          <w:numId w:val="69"/>
        </w:numPr>
        <w:tabs>
          <w:tab w:val="clear" w:pos="727"/>
        </w:tabs>
        <w:ind w:left="864" w:hanging="288"/>
      </w:pPr>
      <w:r w:rsidRPr="00C34C12">
        <w:t>coordinating and verifying the correction of student data errors in the California Longitudinal Pupil Achievement Data System;</w:t>
      </w:r>
    </w:p>
    <w:p w14:paraId="3AD1BEC0" w14:textId="77777777" w:rsidR="000125FB" w:rsidRPr="00C34C12" w:rsidRDefault="000125FB" w:rsidP="00B33B75">
      <w:pPr>
        <w:pStyle w:val="bullets"/>
        <w:numPr>
          <w:ilvl w:val="0"/>
          <w:numId w:val="69"/>
        </w:numPr>
        <w:tabs>
          <w:tab w:val="clear" w:pos="727"/>
        </w:tabs>
        <w:ind w:left="864" w:hanging="288"/>
      </w:pPr>
      <w:r w:rsidRPr="00C34C12">
        <w:t>ensuring a student’s test session is rescheduled, if necessary;</w:t>
      </w:r>
    </w:p>
    <w:p w14:paraId="1B8F9F99" w14:textId="77777777" w:rsidR="000125FB" w:rsidRPr="00C34C12" w:rsidRDefault="000125FB" w:rsidP="00B33B75">
      <w:pPr>
        <w:pStyle w:val="bullets"/>
        <w:numPr>
          <w:ilvl w:val="0"/>
          <w:numId w:val="69"/>
        </w:numPr>
        <w:tabs>
          <w:tab w:val="clear" w:pos="727"/>
        </w:tabs>
        <w:ind w:left="864" w:hanging="288"/>
      </w:pPr>
      <w:r w:rsidRPr="00C34C12">
        <w:t>addressing testing problems;</w:t>
      </w:r>
    </w:p>
    <w:p w14:paraId="6FEA6DDF" w14:textId="77777777" w:rsidR="000125FB" w:rsidRPr="00C34C12" w:rsidRDefault="000125FB" w:rsidP="00B33B75">
      <w:pPr>
        <w:pStyle w:val="bullets"/>
        <w:numPr>
          <w:ilvl w:val="0"/>
          <w:numId w:val="69"/>
        </w:numPr>
        <w:tabs>
          <w:tab w:val="clear" w:pos="727"/>
        </w:tabs>
        <w:ind w:left="864" w:hanging="288"/>
      </w:pPr>
      <w:r w:rsidRPr="00C34C12">
        <w:t>reporting security incidents;</w:t>
      </w:r>
    </w:p>
    <w:p w14:paraId="0F85F42F" w14:textId="77777777" w:rsidR="000125FB" w:rsidRPr="00C34C12" w:rsidRDefault="000125FB" w:rsidP="00B33B75">
      <w:pPr>
        <w:pStyle w:val="bullets"/>
        <w:numPr>
          <w:ilvl w:val="0"/>
          <w:numId w:val="69"/>
        </w:numPr>
        <w:tabs>
          <w:tab w:val="clear" w:pos="727"/>
        </w:tabs>
        <w:ind w:left="864" w:hanging="288"/>
      </w:pPr>
      <w:r w:rsidRPr="00C34C12">
        <w:t>overseeing administration activities at a school site;</w:t>
      </w:r>
    </w:p>
    <w:p w14:paraId="20F55F68" w14:textId="77777777" w:rsidR="000125FB" w:rsidRPr="00C34C12" w:rsidRDefault="000125FB" w:rsidP="00B33B75">
      <w:pPr>
        <w:pStyle w:val="bullets"/>
        <w:numPr>
          <w:ilvl w:val="0"/>
          <w:numId w:val="69"/>
        </w:numPr>
        <w:tabs>
          <w:tab w:val="clear" w:pos="727"/>
        </w:tabs>
        <w:ind w:left="864" w:hanging="288"/>
      </w:pPr>
      <w:r w:rsidRPr="00C34C12">
        <w:t>filing a report of a testing incident in STAIRS; and</w:t>
      </w:r>
    </w:p>
    <w:p w14:paraId="16034579" w14:textId="2122A47C" w:rsidR="007A71B3" w:rsidRPr="007A71B3" w:rsidRDefault="000125FB" w:rsidP="00BC4CE9">
      <w:pPr>
        <w:pStyle w:val="bullets"/>
        <w:numPr>
          <w:ilvl w:val="0"/>
          <w:numId w:val="69"/>
        </w:numPr>
        <w:tabs>
          <w:tab w:val="clear" w:pos="727"/>
        </w:tabs>
        <w:ind w:left="864" w:hanging="288"/>
      </w:pPr>
      <w:r w:rsidRPr="00C34C12">
        <w:t>requesting an Appeal (if indicated by TOMS prompts while reporting an incident using the STAIRS/Appeal</w:t>
      </w:r>
      <w:r w:rsidR="00721328">
        <w:t>s</w:t>
      </w:r>
      <w:r w:rsidRPr="00C34C12">
        <w:t xml:space="preserve"> process).</w:t>
      </w:r>
      <w:bookmarkStart w:id="417" w:name="_Hlk33892312"/>
      <w:bookmarkEnd w:id="417"/>
    </w:p>
    <w:p w14:paraId="35C47BF8" w14:textId="05245339" w:rsidR="0083581B" w:rsidRDefault="0083581B" w:rsidP="007A71B3">
      <w:pPr>
        <w:pStyle w:val="Heading4"/>
      </w:pPr>
      <w:bookmarkStart w:id="418" w:name="_Toc182555176"/>
      <w:r w:rsidRPr="004B2D24">
        <w:lastRenderedPageBreak/>
        <w:t>Test Examiners</w:t>
      </w:r>
      <w:bookmarkEnd w:id="418"/>
    </w:p>
    <w:p w14:paraId="0CB643AB" w14:textId="77777777" w:rsidR="000125FB" w:rsidRPr="00C34C12" w:rsidRDefault="000125FB" w:rsidP="000125FB">
      <w:r w:rsidRPr="00C34C12">
        <w:t>Test examiners are identified by CAASPP test site coordinators as individuals who will administer the CAASPP assessments, including the CAA for Science. A test examiner must be a certificated or licensed school staff member (5</w:t>
      </w:r>
      <w:r w:rsidRPr="00C34C12">
        <w:rPr>
          <w:i/>
        </w:rPr>
        <w:t> CCR</w:t>
      </w:r>
      <w:r w:rsidRPr="00C34C12">
        <w:t xml:space="preserve"> Section 850[ag]) and sign a security affidavit (5</w:t>
      </w:r>
      <w:r w:rsidRPr="00C34C12">
        <w:rPr>
          <w:i/>
        </w:rPr>
        <w:t xml:space="preserve"> CCR</w:t>
      </w:r>
      <w:r w:rsidRPr="00C34C12">
        <w:t xml:space="preserve"> Section 859[d]).</w:t>
      </w:r>
    </w:p>
    <w:p w14:paraId="474EB5FC" w14:textId="77777777" w:rsidR="000125FB" w:rsidRPr="00C34C12" w:rsidRDefault="000125FB" w:rsidP="000125FB">
      <w:pPr>
        <w:keepNext/>
        <w:keepLines/>
      </w:pPr>
      <w:r w:rsidRPr="00C34C12">
        <w:t>A test examiner’s duties may include</w:t>
      </w:r>
    </w:p>
    <w:p w14:paraId="31A86D99" w14:textId="77777777" w:rsidR="000125FB" w:rsidRPr="00C34C12" w:rsidRDefault="000125FB" w:rsidP="00B33B75">
      <w:pPr>
        <w:pStyle w:val="bullets"/>
        <w:numPr>
          <w:ilvl w:val="0"/>
          <w:numId w:val="69"/>
        </w:numPr>
        <w:tabs>
          <w:tab w:val="clear" w:pos="727"/>
        </w:tabs>
        <w:ind w:left="864" w:hanging="288"/>
      </w:pPr>
      <w:r w:rsidRPr="00C34C12">
        <w:t>participating in training by either viewing the online test administration tutorial or attending any locally provided training;</w:t>
      </w:r>
    </w:p>
    <w:p w14:paraId="25815363" w14:textId="77777777" w:rsidR="000125FB" w:rsidRPr="00C34C12" w:rsidRDefault="000125FB" w:rsidP="00B33B75">
      <w:pPr>
        <w:pStyle w:val="bullets"/>
        <w:numPr>
          <w:ilvl w:val="0"/>
          <w:numId w:val="69"/>
        </w:numPr>
        <w:tabs>
          <w:tab w:val="clear" w:pos="727"/>
        </w:tabs>
        <w:ind w:left="864" w:hanging="288"/>
      </w:pPr>
      <w:r w:rsidRPr="00C34C12">
        <w:t>ensuring the physical conditions of the testing room meet the criteria for a secure test environment;</w:t>
      </w:r>
    </w:p>
    <w:p w14:paraId="6D68B768" w14:textId="6E7205AA" w:rsidR="000125FB" w:rsidRPr="00C34C12" w:rsidRDefault="000125FB" w:rsidP="00B33B75">
      <w:pPr>
        <w:pStyle w:val="bullets"/>
        <w:numPr>
          <w:ilvl w:val="0"/>
          <w:numId w:val="69"/>
        </w:numPr>
        <w:tabs>
          <w:tab w:val="clear" w:pos="727"/>
        </w:tabs>
        <w:ind w:left="864" w:hanging="288"/>
      </w:pPr>
      <w:r w:rsidRPr="00C34C12">
        <w:t>administering the CAA</w:t>
      </w:r>
      <w:r w:rsidR="006E4F9A">
        <w:t xml:space="preserve"> for Science</w:t>
      </w:r>
      <w:r w:rsidRPr="00C34C12">
        <w:t>;</w:t>
      </w:r>
    </w:p>
    <w:p w14:paraId="655104B2" w14:textId="77777777" w:rsidR="000125FB" w:rsidRPr="00C34C12" w:rsidRDefault="000125FB" w:rsidP="00B33B75">
      <w:pPr>
        <w:pStyle w:val="bullets"/>
        <w:numPr>
          <w:ilvl w:val="0"/>
          <w:numId w:val="69"/>
        </w:numPr>
        <w:tabs>
          <w:tab w:val="clear" w:pos="727"/>
        </w:tabs>
        <w:ind w:left="864" w:hanging="288"/>
      </w:pPr>
      <w:r w:rsidRPr="00C34C12">
        <w:t>reporting all test security incidents to the test site coordinator and LEA CAASPP coordinator in a manner consistent with state and LEA policies;</w:t>
      </w:r>
    </w:p>
    <w:p w14:paraId="702DFA80" w14:textId="77777777" w:rsidR="000125FB" w:rsidRPr="00C34C12" w:rsidRDefault="000125FB" w:rsidP="00B33B75">
      <w:pPr>
        <w:pStyle w:val="bullets"/>
        <w:numPr>
          <w:ilvl w:val="0"/>
          <w:numId w:val="69"/>
        </w:numPr>
        <w:tabs>
          <w:tab w:val="clear" w:pos="727"/>
        </w:tabs>
        <w:ind w:left="864" w:hanging="288"/>
      </w:pPr>
      <w:r w:rsidRPr="00C34C12">
        <w:t>viewing student information prior to testing to ensure that the correct student receives the proper test with appropriate resources and reporting potential data errors to test site coordinators and LEA CAASPP coordinators;</w:t>
      </w:r>
    </w:p>
    <w:p w14:paraId="2EEFF889" w14:textId="77777777" w:rsidR="000125FB" w:rsidRPr="00C34C12" w:rsidRDefault="000125FB" w:rsidP="00B33B75">
      <w:pPr>
        <w:pStyle w:val="bullets"/>
        <w:numPr>
          <w:ilvl w:val="0"/>
          <w:numId w:val="69"/>
        </w:numPr>
        <w:tabs>
          <w:tab w:val="clear" w:pos="727"/>
        </w:tabs>
        <w:ind w:left="864" w:hanging="288"/>
      </w:pPr>
      <w:r w:rsidRPr="00C34C12">
        <w:t>monitoring student progress throughout the test session using the Test Administrator Interface; and</w:t>
      </w:r>
    </w:p>
    <w:p w14:paraId="471E794F" w14:textId="77777777" w:rsidR="000125FB" w:rsidRPr="00C34C12" w:rsidRDefault="000125FB" w:rsidP="00B33B75">
      <w:pPr>
        <w:pStyle w:val="bullets"/>
        <w:numPr>
          <w:ilvl w:val="0"/>
          <w:numId w:val="69"/>
        </w:numPr>
        <w:tabs>
          <w:tab w:val="clear" w:pos="727"/>
        </w:tabs>
        <w:ind w:left="864" w:hanging="288"/>
      </w:pPr>
      <w:r w:rsidRPr="00C34C12">
        <w:t xml:space="preserve">complying fully with all directions provided in the </w:t>
      </w:r>
      <w:r w:rsidRPr="00436C1A">
        <w:rPr>
          <w:i/>
          <w:iCs/>
        </w:rPr>
        <w:t>Directions for Administration (DFA)</w:t>
      </w:r>
      <w:r w:rsidRPr="00C34C12">
        <w:t xml:space="preserve"> for the CAA for Science.</w:t>
      </w:r>
    </w:p>
    <w:p w14:paraId="719F867D" w14:textId="532E88F8" w:rsidR="0083581B" w:rsidRDefault="0083581B" w:rsidP="007A71B3">
      <w:pPr>
        <w:pStyle w:val="Heading4"/>
      </w:pPr>
      <w:bookmarkStart w:id="419" w:name="_Instructions_for_Test"/>
      <w:bookmarkStart w:id="420" w:name="_Toc182555177"/>
      <w:bookmarkEnd w:id="419"/>
      <w:r w:rsidRPr="004B2D24">
        <w:t>Instructions for Test Examiners and Staff Involved in CAA for Science Administration</w:t>
      </w:r>
      <w:bookmarkEnd w:id="420"/>
    </w:p>
    <w:p w14:paraId="7C5C8CE4" w14:textId="1AA9DCFF" w:rsidR="00FC7001" w:rsidRPr="007D32C4" w:rsidRDefault="00FC7001" w:rsidP="007A71B3">
      <w:pPr>
        <w:pStyle w:val="Heading5"/>
        <w:rPr>
          <w:i/>
          <w:iCs/>
        </w:rPr>
      </w:pPr>
      <w:bookmarkStart w:id="421" w:name="_Directions_for_Administration"/>
      <w:bookmarkEnd w:id="421"/>
      <w:r w:rsidRPr="007D32C4">
        <w:rPr>
          <w:i/>
          <w:iCs/>
        </w:rPr>
        <w:t>Directions for Administration</w:t>
      </w:r>
    </w:p>
    <w:p w14:paraId="6FC05898" w14:textId="5DBF96C1" w:rsidR="000125FB" w:rsidRPr="00F95C16" w:rsidRDefault="000125FB" w:rsidP="000125FB">
      <w:r w:rsidRPr="00C34C12">
        <w:rPr>
          <w:lang w:eastAsia="x-none"/>
        </w:rPr>
        <w:t xml:space="preserve">Test examiners used the </w:t>
      </w:r>
      <w:r w:rsidR="00E91993">
        <w:rPr>
          <w:iCs/>
          <w:lang w:eastAsia="x-none"/>
        </w:rPr>
        <w:t>e</w:t>
      </w:r>
      <w:r w:rsidRPr="00012009">
        <w:rPr>
          <w:iCs/>
          <w:lang w:eastAsia="x-none"/>
        </w:rPr>
        <w:t xml:space="preserve">mbedded PT </w:t>
      </w:r>
      <w:r w:rsidR="000708C2" w:rsidRPr="00A5563A">
        <w:rPr>
          <w:i/>
        </w:rPr>
        <w:t>DFA</w:t>
      </w:r>
      <w:r w:rsidR="00D96A40" w:rsidRPr="00A5563A">
        <w:rPr>
          <w:i/>
        </w:rPr>
        <w:t>s</w:t>
      </w:r>
      <w:r w:rsidRPr="00D86D1D">
        <w:t xml:space="preserve"> for the CAA for Science</w:t>
      </w:r>
      <w:r w:rsidRPr="00C34C12">
        <w:t xml:space="preserve"> to administer each separate embedded PT to students. The </w:t>
      </w:r>
      <w:r w:rsidRPr="00C34C12">
        <w:rPr>
          <w:i/>
        </w:rPr>
        <w:t>DFAs</w:t>
      </w:r>
      <w:r w:rsidRPr="00C34C12">
        <w:t xml:space="preserve"> included the description of the activity, list of the exemplar materials, the exemplar script</w:t>
      </w:r>
      <w:r w:rsidR="00E446D7">
        <w:t xml:space="preserve">, </w:t>
      </w:r>
      <w:r w:rsidR="0016738C">
        <w:t xml:space="preserve">and </w:t>
      </w:r>
      <w:r w:rsidR="00FF3852">
        <w:t>possible</w:t>
      </w:r>
      <w:r w:rsidR="00E446D7">
        <w:t xml:space="preserve"> individualization</w:t>
      </w:r>
      <w:r w:rsidRPr="00C34C12">
        <w:t xml:space="preserve">. </w:t>
      </w:r>
      <w:r w:rsidRPr="00C34C12">
        <w:rPr>
          <w:i/>
        </w:rPr>
        <w:t>DFAs</w:t>
      </w:r>
      <w:r w:rsidRPr="00C34C12">
        <w:t xml:space="preserve"> also included scoring rubrics where warranted.</w:t>
      </w:r>
      <w:r w:rsidR="00F95C16">
        <w:t xml:space="preserve"> Each of the four embedded PTs for a grade level is administered using a separate </w:t>
      </w:r>
      <w:r w:rsidR="00F95C16">
        <w:rPr>
          <w:i/>
          <w:iCs/>
        </w:rPr>
        <w:t>DFA</w:t>
      </w:r>
      <w:r w:rsidR="00F95C16">
        <w:t xml:space="preserve">. </w:t>
      </w:r>
    </w:p>
    <w:p w14:paraId="4113A1E6" w14:textId="05A9616E" w:rsidR="000125FB" w:rsidRPr="00C34C12" w:rsidRDefault="000125FB" w:rsidP="000125FB">
      <w:bookmarkStart w:id="422" w:name="_Hlk67397145"/>
      <w:r w:rsidRPr="00C34C12">
        <w:t xml:space="preserve">Sample </w:t>
      </w:r>
      <w:r w:rsidRPr="00D86D1D">
        <w:rPr>
          <w:i/>
        </w:rPr>
        <w:t>D</w:t>
      </w:r>
      <w:r w:rsidR="00D14E10" w:rsidRPr="00D86D1D">
        <w:rPr>
          <w:i/>
        </w:rPr>
        <w:t>F</w:t>
      </w:r>
      <w:r w:rsidRPr="00D86D1D">
        <w:rPr>
          <w:i/>
        </w:rPr>
        <w:t>A</w:t>
      </w:r>
      <w:r w:rsidR="00D14E10" w:rsidRPr="00D86D1D">
        <w:rPr>
          <w:i/>
        </w:rPr>
        <w:t>s</w:t>
      </w:r>
      <w:r w:rsidRPr="00D14E10">
        <w:rPr>
          <w:iCs/>
        </w:rPr>
        <w:t xml:space="preserve"> for the CAAs</w:t>
      </w:r>
      <w:r w:rsidRPr="00C34C12">
        <w:t xml:space="preserve"> to be used in conjunction with the CAA practice and training tests were provided to LEAs as well (CDE, 2019</w:t>
      </w:r>
      <w:r w:rsidR="00707387">
        <w:t>c</w:t>
      </w:r>
      <w:r w:rsidRPr="00C34C12">
        <w:t>).</w:t>
      </w:r>
    </w:p>
    <w:p w14:paraId="05960756" w14:textId="2895512C" w:rsidR="00FC7001" w:rsidRPr="003E7219" w:rsidRDefault="00FC7001" w:rsidP="007A71B3">
      <w:pPr>
        <w:pStyle w:val="Heading5"/>
        <w:rPr>
          <w:i/>
          <w:iCs/>
        </w:rPr>
      </w:pPr>
      <w:bookmarkStart w:id="423" w:name="_CAASPP_Online_Test"/>
      <w:bookmarkEnd w:id="422"/>
      <w:bookmarkEnd w:id="423"/>
      <w:r w:rsidRPr="003E7219">
        <w:rPr>
          <w:i/>
          <w:iCs/>
        </w:rPr>
        <w:t>CAASPP Online Test Administration Manual</w:t>
      </w:r>
    </w:p>
    <w:p w14:paraId="695265B4" w14:textId="17264E1F" w:rsidR="000125FB" w:rsidRPr="00C34C12" w:rsidRDefault="000125FB" w:rsidP="000125FB">
      <w:bookmarkStart w:id="424" w:name="_Hlk67397158"/>
      <w:r w:rsidRPr="00C34C12">
        <w:t xml:space="preserve">The </w:t>
      </w:r>
      <w:r w:rsidRPr="00C34C12">
        <w:rPr>
          <w:i/>
        </w:rPr>
        <w:t>CAASPP Online Test Administration Manual</w:t>
      </w:r>
      <w:r w:rsidRPr="00C34C12">
        <w:t xml:space="preserve"> (CDE, </w:t>
      </w:r>
      <w:r w:rsidR="00C37D6F" w:rsidRPr="00BF2255">
        <w:t>2020</w:t>
      </w:r>
      <w:r w:rsidR="00431BB1">
        <w:t>d</w:t>
      </w:r>
      <w:r w:rsidRPr="00C37D6F">
        <w:t>)</w:t>
      </w:r>
      <w:r w:rsidRPr="00C34C12">
        <w:t xml:space="preserve"> contains information and </w:t>
      </w:r>
      <w:bookmarkEnd w:id="424"/>
      <w:r w:rsidRPr="00C34C12">
        <w:t>instructions on overall procedures and guidelines for all LEA and test site staff involved in the administration of online assessments as well as for the CAA for Science. Sections included the following topics:</w:t>
      </w:r>
    </w:p>
    <w:p w14:paraId="191498EA" w14:textId="77777777" w:rsidR="000125FB" w:rsidRPr="00C34C12" w:rsidRDefault="000125FB" w:rsidP="000125FB">
      <w:pPr>
        <w:pStyle w:val="bullets-one"/>
      </w:pPr>
      <w:r w:rsidRPr="00C34C12">
        <w:t>Roles and responsibilities of those involved with CAASPP testing</w:t>
      </w:r>
    </w:p>
    <w:p w14:paraId="463AF969" w14:textId="77777777" w:rsidR="000125FB" w:rsidRPr="00C34C12" w:rsidRDefault="000125FB" w:rsidP="000125FB">
      <w:pPr>
        <w:pStyle w:val="bullets-one"/>
      </w:pPr>
      <w:r w:rsidRPr="00C34C12">
        <w:t>Test administration resources</w:t>
      </w:r>
    </w:p>
    <w:p w14:paraId="5F7F1805" w14:textId="77777777" w:rsidR="000125FB" w:rsidRPr="00C34C12" w:rsidRDefault="000125FB" w:rsidP="000125FB">
      <w:pPr>
        <w:pStyle w:val="bullets-one"/>
      </w:pPr>
      <w:r w:rsidRPr="00C34C12">
        <w:t>Test security</w:t>
      </w:r>
    </w:p>
    <w:p w14:paraId="29C960B8" w14:textId="77777777" w:rsidR="000125FB" w:rsidRPr="00C34C12" w:rsidRDefault="000125FB" w:rsidP="000125FB">
      <w:pPr>
        <w:pStyle w:val="bullets-one"/>
      </w:pPr>
      <w:r w:rsidRPr="00C34C12">
        <w:t>Administration preparation and planning</w:t>
      </w:r>
    </w:p>
    <w:p w14:paraId="2D9031B6" w14:textId="77777777" w:rsidR="000125FB" w:rsidRPr="00C34C12" w:rsidRDefault="000125FB" w:rsidP="000125FB">
      <w:pPr>
        <w:pStyle w:val="bullets-one"/>
      </w:pPr>
      <w:r w:rsidRPr="00C34C12">
        <w:t>General test administration</w:t>
      </w:r>
    </w:p>
    <w:p w14:paraId="0FCFD5CE" w14:textId="77777777" w:rsidR="000125FB" w:rsidRPr="00C34C12" w:rsidRDefault="000125FB" w:rsidP="000125FB">
      <w:pPr>
        <w:pStyle w:val="bullets-one"/>
      </w:pPr>
      <w:r w:rsidRPr="00C34C12">
        <w:t>Instructions for steps to take before, during, and after testing</w:t>
      </w:r>
    </w:p>
    <w:p w14:paraId="334A0CA3" w14:textId="77777777" w:rsidR="000125FB" w:rsidRPr="00C34C12" w:rsidRDefault="000125FB" w:rsidP="000125FB">
      <w:r w:rsidRPr="00C34C12">
        <w:lastRenderedPageBreak/>
        <w:t>Appendices included definitions of common terms, item types, descriptions of different aspects of the test and systems associated with the test, and checklists of activities for LEA CAASPP coordinators, CAASPP test site coordinators, and test examiners.</w:t>
      </w:r>
    </w:p>
    <w:p w14:paraId="67A40F22" w14:textId="64725DA0" w:rsidR="00FC7001" w:rsidRDefault="002F436E" w:rsidP="007A71B3">
      <w:pPr>
        <w:pStyle w:val="Heading5"/>
      </w:pPr>
      <w:bookmarkStart w:id="425" w:name="_CAASPP_and_English_1"/>
      <w:bookmarkEnd w:id="425"/>
      <w:r w:rsidRPr="00D14E10">
        <w:rPr>
          <w:i/>
        </w:rPr>
        <w:t>CAASPP and English Language Proficiency Assessments for California (ELPAC)</w:t>
      </w:r>
      <w:r>
        <w:rPr>
          <w:i/>
        </w:rPr>
        <w:t xml:space="preserve"> Test Operations Management System (TOMS) User Guide</w:t>
      </w:r>
    </w:p>
    <w:p w14:paraId="5EA2718E" w14:textId="77777777" w:rsidR="000125FB" w:rsidRPr="00C34C12" w:rsidRDefault="000125FB" w:rsidP="000125FB">
      <w:r w:rsidRPr="00C34C12">
        <w:t xml:space="preserve">TOMS is a web-based application that allows LEA CAASPP coordinators to set up test administrations, add and manage users, and submit online student test settings. Test examiners accessed TOMS to retrieve </w:t>
      </w:r>
      <w:r w:rsidRPr="009F5E33">
        <w:rPr>
          <w:iCs/>
        </w:rPr>
        <w:t>CAA for Science</w:t>
      </w:r>
      <w:r w:rsidRPr="00C34C12">
        <w:rPr>
          <w:i/>
        </w:rPr>
        <w:t xml:space="preserve"> DFAs</w:t>
      </w:r>
      <w:r w:rsidRPr="00C34C12">
        <w:t>.</w:t>
      </w:r>
    </w:p>
    <w:p w14:paraId="18EB3865" w14:textId="2175C347" w:rsidR="000125FB" w:rsidRPr="00C34C12" w:rsidRDefault="000125FB" w:rsidP="000125FB">
      <w:bookmarkStart w:id="426" w:name="_Hlk67397168"/>
      <w:r w:rsidRPr="00C34C12">
        <w:t xml:space="preserve">TOMS modules </w:t>
      </w:r>
      <w:r w:rsidR="007040DD">
        <w:t>described</w:t>
      </w:r>
      <w:r w:rsidR="00DE32B9">
        <w:t xml:space="preserve"> in the </w:t>
      </w:r>
      <w:r w:rsidR="00DE32B9">
        <w:rPr>
          <w:i/>
          <w:iCs/>
        </w:rPr>
        <w:t xml:space="preserve">TOMS User Guide </w:t>
      </w:r>
      <w:r w:rsidRPr="00C34C12">
        <w:t>included the following (CDE, 20</w:t>
      </w:r>
      <w:r w:rsidR="00A372FC">
        <w:t>20</w:t>
      </w:r>
      <w:r w:rsidR="00721B49">
        <w:t>c</w:t>
      </w:r>
      <w:r w:rsidRPr="00C34C12">
        <w:t>):</w:t>
      </w:r>
    </w:p>
    <w:bookmarkEnd w:id="426"/>
    <w:p w14:paraId="12DF2C12" w14:textId="681EE4CF" w:rsidR="000125FB" w:rsidRPr="00C34C12" w:rsidRDefault="000125FB" w:rsidP="00B33B75">
      <w:pPr>
        <w:pStyle w:val="bullets"/>
        <w:numPr>
          <w:ilvl w:val="0"/>
          <w:numId w:val="69"/>
        </w:numPr>
        <w:tabs>
          <w:tab w:val="clear" w:pos="727"/>
        </w:tabs>
        <w:ind w:left="864" w:hanging="288"/>
      </w:pPr>
      <w:r w:rsidRPr="00C34C12">
        <w:rPr>
          <w:b/>
          <w:bCs/>
        </w:rPr>
        <w:t>Test Administration Setup—</w:t>
      </w:r>
      <w:r w:rsidRPr="00C34C12">
        <w:t>This module allowed LEAs to determine and calculate dates for the LEA’s 201</w:t>
      </w:r>
      <w:r w:rsidR="00637F0C">
        <w:t>9</w:t>
      </w:r>
      <w:r w:rsidRPr="00C34C12">
        <w:t>–20</w:t>
      </w:r>
      <w:r w:rsidR="00637F0C">
        <w:t>20</w:t>
      </w:r>
      <w:r w:rsidRPr="00C34C12">
        <w:t xml:space="preserve"> testing.</w:t>
      </w:r>
    </w:p>
    <w:p w14:paraId="16AA7CEB" w14:textId="77777777" w:rsidR="000125FB" w:rsidRPr="00C34C12" w:rsidRDefault="000125FB" w:rsidP="00B33B75">
      <w:pPr>
        <w:pStyle w:val="bullets"/>
        <w:numPr>
          <w:ilvl w:val="0"/>
          <w:numId w:val="69"/>
        </w:numPr>
        <w:tabs>
          <w:tab w:val="clear" w:pos="727"/>
        </w:tabs>
        <w:ind w:left="864" w:hanging="288"/>
      </w:pPr>
      <w:r w:rsidRPr="00C34C12">
        <w:rPr>
          <w:b/>
          <w:bCs/>
        </w:rPr>
        <w:t>Adding and Managing Users—</w:t>
      </w:r>
      <w:r w:rsidRPr="00C34C12">
        <w:t xml:space="preserve">This module allowed LEA CAASPP coordinators to add CAASPP test site coordinators and test examiners to TOMS so that the designated user could access the online embedded PT </w:t>
      </w:r>
      <w:r w:rsidRPr="00C34C12">
        <w:rPr>
          <w:i/>
          <w:iCs/>
        </w:rPr>
        <w:t>DFAs</w:t>
      </w:r>
      <w:r w:rsidRPr="00C34C12">
        <w:t>.</w:t>
      </w:r>
    </w:p>
    <w:p w14:paraId="2586F6B3" w14:textId="77777777" w:rsidR="000125FB" w:rsidRDefault="000125FB" w:rsidP="00B33B75">
      <w:pPr>
        <w:pStyle w:val="bullets"/>
        <w:numPr>
          <w:ilvl w:val="0"/>
          <w:numId w:val="69"/>
        </w:numPr>
        <w:tabs>
          <w:tab w:val="clear" w:pos="727"/>
        </w:tabs>
        <w:ind w:left="864" w:hanging="288"/>
      </w:pPr>
      <w:r w:rsidRPr="00C34C12">
        <w:rPr>
          <w:b/>
          <w:bCs/>
        </w:rPr>
        <w:t>Student Test Assignment—</w:t>
      </w:r>
      <w:r w:rsidRPr="00C34C12">
        <w:t>This module allowed LEA CAASPP coordinators to designate students to take the alternate assessments.</w:t>
      </w:r>
    </w:p>
    <w:p w14:paraId="722BE10A" w14:textId="0B115629" w:rsidR="006D074C" w:rsidRPr="00854A23" w:rsidRDefault="006D074C" w:rsidP="007A71B3">
      <w:pPr>
        <w:pStyle w:val="Heading5"/>
        <w:rPr>
          <w:iCs/>
        </w:rPr>
      </w:pPr>
      <w:bookmarkStart w:id="427" w:name="_CAASPP_and_English"/>
      <w:bookmarkEnd w:id="427"/>
      <w:r w:rsidRPr="00854A23">
        <w:rPr>
          <w:iCs/>
        </w:rPr>
        <w:t>CAA for Science Administration Planning Guides</w:t>
      </w:r>
    </w:p>
    <w:p w14:paraId="0C08B4A5" w14:textId="0BDF6504" w:rsidR="000125FB" w:rsidRPr="00C34C12" w:rsidRDefault="000125FB" w:rsidP="00712EDC">
      <w:pPr>
        <w:keepLines/>
      </w:pPr>
      <w:bookmarkStart w:id="428" w:name="_Hlk67397190"/>
      <w:r w:rsidRPr="00C34C12">
        <w:t xml:space="preserve">The </w:t>
      </w:r>
      <w:r w:rsidR="00D14E10">
        <w:rPr>
          <w:iCs/>
        </w:rPr>
        <w:t>a</w:t>
      </w:r>
      <w:r w:rsidRPr="00C10003">
        <w:rPr>
          <w:iCs/>
        </w:rPr>
        <w:t xml:space="preserve">dministration </w:t>
      </w:r>
      <w:r w:rsidR="00D14E10">
        <w:rPr>
          <w:iCs/>
        </w:rPr>
        <w:t>p</w:t>
      </w:r>
      <w:r w:rsidRPr="00C10003">
        <w:rPr>
          <w:iCs/>
        </w:rPr>
        <w:t xml:space="preserve">lanning </w:t>
      </w:r>
      <w:r w:rsidR="00D14E10">
        <w:rPr>
          <w:iCs/>
        </w:rPr>
        <w:t>g</w:t>
      </w:r>
      <w:r w:rsidRPr="00C10003">
        <w:rPr>
          <w:iCs/>
        </w:rPr>
        <w:t>uides</w:t>
      </w:r>
      <w:r w:rsidRPr="00C34C12">
        <w:t>, posted</w:t>
      </w:r>
      <w:r w:rsidRPr="00C34C12" w:rsidDel="00FB58BD">
        <w:t xml:space="preserve"> </w:t>
      </w:r>
      <w:r w:rsidRPr="00C34C12">
        <w:t>prior to the annual launch of the embedded PTs, provided information about the embedded PTs that will be administered in the coming school year (CDE, 20</w:t>
      </w:r>
      <w:r w:rsidR="00C610E5">
        <w:t>20a</w:t>
      </w:r>
      <w:r w:rsidRPr="00C34C12">
        <w:t xml:space="preserve">). The </w:t>
      </w:r>
      <w:r w:rsidR="00D14E10">
        <w:rPr>
          <w:iCs/>
        </w:rPr>
        <w:t>a</w:t>
      </w:r>
      <w:r w:rsidRPr="00C10003">
        <w:rPr>
          <w:iCs/>
        </w:rPr>
        <w:t xml:space="preserve">dministration </w:t>
      </w:r>
      <w:r w:rsidR="00D14E10">
        <w:rPr>
          <w:iCs/>
        </w:rPr>
        <w:t>p</w:t>
      </w:r>
      <w:r w:rsidRPr="00C10003">
        <w:rPr>
          <w:iCs/>
        </w:rPr>
        <w:t xml:space="preserve">lanning </w:t>
      </w:r>
      <w:r w:rsidR="00D14E10">
        <w:rPr>
          <w:iCs/>
        </w:rPr>
        <w:t>g</w:t>
      </w:r>
      <w:r w:rsidRPr="00C10003">
        <w:rPr>
          <w:iCs/>
        </w:rPr>
        <w:t>uides</w:t>
      </w:r>
      <w:r w:rsidRPr="00C34C12">
        <w:t xml:space="preserve"> contained information to help </w:t>
      </w:r>
      <w:bookmarkEnd w:id="428"/>
      <w:r w:rsidRPr="00C34C12">
        <w:t xml:space="preserve">test examiners understand how to plan for the administration of the embedded PTs throughout the school year, version assignments, and test security. The </w:t>
      </w:r>
      <w:r w:rsidR="00D14E10">
        <w:rPr>
          <w:iCs/>
        </w:rPr>
        <w:t>a</w:t>
      </w:r>
      <w:r w:rsidRPr="00C10003">
        <w:rPr>
          <w:iCs/>
        </w:rPr>
        <w:t xml:space="preserve">dministration </w:t>
      </w:r>
      <w:r w:rsidR="00D14E10">
        <w:rPr>
          <w:iCs/>
        </w:rPr>
        <w:t>p</w:t>
      </w:r>
      <w:r w:rsidRPr="00C10003">
        <w:rPr>
          <w:iCs/>
        </w:rPr>
        <w:t xml:space="preserve">lanning </w:t>
      </w:r>
      <w:r w:rsidR="00D14E10">
        <w:rPr>
          <w:iCs/>
        </w:rPr>
        <w:t>g</w:t>
      </w:r>
      <w:r w:rsidRPr="00C10003">
        <w:rPr>
          <w:iCs/>
        </w:rPr>
        <w:t>uides</w:t>
      </w:r>
      <w:r w:rsidRPr="00C34C12">
        <w:t xml:space="preserve"> also contained the following information:</w:t>
      </w:r>
    </w:p>
    <w:p w14:paraId="4506CB93" w14:textId="77777777" w:rsidR="000125FB" w:rsidRPr="00C34C12" w:rsidRDefault="000125FB" w:rsidP="000125FB">
      <w:pPr>
        <w:pStyle w:val="bullets-one"/>
      </w:pPr>
      <w:r w:rsidRPr="00C34C12">
        <w:t>Questions and answers about administration</w:t>
      </w:r>
    </w:p>
    <w:p w14:paraId="30BC91A2" w14:textId="77777777" w:rsidR="000125FB" w:rsidRPr="00C34C12" w:rsidRDefault="000125FB" w:rsidP="000125FB">
      <w:pPr>
        <w:pStyle w:val="bullets-one"/>
      </w:pPr>
      <w:r w:rsidRPr="00C34C12">
        <w:t>Task standards table</w:t>
      </w:r>
    </w:p>
    <w:p w14:paraId="4D2BB56A" w14:textId="77777777" w:rsidR="000125FB" w:rsidRPr="00C34C12" w:rsidRDefault="000125FB" w:rsidP="000125FB">
      <w:pPr>
        <w:pStyle w:val="bullets-one"/>
      </w:pPr>
      <w:r w:rsidRPr="00C34C12">
        <w:t>How mastery of the Science Connector is demonstrated</w:t>
      </w:r>
    </w:p>
    <w:p w14:paraId="59A8EDCB" w14:textId="5F52C633" w:rsidR="00FC7001" w:rsidRDefault="00FC7001" w:rsidP="007A71B3">
      <w:pPr>
        <w:pStyle w:val="Heading5"/>
      </w:pPr>
      <w:r w:rsidRPr="004B2D24">
        <w:t>Other System Manuals</w:t>
      </w:r>
    </w:p>
    <w:p w14:paraId="2A02193C" w14:textId="77777777" w:rsidR="000125FB" w:rsidRPr="00C34C12" w:rsidRDefault="000125FB" w:rsidP="009C4A53">
      <w:pPr>
        <w:keepNext/>
        <w:spacing w:after="100"/>
      </w:pPr>
      <w:r w:rsidRPr="00C34C12">
        <w:t>Other manuals were created to assist LEA CAASPP coordinators and others with the technological components of the CAASPP System and are listed next.</w:t>
      </w:r>
    </w:p>
    <w:p w14:paraId="2D8EDE40" w14:textId="067A8026" w:rsidR="000125FB" w:rsidRPr="00C34C12" w:rsidRDefault="007D32C4" w:rsidP="009C4A53">
      <w:pPr>
        <w:pStyle w:val="bullets"/>
        <w:keepLines/>
        <w:numPr>
          <w:ilvl w:val="0"/>
          <w:numId w:val="69"/>
        </w:numPr>
        <w:tabs>
          <w:tab w:val="clear" w:pos="727"/>
        </w:tabs>
        <w:ind w:left="864" w:hanging="288"/>
      </w:pPr>
      <w:bookmarkStart w:id="429" w:name="_Hlk67397209"/>
      <w:r w:rsidRPr="00C34C12">
        <w:rPr>
          <w:b/>
          <w:bCs/>
          <w:i/>
          <w:iCs/>
        </w:rPr>
        <w:t>CAASPP</w:t>
      </w:r>
      <w:r>
        <w:rPr>
          <w:b/>
          <w:bCs/>
          <w:i/>
          <w:iCs/>
        </w:rPr>
        <w:t xml:space="preserve"> and ELPAC</w:t>
      </w:r>
      <w:r w:rsidRPr="00C34C12">
        <w:rPr>
          <w:b/>
          <w:bCs/>
          <w:i/>
          <w:iCs/>
        </w:rPr>
        <w:t xml:space="preserve"> </w:t>
      </w:r>
      <w:r w:rsidR="000125FB" w:rsidRPr="00C34C12">
        <w:rPr>
          <w:b/>
          <w:bCs/>
          <w:i/>
          <w:iCs/>
        </w:rPr>
        <w:t>Technical Specifications and Configuration Guide for Online Testing</w:t>
      </w:r>
      <w:r w:rsidR="000125FB" w:rsidRPr="00C34C12">
        <w:rPr>
          <w:b/>
          <w:bCs/>
        </w:rPr>
        <w:t>—</w:t>
      </w:r>
      <w:r w:rsidR="000125FB" w:rsidRPr="00C34C12">
        <w:t>This manual provides information, tools, and recommended configuration details to help technology staff prepare computers and install the secure browser to be used for the online CAASPP assessments (CDE, 20</w:t>
      </w:r>
      <w:r w:rsidR="00707387">
        <w:t>19b</w:t>
      </w:r>
      <w:r w:rsidR="000125FB" w:rsidRPr="00C34C12">
        <w:t>).</w:t>
      </w:r>
    </w:p>
    <w:p w14:paraId="5CF113B7" w14:textId="2492EF79" w:rsidR="000125FB" w:rsidRDefault="00D14E10" w:rsidP="00B33B75">
      <w:pPr>
        <w:pStyle w:val="bullets"/>
        <w:numPr>
          <w:ilvl w:val="0"/>
          <w:numId w:val="69"/>
        </w:numPr>
        <w:tabs>
          <w:tab w:val="clear" w:pos="727"/>
        </w:tabs>
        <w:ind w:left="864" w:hanging="288"/>
      </w:pPr>
      <w:r>
        <w:rPr>
          <w:b/>
          <w:bCs/>
          <w:i/>
          <w:iCs/>
        </w:rPr>
        <w:t xml:space="preserve">CAASPP </w:t>
      </w:r>
      <w:r w:rsidR="000125FB" w:rsidRPr="00C34C12">
        <w:rPr>
          <w:b/>
          <w:bCs/>
          <w:i/>
          <w:iCs/>
        </w:rPr>
        <w:t>Security Incidents and Appeals Procedure Guide</w:t>
      </w:r>
      <w:r w:rsidR="000125FB" w:rsidRPr="00C34C12">
        <w:rPr>
          <w:b/>
          <w:bCs/>
        </w:rPr>
        <w:t>—</w:t>
      </w:r>
      <w:r w:rsidR="000125FB" w:rsidRPr="00C34C12">
        <w:t>This manual provides information on how to report a testing incident and submit an Appeal to the CDE to reset, reopen, invalidate, or restore individual online student assessments (CDE, 20</w:t>
      </w:r>
      <w:r w:rsidR="00C37D6F">
        <w:t>20</w:t>
      </w:r>
      <w:r w:rsidR="00431BB1">
        <w:t>e</w:t>
      </w:r>
      <w:r w:rsidR="000125FB" w:rsidRPr="00C34C12">
        <w:t>).</w:t>
      </w:r>
    </w:p>
    <w:p w14:paraId="7F82CA1C" w14:textId="25CF2F5F" w:rsidR="007B2FAE" w:rsidRPr="00C34C12" w:rsidRDefault="007B2FAE" w:rsidP="007B2FAE">
      <w:pPr>
        <w:pStyle w:val="bullets"/>
        <w:numPr>
          <w:ilvl w:val="0"/>
          <w:numId w:val="69"/>
        </w:numPr>
        <w:tabs>
          <w:tab w:val="clear" w:pos="727"/>
        </w:tabs>
        <w:ind w:left="864" w:hanging="288"/>
      </w:pPr>
      <w:r w:rsidRPr="007B2FAE">
        <w:rPr>
          <w:b/>
          <w:i/>
        </w:rPr>
        <w:t>CAASPP and ELPAC Accessibility Guide for Online Testing</w:t>
      </w:r>
      <w:r w:rsidRPr="007B2FAE">
        <w:rPr>
          <w:b/>
        </w:rPr>
        <w:t>—</w:t>
      </w:r>
      <w:r w:rsidRPr="00590B79">
        <w:t xml:space="preserve">This manual provides descriptions of the accessibility features for online tests as well as information about supported hardware and software requirements for administering tests to students using accessibility resources, including those with a braille accommodation using Job Access With Speech (JAWS®) (software) or a braille embosser (hardware) (CDE, </w:t>
      </w:r>
      <w:r w:rsidRPr="00431BB1">
        <w:t>2020</w:t>
      </w:r>
      <w:r w:rsidR="00431BB1">
        <w:t>b</w:t>
      </w:r>
      <w:r w:rsidRPr="00590B79">
        <w:t>).</w:t>
      </w:r>
    </w:p>
    <w:p w14:paraId="3020C185" w14:textId="7F3C0D32" w:rsidR="006714A2" w:rsidRDefault="00CE0333" w:rsidP="007A71B3">
      <w:pPr>
        <w:pStyle w:val="Heading3"/>
      </w:pPr>
      <w:bookmarkStart w:id="430" w:name="_Accessibility_Features_for"/>
      <w:bookmarkStart w:id="431" w:name="_Toc182555178"/>
      <w:bookmarkEnd w:id="429"/>
      <w:bookmarkEnd w:id="430"/>
      <w:r w:rsidRPr="004B2D24">
        <w:lastRenderedPageBreak/>
        <w:t>Accessibility</w:t>
      </w:r>
      <w:r w:rsidR="006F6A88" w:rsidRPr="004B2D24">
        <w:t xml:space="preserve"> Feature</w:t>
      </w:r>
      <w:r w:rsidR="00063342" w:rsidRPr="004B2D24">
        <w:t>s</w:t>
      </w:r>
      <w:r w:rsidR="006F6A88" w:rsidRPr="004B2D24">
        <w:t xml:space="preserve"> for the </w:t>
      </w:r>
      <w:r w:rsidR="00030039" w:rsidRPr="004B2D24">
        <w:t>2019</w:t>
      </w:r>
      <w:r w:rsidR="00235738" w:rsidRPr="004B2D24">
        <w:t>–</w:t>
      </w:r>
      <w:r w:rsidR="00030039" w:rsidRPr="004B2D24">
        <w:t>2020 Administration</w:t>
      </w:r>
      <w:bookmarkEnd w:id="431"/>
    </w:p>
    <w:p w14:paraId="306583CD" w14:textId="6333ECD7" w:rsidR="006F6A88" w:rsidRDefault="006F6A88" w:rsidP="007A71B3">
      <w:pPr>
        <w:pStyle w:val="Heading4"/>
      </w:pPr>
      <w:bookmarkStart w:id="432" w:name="_Toc182555179"/>
      <w:r w:rsidRPr="004B2D24">
        <w:t>Individualization</w:t>
      </w:r>
      <w:r w:rsidR="00063342" w:rsidRPr="004B2D24">
        <w:t>s</w:t>
      </w:r>
      <w:bookmarkEnd w:id="432"/>
    </w:p>
    <w:p w14:paraId="131363DB" w14:textId="4741A3D6" w:rsidR="000125FB" w:rsidRPr="00C34C12" w:rsidRDefault="000125FB" w:rsidP="000125FB">
      <w:pPr>
        <w:tabs>
          <w:tab w:val="left" w:pos="1476"/>
        </w:tabs>
        <w:rPr>
          <w:lang w:eastAsia="zh-CN"/>
        </w:rPr>
      </w:pPr>
      <w:r w:rsidRPr="00C34C12">
        <w:rPr>
          <w:lang w:eastAsia="zh-CN"/>
        </w:rPr>
        <w:t xml:space="preserve">A notable feature of the </w:t>
      </w:r>
      <w:r w:rsidR="00792AE1" w:rsidRPr="00C34C12">
        <w:rPr>
          <w:lang w:eastAsia="zh-CN"/>
        </w:rPr>
        <w:t>201</w:t>
      </w:r>
      <w:r w:rsidR="00792AE1">
        <w:rPr>
          <w:lang w:eastAsia="zh-CN"/>
        </w:rPr>
        <w:t>9</w:t>
      </w:r>
      <w:r w:rsidRPr="00C34C12">
        <w:rPr>
          <w:lang w:eastAsia="zh-CN"/>
        </w:rPr>
        <w:t>–</w:t>
      </w:r>
      <w:r w:rsidR="00792AE1" w:rsidRPr="00C34C12">
        <w:t>20</w:t>
      </w:r>
      <w:r w:rsidR="00792AE1">
        <w:rPr>
          <w:lang w:eastAsia="zh-CN"/>
        </w:rPr>
        <w:t>20</w:t>
      </w:r>
      <w:r w:rsidR="00792AE1" w:rsidRPr="00C34C12">
        <w:rPr>
          <w:lang w:eastAsia="zh-CN"/>
        </w:rPr>
        <w:t xml:space="preserve"> </w:t>
      </w:r>
      <w:r w:rsidRPr="00C34C12">
        <w:rPr>
          <w:lang w:eastAsia="zh-CN"/>
        </w:rPr>
        <w:t>embedded PTs is that test examiners had the option to individualize certain elements of the assessment, although not all</w:t>
      </w:r>
      <w:r w:rsidRPr="00C34C12">
        <w:rPr>
          <w:rFonts w:eastAsia="Calibri"/>
        </w:rPr>
        <w:t xml:space="preserve"> embedded</w:t>
      </w:r>
      <w:r w:rsidRPr="00C34C12">
        <w:rPr>
          <w:lang w:eastAsia="zh-CN"/>
        </w:rPr>
        <w:t xml:space="preserve"> PTs allowed for individualization. For the </w:t>
      </w:r>
      <w:r w:rsidR="007C23D2">
        <w:rPr>
          <w:lang w:eastAsia="zh-CN"/>
        </w:rPr>
        <w:t>operational</w:t>
      </w:r>
      <w:r w:rsidRPr="00C34C12">
        <w:rPr>
          <w:lang w:eastAsia="zh-CN"/>
        </w:rPr>
        <w:t xml:space="preserve"> </w:t>
      </w:r>
      <w:r w:rsidR="007B2A45">
        <w:rPr>
          <w:lang w:eastAsia="zh-CN"/>
        </w:rPr>
        <w:t>assessment</w:t>
      </w:r>
      <w:r w:rsidR="007B2A45" w:rsidRPr="00C34C12">
        <w:rPr>
          <w:lang w:eastAsia="zh-CN"/>
        </w:rPr>
        <w:t xml:space="preserve"> </w:t>
      </w:r>
      <w:r w:rsidRPr="00C34C12">
        <w:rPr>
          <w:lang w:eastAsia="zh-CN"/>
        </w:rPr>
        <w:t xml:space="preserve">administration, test examiners were instructed to review the activities associated with each embedded PT and decide whether the exemplar activity met a student’s needs or if an individualized activity was appropriate. The test examiner documented the use of individualizations in the survey at the end of each </w:t>
      </w:r>
      <w:r w:rsidRPr="00C34C12">
        <w:rPr>
          <w:rFonts w:eastAsia="Calibri"/>
        </w:rPr>
        <w:t>embedded</w:t>
      </w:r>
      <w:r w:rsidRPr="00C34C12">
        <w:rPr>
          <w:lang w:eastAsia="zh-CN"/>
        </w:rPr>
        <w:t xml:space="preserve"> PT.</w:t>
      </w:r>
    </w:p>
    <w:p w14:paraId="69EA81CD" w14:textId="3C372F52" w:rsidR="000125FB" w:rsidRPr="00C34C12" w:rsidRDefault="000125FB" w:rsidP="000125FB">
      <w:pPr>
        <w:rPr>
          <w:lang w:eastAsia="zh-CN"/>
        </w:rPr>
      </w:pPr>
      <w:r w:rsidRPr="00C34C12">
        <w:rPr>
          <w:lang w:eastAsia="zh-CN"/>
        </w:rPr>
        <w:t xml:space="preserve">Potential individualizations were designed so that the premise of the item and the scientific principles tested would remain the same. Individualization options in </w:t>
      </w:r>
      <w:r w:rsidRPr="00C34C12">
        <w:rPr>
          <w:rFonts w:eastAsia="Calibri"/>
        </w:rPr>
        <w:t>embedded</w:t>
      </w:r>
      <w:r w:rsidRPr="00C34C12">
        <w:rPr>
          <w:lang w:eastAsia="zh-CN"/>
        </w:rPr>
        <w:t xml:space="preserve"> PTs </w:t>
      </w:r>
      <w:r w:rsidR="00ED36C3">
        <w:rPr>
          <w:lang w:eastAsia="zh-CN"/>
        </w:rPr>
        <w:t>sometimes</w:t>
      </w:r>
      <w:r w:rsidR="00ED36C3" w:rsidRPr="00C34C12">
        <w:rPr>
          <w:lang w:eastAsia="zh-CN"/>
        </w:rPr>
        <w:t xml:space="preserve"> </w:t>
      </w:r>
      <w:r w:rsidRPr="00C34C12">
        <w:rPr>
          <w:lang w:eastAsia="zh-CN"/>
        </w:rPr>
        <w:t>involved the use of objects to make certain science concepts easier to understand for some students.</w:t>
      </w:r>
    </w:p>
    <w:p w14:paraId="56B4E3CB" w14:textId="77777777" w:rsidR="000125FB" w:rsidRDefault="00FD1D7F" w:rsidP="00F728E8">
      <w:pPr>
        <w:keepLines/>
      </w:pPr>
      <w:r w:rsidRPr="007C431E">
        <w:rPr>
          <w:rStyle w:val="Cross-Reference"/>
        </w:rPr>
        <w:fldChar w:fldCharType="begin"/>
      </w:r>
      <w:r w:rsidRPr="007C431E">
        <w:rPr>
          <w:rStyle w:val="Cross-Reference"/>
        </w:rPr>
        <w:instrText xml:space="preserve"> REF _Ref61504867 \h  \* MERGEFORMAT </w:instrText>
      </w:r>
      <w:r w:rsidRPr="007C431E">
        <w:rPr>
          <w:rStyle w:val="Cross-Reference"/>
        </w:rPr>
      </w:r>
      <w:r w:rsidRPr="007C431E">
        <w:rPr>
          <w:rStyle w:val="Cross-Reference"/>
        </w:rPr>
        <w:fldChar w:fldCharType="separate"/>
      </w:r>
      <w:r w:rsidR="00907F51" w:rsidRPr="00907F51">
        <w:rPr>
          <w:rStyle w:val="Cross-Reference"/>
        </w:rPr>
        <w:t>Table 5.1</w:t>
      </w:r>
      <w:r w:rsidRPr="007C431E">
        <w:rPr>
          <w:rStyle w:val="Cross-Reference"/>
        </w:rPr>
        <w:fldChar w:fldCharType="end"/>
      </w:r>
      <w:r w:rsidR="000125FB" w:rsidRPr="00C34C12">
        <w:rPr>
          <w:lang w:eastAsia="zh-CN"/>
        </w:rPr>
        <w:t xml:space="preserve"> through </w:t>
      </w:r>
      <w:r w:rsidRPr="007C431E">
        <w:rPr>
          <w:rStyle w:val="Cross-Reference"/>
        </w:rPr>
        <w:fldChar w:fldCharType="begin"/>
      </w:r>
      <w:r w:rsidRPr="007C431E">
        <w:rPr>
          <w:rStyle w:val="Cross-Reference"/>
        </w:rPr>
        <w:instrText xml:space="preserve"> REF  _Ref34400323 \* Lower \h  \* MERGEFORMAT </w:instrText>
      </w:r>
      <w:r w:rsidRPr="007C431E">
        <w:rPr>
          <w:rStyle w:val="Cross-Reference"/>
        </w:rPr>
      </w:r>
      <w:r w:rsidRPr="007C431E">
        <w:rPr>
          <w:rStyle w:val="Cross-Reference"/>
        </w:rPr>
        <w:fldChar w:fldCharType="separate"/>
      </w:r>
      <w:r w:rsidR="00907F51" w:rsidRPr="00907F51">
        <w:rPr>
          <w:rStyle w:val="Cross-Reference"/>
        </w:rPr>
        <w:t>table 5.3</w:t>
      </w:r>
      <w:r w:rsidRPr="007C431E">
        <w:rPr>
          <w:rStyle w:val="Cross-Reference"/>
        </w:rPr>
        <w:fldChar w:fldCharType="end"/>
      </w:r>
      <w:r w:rsidR="000125FB" w:rsidRPr="00C34C12">
        <w:rPr>
          <w:lang w:eastAsia="zh-CN"/>
        </w:rPr>
        <w:t xml:space="preserve"> display the results of the survey regarding the kinds of individualization provided. </w:t>
      </w:r>
      <w:r w:rsidR="00580AC7">
        <w:rPr>
          <w:lang w:eastAsia="zh-CN"/>
        </w:rPr>
        <w:t>The n</w:t>
      </w:r>
      <w:r w:rsidR="000125FB" w:rsidRPr="00C34C12">
        <w:noBreakHyphen/>
        <w:t xml:space="preserve">counts in these tables are based on all students in </w:t>
      </w:r>
      <w:r w:rsidR="00F93D56">
        <w:t xml:space="preserve">the </w:t>
      </w:r>
      <w:r w:rsidR="00EA7EDC">
        <w:t>statistical analysis file</w:t>
      </w:r>
      <w:r w:rsidR="000125FB" w:rsidRPr="00C34C12">
        <w:t xml:space="preserve">. Although test examiners </w:t>
      </w:r>
      <w:r w:rsidR="009C4941">
        <w:t>were</w:t>
      </w:r>
      <w:r w:rsidR="009C4941" w:rsidRPr="00C34C12">
        <w:t xml:space="preserve"> </w:t>
      </w:r>
      <w:r w:rsidR="000125FB" w:rsidRPr="00C34C12">
        <w:t xml:space="preserve">permitted to individualize the administration of the CAA for Science, </w:t>
      </w:r>
      <w:r w:rsidR="00C04337" w:rsidRPr="007C431E">
        <w:rPr>
          <w:rStyle w:val="Cross-Reference"/>
        </w:rPr>
        <w:fldChar w:fldCharType="begin"/>
      </w:r>
      <w:r w:rsidR="00C04337" w:rsidRPr="007C431E">
        <w:rPr>
          <w:rStyle w:val="Cross-Reference"/>
        </w:rPr>
        <w:instrText xml:space="preserve"> REF  _Ref61504867 \* Lower \h  \* MERGEFORMAT </w:instrText>
      </w:r>
      <w:r w:rsidR="00C04337" w:rsidRPr="007C431E">
        <w:rPr>
          <w:rStyle w:val="Cross-Reference"/>
        </w:rPr>
      </w:r>
      <w:r w:rsidR="00C04337" w:rsidRPr="007C431E">
        <w:rPr>
          <w:rStyle w:val="Cross-Reference"/>
        </w:rPr>
        <w:fldChar w:fldCharType="separate"/>
      </w:r>
      <w:r w:rsidR="00907F51" w:rsidRPr="00907F51">
        <w:rPr>
          <w:rStyle w:val="Cross-Reference"/>
        </w:rPr>
        <w:t>table 5.1</w:t>
      </w:r>
      <w:r w:rsidR="00C04337" w:rsidRPr="007C431E">
        <w:rPr>
          <w:rStyle w:val="Cross-Reference"/>
        </w:rPr>
        <w:fldChar w:fldCharType="end"/>
      </w:r>
      <w:r w:rsidR="000125FB" w:rsidRPr="00C34C12">
        <w:t xml:space="preserve"> through </w:t>
      </w:r>
      <w:r w:rsidR="00C04337" w:rsidRPr="007C431E">
        <w:rPr>
          <w:rStyle w:val="Cross-Reference"/>
        </w:rPr>
        <w:fldChar w:fldCharType="begin"/>
      </w:r>
      <w:r w:rsidR="00C04337" w:rsidRPr="007C431E">
        <w:rPr>
          <w:rStyle w:val="Cross-Reference"/>
        </w:rPr>
        <w:instrText xml:space="preserve"> REF  _Ref34400323 \* Lower \h  \* MERGEFORMAT </w:instrText>
      </w:r>
      <w:r w:rsidR="00C04337" w:rsidRPr="007C431E">
        <w:rPr>
          <w:rStyle w:val="Cross-Reference"/>
        </w:rPr>
      </w:r>
      <w:r w:rsidR="00C04337" w:rsidRPr="007C431E">
        <w:rPr>
          <w:rStyle w:val="Cross-Reference"/>
        </w:rPr>
        <w:fldChar w:fldCharType="separate"/>
      </w:r>
      <w:r w:rsidR="00907F51" w:rsidRPr="00907F51">
        <w:rPr>
          <w:rStyle w:val="Cross-Reference"/>
        </w:rPr>
        <w:t>table 5.3</w:t>
      </w:r>
      <w:r w:rsidR="00C04337" w:rsidRPr="007C431E">
        <w:rPr>
          <w:rStyle w:val="Cross-Reference"/>
        </w:rPr>
        <w:fldChar w:fldCharType="end"/>
      </w:r>
      <w:r w:rsidR="000125FB" w:rsidRPr="00C34C12">
        <w:t xml:space="preserve"> indicate that few students received individualizations</w:t>
      </w:r>
      <w:r w:rsidR="000125FB" w:rsidRPr="00C34C12" w:rsidDel="005B53B4">
        <w:t xml:space="preserve">, </w:t>
      </w:r>
      <w:r w:rsidR="000125FB" w:rsidRPr="00C34C12">
        <w:t xml:space="preserve">meaning the majority of students were administered the embedded PTs as outlined in the </w:t>
      </w:r>
      <w:r w:rsidR="000125FB" w:rsidRPr="00337764">
        <w:rPr>
          <w:i/>
        </w:rPr>
        <w:t>DFA</w:t>
      </w:r>
      <w:r w:rsidR="000125FB" w:rsidRPr="00C34C12">
        <w:t>s.</w:t>
      </w:r>
    </w:p>
    <w:p w14:paraId="641A38D5" w14:textId="5A91917F" w:rsidR="00C17F58" w:rsidRDefault="00C17F58" w:rsidP="00F728E8">
      <w:pPr>
        <w:keepLines/>
        <w:sectPr w:rsidR="00C17F58" w:rsidSect="00B63183">
          <w:headerReference w:type="first" r:id="rId31"/>
          <w:footerReference w:type="first" r:id="rId32"/>
          <w:pgSz w:w="12240" w:h="15840" w:code="1"/>
          <w:pgMar w:top="1152" w:right="1152" w:bottom="1152" w:left="1152" w:header="576" w:footer="360" w:gutter="0"/>
          <w:cols w:space="720"/>
          <w:titlePg/>
          <w:docGrid w:linePitch="360"/>
        </w:sectPr>
      </w:pPr>
    </w:p>
    <w:p w14:paraId="510B4396" w14:textId="02D20722" w:rsidR="000125FB" w:rsidRPr="00C34C12" w:rsidRDefault="000125FB" w:rsidP="000125FB">
      <w:pPr>
        <w:pStyle w:val="Caption"/>
      </w:pPr>
      <w:bookmarkStart w:id="433" w:name="_Ref61504867"/>
      <w:bookmarkStart w:id="434" w:name="_Toc67319692"/>
      <w:bookmarkStart w:id="435" w:name="_Toc220498696"/>
      <w:r w:rsidRPr="00C34C12">
        <w:lastRenderedPageBreak/>
        <w:t xml:space="preserve">Table </w:t>
      </w:r>
      <w:r>
        <w:fldChar w:fldCharType="begin"/>
      </w:r>
      <w:r>
        <w:instrText>STYLEREF 2 \s</w:instrText>
      </w:r>
      <w:r>
        <w:fldChar w:fldCharType="separate"/>
      </w:r>
      <w:r w:rsidR="00961502">
        <w:rPr>
          <w:noProof/>
        </w:rPr>
        <w:t>5</w:t>
      </w:r>
      <w:r>
        <w:fldChar w:fldCharType="end"/>
      </w:r>
      <w:r w:rsidR="00A40753">
        <w:t>.</w:t>
      </w:r>
      <w:r>
        <w:fldChar w:fldCharType="begin"/>
      </w:r>
      <w:r>
        <w:instrText>SEQ Table \* ARABIC \s 2</w:instrText>
      </w:r>
      <w:r>
        <w:fldChar w:fldCharType="separate"/>
      </w:r>
      <w:r w:rsidR="00961502">
        <w:rPr>
          <w:noProof/>
        </w:rPr>
        <w:t>1</w:t>
      </w:r>
      <w:r>
        <w:fldChar w:fldCharType="end"/>
      </w:r>
      <w:bookmarkEnd w:id="433"/>
      <w:r w:rsidRPr="00C34C12">
        <w:t xml:space="preserve">  Individualizations</w:t>
      </w:r>
      <w:r w:rsidRPr="00C34C12">
        <w:rPr>
          <w:rStyle w:val="CaptionChar"/>
          <w:rFonts w:eastAsia="SimSun"/>
          <w:b/>
        </w:rPr>
        <w:t>—Grade Five</w:t>
      </w:r>
      <w:bookmarkEnd w:id="434"/>
      <w:bookmarkEnd w:id="435"/>
    </w:p>
    <w:tbl>
      <w:tblPr>
        <w:tblStyle w:val="TRs"/>
        <w:tblW w:w="13896" w:type="dxa"/>
        <w:tblLayout w:type="fixed"/>
        <w:tblLook w:val="0020" w:firstRow="1" w:lastRow="0" w:firstColumn="0" w:lastColumn="0" w:noHBand="0" w:noVBand="0"/>
        <w:tblDescription w:val="Individualizations during grade five testing"/>
      </w:tblPr>
      <w:tblGrid>
        <w:gridCol w:w="3456"/>
        <w:gridCol w:w="864"/>
        <w:gridCol w:w="864"/>
        <w:gridCol w:w="864"/>
        <w:gridCol w:w="864"/>
        <w:gridCol w:w="864"/>
        <w:gridCol w:w="864"/>
        <w:gridCol w:w="864"/>
        <w:gridCol w:w="864"/>
        <w:gridCol w:w="864"/>
        <w:gridCol w:w="864"/>
        <w:gridCol w:w="864"/>
        <w:gridCol w:w="936"/>
      </w:tblGrid>
      <w:tr w:rsidR="008C24F5" w:rsidRPr="00C34C12" w14:paraId="127A4ABC" w14:textId="77777777" w:rsidTr="00907F51">
        <w:trPr>
          <w:cnfStyle w:val="100000000000" w:firstRow="1" w:lastRow="0" w:firstColumn="0" w:lastColumn="0" w:oddVBand="0" w:evenVBand="0" w:oddHBand="0" w:evenHBand="0" w:firstRowFirstColumn="0" w:firstRowLastColumn="0" w:lastRowFirstColumn="0" w:lastRowLastColumn="0"/>
          <w:trHeight w:val="4032"/>
        </w:trPr>
        <w:tc>
          <w:tcPr>
            <w:tcW w:w="3456" w:type="dxa"/>
          </w:tcPr>
          <w:p w14:paraId="382CB992" w14:textId="1D550AA7" w:rsidR="004261C8" w:rsidRPr="00C34C12" w:rsidRDefault="004261C8" w:rsidP="004261C8">
            <w:pPr>
              <w:pStyle w:val="TableHead"/>
              <w:rPr>
                <w:b w:val="0"/>
                <w:bCs w:val="0"/>
                <w:noProof w:val="0"/>
              </w:rPr>
            </w:pPr>
            <w:r w:rsidRPr="004B2D24">
              <w:rPr>
                <w:noProof w:val="0"/>
              </w:rPr>
              <w:t>Individualization</w:t>
            </w:r>
          </w:p>
        </w:tc>
        <w:tc>
          <w:tcPr>
            <w:tcW w:w="864" w:type="dxa"/>
            <w:textDirection w:val="btLr"/>
            <w:vAlign w:val="center"/>
          </w:tcPr>
          <w:p w14:paraId="26D7D4FB" w14:textId="59195723" w:rsidR="004261C8" w:rsidRPr="00C34C12" w:rsidRDefault="004261C8" w:rsidP="00505B10">
            <w:pPr>
              <w:pStyle w:val="TableHead"/>
              <w:spacing w:before="0" w:after="0"/>
              <w:ind w:left="72" w:right="72"/>
              <w:jc w:val="left"/>
              <w:rPr>
                <w:b w:val="0"/>
                <w:bCs w:val="0"/>
                <w:noProof w:val="0"/>
              </w:rPr>
            </w:pPr>
            <w:r w:rsidRPr="004B2D24">
              <w:rPr>
                <w:noProof w:val="0"/>
              </w:rPr>
              <w:t>PT 1 (Life Sciences), Activity 1—Number</w:t>
            </w:r>
          </w:p>
        </w:tc>
        <w:tc>
          <w:tcPr>
            <w:tcW w:w="864" w:type="dxa"/>
            <w:textDirection w:val="btLr"/>
            <w:vAlign w:val="center"/>
          </w:tcPr>
          <w:p w14:paraId="41126AD7" w14:textId="33B87C82" w:rsidR="004261C8" w:rsidRPr="00C34C12" w:rsidRDefault="004261C8" w:rsidP="00505B10">
            <w:pPr>
              <w:pStyle w:val="TableHead"/>
              <w:spacing w:before="0" w:after="0"/>
              <w:ind w:left="72" w:right="72"/>
              <w:jc w:val="left"/>
              <w:rPr>
                <w:b w:val="0"/>
                <w:bCs w:val="0"/>
                <w:noProof w:val="0"/>
              </w:rPr>
            </w:pPr>
            <w:r w:rsidRPr="004B2D24">
              <w:rPr>
                <w:noProof w:val="0"/>
              </w:rPr>
              <w:t>PT 1 (Life Sciences), Activity 1—Percent of Total</w:t>
            </w:r>
          </w:p>
        </w:tc>
        <w:tc>
          <w:tcPr>
            <w:tcW w:w="864" w:type="dxa"/>
            <w:textDirection w:val="btLr"/>
            <w:vAlign w:val="center"/>
          </w:tcPr>
          <w:p w14:paraId="7A9982C8" w14:textId="1516C342" w:rsidR="004261C8" w:rsidRPr="00C34C12" w:rsidRDefault="004261C8" w:rsidP="00505B10">
            <w:pPr>
              <w:pStyle w:val="TableHead"/>
              <w:spacing w:before="0" w:after="0"/>
              <w:ind w:left="72" w:right="72"/>
              <w:jc w:val="left"/>
              <w:rPr>
                <w:b w:val="0"/>
                <w:bCs w:val="0"/>
                <w:noProof w:val="0"/>
              </w:rPr>
            </w:pPr>
            <w:r w:rsidRPr="004B2D24">
              <w:rPr>
                <w:noProof w:val="0"/>
              </w:rPr>
              <w:t>PT 1 (Life Sciences), Activity 2—Number</w:t>
            </w:r>
          </w:p>
        </w:tc>
        <w:tc>
          <w:tcPr>
            <w:tcW w:w="864" w:type="dxa"/>
            <w:textDirection w:val="btLr"/>
            <w:vAlign w:val="center"/>
          </w:tcPr>
          <w:p w14:paraId="6E3B3A33" w14:textId="26680BC1" w:rsidR="004261C8" w:rsidRPr="00C34C12" w:rsidRDefault="004261C8" w:rsidP="00505B10">
            <w:pPr>
              <w:pStyle w:val="TableHead"/>
              <w:spacing w:before="0" w:after="0"/>
              <w:ind w:left="72" w:right="72"/>
              <w:jc w:val="left"/>
              <w:rPr>
                <w:b w:val="0"/>
                <w:bCs w:val="0"/>
                <w:noProof w:val="0"/>
              </w:rPr>
            </w:pPr>
            <w:r w:rsidRPr="004B2D24">
              <w:rPr>
                <w:noProof w:val="0"/>
              </w:rPr>
              <w:t>PT 1 (Life Sciences), Activity 2—Percent of Total</w:t>
            </w:r>
          </w:p>
        </w:tc>
        <w:tc>
          <w:tcPr>
            <w:tcW w:w="864" w:type="dxa"/>
            <w:textDirection w:val="btLr"/>
            <w:vAlign w:val="center"/>
          </w:tcPr>
          <w:p w14:paraId="7134A6FE" w14:textId="571E50D3" w:rsidR="004261C8" w:rsidRPr="00C34C12" w:rsidRDefault="004261C8" w:rsidP="00505B10">
            <w:pPr>
              <w:pStyle w:val="TableHead"/>
              <w:spacing w:before="0" w:after="0"/>
              <w:ind w:left="72" w:right="72"/>
              <w:jc w:val="left"/>
              <w:rPr>
                <w:b w:val="0"/>
                <w:bCs w:val="0"/>
                <w:noProof w:val="0"/>
              </w:rPr>
            </w:pPr>
            <w:r w:rsidRPr="004B2D24">
              <w:rPr>
                <w:noProof w:val="0"/>
              </w:rPr>
              <w:t>PT 2 (Physical Sciences), Activity 1—Number</w:t>
            </w:r>
          </w:p>
        </w:tc>
        <w:tc>
          <w:tcPr>
            <w:tcW w:w="864" w:type="dxa"/>
            <w:textDirection w:val="btLr"/>
            <w:vAlign w:val="center"/>
          </w:tcPr>
          <w:p w14:paraId="0BF750D8" w14:textId="0C028644" w:rsidR="004261C8" w:rsidRPr="00C34C12" w:rsidRDefault="004261C8" w:rsidP="00505B10">
            <w:pPr>
              <w:pStyle w:val="TableHead"/>
              <w:spacing w:before="0" w:after="0"/>
              <w:ind w:left="72" w:right="72"/>
              <w:jc w:val="left"/>
              <w:rPr>
                <w:b w:val="0"/>
                <w:bCs w:val="0"/>
                <w:noProof w:val="0"/>
              </w:rPr>
            </w:pPr>
            <w:r w:rsidRPr="004B2D24">
              <w:rPr>
                <w:noProof w:val="0"/>
              </w:rPr>
              <w:t>PT 2 (Physical Sciences), Activity 1—Percent of Total</w:t>
            </w:r>
          </w:p>
        </w:tc>
        <w:tc>
          <w:tcPr>
            <w:tcW w:w="864" w:type="dxa"/>
            <w:textDirection w:val="btLr"/>
            <w:vAlign w:val="center"/>
          </w:tcPr>
          <w:p w14:paraId="29E5179B" w14:textId="1E8A3059" w:rsidR="004261C8" w:rsidRPr="00C34C12" w:rsidRDefault="004261C8" w:rsidP="00505B10">
            <w:pPr>
              <w:pStyle w:val="TableHead"/>
              <w:spacing w:before="0" w:after="0"/>
              <w:ind w:left="72" w:right="72"/>
              <w:jc w:val="left"/>
              <w:rPr>
                <w:b w:val="0"/>
                <w:bCs w:val="0"/>
                <w:noProof w:val="0"/>
              </w:rPr>
            </w:pPr>
            <w:r w:rsidRPr="004B2D24">
              <w:rPr>
                <w:noProof w:val="0"/>
              </w:rPr>
              <w:t>PT 2 (Physical Sciences), Activity 2—Number</w:t>
            </w:r>
          </w:p>
        </w:tc>
        <w:tc>
          <w:tcPr>
            <w:tcW w:w="864" w:type="dxa"/>
            <w:textDirection w:val="btLr"/>
            <w:vAlign w:val="center"/>
          </w:tcPr>
          <w:p w14:paraId="54C7646F" w14:textId="24BDDFA5" w:rsidR="004261C8" w:rsidRPr="00C34C12" w:rsidRDefault="004261C8" w:rsidP="00505B10">
            <w:pPr>
              <w:pStyle w:val="TableHead"/>
              <w:spacing w:before="0" w:after="0"/>
              <w:ind w:left="72" w:right="72"/>
              <w:jc w:val="left"/>
              <w:rPr>
                <w:b w:val="0"/>
                <w:bCs w:val="0"/>
                <w:noProof w:val="0"/>
              </w:rPr>
            </w:pPr>
            <w:r w:rsidRPr="004B2D24">
              <w:rPr>
                <w:noProof w:val="0"/>
              </w:rPr>
              <w:t>PT 2 (Physical Sciences), Activity 2—Percent of Total</w:t>
            </w:r>
          </w:p>
        </w:tc>
        <w:tc>
          <w:tcPr>
            <w:tcW w:w="864" w:type="dxa"/>
            <w:textDirection w:val="btLr"/>
            <w:vAlign w:val="center"/>
          </w:tcPr>
          <w:p w14:paraId="0064C8F9" w14:textId="6F0A79FD" w:rsidR="004261C8" w:rsidRPr="00C34C12" w:rsidRDefault="004261C8" w:rsidP="00505B10">
            <w:pPr>
              <w:pStyle w:val="TableHead"/>
              <w:spacing w:before="0" w:after="0"/>
              <w:ind w:left="72" w:right="72"/>
              <w:jc w:val="left"/>
              <w:rPr>
                <w:b w:val="0"/>
                <w:bCs w:val="0"/>
                <w:noProof w:val="0"/>
              </w:rPr>
            </w:pPr>
            <w:r w:rsidRPr="004B2D24">
              <w:rPr>
                <w:noProof w:val="0"/>
              </w:rPr>
              <w:t>PT 3 (Earth and Space Sciences), Activity 1—Number</w:t>
            </w:r>
          </w:p>
        </w:tc>
        <w:tc>
          <w:tcPr>
            <w:tcW w:w="864" w:type="dxa"/>
            <w:textDirection w:val="btLr"/>
            <w:vAlign w:val="center"/>
          </w:tcPr>
          <w:p w14:paraId="357EB959" w14:textId="38791FB8" w:rsidR="004261C8" w:rsidRPr="00C34C12" w:rsidRDefault="004261C8" w:rsidP="00505B10">
            <w:pPr>
              <w:pStyle w:val="TableHead"/>
              <w:spacing w:before="0" w:after="0"/>
              <w:ind w:left="72" w:right="72"/>
              <w:jc w:val="left"/>
              <w:rPr>
                <w:b w:val="0"/>
                <w:bCs w:val="0"/>
                <w:noProof w:val="0"/>
              </w:rPr>
            </w:pPr>
            <w:r w:rsidRPr="004B2D24">
              <w:rPr>
                <w:noProof w:val="0"/>
              </w:rPr>
              <w:t>PT 3 (Earth and Space Sciences), Activity 1—Percent of Total</w:t>
            </w:r>
          </w:p>
        </w:tc>
        <w:tc>
          <w:tcPr>
            <w:tcW w:w="864" w:type="dxa"/>
            <w:textDirection w:val="btLr"/>
            <w:vAlign w:val="center"/>
          </w:tcPr>
          <w:p w14:paraId="59994A59" w14:textId="5D3C59D9" w:rsidR="004261C8" w:rsidRPr="00C34C12" w:rsidRDefault="004261C8" w:rsidP="00505B10">
            <w:pPr>
              <w:pStyle w:val="TableHead"/>
              <w:spacing w:before="0" w:after="0"/>
              <w:ind w:left="72" w:right="72"/>
              <w:jc w:val="left"/>
              <w:rPr>
                <w:b w:val="0"/>
                <w:bCs w:val="0"/>
                <w:noProof w:val="0"/>
              </w:rPr>
            </w:pPr>
            <w:r w:rsidRPr="004B2D24">
              <w:rPr>
                <w:noProof w:val="0"/>
              </w:rPr>
              <w:t>PT 3 (Earth and Space Sciences), Activity 2—Number</w:t>
            </w:r>
          </w:p>
        </w:tc>
        <w:tc>
          <w:tcPr>
            <w:tcW w:w="936" w:type="dxa"/>
            <w:textDirection w:val="btLr"/>
            <w:vAlign w:val="center"/>
          </w:tcPr>
          <w:p w14:paraId="68C61757" w14:textId="619B08E9" w:rsidR="004261C8" w:rsidRPr="00C34C12" w:rsidRDefault="004261C8" w:rsidP="00505B10">
            <w:pPr>
              <w:pStyle w:val="TableHead"/>
              <w:spacing w:before="0" w:after="0"/>
              <w:ind w:left="72" w:right="72"/>
              <w:jc w:val="left"/>
              <w:rPr>
                <w:b w:val="0"/>
                <w:bCs w:val="0"/>
                <w:noProof w:val="0"/>
              </w:rPr>
            </w:pPr>
            <w:r w:rsidRPr="004B2D24">
              <w:rPr>
                <w:noProof w:val="0"/>
              </w:rPr>
              <w:t>PT 3 (Earth and Space Sciences), Activity 2—Percent of Total</w:t>
            </w:r>
          </w:p>
        </w:tc>
      </w:tr>
      <w:tr w:rsidR="004261C8" w:rsidRPr="00C34C12" w14:paraId="7506F63F" w14:textId="77777777" w:rsidTr="00505B10">
        <w:tc>
          <w:tcPr>
            <w:tcW w:w="3456" w:type="dxa"/>
          </w:tcPr>
          <w:p w14:paraId="7891D7E0" w14:textId="2529C094" w:rsidR="004261C8" w:rsidRPr="00C34C12" w:rsidRDefault="004261C8" w:rsidP="00F93D56">
            <w:pPr>
              <w:pStyle w:val="TableText"/>
              <w:jc w:val="left"/>
              <w:rPr>
                <w:noProof w:val="0"/>
              </w:rPr>
            </w:pPr>
            <w:r w:rsidRPr="004B2D24">
              <w:t>Using Standardized Scripts</w:t>
            </w:r>
          </w:p>
        </w:tc>
        <w:tc>
          <w:tcPr>
            <w:tcW w:w="864" w:type="dxa"/>
          </w:tcPr>
          <w:p w14:paraId="0E139474" w14:textId="64FDEAB2" w:rsidR="004261C8" w:rsidRPr="006012F4" w:rsidRDefault="00717B55" w:rsidP="00F93D56">
            <w:pPr>
              <w:pStyle w:val="TableText"/>
              <w:rPr>
                <w:szCs w:val="24"/>
              </w:rPr>
            </w:pPr>
            <w:r w:rsidRPr="00C8642D">
              <w:rPr>
                <w:color w:val="000000"/>
                <w:szCs w:val="24"/>
              </w:rPr>
              <w:t>732</w:t>
            </w:r>
          </w:p>
        </w:tc>
        <w:tc>
          <w:tcPr>
            <w:tcW w:w="864" w:type="dxa"/>
          </w:tcPr>
          <w:p w14:paraId="2032E528" w14:textId="7C219C22" w:rsidR="004261C8" w:rsidRPr="006012F4" w:rsidRDefault="00717B55" w:rsidP="00F93D56">
            <w:pPr>
              <w:pStyle w:val="TableText"/>
              <w:rPr>
                <w:szCs w:val="24"/>
              </w:rPr>
            </w:pPr>
            <w:r w:rsidRPr="00C8642D">
              <w:rPr>
                <w:color w:val="000000"/>
                <w:szCs w:val="24"/>
              </w:rPr>
              <w:t>99%</w:t>
            </w:r>
          </w:p>
        </w:tc>
        <w:tc>
          <w:tcPr>
            <w:tcW w:w="864" w:type="dxa"/>
          </w:tcPr>
          <w:p w14:paraId="5B8E0027" w14:textId="306FACA7" w:rsidR="004261C8" w:rsidRPr="006012F4" w:rsidRDefault="00717B55" w:rsidP="00F93D56">
            <w:pPr>
              <w:pStyle w:val="TableText"/>
              <w:rPr>
                <w:szCs w:val="24"/>
              </w:rPr>
            </w:pPr>
            <w:r w:rsidRPr="00C8642D">
              <w:rPr>
                <w:color w:val="000000"/>
                <w:szCs w:val="24"/>
              </w:rPr>
              <w:t>733</w:t>
            </w:r>
          </w:p>
        </w:tc>
        <w:tc>
          <w:tcPr>
            <w:tcW w:w="864" w:type="dxa"/>
          </w:tcPr>
          <w:p w14:paraId="71A8C317" w14:textId="473F5683" w:rsidR="004261C8" w:rsidRPr="006012F4" w:rsidRDefault="00717B55" w:rsidP="00F93D56">
            <w:pPr>
              <w:pStyle w:val="TableText"/>
              <w:rPr>
                <w:szCs w:val="24"/>
              </w:rPr>
            </w:pPr>
            <w:r w:rsidRPr="00C8642D">
              <w:rPr>
                <w:color w:val="000000"/>
                <w:szCs w:val="24"/>
              </w:rPr>
              <w:t>99%</w:t>
            </w:r>
          </w:p>
        </w:tc>
        <w:tc>
          <w:tcPr>
            <w:tcW w:w="864" w:type="dxa"/>
          </w:tcPr>
          <w:p w14:paraId="72512AE9" w14:textId="63E6C33E" w:rsidR="004261C8" w:rsidRPr="006012F4" w:rsidRDefault="00717B55" w:rsidP="00F93D56">
            <w:pPr>
              <w:pStyle w:val="TableText"/>
              <w:rPr>
                <w:szCs w:val="24"/>
              </w:rPr>
            </w:pPr>
            <w:r w:rsidRPr="00C8642D">
              <w:rPr>
                <w:color w:val="000000"/>
                <w:szCs w:val="24"/>
              </w:rPr>
              <w:t>735</w:t>
            </w:r>
          </w:p>
        </w:tc>
        <w:tc>
          <w:tcPr>
            <w:tcW w:w="864" w:type="dxa"/>
          </w:tcPr>
          <w:p w14:paraId="2EE819AB" w14:textId="26DD11B1" w:rsidR="004261C8" w:rsidRPr="006012F4" w:rsidRDefault="00717B55" w:rsidP="00F93D56">
            <w:pPr>
              <w:pStyle w:val="TableText"/>
              <w:rPr>
                <w:szCs w:val="24"/>
              </w:rPr>
            </w:pPr>
            <w:r w:rsidRPr="00C8642D">
              <w:rPr>
                <w:color w:val="000000"/>
                <w:szCs w:val="24"/>
              </w:rPr>
              <w:t>100%</w:t>
            </w:r>
          </w:p>
        </w:tc>
        <w:tc>
          <w:tcPr>
            <w:tcW w:w="864" w:type="dxa"/>
          </w:tcPr>
          <w:p w14:paraId="192D73B0" w14:textId="09FC89EC" w:rsidR="004261C8" w:rsidRPr="006012F4" w:rsidRDefault="00717B55" w:rsidP="00F93D56">
            <w:pPr>
              <w:pStyle w:val="TableText"/>
              <w:rPr>
                <w:szCs w:val="24"/>
              </w:rPr>
            </w:pPr>
            <w:r w:rsidRPr="00C8642D">
              <w:rPr>
                <w:color w:val="000000"/>
                <w:szCs w:val="24"/>
              </w:rPr>
              <w:t>736</w:t>
            </w:r>
          </w:p>
        </w:tc>
        <w:tc>
          <w:tcPr>
            <w:tcW w:w="864" w:type="dxa"/>
          </w:tcPr>
          <w:p w14:paraId="7FBBF41C" w14:textId="3843D550" w:rsidR="004261C8" w:rsidRPr="006012F4" w:rsidRDefault="00717B55" w:rsidP="00F93D56">
            <w:pPr>
              <w:pStyle w:val="TableText"/>
              <w:rPr>
                <w:szCs w:val="24"/>
              </w:rPr>
            </w:pPr>
            <w:r w:rsidRPr="00C8642D">
              <w:rPr>
                <w:color w:val="000000"/>
                <w:szCs w:val="24"/>
              </w:rPr>
              <w:t>100%</w:t>
            </w:r>
          </w:p>
        </w:tc>
        <w:tc>
          <w:tcPr>
            <w:tcW w:w="864" w:type="dxa"/>
          </w:tcPr>
          <w:p w14:paraId="6890D9D2" w14:textId="1D5B28D8" w:rsidR="004261C8" w:rsidRPr="006012F4" w:rsidRDefault="00717B55" w:rsidP="00F93D56">
            <w:pPr>
              <w:pStyle w:val="TableText"/>
              <w:rPr>
                <w:szCs w:val="24"/>
              </w:rPr>
            </w:pPr>
            <w:r w:rsidRPr="00C8642D">
              <w:rPr>
                <w:color w:val="000000"/>
                <w:szCs w:val="24"/>
              </w:rPr>
              <w:t>730</w:t>
            </w:r>
          </w:p>
        </w:tc>
        <w:tc>
          <w:tcPr>
            <w:tcW w:w="864" w:type="dxa"/>
          </w:tcPr>
          <w:p w14:paraId="18012CAD" w14:textId="4D3AA495" w:rsidR="004261C8" w:rsidRPr="006012F4" w:rsidRDefault="00717B55" w:rsidP="00F93D56">
            <w:pPr>
              <w:pStyle w:val="TableText"/>
              <w:rPr>
                <w:szCs w:val="24"/>
              </w:rPr>
            </w:pPr>
            <w:r w:rsidRPr="00C8642D">
              <w:rPr>
                <w:color w:val="000000"/>
                <w:szCs w:val="24"/>
              </w:rPr>
              <w:t>99%</w:t>
            </w:r>
          </w:p>
        </w:tc>
        <w:tc>
          <w:tcPr>
            <w:tcW w:w="864" w:type="dxa"/>
          </w:tcPr>
          <w:p w14:paraId="001BA518" w14:textId="5DC8D838" w:rsidR="004261C8" w:rsidRPr="006012F4" w:rsidRDefault="00717B55" w:rsidP="00F93D56">
            <w:pPr>
              <w:pStyle w:val="TableText"/>
              <w:rPr>
                <w:szCs w:val="24"/>
              </w:rPr>
            </w:pPr>
            <w:r w:rsidRPr="00C8642D">
              <w:rPr>
                <w:color w:val="000000"/>
                <w:szCs w:val="24"/>
              </w:rPr>
              <w:t>733</w:t>
            </w:r>
          </w:p>
        </w:tc>
        <w:tc>
          <w:tcPr>
            <w:tcW w:w="936" w:type="dxa"/>
          </w:tcPr>
          <w:p w14:paraId="3F993EB2" w14:textId="7D1BD25A" w:rsidR="004261C8" w:rsidRPr="006012F4" w:rsidRDefault="00717B55" w:rsidP="00F93D56">
            <w:pPr>
              <w:pStyle w:val="TableText"/>
              <w:rPr>
                <w:szCs w:val="24"/>
              </w:rPr>
            </w:pPr>
            <w:r w:rsidRPr="00C8642D">
              <w:rPr>
                <w:color w:val="000000"/>
                <w:szCs w:val="24"/>
              </w:rPr>
              <w:t>99%</w:t>
            </w:r>
          </w:p>
        </w:tc>
      </w:tr>
      <w:tr w:rsidR="004261C8" w:rsidRPr="00C34C12" w14:paraId="35A18C77" w14:textId="77777777" w:rsidTr="00505B10">
        <w:tc>
          <w:tcPr>
            <w:tcW w:w="3456" w:type="dxa"/>
          </w:tcPr>
          <w:p w14:paraId="2721D755" w14:textId="7386A272" w:rsidR="004261C8" w:rsidRPr="00C34C12" w:rsidRDefault="004261C8" w:rsidP="00F93D56">
            <w:pPr>
              <w:pStyle w:val="TableText"/>
              <w:jc w:val="left"/>
              <w:rPr>
                <w:noProof w:val="0"/>
              </w:rPr>
            </w:pPr>
            <w:r w:rsidRPr="004B2D24">
              <w:t>Using Individualized Scripts</w:t>
            </w:r>
          </w:p>
        </w:tc>
        <w:tc>
          <w:tcPr>
            <w:tcW w:w="864" w:type="dxa"/>
          </w:tcPr>
          <w:p w14:paraId="584EA8E0" w14:textId="2F61CA1F" w:rsidR="004261C8" w:rsidRPr="006012F4" w:rsidRDefault="00717B55" w:rsidP="00F93D56">
            <w:pPr>
              <w:pStyle w:val="TableText"/>
              <w:rPr>
                <w:szCs w:val="24"/>
              </w:rPr>
            </w:pPr>
            <w:r w:rsidRPr="00C8642D">
              <w:rPr>
                <w:color w:val="000000"/>
                <w:szCs w:val="24"/>
              </w:rPr>
              <w:t>5</w:t>
            </w:r>
          </w:p>
        </w:tc>
        <w:tc>
          <w:tcPr>
            <w:tcW w:w="864" w:type="dxa"/>
          </w:tcPr>
          <w:p w14:paraId="5CB180C6" w14:textId="5593D1D0" w:rsidR="004261C8" w:rsidRPr="006012F4" w:rsidRDefault="00717B55" w:rsidP="00F93D56">
            <w:pPr>
              <w:pStyle w:val="TableText"/>
              <w:rPr>
                <w:szCs w:val="24"/>
              </w:rPr>
            </w:pPr>
            <w:r w:rsidRPr="00C8642D">
              <w:rPr>
                <w:color w:val="000000"/>
                <w:szCs w:val="24"/>
              </w:rPr>
              <w:t>1%</w:t>
            </w:r>
          </w:p>
        </w:tc>
        <w:tc>
          <w:tcPr>
            <w:tcW w:w="864" w:type="dxa"/>
          </w:tcPr>
          <w:p w14:paraId="20A61F3F" w14:textId="22E50E80" w:rsidR="004261C8" w:rsidRPr="006012F4" w:rsidRDefault="00717B55" w:rsidP="00F93D56">
            <w:pPr>
              <w:pStyle w:val="TableText"/>
              <w:rPr>
                <w:szCs w:val="24"/>
              </w:rPr>
            </w:pPr>
            <w:r w:rsidRPr="00C8642D">
              <w:rPr>
                <w:color w:val="000000"/>
                <w:szCs w:val="24"/>
              </w:rPr>
              <w:t>4</w:t>
            </w:r>
          </w:p>
        </w:tc>
        <w:tc>
          <w:tcPr>
            <w:tcW w:w="864" w:type="dxa"/>
          </w:tcPr>
          <w:p w14:paraId="20097C45" w14:textId="5F3214F8" w:rsidR="000B7D39" w:rsidRPr="006E660B" w:rsidRDefault="00717B55" w:rsidP="00F93D56">
            <w:pPr>
              <w:pStyle w:val="TableText"/>
            </w:pPr>
            <w:r w:rsidRPr="00C8642D">
              <w:t>1%</w:t>
            </w:r>
          </w:p>
        </w:tc>
        <w:tc>
          <w:tcPr>
            <w:tcW w:w="864" w:type="dxa"/>
          </w:tcPr>
          <w:p w14:paraId="26F12860" w14:textId="1F5B611C" w:rsidR="004261C8" w:rsidRPr="006012F4" w:rsidRDefault="00717B55" w:rsidP="00F93D56">
            <w:pPr>
              <w:pStyle w:val="TableText"/>
              <w:rPr>
                <w:szCs w:val="24"/>
              </w:rPr>
            </w:pPr>
            <w:r w:rsidRPr="00C8642D">
              <w:rPr>
                <w:color w:val="000000"/>
                <w:szCs w:val="24"/>
              </w:rPr>
              <w:t>2</w:t>
            </w:r>
          </w:p>
        </w:tc>
        <w:tc>
          <w:tcPr>
            <w:tcW w:w="864" w:type="dxa"/>
          </w:tcPr>
          <w:p w14:paraId="0CA6C564" w14:textId="0FA9420C" w:rsidR="004261C8" w:rsidRPr="006012F4" w:rsidRDefault="00717B55" w:rsidP="00F93D56">
            <w:pPr>
              <w:pStyle w:val="TableText"/>
              <w:rPr>
                <w:szCs w:val="24"/>
              </w:rPr>
            </w:pPr>
            <w:r w:rsidRPr="00C8642D">
              <w:rPr>
                <w:color w:val="000000"/>
                <w:szCs w:val="24"/>
              </w:rPr>
              <w:t>0%</w:t>
            </w:r>
          </w:p>
        </w:tc>
        <w:tc>
          <w:tcPr>
            <w:tcW w:w="864" w:type="dxa"/>
          </w:tcPr>
          <w:p w14:paraId="74EF50FC" w14:textId="6B5775C9" w:rsidR="004261C8" w:rsidRPr="006012F4" w:rsidRDefault="00717B55" w:rsidP="00F93D56">
            <w:pPr>
              <w:pStyle w:val="TableText"/>
              <w:rPr>
                <w:szCs w:val="24"/>
              </w:rPr>
            </w:pPr>
            <w:r w:rsidRPr="00C8642D">
              <w:rPr>
                <w:color w:val="000000"/>
                <w:szCs w:val="24"/>
              </w:rPr>
              <w:t>1</w:t>
            </w:r>
          </w:p>
        </w:tc>
        <w:tc>
          <w:tcPr>
            <w:tcW w:w="864" w:type="dxa"/>
          </w:tcPr>
          <w:p w14:paraId="1C02D493" w14:textId="154E9F67" w:rsidR="004261C8" w:rsidRPr="006012F4" w:rsidRDefault="00717B55" w:rsidP="00F93D56">
            <w:pPr>
              <w:pStyle w:val="TableText"/>
              <w:rPr>
                <w:szCs w:val="24"/>
              </w:rPr>
            </w:pPr>
            <w:r w:rsidRPr="00C8642D">
              <w:rPr>
                <w:color w:val="000000"/>
                <w:szCs w:val="24"/>
              </w:rPr>
              <w:t>0%</w:t>
            </w:r>
          </w:p>
        </w:tc>
        <w:tc>
          <w:tcPr>
            <w:tcW w:w="864" w:type="dxa"/>
          </w:tcPr>
          <w:p w14:paraId="33A1DD26" w14:textId="0445DDCE" w:rsidR="004261C8" w:rsidRPr="006012F4" w:rsidRDefault="00717B55" w:rsidP="00F93D56">
            <w:pPr>
              <w:pStyle w:val="TableText"/>
              <w:rPr>
                <w:szCs w:val="24"/>
              </w:rPr>
            </w:pPr>
            <w:r w:rsidRPr="00C8642D">
              <w:rPr>
                <w:color w:val="000000"/>
                <w:szCs w:val="24"/>
              </w:rPr>
              <w:t>7</w:t>
            </w:r>
          </w:p>
        </w:tc>
        <w:tc>
          <w:tcPr>
            <w:tcW w:w="864" w:type="dxa"/>
          </w:tcPr>
          <w:p w14:paraId="63ADDB29" w14:textId="075AE1D6" w:rsidR="004261C8" w:rsidRPr="006012F4" w:rsidRDefault="00717B55" w:rsidP="00F93D56">
            <w:pPr>
              <w:pStyle w:val="TableText"/>
              <w:rPr>
                <w:szCs w:val="24"/>
              </w:rPr>
            </w:pPr>
            <w:r w:rsidRPr="00C8642D">
              <w:rPr>
                <w:color w:val="000000"/>
                <w:szCs w:val="24"/>
              </w:rPr>
              <w:t>1%</w:t>
            </w:r>
          </w:p>
        </w:tc>
        <w:tc>
          <w:tcPr>
            <w:tcW w:w="864" w:type="dxa"/>
          </w:tcPr>
          <w:p w14:paraId="1FBDA45D" w14:textId="4496727C" w:rsidR="004261C8" w:rsidRPr="006012F4" w:rsidRDefault="00717B55" w:rsidP="00F93D56">
            <w:pPr>
              <w:pStyle w:val="TableText"/>
              <w:rPr>
                <w:szCs w:val="24"/>
              </w:rPr>
            </w:pPr>
            <w:r w:rsidRPr="00C8642D">
              <w:rPr>
                <w:color w:val="000000"/>
                <w:szCs w:val="24"/>
              </w:rPr>
              <w:t>4</w:t>
            </w:r>
          </w:p>
        </w:tc>
        <w:tc>
          <w:tcPr>
            <w:tcW w:w="936" w:type="dxa"/>
          </w:tcPr>
          <w:p w14:paraId="49574FE9" w14:textId="5AB2CB2C" w:rsidR="004261C8" w:rsidRPr="006012F4" w:rsidRDefault="00717B55" w:rsidP="00F93D56">
            <w:pPr>
              <w:pStyle w:val="TableText"/>
              <w:rPr>
                <w:szCs w:val="24"/>
              </w:rPr>
            </w:pPr>
            <w:r w:rsidRPr="00C8642D">
              <w:rPr>
                <w:color w:val="000000"/>
                <w:szCs w:val="24"/>
              </w:rPr>
              <w:t>1%</w:t>
            </w:r>
          </w:p>
        </w:tc>
      </w:tr>
      <w:tr w:rsidR="004261C8" w:rsidRPr="00C34C12" w14:paraId="5DD37849" w14:textId="77777777" w:rsidTr="00505B10">
        <w:tc>
          <w:tcPr>
            <w:tcW w:w="3456" w:type="dxa"/>
          </w:tcPr>
          <w:p w14:paraId="029C7BE7" w14:textId="7FB44F82" w:rsidR="004261C8" w:rsidRPr="00C34C12" w:rsidRDefault="004261C8" w:rsidP="00F93D56">
            <w:pPr>
              <w:pStyle w:val="TableText"/>
              <w:jc w:val="left"/>
              <w:rPr>
                <w:noProof w:val="0"/>
              </w:rPr>
            </w:pPr>
            <w:r w:rsidRPr="004B2D24">
              <w:t>Using Standardized Materials</w:t>
            </w:r>
          </w:p>
        </w:tc>
        <w:tc>
          <w:tcPr>
            <w:tcW w:w="864" w:type="dxa"/>
          </w:tcPr>
          <w:p w14:paraId="484A0111" w14:textId="498B491B" w:rsidR="004261C8" w:rsidRPr="006012F4" w:rsidRDefault="00772517" w:rsidP="00F93D56">
            <w:pPr>
              <w:pStyle w:val="TableText"/>
              <w:rPr>
                <w:szCs w:val="24"/>
              </w:rPr>
            </w:pPr>
            <w:r w:rsidRPr="005C5054">
              <w:rPr>
                <w:color w:val="000000"/>
                <w:szCs w:val="24"/>
              </w:rPr>
              <w:t>7</w:t>
            </w:r>
            <w:r>
              <w:rPr>
                <w:color w:val="000000"/>
                <w:szCs w:val="24"/>
              </w:rPr>
              <w:t>28</w:t>
            </w:r>
          </w:p>
        </w:tc>
        <w:tc>
          <w:tcPr>
            <w:tcW w:w="864" w:type="dxa"/>
          </w:tcPr>
          <w:p w14:paraId="5A17D333" w14:textId="7F739259" w:rsidR="004261C8" w:rsidRPr="006012F4" w:rsidRDefault="00772517" w:rsidP="00F93D56">
            <w:pPr>
              <w:pStyle w:val="TableText"/>
              <w:rPr>
                <w:szCs w:val="24"/>
              </w:rPr>
            </w:pPr>
            <w:r w:rsidRPr="005C5054">
              <w:rPr>
                <w:color w:val="000000"/>
                <w:szCs w:val="24"/>
              </w:rPr>
              <w:t>99%</w:t>
            </w:r>
          </w:p>
        </w:tc>
        <w:tc>
          <w:tcPr>
            <w:tcW w:w="864" w:type="dxa"/>
          </w:tcPr>
          <w:p w14:paraId="5F0E3D31" w14:textId="2F5A3561" w:rsidR="004261C8" w:rsidRPr="006012F4" w:rsidRDefault="00772517" w:rsidP="00F93D56">
            <w:pPr>
              <w:pStyle w:val="TableText"/>
              <w:rPr>
                <w:szCs w:val="24"/>
              </w:rPr>
            </w:pPr>
            <w:r w:rsidRPr="005C5054">
              <w:rPr>
                <w:color w:val="000000"/>
                <w:szCs w:val="24"/>
              </w:rPr>
              <w:t>73</w:t>
            </w:r>
            <w:r>
              <w:rPr>
                <w:color w:val="000000"/>
                <w:szCs w:val="24"/>
              </w:rPr>
              <w:t>0</w:t>
            </w:r>
          </w:p>
        </w:tc>
        <w:tc>
          <w:tcPr>
            <w:tcW w:w="864" w:type="dxa"/>
          </w:tcPr>
          <w:p w14:paraId="404E6FB2" w14:textId="551F96A7" w:rsidR="000B7D39" w:rsidRPr="00277B10" w:rsidRDefault="00772517" w:rsidP="00F93D56">
            <w:pPr>
              <w:pStyle w:val="TableText"/>
            </w:pPr>
            <w:r w:rsidRPr="005C5054">
              <w:t>99%</w:t>
            </w:r>
          </w:p>
        </w:tc>
        <w:tc>
          <w:tcPr>
            <w:tcW w:w="864" w:type="dxa"/>
          </w:tcPr>
          <w:p w14:paraId="1C1FD2E9" w14:textId="2CBB2437" w:rsidR="004261C8" w:rsidRPr="006012F4" w:rsidRDefault="00772517" w:rsidP="00F93D56">
            <w:pPr>
              <w:pStyle w:val="TableText"/>
              <w:rPr>
                <w:szCs w:val="24"/>
              </w:rPr>
            </w:pPr>
            <w:r>
              <w:rPr>
                <w:color w:val="000000"/>
                <w:szCs w:val="24"/>
              </w:rPr>
              <w:t>722</w:t>
            </w:r>
          </w:p>
        </w:tc>
        <w:tc>
          <w:tcPr>
            <w:tcW w:w="864" w:type="dxa"/>
          </w:tcPr>
          <w:p w14:paraId="0BEB06EB" w14:textId="3336BD57" w:rsidR="004261C8" w:rsidRPr="006012F4" w:rsidRDefault="00772517" w:rsidP="00F93D56">
            <w:pPr>
              <w:pStyle w:val="TableText"/>
              <w:rPr>
                <w:szCs w:val="24"/>
              </w:rPr>
            </w:pPr>
            <w:r>
              <w:rPr>
                <w:color w:val="000000"/>
                <w:szCs w:val="24"/>
              </w:rPr>
              <w:t>98%</w:t>
            </w:r>
          </w:p>
        </w:tc>
        <w:tc>
          <w:tcPr>
            <w:tcW w:w="864" w:type="dxa"/>
          </w:tcPr>
          <w:p w14:paraId="527529C8" w14:textId="6AD24494" w:rsidR="004261C8" w:rsidRPr="006012F4" w:rsidRDefault="00772517" w:rsidP="00F93D56">
            <w:pPr>
              <w:pStyle w:val="TableText"/>
              <w:rPr>
                <w:szCs w:val="24"/>
              </w:rPr>
            </w:pPr>
            <w:r>
              <w:rPr>
                <w:color w:val="000000"/>
                <w:szCs w:val="24"/>
              </w:rPr>
              <w:t>731</w:t>
            </w:r>
          </w:p>
        </w:tc>
        <w:tc>
          <w:tcPr>
            <w:tcW w:w="864" w:type="dxa"/>
          </w:tcPr>
          <w:p w14:paraId="73D0B146" w14:textId="05DBE577" w:rsidR="004261C8" w:rsidRPr="006012F4" w:rsidRDefault="00772517" w:rsidP="00F93D56">
            <w:pPr>
              <w:pStyle w:val="TableText"/>
              <w:rPr>
                <w:szCs w:val="24"/>
              </w:rPr>
            </w:pPr>
            <w:r>
              <w:rPr>
                <w:color w:val="000000"/>
                <w:szCs w:val="24"/>
              </w:rPr>
              <w:t>99%</w:t>
            </w:r>
          </w:p>
        </w:tc>
        <w:tc>
          <w:tcPr>
            <w:tcW w:w="864" w:type="dxa"/>
          </w:tcPr>
          <w:p w14:paraId="282DBF8B" w14:textId="48D6D58F" w:rsidR="004261C8" w:rsidRPr="006012F4" w:rsidRDefault="00772517" w:rsidP="00F93D56">
            <w:pPr>
              <w:pStyle w:val="TableText"/>
              <w:rPr>
                <w:szCs w:val="24"/>
              </w:rPr>
            </w:pPr>
            <w:r>
              <w:rPr>
                <w:color w:val="000000"/>
                <w:szCs w:val="24"/>
              </w:rPr>
              <w:t>727</w:t>
            </w:r>
          </w:p>
        </w:tc>
        <w:tc>
          <w:tcPr>
            <w:tcW w:w="864" w:type="dxa"/>
          </w:tcPr>
          <w:p w14:paraId="7E1A0DBC" w14:textId="418A9C69" w:rsidR="004261C8" w:rsidRPr="006012F4" w:rsidRDefault="00772517" w:rsidP="00F93D56">
            <w:pPr>
              <w:pStyle w:val="TableText"/>
              <w:rPr>
                <w:szCs w:val="24"/>
              </w:rPr>
            </w:pPr>
            <w:r>
              <w:rPr>
                <w:color w:val="000000"/>
                <w:szCs w:val="24"/>
              </w:rPr>
              <w:t>99%</w:t>
            </w:r>
          </w:p>
        </w:tc>
        <w:tc>
          <w:tcPr>
            <w:tcW w:w="864" w:type="dxa"/>
          </w:tcPr>
          <w:p w14:paraId="488DE81F" w14:textId="63DB1963" w:rsidR="004261C8" w:rsidRPr="006012F4" w:rsidRDefault="00772517" w:rsidP="00F93D56">
            <w:pPr>
              <w:pStyle w:val="TableText"/>
              <w:rPr>
                <w:szCs w:val="24"/>
              </w:rPr>
            </w:pPr>
            <w:r>
              <w:rPr>
                <w:color w:val="000000"/>
                <w:szCs w:val="24"/>
              </w:rPr>
              <w:t>731</w:t>
            </w:r>
          </w:p>
        </w:tc>
        <w:tc>
          <w:tcPr>
            <w:tcW w:w="936" w:type="dxa"/>
          </w:tcPr>
          <w:p w14:paraId="070ECCCD" w14:textId="61CC4C31" w:rsidR="004261C8" w:rsidRPr="006012F4" w:rsidRDefault="00772517" w:rsidP="00F93D56">
            <w:pPr>
              <w:pStyle w:val="TableText"/>
              <w:rPr>
                <w:szCs w:val="24"/>
              </w:rPr>
            </w:pPr>
            <w:r>
              <w:rPr>
                <w:color w:val="000000"/>
                <w:szCs w:val="24"/>
              </w:rPr>
              <w:t>99</w:t>
            </w:r>
            <w:r w:rsidR="001679F4">
              <w:rPr>
                <w:color w:val="000000"/>
                <w:szCs w:val="24"/>
              </w:rPr>
              <w:t>%</w:t>
            </w:r>
          </w:p>
        </w:tc>
      </w:tr>
      <w:tr w:rsidR="004261C8" w:rsidRPr="00C34C12" w14:paraId="352E3340" w14:textId="77777777" w:rsidTr="00505B10">
        <w:tc>
          <w:tcPr>
            <w:tcW w:w="3456" w:type="dxa"/>
          </w:tcPr>
          <w:p w14:paraId="14BA81FB" w14:textId="1DA7CF79" w:rsidR="004261C8" w:rsidRPr="00C34C12" w:rsidRDefault="004261C8" w:rsidP="00F93D56">
            <w:pPr>
              <w:pStyle w:val="TableText"/>
              <w:jc w:val="left"/>
              <w:rPr>
                <w:noProof w:val="0"/>
              </w:rPr>
            </w:pPr>
            <w:r w:rsidRPr="004B2D24">
              <w:t>Using Individualized Materials</w:t>
            </w:r>
          </w:p>
        </w:tc>
        <w:tc>
          <w:tcPr>
            <w:tcW w:w="864" w:type="dxa"/>
          </w:tcPr>
          <w:p w14:paraId="52193E84" w14:textId="46D3E9BE" w:rsidR="004261C8" w:rsidRPr="006012F4" w:rsidRDefault="00772517" w:rsidP="00F93D56">
            <w:pPr>
              <w:pStyle w:val="TableText"/>
              <w:rPr>
                <w:szCs w:val="24"/>
              </w:rPr>
            </w:pPr>
            <w:r>
              <w:rPr>
                <w:color w:val="000000"/>
                <w:szCs w:val="24"/>
              </w:rPr>
              <w:t>9</w:t>
            </w:r>
          </w:p>
        </w:tc>
        <w:tc>
          <w:tcPr>
            <w:tcW w:w="864" w:type="dxa"/>
          </w:tcPr>
          <w:p w14:paraId="2D8040F8" w14:textId="03EB9221" w:rsidR="004261C8" w:rsidRPr="006012F4" w:rsidRDefault="00772517" w:rsidP="00F93D56">
            <w:pPr>
              <w:pStyle w:val="TableText"/>
              <w:rPr>
                <w:szCs w:val="24"/>
              </w:rPr>
            </w:pPr>
            <w:r w:rsidRPr="005C5054">
              <w:rPr>
                <w:color w:val="000000"/>
                <w:szCs w:val="24"/>
              </w:rPr>
              <w:t>1%</w:t>
            </w:r>
          </w:p>
        </w:tc>
        <w:tc>
          <w:tcPr>
            <w:tcW w:w="864" w:type="dxa"/>
          </w:tcPr>
          <w:p w14:paraId="2C493CF7" w14:textId="7DDBE1D8" w:rsidR="004261C8" w:rsidRPr="006012F4" w:rsidRDefault="00772517" w:rsidP="00F93D56">
            <w:pPr>
              <w:pStyle w:val="TableText"/>
              <w:rPr>
                <w:szCs w:val="24"/>
              </w:rPr>
            </w:pPr>
            <w:r>
              <w:rPr>
                <w:color w:val="000000"/>
                <w:szCs w:val="24"/>
              </w:rPr>
              <w:t>7</w:t>
            </w:r>
          </w:p>
        </w:tc>
        <w:tc>
          <w:tcPr>
            <w:tcW w:w="864" w:type="dxa"/>
          </w:tcPr>
          <w:p w14:paraId="10B4A587" w14:textId="3C61E6B7" w:rsidR="000B7D39" w:rsidRPr="00046470" w:rsidRDefault="00772517" w:rsidP="00F93D56">
            <w:pPr>
              <w:pStyle w:val="TableText"/>
            </w:pPr>
            <w:r w:rsidRPr="005C5054">
              <w:t>1%</w:t>
            </w:r>
          </w:p>
        </w:tc>
        <w:tc>
          <w:tcPr>
            <w:tcW w:w="864" w:type="dxa"/>
          </w:tcPr>
          <w:p w14:paraId="7D3EDEB1" w14:textId="3B4EB088" w:rsidR="004261C8" w:rsidRPr="006012F4" w:rsidRDefault="00772517" w:rsidP="00F93D56">
            <w:pPr>
              <w:pStyle w:val="TableText"/>
              <w:rPr>
                <w:szCs w:val="24"/>
              </w:rPr>
            </w:pPr>
            <w:r>
              <w:rPr>
                <w:color w:val="000000"/>
                <w:szCs w:val="24"/>
              </w:rPr>
              <w:t>15</w:t>
            </w:r>
          </w:p>
        </w:tc>
        <w:tc>
          <w:tcPr>
            <w:tcW w:w="864" w:type="dxa"/>
          </w:tcPr>
          <w:p w14:paraId="6FF22469" w14:textId="5E9A166F" w:rsidR="004261C8" w:rsidRPr="006012F4" w:rsidRDefault="00772517" w:rsidP="00F93D56">
            <w:pPr>
              <w:pStyle w:val="TableText"/>
              <w:rPr>
                <w:szCs w:val="24"/>
              </w:rPr>
            </w:pPr>
            <w:r>
              <w:rPr>
                <w:color w:val="000000"/>
                <w:szCs w:val="24"/>
              </w:rPr>
              <w:t>2%</w:t>
            </w:r>
          </w:p>
        </w:tc>
        <w:tc>
          <w:tcPr>
            <w:tcW w:w="864" w:type="dxa"/>
          </w:tcPr>
          <w:p w14:paraId="376BB094" w14:textId="4CBA3D45" w:rsidR="004261C8" w:rsidRPr="006012F4" w:rsidRDefault="00772517" w:rsidP="00F93D56">
            <w:pPr>
              <w:pStyle w:val="TableText"/>
              <w:rPr>
                <w:szCs w:val="24"/>
              </w:rPr>
            </w:pPr>
            <w:r>
              <w:rPr>
                <w:color w:val="000000"/>
                <w:szCs w:val="24"/>
              </w:rPr>
              <w:t>6</w:t>
            </w:r>
          </w:p>
        </w:tc>
        <w:tc>
          <w:tcPr>
            <w:tcW w:w="864" w:type="dxa"/>
          </w:tcPr>
          <w:p w14:paraId="3961EEEA" w14:textId="227DBC49" w:rsidR="004261C8" w:rsidRPr="006012F4" w:rsidRDefault="00772517" w:rsidP="00F93D56">
            <w:pPr>
              <w:pStyle w:val="TableText"/>
              <w:rPr>
                <w:szCs w:val="24"/>
              </w:rPr>
            </w:pPr>
            <w:r>
              <w:rPr>
                <w:color w:val="000000"/>
                <w:szCs w:val="24"/>
              </w:rPr>
              <w:t>1%</w:t>
            </w:r>
          </w:p>
        </w:tc>
        <w:tc>
          <w:tcPr>
            <w:tcW w:w="864" w:type="dxa"/>
          </w:tcPr>
          <w:p w14:paraId="7D1755FB" w14:textId="23B341F6" w:rsidR="004261C8" w:rsidRPr="006012F4" w:rsidRDefault="00772517" w:rsidP="00F93D56">
            <w:pPr>
              <w:pStyle w:val="TableText"/>
              <w:rPr>
                <w:szCs w:val="24"/>
              </w:rPr>
            </w:pPr>
            <w:r>
              <w:rPr>
                <w:color w:val="000000"/>
                <w:szCs w:val="24"/>
              </w:rPr>
              <w:t>10</w:t>
            </w:r>
          </w:p>
        </w:tc>
        <w:tc>
          <w:tcPr>
            <w:tcW w:w="864" w:type="dxa"/>
          </w:tcPr>
          <w:p w14:paraId="034A6943" w14:textId="3AA78B53" w:rsidR="004261C8" w:rsidRPr="006012F4" w:rsidRDefault="00772517" w:rsidP="00F93D56">
            <w:pPr>
              <w:pStyle w:val="TableText"/>
              <w:rPr>
                <w:szCs w:val="24"/>
              </w:rPr>
            </w:pPr>
            <w:r w:rsidRPr="005C5054">
              <w:rPr>
                <w:color w:val="000000"/>
                <w:szCs w:val="24"/>
              </w:rPr>
              <w:t>1%</w:t>
            </w:r>
          </w:p>
        </w:tc>
        <w:tc>
          <w:tcPr>
            <w:tcW w:w="864" w:type="dxa"/>
          </w:tcPr>
          <w:p w14:paraId="58B4D22E" w14:textId="2652A1BE" w:rsidR="004261C8" w:rsidRPr="006012F4" w:rsidRDefault="00772517" w:rsidP="00F93D56">
            <w:pPr>
              <w:pStyle w:val="TableText"/>
              <w:rPr>
                <w:szCs w:val="24"/>
              </w:rPr>
            </w:pPr>
            <w:r>
              <w:rPr>
                <w:color w:val="000000"/>
                <w:szCs w:val="24"/>
              </w:rPr>
              <w:t>6</w:t>
            </w:r>
          </w:p>
        </w:tc>
        <w:tc>
          <w:tcPr>
            <w:tcW w:w="936" w:type="dxa"/>
          </w:tcPr>
          <w:p w14:paraId="2BF01A50" w14:textId="50AFF340" w:rsidR="004261C8" w:rsidRPr="006012F4" w:rsidRDefault="00772517" w:rsidP="00F93D56">
            <w:pPr>
              <w:pStyle w:val="TableText"/>
              <w:rPr>
                <w:szCs w:val="24"/>
              </w:rPr>
            </w:pPr>
            <w:r w:rsidRPr="005C5054">
              <w:rPr>
                <w:color w:val="000000"/>
                <w:szCs w:val="24"/>
              </w:rPr>
              <w:t>1%</w:t>
            </w:r>
          </w:p>
        </w:tc>
      </w:tr>
    </w:tbl>
    <w:p w14:paraId="4870DCF7" w14:textId="6E868997" w:rsidR="000125FB" w:rsidRPr="00C34C12" w:rsidRDefault="000125FB" w:rsidP="000125FB">
      <w:pPr>
        <w:pStyle w:val="Caption"/>
      </w:pPr>
      <w:bookmarkStart w:id="436" w:name="_Toc30414268"/>
      <w:bookmarkStart w:id="437" w:name="_Toc38901375"/>
      <w:bookmarkStart w:id="438" w:name="_Toc67319693"/>
      <w:bookmarkStart w:id="439" w:name="_Toc220498697"/>
      <w:r w:rsidRPr="00C34C12">
        <w:lastRenderedPageBreak/>
        <w:t xml:space="preserve">Table </w:t>
      </w:r>
      <w:r>
        <w:fldChar w:fldCharType="begin"/>
      </w:r>
      <w:r>
        <w:instrText>STYLEREF 2 \s</w:instrText>
      </w:r>
      <w:r>
        <w:fldChar w:fldCharType="separate"/>
      </w:r>
      <w:r w:rsidR="00961502">
        <w:rPr>
          <w:noProof/>
        </w:rPr>
        <w:t>5</w:t>
      </w:r>
      <w:r>
        <w:fldChar w:fldCharType="end"/>
      </w:r>
      <w:r w:rsidR="00A40753">
        <w:t>.</w:t>
      </w:r>
      <w:r>
        <w:fldChar w:fldCharType="begin"/>
      </w:r>
      <w:r>
        <w:instrText>SEQ Table \* ARABIC \s 2</w:instrText>
      </w:r>
      <w:r>
        <w:fldChar w:fldCharType="separate"/>
      </w:r>
      <w:r w:rsidR="00961502">
        <w:rPr>
          <w:noProof/>
        </w:rPr>
        <w:t>2</w:t>
      </w:r>
      <w:r>
        <w:fldChar w:fldCharType="end"/>
      </w:r>
      <w:r w:rsidRPr="00C34C12">
        <w:t xml:space="preserve"> </w:t>
      </w:r>
      <w:r w:rsidRPr="00C34C12">
        <w:rPr>
          <w:rStyle w:val="CaptionChar"/>
          <w:rFonts w:eastAsia="SimSun"/>
          <w:b/>
        </w:rPr>
        <w:t xml:space="preserve"> Individualizations—Grade Eight</w:t>
      </w:r>
      <w:bookmarkEnd w:id="436"/>
      <w:bookmarkEnd w:id="437"/>
      <w:bookmarkEnd w:id="438"/>
      <w:bookmarkEnd w:id="439"/>
    </w:p>
    <w:tbl>
      <w:tblPr>
        <w:tblStyle w:val="TRs"/>
        <w:tblW w:w="13896" w:type="dxa"/>
        <w:tblLayout w:type="fixed"/>
        <w:tblLook w:val="0020" w:firstRow="1" w:lastRow="0" w:firstColumn="0" w:lastColumn="0" w:noHBand="0" w:noVBand="0"/>
        <w:tblDescription w:val="Individualizations during grade eight testing"/>
      </w:tblPr>
      <w:tblGrid>
        <w:gridCol w:w="3456"/>
        <w:gridCol w:w="864"/>
        <w:gridCol w:w="864"/>
        <w:gridCol w:w="864"/>
        <w:gridCol w:w="864"/>
        <w:gridCol w:w="864"/>
        <w:gridCol w:w="864"/>
        <w:gridCol w:w="864"/>
        <w:gridCol w:w="864"/>
        <w:gridCol w:w="864"/>
        <w:gridCol w:w="864"/>
        <w:gridCol w:w="864"/>
        <w:gridCol w:w="936"/>
      </w:tblGrid>
      <w:tr w:rsidR="008C24F5" w:rsidRPr="00C34C12" w14:paraId="29E38382" w14:textId="77777777" w:rsidTr="00907F51">
        <w:trPr>
          <w:cnfStyle w:val="100000000000" w:firstRow="1" w:lastRow="0" w:firstColumn="0" w:lastColumn="0" w:oddVBand="0" w:evenVBand="0" w:oddHBand="0" w:evenHBand="0" w:firstRowFirstColumn="0" w:firstRowLastColumn="0" w:lastRowFirstColumn="0" w:lastRowLastColumn="0"/>
          <w:trHeight w:val="4032"/>
        </w:trPr>
        <w:tc>
          <w:tcPr>
            <w:tcW w:w="3456" w:type="dxa"/>
          </w:tcPr>
          <w:p w14:paraId="2CD9CAD8" w14:textId="0AD7F96C" w:rsidR="004261C8" w:rsidRPr="00C34C12" w:rsidRDefault="004261C8" w:rsidP="004261C8">
            <w:pPr>
              <w:pStyle w:val="TableHead"/>
              <w:rPr>
                <w:b w:val="0"/>
                <w:bCs w:val="0"/>
                <w:noProof w:val="0"/>
              </w:rPr>
            </w:pPr>
            <w:bookmarkStart w:id="440" w:name="_Ref22221180"/>
            <w:r w:rsidRPr="004B2D24">
              <w:rPr>
                <w:noProof w:val="0"/>
              </w:rPr>
              <w:t>Individualization</w:t>
            </w:r>
          </w:p>
        </w:tc>
        <w:tc>
          <w:tcPr>
            <w:tcW w:w="864" w:type="dxa"/>
            <w:textDirection w:val="btLr"/>
            <w:vAlign w:val="center"/>
          </w:tcPr>
          <w:p w14:paraId="3A479583" w14:textId="7CADA65F" w:rsidR="004261C8" w:rsidRPr="00C34C12" w:rsidRDefault="004261C8" w:rsidP="00505B10">
            <w:pPr>
              <w:pStyle w:val="TableHead"/>
              <w:spacing w:before="0" w:after="0"/>
              <w:ind w:left="72" w:right="72"/>
              <w:jc w:val="left"/>
              <w:rPr>
                <w:b w:val="0"/>
                <w:bCs w:val="0"/>
                <w:noProof w:val="0"/>
              </w:rPr>
            </w:pPr>
            <w:r w:rsidRPr="004B2D24">
              <w:rPr>
                <w:noProof w:val="0"/>
              </w:rPr>
              <w:t>PT 1 (Life Sciences), Activity 1—Number</w:t>
            </w:r>
          </w:p>
        </w:tc>
        <w:tc>
          <w:tcPr>
            <w:tcW w:w="864" w:type="dxa"/>
            <w:textDirection w:val="btLr"/>
            <w:vAlign w:val="center"/>
          </w:tcPr>
          <w:p w14:paraId="673FA2A5" w14:textId="6EFD35B1" w:rsidR="004261C8" w:rsidRPr="00C34C12" w:rsidRDefault="004261C8" w:rsidP="00505B10">
            <w:pPr>
              <w:pStyle w:val="TableHead"/>
              <w:spacing w:before="0" w:after="0"/>
              <w:ind w:left="72" w:right="72"/>
              <w:jc w:val="left"/>
              <w:rPr>
                <w:b w:val="0"/>
                <w:bCs w:val="0"/>
                <w:noProof w:val="0"/>
              </w:rPr>
            </w:pPr>
            <w:r w:rsidRPr="004B2D24">
              <w:rPr>
                <w:noProof w:val="0"/>
              </w:rPr>
              <w:t>PT 1 (Life Sciences), Activity 1—Percent of Total</w:t>
            </w:r>
          </w:p>
        </w:tc>
        <w:tc>
          <w:tcPr>
            <w:tcW w:w="864" w:type="dxa"/>
            <w:textDirection w:val="btLr"/>
            <w:vAlign w:val="center"/>
          </w:tcPr>
          <w:p w14:paraId="0F4F8EE7" w14:textId="76525167" w:rsidR="004261C8" w:rsidRPr="00C34C12" w:rsidRDefault="004261C8" w:rsidP="00505B10">
            <w:pPr>
              <w:pStyle w:val="TableHead"/>
              <w:spacing w:before="0" w:after="0"/>
              <w:ind w:left="72" w:right="72"/>
              <w:jc w:val="left"/>
              <w:rPr>
                <w:b w:val="0"/>
                <w:bCs w:val="0"/>
                <w:noProof w:val="0"/>
              </w:rPr>
            </w:pPr>
            <w:r w:rsidRPr="004B2D24">
              <w:rPr>
                <w:noProof w:val="0"/>
              </w:rPr>
              <w:t>PT 1 (Life Sciences), Activity 2—Number</w:t>
            </w:r>
          </w:p>
        </w:tc>
        <w:tc>
          <w:tcPr>
            <w:tcW w:w="864" w:type="dxa"/>
            <w:textDirection w:val="btLr"/>
            <w:vAlign w:val="center"/>
          </w:tcPr>
          <w:p w14:paraId="7A29EA2A" w14:textId="47B25066" w:rsidR="004261C8" w:rsidRPr="00C34C12" w:rsidRDefault="004261C8" w:rsidP="00505B10">
            <w:pPr>
              <w:pStyle w:val="TableHead"/>
              <w:spacing w:before="0" w:after="0"/>
              <w:ind w:left="72" w:right="72"/>
              <w:jc w:val="left"/>
              <w:rPr>
                <w:b w:val="0"/>
                <w:bCs w:val="0"/>
                <w:noProof w:val="0"/>
              </w:rPr>
            </w:pPr>
            <w:r w:rsidRPr="004B2D24">
              <w:rPr>
                <w:noProof w:val="0"/>
              </w:rPr>
              <w:t>PT 1 (Life Sciences), Activity 2—Percent of Total</w:t>
            </w:r>
          </w:p>
        </w:tc>
        <w:tc>
          <w:tcPr>
            <w:tcW w:w="864" w:type="dxa"/>
            <w:textDirection w:val="btLr"/>
            <w:vAlign w:val="center"/>
          </w:tcPr>
          <w:p w14:paraId="35093A94" w14:textId="44500CA9" w:rsidR="004261C8" w:rsidRPr="00C34C12" w:rsidRDefault="004261C8" w:rsidP="00505B10">
            <w:pPr>
              <w:pStyle w:val="TableHead"/>
              <w:spacing w:before="0" w:after="0"/>
              <w:ind w:left="72" w:right="72"/>
              <w:jc w:val="left"/>
              <w:rPr>
                <w:b w:val="0"/>
                <w:bCs w:val="0"/>
                <w:noProof w:val="0"/>
              </w:rPr>
            </w:pPr>
            <w:r w:rsidRPr="004B2D24">
              <w:rPr>
                <w:noProof w:val="0"/>
              </w:rPr>
              <w:t>PT 2 (Physical Sciences), Activity 1—Number</w:t>
            </w:r>
          </w:p>
        </w:tc>
        <w:tc>
          <w:tcPr>
            <w:tcW w:w="864" w:type="dxa"/>
            <w:textDirection w:val="btLr"/>
            <w:vAlign w:val="center"/>
          </w:tcPr>
          <w:p w14:paraId="3E191A34" w14:textId="53B92490" w:rsidR="004261C8" w:rsidRPr="00C34C12" w:rsidRDefault="004261C8" w:rsidP="00505B10">
            <w:pPr>
              <w:pStyle w:val="TableHead"/>
              <w:spacing w:before="0" w:after="0"/>
              <w:ind w:left="72" w:right="72"/>
              <w:jc w:val="left"/>
              <w:rPr>
                <w:b w:val="0"/>
                <w:bCs w:val="0"/>
                <w:noProof w:val="0"/>
              </w:rPr>
            </w:pPr>
            <w:r w:rsidRPr="004B2D24">
              <w:rPr>
                <w:noProof w:val="0"/>
              </w:rPr>
              <w:t>PT 2 (Physical Sciences), Activity 1—Percent of Total</w:t>
            </w:r>
          </w:p>
        </w:tc>
        <w:tc>
          <w:tcPr>
            <w:tcW w:w="864" w:type="dxa"/>
            <w:textDirection w:val="btLr"/>
            <w:vAlign w:val="center"/>
          </w:tcPr>
          <w:p w14:paraId="640F1FF2" w14:textId="598F52B6" w:rsidR="004261C8" w:rsidRPr="00C34C12" w:rsidRDefault="004261C8" w:rsidP="00505B10">
            <w:pPr>
              <w:pStyle w:val="TableHead"/>
              <w:spacing w:before="0" w:after="0"/>
              <w:ind w:left="72" w:right="72"/>
              <w:jc w:val="left"/>
              <w:rPr>
                <w:b w:val="0"/>
                <w:bCs w:val="0"/>
                <w:noProof w:val="0"/>
              </w:rPr>
            </w:pPr>
            <w:r w:rsidRPr="004B2D24">
              <w:rPr>
                <w:noProof w:val="0"/>
              </w:rPr>
              <w:t>PT 2 (Physical Sciences), Activity 2—Number</w:t>
            </w:r>
          </w:p>
        </w:tc>
        <w:tc>
          <w:tcPr>
            <w:tcW w:w="864" w:type="dxa"/>
            <w:textDirection w:val="btLr"/>
            <w:vAlign w:val="center"/>
          </w:tcPr>
          <w:p w14:paraId="334965B3" w14:textId="3E674282" w:rsidR="004261C8" w:rsidRPr="00C34C12" w:rsidRDefault="004261C8" w:rsidP="00505B10">
            <w:pPr>
              <w:pStyle w:val="TableHead"/>
              <w:spacing w:before="0" w:after="0"/>
              <w:ind w:left="72" w:right="72"/>
              <w:jc w:val="left"/>
              <w:rPr>
                <w:b w:val="0"/>
                <w:bCs w:val="0"/>
                <w:noProof w:val="0"/>
              </w:rPr>
            </w:pPr>
            <w:r w:rsidRPr="004B2D24">
              <w:rPr>
                <w:noProof w:val="0"/>
              </w:rPr>
              <w:t>PT 2 (Physical Sciences), Activity 2—Percent of Total</w:t>
            </w:r>
          </w:p>
        </w:tc>
        <w:tc>
          <w:tcPr>
            <w:tcW w:w="864" w:type="dxa"/>
            <w:textDirection w:val="btLr"/>
            <w:vAlign w:val="center"/>
          </w:tcPr>
          <w:p w14:paraId="21CF5540" w14:textId="3B1C5224" w:rsidR="004261C8" w:rsidRPr="00C34C12" w:rsidRDefault="004261C8" w:rsidP="00505B10">
            <w:pPr>
              <w:pStyle w:val="TableHead"/>
              <w:spacing w:before="0" w:after="0"/>
              <w:ind w:left="72" w:right="72"/>
              <w:jc w:val="left"/>
              <w:rPr>
                <w:b w:val="0"/>
                <w:bCs w:val="0"/>
                <w:noProof w:val="0"/>
              </w:rPr>
            </w:pPr>
            <w:r w:rsidRPr="004B2D24">
              <w:rPr>
                <w:noProof w:val="0"/>
              </w:rPr>
              <w:t>PT 3 (Earth and Space Sciences), Activity 1—Number</w:t>
            </w:r>
          </w:p>
        </w:tc>
        <w:tc>
          <w:tcPr>
            <w:tcW w:w="864" w:type="dxa"/>
            <w:textDirection w:val="btLr"/>
            <w:vAlign w:val="center"/>
          </w:tcPr>
          <w:p w14:paraId="2A064E32" w14:textId="2626ECE8" w:rsidR="004261C8" w:rsidRPr="00C34C12" w:rsidRDefault="004261C8" w:rsidP="00505B10">
            <w:pPr>
              <w:pStyle w:val="TableHead"/>
              <w:spacing w:before="0" w:after="0"/>
              <w:ind w:left="72" w:right="72"/>
              <w:jc w:val="left"/>
              <w:rPr>
                <w:b w:val="0"/>
                <w:bCs w:val="0"/>
                <w:noProof w:val="0"/>
              </w:rPr>
            </w:pPr>
            <w:r w:rsidRPr="004B2D24">
              <w:rPr>
                <w:noProof w:val="0"/>
              </w:rPr>
              <w:t>PT 3 (Earth and Space Sciences), Activity 1—Percent of Total</w:t>
            </w:r>
          </w:p>
        </w:tc>
        <w:tc>
          <w:tcPr>
            <w:tcW w:w="864" w:type="dxa"/>
            <w:textDirection w:val="btLr"/>
            <w:vAlign w:val="center"/>
          </w:tcPr>
          <w:p w14:paraId="4EF294C0" w14:textId="4F0806AE" w:rsidR="004261C8" w:rsidRPr="00C34C12" w:rsidRDefault="004261C8" w:rsidP="00505B10">
            <w:pPr>
              <w:pStyle w:val="TableHead"/>
              <w:spacing w:before="0" w:after="0"/>
              <w:ind w:left="72" w:right="72"/>
              <w:jc w:val="left"/>
              <w:rPr>
                <w:b w:val="0"/>
                <w:bCs w:val="0"/>
                <w:noProof w:val="0"/>
              </w:rPr>
            </w:pPr>
            <w:r w:rsidRPr="004B2D24">
              <w:rPr>
                <w:noProof w:val="0"/>
              </w:rPr>
              <w:t>PT 3 (Earth and Space Sciences), Activity 2—Number</w:t>
            </w:r>
          </w:p>
        </w:tc>
        <w:tc>
          <w:tcPr>
            <w:tcW w:w="936" w:type="dxa"/>
            <w:textDirection w:val="btLr"/>
            <w:vAlign w:val="center"/>
          </w:tcPr>
          <w:p w14:paraId="4B41799E" w14:textId="315B2792" w:rsidR="004261C8" w:rsidRPr="00C34C12" w:rsidRDefault="004261C8" w:rsidP="00505B10">
            <w:pPr>
              <w:pStyle w:val="TableHead"/>
              <w:spacing w:before="0" w:after="0"/>
              <w:ind w:left="72" w:right="72"/>
              <w:jc w:val="left"/>
              <w:rPr>
                <w:b w:val="0"/>
                <w:bCs w:val="0"/>
                <w:noProof w:val="0"/>
              </w:rPr>
            </w:pPr>
            <w:r w:rsidRPr="004B2D24">
              <w:rPr>
                <w:noProof w:val="0"/>
              </w:rPr>
              <w:t>PT 3 (Earth and Space Sciences), Activity 2—Percent of Total</w:t>
            </w:r>
          </w:p>
        </w:tc>
      </w:tr>
      <w:tr w:rsidR="004261C8" w:rsidRPr="00C34C12" w14:paraId="4EF4DC38" w14:textId="77777777" w:rsidTr="00505B10">
        <w:tc>
          <w:tcPr>
            <w:tcW w:w="3456" w:type="dxa"/>
          </w:tcPr>
          <w:p w14:paraId="1838D54A" w14:textId="424F223A" w:rsidR="004261C8" w:rsidRPr="00C34C12" w:rsidRDefault="004261C8" w:rsidP="004261C8">
            <w:pPr>
              <w:pStyle w:val="TableText"/>
              <w:keepNext/>
              <w:jc w:val="left"/>
              <w:rPr>
                <w:noProof w:val="0"/>
              </w:rPr>
            </w:pPr>
            <w:r w:rsidRPr="004B2D24">
              <w:t>Using Standardized Scripts</w:t>
            </w:r>
          </w:p>
        </w:tc>
        <w:tc>
          <w:tcPr>
            <w:tcW w:w="864" w:type="dxa"/>
          </w:tcPr>
          <w:p w14:paraId="575B4129" w14:textId="28EF3A52" w:rsidR="004261C8" w:rsidRPr="006E1F47" w:rsidRDefault="00B4357A" w:rsidP="004261C8">
            <w:pPr>
              <w:pStyle w:val="TableText"/>
              <w:rPr>
                <w:szCs w:val="24"/>
              </w:rPr>
            </w:pPr>
            <w:r w:rsidRPr="00FC713E">
              <w:rPr>
                <w:color w:val="000000"/>
                <w:szCs w:val="24"/>
              </w:rPr>
              <w:t>799</w:t>
            </w:r>
          </w:p>
        </w:tc>
        <w:tc>
          <w:tcPr>
            <w:tcW w:w="864" w:type="dxa"/>
          </w:tcPr>
          <w:p w14:paraId="62DFB475" w14:textId="7C9D1F5F" w:rsidR="004261C8" w:rsidRPr="006E1F47" w:rsidRDefault="00B4357A" w:rsidP="004261C8">
            <w:pPr>
              <w:pStyle w:val="TableText"/>
              <w:rPr>
                <w:szCs w:val="24"/>
              </w:rPr>
            </w:pPr>
            <w:r w:rsidRPr="00FC713E">
              <w:rPr>
                <w:color w:val="000000"/>
                <w:szCs w:val="24"/>
              </w:rPr>
              <w:t>99%</w:t>
            </w:r>
          </w:p>
        </w:tc>
        <w:tc>
          <w:tcPr>
            <w:tcW w:w="864" w:type="dxa"/>
          </w:tcPr>
          <w:p w14:paraId="3B1AE24B" w14:textId="32C97992" w:rsidR="004261C8" w:rsidRPr="006E1F47" w:rsidRDefault="00B4357A" w:rsidP="004261C8">
            <w:pPr>
              <w:pStyle w:val="TableText"/>
              <w:rPr>
                <w:szCs w:val="24"/>
              </w:rPr>
            </w:pPr>
            <w:r w:rsidRPr="00FC713E">
              <w:rPr>
                <w:color w:val="000000"/>
                <w:szCs w:val="24"/>
              </w:rPr>
              <w:t>798</w:t>
            </w:r>
          </w:p>
        </w:tc>
        <w:tc>
          <w:tcPr>
            <w:tcW w:w="864" w:type="dxa"/>
          </w:tcPr>
          <w:p w14:paraId="11681F68" w14:textId="7649ABD4" w:rsidR="004261C8" w:rsidRPr="006E1F47" w:rsidRDefault="00B4357A" w:rsidP="004261C8">
            <w:pPr>
              <w:pStyle w:val="TableText"/>
              <w:rPr>
                <w:szCs w:val="24"/>
              </w:rPr>
            </w:pPr>
            <w:r w:rsidRPr="00FC713E">
              <w:rPr>
                <w:color w:val="000000"/>
                <w:szCs w:val="24"/>
              </w:rPr>
              <w:t>99%</w:t>
            </w:r>
          </w:p>
        </w:tc>
        <w:tc>
          <w:tcPr>
            <w:tcW w:w="864" w:type="dxa"/>
          </w:tcPr>
          <w:p w14:paraId="6289892F" w14:textId="0351E366" w:rsidR="004261C8" w:rsidRPr="006E1F47" w:rsidRDefault="00B4357A" w:rsidP="004261C8">
            <w:pPr>
              <w:pStyle w:val="TableText"/>
              <w:rPr>
                <w:szCs w:val="24"/>
              </w:rPr>
            </w:pPr>
            <w:r w:rsidRPr="00FC713E">
              <w:rPr>
                <w:color w:val="000000"/>
                <w:szCs w:val="24"/>
              </w:rPr>
              <w:t>792</w:t>
            </w:r>
          </w:p>
        </w:tc>
        <w:tc>
          <w:tcPr>
            <w:tcW w:w="864" w:type="dxa"/>
          </w:tcPr>
          <w:p w14:paraId="5160B6F3" w14:textId="778D6B6F" w:rsidR="004261C8" w:rsidRPr="006E1F47" w:rsidRDefault="00B4357A" w:rsidP="004261C8">
            <w:pPr>
              <w:pStyle w:val="TableText"/>
              <w:rPr>
                <w:szCs w:val="24"/>
              </w:rPr>
            </w:pPr>
            <w:r w:rsidRPr="00FC713E">
              <w:rPr>
                <w:color w:val="000000"/>
                <w:szCs w:val="24"/>
              </w:rPr>
              <w:t>99%</w:t>
            </w:r>
          </w:p>
        </w:tc>
        <w:tc>
          <w:tcPr>
            <w:tcW w:w="864" w:type="dxa"/>
          </w:tcPr>
          <w:p w14:paraId="0657712E" w14:textId="075F880D" w:rsidR="004261C8" w:rsidRPr="006E1F47" w:rsidRDefault="00B4357A" w:rsidP="004261C8">
            <w:pPr>
              <w:pStyle w:val="TableText"/>
              <w:rPr>
                <w:szCs w:val="24"/>
              </w:rPr>
            </w:pPr>
            <w:r w:rsidRPr="00FC713E">
              <w:rPr>
                <w:color w:val="000000"/>
                <w:szCs w:val="24"/>
              </w:rPr>
              <w:t>795</w:t>
            </w:r>
          </w:p>
        </w:tc>
        <w:tc>
          <w:tcPr>
            <w:tcW w:w="864" w:type="dxa"/>
          </w:tcPr>
          <w:p w14:paraId="639DB093" w14:textId="76F3158A" w:rsidR="004261C8" w:rsidRPr="006E1F47" w:rsidRDefault="00B4357A" w:rsidP="004261C8">
            <w:pPr>
              <w:pStyle w:val="TableText"/>
              <w:rPr>
                <w:szCs w:val="24"/>
              </w:rPr>
            </w:pPr>
            <w:r w:rsidRPr="00FC713E">
              <w:rPr>
                <w:color w:val="000000"/>
                <w:szCs w:val="24"/>
              </w:rPr>
              <w:t>99%</w:t>
            </w:r>
          </w:p>
        </w:tc>
        <w:tc>
          <w:tcPr>
            <w:tcW w:w="864" w:type="dxa"/>
          </w:tcPr>
          <w:p w14:paraId="338BE074" w14:textId="668E3F86" w:rsidR="004261C8" w:rsidRPr="006E1F47" w:rsidRDefault="00B4357A" w:rsidP="004261C8">
            <w:pPr>
              <w:pStyle w:val="TableText"/>
              <w:rPr>
                <w:szCs w:val="24"/>
              </w:rPr>
            </w:pPr>
            <w:r w:rsidRPr="00FC713E">
              <w:rPr>
                <w:color w:val="000000"/>
                <w:szCs w:val="24"/>
              </w:rPr>
              <w:t>792</w:t>
            </w:r>
          </w:p>
        </w:tc>
        <w:tc>
          <w:tcPr>
            <w:tcW w:w="864" w:type="dxa"/>
          </w:tcPr>
          <w:p w14:paraId="182E8EF2" w14:textId="7A27E333" w:rsidR="004261C8" w:rsidRPr="006E1F47" w:rsidRDefault="00B4357A" w:rsidP="004261C8">
            <w:pPr>
              <w:pStyle w:val="TableText"/>
              <w:rPr>
                <w:szCs w:val="24"/>
              </w:rPr>
            </w:pPr>
            <w:r w:rsidRPr="00FC713E">
              <w:rPr>
                <w:color w:val="000000"/>
                <w:szCs w:val="24"/>
              </w:rPr>
              <w:t>99%</w:t>
            </w:r>
          </w:p>
        </w:tc>
        <w:tc>
          <w:tcPr>
            <w:tcW w:w="864" w:type="dxa"/>
          </w:tcPr>
          <w:p w14:paraId="4D2E945C" w14:textId="67440E77" w:rsidR="004261C8" w:rsidRPr="006E1F47" w:rsidRDefault="00B4357A" w:rsidP="004261C8">
            <w:pPr>
              <w:pStyle w:val="TableText"/>
              <w:rPr>
                <w:szCs w:val="24"/>
              </w:rPr>
            </w:pPr>
            <w:r w:rsidRPr="00FC713E">
              <w:rPr>
                <w:color w:val="000000"/>
                <w:szCs w:val="24"/>
              </w:rPr>
              <w:t>794</w:t>
            </w:r>
          </w:p>
        </w:tc>
        <w:tc>
          <w:tcPr>
            <w:tcW w:w="936" w:type="dxa"/>
          </w:tcPr>
          <w:p w14:paraId="0EFE5AFA" w14:textId="38EBDDA6" w:rsidR="004261C8" w:rsidRPr="006E1F47" w:rsidRDefault="00B4357A" w:rsidP="004261C8">
            <w:pPr>
              <w:pStyle w:val="TableText"/>
              <w:rPr>
                <w:szCs w:val="24"/>
              </w:rPr>
            </w:pPr>
            <w:r w:rsidRPr="00FC713E">
              <w:rPr>
                <w:color w:val="000000"/>
                <w:szCs w:val="24"/>
              </w:rPr>
              <w:t>99%</w:t>
            </w:r>
          </w:p>
        </w:tc>
      </w:tr>
      <w:tr w:rsidR="004261C8" w:rsidRPr="00C34C12" w14:paraId="47E8F7A2" w14:textId="77777777" w:rsidTr="00505B10">
        <w:tc>
          <w:tcPr>
            <w:tcW w:w="3456" w:type="dxa"/>
          </w:tcPr>
          <w:p w14:paraId="22B1416A" w14:textId="7C37A781" w:rsidR="004261C8" w:rsidRPr="00C34C12" w:rsidRDefault="004261C8" w:rsidP="004261C8">
            <w:pPr>
              <w:pStyle w:val="TableText"/>
              <w:jc w:val="left"/>
              <w:rPr>
                <w:noProof w:val="0"/>
              </w:rPr>
            </w:pPr>
            <w:r w:rsidRPr="004B2D24">
              <w:t>Using Individualized Scripts</w:t>
            </w:r>
          </w:p>
        </w:tc>
        <w:tc>
          <w:tcPr>
            <w:tcW w:w="864" w:type="dxa"/>
          </w:tcPr>
          <w:p w14:paraId="052736A9" w14:textId="4BA2EACB" w:rsidR="004261C8" w:rsidRPr="006E1F47" w:rsidRDefault="00B4357A" w:rsidP="004261C8">
            <w:pPr>
              <w:pStyle w:val="TableText"/>
              <w:rPr>
                <w:szCs w:val="24"/>
              </w:rPr>
            </w:pPr>
            <w:r w:rsidRPr="00FC713E">
              <w:rPr>
                <w:color w:val="000000"/>
                <w:szCs w:val="24"/>
              </w:rPr>
              <w:t>5</w:t>
            </w:r>
          </w:p>
        </w:tc>
        <w:tc>
          <w:tcPr>
            <w:tcW w:w="864" w:type="dxa"/>
          </w:tcPr>
          <w:p w14:paraId="4C6898E2" w14:textId="44163E25" w:rsidR="004261C8" w:rsidRPr="006E1F47" w:rsidRDefault="00B4357A" w:rsidP="004261C8">
            <w:pPr>
              <w:pStyle w:val="TableText"/>
              <w:rPr>
                <w:szCs w:val="24"/>
              </w:rPr>
            </w:pPr>
            <w:r w:rsidRPr="00FC713E">
              <w:rPr>
                <w:color w:val="000000"/>
                <w:szCs w:val="24"/>
              </w:rPr>
              <w:t>1%</w:t>
            </w:r>
          </w:p>
        </w:tc>
        <w:tc>
          <w:tcPr>
            <w:tcW w:w="864" w:type="dxa"/>
          </w:tcPr>
          <w:p w14:paraId="63BDE560" w14:textId="245AE776" w:rsidR="004261C8" w:rsidRPr="006E1F47" w:rsidRDefault="00B4357A" w:rsidP="004261C8">
            <w:pPr>
              <w:pStyle w:val="TableText"/>
              <w:rPr>
                <w:szCs w:val="24"/>
              </w:rPr>
            </w:pPr>
            <w:r w:rsidRPr="00FC713E">
              <w:rPr>
                <w:color w:val="000000"/>
                <w:szCs w:val="24"/>
              </w:rPr>
              <w:t>6</w:t>
            </w:r>
          </w:p>
        </w:tc>
        <w:tc>
          <w:tcPr>
            <w:tcW w:w="864" w:type="dxa"/>
          </w:tcPr>
          <w:p w14:paraId="07157476" w14:textId="4E6E616C" w:rsidR="004261C8" w:rsidRPr="006E1F47" w:rsidRDefault="00B4357A" w:rsidP="004261C8">
            <w:pPr>
              <w:pStyle w:val="TableText"/>
              <w:rPr>
                <w:szCs w:val="24"/>
              </w:rPr>
            </w:pPr>
            <w:r w:rsidRPr="00FC713E">
              <w:rPr>
                <w:color w:val="000000"/>
                <w:szCs w:val="24"/>
              </w:rPr>
              <w:t>1%</w:t>
            </w:r>
          </w:p>
        </w:tc>
        <w:tc>
          <w:tcPr>
            <w:tcW w:w="864" w:type="dxa"/>
          </w:tcPr>
          <w:p w14:paraId="5D218B83" w14:textId="7B9C57FA" w:rsidR="004261C8" w:rsidRPr="006E1F47" w:rsidRDefault="00B4357A" w:rsidP="004261C8">
            <w:pPr>
              <w:pStyle w:val="TableText"/>
              <w:rPr>
                <w:szCs w:val="24"/>
              </w:rPr>
            </w:pPr>
            <w:r w:rsidRPr="00FC713E">
              <w:rPr>
                <w:color w:val="000000"/>
                <w:szCs w:val="24"/>
              </w:rPr>
              <w:t>12</w:t>
            </w:r>
          </w:p>
        </w:tc>
        <w:tc>
          <w:tcPr>
            <w:tcW w:w="864" w:type="dxa"/>
          </w:tcPr>
          <w:p w14:paraId="6AF206B7" w14:textId="37E819AB" w:rsidR="004261C8" w:rsidRPr="006E1F47" w:rsidRDefault="00B4357A" w:rsidP="004261C8">
            <w:pPr>
              <w:pStyle w:val="TableText"/>
              <w:rPr>
                <w:szCs w:val="24"/>
              </w:rPr>
            </w:pPr>
            <w:r w:rsidRPr="00FC713E">
              <w:rPr>
                <w:color w:val="000000"/>
                <w:szCs w:val="24"/>
              </w:rPr>
              <w:t>1%</w:t>
            </w:r>
          </w:p>
        </w:tc>
        <w:tc>
          <w:tcPr>
            <w:tcW w:w="864" w:type="dxa"/>
          </w:tcPr>
          <w:p w14:paraId="61F88A6C" w14:textId="5E2D74BC" w:rsidR="004261C8" w:rsidRPr="006E1F47" w:rsidRDefault="00B4357A" w:rsidP="004261C8">
            <w:pPr>
              <w:pStyle w:val="TableText"/>
              <w:rPr>
                <w:szCs w:val="24"/>
              </w:rPr>
            </w:pPr>
            <w:r w:rsidRPr="00FC713E">
              <w:rPr>
                <w:color w:val="000000"/>
                <w:szCs w:val="24"/>
              </w:rPr>
              <w:t>9</w:t>
            </w:r>
          </w:p>
        </w:tc>
        <w:tc>
          <w:tcPr>
            <w:tcW w:w="864" w:type="dxa"/>
          </w:tcPr>
          <w:p w14:paraId="16E33976" w14:textId="10E4324E" w:rsidR="004261C8" w:rsidRPr="006E1F47" w:rsidRDefault="00B4357A" w:rsidP="004261C8">
            <w:pPr>
              <w:pStyle w:val="TableText"/>
              <w:rPr>
                <w:szCs w:val="24"/>
              </w:rPr>
            </w:pPr>
            <w:r w:rsidRPr="00FC713E">
              <w:rPr>
                <w:color w:val="000000"/>
                <w:szCs w:val="24"/>
              </w:rPr>
              <w:t>1%</w:t>
            </w:r>
          </w:p>
        </w:tc>
        <w:tc>
          <w:tcPr>
            <w:tcW w:w="864" w:type="dxa"/>
          </w:tcPr>
          <w:p w14:paraId="262030BF" w14:textId="1D6AA44B" w:rsidR="004261C8" w:rsidRPr="006E1F47" w:rsidRDefault="00B4357A" w:rsidP="004261C8">
            <w:pPr>
              <w:pStyle w:val="TableText"/>
              <w:rPr>
                <w:szCs w:val="24"/>
              </w:rPr>
            </w:pPr>
            <w:r w:rsidRPr="00FC713E">
              <w:rPr>
                <w:color w:val="000000"/>
                <w:szCs w:val="24"/>
              </w:rPr>
              <w:t>12</w:t>
            </w:r>
          </w:p>
        </w:tc>
        <w:tc>
          <w:tcPr>
            <w:tcW w:w="864" w:type="dxa"/>
          </w:tcPr>
          <w:p w14:paraId="3BFAD0CD" w14:textId="1F2D8F70" w:rsidR="004261C8" w:rsidRPr="006E1F47" w:rsidRDefault="00B4357A" w:rsidP="004261C8">
            <w:pPr>
              <w:pStyle w:val="TableText"/>
              <w:rPr>
                <w:szCs w:val="24"/>
              </w:rPr>
            </w:pPr>
            <w:r w:rsidRPr="00FC713E">
              <w:rPr>
                <w:color w:val="000000"/>
                <w:szCs w:val="24"/>
              </w:rPr>
              <w:t>1%</w:t>
            </w:r>
          </w:p>
        </w:tc>
        <w:tc>
          <w:tcPr>
            <w:tcW w:w="864" w:type="dxa"/>
          </w:tcPr>
          <w:p w14:paraId="202911E8" w14:textId="31E48C63" w:rsidR="004261C8" w:rsidRPr="006E1F47" w:rsidRDefault="00B4357A" w:rsidP="004261C8">
            <w:pPr>
              <w:pStyle w:val="TableText"/>
              <w:rPr>
                <w:szCs w:val="24"/>
              </w:rPr>
            </w:pPr>
            <w:r w:rsidRPr="00FC713E">
              <w:rPr>
                <w:color w:val="000000"/>
                <w:szCs w:val="24"/>
              </w:rPr>
              <w:t>10</w:t>
            </w:r>
          </w:p>
        </w:tc>
        <w:tc>
          <w:tcPr>
            <w:tcW w:w="936" w:type="dxa"/>
          </w:tcPr>
          <w:p w14:paraId="62A0A50E" w14:textId="27EA7D7F" w:rsidR="004261C8" w:rsidRPr="006E1F47" w:rsidRDefault="00B4357A" w:rsidP="004261C8">
            <w:pPr>
              <w:pStyle w:val="TableText"/>
              <w:rPr>
                <w:szCs w:val="24"/>
              </w:rPr>
            </w:pPr>
            <w:r w:rsidRPr="00FC713E">
              <w:rPr>
                <w:color w:val="000000"/>
                <w:szCs w:val="24"/>
              </w:rPr>
              <w:t>1%</w:t>
            </w:r>
          </w:p>
        </w:tc>
      </w:tr>
      <w:tr w:rsidR="004261C8" w:rsidRPr="00C34C12" w14:paraId="4761619E" w14:textId="77777777" w:rsidTr="00505B10">
        <w:tc>
          <w:tcPr>
            <w:tcW w:w="3456" w:type="dxa"/>
          </w:tcPr>
          <w:p w14:paraId="4AEAEA22" w14:textId="5012E58D" w:rsidR="004261C8" w:rsidRPr="00C34C12" w:rsidRDefault="004261C8" w:rsidP="004261C8">
            <w:pPr>
              <w:pStyle w:val="TableText"/>
              <w:jc w:val="left"/>
              <w:rPr>
                <w:noProof w:val="0"/>
              </w:rPr>
            </w:pPr>
            <w:r w:rsidRPr="004B2D24">
              <w:t>Using Standardized Materials</w:t>
            </w:r>
          </w:p>
        </w:tc>
        <w:tc>
          <w:tcPr>
            <w:tcW w:w="864" w:type="dxa"/>
          </w:tcPr>
          <w:p w14:paraId="3124F671" w14:textId="586AE822" w:rsidR="004261C8" w:rsidRPr="006E1F47" w:rsidRDefault="00B26F00" w:rsidP="004261C8">
            <w:pPr>
              <w:pStyle w:val="TableText"/>
              <w:rPr>
                <w:szCs w:val="24"/>
              </w:rPr>
            </w:pPr>
            <w:r>
              <w:rPr>
                <w:color w:val="000000"/>
                <w:szCs w:val="24"/>
              </w:rPr>
              <w:t>791</w:t>
            </w:r>
          </w:p>
        </w:tc>
        <w:tc>
          <w:tcPr>
            <w:tcW w:w="864" w:type="dxa"/>
          </w:tcPr>
          <w:p w14:paraId="720F0997" w14:textId="104F26D7" w:rsidR="004261C8" w:rsidRPr="006E1F47" w:rsidRDefault="00B26F00" w:rsidP="004261C8">
            <w:pPr>
              <w:pStyle w:val="TableText"/>
              <w:rPr>
                <w:szCs w:val="24"/>
              </w:rPr>
            </w:pPr>
            <w:r>
              <w:rPr>
                <w:color w:val="000000"/>
                <w:szCs w:val="24"/>
              </w:rPr>
              <w:t>98%</w:t>
            </w:r>
          </w:p>
        </w:tc>
        <w:tc>
          <w:tcPr>
            <w:tcW w:w="864" w:type="dxa"/>
          </w:tcPr>
          <w:p w14:paraId="45EFDD11" w14:textId="3E132915" w:rsidR="004261C8" w:rsidRPr="006E1F47" w:rsidRDefault="00B26F00" w:rsidP="004261C8">
            <w:pPr>
              <w:pStyle w:val="TableText"/>
              <w:rPr>
                <w:szCs w:val="24"/>
              </w:rPr>
            </w:pPr>
            <w:r>
              <w:rPr>
                <w:color w:val="000000"/>
                <w:szCs w:val="24"/>
              </w:rPr>
              <w:t>797</w:t>
            </w:r>
          </w:p>
        </w:tc>
        <w:tc>
          <w:tcPr>
            <w:tcW w:w="864" w:type="dxa"/>
          </w:tcPr>
          <w:p w14:paraId="1E00AEB8" w14:textId="4AA82F4A" w:rsidR="004261C8" w:rsidRPr="006E1F47" w:rsidRDefault="00B26F00" w:rsidP="004261C8">
            <w:pPr>
              <w:pStyle w:val="TableText"/>
              <w:rPr>
                <w:szCs w:val="24"/>
              </w:rPr>
            </w:pPr>
            <w:r>
              <w:rPr>
                <w:color w:val="000000"/>
                <w:szCs w:val="24"/>
              </w:rPr>
              <w:t>99%</w:t>
            </w:r>
          </w:p>
        </w:tc>
        <w:tc>
          <w:tcPr>
            <w:tcW w:w="864" w:type="dxa"/>
          </w:tcPr>
          <w:p w14:paraId="1B3B7EA5" w14:textId="1682F421" w:rsidR="004261C8" w:rsidRPr="006012F4" w:rsidRDefault="00B26F00" w:rsidP="004261C8">
            <w:pPr>
              <w:pStyle w:val="TableText"/>
              <w:rPr>
                <w:szCs w:val="24"/>
              </w:rPr>
            </w:pPr>
            <w:r>
              <w:rPr>
                <w:color w:val="000000"/>
                <w:szCs w:val="24"/>
              </w:rPr>
              <w:t>788</w:t>
            </w:r>
          </w:p>
        </w:tc>
        <w:tc>
          <w:tcPr>
            <w:tcW w:w="864" w:type="dxa"/>
          </w:tcPr>
          <w:p w14:paraId="54764373" w14:textId="7806545D" w:rsidR="004261C8" w:rsidRPr="006E1F47" w:rsidRDefault="00B26F00" w:rsidP="004261C8">
            <w:pPr>
              <w:pStyle w:val="TableText"/>
              <w:rPr>
                <w:szCs w:val="24"/>
              </w:rPr>
            </w:pPr>
            <w:r>
              <w:rPr>
                <w:color w:val="000000"/>
                <w:szCs w:val="24"/>
              </w:rPr>
              <w:t>98%</w:t>
            </w:r>
          </w:p>
        </w:tc>
        <w:tc>
          <w:tcPr>
            <w:tcW w:w="864" w:type="dxa"/>
          </w:tcPr>
          <w:p w14:paraId="580685DE" w14:textId="0535A7E8" w:rsidR="004261C8" w:rsidRPr="006E1F47" w:rsidRDefault="00B26F00" w:rsidP="004261C8">
            <w:pPr>
              <w:pStyle w:val="TableText"/>
              <w:rPr>
                <w:szCs w:val="24"/>
              </w:rPr>
            </w:pPr>
            <w:r>
              <w:rPr>
                <w:color w:val="000000"/>
                <w:szCs w:val="24"/>
              </w:rPr>
              <w:t>792</w:t>
            </w:r>
          </w:p>
        </w:tc>
        <w:tc>
          <w:tcPr>
            <w:tcW w:w="864" w:type="dxa"/>
          </w:tcPr>
          <w:p w14:paraId="0D4A6F7E" w14:textId="541B5709" w:rsidR="004261C8" w:rsidRPr="006E1F47" w:rsidRDefault="00B26F00" w:rsidP="004261C8">
            <w:pPr>
              <w:pStyle w:val="TableText"/>
              <w:rPr>
                <w:szCs w:val="24"/>
              </w:rPr>
            </w:pPr>
            <w:r>
              <w:rPr>
                <w:color w:val="000000"/>
                <w:szCs w:val="24"/>
              </w:rPr>
              <w:t>99%</w:t>
            </w:r>
          </w:p>
        </w:tc>
        <w:tc>
          <w:tcPr>
            <w:tcW w:w="864" w:type="dxa"/>
          </w:tcPr>
          <w:p w14:paraId="7BA3E014" w14:textId="2CF6946A" w:rsidR="004261C8" w:rsidRPr="006E1F47" w:rsidRDefault="00B26F00" w:rsidP="004261C8">
            <w:pPr>
              <w:pStyle w:val="TableText"/>
              <w:rPr>
                <w:szCs w:val="24"/>
              </w:rPr>
            </w:pPr>
            <w:r>
              <w:rPr>
                <w:color w:val="000000"/>
                <w:szCs w:val="24"/>
              </w:rPr>
              <w:t>797</w:t>
            </w:r>
          </w:p>
        </w:tc>
        <w:tc>
          <w:tcPr>
            <w:tcW w:w="864" w:type="dxa"/>
          </w:tcPr>
          <w:p w14:paraId="58D85F04" w14:textId="7A4E4AA9" w:rsidR="004261C8" w:rsidRPr="006E1F47" w:rsidRDefault="00B26F00" w:rsidP="004261C8">
            <w:pPr>
              <w:pStyle w:val="TableText"/>
              <w:rPr>
                <w:szCs w:val="24"/>
              </w:rPr>
            </w:pPr>
            <w:r>
              <w:rPr>
                <w:color w:val="000000"/>
                <w:szCs w:val="24"/>
              </w:rPr>
              <w:t>99%</w:t>
            </w:r>
          </w:p>
        </w:tc>
        <w:tc>
          <w:tcPr>
            <w:tcW w:w="864" w:type="dxa"/>
          </w:tcPr>
          <w:p w14:paraId="7FC2111D" w14:textId="31344F13" w:rsidR="004261C8" w:rsidRPr="006E1F47" w:rsidRDefault="00B26F00" w:rsidP="004261C8">
            <w:pPr>
              <w:pStyle w:val="TableText"/>
              <w:rPr>
                <w:szCs w:val="24"/>
              </w:rPr>
            </w:pPr>
            <w:r>
              <w:rPr>
                <w:color w:val="000000"/>
                <w:szCs w:val="24"/>
              </w:rPr>
              <w:t>801</w:t>
            </w:r>
          </w:p>
        </w:tc>
        <w:tc>
          <w:tcPr>
            <w:tcW w:w="936" w:type="dxa"/>
          </w:tcPr>
          <w:p w14:paraId="53177E9E" w14:textId="7252825C" w:rsidR="004261C8" w:rsidRPr="006E1F47" w:rsidRDefault="00B26F00" w:rsidP="004261C8">
            <w:pPr>
              <w:pStyle w:val="TableText"/>
              <w:rPr>
                <w:szCs w:val="24"/>
              </w:rPr>
            </w:pPr>
            <w:r>
              <w:rPr>
                <w:color w:val="000000"/>
                <w:szCs w:val="24"/>
              </w:rPr>
              <w:t>100%</w:t>
            </w:r>
          </w:p>
        </w:tc>
      </w:tr>
      <w:tr w:rsidR="004261C8" w:rsidRPr="00C34C12" w14:paraId="2FAA0242" w14:textId="77777777" w:rsidTr="00505B10">
        <w:tc>
          <w:tcPr>
            <w:tcW w:w="3456" w:type="dxa"/>
          </w:tcPr>
          <w:p w14:paraId="7DEACBA7" w14:textId="687D7680" w:rsidR="004261C8" w:rsidRPr="00C34C12" w:rsidRDefault="004261C8" w:rsidP="004261C8">
            <w:pPr>
              <w:pStyle w:val="TableText"/>
              <w:jc w:val="left"/>
              <w:rPr>
                <w:noProof w:val="0"/>
              </w:rPr>
            </w:pPr>
            <w:r w:rsidRPr="004B2D24">
              <w:t>Using Individualized Materials</w:t>
            </w:r>
          </w:p>
        </w:tc>
        <w:tc>
          <w:tcPr>
            <w:tcW w:w="864" w:type="dxa"/>
          </w:tcPr>
          <w:p w14:paraId="3393BD08" w14:textId="1915FBD6" w:rsidR="004261C8" w:rsidRPr="006E1F47" w:rsidRDefault="00B26F00" w:rsidP="004261C8">
            <w:pPr>
              <w:pStyle w:val="TableText"/>
              <w:rPr>
                <w:szCs w:val="24"/>
              </w:rPr>
            </w:pPr>
            <w:r>
              <w:rPr>
                <w:color w:val="000000"/>
                <w:szCs w:val="24"/>
              </w:rPr>
              <w:t>13</w:t>
            </w:r>
          </w:p>
        </w:tc>
        <w:tc>
          <w:tcPr>
            <w:tcW w:w="864" w:type="dxa"/>
          </w:tcPr>
          <w:p w14:paraId="45C79D05" w14:textId="53B45CA8" w:rsidR="004261C8" w:rsidRPr="006E1F47" w:rsidRDefault="00B26F00" w:rsidP="004261C8">
            <w:pPr>
              <w:pStyle w:val="TableText"/>
              <w:rPr>
                <w:szCs w:val="24"/>
              </w:rPr>
            </w:pPr>
            <w:r>
              <w:rPr>
                <w:color w:val="000000"/>
                <w:szCs w:val="24"/>
              </w:rPr>
              <w:t>2%</w:t>
            </w:r>
          </w:p>
        </w:tc>
        <w:tc>
          <w:tcPr>
            <w:tcW w:w="864" w:type="dxa"/>
          </w:tcPr>
          <w:p w14:paraId="15DF9CBD" w14:textId="24E5BE98" w:rsidR="004261C8" w:rsidRPr="006E1F47" w:rsidRDefault="00B26F00" w:rsidP="004261C8">
            <w:pPr>
              <w:pStyle w:val="TableText"/>
              <w:rPr>
                <w:szCs w:val="24"/>
              </w:rPr>
            </w:pPr>
            <w:r>
              <w:rPr>
                <w:color w:val="000000"/>
                <w:szCs w:val="24"/>
              </w:rPr>
              <w:t>7</w:t>
            </w:r>
          </w:p>
        </w:tc>
        <w:tc>
          <w:tcPr>
            <w:tcW w:w="864" w:type="dxa"/>
          </w:tcPr>
          <w:p w14:paraId="3E8CC2EC" w14:textId="16C2D0D1" w:rsidR="004261C8" w:rsidRPr="006E1F47" w:rsidRDefault="00B26F00" w:rsidP="004261C8">
            <w:pPr>
              <w:pStyle w:val="TableText"/>
              <w:rPr>
                <w:szCs w:val="24"/>
              </w:rPr>
            </w:pPr>
            <w:r>
              <w:rPr>
                <w:color w:val="000000"/>
                <w:szCs w:val="24"/>
              </w:rPr>
              <w:t>1%</w:t>
            </w:r>
          </w:p>
        </w:tc>
        <w:tc>
          <w:tcPr>
            <w:tcW w:w="864" w:type="dxa"/>
          </w:tcPr>
          <w:p w14:paraId="391E9D6B" w14:textId="66601673" w:rsidR="004261C8" w:rsidRPr="006E1F47" w:rsidRDefault="00B26F00" w:rsidP="004261C8">
            <w:pPr>
              <w:pStyle w:val="TableText"/>
              <w:rPr>
                <w:szCs w:val="24"/>
              </w:rPr>
            </w:pPr>
            <w:r>
              <w:rPr>
                <w:color w:val="000000"/>
                <w:szCs w:val="24"/>
              </w:rPr>
              <w:t>16</w:t>
            </w:r>
          </w:p>
        </w:tc>
        <w:tc>
          <w:tcPr>
            <w:tcW w:w="864" w:type="dxa"/>
          </w:tcPr>
          <w:p w14:paraId="6689E8DC" w14:textId="29B6D0DD" w:rsidR="004261C8" w:rsidRPr="006E1F47" w:rsidRDefault="00B26F00" w:rsidP="004261C8">
            <w:pPr>
              <w:pStyle w:val="TableText"/>
              <w:rPr>
                <w:szCs w:val="24"/>
              </w:rPr>
            </w:pPr>
            <w:r>
              <w:rPr>
                <w:color w:val="000000"/>
                <w:szCs w:val="24"/>
              </w:rPr>
              <w:t>2%</w:t>
            </w:r>
          </w:p>
        </w:tc>
        <w:tc>
          <w:tcPr>
            <w:tcW w:w="864" w:type="dxa"/>
          </w:tcPr>
          <w:p w14:paraId="53B73BB4" w14:textId="32106EF1" w:rsidR="004261C8" w:rsidRPr="006E1F47" w:rsidRDefault="00B26F00" w:rsidP="004261C8">
            <w:pPr>
              <w:pStyle w:val="TableText"/>
              <w:rPr>
                <w:szCs w:val="24"/>
              </w:rPr>
            </w:pPr>
            <w:r>
              <w:rPr>
                <w:color w:val="000000"/>
                <w:szCs w:val="24"/>
              </w:rPr>
              <w:t>12</w:t>
            </w:r>
          </w:p>
        </w:tc>
        <w:tc>
          <w:tcPr>
            <w:tcW w:w="864" w:type="dxa"/>
          </w:tcPr>
          <w:p w14:paraId="377A44EE" w14:textId="403F02EF" w:rsidR="004261C8" w:rsidRPr="006E1F47" w:rsidRDefault="00B26F00" w:rsidP="004261C8">
            <w:pPr>
              <w:pStyle w:val="TableText"/>
              <w:rPr>
                <w:szCs w:val="24"/>
              </w:rPr>
            </w:pPr>
            <w:r>
              <w:rPr>
                <w:color w:val="000000"/>
                <w:szCs w:val="24"/>
              </w:rPr>
              <w:t>1%</w:t>
            </w:r>
          </w:p>
        </w:tc>
        <w:tc>
          <w:tcPr>
            <w:tcW w:w="864" w:type="dxa"/>
          </w:tcPr>
          <w:p w14:paraId="68B31E73" w14:textId="2A1C52C2" w:rsidR="004261C8" w:rsidRPr="006E1F47" w:rsidRDefault="00B26F00" w:rsidP="004261C8">
            <w:pPr>
              <w:pStyle w:val="TableText"/>
              <w:rPr>
                <w:szCs w:val="24"/>
              </w:rPr>
            </w:pPr>
            <w:r>
              <w:rPr>
                <w:color w:val="000000"/>
                <w:szCs w:val="24"/>
              </w:rPr>
              <w:t>7</w:t>
            </w:r>
          </w:p>
        </w:tc>
        <w:tc>
          <w:tcPr>
            <w:tcW w:w="864" w:type="dxa"/>
          </w:tcPr>
          <w:p w14:paraId="3AA40043" w14:textId="5608B6CA" w:rsidR="004261C8" w:rsidRPr="006E1F47" w:rsidRDefault="00B26F00" w:rsidP="004261C8">
            <w:pPr>
              <w:pStyle w:val="TableText"/>
              <w:rPr>
                <w:szCs w:val="24"/>
              </w:rPr>
            </w:pPr>
            <w:r>
              <w:rPr>
                <w:color w:val="000000"/>
                <w:szCs w:val="24"/>
              </w:rPr>
              <w:t>1%</w:t>
            </w:r>
          </w:p>
        </w:tc>
        <w:tc>
          <w:tcPr>
            <w:tcW w:w="864" w:type="dxa"/>
          </w:tcPr>
          <w:p w14:paraId="40AAE60D" w14:textId="29379B38" w:rsidR="004261C8" w:rsidRPr="006E1F47" w:rsidRDefault="00B26F00" w:rsidP="004261C8">
            <w:pPr>
              <w:pStyle w:val="TableText"/>
              <w:rPr>
                <w:szCs w:val="24"/>
              </w:rPr>
            </w:pPr>
            <w:r>
              <w:rPr>
                <w:color w:val="000000"/>
                <w:szCs w:val="24"/>
              </w:rPr>
              <w:t>3</w:t>
            </w:r>
          </w:p>
        </w:tc>
        <w:tc>
          <w:tcPr>
            <w:tcW w:w="936" w:type="dxa"/>
          </w:tcPr>
          <w:p w14:paraId="77486726" w14:textId="27E917D1" w:rsidR="004261C8" w:rsidRPr="006E1F47" w:rsidRDefault="00B26F00" w:rsidP="004261C8">
            <w:pPr>
              <w:pStyle w:val="TableText"/>
              <w:rPr>
                <w:szCs w:val="24"/>
              </w:rPr>
            </w:pPr>
            <w:r>
              <w:rPr>
                <w:color w:val="000000"/>
                <w:szCs w:val="24"/>
              </w:rPr>
              <w:t>0%</w:t>
            </w:r>
          </w:p>
        </w:tc>
      </w:tr>
    </w:tbl>
    <w:p w14:paraId="282575B8" w14:textId="441F567E" w:rsidR="000125FB" w:rsidRPr="00C34C12" w:rsidRDefault="000125FB" w:rsidP="000125FB">
      <w:pPr>
        <w:pStyle w:val="Caption"/>
      </w:pPr>
      <w:bookmarkStart w:id="441" w:name="_Ref34400323"/>
      <w:bookmarkStart w:id="442" w:name="_Ref29895881"/>
      <w:bookmarkStart w:id="443" w:name="_Toc30414269"/>
      <w:bookmarkStart w:id="444" w:name="_Toc38901376"/>
      <w:bookmarkStart w:id="445" w:name="_Toc67319694"/>
      <w:bookmarkStart w:id="446" w:name="_Toc220498698"/>
      <w:r w:rsidRPr="00C34C12">
        <w:lastRenderedPageBreak/>
        <w:t xml:space="preserve">Table </w:t>
      </w:r>
      <w:r>
        <w:fldChar w:fldCharType="begin"/>
      </w:r>
      <w:r>
        <w:instrText>STYLEREF 2 \s</w:instrText>
      </w:r>
      <w:r>
        <w:fldChar w:fldCharType="separate"/>
      </w:r>
      <w:r w:rsidR="00961502">
        <w:rPr>
          <w:noProof/>
        </w:rPr>
        <w:t>5</w:t>
      </w:r>
      <w:r>
        <w:fldChar w:fldCharType="end"/>
      </w:r>
      <w:r w:rsidR="00A40753">
        <w:t>.</w:t>
      </w:r>
      <w:r>
        <w:fldChar w:fldCharType="begin"/>
      </w:r>
      <w:r>
        <w:instrText>SEQ Table \* ARABIC \s 2</w:instrText>
      </w:r>
      <w:r>
        <w:fldChar w:fldCharType="separate"/>
      </w:r>
      <w:r w:rsidR="00961502">
        <w:rPr>
          <w:noProof/>
        </w:rPr>
        <w:t>3</w:t>
      </w:r>
      <w:r>
        <w:fldChar w:fldCharType="end"/>
      </w:r>
      <w:bookmarkEnd w:id="440"/>
      <w:bookmarkEnd w:id="441"/>
      <w:bookmarkEnd w:id="442"/>
      <w:r w:rsidRPr="00C34C12">
        <w:t xml:space="preserve"> </w:t>
      </w:r>
      <w:r w:rsidRPr="00C34C12">
        <w:rPr>
          <w:rStyle w:val="CaptionChar"/>
          <w:rFonts w:eastAsia="SimSun"/>
          <w:b/>
        </w:rPr>
        <w:t xml:space="preserve"> Individualizations—High School</w:t>
      </w:r>
      <w:bookmarkEnd w:id="443"/>
      <w:bookmarkEnd w:id="444"/>
      <w:bookmarkEnd w:id="445"/>
      <w:bookmarkEnd w:id="446"/>
    </w:p>
    <w:tbl>
      <w:tblPr>
        <w:tblStyle w:val="TRs"/>
        <w:tblW w:w="13896" w:type="dxa"/>
        <w:tblLayout w:type="fixed"/>
        <w:tblLook w:val="0020" w:firstRow="1" w:lastRow="0" w:firstColumn="0" w:lastColumn="0" w:noHBand="0" w:noVBand="0"/>
        <w:tblDescription w:val="Individualizations during high school testing"/>
      </w:tblPr>
      <w:tblGrid>
        <w:gridCol w:w="3456"/>
        <w:gridCol w:w="864"/>
        <w:gridCol w:w="864"/>
        <w:gridCol w:w="864"/>
        <w:gridCol w:w="864"/>
        <w:gridCol w:w="864"/>
        <w:gridCol w:w="864"/>
        <w:gridCol w:w="864"/>
        <w:gridCol w:w="864"/>
        <w:gridCol w:w="864"/>
        <w:gridCol w:w="864"/>
        <w:gridCol w:w="864"/>
        <w:gridCol w:w="936"/>
      </w:tblGrid>
      <w:tr w:rsidR="008C24F5" w:rsidRPr="00C34C12" w14:paraId="4A8BD691" w14:textId="77777777" w:rsidTr="001808BC">
        <w:trPr>
          <w:cnfStyle w:val="100000000000" w:firstRow="1" w:lastRow="0" w:firstColumn="0" w:lastColumn="0" w:oddVBand="0" w:evenVBand="0" w:oddHBand="0" w:evenHBand="0" w:firstRowFirstColumn="0" w:firstRowLastColumn="0" w:lastRowFirstColumn="0" w:lastRowLastColumn="0"/>
          <w:trHeight w:val="4032"/>
        </w:trPr>
        <w:tc>
          <w:tcPr>
            <w:tcW w:w="3456" w:type="dxa"/>
          </w:tcPr>
          <w:p w14:paraId="1BC91A4A" w14:textId="77777777" w:rsidR="00111F51" w:rsidRPr="00C34C12" w:rsidRDefault="00111F51" w:rsidP="00E76030">
            <w:pPr>
              <w:pStyle w:val="TableHead"/>
              <w:rPr>
                <w:b w:val="0"/>
                <w:bCs w:val="0"/>
                <w:noProof w:val="0"/>
              </w:rPr>
            </w:pPr>
            <w:r w:rsidRPr="004B2D24">
              <w:rPr>
                <w:noProof w:val="0"/>
              </w:rPr>
              <w:t>Individualization</w:t>
            </w:r>
          </w:p>
        </w:tc>
        <w:tc>
          <w:tcPr>
            <w:tcW w:w="864" w:type="dxa"/>
            <w:textDirection w:val="btLr"/>
            <w:vAlign w:val="center"/>
          </w:tcPr>
          <w:p w14:paraId="0D02517E" w14:textId="77777777" w:rsidR="00111F51" w:rsidRPr="00C34C12" w:rsidRDefault="00111F51" w:rsidP="00505B10">
            <w:pPr>
              <w:pStyle w:val="TableHead"/>
              <w:spacing w:before="0" w:after="0"/>
              <w:ind w:left="72" w:right="72"/>
              <w:jc w:val="left"/>
              <w:rPr>
                <w:b w:val="0"/>
                <w:bCs w:val="0"/>
                <w:noProof w:val="0"/>
              </w:rPr>
            </w:pPr>
            <w:r w:rsidRPr="004B2D24">
              <w:rPr>
                <w:noProof w:val="0"/>
              </w:rPr>
              <w:t>PT 1 (Life Sciences), Activity 1—Number</w:t>
            </w:r>
          </w:p>
        </w:tc>
        <w:tc>
          <w:tcPr>
            <w:tcW w:w="864" w:type="dxa"/>
            <w:textDirection w:val="btLr"/>
            <w:vAlign w:val="center"/>
          </w:tcPr>
          <w:p w14:paraId="2CFD02A0" w14:textId="77777777" w:rsidR="00111F51" w:rsidRPr="00C34C12" w:rsidRDefault="00111F51" w:rsidP="00505B10">
            <w:pPr>
              <w:pStyle w:val="TableHead"/>
              <w:spacing w:before="0" w:after="0"/>
              <w:ind w:left="72" w:right="72"/>
              <w:jc w:val="left"/>
              <w:rPr>
                <w:b w:val="0"/>
                <w:bCs w:val="0"/>
                <w:noProof w:val="0"/>
              </w:rPr>
            </w:pPr>
            <w:r w:rsidRPr="004B2D24">
              <w:rPr>
                <w:noProof w:val="0"/>
              </w:rPr>
              <w:t>PT 1 (Life Sciences), Activity 1—Percent of Total</w:t>
            </w:r>
          </w:p>
        </w:tc>
        <w:tc>
          <w:tcPr>
            <w:tcW w:w="864" w:type="dxa"/>
            <w:textDirection w:val="btLr"/>
            <w:vAlign w:val="center"/>
          </w:tcPr>
          <w:p w14:paraId="015A8248" w14:textId="77777777" w:rsidR="00111F51" w:rsidRPr="00C34C12" w:rsidRDefault="00111F51" w:rsidP="00505B10">
            <w:pPr>
              <w:pStyle w:val="TableHead"/>
              <w:spacing w:before="0" w:after="0"/>
              <w:ind w:left="72" w:right="72"/>
              <w:jc w:val="left"/>
              <w:rPr>
                <w:b w:val="0"/>
                <w:bCs w:val="0"/>
                <w:noProof w:val="0"/>
              </w:rPr>
            </w:pPr>
            <w:r w:rsidRPr="004B2D24">
              <w:rPr>
                <w:noProof w:val="0"/>
              </w:rPr>
              <w:t>PT 1 (Life Sciences), Activity 2—Number</w:t>
            </w:r>
          </w:p>
        </w:tc>
        <w:tc>
          <w:tcPr>
            <w:tcW w:w="864" w:type="dxa"/>
            <w:textDirection w:val="btLr"/>
            <w:vAlign w:val="center"/>
          </w:tcPr>
          <w:p w14:paraId="0844A295" w14:textId="77777777" w:rsidR="00111F51" w:rsidRPr="00C34C12" w:rsidRDefault="00111F51" w:rsidP="00505B10">
            <w:pPr>
              <w:pStyle w:val="TableHead"/>
              <w:spacing w:before="0" w:after="0"/>
              <w:ind w:left="72" w:right="72"/>
              <w:jc w:val="left"/>
              <w:rPr>
                <w:b w:val="0"/>
                <w:bCs w:val="0"/>
                <w:noProof w:val="0"/>
              </w:rPr>
            </w:pPr>
            <w:r w:rsidRPr="004B2D24">
              <w:rPr>
                <w:noProof w:val="0"/>
              </w:rPr>
              <w:t>PT 1 (Life Sciences), Activity 2—Percent of Total</w:t>
            </w:r>
          </w:p>
        </w:tc>
        <w:tc>
          <w:tcPr>
            <w:tcW w:w="864" w:type="dxa"/>
            <w:textDirection w:val="btLr"/>
            <w:vAlign w:val="center"/>
          </w:tcPr>
          <w:p w14:paraId="4C1DD7DD" w14:textId="77777777" w:rsidR="00111F51" w:rsidRPr="00C34C12" w:rsidRDefault="00111F51" w:rsidP="00505B10">
            <w:pPr>
              <w:pStyle w:val="TableHead"/>
              <w:spacing w:before="0" w:after="0"/>
              <w:ind w:left="72" w:right="72"/>
              <w:jc w:val="left"/>
              <w:rPr>
                <w:b w:val="0"/>
                <w:bCs w:val="0"/>
                <w:noProof w:val="0"/>
              </w:rPr>
            </w:pPr>
            <w:r w:rsidRPr="004B2D24">
              <w:rPr>
                <w:noProof w:val="0"/>
              </w:rPr>
              <w:t>PT 2 (Physical Sciences), Activity 1—Number</w:t>
            </w:r>
          </w:p>
        </w:tc>
        <w:tc>
          <w:tcPr>
            <w:tcW w:w="864" w:type="dxa"/>
            <w:textDirection w:val="btLr"/>
            <w:vAlign w:val="center"/>
          </w:tcPr>
          <w:p w14:paraId="2FEF254C" w14:textId="77777777" w:rsidR="00111F51" w:rsidRPr="00C34C12" w:rsidRDefault="00111F51" w:rsidP="00505B10">
            <w:pPr>
              <w:pStyle w:val="TableHead"/>
              <w:spacing w:before="0" w:after="0"/>
              <w:ind w:left="72" w:right="72"/>
              <w:jc w:val="left"/>
              <w:rPr>
                <w:b w:val="0"/>
                <w:bCs w:val="0"/>
                <w:noProof w:val="0"/>
              </w:rPr>
            </w:pPr>
            <w:r w:rsidRPr="004B2D24">
              <w:rPr>
                <w:noProof w:val="0"/>
              </w:rPr>
              <w:t>PT 2 (Physical Sciences), Activity 1—Percent of Total</w:t>
            </w:r>
          </w:p>
        </w:tc>
        <w:tc>
          <w:tcPr>
            <w:tcW w:w="864" w:type="dxa"/>
            <w:textDirection w:val="btLr"/>
            <w:vAlign w:val="center"/>
          </w:tcPr>
          <w:p w14:paraId="047694E7" w14:textId="77777777" w:rsidR="00111F51" w:rsidRPr="00C34C12" w:rsidRDefault="00111F51" w:rsidP="00505B10">
            <w:pPr>
              <w:pStyle w:val="TableHead"/>
              <w:spacing w:before="0" w:after="0"/>
              <w:ind w:left="72" w:right="72"/>
              <w:jc w:val="left"/>
              <w:rPr>
                <w:b w:val="0"/>
                <w:bCs w:val="0"/>
                <w:noProof w:val="0"/>
              </w:rPr>
            </w:pPr>
            <w:r w:rsidRPr="004B2D24">
              <w:rPr>
                <w:noProof w:val="0"/>
              </w:rPr>
              <w:t>PT 2 (Physical Sciences), Activity 2—Number</w:t>
            </w:r>
          </w:p>
        </w:tc>
        <w:tc>
          <w:tcPr>
            <w:tcW w:w="864" w:type="dxa"/>
            <w:textDirection w:val="btLr"/>
            <w:vAlign w:val="center"/>
          </w:tcPr>
          <w:p w14:paraId="543B0F8C" w14:textId="77777777" w:rsidR="00111F51" w:rsidRPr="00C34C12" w:rsidRDefault="00111F51" w:rsidP="00505B10">
            <w:pPr>
              <w:pStyle w:val="TableHead"/>
              <w:spacing w:before="0" w:after="0"/>
              <w:ind w:left="72" w:right="72"/>
              <w:jc w:val="left"/>
              <w:rPr>
                <w:b w:val="0"/>
                <w:bCs w:val="0"/>
                <w:noProof w:val="0"/>
              </w:rPr>
            </w:pPr>
            <w:r w:rsidRPr="004B2D24">
              <w:rPr>
                <w:noProof w:val="0"/>
              </w:rPr>
              <w:t>PT 2 (Physical Sciences), Activity 2—Percent of Total</w:t>
            </w:r>
          </w:p>
        </w:tc>
        <w:tc>
          <w:tcPr>
            <w:tcW w:w="864" w:type="dxa"/>
            <w:textDirection w:val="btLr"/>
            <w:vAlign w:val="center"/>
          </w:tcPr>
          <w:p w14:paraId="78D05F73" w14:textId="77777777" w:rsidR="00111F51" w:rsidRPr="00C34C12" w:rsidRDefault="00111F51" w:rsidP="00505B10">
            <w:pPr>
              <w:pStyle w:val="TableHead"/>
              <w:spacing w:before="0" w:after="0"/>
              <w:ind w:left="72" w:right="72"/>
              <w:jc w:val="left"/>
              <w:rPr>
                <w:b w:val="0"/>
                <w:bCs w:val="0"/>
                <w:noProof w:val="0"/>
              </w:rPr>
            </w:pPr>
            <w:r w:rsidRPr="004B2D24">
              <w:rPr>
                <w:noProof w:val="0"/>
              </w:rPr>
              <w:t>PT 3 (Earth and Space Sciences), Activity 1—Number</w:t>
            </w:r>
          </w:p>
        </w:tc>
        <w:tc>
          <w:tcPr>
            <w:tcW w:w="864" w:type="dxa"/>
            <w:textDirection w:val="btLr"/>
            <w:vAlign w:val="center"/>
          </w:tcPr>
          <w:p w14:paraId="6CEAA6B3" w14:textId="77777777" w:rsidR="00111F51" w:rsidRPr="00C34C12" w:rsidRDefault="00111F51" w:rsidP="00505B10">
            <w:pPr>
              <w:pStyle w:val="TableHead"/>
              <w:spacing w:before="0" w:after="0"/>
              <w:ind w:left="72" w:right="72"/>
              <w:jc w:val="left"/>
              <w:rPr>
                <w:b w:val="0"/>
                <w:bCs w:val="0"/>
                <w:noProof w:val="0"/>
              </w:rPr>
            </w:pPr>
            <w:r w:rsidRPr="004B2D24">
              <w:rPr>
                <w:noProof w:val="0"/>
              </w:rPr>
              <w:t>PT 3 (Earth and Space Sciences), Activity 1—Percent of Total</w:t>
            </w:r>
          </w:p>
        </w:tc>
        <w:tc>
          <w:tcPr>
            <w:tcW w:w="864" w:type="dxa"/>
            <w:textDirection w:val="btLr"/>
            <w:vAlign w:val="center"/>
          </w:tcPr>
          <w:p w14:paraId="010A1ED6" w14:textId="77777777" w:rsidR="00111F51" w:rsidRPr="00C34C12" w:rsidRDefault="00111F51" w:rsidP="00505B10">
            <w:pPr>
              <w:pStyle w:val="TableHead"/>
              <w:spacing w:before="0" w:after="0"/>
              <w:ind w:left="72" w:right="72"/>
              <w:jc w:val="left"/>
              <w:rPr>
                <w:b w:val="0"/>
                <w:bCs w:val="0"/>
                <w:noProof w:val="0"/>
              </w:rPr>
            </w:pPr>
            <w:r w:rsidRPr="004B2D24">
              <w:rPr>
                <w:noProof w:val="0"/>
              </w:rPr>
              <w:t>PT 3 (Earth and Space Sciences), Activity 2—Number</w:t>
            </w:r>
          </w:p>
        </w:tc>
        <w:tc>
          <w:tcPr>
            <w:tcW w:w="936" w:type="dxa"/>
            <w:textDirection w:val="btLr"/>
            <w:vAlign w:val="center"/>
          </w:tcPr>
          <w:p w14:paraId="7C4DAA51" w14:textId="77777777" w:rsidR="00111F51" w:rsidRPr="00C34C12" w:rsidRDefault="00111F51" w:rsidP="00505B10">
            <w:pPr>
              <w:pStyle w:val="TableHead"/>
              <w:spacing w:before="0" w:after="0"/>
              <w:ind w:left="72" w:right="72"/>
              <w:jc w:val="left"/>
              <w:rPr>
                <w:b w:val="0"/>
                <w:bCs w:val="0"/>
                <w:noProof w:val="0"/>
              </w:rPr>
            </w:pPr>
            <w:r w:rsidRPr="004B2D24">
              <w:rPr>
                <w:noProof w:val="0"/>
              </w:rPr>
              <w:t>PT 3 (Earth and Space Sciences), Activity 2—Percent of Total</w:t>
            </w:r>
          </w:p>
        </w:tc>
      </w:tr>
      <w:tr w:rsidR="00111F51" w:rsidRPr="00C34C12" w14:paraId="540F5BFF" w14:textId="77777777" w:rsidTr="00505B10">
        <w:tc>
          <w:tcPr>
            <w:tcW w:w="3456" w:type="dxa"/>
          </w:tcPr>
          <w:p w14:paraId="71B368B1" w14:textId="77777777" w:rsidR="00111F51" w:rsidRPr="00C34C12" w:rsidRDefault="00111F51" w:rsidP="00E76030">
            <w:pPr>
              <w:pStyle w:val="TableText"/>
              <w:keepNext/>
              <w:jc w:val="left"/>
              <w:rPr>
                <w:noProof w:val="0"/>
              </w:rPr>
            </w:pPr>
            <w:r w:rsidRPr="004B2D24">
              <w:t>Using Standardized Scripts</w:t>
            </w:r>
          </w:p>
        </w:tc>
        <w:tc>
          <w:tcPr>
            <w:tcW w:w="864" w:type="dxa"/>
          </w:tcPr>
          <w:p w14:paraId="0AC43D59" w14:textId="1C4EEAF1" w:rsidR="00111F51" w:rsidRPr="006E1F47" w:rsidRDefault="00020DB0" w:rsidP="00E76030">
            <w:pPr>
              <w:pStyle w:val="TableText"/>
              <w:rPr>
                <w:szCs w:val="24"/>
              </w:rPr>
            </w:pPr>
            <w:r w:rsidRPr="00707733">
              <w:rPr>
                <w:color w:val="000000"/>
                <w:szCs w:val="24"/>
              </w:rPr>
              <w:t>712</w:t>
            </w:r>
          </w:p>
        </w:tc>
        <w:tc>
          <w:tcPr>
            <w:tcW w:w="864" w:type="dxa"/>
          </w:tcPr>
          <w:p w14:paraId="25723A4D" w14:textId="1A97CDEF" w:rsidR="00111F51" w:rsidRPr="006E1F47" w:rsidRDefault="00020DB0" w:rsidP="00E76030">
            <w:pPr>
              <w:pStyle w:val="TableText"/>
              <w:rPr>
                <w:szCs w:val="24"/>
              </w:rPr>
            </w:pPr>
            <w:r w:rsidRPr="00707733">
              <w:rPr>
                <w:color w:val="000000"/>
                <w:szCs w:val="24"/>
              </w:rPr>
              <w:t>98%</w:t>
            </w:r>
          </w:p>
        </w:tc>
        <w:tc>
          <w:tcPr>
            <w:tcW w:w="864" w:type="dxa"/>
          </w:tcPr>
          <w:p w14:paraId="2A3373F1" w14:textId="4CC41983" w:rsidR="00111F51" w:rsidRPr="006E1F47" w:rsidRDefault="00020DB0" w:rsidP="00E76030">
            <w:pPr>
              <w:pStyle w:val="TableText"/>
              <w:rPr>
                <w:szCs w:val="24"/>
              </w:rPr>
            </w:pPr>
            <w:r w:rsidRPr="00707733">
              <w:rPr>
                <w:color w:val="000000"/>
                <w:szCs w:val="24"/>
              </w:rPr>
              <w:t>721</w:t>
            </w:r>
          </w:p>
        </w:tc>
        <w:tc>
          <w:tcPr>
            <w:tcW w:w="864" w:type="dxa"/>
          </w:tcPr>
          <w:p w14:paraId="12F3A178" w14:textId="1A1383F5" w:rsidR="00111F51" w:rsidRPr="006E1F47" w:rsidRDefault="00020DB0" w:rsidP="00E76030">
            <w:pPr>
              <w:pStyle w:val="TableText"/>
              <w:rPr>
                <w:szCs w:val="24"/>
              </w:rPr>
            </w:pPr>
            <w:r w:rsidRPr="00707733">
              <w:rPr>
                <w:color w:val="000000"/>
                <w:szCs w:val="24"/>
              </w:rPr>
              <w:t>99%</w:t>
            </w:r>
          </w:p>
        </w:tc>
        <w:tc>
          <w:tcPr>
            <w:tcW w:w="864" w:type="dxa"/>
          </w:tcPr>
          <w:p w14:paraId="278645EC" w14:textId="79BA0333" w:rsidR="00111F51" w:rsidRPr="006E1F47" w:rsidRDefault="00020DB0" w:rsidP="00E76030">
            <w:pPr>
              <w:pStyle w:val="TableText"/>
              <w:rPr>
                <w:szCs w:val="24"/>
              </w:rPr>
            </w:pPr>
            <w:r w:rsidRPr="00707733">
              <w:rPr>
                <w:color w:val="000000"/>
                <w:szCs w:val="24"/>
              </w:rPr>
              <w:t>722</w:t>
            </w:r>
          </w:p>
        </w:tc>
        <w:tc>
          <w:tcPr>
            <w:tcW w:w="864" w:type="dxa"/>
          </w:tcPr>
          <w:p w14:paraId="65353397" w14:textId="7019BA61" w:rsidR="00111F51" w:rsidRPr="006E1F47" w:rsidRDefault="00020DB0" w:rsidP="00E76030">
            <w:pPr>
              <w:pStyle w:val="TableText"/>
              <w:rPr>
                <w:szCs w:val="24"/>
              </w:rPr>
            </w:pPr>
            <w:r w:rsidRPr="00707733">
              <w:rPr>
                <w:color w:val="000000"/>
                <w:szCs w:val="24"/>
              </w:rPr>
              <w:t>99%</w:t>
            </w:r>
          </w:p>
        </w:tc>
        <w:tc>
          <w:tcPr>
            <w:tcW w:w="864" w:type="dxa"/>
          </w:tcPr>
          <w:p w14:paraId="45092549" w14:textId="26100903" w:rsidR="00111F51" w:rsidRPr="006E1F47" w:rsidRDefault="00020DB0" w:rsidP="00E76030">
            <w:pPr>
              <w:pStyle w:val="TableText"/>
              <w:rPr>
                <w:szCs w:val="24"/>
              </w:rPr>
            </w:pPr>
            <w:r w:rsidRPr="00707733">
              <w:rPr>
                <w:color w:val="000000"/>
                <w:szCs w:val="24"/>
              </w:rPr>
              <w:t>725</w:t>
            </w:r>
          </w:p>
        </w:tc>
        <w:tc>
          <w:tcPr>
            <w:tcW w:w="864" w:type="dxa"/>
          </w:tcPr>
          <w:p w14:paraId="0AE83DE9" w14:textId="50366F9C" w:rsidR="00111F51" w:rsidRPr="006E1F47" w:rsidRDefault="00020DB0" w:rsidP="00E76030">
            <w:pPr>
              <w:pStyle w:val="TableText"/>
              <w:rPr>
                <w:szCs w:val="24"/>
              </w:rPr>
            </w:pPr>
            <w:r w:rsidRPr="00707733">
              <w:rPr>
                <w:color w:val="000000"/>
                <w:szCs w:val="24"/>
              </w:rPr>
              <w:t>99%</w:t>
            </w:r>
          </w:p>
        </w:tc>
        <w:tc>
          <w:tcPr>
            <w:tcW w:w="864" w:type="dxa"/>
          </w:tcPr>
          <w:p w14:paraId="0A9BC5B3" w14:textId="5364A45D" w:rsidR="00111F51" w:rsidRPr="006E1F47" w:rsidRDefault="00020DB0" w:rsidP="00E76030">
            <w:pPr>
              <w:pStyle w:val="TableText"/>
              <w:rPr>
                <w:szCs w:val="24"/>
              </w:rPr>
            </w:pPr>
            <w:r w:rsidRPr="00707733">
              <w:rPr>
                <w:color w:val="000000"/>
                <w:szCs w:val="24"/>
              </w:rPr>
              <w:t>715</w:t>
            </w:r>
          </w:p>
        </w:tc>
        <w:tc>
          <w:tcPr>
            <w:tcW w:w="864" w:type="dxa"/>
          </w:tcPr>
          <w:p w14:paraId="14FC2465" w14:textId="570264D1" w:rsidR="00111F51" w:rsidRPr="006E1F47" w:rsidRDefault="00020DB0" w:rsidP="00E76030">
            <w:pPr>
              <w:pStyle w:val="TableText"/>
              <w:rPr>
                <w:szCs w:val="24"/>
              </w:rPr>
            </w:pPr>
            <w:r w:rsidRPr="00707733">
              <w:rPr>
                <w:color w:val="000000"/>
                <w:szCs w:val="24"/>
              </w:rPr>
              <w:t>98%</w:t>
            </w:r>
          </w:p>
        </w:tc>
        <w:tc>
          <w:tcPr>
            <w:tcW w:w="864" w:type="dxa"/>
          </w:tcPr>
          <w:p w14:paraId="280CEB4B" w14:textId="11E28862" w:rsidR="00111F51" w:rsidRPr="006E1F47" w:rsidRDefault="00020DB0" w:rsidP="00E76030">
            <w:pPr>
              <w:pStyle w:val="TableText"/>
              <w:rPr>
                <w:szCs w:val="24"/>
              </w:rPr>
            </w:pPr>
            <w:r w:rsidRPr="00707733">
              <w:rPr>
                <w:color w:val="000000"/>
                <w:szCs w:val="24"/>
              </w:rPr>
              <w:t>719</w:t>
            </w:r>
          </w:p>
        </w:tc>
        <w:tc>
          <w:tcPr>
            <w:tcW w:w="936" w:type="dxa"/>
          </w:tcPr>
          <w:p w14:paraId="12AB635B" w14:textId="3A96E501" w:rsidR="00111F51" w:rsidRPr="006E1F47" w:rsidRDefault="00020DB0" w:rsidP="00E76030">
            <w:pPr>
              <w:pStyle w:val="TableText"/>
              <w:rPr>
                <w:szCs w:val="24"/>
              </w:rPr>
            </w:pPr>
            <w:r w:rsidRPr="00707733">
              <w:rPr>
                <w:color w:val="000000"/>
                <w:szCs w:val="24"/>
              </w:rPr>
              <w:t>99%</w:t>
            </w:r>
          </w:p>
        </w:tc>
      </w:tr>
      <w:tr w:rsidR="00111F51" w:rsidRPr="00C34C12" w14:paraId="2BFF9275" w14:textId="77777777" w:rsidTr="00505B10">
        <w:tc>
          <w:tcPr>
            <w:tcW w:w="3456" w:type="dxa"/>
          </w:tcPr>
          <w:p w14:paraId="6C49197B" w14:textId="77777777" w:rsidR="00111F51" w:rsidRPr="00C34C12" w:rsidRDefault="00111F51" w:rsidP="00E76030">
            <w:pPr>
              <w:pStyle w:val="TableText"/>
              <w:jc w:val="left"/>
              <w:rPr>
                <w:noProof w:val="0"/>
              </w:rPr>
            </w:pPr>
            <w:r w:rsidRPr="004B2D24">
              <w:t>Using Individualized Scripts</w:t>
            </w:r>
          </w:p>
        </w:tc>
        <w:tc>
          <w:tcPr>
            <w:tcW w:w="864" w:type="dxa"/>
          </w:tcPr>
          <w:p w14:paraId="4B636756" w14:textId="49DC2331" w:rsidR="00111F51" w:rsidRPr="006E1F47" w:rsidRDefault="00020DB0" w:rsidP="00E76030">
            <w:pPr>
              <w:pStyle w:val="TableText"/>
              <w:rPr>
                <w:szCs w:val="24"/>
              </w:rPr>
            </w:pPr>
            <w:r w:rsidRPr="00707733">
              <w:rPr>
                <w:color w:val="000000"/>
                <w:szCs w:val="24"/>
              </w:rPr>
              <w:t>17</w:t>
            </w:r>
          </w:p>
        </w:tc>
        <w:tc>
          <w:tcPr>
            <w:tcW w:w="864" w:type="dxa"/>
          </w:tcPr>
          <w:p w14:paraId="3F803E8F" w14:textId="1D3EE1C0" w:rsidR="00111F51" w:rsidRPr="006E1F47" w:rsidRDefault="00020DB0" w:rsidP="00E76030">
            <w:pPr>
              <w:pStyle w:val="TableText"/>
              <w:rPr>
                <w:szCs w:val="24"/>
              </w:rPr>
            </w:pPr>
            <w:r w:rsidRPr="00707733">
              <w:rPr>
                <w:color w:val="000000"/>
                <w:szCs w:val="24"/>
              </w:rPr>
              <w:t>2%</w:t>
            </w:r>
          </w:p>
        </w:tc>
        <w:tc>
          <w:tcPr>
            <w:tcW w:w="864" w:type="dxa"/>
          </w:tcPr>
          <w:p w14:paraId="35ECD881" w14:textId="10673927" w:rsidR="00111F51" w:rsidRPr="006E1F47" w:rsidRDefault="00020DB0" w:rsidP="00E76030">
            <w:pPr>
              <w:pStyle w:val="TableText"/>
              <w:rPr>
                <w:szCs w:val="24"/>
              </w:rPr>
            </w:pPr>
            <w:r w:rsidRPr="00707733">
              <w:rPr>
                <w:color w:val="000000"/>
                <w:szCs w:val="24"/>
              </w:rPr>
              <w:t>8</w:t>
            </w:r>
          </w:p>
        </w:tc>
        <w:tc>
          <w:tcPr>
            <w:tcW w:w="864" w:type="dxa"/>
          </w:tcPr>
          <w:p w14:paraId="5A3A9D8F" w14:textId="63083BB2" w:rsidR="00111F51" w:rsidRPr="006E1F47" w:rsidRDefault="00020DB0" w:rsidP="00E76030">
            <w:pPr>
              <w:pStyle w:val="TableText"/>
              <w:rPr>
                <w:szCs w:val="24"/>
              </w:rPr>
            </w:pPr>
            <w:r w:rsidRPr="00707733">
              <w:rPr>
                <w:color w:val="000000"/>
                <w:szCs w:val="24"/>
              </w:rPr>
              <w:t>1%</w:t>
            </w:r>
          </w:p>
        </w:tc>
        <w:tc>
          <w:tcPr>
            <w:tcW w:w="864" w:type="dxa"/>
          </w:tcPr>
          <w:p w14:paraId="15BB68D8" w14:textId="4DE71426" w:rsidR="00111F51" w:rsidRPr="006012F4" w:rsidRDefault="00020DB0" w:rsidP="00E76030">
            <w:pPr>
              <w:pStyle w:val="TableText"/>
              <w:rPr>
                <w:szCs w:val="24"/>
              </w:rPr>
            </w:pPr>
            <w:r w:rsidRPr="00707733">
              <w:rPr>
                <w:color w:val="000000"/>
                <w:szCs w:val="24"/>
              </w:rPr>
              <w:t>7</w:t>
            </w:r>
          </w:p>
        </w:tc>
        <w:tc>
          <w:tcPr>
            <w:tcW w:w="864" w:type="dxa"/>
          </w:tcPr>
          <w:p w14:paraId="51B1DD8A" w14:textId="34FCD2A4" w:rsidR="00111F51" w:rsidRPr="006E1F47" w:rsidRDefault="00020DB0" w:rsidP="00E76030">
            <w:pPr>
              <w:pStyle w:val="TableText"/>
              <w:rPr>
                <w:szCs w:val="24"/>
              </w:rPr>
            </w:pPr>
            <w:r w:rsidRPr="00707733">
              <w:rPr>
                <w:color w:val="000000"/>
                <w:szCs w:val="24"/>
              </w:rPr>
              <w:t>1%</w:t>
            </w:r>
          </w:p>
        </w:tc>
        <w:tc>
          <w:tcPr>
            <w:tcW w:w="864" w:type="dxa"/>
          </w:tcPr>
          <w:p w14:paraId="2F8CE461" w14:textId="6229B970" w:rsidR="00111F51" w:rsidRPr="006E1F47" w:rsidRDefault="00020DB0" w:rsidP="00E76030">
            <w:pPr>
              <w:pStyle w:val="TableText"/>
              <w:rPr>
                <w:szCs w:val="24"/>
              </w:rPr>
            </w:pPr>
            <w:r w:rsidRPr="00707733">
              <w:rPr>
                <w:color w:val="000000"/>
                <w:szCs w:val="24"/>
              </w:rPr>
              <w:t>4</w:t>
            </w:r>
          </w:p>
        </w:tc>
        <w:tc>
          <w:tcPr>
            <w:tcW w:w="864" w:type="dxa"/>
          </w:tcPr>
          <w:p w14:paraId="4B2230A2" w14:textId="75BBF20C" w:rsidR="00111F51" w:rsidRPr="006E1F47" w:rsidRDefault="00020DB0" w:rsidP="00E76030">
            <w:pPr>
              <w:pStyle w:val="TableText"/>
              <w:rPr>
                <w:szCs w:val="24"/>
              </w:rPr>
            </w:pPr>
            <w:r w:rsidRPr="00707733">
              <w:rPr>
                <w:color w:val="000000"/>
                <w:szCs w:val="24"/>
              </w:rPr>
              <w:t>1%</w:t>
            </w:r>
          </w:p>
        </w:tc>
        <w:tc>
          <w:tcPr>
            <w:tcW w:w="864" w:type="dxa"/>
          </w:tcPr>
          <w:p w14:paraId="79B0970E" w14:textId="4641B9EF" w:rsidR="00111F51" w:rsidRPr="006E1F47" w:rsidRDefault="00020DB0" w:rsidP="00E76030">
            <w:pPr>
              <w:pStyle w:val="TableText"/>
              <w:rPr>
                <w:szCs w:val="24"/>
              </w:rPr>
            </w:pPr>
            <w:r w:rsidRPr="00707733">
              <w:rPr>
                <w:color w:val="000000"/>
                <w:szCs w:val="24"/>
              </w:rPr>
              <w:t>14</w:t>
            </w:r>
          </w:p>
        </w:tc>
        <w:tc>
          <w:tcPr>
            <w:tcW w:w="864" w:type="dxa"/>
          </w:tcPr>
          <w:p w14:paraId="069FFCFC" w14:textId="6286DE2A" w:rsidR="00111F51" w:rsidRPr="006E1F47" w:rsidRDefault="00020DB0" w:rsidP="00E76030">
            <w:pPr>
              <w:pStyle w:val="TableText"/>
              <w:rPr>
                <w:szCs w:val="24"/>
              </w:rPr>
            </w:pPr>
            <w:r w:rsidRPr="00707733">
              <w:rPr>
                <w:color w:val="000000"/>
                <w:szCs w:val="24"/>
              </w:rPr>
              <w:t>2%</w:t>
            </w:r>
          </w:p>
        </w:tc>
        <w:tc>
          <w:tcPr>
            <w:tcW w:w="864" w:type="dxa"/>
          </w:tcPr>
          <w:p w14:paraId="42B8FDA1" w14:textId="6B05D104" w:rsidR="00111F51" w:rsidRPr="006E1F47" w:rsidRDefault="00020DB0" w:rsidP="00E76030">
            <w:pPr>
              <w:pStyle w:val="TableText"/>
              <w:rPr>
                <w:szCs w:val="24"/>
              </w:rPr>
            </w:pPr>
            <w:r w:rsidRPr="00707733">
              <w:rPr>
                <w:color w:val="000000"/>
                <w:szCs w:val="24"/>
              </w:rPr>
              <w:t>10</w:t>
            </w:r>
          </w:p>
        </w:tc>
        <w:tc>
          <w:tcPr>
            <w:tcW w:w="936" w:type="dxa"/>
          </w:tcPr>
          <w:p w14:paraId="4DE6D82A" w14:textId="59306589" w:rsidR="00111F51" w:rsidRPr="006E1F47" w:rsidRDefault="00020DB0" w:rsidP="00E76030">
            <w:pPr>
              <w:pStyle w:val="TableText"/>
              <w:rPr>
                <w:szCs w:val="24"/>
              </w:rPr>
            </w:pPr>
            <w:r w:rsidRPr="00707733">
              <w:rPr>
                <w:color w:val="000000"/>
                <w:szCs w:val="24"/>
              </w:rPr>
              <w:t>1%</w:t>
            </w:r>
          </w:p>
        </w:tc>
      </w:tr>
      <w:tr w:rsidR="00111F51" w:rsidRPr="00C34C12" w14:paraId="2FFBDC70" w14:textId="77777777" w:rsidTr="00505B10">
        <w:tc>
          <w:tcPr>
            <w:tcW w:w="3456" w:type="dxa"/>
          </w:tcPr>
          <w:p w14:paraId="436FC7DC" w14:textId="77777777" w:rsidR="00111F51" w:rsidRPr="00C34C12" w:rsidRDefault="00111F51" w:rsidP="00E76030">
            <w:pPr>
              <w:pStyle w:val="TableText"/>
              <w:jc w:val="left"/>
              <w:rPr>
                <w:noProof w:val="0"/>
              </w:rPr>
            </w:pPr>
            <w:r w:rsidRPr="004B2D24">
              <w:t>Using Standardized Materials</w:t>
            </w:r>
          </w:p>
        </w:tc>
        <w:tc>
          <w:tcPr>
            <w:tcW w:w="864" w:type="dxa"/>
          </w:tcPr>
          <w:p w14:paraId="32530F46" w14:textId="7FA394AB" w:rsidR="00111F51" w:rsidRPr="006E1F47" w:rsidRDefault="00CC19DA" w:rsidP="00E76030">
            <w:pPr>
              <w:pStyle w:val="TableText"/>
              <w:rPr>
                <w:szCs w:val="24"/>
              </w:rPr>
            </w:pPr>
            <w:r>
              <w:rPr>
                <w:szCs w:val="24"/>
              </w:rPr>
              <w:t>727</w:t>
            </w:r>
          </w:p>
        </w:tc>
        <w:tc>
          <w:tcPr>
            <w:tcW w:w="864" w:type="dxa"/>
          </w:tcPr>
          <w:p w14:paraId="377DCDCB" w14:textId="1D0D2509" w:rsidR="00111F51" w:rsidRPr="006E1F47" w:rsidRDefault="00CC19DA" w:rsidP="00E76030">
            <w:pPr>
              <w:pStyle w:val="TableText"/>
              <w:rPr>
                <w:szCs w:val="24"/>
              </w:rPr>
            </w:pPr>
            <w:r>
              <w:rPr>
                <w:szCs w:val="24"/>
              </w:rPr>
              <w:t>100%</w:t>
            </w:r>
          </w:p>
        </w:tc>
        <w:tc>
          <w:tcPr>
            <w:tcW w:w="864" w:type="dxa"/>
          </w:tcPr>
          <w:p w14:paraId="704CA4A8" w14:textId="2549E791" w:rsidR="00111F51" w:rsidRPr="006E1F47" w:rsidRDefault="00CC19DA" w:rsidP="00E76030">
            <w:pPr>
              <w:pStyle w:val="TableText"/>
              <w:rPr>
                <w:szCs w:val="24"/>
              </w:rPr>
            </w:pPr>
            <w:r>
              <w:rPr>
                <w:szCs w:val="24"/>
              </w:rPr>
              <w:t>727</w:t>
            </w:r>
          </w:p>
        </w:tc>
        <w:tc>
          <w:tcPr>
            <w:tcW w:w="864" w:type="dxa"/>
          </w:tcPr>
          <w:p w14:paraId="4755BEE9" w14:textId="4614B553" w:rsidR="00111F51" w:rsidRPr="006E1F47" w:rsidRDefault="00CC19DA" w:rsidP="00E76030">
            <w:pPr>
              <w:pStyle w:val="TableText"/>
              <w:rPr>
                <w:szCs w:val="24"/>
              </w:rPr>
            </w:pPr>
            <w:r>
              <w:rPr>
                <w:szCs w:val="24"/>
              </w:rPr>
              <w:t>100%</w:t>
            </w:r>
          </w:p>
        </w:tc>
        <w:tc>
          <w:tcPr>
            <w:tcW w:w="864" w:type="dxa"/>
          </w:tcPr>
          <w:p w14:paraId="3F89D07A" w14:textId="12040274" w:rsidR="00111F51" w:rsidRPr="006E1F47" w:rsidRDefault="00CC19DA" w:rsidP="00E76030">
            <w:pPr>
              <w:pStyle w:val="TableText"/>
              <w:rPr>
                <w:szCs w:val="24"/>
              </w:rPr>
            </w:pPr>
            <w:r>
              <w:rPr>
                <w:szCs w:val="24"/>
              </w:rPr>
              <w:t>724</w:t>
            </w:r>
          </w:p>
        </w:tc>
        <w:tc>
          <w:tcPr>
            <w:tcW w:w="864" w:type="dxa"/>
          </w:tcPr>
          <w:p w14:paraId="250FBE60" w14:textId="05C40715" w:rsidR="00111F51" w:rsidRPr="006E1F47" w:rsidRDefault="00CC19DA" w:rsidP="00E76030">
            <w:pPr>
              <w:pStyle w:val="TableText"/>
              <w:rPr>
                <w:szCs w:val="24"/>
              </w:rPr>
            </w:pPr>
            <w:r>
              <w:rPr>
                <w:szCs w:val="24"/>
              </w:rPr>
              <w:t>99%</w:t>
            </w:r>
          </w:p>
        </w:tc>
        <w:tc>
          <w:tcPr>
            <w:tcW w:w="864" w:type="dxa"/>
          </w:tcPr>
          <w:p w14:paraId="68072B7C" w14:textId="424B5AEC" w:rsidR="00111F51" w:rsidRPr="006E1F47" w:rsidRDefault="00CC19DA" w:rsidP="00E76030">
            <w:pPr>
              <w:pStyle w:val="TableText"/>
              <w:rPr>
                <w:szCs w:val="24"/>
              </w:rPr>
            </w:pPr>
            <w:r>
              <w:rPr>
                <w:szCs w:val="24"/>
              </w:rPr>
              <w:t>724</w:t>
            </w:r>
          </w:p>
        </w:tc>
        <w:tc>
          <w:tcPr>
            <w:tcW w:w="864" w:type="dxa"/>
          </w:tcPr>
          <w:p w14:paraId="761C203E" w14:textId="77726953" w:rsidR="00111F51" w:rsidRPr="006E1F47" w:rsidRDefault="00CC19DA" w:rsidP="00E76030">
            <w:pPr>
              <w:pStyle w:val="TableText"/>
              <w:rPr>
                <w:szCs w:val="24"/>
              </w:rPr>
            </w:pPr>
            <w:r>
              <w:rPr>
                <w:szCs w:val="24"/>
              </w:rPr>
              <w:t>99%</w:t>
            </w:r>
          </w:p>
        </w:tc>
        <w:tc>
          <w:tcPr>
            <w:tcW w:w="864" w:type="dxa"/>
          </w:tcPr>
          <w:p w14:paraId="300DCF74" w14:textId="4D7D61FB" w:rsidR="00111F51" w:rsidRPr="006E1F47" w:rsidRDefault="00CC19DA" w:rsidP="00E76030">
            <w:pPr>
              <w:pStyle w:val="TableText"/>
              <w:rPr>
                <w:szCs w:val="24"/>
              </w:rPr>
            </w:pPr>
            <w:r>
              <w:rPr>
                <w:szCs w:val="24"/>
              </w:rPr>
              <w:t>704</w:t>
            </w:r>
          </w:p>
        </w:tc>
        <w:tc>
          <w:tcPr>
            <w:tcW w:w="864" w:type="dxa"/>
          </w:tcPr>
          <w:p w14:paraId="1CDC6265" w14:textId="41041CE3" w:rsidR="00111F51" w:rsidRPr="006E1F47" w:rsidRDefault="00CC19DA" w:rsidP="00E76030">
            <w:pPr>
              <w:pStyle w:val="TableText"/>
              <w:rPr>
                <w:szCs w:val="24"/>
              </w:rPr>
            </w:pPr>
            <w:r>
              <w:rPr>
                <w:szCs w:val="24"/>
              </w:rPr>
              <w:t>97%</w:t>
            </w:r>
          </w:p>
        </w:tc>
        <w:tc>
          <w:tcPr>
            <w:tcW w:w="864" w:type="dxa"/>
          </w:tcPr>
          <w:p w14:paraId="4DB77A95" w14:textId="6818EE18" w:rsidR="00111F51" w:rsidRPr="006E1F47" w:rsidRDefault="00CC19DA" w:rsidP="00E76030">
            <w:pPr>
              <w:pStyle w:val="TableText"/>
              <w:rPr>
                <w:szCs w:val="24"/>
              </w:rPr>
            </w:pPr>
            <w:r>
              <w:rPr>
                <w:szCs w:val="24"/>
              </w:rPr>
              <w:t>72</w:t>
            </w:r>
            <w:r w:rsidR="005F1FD1">
              <w:rPr>
                <w:szCs w:val="24"/>
              </w:rPr>
              <w:t>8</w:t>
            </w:r>
          </w:p>
        </w:tc>
        <w:tc>
          <w:tcPr>
            <w:tcW w:w="936" w:type="dxa"/>
          </w:tcPr>
          <w:p w14:paraId="12E68152" w14:textId="186CEF4F" w:rsidR="00111F51" w:rsidRPr="006E1F47" w:rsidRDefault="00CC19DA" w:rsidP="00E76030">
            <w:pPr>
              <w:pStyle w:val="TableText"/>
              <w:rPr>
                <w:szCs w:val="24"/>
              </w:rPr>
            </w:pPr>
            <w:r>
              <w:rPr>
                <w:szCs w:val="24"/>
              </w:rPr>
              <w:t>100%</w:t>
            </w:r>
          </w:p>
        </w:tc>
      </w:tr>
      <w:tr w:rsidR="00111F51" w:rsidRPr="00C34C12" w14:paraId="5A6715FB" w14:textId="77777777" w:rsidTr="00505B10">
        <w:tc>
          <w:tcPr>
            <w:tcW w:w="3456" w:type="dxa"/>
          </w:tcPr>
          <w:p w14:paraId="6C44909F" w14:textId="77777777" w:rsidR="00111F51" w:rsidRPr="00C34C12" w:rsidRDefault="00111F51" w:rsidP="00E76030">
            <w:pPr>
              <w:pStyle w:val="TableText"/>
              <w:jc w:val="left"/>
              <w:rPr>
                <w:noProof w:val="0"/>
              </w:rPr>
            </w:pPr>
            <w:r w:rsidRPr="004B2D24">
              <w:t>Using Individualized Materials</w:t>
            </w:r>
          </w:p>
        </w:tc>
        <w:tc>
          <w:tcPr>
            <w:tcW w:w="864" w:type="dxa"/>
          </w:tcPr>
          <w:p w14:paraId="1D6D1F19" w14:textId="07036484" w:rsidR="00111F51" w:rsidRPr="006E1F47" w:rsidRDefault="00CC19DA" w:rsidP="00E76030">
            <w:pPr>
              <w:pStyle w:val="TableText"/>
              <w:rPr>
                <w:szCs w:val="24"/>
              </w:rPr>
            </w:pPr>
            <w:r>
              <w:rPr>
                <w:szCs w:val="24"/>
              </w:rPr>
              <w:t>2</w:t>
            </w:r>
          </w:p>
        </w:tc>
        <w:tc>
          <w:tcPr>
            <w:tcW w:w="864" w:type="dxa"/>
          </w:tcPr>
          <w:p w14:paraId="7E4EB4F4" w14:textId="68D167CD" w:rsidR="00111F51" w:rsidRPr="006E1F47" w:rsidRDefault="00CC19DA" w:rsidP="00E76030">
            <w:pPr>
              <w:pStyle w:val="TableText"/>
              <w:rPr>
                <w:szCs w:val="24"/>
              </w:rPr>
            </w:pPr>
            <w:r>
              <w:rPr>
                <w:szCs w:val="24"/>
              </w:rPr>
              <w:t>0%</w:t>
            </w:r>
          </w:p>
        </w:tc>
        <w:tc>
          <w:tcPr>
            <w:tcW w:w="864" w:type="dxa"/>
          </w:tcPr>
          <w:p w14:paraId="2C8101A8" w14:textId="32245FAE" w:rsidR="00111F51" w:rsidRPr="006E1F47" w:rsidRDefault="00CC19DA" w:rsidP="00E76030">
            <w:pPr>
              <w:pStyle w:val="TableText"/>
              <w:rPr>
                <w:szCs w:val="24"/>
              </w:rPr>
            </w:pPr>
            <w:r>
              <w:rPr>
                <w:szCs w:val="24"/>
              </w:rPr>
              <w:t>2</w:t>
            </w:r>
          </w:p>
        </w:tc>
        <w:tc>
          <w:tcPr>
            <w:tcW w:w="864" w:type="dxa"/>
          </w:tcPr>
          <w:p w14:paraId="6C295E2C" w14:textId="591DF3E0" w:rsidR="00111F51" w:rsidRPr="006E1F47" w:rsidRDefault="00CC19DA" w:rsidP="00E76030">
            <w:pPr>
              <w:pStyle w:val="TableText"/>
              <w:rPr>
                <w:szCs w:val="24"/>
              </w:rPr>
            </w:pPr>
            <w:r>
              <w:rPr>
                <w:szCs w:val="24"/>
              </w:rPr>
              <w:t>0%</w:t>
            </w:r>
          </w:p>
        </w:tc>
        <w:tc>
          <w:tcPr>
            <w:tcW w:w="864" w:type="dxa"/>
          </w:tcPr>
          <w:p w14:paraId="0A0EBD84" w14:textId="43F4D4AA" w:rsidR="00111F51" w:rsidRPr="006E1F47" w:rsidRDefault="00CC19DA" w:rsidP="00E76030">
            <w:pPr>
              <w:pStyle w:val="TableText"/>
              <w:rPr>
                <w:szCs w:val="24"/>
              </w:rPr>
            </w:pPr>
            <w:r>
              <w:rPr>
                <w:szCs w:val="24"/>
              </w:rPr>
              <w:t>5</w:t>
            </w:r>
          </w:p>
        </w:tc>
        <w:tc>
          <w:tcPr>
            <w:tcW w:w="864" w:type="dxa"/>
          </w:tcPr>
          <w:p w14:paraId="72892A6C" w14:textId="71A748AA" w:rsidR="00111F51" w:rsidRPr="006E1F47" w:rsidRDefault="00CC19DA" w:rsidP="00E76030">
            <w:pPr>
              <w:pStyle w:val="TableText"/>
              <w:rPr>
                <w:szCs w:val="24"/>
              </w:rPr>
            </w:pPr>
            <w:r>
              <w:rPr>
                <w:szCs w:val="24"/>
              </w:rPr>
              <w:t>1%</w:t>
            </w:r>
          </w:p>
        </w:tc>
        <w:tc>
          <w:tcPr>
            <w:tcW w:w="864" w:type="dxa"/>
          </w:tcPr>
          <w:p w14:paraId="132D574A" w14:textId="1F0F153E" w:rsidR="00111F51" w:rsidRPr="006E1F47" w:rsidRDefault="00CC19DA" w:rsidP="00E76030">
            <w:pPr>
              <w:pStyle w:val="TableText"/>
              <w:rPr>
                <w:szCs w:val="24"/>
              </w:rPr>
            </w:pPr>
            <w:r>
              <w:rPr>
                <w:szCs w:val="24"/>
              </w:rPr>
              <w:t>5</w:t>
            </w:r>
          </w:p>
        </w:tc>
        <w:tc>
          <w:tcPr>
            <w:tcW w:w="864" w:type="dxa"/>
          </w:tcPr>
          <w:p w14:paraId="4D7A74A5" w14:textId="67FC5ED0" w:rsidR="00111F51" w:rsidRPr="006E1F47" w:rsidRDefault="00CC19DA" w:rsidP="00E76030">
            <w:pPr>
              <w:pStyle w:val="TableText"/>
              <w:rPr>
                <w:szCs w:val="24"/>
              </w:rPr>
            </w:pPr>
            <w:r>
              <w:rPr>
                <w:szCs w:val="24"/>
              </w:rPr>
              <w:t>1%</w:t>
            </w:r>
          </w:p>
        </w:tc>
        <w:tc>
          <w:tcPr>
            <w:tcW w:w="864" w:type="dxa"/>
          </w:tcPr>
          <w:p w14:paraId="6DD9B1B5" w14:textId="202F48DF" w:rsidR="00111F51" w:rsidRPr="006E1F47" w:rsidRDefault="00CC19DA" w:rsidP="00E76030">
            <w:pPr>
              <w:pStyle w:val="TableText"/>
              <w:rPr>
                <w:szCs w:val="24"/>
              </w:rPr>
            </w:pPr>
            <w:r>
              <w:rPr>
                <w:szCs w:val="24"/>
              </w:rPr>
              <w:t>25</w:t>
            </w:r>
          </w:p>
        </w:tc>
        <w:tc>
          <w:tcPr>
            <w:tcW w:w="864" w:type="dxa"/>
          </w:tcPr>
          <w:p w14:paraId="53836FCD" w14:textId="394B5332" w:rsidR="00111F51" w:rsidRPr="006E1F47" w:rsidRDefault="00CC19DA" w:rsidP="00E76030">
            <w:pPr>
              <w:pStyle w:val="TableText"/>
              <w:rPr>
                <w:szCs w:val="24"/>
              </w:rPr>
            </w:pPr>
            <w:r>
              <w:rPr>
                <w:szCs w:val="24"/>
              </w:rPr>
              <w:t>3%</w:t>
            </w:r>
          </w:p>
        </w:tc>
        <w:tc>
          <w:tcPr>
            <w:tcW w:w="864" w:type="dxa"/>
          </w:tcPr>
          <w:p w14:paraId="7464FFD5" w14:textId="78AD6068" w:rsidR="00111F51" w:rsidRPr="006E1F47" w:rsidRDefault="00CC19DA" w:rsidP="00E76030">
            <w:pPr>
              <w:pStyle w:val="TableText"/>
              <w:rPr>
                <w:szCs w:val="24"/>
              </w:rPr>
            </w:pPr>
            <w:r>
              <w:rPr>
                <w:szCs w:val="24"/>
              </w:rPr>
              <w:t>1</w:t>
            </w:r>
          </w:p>
        </w:tc>
        <w:tc>
          <w:tcPr>
            <w:tcW w:w="936" w:type="dxa"/>
          </w:tcPr>
          <w:p w14:paraId="61B791F4" w14:textId="12E3F406" w:rsidR="00111F51" w:rsidRPr="006E1F47" w:rsidRDefault="00CC19DA" w:rsidP="00E76030">
            <w:pPr>
              <w:pStyle w:val="TableText"/>
              <w:rPr>
                <w:szCs w:val="24"/>
              </w:rPr>
            </w:pPr>
            <w:r>
              <w:rPr>
                <w:szCs w:val="24"/>
              </w:rPr>
              <w:t>0%</w:t>
            </w:r>
          </w:p>
        </w:tc>
      </w:tr>
    </w:tbl>
    <w:p w14:paraId="206AFA2B" w14:textId="77777777" w:rsidR="000125FB" w:rsidRDefault="000125FB" w:rsidP="000125FB"/>
    <w:p w14:paraId="12827D4D" w14:textId="5DCD19FD" w:rsidR="000125FB" w:rsidRDefault="000125FB" w:rsidP="000125FB">
      <w:pPr>
        <w:sectPr w:rsidR="000125FB" w:rsidSect="00B63183">
          <w:headerReference w:type="first" r:id="rId33"/>
          <w:footerReference w:type="first" r:id="rId34"/>
          <w:pgSz w:w="15840" w:h="12240" w:orient="landscape" w:code="1"/>
          <w:pgMar w:top="1152" w:right="1152" w:bottom="1152" w:left="1152" w:header="576" w:footer="360" w:gutter="0"/>
          <w:cols w:space="720"/>
          <w:titlePg/>
          <w:docGrid w:linePitch="360"/>
        </w:sectPr>
      </w:pPr>
    </w:p>
    <w:p w14:paraId="417E130F" w14:textId="084D89F9" w:rsidR="006F6A88" w:rsidRDefault="006F6A88" w:rsidP="007A71B3">
      <w:pPr>
        <w:pStyle w:val="Heading4"/>
      </w:pPr>
      <w:bookmarkStart w:id="447" w:name="_Toc182555180"/>
      <w:r w:rsidRPr="004B2D24">
        <w:lastRenderedPageBreak/>
        <w:t>Type and Level of Accommodations</w:t>
      </w:r>
      <w:bookmarkEnd w:id="447"/>
    </w:p>
    <w:p w14:paraId="340504EF" w14:textId="03FAD30C" w:rsidR="00865F0E" w:rsidRPr="00C34C12" w:rsidRDefault="00865F0E" w:rsidP="00865F0E">
      <w:r w:rsidRPr="00C34C12">
        <w:t xml:space="preserve">For the administration of the embedded PTs, </w:t>
      </w:r>
      <w:r w:rsidR="009C4941">
        <w:t>test examiners</w:t>
      </w:r>
      <w:r w:rsidR="009C4941" w:rsidRPr="00C34C12">
        <w:t xml:space="preserve"> </w:t>
      </w:r>
      <w:r w:rsidRPr="00C34C12">
        <w:t>were guided to offer the same instructional supports and classroom accommodation(s) to each student customarily provided in accordance with the student’s IEP. These instructional supports and accommodations also applied to the collection of student responses for the CAA for Science.</w:t>
      </w:r>
    </w:p>
    <w:p w14:paraId="29DB73E4" w14:textId="7BDC0CC7" w:rsidR="00F8090E" w:rsidRDefault="00F8090E" w:rsidP="007A71B3">
      <w:pPr>
        <w:pStyle w:val="Heading3"/>
      </w:pPr>
      <w:bookmarkStart w:id="448" w:name="_Toc182555181"/>
      <w:r w:rsidRPr="004B2D24">
        <w:t>Processing</w:t>
      </w:r>
      <w:r w:rsidR="006C025C" w:rsidRPr="004B2D24">
        <w:t xml:space="preserve"> </w:t>
      </w:r>
      <w:r w:rsidR="00CB0CF5" w:rsidRPr="004B2D24">
        <w:t>and Scoring</w:t>
      </w:r>
      <w:bookmarkEnd w:id="448"/>
    </w:p>
    <w:p w14:paraId="4ABF9282" w14:textId="75546B34" w:rsidR="00C33678" w:rsidRDefault="00C33678" w:rsidP="00C33678">
      <w:r w:rsidRPr="00C34C12">
        <w:t xml:space="preserve">The CAA for Science was administered online only and required two internet-connected devices: a student testing device and a separate device the test examiner used to start a test session through the Test Administrator Interface. Test examiners could also use their device to open a </w:t>
      </w:r>
      <w:r w:rsidRPr="00C34C12">
        <w:rPr>
          <w:i/>
          <w:iCs/>
        </w:rPr>
        <w:t>DFA</w:t>
      </w:r>
      <w:r w:rsidRPr="00C34C12">
        <w:t xml:space="preserve"> document, with which the test examiner guided the student through the test. The CAA for Science required the installation of CAASPP secure browsers on student testing devices. These were the same secure browsers used for the other online CAASPP assessments.</w:t>
      </w:r>
    </w:p>
    <w:p w14:paraId="7DAD3EF8" w14:textId="215B2A1F" w:rsidR="00D55A6C" w:rsidRPr="00C34C12" w:rsidRDefault="00D55A6C" w:rsidP="00C33678">
      <w:r w:rsidRPr="00380C0B">
        <w:t>All item types were designed to be machine-scorable</w:t>
      </w:r>
      <w:r>
        <w:t>.</w:t>
      </w:r>
    </w:p>
    <w:p w14:paraId="7CDDAD47" w14:textId="4813FBBA" w:rsidR="00D442E2" w:rsidRPr="00D442E2" w:rsidRDefault="00EF4782" w:rsidP="003A43F8">
      <w:pPr>
        <w:pStyle w:val="Heading3"/>
      </w:pPr>
      <w:bookmarkStart w:id="449" w:name="_Toc182555182"/>
      <w:r w:rsidRPr="004B2D24">
        <w:t xml:space="preserve">Test </w:t>
      </w:r>
      <w:r w:rsidR="006F6A88" w:rsidRPr="004B2D24">
        <w:t>Security and Confidentiality</w:t>
      </w:r>
      <w:bookmarkEnd w:id="449"/>
    </w:p>
    <w:p w14:paraId="163B4CF1" w14:textId="34DC58B9" w:rsidR="00EF4782" w:rsidRDefault="00EF4782" w:rsidP="007A71B3">
      <w:pPr>
        <w:pStyle w:val="Heading4"/>
      </w:pPr>
      <w:bookmarkStart w:id="450" w:name="_ETS’_Office_of"/>
      <w:bookmarkStart w:id="451" w:name="_Toc182555183"/>
      <w:bookmarkEnd w:id="450"/>
      <w:r w:rsidRPr="004B2D24">
        <w:t>ETS’ Office of Testing Integrity</w:t>
      </w:r>
      <w:bookmarkEnd w:id="451"/>
    </w:p>
    <w:p w14:paraId="23F12530" w14:textId="77777777" w:rsidR="00C33678" w:rsidRPr="00C34C12" w:rsidRDefault="00C33678" w:rsidP="00C33678">
      <w:pPr>
        <w:keepLines/>
      </w:pPr>
      <w:r w:rsidRPr="00C34C12">
        <w:t xml:space="preserve">The Office of Testing Integrity (OTI) is a division of ETS that provides quality assurance services for all ETS-managed testing programs. This division resides in the ETS legal department. The Office of Professional Standards Compliance at ETS publishes and </w:t>
      </w:r>
      <w:bookmarkStart w:id="452" w:name="_Hlk67397233"/>
      <w:r w:rsidRPr="00C34C12">
        <w:t xml:space="preserve">maintains the </w:t>
      </w:r>
      <w:r w:rsidRPr="00C34C12">
        <w:rPr>
          <w:i/>
        </w:rPr>
        <w:t>ETS Standards for Quality and Fairness</w:t>
      </w:r>
      <w:r w:rsidRPr="00C34C12">
        <w:t xml:space="preserve"> (2014), which supports the OTI’s </w:t>
      </w:r>
      <w:bookmarkEnd w:id="452"/>
      <w:r w:rsidRPr="00C34C12">
        <w:t xml:space="preserve">goals and activities. The </w:t>
      </w:r>
      <w:r w:rsidRPr="00C34C12">
        <w:rPr>
          <w:i/>
        </w:rPr>
        <w:t>ETS Standards for Quality and Fairness</w:t>
      </w:r>
      <w:r w:rsidRPr="00C34C12">
        <w:t xml:space="preserve"> provides guidelines to help ETS staff design, develop, and deliver technically sound, fair, and beneficial products and services and help the public and auditors evaluate those products and services.</w:t>
      </w:r>
    </w:p>
    <w:p w14:paraId="752C650C" w14:textId="77777777" w:rsidR="00C33678" w:rsidRPr="00C34C12" w:rsidRDefault="00C33678" w:rsidP="00C33678">
      <w:pPr>
        <w:keepNext/>
      </w:pPr>
      <w:r w:rsidRPr="00C34C12">
        <w:t>The OTI’s mission is to</w:t>
      </w:r>
    </w:p>
    <w:p w14:paraId="432D698E" w14:textId="77777777" w:rsidR="00C33678" w:rsidRPr="00C34C12" w:rsidRDefault="00C33678" w:rsidP="00B33B75">
      <w:pPr>
        <w:pStyle w:val="bullets"/>
        <w:numPr>
          <w:ilvl w:val="0"/>
          <w:numId w:val="69"/>
        </w:numPr>
        <w:tabs>
          <w:tab w:val="clear" w:pos="727"/>
        </w:tabs>
        <w:ind w:left="864" w:hanging="288"/>
      </w:pPr>
      <w:r w:rsidRPr="00C34C12">
        <w:t>minimize any testing security violations that can impact the fairness of testing,</w:t>
      </w:r>
    </w:p>
    <w:p w14:paraId="40375184" w14:textId="77777777" w:rsidR="00C33678" w:rsidRPr="00C34C12" w:rsidRDefault="00C33678" w:rsidP="00B33B75">
      <w:pPr>
        <w:pStyle w:val="bullets"/>
        <w:numPr>
          <w:ilvl w:val="0"/>
          <w:numId w:val="69"/>
        </w:numPr>
        <w:tabs>
          <w:tab w:val="clear" w:pos="727"/>
        </w:tabs>
        <w:ind w:left="864" w:hanging="288"/>
      </w:pPr>
      <w:r w:rsidRPr="00C34C12">
        <w:t>minimize and investigate any security breach that threatens the validity of the interpretation of test scores, and</w:t>
      </w:r>
    </w:p>
    <w:p w14:paraId="253F0222" w14:textId="77777777" w:rsidR="00C33678" w:rsidRPr="00C34C12" w:rsidRDefault="00C33678" w:rsidP="00B33B75">
      <w:pPr>
        <w:pStyle w:val="bullets"/>
        <w:numPr>
          <w:ilvl w:val="0"/>
          <w:numId w:val="69"/>
        </w:numPr>
        <w:tabs>
          <w:tab w:val="clear" w:pos="727"/>
        </w:tabs>
        <w:ind w:left="864" w:hanging="288"/>
      </w:pPr>
      <w:r w:rsidRPr="00C34C12">
        <w:t>report on security activities.</w:t>
      </w:r>
    </w:p>
    <w:p w14:paraId="5A80C3EA" w14:textId="654E5931" w:rsidR="00072876" w:rsidRPr="00124D70" w:rsidRDefault="00C33678">
      <w:r w:rsidRPr="00C34C12">
        <w:t>The OTI helps prevent misconduct on the part of students and administrators, detects potential misconduct through empirically established indicators, and resolves situations involving misconduct in a fair and balanced way that reflects the laws and professional standards governing the integrity of testing. In its pursuit of enforcing secure testing practices, the OTI strives to safeguard the various processes involved in a test development and administration cycle.</w:t>
      </w:r>
      <w:r w:rsidR="00072876">
        <w:t xml:space="preserve"> </w:t>
      </w:r>
      <w:r w:rsidR="00072876" w:rsidRPr="00124D70">
        <w:t xml:space="preserve">For the </w:t>
      </w:r>
      <w:r w:rsidR="00072876" w:rsidRPr="00A13F7B">
        <w:t xml:space="preserve">CAA for </w:t>
      </w:r>
      <w:r w:rsidR="00072876">
        <w:t>Science</w:t>
      </w:r>
      <w:r w:rsidR="00072876" w:rsidRPr="00124D70">
        <w:t>, those processes included the following:</w:t>
      </w:r>
    </w:p>
    <w:p w14:paraId="18E8DA6D" w14:textId="77777777" w:rsidR="00072876" w:rsidRPr="00124D70" w:rsidRDefault="00072876" w:rsidP="00072876">
      <w:pPr>
        <w:pStyle w:val="bullets-one"/>
      </w:pPr>
      <w:r w:rsidRPr="00124D70">
        <w:t>Security of electronic files using a firewall</w:t>
      </w:r>
    </w:p>
    <w:p w14:paraId="38104916" w14:textId="77777777" w:rsidR="00072876" w:rsidRPr="00124D70" w:rsidRDefault="00072876" w:rsidP="00072876">
      <w:pPr>
        <w:pStyle w:val="bullets-one"/>
      </w:pPr>
      <w:r w:rsidRPr="00124D70">
        <w:t>Printing and publishing</w:t>
      </w:r>
    </w:p>
    <w:p w14:paraId="63D0A163" w14:textId="77777777" w:rsidR="00072876" w:rsidRPr="00124D70" w:rsidRDefault="00072876" w:rsidP="00072876">
      <w:pPr>
        <w:pStyle w:val="bullets-one"/>
      </w:pPr>
      <w:r w:rsidRPr="00124D70">
        <w:t>Test administration</w:t>
      </w:r>
    </w:p>
    <w:p w14:paraId="55CC4F58" w14:textId="77777777" w:rsidR="00072876" w:rsidRPr="00124D70" w:rsidRDefault="00072876" w:rsidP="00072876">
      <w:pPr>
        <w:pStyle w:val="bullets-one"/>
      </w:pPr>
      <w:r w:rsidRPr="00124D70">
        <w:t>Test delivery</w:t>
      </w:r>
    </w:p>
    <w:p w14:paraId="1A0CD0E4" w14:textId="77777777" w:rsidR="00072876" w:rsidRPr="00124D70" w:rsidRDefault="00072876" w:rsidP="00072876">
      <w:pPr>
        <w:pStyle w:val="bullets-one"/>
      </w:pPr>
      <w:r w:rsidRPr="00124D70">
        <w:t>Processing and scoring</w:t>
      </w:r>
    </w:p>
    <w:p w14:paraId="78B68035" w14:textId="77777777" w:rsidR="00072876" w:rsidRPr="00124D70" w:rsidRDefault="00072876" w:rsidP="00F7558E">
      <w:pPr>
        <w:pStyle w:val="bullets-one"/>
        <w:keepNext/>
        <w:keepLines/>
      </w:pPr>
      <w:r w:rsidRPr="00124D70">
        <w:lastRenderedPageBreak/>
        <w:t>Data management</w:t>
      </w:r>
    </w:p>
    <w:p w14:paraId="0C61791A" w14:textId="77777777" w:rsidR="00072876" w:rsidRPr="00124D70" w:rsidRDefault="00072876" w:rsidP="00F7558E">
      <w:pPr>
        <w:pStyle w:val="bullets-one"/>
        <w:keepNext/>
        <w:keepLines/>
      </w:pPr>
      <w:r w:rsidRPr="00124D70">
        <w:t>Statistical analysis</w:t>
      </w:r>
    </w:p>
    <w:p w14:paraId="175229FF" w14:textId="0DA96FEE" w:rsidR="00072876" w:rsidRPr="00C34C12" w:rsidRDefault="00072876" w:rsidP="00B418BE">
      <w:pPr>
        <w:pStyle w:val="bullets-one"/>
      </w:pPr>
      <w:r w:rsidRPr="00124D70">
        <w:t>Student confidentiality</w:t>
      </w:r>
    </w:p>
    <w:p w14:paraId="0DAD2315" w14:textId="03225820" w:rsidR="00EF4782" w:rsidRDefault="00EF4782" w:rsidP="007A71B3">
      <w:pPr>
        <w:pStyle w:val="Heading4"/>
      </w:pPr>
      <w:bookmarkStart w:id="453" w:name="_Procedures_to_Maintain"/>
      <w:bookmarkStart w:id="454" w:name="_Toc182555184"/>
      <w:bookmarkEnd w:id="453"/>
      <w:r w:rsidRPr="004B2D24">
        <w:t>Procedures to Maintain Standardization of Test Security</w:t>
      </w:r>
      <w:bookmarkEnd w:id="454"/>
    </w:p>
    <w:p w14:paraId="246284A5" w14:textId="77777777" w:rsidR="00C33678" w:rsidRPr="00C34C12" w:rsidRDefault="00C33678" w:rsidP="00C33678">
      <w:r w:rsidRPr="00C34C12">
        <w:t>Test security requires the accounting of all secure materials before, during, and after each test administration. The LEA CAASPP coordinator is responsible for keeping all test materials secure, keeping student information confidential, and making sure the CAASPP test site coordinators and test examiners are properly trained regarding security policies and procedures.</w:t>
      </w:r>
    </w:p>
    <w:p w14:paraId="72877FFC" w14:textId="77777777" w:rsidR="00C33678" w:rsidRPr="00C34C12" w:rsidRDefault="00C33678" w:rsidP="00C33678">
      <w:r w:rsidRPr="00C34C12">
        <w:t>The CAASPP test site coordinator is responsible for mitigating test security incidents at the test site and for reporting incidents to the LEA CAASPP coordinator.</w:t>
      </w:r>
    </w:p>
    <w:p w14:paraId="5345E2C7" w14:textId="487F130E" w:rsidR="00C33678" w:rsidRPr="00C34C12" w:rsidRDefault="00C33678" w:rsidP="00C33678">
      <w:bookmarkStart w:id="455" w:name="_Hlk67397245"/>
      <w:r w:rsidRPr="00C34C12">
        <w:t>The test examiner is responsible for reporting testing incidents to the CAASPP test site coordinator and securely destroying printed</w:t>
      </w:r>
      <w:r w:rsidR="009C4941">
        <w:t xml:space="preserve"> </w:t>
      </w:r>
      <w:r w:rsidR="009C4941">
        <w:rPr>
          <w:i/>
          <w:iCs/>
        </w:rPr>
        <w:t>DFAs</w:t>
      </w:r>
      <w:r w:rsidR="009C4941">
        <w:t xml:space="preserve"> that contain</w:t>
      </w:r>
      <w:r w:rsidR="00B6312D">
        <w:t xml:space="preserve"> secure information from</w:t>
      </w:r>
      <w:r w:rsidR="009C4941">
        <w:t xml:space="preserve"> the</w:t>
      </w:r>
      <w:r w:rsidRPr="00C34C12">
        <w:t xml:space="preserve"> embedded PTs (CDE, 20</w:t>
      </w:r>
      <w:r w:rsidR="00C37D6F">
        <w:t>20</w:t>
      </w:r>
      <w:r w:rsidR="00431BB1">
        <w:t>e</w:t>
      </w:r>
      <w:r w:rsidRPr="00C34C12">
        <w:t>).</w:t>
      </w:r>
    </w:p>
    <w:bookmarkEnd w:id="455"/>
    <w:p w14:paraId="3B19CC6D" w14:textId="42E83220" w:rsidR="00C33678" w:rsidRPr="00C34C12" w:rsidRDefault="00C33678" w:rsidP="00C33678">
      <w:r w:rsidRPr="00C34C12">
        <w:t>The following measures ensured the security of CAASPP System assessments administered in 201</w:t>
      </w:r>
      <w:r w:rsidR="004529E2">
        <w:t>9</w:t>
      </w:r>
      <w:r w:rsidRPr="00C34C12">
        <w:t>–20</w:t>
      </w:r>
      <w:r w:rsidR="004529E2">
        <w:t>20</w:t>
      </w:r>
      <w:r w:rsidRPr="00C34C12">
        <w:t>:</w:t>
      </w:r>
    </w:p>
    <w:p w14:paraId="67C44D28" w14:textId="60D7D6A8" w:rsidR="00C33678" w:rsidRPr="00C34C12" w:rsidRDefault="00C33678" w:rsidP="00B33B75">
      <w:pPr>
        <w:pStyle w:val="bullets"/>
        <w:numPr>
          <w:ilvl w:val="0"/>
          <w:numId w:val="69"/>
        </w:numPr>
        <w:tabs>
          <w:tab w:val="clear" w:pos="727"/>
        </w:tabs>
        <w:ind w:left="864" w:hanging="288"/>
      </w:pPr>
      <w:r w:rsidRPr="00C34C12">
        <w:t>LEA CAASPP coordinators and test site coordinators must have signed and submitted a “CAASPP Test Security Agreement for LEA CAASPP coordinators and CAASPP test site coordinators” form in TOMS before ETS granted the coordinators access to TOMS (5</w:t>
      </w:r>
      <w:r w:rsidRPr="00C34C12">
        <w:rPr>
          <w:i/>
        </w:rPr>
        <w:t xml:space="preserve"> CCR</w:t>
      </w:r>
      <w:r w:rsidRPr="00C34C12">
        <w:t>, Section 859[a]).</w:t>
      </w:r>
    </w:p>
    <w:p w14:paraId="70D0F662" w14:textId="77777777" w:rsidR="00C33678" w:rsidRPr="00C34C12" w:rsidRDefault="00C33678" w:rsidP="00B33B75">
      <w:pPr>
        <w:pStyle w:val="bullets"/>
        <w:numPr>
          <w:ilvl w:val="0"/>
          <w:numId w:val="69"/>
        </w:numPr>
        <w:tabs>
          <w:tab w:val="clear" w:pos="727"/>
        </w:tabs>
        <w:ind w:left="864" w:hanging="288"/>
      </w:pPr>
      <w:r w:rsidRPr="00C34C12">
        <w:t xml:space="preserve">Anyone having access to the testing materials must have </w:t>
      </w:r>
      <w:r>
        <w:t xml:space="preserve">electronically </w:t>
      </w:r>
      <w:r w:rsidRPr="00C34C12">
        <w:t>signed and submitted a “Test Security Affidavit for Test Examiners, Test Administrators, Proctors, Translators, Scribes, and Any Other Person Having Access to CAASPP Tests” form electronically in TOMS before receiving access to any testing materials (5</w:t>
      </w:r>
      <w:r w:rsidRPr="00C34C12">
        <w:rPr>
          <w:i/>
        </w:rPr>
        <w:t> CCR</w:t>
      </w:r>
      <w:r w:rsidRPr="00C34C12">
        <w:t>, Section 859[c]).</w:t>
      </w:r>
    </w:p>
    <w:p w14:paraId="1B88FB4D" w14:textId="77777777" w:rsidR="00C33678" w:rsidRPr="00C34C12" w:rsidRDefault="00C33678" w:rsidP="00C33678">
      <w:r w:rsidRPr="00C34C12">
        <w:t>In addition, it was the responsibility of every participant in the CAASPP System to report immediately any violation or suspected violation of test security or confidentiality. The CAASPP test site coordinator reported to the LEA CAASPP coordinator, and the LEA CAASPP coordinator reported to the CDE within 24 hours of the incident (5</w:t>
      </w:r>
      <w:r w:rsidRPr="00C34C12">
        <w:rPr>
          <w:i/>
        </w:rPr>
        <w:t xml:space="preserve"> CCR</w:t>
      </w:r>
      <w:r w:rsidRPr="00C34C12">
        <w:t>, Section 859[e]).</w:t>
      </w:r>
    </w:p>
    <w:p w14:paraId="60EC3F86" w14:textId="6C97CF6B" w:rsidR="00EF4782" w:rsidRDefault="00EF4782" w:rsidP="007A71B3">
      <w:pPr>
        <w:pStyle w:val="Heading4"/>
      </w:pPr>
      <w:bookmarkStart w:id="456" w:name="_Security_of_Electronic"/>
      <w:bookmarkStart w:id="457" w:name="_Toc182555185"/>
      <w:bookmarkEnd w:id="456"/>
      <w:r w:rsidRPr="004B2D24">
        <w:t>Security of Electronic Files Using a Firewall</w:t>
      </w:r>
      <w:bookmarkEnd w:id="457"/>
    </w:p>
    <w:p w14:paraId="2EF09475" w14:textId="2AA201D0" w:rsidR="00C33678" w:rsidRPr="00C34C12" w:rsidRDefault="009153E7" w:rsidP="00C33678">
      <w:r w:rsidRPr="006C312D">
        <w:t>A firewall is software that prevents unauthorized entry to files, email, and other organization-specific information.</w:t>
      </w:r>
      <w:r w:rsidR="00C33678" w:rsidRPr="00C34C12">
        <w:t xml:space="preserve"> All ETS data exchanges and internal email remain within the ETS firewall at all ETS locations, ranging from Princeton, New Jersey; to San Antonio, Texas; to Concord and Sacramento, California.</w:t>
      </w:r>
    </w:p>
    <w:p w14:paraId="5E7C121C" w14:textId="242C5464" w:rsidR="00C33678" w:rsidRPr="00C34C12" w:rsidRDefault="00C33678" w:rsidP="00C33678">
      <w:r w:rsidRPr="00C34C12">
        <w:t xml:space="preserve">All electronic applications that are included in TOMS remain protected by the ETS firewall software at all times. </w:t>
      </w:r>
      <w:r w:rsidR="00307963">
        <w:t>Because of</w:t>
      </w:r>
      <w:r w:rsidRPr="00C34C12">
        <w:t xml:space="preserve"> the sensitive nature of the student information processed by TOMS, the firewall plays a significant role in maintaining assurance of confidentiality among the users of this information.</w:t>
      </w:r>
    </w:p>
    <w:p w14:paraId="58CFB28F" w14:textId="5108D1EC" w:rsidR="00C33678" w:rsidRPr="00C34C12" w:rsidRDefault="00C33678" w:rsidP="00C33678">
      <w:r w:rsidRPr="00C34C12">
        <w:t xml:space="preserve">Refer to section </w:t>
      </w:r>
      <w:hyperlink w:anchor="_Systems_Overview_and" w:history="1">
        <w:r w:rsidRPr="00C34C12">
          <w:rPr>
            <w:rStyle w:val="Hyperlink"/>
            <w:i/>
          </w:rPr>
          <w:t>1.</w:t>
        </w:r>
        <w:r w:rsidR="00382C31">
          <w:rPr>
            <w:rStyle w:val="Hyperlink"/>
            <w:i/>
          </w:rPr>
          <w:t>10</w:t>
        </w:r>
        <w:r w:rsidRPr="00C34C12">
          <w:rPr>
            <w:rStyle w:val="Hyperlink"/>
            <w:i/>
          </w:rPr>
          <w:t xml:space="preserve"> Systems Overview and Functionality</w:t>
        </w:r>
      </w:hyperlink>
      <w:r w:rsidRPr="00C34C12">
        <w:t xml:space="preserve"> in </w:t>
      </w:r>
      <w:hyperlink w:anchor="_Introduction" w:history="1">
        <w:r w:rsidRPr="00C34C12">
          <w:rPr>
            <w:rStyle w:val="Hyperlink"/>
            <w:i/>
          </w:rPr>
          <w:t>Chapter 1: Introduction</w:t>
        </w:r>
      </w:hyperlink>
      <w:r w:rsidRPr="00C34C12">
        <w:t xml:space="preserve"> for more information on TOMS.</w:t>
      </w:r>
    </w:p>
    <w:p w14:paraId="7CBCA1C0" w14:textId="5364E16F" w:rsidR="00EF4782" w:rsidRDefault="00EF4782" w:rsidP="007A71B3">
      <w:pPr>
        <w:pStyle w:val="Heading4"/>
      </w:pPr>
      <w:bookmarkStart w:id="458" w:name="_Transfer_of_Scores"/>
      <w:bookmarkStart w:id="459" w:name="_Toc182555186"/>
      <w:bookmarkEnd w:id="458"/>
      <w:r w:rsidRPr="004B2D24">
        <w:lastRenderedPageBreak/>
        <w:t>Transfer of Scores via Secure Data Exchange</w:t>
      </w:r>
      <w:bookmarkEnd w:id="459"/>
    </w:p>
    <w:p w14:paraId="3E7F431D" w14:textId="53AE5346" w:rsidR="00C33678" w:rsidRPr="00C34C12" w:rsidRDefault="004B7656" w:rsidP="00C33678">
      <w:r>
        <w:t>Because of</w:t>
      </w:r>
      <w:r w:rsidR="00C33678" w:rsidRPr="00C34C12">
        <w:t xml:space="preserve"> the confidential nature of test results, ETS currently uses secure file transfer protocol (SFTP) and encryption for all data file transfers; test data is never sent via email. SFTP is a method for reliable and exclusive routing of files. Files reside on a password-protected server that only authorized users can access. ETS shares an SFTP server with the CDE. On that site, ETS posts Microsoft Word and Excel files, Adobe Acrobat PDFs, or other document files for the CDE to review; the CDE returns reviewed materials in the same manner. Files are deleted upon retrieval.</w:t>
      </w:r>
    </w:p>
    <w:p w14:paraId="333E7F8F" w14:textId="77777777" w:rsidR="00C33678" w:rsidRPr="00C34C12" w:rsidRDefault="00C33678" w:rsidP="00C33678">
      <w:r w:rsidRPr="00C34C12">
        <w:t>The SFTP server is used as a conduit for the transfer of files; secure test data is only temporarily stored on the shared SFTP server. Industry-standard secure protocols are used to transfer test content and student data from the ETS internal data center to any external systems.</w:t>
      </w:r>
    </w:p>
    <w:p w14:paraId="7FB06A7C" w14:textId="77777777" w:rsidR="00C33678" w:rsidRPr="00C34C12" w:rsidRDefault="00C33678" w:rsidP="00C33678">
      <w:r w:rsidRPr="00C34C12">
        <w:t>ETS enters information about the files posted to the SFTP server in a web form on a SharePoint website. A CDE staff member reviews this log throughout the day to check the status of deliverables and downloads and deletes the file from the SFTP server when its status shows it has been posted.</w:t>
      </w:r>
    </w:p>
    <w:p w14:paraId="7F11D6B2" w14:textId="74A7448D" w:rsidR="00EF4782" w:rsidRDefault="00EF4782" w:rsidP="007A71B3">
      <w:pPr>
        <w:pStyle w:val="Heading4"/>
      </w:pPr>
      <w:bookmarkStart w:id="460" w:name="_Data_Management_in"/>
      <w:bookmarkStart w:id="461" w:name="_Toc182555187"/>
      <w:bookmarkEnd w:id="460"/>
      <w:r w:rsidRPr="004B2D24">
        <w:t>Data Management in the Secure Database</w:t>
      </w:r>
      <w:bookmarkEnd w:id="461"/>
    </w:p>
    <w:p w14:paraId="578C5E88" w14:textId="77777777" w:rsidR="00C33678" w:rsidRPr="00C34C12" w:rsidRDefault="00C33678" w:rsidP="00C33678">
      <w:r w:rsidRPr="00C34C12">
        <w:t>ETS currently maintains a secure database to house all student demographic data and assessment results. Information associated with each student has a database relationship to the LEA, school, and grade codes as data is collected during operational testing. Only individuals with the appropriate credentials can access the data. ETS builds all interfaces with the most stringent security considerations, including interfaces with data encryption for databases that store test items and student data. ETS applies best and up-to-date security practices, including system-to-system authentication and authorization, in all solution designs.</w:t>
      </w:r>
    </w:p>
    <w:p w14:paraId="3F137E51" w14:textId="77777777" w:rsidR="00C33678" w:rsidRPr="00C34C12" w:rsidRDefault="00C33678" w:rsidP="00C33678">
      <w:r w:rsidRPr="00C34C12">
        <w:t xml:space="preserve">All stored test content and student data is encrypted. ETS complies with the Family Educational Rights and Privacy Act </w:t>
      </w:r>
      <w:r w:rsidRPr="00C34C12">
        <w:rPr>
          <w:color w:val="333333"/>
        </w:rPr>
        <w:t>(</w:t>
      </w:r>
      <w:r w:rsidRPr="00C34C12">
        <w:rPr>
          <w:color w:val="030A13"/>
        </w:rPr>
        <w:t>20 </w:t>
      </w:r>
      <w:r w:rsidRPr="00C34C12">
        <w:rPr>
          <w:i/>
          <w:color w:val="030A13"/>
        </w:rPr>
        <w:t>United States Code [USC]</w:t>
      </w:r>
      <w:r w:rsidRPr="00C34C12">
        <w:rPr>
          <w:color w:val="030A13"/>
        </w:rPr>
        <w:t xml:space="preserve"> § 1232g; 34 </w:t>
      </w:r>
      <w:r w:rsidRPr="00C34C12">
        <w:rPr>
          <w:i/>
          <w:color w:val="030A13"/>
        </w:rPr>
        <w:t>Code of Federal Regulations</w:t>
      </w:r>
      <w:r w:rsidRPr="00C34C12">
        <w:rPr>
          <w:color w:val="030A13"/>
        </w:rPr>
        <w:t xml:space="preserve"> Part 99</w:t>
      </w:r>
      <w:r w:rsidRPr="00C34C12">
        <w:rPr>
          <w:color w:val="333333"/>
        </w:rPr>
        <w:t>)</w:t>
      </w:r>
      <w:r w:rsidRPr="00C34C12">
        <w:t xml:space="preserve"> and the Children’s Online Privacy Protection Act (15 USC </w:t>
      </w:r>
      <w:r w:rsidRPr="00C34C12">
        <w:rPr>
          <w:color w:val="030A13"/>
        </w:rPr>
        <w:t>§§</w:t>
      </w:r>
      <w:r w:rsidRPr="00C34C12">
        <w:t xml:space="preserve"> </w:t>
      </w:r>
      <w:r w:rsidRPr="00C34C12">
        <w:rPr>
          <w:color w:val="1E1E1E"/>
        </w:rPr>
        <w:t>6501-6506, P.L. No. 105–277, 112 Stat. 2681–1728).</w:t>
      </w:r>
    </w:p>
    <w:p w14:paraId="69E1CD61" w14:textId="77777777" w:rsidR="00C33678" w:rsidRPr="00C34C12" w:rsidRDefault="00C33678" w:rsidP="00C33678">
      <w:r w:rsidRPr="00C34C12">
        <w:t>In TOMS, staff at LEAs and test sites have different levels of access appropriate to the role assigned to them.</w:t>
      </w:r>
    </w:p>
    <w:p w14:paraId="72EE3D1F" w14:textId="75239FA4" w:rsidR="00EF4782" w:rsidRDefault="00EF4782" w:rsidP="007A71B3">
      <w:pPr>
        <w:pStyle w:val="Heading4"/>
      </w:pPr>
      <w:bookmarkStart w:id="462" w:name="_Statistical_Analysis_on"/>
      <w:bookmarkStart w:id="463" w:name="_Toc182555188"/>
      <w:bookmarkEnd w:id="462"/>
      <w:r w:rsidRPr="004B2D24">
        <w:t>Statistical Analysis on Secure Servers</w:t>
      </w:r>
      <w:bookmarkEnd w:id="463"/>
    </w:p>
    <w:p w14:paraId="372EF080" w14:textId="5ED11B0E" w:rsidR="00C33678" w:rsidRPr="00C34C12" w:rsidRDefault="00C33678" w:rsidP="00C33678">
      <w:r w:rsidRPr="00C34C12">
        <w:t>During all CAASPP testing, ETS information technology staff</w:t>
      </w:r>
      <w:r w:rsidR="00810580">
        <w:t xml:space="preserve"> members</w:t>
      </w:r>
      <w:r w:rsidRPr="00C34C12">
        <w:t xml:space="preserve"> retrieve data files from </w:t>
      </w:r>
      <w:r w:rsidR="00262CE9">
        <w:t>Cambium Assessment, Inc. (CAI)</w:t>
      </w:r>
      <w:r w:rsidRPr="00C34C12">
        <w:t xml:space="preserve"> and load th</w:t>
      </w:r>
      <w:r w:rsidR="00810580">
        <w:t>ose files</w:t>
      </w:r>
      <w:r w:rsidRPr="00C34C12">
        <w:t xml:space="preserve"> into a database. The ETS Data Quality Services staff extracts the data from the database and performs quality control procedures (e.g., the values of all variables are as expected) before passing files to the ETS statistical analysis group. The statistical analysis staff store the files on secure servers. All staff members involved with the data adhere to the ETS Code of Ethics and the ETS Information Protection Policies to prevent any unauthorized access to data.</w:t>
      </w:r>
    </w:p>
    <w:p w14:paraId="30423264" w14:textId="3EEB0CEA" w:rsidR="00EF4782" w:rsidRDefault="00EF4782" w:rsidP="007A71B3">
      <w:pPr>
        <w:pStyle w:val="Heading4"/>
      </w:pPr>
      <w:bookmarkStart w:id="464" w:name="_Student_Confidentiality"/>
      <w:bookmarkStart w:id="465" w:name="_Toc182555189"/>
      <w:bookmarkEnd w:id="464"/>
      <w:r w:rsidRPr="004B2D24">
        <w:lastRenderedPageBreak/>
        <w:t>Student Confidentiality</w:t>
      </w:r>
      <w:bookmarkEnd w:id="465"/>
    </w:p>
    <w:p w14:paraId="5955527F" w14:textId="77777777" w:rsidR="00490A2C" w:rsidRPr="00C34C12" w:rsidRDefault="00490A2C" w:rsidP="004B754D">
      <w:pPr>
        <w:keepLines/>
      </w:pPr>
      <w:r w:rsidRPr="00C34C12">
        <w:t>To meet requirements of the Every Student Succeeds Act as well as state requirements, LEAs must collect demographic data about students’ ethnicity, disabilities, parent/guardian education, and so forth during the school year. ETS takes every precaution to prevent any of this information from becoming public or being used for anything other than for testing and score-reporting purposes. These procedures are applied to all documents in which student demographic data appears, such as technical reports.</w:t>
      </w:r>
    </w:p>
    <w:p w14:paraId="0A2335D4" w14:textId="1707E31F" w:rsidR="00EF4782" w:rsidRDefault="00EF4782" w:rsidP="007A71B3">
      <w:pPr>
        <w:pStyle w:val="Heading4"/>
      </w:pPr>
      <w:bookmarkStart w:id="466" w:name="_Toc182555190"/>
      <w:r w:rsidRPr="004B2D24">
        <w:t>Security and Test Administration Incident Reporting System Process</w:t>
      </w:r>
      <w:bookmarkEnd w:id="466"/>
    </w:p>
    <w:p w14:paraId="53089523" w14:textId="2611F5C9" w:rsidR="00490A2C" w:rsidRPr="00C34C12" w:rsidRDefault="00490A2C" w:rsidP="00490A2C">
      <w:r w:rsidRPr="00C34C12">
        <w:t xml:space="preserve">Test security incidents, such as improprieties, irregularities, and breaches, are prohibited behaviors that give a student an unfair advantage or compromise the secure administration </w:t>
      </w:r>
      <w:bookmarkStart w:id="467" w:name="_Hlk67397268"/>
      <w:r w:rsidRPr="00C34C12">
        <w:t>of the tests, which, in turn, compromises the reliability and validity of test results</w:t>
      </w:r>
      <w:r w:rsidR="00331336">
        <w:t xml:space="preserve"> (</w:t>
      </w:r>
      <w:r w:rsidRPr="00C34C12">
        <w:t>CDE, 20</w:t>
      </w:r>
      <w:r w:rsidR="00C37D6F">
        <w:t>20</w:t>
      </w:r>
      <w:r w:rsidR="00431BB1">
        <w:t>e</w:t>
      </w:r>
      <w:r w:rsidRPr="00C34C12">
        <w:t xml:space="preserve">). Whether intentional or unintentional, failure by staff or students to comply </w:t>
      </w:r>
      <w:bookmarkEnd w:id="467"/>
      <w:r w:rsidRPr="00C34C12">
        <w:t>with security rules constitutes a test security incident. Test security incidents have impacts on scoring and affect students’ performance on the test.</w:t>
      </w:r>
    </w:p>
    <w:p w14:paraId="0B4E52BC" w14:textId="77777777" w:rsidR="00490A2C" w:rsidRPr="00C34C12" w:rsidRDefault="00490A2C" w:rsidP="00490A2C">
      <w:r w:rsidRPr="00C34C12">
        <w:t>LEA CAASPP coordinators and CAASPP test site coordinators must ensure that all test security and summative administration incidents are documented by following the prompts in TOMS that guided coordinators in their submittal. An Appeal is a request to reset, restore, reopen, invalidate, or grant a grace period extension to a student’s test. If an Appeal to a student’s test was warranted, TOMS provided additional prompts to file the Appeal.</w:t>
      </w:r>
    </w:p>
    <w:p w14:paraId="56C8A2CE" w14:textId="157FF977" w:rsidR="00490A2C" w:rsidRPr="00C34C12" w:rsidRDefault="00490A2C" w:rsidP="00490A2C">
      <w:r w:rsidRPr="00C34C12">
        <w:t xml:space="preserve">After the form was submitted, an email containing a case number and next steps was sent to the submitter (and to the LEA CAASPP coordinator, if the </w:t>
      </w:r>
      <w:r w:rsidR="00974FFF">
        <w:t>case was</w:t>
      </w:r>
      <w:r w:rsidRPr="00C34C12">
        <w:t xml:space="preserve"> submitted by the CAASPP test site coordinator). The STAIRS case in TOMS provided the LEA CAASPP </w:t>
      </w:r>
      <w:bookmarkStart w:id="468" w:name="_Hlk67397280"/>
      <w:r w:rsidRPr="00C34C12">
        <w:t>coordinator, the CDE, and the California Technical Assistance Center (CalTAC) with the opportunity to interact and communicate regarding the STAIRS process (CDE, 20</w:t>
      </w:r>
      <w:r w:rsidR="00C37D6F">
        <w:t>20</w:t>
      </w:r>
      <w:r w:rsidR="00431BB1">
        <w:t>e</w:t>
      </w:r>
      <w:r w:rsidRPr="00C34C12">
        <w:t>).</w:t>
      </w:r>
    </w:p>
    <w:bookmarkEnd w:id="468"/>
    <w:p w14:paraId="6A1A8EA0" w14:textId="77777777" w:rsidR="00490A2C" w:rsidRPr="00C34C12" w:rsidRDefault="00490A2C" w:rsidP="00490A2C">
      <w:r w:rsidRPr="00C34C12">
        <w:t>The following types of STAIRS reports, as applicable to the CAAs, were also forwarded to the CDE:</w:t>
      </w:r>
    </w:p>
    <w:p w14:paraId="17DE8F82" w14:textId="77777777" w:rsidR="00490A2C" w:rsidRPr="00C34C12" w:rsidRDefault="00490A2C" w:rsidP="00490A2C">
      <w:pPr>
        <w:pStyle w:val="bullets-one"/>
      </w:pPr>
      <w:r w:rsidRPr="00C34C12">
        <w:t>Security breach (where secure materials were exposed)</w:t>
      </w:r>
    </w:p>
    <w:p w14:paraId="5034199C" w14:textId="77777777" w:rsidR="00490A2C" w:rsidRPr="00C34C12" w:rsidRDefault="00490A2C" w:rsidP="00490A2C">
      <w:pPr>
        <w:pStyle w:val="bullets-one"/>
      </w:pPr>
      <w:r w:rsidRPr="00C34C12">
        <w:t>Accidental access to a summative assessment</w:t>
      </w:r>
    </w:p>
    <w:p w14:paraId="79C75607" w14:textId="4A039A87" w:rsidR="00490A2C" w:rsidRPr="00C34C12" w:rsidRDefault="00490A2C" w:rsidP="00490A2C">
      <w:pPr>
        <w:pStyle w:val="bullets-one"/>
      </w:pPr>
      <w:r w:rsidRPr="00C34C12">
        <w:t>Incorrect Statewide Student Identifier</w:t>
      </w:r>
      <w:r w:rsidR="008F0E36">
        <w:t xml:space="preserve"> (SSID)</w:t>
      </w:r>
      <w:r w:rsidRPr="00C34C12">
        <w:t xml:space="preserve"> used (intentionally switched)</w:t>
      </w:r>
    </w:p>
    <w:p w14:paraId="6F3C3B02" w14:textId="77777777" w:rsidR="00490A2C" w:rsidRPr="00C34C12" w:rsidRDefault="00490A2C" w:rsidP="00490A2C">
      <w:pPr>
        <w:pStyle w:val="bullets-one"/>
      </w:pPr>
      <w:r w:rsidRPr="00C34C12">
        <w:t>Restoring a test that had been reset</w:t>
      </w:r>
    </w:p>
    <w:p w14:paraId="74B0AE4A" w14:textId="42EE1733" w:rsidR="00490A2C" w:rsidRPr="00C34C12" w:rsidRDefault="00490A2C" w:rsidP="00490A2C">
      <w:bookmarkStart w:id="469" w:name="_Hlk34742680"/>
      <w:bookmarkStart w:id="470" w:name="_Hlk67397294"/>
      <w:r w:rsidRPr="00C34C12">
        <w:t>Appeals requests were reviewed by the CDE. When a request to submit an Appeal was approved, the coordinator received a system-generated email with the Appeal type that was approved (CDE, 20</w:t>
      </w:r>
      <w:r w:rsidR="00C37D6F">
        <w:t>20</w:t>
      </w:r>
      <w:r w:rsidR="00431BB1">
        <w:t>e</w:t>
      </w:r>
      <w:r w:rsidRPr="00C34C12">
        <w:t>).</w:t>
      </w:r>
      <w:bookmarkEnd w:id="469"/>
    </w:p>
    <w:bookmarkEnd w:id="470"/>
    <w:p w14:paraId="6D4A0225" w14:textId="1DE3281D" w:rsidR="00EF4782" w:rsidRDefault="00EF4782" w:rsidP="007A71B3">
      <w:pPr>
        <w:pStyle w:val="Heading5"/>
      </w:pPr>
      <w:r w:rsidRPr="004B2D24">
        <w:t>Impropriety</w:t>
      </w:r>
    </w:p>
    <w:p w14:paraId="38217634" w14:textId="77777777" w:rsidR="00490A2C" w:rsidRPr="00C34C12" w:rsidRDefault="00490A2C" w:rsidP="00490A2C">
      <w:r w:rsidRPr="00C34C12">
        <w:t>A testing impropriety is an unusual circumstance that has a low impact on the individual or group of students who are testing and has a low risk of potentially affecting student performance on the test, test security, or test validity. An impropriety can be corrected and contained at a local level. An impropriety should be reported to the LEA CAASPP coordinator and CAASPP test site coordinator immediately. The coordinator should report the incident within 24 hours, using the online STAIRS/Appeals process in TOMS.</w:t>
      </w:r>
    </w:p>
    <w:p w14:paraId="1E2E69E6" w14:textId="70DA7508" w:rsidR="00EF4782" w:rsidRDefault="00EF4782" w:rsidP="007A71B3">
      <w:pPr>
        <w:pStyle w:val="Heading5"/>
      </w:pPr>
      <w:r w:rsidRPr="004B2D24">
        <w:lastRenderedPageBreak/>
        <w:t>Irregularity</w:t>
      </w:r>
    </w:p>
    <w:p w14:paraId="5AF120E4" w14:textId="77777777" w:rsidR="00490A2C" w:rsidRPr="00C34C12" w:rsidRDefault="00490A2C" w:rsidP="00490A2C">
      <w:r w:rsidRPr="00C34C12">
        <w:t>A testing irregularity is an unusual circumstance that impacts an individual or a group of students who are testing and may potentially affect student performance on the test or impact test security or test validity. These circumstances can be corrected and contained at the local level and submitted using the online STAIRS/Appeals process in TOMS. An irregularity must be reported to the LEA CAASPP coordinator and CAASPP test site coordinator immediately. The coordinator must report the irregularity within 24 hours, using the online STAIRS/Appeals process in TOMS.</w:t>
      </w:r>
    </w:p>
    <w:p w14:paraId="6C4ADF28" w14:textId="5EC528B0" w:rsidR="00EF4782" w:rsidRDefault="00EF4782" w:rsidP="007A71B3">
      <w:pPr>
        <w:pStyle w:val="Heading5"/>
      </w:pPr>
      <w:r w:rsidRPr="004B2D24">
        <w:t>Breach</w:t>
      </w:r>
    </w:p>
    <w:p w14:paraId="18CCAE56" w14:textId="585991C5" w:rsidR="00490A2C" w:rsidRPr="00C34C12" w:rsidRDefault="00490A2C" w:rsidP="00490A2C">
      <w:pPr>
        <w:keepLines/>
      </w:pPr>
      <w:r w:rsidRPr="00C34C12">
        <w:t>A testing breach is an event that poses a threat to the validity of the test. Breaches require immediate attention and escalation to CalTAC (for social media breaches) or the CDE (for all other breaches) via telephone. Following the call, the CAASPP test site coordinator or LEA CAASPP coordinator must report the incident using the online STAIRS/Appeals process in TOMS within 24 hours</w:t>
      </w:r>
      <w:r w:rsidRPr="00C34C12">
        <w:rPr>
          <w:color w:val="000000" w:themeColor="text1"/>
        </w:rPr>
        <w:t xml:space="preserve">. </w:t>
      </w:r>
      <w:r w:rsidRPr="00C34C12">
        <w:t>Examples may include such situations as a release of secure materials or a security or system risk. These circumstances have external implications for the CDE and may result in a decision to remove the test item(s) from the available secure item bank. A breach incident must be reported to the LEA CAASPP coordinator immediately.</w:t>
      </w:r>
    </w:p>
    <w:p w14:paraId="6C52B31D" w14:textId="2825E953" w:rsidR="00EF4782" w:rsidRDefault="00EF4782" w:rsidP="007A71B3">
      <w:pPr>
        <w:pStyle w:val="Heading4"/>
      </w:pPr>
      <w:bookmarkStart w:id="471" w:name="_Toc182555191"/>
      <w:r w:rsidRPr="004B2D24">
        <w:t>Appeals</w:t>
      </w:r>
      <w:bookmarkEnd w:id="471"/>
    </w:p>
    <w:p w14:paraId="3B93238B" w14:textId="67DCB09A" w:rsidR="00490A2C" w:rsidRPr="00C34C12" w:rsidRDefault="00490A2C" w:rsidP="00490A2C">
      <w:r w:rsidRPr="00C34C12">
        <w:t xml:space="preserve">For test security incidents reported in STAIRS that resulted in a need to reset, reopen, invalidate, or restore individual online student assessments, the request was approved by the CDE. In most instances, an Appeal was submitted to address a test security breach or irregularity. The LEA CAASPP coordinator or CAASPP test site coordinator submitted Appeals in TOMS. All submitted Appeals are available for retrieval and review by the appropriate credentialed users within a given organization. However, the view of Appeals is </w:t>
      </w:r>
      <w:bookmarkStart w:id="472" w:name="_Hlk67397305"/>
      <w:r w:rsidRPr="00C34C12">
        <w:t>restricted according to the user role as established in TOMS. An Appeal could be requested only by the LEA CAASPP coordinator or CAASPP test site coordinator if prompted while filing a STAIRS case in TOMS (CDE, 20</w:t>
      </w:r>
      <w:r w:rsidR="00C37D6F">
        <w:t>20</w:t>
      </w:r>
      <w:r w:rsidR="00431BB1">
        <w:t>e</w:t>
      </w:r>
      <w:r w:rsidRPr="00C34C12">
        <w:t>).</w:t>
      </w:r>
    </w:p>
    <w:bookmarkEnd w:id="472"/>
    <w:p w14:paraId="16C75275" w14:textId="5FF96A9E" w:rsidR="00490A2C" w:rsidRPr="00C34C12" w:rsidRDefault="00490A2C" w:rsidP="00490A2C">
      <w:r w:rsidRPr="00C34C12">
        <w:t xml:space="preserve">Types of </w:t>
      </w:r>
      <w:r w:rsidR="00125A30">
        <w:t>A</w:t>
      </w:r>
      <w:r w:rsidRPr="00C34C12">
        <w:t>ppeals available during the 201</w:t>
      </w:r>
      <w:r w:rsidR="00645935">
        <w:t>9</w:t>
      </w:r>
      <w:r w:rsidRPr="00C34C12">
        <w:t>–20</w:t>
      </w:r>
      <w:r w:rsidR="00645935">
        <w:t>20</w:t>
      </w:r>
      <w:r w:rsidRPr="00C34C12">
        <w:t xml:space="preserve"> CAASPP administration are described in </w:t>
      </w:r>
      <w:r w:rsidR="00C04337" w:rsidRPr="007C431E">
        <w:rPr>
          <w:rStyle w:val="Cross-Reference"/>
          <w:highlight w:val="magenta"/>
        </w:rPr>
        <w:fldChar w:fldCharType="begin"/>
      </w:r>
      <w:r w:rsidR="00C04337" w:rsidRPr="007C431E">
        <w:rPr>
          <w:rStyle w:val="Cross-Reference"/>
          <w:highlight w:val="magenta"/>
        </w:rPr>
        <w:instrText xml:space="preserve"> REF  _Ref61505141 \* Lower \h  \* MERGEFORMAT </w:instrText>
      </w:r>
      <w:r w:rsidR="00C04337" w:rsidRPr="007C431E">
        <w:rPr>
          <w:rStyle w:val="Cross-Reference"/>
          <w:highlight w:val="magenta"/>
        </w:rPr>
      </w:r>
      <w:r w:rsidR="00C04337" w:rsidRPr="007C431E">
        <w:rPr>
          <w:rStyle w:val="Cross-Reference"/>
          <w:highlight w:val="magenta"/>
        </w:rPr>
        <w:fldChar w:fldCharType="separate"/>
      </w:r>
      <w:r w:rsidR="00872DAC" w:rsidRPr="00872DAC">
        <w:rPr>
          <w:rStyle w:val="Cross-Reference"/>
        </w:rPr>
        <w:t>table 5.4</w:t>
      </w:r>
      <w:r w:rsidR="00C04337" w:rsidRPr="007C431E">
        <w:rPr>
          <w:rStyle w:val="Cross-Reference"/>
          <w:highlight w:val="magenta"/>
        </w:rPr>
        <w:fldChar w:fldCharType="end"/>
      </w:r>
      <w:r w:rsidRPr="00C34C12">
        <w:t>.</w:t>
      </w:r>
    </w:p>
    <w:p w14:paraId="77B30680" w14:textId="626AA360" w:rsidR="00490A2C" w:rsidRPr="00C34C12" w:rsidRDefault="00490A2C" w:rsidP="00490A2C">
      <w:pPr>
        <w:pStyle w:val="Caption"/>
      </w:pPr>
      <w:bookmarkStart w:id="473" w:name="_Ref61505141"/>
      <w:bookmarkStart w:id="474" w:name="_Toc67319695"/>
      <w:bookmarkStart w:id="475" w:name="_Toc220498699"/>
      <w:r w:rsidRPr="00C34C12">
        <w:t xml:space="preserve">Table </w:t>
      </w:r>
      <w:r>
        <w:fldChar w:fldCharType="begin"/>
      </w:r>
      <w:r>
        <w:instrText>STYLEREF 2 \s</w:instrText>
      </w:r>
      <w:r>
        <w:fldChar w:fldCharType="separate"/>
      </w:r>
      <w:r w:rsidR="00961502">
        <w:rPr>
          <w:noProof/>
        </w:rPr>
        <w:t>5</w:t>
      </w:r>
      <w:r>
        <w:fldChar w:fldCharType="end"/>
      </w:r>
      <w:r w:rsidR="00A40753">
        <w:t>.</w:t>
      </w:r>
      <w:r>
        <w:fldChar w:fldCharType="begin"/>
      </w:r>
      <w:r>
        <w:instrText>SEQ Table \* ARABIC \s 2</w:instrText>
      </w:r>
      <w:r>
        <w:fldChar w:fldCharType="separate"/>
      </w:r>
      <w:r w:rsidR="00961502">
        <w:rPr>
          <w:noProof/>
        </w:rPr>
        <w:t>4</w:t>
      </w:r>
      <w:r>
        <w:fldChar w:fldCharType="end"/>
      </w:r>
      <w:bookmarkEnd w:id="473"/>
      <w:r w:rsidRPr="00C34C12">
        <w:t xml:space="preserve">  </w:t>
      </w:r>
      <w:bookmarkStart w:id="476" w:name="_Hlk67045479"/>
      <w:r w:rsidRPr="00C34C12">
        <w:t>Types of Appeals in CAASPP Testing</w:t>
      </w:r>
      <w:bookmarkEnd w:id="474"/>
      <w:bookmarkEnd w:id="475"/>
      <w:bookmarkEnd w:id="476"/>
    </w:p>
    <w:tbl>
      <w:tblPr>
        <w:tblStyle w:val="TRsBorders"/>
        <w:tblW w:w="9567" w:type="dxa"/>
        <w:tblLayout w:type="fixed"/>
        <w:tblLook w:val="04A0" w:firstRow="1" w:lastRow="0" w:firstColumn="1" w:lastColumn="0" w:noHBand="0" w:noVBand="1"/>
        <w:tblDescription w:val="Types of Appeals in CAASPP Testing"/>
      </w:tblPr>
      <w:tblGrid>
        <w:gridCol w:w="1440"/>
        <w:gridCol w:w="8127"/>
      </w:tblGrid>
      <w:tr w:rsidR="00490A2C" w:rsidRPr="00C34C12" w14:paraId="525282CB" w14:textId="77777777" w:rsidTr="00872DAC">
        <w:trPr>
          <w:cnfStyle w:val="100000000000" w:firstRow="1" w:lastRow="0" w:firstColumn="0" w:lastColumn="0" w:oddVBand="0" w:evenVBand="0" w:oddHBand="0" w:evenHBand="0" w:firstRowFirstColumn="0" w:firstRowLastColumn="0" w:lastRowFirstColumn="0" w:lastRowLastColumn="0"/>
          <w:cantSplit/>
        </w:trPr>
        <w:tc>
          <w:tcPr>
            <w:tcW w:w="1440" w:type="dxa"/>
          </w:tcPr>
          <w:p w14:paraId="2A0D5EF4" w14:textId="77777777" w:rsidR="00490A2C" w:rsidRPr="00C34C12" w:rsidRDefault="00490A2C" w:rsidP="00BF353A">
            <w:pPr>
              <w:pStyle w:val="TableHead"/>
              <w:rPr>
                <w:b w:val="0"/>
                <w:noProof w:val="0"/>
                <w:color w:val="000000" w:themeColor="text1"/>
                <w:szCs w:val="24"/>
              </w:rPr>
            </w:pPr>
            <w:r w:rsidRPr="00C34C12">
              <w:rPr>
                <w:noProof w:val="0"/>
                <w:color w:val="000000" w:themeColor="text1"/>
                <w:szCs w:val="24"/>
              </w:rPr>
              <w:t>Type of Appeal</w:t>
            </w:r>
          </w:p>
        </w:tc>
        <w:tc>
          <w:tcPr>
            <w:tcW w:w="8127" w:type="dxa"/>
          </w:tcPr>
          <w:p w14:paraId="5E007342" w14:textId="77777777" w:rsidR="00490A2C" w:rsidRPr="00C34C12" w:rsidRDefault="00490A2C" w:rsidP="00BF353A">
            <w:pPr>
              <w:pStyle w:val="TableHead"/>
              <w:rPr>
                <w:b w:val="0"/>
                <w:noProof w:val="0"/>
                <w:color w:val="000000" w:themeColor="text1"/>
                <w:szCs w:val="24"/>
              </w:rPr>
            </w:pPr>
            <w:r w:rsidRPr="00C34C12">
              <w:rPr>
                <w:noProof w:val="0"/>
                <w:color w:val="000000" w:themeColor="text1"/>
                <w:szCs w:val="24"/>
              </w:rPr>
              <w:t>Description</w:t>
            </w:r>
          </w:p>
        </w:tc>
      </w:tr>
      <w:tr w:rsidR="00490A2C" w:rsidRPr="00C34C12" w14:paraId="54C3A635" w14:textId="77777777" w:rsidTr="00872DAC">
        <w:tc>
          <w:tcPr>
            <w:tcW w:w="1440" w:type="dxa"/>
          </w:tcPr>
          <w:p w14:paraId="42707B17" w14:textId="77777777" w:rsidR="00490A2C" w:rsidRPr="00C34C12" w:rsidRDefault="00490A2C" w:rsidP="003A43F8">
            <w:pPr>
              <w:pStyle w:val="TableText"/>
              <w:keepNext/>
              <w:rPr>
                <w:noProof w:val="0"/>
              </w:rPr>
            </w:pPr>
            <w:r w:rsidRPr="00C34C12">
              <w:rPr>
                <w:noProof w:val="0"/>
              </w:rPr>
              <w:t>Reset</w:t>
            </w:r>
          </w:p>
        </w:tc>
        <w:tc>
          <w:tcPr>
            <w:tcW w:w="8127" w:type="dxa"/>
          </w:tcPr>
          <w:p w14:paraId="702EF6EC" w14:textId="77777777" w:rsidR="00490A2C" w:rsidRPr="00C34C12" w:rsidRDefault="00490A2C" w:rsidP="003A43F8">
            <w:pPr>
              <w:pStyle w:val="TableTextLeft"/>
              <w:rPr>
                <w:noProof w:val="0"/>
              </w:rPr>
            </w:pPr>
            <w:r w:rsidRPr="00C34C12">
              <w:rPr>
                <w:noProof w:val="0"/>
              </w:rPr>
              <w:t>Resetting a student’s summative assessment removes that assessment from the system and enables the student to start a new assessment from the beginning.</w:t>
            </w:r>
          </w:p>
        </w:tc>
      </w:tr>
      <w:tr w:rsidR="00490A2C" w:rsidRPr="00C34C12" w14:paraId="4176F660" w14:textId="77777777" w:rsidTr="00872DAC">
        <w:tc>
          <w:tcPr>
            <w:tcW w:w="1440" w:type="dxa"/>
          </w:tcPr>
          <w:p w14:paraId="70CC1D70" w14:textId="23974D04" w:rsidR="00490A2C" w:rsidRPr="00C34C12" w:rsidRDefault="00490A2C" w:rsidP="003A43F8">
            <w:pPr>
              <w:pStyle w:val="TableText"/>
              <w:rPr>
                <w:noProof w:val="0"/>
              </w:rPr>
            </w:pPr>
            <w:r w:rsidRPr="00C34C12">
              <w:rPr>
                <w:noProof w:val="0"/>
              </w:rPr>
              <w:t>Invalidat</w:t>
            </w:r>
            <w:r w:rsidR="00470DBB">
              <w:rPr>
                <w:noProof w:val="0"/>
              </w:rPr>
              <w:t>e</w:t>
            </w:r>
          </w:p>
        </w:tc>
        <w:tc>
          <w:tcPr>
            <w:tcW w:w="8127" w:type="dxa"/>
          </w:tcPr>
          <w:p w14:paraId="619237E3" w14:textId="77777777" w:rsidR="00490A2C" w:rsidRPr="00C34C12" w:rsidRDefault="00490A2C" w:rsidP="003A43F8">
            <w:pPr>
              <w:pStyle w:val="TableTextLeft"/>
              <w:rPr>
                <w:noProof w:val="0"/>
              </w:rPr>
            </w:pPr>
            <w:r w:rsidRPr="00C34C12">
              <w:rPr>
                <w:noProof w:val="0"/>
              </w:rPr>
              <w:t>Invalidated summative assessments will be scored, and scores will be provided on the Student Score Report with a note that an irregularity occurred. The student(s) will be counted as participating in the calculation of the school’s participation rate for accountability purposes.</w:t>
            </w:r>
          </w:p>
        </w:tc>
      </w:tr>
      <w:tr w:rsidR="00490A2C" w:rsidRPr="00C34C12" w14:paraId="3A37F8CC" w14:textId="77777777" w:rsidTr="00872DAC">
        <w:tc>
          <w:tcPr>
            <w:tcW w:w="1440" w:type="dxa"/>
          </w:tcPr>
          <w:p w14:paraId="0BD6A4D5" w14:textId="77777777" w:rsidR="00490A2C" w:rsidRPr="00C34C12" w:rsidRDefault="00490A2C" w:rsidP="004B754D">
            <w:pPr>
              <w:pStyle w:val="TableText"/>
              <w:keepNext/>
              <w:rPr>
                <w:noProof w:val="0"/>
              </w:rPr>
            </w:pPr>
            <w:r w:rsidRPr="00C34C12">
              <w:rPr>
                <w:noProof w:val="0"/>
              </w:rPr>
              <w:lastRenderedPageBreak/>
              <w:t>Re-open</w:t>
            </w:r>
          </w:p>
        </w:tc>
        <w:tc>
          <w:tcPr>
            <w:tcW w:w="8127" w:type="dxa"/>
          </w:tcPr>
          <w:p w14:paraId="447E3EB2" w14:textId="77777777" w:rsidR="00490A2C" w:rsidRPr="00C34C12" w:rsidRDefault="00490A2C" w:rsidP="004B754D">
            <w:pPr>
              <w:pStyle w:val="TableTextLeft"/>
              <w:keepNext/>
              <w:rPr>
                <w:noProof w:val="0"/>
              </w:rPr>
            </w:pPr>
            <w:r w:rsidRPr="00C34C12">
              <w:rPr>
                <w:noProof w:val="0"/>
              </w:rPr>
              <w:t>Reopening a summative assessment allows a student to access an assessment that has already been submitted.</w:t>
            </w:r>
          </w:p>
        </w:tc>
      </w:tr>
      <w:tr w:rsidR="00490A2C" w:rsidRPr="00C34C12" w14:paraId="39F6DCCB" w14:textId="77777777" w:rsidTr="00872DAC">
        <w:tc>
          <w:tcPr>
            <w:tcW w:w="1440" w:type="dxa"/>
          </w:tcPr>
          <w:p w14:paraId="1050848D" w14:textId="77777777" w:rsidR="00490A2C" w:rsidRPr="00C34C12" w:rsidRDefault="00490A2C" w:rsidP="003A43F8">
            <w:pPr>
              <w:pStyle w:val="TableText"/>
              <w:rPr>
                <w:noProof w:val="0"/>
              </w:rPr>
            </w:pPr>
            <w:r w:rsidRPr="00C34C12">
              <w:rPr>
                <w:noProof w:val="0"/>
              </w:rPr>
              <w:t>Restore</w:t>
            </w:r>
          </w:p>
        </w:tc>
        <w:tc>
          <w:tcPr>
            <w:tcW w:w="8127" w:type="dxa"/>
          </w:tcPr>
          <w:p w14:paraId="7BF9D1E9" w14:textId="77777777" w:rsidR="00490A2C" w:rsidRPr="00C34C12" w:rsidRDefault="00490A2C" w:rsidP="003A43F8">
            <w:pPr>
              <w:pStyle w:val="TableTextLeft"/>
              <w:rPr>
                <w:noProof w:val="0"/>
              </w:rPr>
            </w:pPr>
            <w:r w:rsidRPr="00C34C12">
              <w:rPr>
                <w:noProof w:val="0"/>
              </w:rPr>
              <w:t>Restoring a summative assessment returns an assessment from the Reset status to its prior status. This action can only be performed on assessments that have been previously reset.</w:t>
            </w:r>
          </w:p>
        </w:tc>
      </w:tr>
    </w:tbl>
    <w:p w14:paraId="41C0ACA7" w14:textId="0ACB3CFB" w:rsidR="00F065B5" w:rsidRDefault="007808FF" w:rsidP="00AD2542">
      <w:pPr>
        <w:keepNext/>
        <w:keepLines/>
        <w:spacing w:before="120"/>
      </w:pPr>
      <w:r w:rsidRPr="007C431E">
        <w:rPr>
          <w:rStyle w:val="Cross-Reference"/>
        </w:rPr>
        <w:fldChar w:fldCharType="begin"/>
      </w:r>
      <w:r w:rsidRPr="007C431E">
        <w:rPr>
          <w:rStyle w:val="Cross-Reference"/>
        </w:rPr>
        <w:instrText xml:space="preserve"> REF _Ref67045717 \h  \* MERGEFORMAT </w:instrText>
      </w:r>
      <w:r w:rsidRPr="007C431E">
        <w:rPr>
          <w:rStyle w:val="Cross-Reference"/>
        </w:rPr>
      </w:r>
      <w:r w:rsidRPr="007C431E">
        <w:rPr>
          <w:rStyle w:val="Cross-Reference"/>
        </w:rPr>
        <w:fldChar w:fldCharType="separate"/>
      </w:r>
      <w:r w:rsidR="00BA03D5" w:rsidRPr="00BA03D5">
        <w:rPr>
          <w:rStyle w:val="Cross-Reference"/>
        </w:rPr>
        <w:t>Table 5.5</w:t>
      </w:r>
      <w:r w:rsidRPr="007C431E">
        <w:rPr>
          <w:rStyle w:val="Cross-Reference"/>
        </w:rPr>
        <w:fldChar w:fldCharType="end"/>
      </w:r>
      <w:r w:rsidR="00F065B5">
        <w:t xml:space="preserve"> </w:t>
      </w:r>
      <w:r w:rsidR="00707326">
        <w:t>present</w:t>
      </w:r>
      <w:r w:rsidR="00E00A25">
        <w:t>s</w:t>
      </w:r>
      <w:r w:rsidR="00F065B5">
        <w:t xml:space="preserve"> the number of </w:t>
      </w:r>
      <w:r w:rsidR="00707326">
        <w:t>A</w:t>
      </w:r>
      <w:r w:rsidR="00F065B5">
        <w:t>ppeals in STAIRS in the 2019–2020 administration for each grade</w:t>
      </w:r>
      <w:r w:rsidR="0038111C">
        <w:t xml:space="preserve"> level</w:t>
      </w:r>
      <w:r w:rsidR="00F065B5">
        <w:t xml:space="preserve"> or grade </w:t>
      </w:r>
      <w:r w:rsidR="00F728E8">
        <w:t>band</w:t>
      </w:r>
      <w:r w:rsidR="00F065B5">
        <w:t>.</w:t>
      </w:r>
    </w:p>
    <w:p w14:paraId="37B8F8A9" w14:textId="3A5AD2A6" w:rsidR="00742CFF" w:rsidRDefault="00742CFF" w:rsidP="00742CFF">
      <w:pPr>
        <w:pStyle w:val="Caption"/>
      </w:pPr>
      <w:bookmarkStart w:id="477" w:name="_Ref67045717"/>
      <w:bookmarkStart w:id="478" w:name="_Toc67319696"/>
      <w:bookmarkStart w:id="479" w:name="_Toc220498700"/>
      <w:bookmarkStart w:id="480" w:name="_Ref61505222"/>
      <w:r>
        <w:t xml:space="preserve">Table </w:t>
      </w:r>
      <w:r>
        <w:fldChar w:fldCharType="begin"/>
      </w:r>
      <w:r>
        <w:instrText>STYLEREF 2 \s</w:instrText>
      </w:r>
      <w:r>
        <w:fldChar w:fldCharType="separate"/>
      </w:r>
      <w:r w:rsidR="00961502">
        <w:rPr>
          <w:noProof/>
        </w:rPr>
        <w:t>5</w:t>
      </w:r>
      <w:r>
        <w:fldChar w:fldCharType="end"/>
      </w:r>
      <w:r w:rsidR="00A40753">
        <w:t>.</w:t>
      </w:r>
      <w:r>
        <w:fldChar w:fldCharType="begin"/>
      </w:r>
      <w:r>
        <w:instrText>SEQ Table \* ARABIC \s 2</w:instrText>
      </w:r>
      <w:r>
        <w:fldChar w:fldCharType="separate"/>
      </w:r>
      <w:r w:rsidR="00961502">
        <w:rPr>
          <w:noProof/>
        </w:rPr>
        <w:t>5</w:t>
      </w:r>
      <w:r>
        <w:fldChar w:fldCharType="end"/>
      </w:r>
      <w:bookmarkEnd w:id="477"/>
      <w:r>
        <w:t xml:space="preserve">  Number of Appeals in STAIRS in the 2019–2020 Administration—</w:t>
      </w:r>
      <w:r w:rsidR="00622847">
        <w:t>All Grades</w:t>
      </w:r>
      <w:bookmarkEnd w:id="478"/>
      <w:bookmarkEnd w:id="479"/>
    </w:p>
    <w:tbl>
      <w:tblPr>
        <w:tblStyle w:val="TRs"/>
        <w:tblW w:w="0" w:type="auto"/>
        <w:tblLayout w:type="fixed"/>
        <w:tblLook w:val="04A0" w:firstRow="1" w:lastRow="0" w:firstColumn="1" w:lastColumn="0" w:noHBand="0" w:noVBand="1"/>
        <w:tblDescription w:val="Number of Appeals in STAIRS in the 2019–2020 Administration—All Grades"/>
      </w:tblPr>
      <w:tblGrid>
        <w:gridCol w:w="2880"/>
        <w:gridCol w:w="1584"/>
      </w:tblGrid>
      <w:tr w:rsidR="001607A0" w:rsidRPr="00707326" w14:paraId="12F70790" w14:textId="77777777" w:rsidTr="00BF353A">
        <w:trPr>
          <w:cnfStyle w:val="100000000000" w:firstRow="1" w:lastRow="0" w:firstColumn="0" w:lastColumn="0" w:oddVBand="0" w:evenVBand="0" w:oddHBand="0" w:evenHBand="0" w:firstRowFirstColumn="0" w:firstRowLastColumn="0" w:lastRowFirstColumn="0" w:lastRowLastColumn="0"/>
          <w:trHeight w:val="576"/>
        </w:trPr>
        <w:tc>
          <w:tcPr>
            <w:tcW w:w="2880" w:type="dxa"/>
            <w:noWrap/>
            <w:hideMark/>
          </w:tcPr>
          <w:p w14:paraId="4E2841F0" w14:textId="77777777" w:rsidR="001607A0" w:rsidRPr="00707326" w:rsidRDefault="001607A0" w:rsidP="00BF353A">
            <w:pPr>
              <w:pStyle w:val="TableHead"/>
            </w:pPr>
            <w:r w:rsidRPr="00707326">
              <w:t>Appeal Type</w:t>
            </w:r>
          </w:p>
        </w:tc>
        <w:tc>
          <w:tcPr>
            <w:tcW w:w="1584" w:type="dxa"/>
            <w:hideMark/>
          </w:tcPr>
          <w:p w14:paraId="79766628" w14:textId="6E1019E1" w:rsidR="001607A0" w:rsidRPr="00707326" w:rsidRDefault="001607A0" w:rsidP="00BF353A">
            <w:pPr>
              <w:pStyle w:val="TableHead"/>
            </w:pPr>
            <w:r>
              <w:t>Total Count of Appeals</w:t>
            </w:r>
          </w:p>
        </w:tc>
      </w:tr>
      <w:tr w:rsidR="001607A0" w:rsidRPr="00527549" w14:paraId="721F54BB" w14:textId="77777777" w:rsidTr="0038111C">
        <w:trPr>
          <w:trHeight w:val="288"/>
        </w:trPr>
        <w:tc>
          <w:tcPr>
            <w:tcW w:w="2880" w:type="dxa"/>
            <w:hideMark/>
          </w:tcPr>
          <w:p w14:paraId="29E9D483" w14:textId="77777777" w:rsidR="001607A0" w:rsidRPr="00527549" w:rsidRDefault="001607A0" w:rsidP="00973568">
            <w:pPr>
              <w:pStyle w:val="TableText"/>
              <w:jc w:val="left"/>
            </w:pPr>
            <w:r w:rsidRPr="00527549">
              <w:t>Reset</w:t>
            </w:r>
          </w:p>
        </w:tc>
        <w:tc>
          <w:tcPr>
            <w:tcW w:w="1584" w:type="dxa"/>
            <w:noWrap/>
          </w:tcPr>
          <w:p w14:paraId="0A8A7E15" w14:textId="3CE10281" w:rsidR="001607A0" w:rsidRPr="00527549" w:rsidRDefault="007D7D41" w:rsidP="0038111C">
            <w:pPr>
              <w:pStyle w:val="TableText"/>
              <w:ind w:right="432"/>
            </w:pPr>
            <w:r>
              <w:t>1</w:t>
            </w:r>
          </w:p>
        </w:tc>
      </w:tr>
      <w:tr w:rsidR="001607A0" w:rsidRPr="00527549" w14:paraId="01CB3B24" w14:textId="77777777" w:rsidTr="0038111C">
        <w:trPr>
          <w:trHeight w:val="288"/>
        </w:trPr>
        <w:tc>
          <w:tcPr>
            <w:tcW w:w="2880" w:type="dxa"/>
            <w:hideMark/>
          </w:tcPr>
          <w:p w14:paraId="37026B6B" w14:textId="77777777" w:rsidR="001607A0" w:rsidRPr="00527549" w:rsidRDefault="001607A0" w:rsidP="00973568">
            <w:pPr>
              <w:pStyle w:val="TableText"/>
              <w:jc w:val="left"/>
            </w:pPr>
            <w:r w:rsidRPr="00527549">
              <w:t>Invalidat</w:t>
            </w:r>
            <w:r>
              <w:t>e</w:t>
            </w:r>
          </w:p>
        </w:tc>
        <w:tc>
          <w:tcPr>
            <w:tcW w:w="1584" w:type="dxa"/>
            <w:noWrap/>
          </w:tcPr>
          <w:p w14:paraId="72DFA77C" w14:textId="0D944F9C" w:rsidR="001607A0" w:rsidRPr="00527549" w:rsidRDefault="007D7D41" w:rsidP="0038111C">
            <w:pPr>
              <w:pStyle w:val="TableText"/>
              <w:ind w:right="432"/>
            </w:pPr>
            <w:r>
              <w:t>0</w:t>
            </w:r>
          </w:p>
        </w:tc>
      </w:tr>
      <w:tr w:rsidR="001607A0" w:rsidRPr="00527549" w14:paraId="59A9FE95" w14:textId="77777777" w:rsidTr="0038111C">
        <w:trPr>
          <w:trHeight w:val="288"/>
        </w:trPr>
        <w:tc>
          <w:tcPr>
            <w:tcW w:w="2880" w:type="dxa"/>
            <w:hideMark/>
          </w:tcPr>
          <w:p w14:paraId="6CA8793D" w14:textId="77777777" w:rsidR="001607A0" w:rsidRPr="00527549" w:rsidRDefault="001607A0" w:rsidP="00973568">
            <w:pPr>
              <w:pStyle w:val="TableText"/>
              <w:jc w:val="left"/>
            </w:pPr>
            <w:r w:rsidRPr="00527549">
              <w:t>Re-open</w:t>
            </w:r>
          </w:p>
        </w:tc>
        <w:tc>
          <w:tcPr>
            <w:tcW w:w="1584" w:type="dxa"/>
            <w:noWrap/>
          </w:tcPr>
          <w:p w14:paraId="16401CF7" w14:textId="76F58FD4" w:rsidR="001607A0" w:rsidRPr="00527549" w:rsidRDefault="007D7D41" w:rsidP="0038111C">
            <w:pPr>
              <w:pStyle w:val="TableText"/>
              <w:ind w:right="432"/>
            </w:pPr>
            <w:r>
              <w:t>2</w:t>
            </w:r>
          </w:p>
        </w:tc>
      </w:tr>
      <w:tr w:rsidR="001607A0" w:rsidRPr="00527549" w14:paraId="4A3C650A" w14:textId="77777777" w:rsidTr="0038111C">
        <w:trPr>
          <w:trHeight w:val="288"/>
        </w:trPr>
        <w:tc>
          <w:tcPr>
            <w:tcW w:w="2880" w:type="dxa"/>
            <w:hideMark/>
          </w:tcPr>
          <w:p w14:paraId="69988E0A" w14:textId="77777777" w:rsidR="001607A0" w:rsidRPr="00527549" w:rsidRDefault="001607A0" w:rsidP="00973568">
            <w:pPr>
              <w:pStyle w:val="TableText"/>
              <w:jc w:val="left"/>
            </w:pPr>
            <w:r w:rsidRPr="00527549">
              <w:t>Restore</w:t>
            </w:r>
          </w:p>
        </w:tc>
        <w:tc>
          <w:tcPr>
            <w:tcW w:w="1584" w:type="dxa"/>
            <w:noWrap/>
          </w:tcPr>
          <w:p w14:paraId="1C8E15C3" w14:textId="6FCFFD27" w:rsidR="001607A0" w:rsidRPr="00527549" w:rsidRDefault="007D7D41" w:rsidP="0038111C">
            <w:pPr>
              <w:pStyle w:val="TableText"/>
              <w:ind w:right="432"/>
            </w:pPr>
            <w:r>
              <w:t>0</w:t>
            </w:r>
          </w:p>
        </w:tc>
      </w:tr>
      <w:tr w:rsidR="001607A0" w:rsidRPr="00527549" w14:paraId="3B86C859" w14:textId="77777777" w:rsidTr="0038111C">
        <w:trPr>
          <w:trHeight w:val="288"/>
        </w:trPr>
        <w:tc>
          <w:tcPr>
            <w:tcW w:w="2880" w:type="dxa"/>
            <w:hideMark/>
          </w:tcPr>
          <w:p w14:paraId="09FD1138" w14:textId="77777777" w:rsidR="001607A0" w:rsidRPr="00527549" w:rsidRDefault="001607A0" w:rsidP="00973568">
            <w:pPr>
              <w:pStyle w:val="TableText"/>
              <w:jc w:val="left"/>
            </w:pPr>
            <w:r w:rsidRPr="00527549">
              <w:t>Grace Period Extension</w:t>
            </w:r>
          </w:p>
        </w:tc>
        <w:tc>
          <w:tcPr>
            <w:tcW w:w="1584" w:type="dxa"/>
            <w:noWrap/>
          </w:tcPr>
          <w:p w14:paraId="4C8A49FD" w14:textId="57C7F5A6" w:rsidR="001607A0" w:rsidRPr="00527549" w:rsidRDefault="007D7D41" w:rsidP="0038111C">
            <w:pPr>
              <w:pStyle w:val="TableText"/>
              <w:ind w:right="432"/>
            </w:pPr>
            <w:r>
              <w:t>0</w:t>
            </w:r>
          </w:p>
        </w:tc>
      </w:tr>
      <w:tr w:rsidR="001607A0" w:rsidRPr="00527549" w14:paraId="2253323E" w14:textId="77777777" w:rsidTr="0038111C">
        <w:trPr>
          <w:trHeight w:val="288"/>
        </w:trPr>
        <w:tc>
          <w:tcPr>
            <w:tcW w:w="2880" w:type="dxa"/>
            <w:hideMark/>
          </w:tcPr>
          <w:p w14:paraId="3CC0BFBF" w14:textId="77777777" w:rsidR="001607A0" w:rsidRPr="00527549" w:rsidRDefault="001607A0" w:rsidP="00973568">
            <w:pPr>
              <w:pStyle w:val="TableText"/>
              <w:jc w:val="left"/>
            </w:pPr>
            <w:r w:rsidRPr="00527549">
              <w:t>Swap Approv</w:t>
            </w:r>
            <w:r>
              <w:t>ed</w:t>
            </w:r>
          </w:p>
        </w:tc>
        <w:tc>
          <w:tcPr>
            <w:tcW w:w="1584" w:type="dxa"/>
            <w:noWrap/>
          </w:tcPr>
          <w:p w14:paraId="4988CBD1" w14:textId="005C94C0" w:rsidR="001607A0" w:rsidRPr="00527549" w:rsidRDefault="007D7D41" w:rsidP="0038111C">
            <w:pPr>
              <w:pStyle w:val="TableText"/>
              <w:ind w:right="432"/>
            </w:pPr>
            <w:r>
              <w:t>0</w:t>
            </w:r>
          </w:p>
        </w:tc>
      </w:tr>
      <w:tr w:rsidR="001607A0" w:rsidRPr="00527549" w14:paraId="24EC28B0" w14:textId="77777777" w:rsidTr="0038111C">
        <w:trPr>
          <w:trHeight w:val="288"/>
        </w:trPr>
        <w:tc>
          <w:tcPr>
            <w:tcW w:w="2880" w:type="dxa"/>
            <w:hideMark/>
          </w:tcPr>
          <w:p w14:paraId="6CBB3230" w14:textId="77777777" w:rsidR="001607A0" w:rsidRPr="00527549" w:rsidRDefault="001607A0" w:rsidP="00973568">
            <w:pPr>
              <w:pStyle w:val="TableText"/>
              <w:jc w:val="left"/>
            </w:pPr>
            <w:r w:rsidRPr="00527549">
              <w:t>No Appeal</w:t>
            </w:r>
          </w:p>
        </w:tc>
        <w:tc>
          <w:tcPr>
            <w:tcW w:w="1584" w:type="dxa"/>
            <w:noWrap/>
          </w:tcPr>
          <w:p w14:paraId="64814815" w14:textId="62B6F96F" w:rsidR="001607A0" w:rsidRPr="00527549" w:rsidRDefault="007D7D41" w:rsidP="0038111C">
            <w:pPr>
              <w:pStyle w:val="TableText"/>
              <w:ind w:right="432"/>
            </w:pPr>
            <w:r>
              <w:t>9</w:t>
            </w:r>
          </w:p>
        </w:tc>
      </w:tr>
    </w:tbl>
    <w:bookmarkEnd w:id="480"/>
    <w:p w14:paraId="43A59878" w14:textId="157C4A0F" w:rsidR="00F065B5" w:rsidRDefault="00D07CA9" w:rsidP="0053146D">
      <w:pPr>
        <w:spacing w:before="120"/>
      </w:pPr>
      <w:r w:rsidRPr="007C431E">
        <w:rPr>
          <w:rStyle w:val="Cross-Reference"/>
        </w:rPr>
        <w:fldChar w:fldCharType="begin"/>
      </w:r>
      <w:r w:rsidRPr="007C431E">
        <w:rPr>
          <w:rStyle w:val="Cross-Reference"/>
        </w:rPr>
        <w:instrText xml:space="preserve"> REF _Ref61505382 \h  \* MERGEFORMAT </w:instrText>
      </w:r>
      <w:r w:rsidRPr="007C431E">
        <w:rPr>
          <w:rStyle w:val="Cross-Reference"/>
        </w:rPr>
      </w:r>
      <w:r w:rsidRPr="007C431E">
        <w:rPr>
          <w:rStyle w:val="Cross-Reference"/>
        </w:rPr>
        <w:fldChar w:fldCharType="separate"/>
      </w:r>
      <w:r w:rsidR="00BA03D5" w:rsidRPr="00BA03D5">
        <w:rPr>
          <w:rStyle w:val="Cross-Reference"/>
        </w:rPr>
        <w:t>Table 5.6</w:t>
      </w:r>
      <w:r w:rsidRPr="007C431E">
        <w:rPr>
          <w:rStyle w:val="Cross-Reference"/>
        </w:rPr>
        <w:fldChar w:fldCharType="end"/>
      </w:r>
      <w:r w:rsidR="00707326">
        <w:t xml:space="preserve"> presents the number of testing issues reported in STAIRS by type.</w:t>
      </w:r>
    </w:p>
    <w:p w14:paraId="5A72C942" w14:textId="5853C64B" w:rsidR="00D3144D" w:rsidRDefault="00D3144D" w:rsidP="00D3144D">
      <w:pPr>
        <w:pStyle w:val="Caption"/>
      </w:pPr>
      <w:bookmarkStart w:id="481" w:name="_Ref61505382"/>
      <w:bookmarkStart w:id="482" w:name="_Toc67319697"/>
      <w:bookmarkStart w:id="483" w:name="_Toc220498701"/>
      <w:r>
        <w:t xml:space="preserve">Table </w:t>
      </w:r>
      <w:r>
        <w:fldChar w:fldCharType="begin"/>
      </w:r>
      <w:r>
        <w:instrText>STYLEREF 2 \s</w:instrText>
      </w:r>
      <w:r>
        <w:fldChar w:fldCharType="separate"/>
      </w:r>
      <w:r w:rsidR="00961502">
        <w:rPr>
          <w:noProof/>
        </w:rPr>
        <w:t>5</w:t>
      </w:r>
      <w:r>
        <w:fldChar w:fldCharType="end"/>
      </w:r>
      <w:r w:rsidR="00A40753">
        <w:t>.</w:t>
      </w:r>
      <w:r>
        <w:fldChar w:fldCharType="begin"/>
      </w:r>
      <w:r>
        <w:instrText>SEQ Table \* ARABIC \s 2</w:instrText>
      </w:r>
      <w:r>
        <w:fldChar w:fldCharType="separate"/>
      </w:r>
      <w:r w:rsidR="00961502">
        <w:rPr>
          <w:noProof/>
        </w:rPr>
        <w:t>6</w:t>
      </w:r>
      <w:r>
        <w:fldChar w:fldCharType="end"/>
      </w:r>
      <w:bookmarkEnd w:id="481"/>
      <w:r>
        <w:t xml:space="preserve">  Number of Testing Issues Reported in STAIRS by Type</w:t>
      </w:r>
      <w:bookmarkEnd w:id="482"/>
      <w:bookmarkEnd w:id="483"/>
    </w:p>
    <w:tbl>
      <w:tblPr>
        <w:tblStyle w:val="TRs"/>
        <w:tblW w:w="7488" w:type="dxa"/>
        <w:tblLayout w:type="fixed"/>
        <w:tblLook w:val="04A0" w:firstRow="1" w:lastRow="0" w:firstColumn="1" w:lastColumn="0" w:noHBand="0" w:noVBand="1"/>
        <w:tblDescription w:val="Number of Testing Issues Reported in STAIRS by Type"/>
      </w:tblPr>
      <w:tblGrid>
        <w:gridCol w:w="6048"/>
        <w:gridCol w:w="1440"/>
      </w:tblGrid>
      <w:tr w:rsidR="00B17800" w:rsidRPr="00707326" w14:paraId="34BC0C83" w14:textId="77777777" w:rsidTr="00BF353A">
        <w:trPr>
          <w:cnfStyle w:val="100000000000" w:firstRow="1" w:lastRow="0" w:firstColumn="0" w:lastColumn="0" w:oddVBand="0" w:evenVBand="0" w:oddHBand="0" w:evenHBand="0" w:firstRowFirstColumn="0" w:firstRowLastColumn="0" w:lastRowFirstColumn="0" w:lastRowLastColumn="0"/>
        </w:trPr>
        <w:tc>
          <w:tcPr>
            <w:tcW w:w="6048" w:type="dxa"/>
            <w:noWrap/>
            <w:hideMark/>
          </w:tcPr>
          <w:p w14:paraId="24D8A996" w14:textId="77777777" w:rsidR="00B17800" w:rsidRPr="00707326" w:rsidRDefault="00B17800" w:rsidP="0089454B">
            <w:pPr>
              <w:pStyle w:val="TableHead"/>
            </w:pPr>
            <w:r w:rsidRPr="00707326">
              <w:t>Testing Issue</w:t>
            </w:r>
          </w:p>
        </w:tc>
        <w:tc>
          <w:tcPr>
            <w:tcW w:w="1440" w:type="dxa"/>
            <w:hideMark/>
          </w:tcPr>
          <w:p w14:paraId="26EE930B" w14:textId="03DA6D1D" w:rsidR="00B17800" w:rsidRPr="00707326" w:rsidRDefault="00B17800" w:rsidP="0089454B">
            <w:pPr>
              <w:pStyle w:val="TableHead"/>
            </w:pPr>
            <w:r>
              <w:t>All Grades</w:t>
            </w:r>
          </w:p>
        </w:tc>
      </w:tr>
      <w:tr w:rsidR="008A2FD8" w:rsidRPr="00003A41" w14:paraId="0A334D5C" w14:textId="77777777" w:rsidTr="0053146D">
        <w:tc>
          <w:tcPr>
            <w:tcW w:w="6048" w:type="dxa"/>
            <w:tcBorders>
              <w:top w:val="single" w:sz="4" w:space="0" w:color="auto"/>
            </w:tcBorders>
            <w:hideMark/>
          </w:tcPr>
          <w:p w14:paraId="2D38C0E0" w14:textId="77777777" w:rsidR="008A2FD8" w:rsidRPr="00003A41" w:rsidRDefault="008A2FD8" w:rsidP="008A2FD8">
            <w:pPr>
              <w:pStyle w:val="TableText"/>
              <w:jc w:val="left"/>
            </w:pPr>
            <w:r w:rsidRPr="00003A41">
              <w:t>Accessibility Issue</w:t>
            </w:r>
          </w:p>
        </w:tc>
        <w:tc>
          <w:tcPr>
            <w:tcW w:w="1440" w:type="dxa"/>
            <w:tcBorders>
              <w:top w:val="single" w:sz="4" w:space="0" w:color="auto"/>
            </w:tcBorders>
            <w:noWrap/>
            <w:hideMark/>
          </w:tcPr>
          <w:p w14:paraId="754C2F8F" w14:textId="7C2B20BD" w:rsidR="008A2FD8" w:rsidRPr="00003A41" w:rsidRDefault="008A2FD8" w:rsidP="0038111C">
            <w:pPr>
              <w:pStyle w:val="TableText"/>
              <w:ind w:right="432"/>
            </w:pPr>
            <w:r>
              <w:rPr>
                <w:color w:val="000000"/>
              </w:rPr>
              <w:t>2</w:t>
            </w:r>
          </w:p>
        </w:tc>
      </w:tr>
      <w:tr w:rsidR="008A2FD8" w:rsidRPr="00003A41" w14:paraId="486DECF4" w14:textId="77777777" w:rsidTr="0053146D">
        <w:tc>
          <w:tcPr>
            <w:tcW w:w="6048" w:type="dxa"/>
            <w:hideMark/>
          </w:tcPr>
          <w:p w14:paraId="6D2B7FDC" w14:textId="77777777" w:rsidR="008A2FD8" w:rsidRPr="00003A41" w:rsidRDefault="008A2FD8" w:rsidP="008A2FD8">
            <w:pPr>
              <w:pStyle w:val="TableText"/>
              <w:jc w:val="left"/>
            </w:pPr>
            <w:r w:rsidRPr="00003A41">
              <w:t>Accidental Summative Access</w:t>
            </w:r>
          </w:p>
        </w:tc>
        <w:tc>
          <w:tcPr>
            <w:tcW w:w="1440" w:type="dxa"/>
            <w:noWrap/>
            <w:hideMark/>
          </w:tcPr>
          <w:p w14:paraId="38D51907" w14:textId="389DC8ED" w:rsidR="008A2FD8" w:rsidRPr="00003A41" w:rsidRDefault="008A2FD8" w:rsidP="0038111C">
            <w:pPr>
              <w:pStyle w:val="TableText"/>
              <w:ind w:right="432"/>
            </w:pPr>
            <w:r>
              <w:rPr>
                <w:color w:val="000000"/>
              </w:rPr>
              <w:t>0</w:t>
            </w:r>
          </w:p>
        </w:tc>
      </w:tr>
      <w:tr w:rsidR="008A2FD8" w:rsidRPr="00003A41" w14:paraId="6930F001" w14:textId="77777777" w:rsidTr="0053146D">
        <w:tc>
          <w:tcPr>
            <w:tcW w:w="6048" w:type="dxa"/>
            <w:hideMark/>
          </w:tcPr>
          <w:p w14:paraId="3C283458" w14:textId="77777777" w:rsidR="008A2FD8" w:rsidRPr="00003A41" w:rsidRDefault="008A2FD8" w:rsidP="008A2FD8">
            <w:pPr>
              <w:pStyle w:val="TableText"/>
              <w:jc w:val="left"/>
            </w:pPr>
            <w:r w:rsidRPr="00003A41">
              <w:t>Administered Incorrect Assessment</w:t>
            </w:r>
          </w:p>
        </w:tc>
        <w:tc>
          <w:tcPr>
            <w:tcW w:w="1440" w:type="dxa"/>
            <w:noWrap/>
            <w:hideMark/>
          </w:tcPr>
          <w:p w14:paraId="6D6CD66D" w14:textId="11B8434F" w:rsidR="008A2FD8" w:rsidRPr="00003A41" w:rsidRDefault="008A2FD8" w:rsidP="0038111C">
            <w:pPr>
              <w:pStyle w:val="TableText"/>
              <w:ind w:right="432"/>
            </w:pPr>
            <w:r>
              <w:rPr>
                <w:color w:val="000000"/>
              </w:rPr>
              <w:t>0</w:t>
            </w:r>
          </w:p>
        </w:tc>
      </w:tr>
      <w:tr w:rsidR="008A2FD8" w:rsidRPr="00003A41" w14:paraId="0D63A5B0" w14:textId="77777777" w:rsidTr="0053146D">
        <w:tc>
          <w:tcPr>
            <w:tcW w:w="6048" w:type="dxa"/>
            <w:hideMark/>
          </w:tcPr>
          <w:p w14:paraId="15745632" w14:textId="77777777" w:rsidR="008A2FD8" w:rsidRPr="00003A41" w:rsidRDefault="008A2FD8" w:rsidP="008A2FD8">
            <w:pPr>
              <w:pStyle w:val="TableText"/>
              <w:jc w:val="left"/>
            </w:pPr>
            <w:r w:rsidRPr="00003A41">
              <w:t>Administration Error</w:t>
            </w:r>
          </w:p>
        </w:tc>
        <w:tc>
          <w:tcPr>
            <w:tcW w:w="1440" w:type="dxa"/>
            <w:noWrap/>
            <w:hideMark/>
          </w:tcPr>
          <w:p w14:paraId="2B1B6AFF" w14:textId="24BEC333" w:rsidR="008A2FD8" w:rsidRPr="00003A41" w:rsidRDefault="008A2FD8" w:rsidP="0038111C">
            <w:pPr>
              <w:pStyle w:val="TableText"/>
              <w:ind w:right="432"/>
            </w:pPr>
            <w:r>
              <w:rPr>
                <w:color w:val="000000"/>
              </w:rPr>
              <w:t>8</w:t>
            </w:r>
          </w:p>
        </w:tc>
      </w:tr>
      <w:tr w:rsidR="008A2FD8" w:rsidRPr="00003A41" w14:paraId="79005A90" w14:textId="77777777" w:rsidTr="0053146D">
        <w:tc>
          <w:tcPr>
            <w:tcW w:w="6048" w:type="dxa"/>
            <w:hideMark/>
          </w:tcPr>
          <w:p w14:paraId="42D810A0" w14:textId="77777777" w:rsidR="008A2FD8" w:rsidRPr="00003A41" w:rsidRDefault="008A2FD8" w:rsidP="008A2FD8">
            <w:pPr>
              <w:pStyle w:val="TableText"/>
              <w:jc w:val="left"/>
            </w:pPr>
            <w:r w:rsidRPr="00003A41">
              <w:t>Data Entry Issue</w:t>
            </w:r>
          </w:p>
        </w:tc>
        <w:tc>
          <w:tcPr>
            <w:tcW w:w="1440" w:type="dxa"/>
            <w:noWrap/>
            <w:hideMark/>
          </w:tcPr>
          <w:p w14:paraId="7602B319" w14:textId="7C3F4999" w:rsidR="008A2FD8" w:rsidRPr="00003A41" w:rsidRDefault="008A2FD8" w:rsidP="0038111C">
            <w:pPr>
              <w:pStyle w:val="TableText"/>
              <w:ind w:right="432"/>
            </w:pPr>
            <w:r>
              <w:rPr>
                <w:color w:val="000000"/>
              </w:rPr>
              <w:t>0</w:t>
            </w:r>
          </w:p>
        </w:tc>
      </w:tr>
      <w:tr w:rsidR="008A2FD8" w:rsidRPr="00003A41" w14:paraId="2B4F7411" w14:textId="77777777" w:rsidTr="0053146D">
        <w:tc>
          <w:tcPr>
            <w:tcW w:w="6048" w:type="dxa"/>
            <w:hideMark/>
          </w:tcPr>
          <w:p w14:paraId="1D9F4C23" w14:textId="77777777" w:rsidR="008A2FD8" w:rsidRPr="00003A41" w:rsidRDefault="008A2FD8" w:rsidP="008A2FD8">
            <w:pPr>
              <w:pStyle w:val="TableText"/>
              <w:jc w:val="left"/>
            </w:pPr>
            <w:r w:rsidRPr="00003A41">
              <w:t>Disruption or Technical Issues</w:t>
            </w:r>
          </w:p>
        </w:tc>
        <w:tc>
          <w:tcPr>
            <w:tcW w:w="1440" w:type="dxa"/>
            <w:noWrap/>
            <w:hideMark/>
          </w:tcPr>
          <w:p w14:paraId="03389E14" w14:textId="0325DF47" w:rsidR="008A2FD8" w:rsidRPr="00003A41" w:rsidRDefault="00622847" w:rsidP="0038111C">
            <w:pPr>
              <w:pStyle w:val="TableText"/>
              <w:ind w:right="432"/>
            </w:pPr>
            <w:r>
              <w:rPr>
                <w:color w:val="000000"/>
              </w:rPr>
              <w:t>2</w:t>
            </w:r>
          </w:p>
        </w:tc>
      </w:tr>
      <w:tr w:rsidR="008A2FD8" w:rsidRPr="00003A41" w14:paraId="40A37886" w14:textId="77777777" w:rsidTr="0053146D">
        <w:tc>
          <w:tcPr>
            <w:tcW w:w="6048" w:type="dxa"/>
            <w:hideMark/>
          </w:tcPr>
          <w:p w14:paraId="2224805A" w14:textId="77777777" w:rsidR="008A2FD8" w:rsidRPr="00003A41" w:rsidRDefault="008A2FD8" w:rsidP="008A2FD8">
            <w:pPr>
              <w:pStyle w:val="TableText"/>
              <w:jc w:val="left"/>
            </w:pPr>
            <w:r w:rsidRPr="00003A41">
              <w:t xml:space="preserve">Domain Exemptions </w:t>
            </w:r>
            <w:r>
              <w:t>o</w:t>
            </w:r>
            <w:r w:rsidRPr="00003A41">
              <w:t>r Incorrect Alternate Assessment</w:t>
            </w:r>
          </w:p>
        </w:tc>
        <w:tc>
          <w:tcPr>
            <w:tcW w:w="1440" w:type="dxa"/>
            <w:noWrap/>
            <w:hideMark/>
          </w:tcPr>
          <w:p w14:paraId="6D5CBDCE" w14:textId="101ACB65" w:rsidR="008A2FD8" w:rsidRPr="00003A41" w:rsidRDefault="008A2FD8" w:rsidP="0038111C">
            <w:pPr>
              <w:pStyle w:val="TableText"/>
              <w:ind w:right="432"/>
            </w:pPr>
            <w:r>
              <w:rPr>
                <w:color w:val="000000"/>
              </w:rPr>
              <w:t>0</w:t>
            </w:r>
          </w:p>
        </w:tc>
      </w:tr>
      <w:tr w:rsidR="008A2FD8" w:rsidRPr="00003A41" w14:paraId="6FAEA871" w14:textId="77777777" w:rsidTr="0053146D">
        <w:tc>
          <w:tcPr>
            <w:tcW w:w="6048" w:type="dxa"/>
            <w:hideMark/>
          </w:tcPr>
          <w:p w14:paraId="5A538EE9" w14:textId="77777777" w:rsidR="008A2FD8" w:rsidRPr="00003A41" w:rsidRDefault="008A2FD8" w:rsidP="008A2FD8">
            <w:pPr>
              <w:pStyle w:val="TableText"/>
              <w:jc w:val="left"/>
            </w:pPr>
            <w:r w:rsidRPr="00003A41">
              <w:t>Expired or Accidentally Submitted Test</w:t>
            </w:r>
          </w:p>
        </w:tc>
        <w:tc>
          <w:tcPr>
            <w:tcW w:w="1440" w:type="dxa"/>
            <w:noWrap/>
            <w:hideMark/>
          </w:tcPr>
          <w:p w14:paraId="529E5F81" w14:textId="55B399F1" w:rsidR="008A2FD8" w:rsidRPr="00003A41" w:rsidRDefault="008A2FD8" w:rsidP="0038111C">
            <w:pPr>
              <w:pStyle w:val="TableText"/>
              <w:ind w:right="432"/>
            </w:pPr>
            <w:r>
              <w:rPr>
                <w:color w:val="000000"/>
              </w:rPr>
              <w:t>2</w:t>
            </w:r>
          </w:p>
        </w:tc>
      </w:tr>
      <w:tr w:rsidR="008A2FD8" w:rsidRPr="00003A41" w14:paraId="0217CB0D" w14:textId="77777777" w:rsidTr="0053146D">
        <w:tc>
          <w:tcPr>
            <w:tcW w:w="6048" w:type="dxa"/>
            <w:hideMark/>
          </w:tcPr>
          <w:p w14:paraId="1A80F336" w14:textId="77777777" w:rsidR="008A2FD8" w:rsidRPr="00003A41" w:rsidRDefault="008A2FD8" w:rsidP="008A2FD8">
            <w:pPr>
              <w:pStyle w:val="TableText"/>
              <w:jc w:val="left"/>
            </w:pPr>
            <w:r w:rsidRPr="00003A41">
              <w:t>Exposing Secure Materials</w:t>
            </w:r>
          </w:p>
        </w:tc>
        <w:tc>
          <w:tcPr>
            <w:tcW w:w="1440" w:type="dxa"/>
            <w:noWrap/>
            <w:hideMark/>
          </w:tcPr>
          <w:p w14:paraId="5FFF1158" w14:textId="107F26A4" w:rsidR="008A2FD8" w:rsidRPr="00003A41" w:rsidRDefault="008A2FD8" w:rsidP="0038111C">
            <w:pPr>
              <w:pStyle w:val="TableText"/>
              <w:ind w:right="432"/>
            </w:pPr>
            <w:r>
              <w:rPr>
                <w:color w:val="000000"/>
              </w:rPr>
              <w:t>0</w:t>
            </w:r>
          </w:p>
        </w:tc>
      </w:tr>
      <w:tr w:rsidR="008A2FD8" w:rsidRPr="00003A41" w14:paraId="4199A47A" w14:textId="77777777" w:rsidTr="0053146D">
        <w:tc>
          <w:tcPr>
            <w:tcW w:w="6048" w:type="dxa"/>
            <w:hideMark/>
          </w:tcPr>
          <w:p w14:paraId="65D55024" w14:textId="77777777" w:rsidR="008A2FD8" w:rsidRPr="00003A41" w:rsidRDefault="008A2FD8" w:rsidP="008A2FD8">
            <w:pPr>
              <w:pStyle w:val="TableText"/>
              <w:jc w:val="left"/>
            </w:pPr>
            <w:r w:rsidRPr="00003A41">
              <w:t>Incorrect SSID Used</w:t>
            </w:r>
          </w:p>
        </w:tc>
        <w:tc>
          <w:tcPr>
            <w:tcW w:w="1440" w:type="dxa"/>
            <w:noWrap/>
            <w:hideMark/>
          </w:tcPr>
          <w:p w14:paraId="43706B8B" w14:textId="5955B952" w:rsidR="008A2FD8" w:rsidRPr="00003A41" w:rsidRDefault="008A2FD8" w:rsidP="0038111C">
            <w:pPr>
              <w:pStyle w:val="TableText"/>
              <w:ind w:right="432"/>
            </w:pPr>
            <w:r>
              <w:rPr>
                <w:color w:val="000000"/>
              </w:rPr>
              <w:t>0</w:t>
            </w:r>
          </w:p>
        </w:tc>
      </w:tr>
      <w:tr w:rsidR="008A2FD8" w:rsidRPr="00003A41" w14:paraId="1057A4FC" w14:textId="77777777" w:rsidTr="0053146D">
        <w:tc>
          <w:tcPr>
            <w:tcW w:w="6048" w:type="dxa"/>
            <w:hideMark/>
          </w:tcPr>
          <w:p w14:paraId="3E47A3BA" w14:textId="77777777" w:rsidR="008A2FD8" w:rsidRPr="00003A41" w:rsidRDefault="008A2FD8" w:rsidP="008A2FD8">
            <w:pPr>
              <w:pStyle w:val="TableText"/>
              <w:jc w:val="left"/>
            </w:pPr>
            <w:r w:rsidRPr="00003A41">
              <w:t>Restore from Reset</w:t>
            </w:r>
          </w:p>
        </w:tc>
        <w:tc>
          <w:tcPr>
            <w:tcW w:w="1440" w:type="dxa"/>
            <w:noWrap/>
            <w:hideMark/>
          </w:tcPr>
          <w:p w14:paraId="5D60F461" w14:textId="07F453BE" w:rsidR="008A2FD8" w:rsidRPr="00003A41" w:rsidRDefault="008A2FD8" w:rsidP="0038111C">
            <w:pPr>
              <w:pStyle w:val="TableText"/>
              <w:ind w:right="432"/>
            </w:pPr>
            <w:r>
              <w:rPr>
                <w:color w:val="000000"/>
              </w:rPr>
              <w:t>0</w:t>
            </w:r>
          </w:p>
        </w:tc>
      </w:tr>
      <w:tr w:rsidR="008A2FD8" w:rsidRPr="00003A41" w14:paraId="1CA0E5AD" w14:textId="77777777" w:rsidTr="0053146D">
        <w:tc>
          <w:tcPr>
            <w:tcW w:w="6048" w:type="dxa"/>
            <w:hideMark/>
          </w:tcPr>
          <w:p w14:paraId="0D6118E3" w14:textId="77777777" w:rsidR="008A2FD8" w:rsidRPr="00003A41" w:rsidRDefault="008A2FD8" w:rsidP="008A2FD8">
            <w:pPr>
              <w:pStyle w:val="TableText"/>
              <w:jc w:val="left"/>
            </w:pPr>
            <w:r w:rsidRPr="00003A41">
              <w:t>Student Cheating or Accessing Unauthorized Devices</w:t>
            </w:r>
          </w:p>
        </w:tc>
        <w:tc>
          <w:tcPr>
            <w:tcW w:w="1440" w:type="dxa"/>
            <w:noWrap/>
            <w:hideMark/>
          </w:tcPr>
          <w:p w14:paraId="61047EED" w14:textId="45DBF817" w:rsidR="008A2FD8" w:rsidRPr="00003A41" w:rsidRDefault="008A2FD8" w:rsidP="0038111C">
            <w:pPr>
              <w:pStyle w:val="TableText"/>
              <w:ind w:right="432"/>
            </w:pPr>
            <w:r>
              <w:rPr>
                <w:color w:val="000000"/>
              </w:rPr>
              <w:t>0</w:t>
            </w:r>
          </w:p>
        </w:tc>
      </w:tr>
      <w:tr w:rsidR="008A2FD8" w:rsidRPr="00003A41" w14:paraId="0085208D" w14:textId="77777777" w:rsidTr="0053146D">
        <w:tc>
          <w:tcPr>
            <w:tcW w:w="6048" w:type="dxa"/>
            <w:hideMark/>
          </w:tcPr>
          <w:p w14:paraId="6397D3CB" w14:textId="77777777" w:rsidR="008A2FD8" w:rsidRPr="00003A41" w:rsidRDefault="008A2FD8" w:rsidP="008A2FD8">
            <w:pPr>
              <w:pStyle w:val="TableText"/>
              <w:jc w:val="left"/>
            </w:pPr>
            <w:r w:rsidRPr="00003A41">
              <w:t>Student Disruption</w:t>
            </w:r>
          </w:p>
        </w:tc>
        <w:tc>
          <w:tcPr>
            <w:tcW w:w="1440" w:type="dxa"/>
            <w:noWrap/>
            <w:hideMark/>
          </w:tcPr>
          <w:p w14:paraId="52A50A8E" w14:textId="0EC225B5" w:rsidR="008A2FD8" w:rsidRPr="00003A41" w:rsidRDefault="008A2FD8" w:rsidP="0038111C">
            <w:pPr>
              <w:pStyle w:val="TableText"/>
              <w:ind w:right="432"/>
            </w:pPr>
            <w:r>
              <w:rPr>
                <w:color w:val="000000"/>
              </w:rPr>
              <w:t>0</w:t>
            </w:r>
          </w:p>
        </w:tc>
      </w:tr>
      <w:tr w:rsidR="008A2FD8" w:rsidRPr="00003A41" w14:paraId="54E8CC26" w14:textId="77777777" w:rsidTr="0053146D">
        <w:tc>
          <w:tcPr>
            <w:tcW w:w="6048" w:type="dxa"/>
            <w:hideMark/>
          </w:tcPr>
          <w:p w14:paraId="0E3E7AD9" w14:textId="77777777" w:rsidR="008A2FD8" w:rsidRPr="00003A41" w:rsidRDefault="008A2FD8" w:rsidP="008A2FD8">
            <w:pPr>
              <w:pStyle w:val="TableText"/>
              <w:jc w:val="left"/>
            </w:pPr>
            <w:r w:rsidRPr="00003A41">
              <w:t>Other Issues</w:t>
            </w:r>
          </w:p>
        </w:tc>
        <w:tc>
          <w:tcPr>
            <w:tcW w:w="1440" w:type="dxa"/>
            <w:noWrap/>
            <w:hideMark/>
          </w:tcPr>
          <w:p w14:paraId="0DFB8999" w14:textId="5C8130C4" w:rsidR="008A2FD8" w:rsidRPr="00003A41" w:rsidRDefault="008A2FD8" w:rsidP="0038111C">
            <w:pPr>
              <w:pStyle w:val="TableText"/>
              <w:ind w:right="432"/>
            </w:pPr>
            <w:r>
              <w:rPr>
                <w:color w:val="000000"/>
              </w:rPr>
              <w:t>0</w:t>
            </w:r>
          </w:p>
        </w:tc>
      </w:tr>
    </w:tbl>
    <w:p w14:paraId="5049550E" w14:textId="039FF734" w:rsidR="000B25A2" w:rsidRDefault="000B25A2" w:rsidP="008F0E36">
      <w:pPr>
        <w:pStyle w:val="Heading3"/>
        <w:keepLines/>
      </w:pPr>
      <w:bookmarkStart w:id="484" w:name="_Toc182555192"/>
      <w:r>
        <w:t>Monitoring Assessment of Students</w:t>
      </w:r>
      <w:bookmarkEnd w:id="484"/>
    </w:p>
    <w:p w14:paraId="2ADB4069" w14:textId="5F330C94" w:rsidR="000B25A2" w:rsidRPr="000B25A2" w:rsidRDefault="000B25A2" w:rsidP="007F1751">
      <w:r>
        <w:t xml:space="preserve">The </w:t>
      </w:r>
      <w:r w:rsidRPr="00CF0373">
        <w:t>CAA</w:t>
      </w:r>
      <w:r>
        <w:t xml:space="preserve"> for Science</w:t>
      </w:r>
      <w:r w:rsidRPr="00CF0373">
        <w:t xml:space="preserve"> 2019</w:t>
      </w:r>
      <w:r>
        <w:t>–</w:t>
      </w:r>
      <w:r w:rsidRPr="00CF0373">
        <w:t>2020 operational assessment</w:t>
      </w:r>
      <w:r>
        <w:t xml:space="preserve"> offered commonly used accessibility resources available through the CAASPP online testing platform, where applicable for the tested construct.</w:t>
      </w:r>
    </w:p>
    <w:p w14:paraId="4DB2D9C1" w14:textId="6881A2A4" w:rsidR="0087034C" w:rsidRDefault="0087034C" w:rsidP="007F1751">
      <w:pPr>
        <w:pStyle w:val="Heading4"/>
      </w:pPr>
      <w:bookmarkStart w:id="485" w:name="_Toc182555193"/>
      <w:r w:rsidRPr="00B44F81">
        <w:lastRenderedPageBreak/>
        <w:t>Universal Tools</w:t>
      </w:r>
      <w:r w:rsidR="00F86D59">
        <w:t xml:space="preserve"> and</w:t>
      </w:r>
      <w:r w:rsidRPr="00B44F81">
        <w:t xml:space="preserve"> Designated Supports for Students with Disabilities</w:t>
      </w:r>
      <w:bookmarkEnd w:id="485"/>
    </w:p>
    <w:p w14:paraId="6158A823" w14:textId="77777777" w:rsidR="0087034C" w:rsidRDefault="0087034C" w:rsidP="008F0E36">
      <w:pPr>
        <w:keepNext/>
        <w:keepLines/>
      </w:pPr>
      <w:r w:rsidRPr="00596FBE">
        <w:t xml:space="preserve">The purpose of universal tools, designated supports, and accommodations in testing is to allow </w:t>
      </w:r>
      <w:r w:rsidRPr="00596FBE">
        <w:rPr>
          <w:i/>
        </w:rPr>
        <w:t>all</w:t>
      </w:r>
      <w:r w:rsidRPr="00596FBE">
        <w:t xml:space="preserve"> students the opportunity to demonstrate what they know and what they are able to do, rather than giving students who use these resources an advantage over other students or artificially inflating their scores. Universal tools, designated supports, and accommodations minimize or remove barriers that could otherwise prevent students from demonstrating their knowledge, skills, and achievement in a specific content area.</w:t>
      </w:r>
    </w:p>
    <w:p w14:paraId="21373D8E" w14:textId="77777777" w:rsidR="0087034C" w:rsidRPr="006C312D" w:rsidRDefault="0087034C" w:rsidP="007F1751">
      <w:pPr>
        <w:pStyle w:val="Heading5"/>
      </w:pPr>
      <w:r w:rsidRPr="006C312D">
        <w:t>Universal Tools</w:t>
      </w:r>
    </w:p>
    <w:p w14:paraId="5F412735" w14:textId="77777777" w:rsidR="0087034C" w:rsidRPr="006C312D" w:rsidRDefault="0087034C" w:rsidP="0087034C">
      <w:r w:rsidRPr="006C312D">
        <w:t>Universal tools</w:t>
      </w:r>
      <w:r w:rsidRPr="006C312D">
        <w:rPr>
          <w:b/>
        </w:rPr>
        <w:t xml:space="preserve"> </w:t>
      </w:r>
      <w:r w:rsidRPr="006C312D">
        <w:t>are available to all students by default, although they can be disabled if a student finds them distracting. Each universal tool falls into one of two categories: embedded and non-embedded. Embedded universal tools are provided through the student testing interface (through the CAASPP secure browser), although they can be turned off by a test administrator.</w:t>
      </w:r>
    </w:p>
    <w:p w14:paraId="25B15092" w14:textId="577521B1" w:rsidR="00D843F5" w:rsidRDefault="00D843F5" w:rsidP="00D843F5">
      <w:r w:rsidRPr="00402799">
        <w:t xml:space="preserve">The resources </w:t>
      </w:r>
      <w:r>
        <w:t xml:space="preserve">in the following subsections </w:t>
      </w:r>
      <w:r w:rsidRPr="00402799">
        <w:t xml:space="preserve">were </w:t>
      </w:r>
      <w:r>
        <w:t>available</w:t>
      </w:r>
      <w:r w:rsidRPr="00402799">
        <w:t xml:space="preserve"> in the </w:t>
      </w:r>
      <w:r>
        <w:t>2019–2020 CAA for Science</w:t>
      </w:r>
      <w:r w:rsidRPr="00402799">
        <w:t xml:space="preserve"> administration.</w:t>
      </w:r>
    </w:p>
    <w:p w14:paraId="1E6CAB09" w14:textId="37427036" w:rsidR="00D843F5" w:rsidRPr="006C312D" w:rsidRDefault="00D843F5" w:rsidP="007F1751">
      <w:pPr>
        <w:pStyle w:val="Heading6"/>
      </w:pPr>
      <w:r w:rsidRPr="00A822CA">
        <w:t>Embedded</w:t>
      </w:r>
    </w:p>
    <w:p w14:paraId="49EA4260" w14:textId="77777777" w:rsidR="00D843F5" w:rsidRPr="006C312D" w:rsidRDefault="00D843F5" w:rsidP="00D843F5">
      <w:pPr>
        <w:pStyle w:val="bullets-one"/>
        <w:numPr>
          <w:ilvl w:val="0"/>
          <w:numId w:val="96"/>
        </w:numPr>
        <w:ind w:left="864" w:hanging="288"/>
      </w:pPr>
      <w:r w:rsidRPr="006C312D">
        <w:t>Breaks</w:t>
      </w:r>
    </w:p>
    <w:p w14:paraId="3B012901" w14:textId="77777777" w:rsidR="00D843F5" w:rsidRDefault="00D843F5" w:rsidP="00D843F5">
      <w:pPr>
        <w:pStyle w:val="bullets-one"/>
        <w:numPr>
          <w:ilvl w:val="0"/>
          <w:numId w:val="96"/>
        </w:numPr>
        <w:ind w:left="864" w:hanging="288"/>
      </w:pPr>
      <w:r w:rsidRPr="006C312D">
        <w:t>Digital notepad</w:t>
      </w:r>
    </w:p>
    <w:p w14:paraId="368ED3D2" w14:textId="77777777" w:rsidR="00D843F5" w:rsidRPr="006C312D" w:rsidRDefault="00D843F5" w:rsidP="00D843F5">
      <w:pPr>
        <w:pStyle w:val="bullets-one"/>
        <w:numPr>
          <w:ilvl w:val="0"/>
          <w:numId w:val="96"/>
        </w:numPr>
        <w:ind w:left="864" w:hanging="288"/>
      </w:pPr>
      <w:r w:rsidRPr="006C312D">
        <w:t>Expandable items</w:t>
      </w:r>
    </w:p>
    <w:p w14:paraId="2060EB91" w14:textId="77777777" w:rsidR="00D843F5" w:rsidRPr="006C312D" w:rsidRDefault="00D843F5" w:rsidP="00D843F5">
      <w:pPr>
        <w:pStyle w:val="bullets-one"/>
        <w:numPr>
          <w:ilvl w:val="0"/>
          <w:numId w:val="96"/>
        </w:numPr>
        <w:ind w:left="864" w:hanging="288"/>
      </w:pPr>
      <w:r w:rsidRPr="006C312D">
        <w:t>Expandable passages</w:t>
      </w:r>
    </w:p>
    <w:p w14:paraId="4139F011" w14:textId="77777777" w:rsidR="00D843F5" w:rsidRPr="006C312D" w:rsidRDefault="00D843F5" w:rsidP="00D843F5">
      <w:pPr>
        <w:pStyle w:val="bullets-one"/>
        <w:numPr>
          <w:ilvl w:val="0"/>
          <w:numId w:val="96"/>
        </w:numPr>
        <w:ind w:left="864" w:hanging="288"/>
      </w:pPr>
      <w:r w:rsidRPr="006C312D">
        <w:t>Highlighter</w:t>
      </w:r>
    </w:p>
    <w:p w14:paraId="66BBA692" w14:textId="77777777" w:rsidR="00D843F5" w:rsidRPr="006C312D" w:rsidRDefault="00D843F5" w:rsidP="00D843F5">
      <w:pPr>
        <w:pStyle w:val="bullets-one"/>
        <w:numPr>
          <w:ilvl w:val="0"/>
          <w:numId w:val="96"/>
        </w:numPr>
        <w:ind w:left="864" w:hanging="288"/>
      </w:pPr>
      <w:r w:rsidRPr="006C312D">
        <w:t>Keyboard navigation</w:t>
      </w:r>
    </w:p>
    <w:p w14:paraId="47F22C8B" w14:textId="77777777" w:rsidR="00D843F5" w:rsidRPr="006C312D" w:rsidRDefault="00D843F5" w:rsidP="00D843F5">
      <w:pPr>
        <w:pStyle w:val="bullets-one"/>
        <w:numPr>
          <w:ilvl w:val="0"/>
          <w:numId w:val="96"/>
        </w:numPr>
        <w:ind w:left="864" w:hanging="288"/>
      </w:pPr>
      <w:r w:rsidRPr="006C312D">
        <w:t>Line reader</w:t>
      </w:r>
    </w:p>
    <w:p w14:paraId="30A3B3DA" w14:textId="77777777" w:rsidR="00D843F5" w:rsidRPr="006C312D" w:rsidRDefault="00D843F5" w:rsidP="00D843F5">
      <w:pPr>
        <w:pStyle w:val="bullets-one"/>
        <w:numPr>
          <w:ilvl w:val="0"/>
          <w:numId w:val="96"/>
        </w:numPr>
        <w:ind w:left="864" w:hanging="288"/>
      </w:pPr>
      <w:r w:rsidRPr="006C312D">
        <w:t>Mark for review</w:t>
      </w:r>
    </w:p>
    <w:p w14:paraId="542F5083" w14:textId="77777777" w:rsidR="00D843F5" w:rsidRPr="006C312D" w:rsidRDefault="00D843F5" w:rsidP="00D843F5">
      <w:pPr>
        <w:pStyle w:val="bullets-one"/>
        <w:numPr>
          <w:ilvl w:val="0"/>
          <w:numId w:val="96"/>
        </w:numPr>
        <w:ind w:left="864" w:hanging="288"/>
      </w:pPr>
      <w:r w:rsidRPr="006C312D">
        <w:t>Strikethrough</w:t>
      </w:r>
    </w:p>
    <w:p w14:paraId="36308908" w14:textId="77777777" w:rsidR="00D843F5" w:rsidRPr="006C312D" w:rsidRDefault="00D843F5" w:rsidP="00D843F5">
      <w:pPr>
        <w:pStyle w:val="bullets-one"/>
        <w:numPr>
          <w:ilvl w:val="0"/>
          <w:numId w:val="96"/>
        </w:numPr>
        <w:ind w:left="864" w:hanging="288"/>
      </w:pPr>
      <w:r w:rsidRPr="006C312D">
        <w:t>Writing tools (e.g., bold, italic, bullets, undo or redo) (</w:t>
      </w:r>
      <w:r>
        <w:t>for specific</w:t>
      </w:r>
      <w:r w:rsidRPr="006C312D">
        <w:t xml:space="preserve"> items)</w:t>
      </w:r>
    </w:p>
    <w:p w14:paraId="7F05D0C5" w14:textId="77777777" w:rsidR="00D843F5" w:rsidRPr="006C312D" w:rsidRDefault="00D843F5" w:rsidP="00D843F5">
      <w:pPr>
        <w:pStyle w:val="bullets-one"/>
        <w:numPr>
          <w:ilvl w:val="0"/>
          <w:numId w:val="96"/>
        </w:numPr>
        <w:ind w:left="864" w:hanging="288"/>
      </w:pPr>
      <w:r w:rsidRPr="006C312D">
        <w:t>Zoom (in or out)</w:t>
      </w:r>
    </w:p>
    <w:p w14:paraId="1D26FFBE" w14:textId="77777777" w:rsidR="00D843F5" w:rsidRPr="006C312D" w:rsidRDefault="00D843F5" w:rsidP="007F1751">
      <w:pPr>
        <w:pStyle w:val="Heading6"/>
      </w:pPr>
      <w:r>
        <w:t>Non-e</w:t>
      </w:r>
      <w:r w:rsidRPr="00A822CA">
        <w:t>mbedded</w:t>
      </w:r>
    </w:p>
    <w:p w14:paraId="7C2DDE55" w14:textId="77777777" w:rsidR="00D843F5" w:rsidRDefault="00D843F5" w:rsidP="00D843F5">
      <w:pPr>
        <w:pStyle w:val="bullets-one"/>
        <w:keepNext/>
        <w:numPr>
          <w:ilvl w:val="0"/>
          <w:numId w:val="96"/>
        </w:numPr>
        <w:ind w:left="864" w:hanging="288"/>
      </w:pPr>
      <w:r w:rsidRPr="006C312D">
        <w:t>Breaks</w:t>
      </w:r>
      <w:r>
        <w:t xml:space="preserve"> </w:t>
      </w:r>
    </w:p>
    <w:p w14:paraId="06B75992" w14:textId="77777777" w:rsidR="00D843F5" w:rsidRPr="006C312D" w:rsidRDefault="00D843F5" w:rsidP="00D843F5">
      <w:pPr>
        <w:pStyle w:val="bullets-one"/>
        <w:numPr>
          <w:ilvl w:val="0"/>
          <w:numId w:val="96"/>
        </w:numPr>
        <w:ind w:left="864" w:hanging="288"/>
      </w:pPr>
      <w:r w:rsidRPr="006C312D">
        <w:t>Scratch paper</w:t>
      </w:r>
    </w:p>
    <w:p w14:paraId="7F3A7DB1" w14:textId="77777777" w:rsidR="0087034C" w:rsidRPr="006C312D" w:rsidRDefault="0087034C" w:rsidP="007F1751">
      <w:pPr>
        <w:pStyle w:val="Heading5"/>
      </w:pPr>
      <w:r w:rsidRPr="006C312D">
        <w:t>Designated Supports</w:t>
      </w:r>
    </w:p>
    <w:p w14:paraId="01F4F966" w14:textId="77777777" w:rsidR="0087034C" w:rsidRPr="006C312D" w:rsidRDefault="0087034C" w:rsidP="0087034C">
      <w:r w:rsidRPr="006C312D">
        <w:t>Designated supports are available to all students through the test settings in TOMS. The designated supports each fall into one of two categories: embedded and non-embedded. Embedded designated supports are provided through the student testing interface (through the CAASPP secure browser).</w:t>
      </w:r>
    </w:p>
    <w:p w14:paraId="2E10688A" w14:textId="783C81D7" w:rsidR="0087034C" w:rsidRDefault="00D843F5" w:rsidP="0087034C">
      <w:r w:rsidRPr="00402799">
        <w:t xml:space="preserve">The resources </w:t>
      </w:r>
      <w:r>
        <w:t xml:space="preserve">in the following subsections </w:t>
      </w:r>
      <w:r w:rsidRPr="00402799">
        <w:t xml:space="preserve">were </w:t>
      </w:r>
      <w:r>
        <w:t>available</w:t>
      </w:r>
      <w:r w:rsidRPr="00402799">
        <w:t xml:space="preserve"> in the </w:t>
      </w:r>
      <w:r>
        <w:t>2019–2020 CAA for Science</w:t>
      </w:r>
      <w:r w:rsidRPr="00402799">
        <w:t xml:space="preserve"> administration.</w:t>
      </w:r>
    </w:p>
    <w:p w14:paraId="49D345EA" w14:textId="7C3E8AC6" w:rsidR="00D843F5" w:rsidRPr="0012275A" w:rsidRDefault="00D843F5" w:rsidP="007F1751">
      <w:pPr>
        <w:pStyle w:val="Heading6"/>
      </w:pPr>
      <w:r>
        <w:t>Embedded</w:t>
      </w:r>
    </w:p>
    <w:p w14:paraId="46874F99" w14:textId="77777777" w:rsidR="0087034C" w:rsidRPr="0012275A" w:rsidRDefault="0087034C" w:rsidP="0087034C">
      <w:pPr>
        <w:pStyle w:val="bullets-one"/>
      </w:pPr>
      <w:r w:rsidRPr="0012275A">
        <w:t>Color contrast</w:t>
      </w:r>
    </w:p>
    <w:p w14:paraId="50058CC7" w14:textId="77777777" w:rsidR="0087034C" w:rsidRPr="0012275A" w:rsidRDefault="0087034C" w:rsidP="0087034C">
      <w:pPr>
        <w:pStyle w:val="bullets-one"/>
      </w:pPr>
      <w:r w:rsidRPr="0012275A">
        <w:t>Masking</w:t>
      </w:r>
    </w:p>
    <w:p w14:paraId="7FF69338" w14:textId="77777777" w:rsidR="0087034C" w:rsidRPr="0012275A" w:rsidRDefault="0087034C" w:rsidP="0087034C">
      <w:pPr>
        <w:pStyle w:val="bullets-one"/>
      </w:pPr>
      <w:r w:rsidRPr="0012275A">
        <w:t>Mouse pointer (size and color)</w:t>
      </w:r>
    </w:p>
    <w:p w14:paraId="317ABEE2" w14:textId="77777777" w:rsidR="0087034C" w:rsidRPr="0012275A" w:rsidRDefault="0087034C" w:rsidP="00BF353A">
      <w:pPr>
        <w:pStyle w:val="bullets-one"/>
        <w:keepNext/>
      </w:pPr>
      <w:r w:rsidRPr="0012275A">
        <w:lastRenderedPageBreak/>
        <w:t>Permissive mode</w:t>
      </w:r>
    </w:p>
    <w:p w14:paraId="4CF9C189" w14:textId="77777777" w:rsidR="0087034C" w:rsidRPr="0012275A" w:rsidRDefault="0087034C" w:rsidP="0087034C">
      <w:pPr>
        <w:pStyle w:val="bullets-one"/>
      </w:pPr>
      <w:r w:rsidRPr="0012275A">
        <w:t>Streamline</w:t>
      </w:r>
    </w:p>
    <w:p w14:paraId="402876D9" w14:textId="77777777" w:rsidR="0087034C" w:rsidRPr="0012275A" w:rsidRDefault="0087034C" w:rsidP="0087034C">
      <w:pPr>
        <w:pStyle w:val="bullets-one"/>
      </w:pPr>
      <w:r w:rsidRPr="0012275A">
        <w:t>Turn off any universal tool(s)</w:t>
      </w:r>
    </w:p>
    <w:p w14:paraId="6B64430A" w14:textId="249F9434" w:rsidR="0087034C" w:rsidRPr="006C312D" w:rsidRDefault="00D843F5" w:rsidP="007F1751">
      <w:pPr>
        <w:pStyle w:val="Heading6"/>
      </w:pPr>
      <w:r>
        <w:t>N</w:t>
      </w:r>
      <w:r w:rsidR="0087034C" w:rsidRPr="0012275A">
        <w:t>on-embedded</w:t>
      </w:r>
    </w:p>
    <w:p w14:paraId="006CB92B" w14:textId="77777777" w:rsidR="0087034C" w:rsidRPr="006C312D" w:rsidRDefault="0087034C" w:rsidP="0087034C">
      <w:pPr>
        <w:pStyle w:val="bullets-one"/>
      </w:pPr>
      <w:r w:rsidRPr="006C312D">
        <w:t>Amplification</w:t>
      </w:r>
    </w:p>
    <w:p w14:paraId="660854B3" w14:textId="77777777" w:rsidR="0087034C" w:rsidRPr="006C312D" w:rsidRDefault="0087034C" w:rsidP="0087034C">
      <w:pPr>
        <w:pStyle w:val="bullets-one"/>
      </w:pPr>
      <w:r w:rsidRPr="006C312D">
        <w:t>Color contrast</w:t>
      </w:r>
    </w:p>
    <w:p w14:paraId="68A64C10" w14:textId="77777777" w:rsidR="0087034C" w:rsidRPr="006C312D" w:rsidRDefault="0087034C" w:rsidP="0087034C">
      <w:pPr>
        <w:pStyle w:val="bullets-one"/>
      </w:pPr>
      <w:r w:rsidRPr="006C312D">
        <w:t>Color overlay</w:t>
      </w:r>
    </w:p>
    <w:p w14:paraId="4EC102D7" w14:textId="77777777" w:rsidR="0087034C" w:rsidRPr="006C312D" w:rsidRDefault="0087034C" w:rsidP="0087034C">
      <w:pPr>
        <w:pStyle w:val="bullets-one"/>
      </w:pPr>
      <w:r w:rsidRPr="006C312D">
        <w:t>Magnification</w:t>
      </w:r>
    </w:p>
    <w:p w14:paraId="5D96C3B3" w14:textId="7E08B131" w:rsidR="0087034C" w:rsidRPr="006C312D" w:rsidRDefault="0087034C" w:rsidP="0087034C">
      <w:pPr>
        <w:pStyle w:val="bullets-one"/>
      </w:pPr>
      <w:r w:rsidRPr="006C312D">
        <w:t xml:space="preserve">Medical </w:t>
      </w:r>
      <w:r w:rsidR="00AB765A">
        <w:t>support</w:t>
      </w:r>
      <w:r w:rsidR="00AD2542">
        <w:t>s</w:t>
      </w:r>
    </w:p>
    <w:p w14:paraId="7BDEA2CF" w14:textId="77777777" w:rsidR="0087034C" w:rsidRPr="006C312D" w:rsidRDefault="0087034C" w:rsidP="0087034C">
      <w:pPr>
        <w:pStyle w:val="bullets-one"/>
      </w:pPr>
      <w:r w:rsidRPr="006C312D">
        <w:t>Noise buffers</w:t>
      </w:r>
    </w:p>
    <w:p w14:paraId="2718D7E9" w14:textId="77777777" w:rsidR="0087034C" w:rsidRPr="006C312D" w:rsidRDefault="0087034C" w:rsidP="0087034C">
      <w:pPr>
        <w:pStyle w:val="bullets-one"/>
      </w:pPr>
      <w:r w:rsidRPr="006C312D">
        <w:t>Read aloud (items)</w:t>
      </w:r>
    </w:p>
    <w:p w14:paraId="7F1FD118" w14:textId="77777777" w:rsidR="0087034C" w:rsidRPr="006C312D" w:rsidRDefault="0087034C" w:rsidP="0087034C">
      <w:pPr>
        <w:pStyle w:val="bullets-one"/>
      </w:pPr>
      <w:r w:rsidRPr="006C312D">
        <w:t>Scribe (nonwriting items)</w:t>
      </w:r>
    </w:p>
    <w:p w14:paraId="02A5828E" w14:textId="77777777" w:rsidR="0087034C" w:rsidRPr="006C312D" w:rsidRDefault="0087034C" w:rsidP="0087034C">
      <w:pPr>
        <w:pStyle w:val="bullets-one"/>
      </w:pPr>
      <w:r w:rsidRPr="006C312D">
        <w:t>Separate setting (special lighting or acoustics, adaptive furniture, time of day)</w:t>
      </w:r>
    </w:p>
    <w:p w14:paraId="38A1D647" w14:textId="77777777" w:rsidR="00D843F5" w:rsidRPr="006C312D" w:rsidRDefault="00D843F5" w:rsidP="007F1751">
      <w:pPr>
        <w:pStyle w:val="Heading5"/>
      </w:pPr>
      <w:r w:rsidRPr="006C312D">
        <w:t>Accommodations</w:t>
      </w:r>
    </w:p>
    <w:p w14:paraId="33A631AB" w14:textId="77777777" w:rsidR="00D843F5" w:rsidRPr="006C312D" w:rsidRDefault="00D843F5" w:rsidP="00D843F5">
      <w:r w:rsidRPr="006C312D">
        <w:t>Accommodations are changes in procedures or materials that increase equitable access during the CAASPP assessments. Assessment accommodations generate valid assessment results for students who need them; they allow these students to show what they know and can do. Accommodations do not compromise the learning expectations, construct, grade-level standard, or intended outcome of the assessments.</w:t>
      </w:r>
    </w:p>
    <w:p w14:paraId="09CC38BA" w14:textId="04C3C45B" w:rsidR="00D843F5" w:rsidRDefault="00D843F5" w:rsidP="00D843F5">
      <w:pPr>
        <w:keepNext/>
      </w:pPr>
      <w:r w:rsidRPr="00402799">
        <w:t xml:space="preserve">The resources </w:t>
      </w:r>
      <w:r>
        <w:t xml:space="preserve">in the following subsections </w:t>
      </w:r>
      <w:r w:rsidRPr="00402799">
        <w:t xml:space="preserve">were </w:t>
      </w:r>
      <w:r>
        <w:t>available</w:t>
      </w:r>
      <w:r w:rsidRPr="00402799">
        <w:t xml:space="preserve"> in the </w:t>
      </w:r>
      <w:r>
        <w:t>2019–2020 CAA for Science</w:t>
      </w:r>
      <w:r w:rsidRPr="00402799">
        <w:t xml:space="preserve"> administration.</w:t>
      </w:r>
      <w:r>
        <w:t xml:space="preserve"> Note there were no embedded accommodations for the CAA for Science.</w:t>
      </w:r>
    </w:p>
    <w:p w14:paraId="7AA8F59C" w14:textId="77777777" w:rsidR="00D843F5" w:rsidRDefault="00D843F5" w:rsidP="00D843F5">
      <w:pPr>
        <w:pStyle w:val="Heading6"/>
        <w:numPr>
          <w:ilvl w:val="4"/>
          <w:numId w:val="98"/>
        </w:numPr>
      </w:pPr>
      <w:r>
        <w:t>Non-e</w:t>
      </w:r>
      <w:r w:rsidRPr="00A822CA">
        <w:t>mbedded</w:t>
      </w:r>
    </w:p>
    <w:p w14:paraId="30B947F5" w14:textId="53AC3B2F" w:rsidR="00D843F5" w:rsidRDefault="00D843F5" w:rsidP="00D843F5">
      <w:pPr>
        <w:pStyle w:val="bullets-one"/>
        <w:numPr>
          <w:ilvl w:val="0"/>
          <w:numId w:val="96"/>
        </w:numPr>
        <w:ind w:left="864" w:hanging="288"/>
      </w:pPr>
      <w:r>
        <w:t>Abacus</w:t>
      </w:r>
    </w:p>
    <w:p w14:paraId="4F0A3F4B" w14:textId="77777777" w:rsidR="00D843F5" w:rsidRDefault="00D843F5" w:rsidP="00D843F5">
      <w:pPr>
        <w:pStyle w:val="bullets-one"/>
        <w:numPr>
          <w:ilvl w:val="0"/>
          <w:numId w:val="96"/>
        </w:numPr>
        <w:ind w:left="864" w:hanging="288"/>
      </w:pPr>
      <w:r>
        <w:t>Additional instructions supports and resources for alternate assessments</w:t>
      </w:r>
    </w:p>
    <w:p w14:paraId="572B106A" w14:textId="77777777" w:rsidR="00D843F5" w:rsidRDefault="00D843F5" w:rsidP="00D843F5">
      <w:pPr>
        <w:pStyle w:val="bullets-one"/>
        <w:numPr>
          <w:ilvl w:val="0"/>
          <w:numId w:val="96"/>
        </w:numPr>
        <w:ind w:left="864" w:hanging="288"/>
      </w:pPr>
      <w:r w:rsidRPr="006C312D">
        <w:t>Alternate response options</w:t>
      </w:r>
    </w:p>
    <w:p w14:paraId="63966990" w14:textId="77777777" w:rsidR="00D843F5" w:rsidRPr="006C312D" w:rsidRDefault="00D843F5" w:rsidP="00D843F5">
      <w:pPr>
        <w:pStyle w:val="bullets-one"/>
        <w:numPr>
          <w:ilvl w:val="0"/>
          <w:numId w:val="96"/>
        </w:numPr>
        <w:ind w:left="864" w:hanging="288"/>
      </w:pPr>
      <w:r w:rsidRPr="006C312D">
        <w:t>Print on demand</w:t>
      </w:r>
    </w:p>
    <w:p w14:paraId="77CB857D" w14:textId="77777777" w:rsidR="00D843F5" w:rsidRDefault="00D843F5" w:rsidP="00D843F5">
      <w:pPr>
        <w:pStyle w:val="bullets-one"/>
        <w:numPr>
          <w:ilvl w:val="0"/>
          <w:numId w:val="96"/>
        </w:numPr>
        <w:ind w:left="864" w:hanging="288"/>
      </w:pPr>
      <w:r>
        <w:t>Word prediction</w:t>
      </w:r>
    </w:p>
    <w:p w14:paraId="5AD0C7E3" w14:textId="77777777" w:rsidR="0087034C" w:rsidRDefault="0087034C" w:rsidP="00E65E57">
      <w:pPr>
        <w:pStyle w:val="Heading4"/>
        <w:keepLines/>
      </w:pPr>
      <w:bookmarkStart w:id="486" w:name="_Toc182555194"/>
      <w:r>
        <w:t>Identification</w:t>
      </w:r>
      <w:bookmarkEnd w:id="486"/>
    </w:p>
    <w:p w14:paraId="16914195" w14:textId="72F30864" w:rsidR="0087034C" w:rsidRPr="00BA7EB0" w:rsidRDefault="0087034C" w:rsidP="00E65E57">
      <w:pPr>
        <w:keepNext/>
        <w:keepLines/>
      </w:pPr>
      <w:bookmarkStart w:id="487" w:name="_Hlk67397327"/>
      <w:r>
        <w:t xml:space="preserve">All public </w:t>
      </w:r>
      <w:r w:rsidRPr="00596FBE">
        <w:t>school students participate in the CAASPP System, including students with disabilities and English learner</w:t>
      </w:r>
      <w:r w:rsidR="00E65E57">
        <w:t xml:space="preserve"> </w:t>
      </w:r>
      <w:r w:rsidRPr="00596FBE">
        <w:t>s</w:t>
      </w:r>
      <w:r w:rsidR="00E65E57">
        <w:t>tudents</w:t>
      </w:r>
      <w:r w:rsidRPr="00596FBE">
        <w:t xml:space="preserve">. The </w:t>
      </w:r>
      <w:r w:rsidRPr="007F1751">
        <w:rPr>
          <w:i/>
        </w:rPr>
        <w:t xml:space="preserve">Smarter Balanced Assessment </w:t>
      </w:r>
      <w:r w:rsidRPr="007F1751">
        <w:rPr>
          <w:i/>
          <w:iCs/>
        </w:rPr>
        <w:t>Consortium</w:t>
      </w:r>
      <w:r w:rsidR="000E4C58" w:rsidRPr="007F1751">
        <w:rPr>
          <w:i/>
          <w:iCs/>
        </w:rPr>
        <w:t>:</w:t>
      </w:r>
      <w:r w:rsidRPr="00596FBE">
        <w:t xml:space="preserve"> </w:t>
      </w:r>
      <w:r w:rsidRPr="00596FBE">
        <w:rPr>
          <w:i/>
        </w:rPr>
        <w:t>Usability, Accessibility, and Accommodations Guidelines</w:t>
      </w:r>
      <w:r w:rsidRPr="00596FBE">
        <w:t xml:space="preserve"> (Smarter Balanced, 20</w:t>
      </w:r>
      <w:r w:rsidR="00721B49">
        <w:t>20</w:t>
      </w:r>
      <w:r w:rsidRPr="00596FBE">
        <w:t>) and the CDE’s Matrix One (CDE, 201</w:t>
      </w:r>
      <w:r>
        <w:t>9d</w:t>
      </w:r>
      <w:r w:rsidRPr="00596FBE">
        <w:t>) are intended for school-level personnel and IEP and Section 504 plan teams to select and administer the appropriate universal tools, designated supports, and accommodations as deemed necessary for individual students.</w:t>
      </w:r>
      <w:r w:rsidR="004F364C">
        <w:rPr>
          <w:rStyle w:val="FootnoteReference"/>
        </w:rPr>
        <w:footnoteReference w:id="8"/>
      </w:r>
      <w:r w:rsidRPr="00B91880">
        <w:t xml:space="preserve"> The </w:t>
      </w:r>
      <w:r w:rsidRPr="00BA7EB0">
        <w:t>CAA</w:t>
      </w:r>
      <w:r w:rsidR="00BA7EB0">
        <w:t xml:space="preserve"> </w:t>
      </w:r>
      <w:r w:rsidRPr="00BA7EB0">
        <w:t xml:space="preserve">for </w:t>
      </w:r>
      <w:r w:rsidR="00BA7EB0">
        <w:t xml:space="preserve">Science assessments </w:t>
      </w:r>
      <w:r w:rsidRPr="00BA7EB0">
        <w:t>follow the Smarter Balanced recommendations for use (Smarter Balanced, 20</w:t>
      </w:r>
      <w:r w:rsidR="00721B49">
        <w:t>20</w:t>
      </w:r>
      <w:r w:rsidRPr="00BA7EB0">
        <w:t>).</w:t>
      </w:r>
    </w:p>
    <w:p w14:paraId="5D8DBD1B" w14:textId="77777777" w:rsidR="0087034C" w:rsidRPr="00BA7EB0" w:rsidRDefault="0087034C" w:rsidP="0087034C">
      <w:r w:rsidRPr="00BA7EB0">
        <w:t xml:space="preserve">The </w:t>
      </w:r>
      <w:r w:rsidRPr="00BA7EB0">
        <w:rPr>
          <w:i/>
        </w:rPr>
        <w:t>Guidelines</w:t>
      </w:r>
      <w:r w:rsidRPr="00BA7EB0">
        <w:t xml:space="preserve"> apply to all students and promote an individualized approach to the implementation of assessment practices. Another web document, the </w:t>
      </w:r>
      <w:r w:rsidRPr="00BA7EB0">
        <w:rPr>
          <w:i/>
        </w:rPr>
        <w:t xml:space="preserve">Smarter Balanced </w:t>
      </w:r>
      <w:r w:rsidRPr="00BA7EB0">
        <w:rPr>
          <w:i/>
        </w:rPr>
        <w:lastRenderedPageBreak/>
        <w:t xml:space="preserve">Resources and Practices Comparison Crosswalk </w:t>
      </w:r>
      <w:r w:rsidRPr="00BA7EB0">
        <w:t xml:space="preserve">(Smarter Balanced, 2018), connects the assessment resources described in the </w:t>
      </w:r>
      <w:r w:rsidRPr="00BA7EB0">
        <w:rPr>
          <w:i/>
        </w:rPr>
        <w:t>Guidelines</w:t>
      </w:r>
      <w:r w:rsidRPr="00BA7EB0">
        <w:t xml:space="preserve"> with associated classroom practices.</w:t>
      </w:r>
    </w:p>
    <w:p w14:paraId="219C95B1" w14:textId="301092C3" w:rsidR="0087034C" w:rsidRPr="00596FBE" w:rsidRDefault="0087034C" w:rsidP="0087034C">
      <w:r w:rsidRPr="00BA7EB0">
        <w:t xml:space="preserve">Another manual, the </w:t>
      </w:r>
      <w:r w:rsidRPr="00BA7EB0">
        <w:rPr>
          <w:i/>
        </w:rPr>
        <w:t>Smarter Balanced Usability, Accessibility, and Accommodations Implementation Guide</w:t>
      </w:r>
      <w:r w:rsidRPr="00BA7EB0">
        <w:t xml:space="preserve"> (Smarter Balanced, 2014),</w:t>
      </w:r>
      <w:r w:rsidRPr="00BA7EB0">
        <w:rPr>
          <w:i/>
        </w:rPr>
        <w:t xml:space="preserve"> </w:t>
      </w:r>
      <w:r w:rsidRPr="00BA7EB0">
        <w:t>provides suggestions for implementation of these resources. Test administrators are given the opportunity to participate in the CAA</w:t>
      </w:r>
      <w:r w:rsidR="00BA7EB0">
        <w:t xml:space="preserve"> </w:t>
      </w:r>
      <w:r w:rsidRPr="00BA7EB0">
        <w:t xml:space="preserve">for </w:t>
      </w:r>
      <w:r w:rsidR="00BA7EB0">
        <w:t xml:space="preserve">Science </w:t>
      </w:r>
      <w:r w:rsidRPr="00BA7EB0">
        <w:t>practice and training tests so that students have the opportunity to familiarize themselves with a designated support</w:t>
      </w:r>
      <w:r w:rsidRPr="00596FBE">
        <w:t xml:space="preserve"> or accommodation prior to testing.</w:t>
      </w:r>
    </w:p>
    <w:p w14:paraId="0F277BD3" w14:textId="77777777" w:rsidR="0087034C" w:rsidRDefault="0087034C" w:rsidP="0087034C">
      <w:pPr>
        <w:pStyle w:val="Heading4"/>
      </w:pPr>
      <w:bookmarkStart w:id="488" w:name="_Toc182555195"/>
      <w:bookmarkEnd w:id="487"/>
      <w:r>
        <w:t>Assignment</w:t>
      </w:r>
      <w:bookmarkEnd w:id="488"/>
    </w:p>
    <w:p w14:paraId="78C5FCEE" w14:textId="77777777" w:rsidR="0087034C" w:rsidRPr="00596FBE" w:rsidRDefault="0087034C" w:rsidP="0087034C">
      <w:pPr>
        <w:keepLines/>
      </w:pPr>
      <w:r w:rsidRPr="00596FBE">
        <w:t xml:space="preserve">Once the student’s IEP or Section 504 plan team decided which accessibility resource(s) the student </w:t>
      </w:r>
      <w:r>
        <w:t>should</w:t>
      </w:r>
      <w:r w:rsidRPr="00596FBE">
        <w:t xml:space="preserve"> use, LEA CAASPP coordinators and CAASPP test site coordinators use</w:t>
      </w:r>
      <w:r>
        <w:t>d</w:t>
      </w:r>
      <w:r w:rsidRPr="00596FBE">
        <w:t xml:space="preserve"> TOMS to assign designated supports and accommodations to students prior to the start of a test session.</w:t>
      </w:r>
    </w:p>
    <w:p w14:paraId="5E8527E7" w14:textId="77777777" w:rsidR="0087034C" w:rsidRPr="00596FBE" w:rsidRDefault="0087034C" w:rsidP="0087034C">
      <w:r w:rsidRPr="00596FBE">
        <w:t xml:space="preserve">There are three ways the student’s accessibility resource(s) </w:t>
      </w:r>
      <w:r>
        <w:t>could</w:t>
      </w:r>
      <w:r w:rsidRPr="00596FBE">
        <w:t xml:space="preserve"> be assigned:</w:t>
      </w:r>
    </w:p>
    <w:p w14:paraId="3558A30F" w14:textId="579E5FC6" w:rsidR="0087034C" w:rsidRPr="00596FBE" w:rsidRDefault="0087034C" w:rsidP="0087034C">
      <w:pPr>
        <w:pStyle w:val="Numbered"/>
        <w:keepNext/>
        <w:numPr>
          <w:ilvl w:val="0"/>
          <w:numId w:val="81"/>
        </w:numPr>
        <w:ind w:left="864" w:hanging="288"/>
      </w:pPr>
      <w:r w:rsidRPr="00596FBE">
        <w:t xml:space="preserve">Using the </w:t>
      </w:r>
      <w:r w:rsidR="00D11B19" w:rsidRPr="0045338B">
        <w:t>ISAAP</w:t>
      </w:r>
      <w:r w:rsidRPr="00596FBE">
        <w:t xml:space="preserve"> Tool to identify the accessibility resource(s) and then uploading the spreadsheet it creates into TOMS (This process is discussed in more detail in subsection </w:t>
      </w:r>
      <w:hyperlink w:anchor="_Resources_for_Selection" w:history="1">
        <w:r>
          <w:rPr>
            <w:rStyle w:val="Hyperlink"/>
            <w:i/>
          </w:rPr>
          <w:t>2.5</w:t>
        </w:r>
        <w:r w:rsidRPr="00F71C8E">
          <w:rPr>
            <w:rStyle w:val="Hyperlink"/>
            <w:i/>
          </w:rPr>
          <w:t>.</w:t>
        </w:r>
        <w:r>
          <w:rPr>
            <w:rStyle w:val="Hyperlink"/>
            <w:i/>
          </w:rPr>
          <w:t>1.</w:t>
        </w:r>
        <w:r w:rsidRPr="00F71C8E">
          <w:rPr>
            <w:rStyle w:val="Hyperlink"/>
            <w:i/>
          </w:rPr>
          <w:t>1 Resources for Selection of Accessibility Resources</w:t>
        </w:r>
      </w:hyperlink>
      <w:r w:rsidRPr="00596FBE">
        <w:t>.)</w:t>
      </w:r>
    </w:p>
    <w:p w14:paraId="24743DA2" w14:textId="77777777" w:rsidR="0087034C" w:rsidRPr="00596FBE" w:rsidRDefault="0087034C" w:rsidP="0087034C">
      <w:pPr>
        <w:pStyle w:val="Numbered"/>
        <w:keepNext/>
        <w:numPr>
          <w:ilvl w:val="0"/>
          <w:numId w:val="81"/>
        </w:numPr>
        <w:ind w:left="864" w:hanging="288"/>
      </w:pPr>
      <w:r w:rsidRPr="00596FBE">
        <w:t>Using the Online Student Test Settings template to enter students’ assignments and then uploading the spreadsheet into TOMS</w:t>
      </w:r>
    </w:p>
    <w:p w14:paraId="1A6D38C2" w14:textId="77777777" w:rsidR="0087034C" w:rsidRPr="00596FBE" w:rsidRDefault="0087034C" w:rsidP="0087034C">
      <w:pPr>
        <w:pStyle w:val="Numbered"/>
        <w:numPr>
          <w:ilvl w:val="0"/>
          <w:numId w:val="81"/>
        </w:numPr>
        <w:ind w:left="864" w:hanging="288"/>
      </w:pPr>
      <w:r w:rsidRPr="00596FBE">
        <w:t>Entering assignments for each student individually in TOMS</w:t>
      </w:r>
    </w:p>
    <w:p w14:paraId="6B273A33" w14:textId="04687EDE" w:rsidR="0087034C" w:rsidRDefault="0087034C" w:rsidP="0087034C">
      <w:r w:rsidRPr="00596FBE">
        <w:rPr>
          <w:bCs/>
        </w:rPr>
        <w:t>If a student’s IEP or Section 504 plan team identifie</w:t>
      </w:r>
      <w:r>
        <w:rPr>
          <w:bCs/>
        </w:rPr>
        <w:t>d</w:t>
      </w:r>
      <w:r w:rsidRPr="00596FBE">
        <w:rPr>
          <w:bCs/>
        </w:rPr>
        <w:t xml:space="preserve"> and designate</w:t>
      </w:r>
      <w:r>
        <w:rPr>
          <w:bCs/>
        </w:rPr>
        <w:t>d</w:t>
      </w:r>
      <w:r w:rsidRPr="00596FBE">
        <w:rPr>
          <w:bCs/>
        </w:rPr>
        <w:t xml:space="preserve"> a resource not identified in </w:t>
      </w:r>
      <w:r w:rsidR="00BE56D4">
        <w:rPr>
          <w:bCs/>
        </w:rPr>
        <w:t>an accessibility matrix</w:t>
      </w:r>
      <w:r w:rsidRPr="00596FBE">
        <w:rPr>
          <w:bCs/>
        </w:rPr>
        <w:t>, the LEA CAASPP coordinator or CAASPP test site coordinator need</w:t>
      </w:r>
      <w:r>
        <w:rPr>
          <w:bCs/>
        </w:rPr>
        <w:t>ed</w:t>
      </w:r>
      <w:r w:rsidRPr="00596FBE">
        <w:rPr>
          <w:bCs/>
        </w:rPr>
        <w:t xml:space="preserve"> to submit a request for an unlisted resource to be approved by the CDE. The CDE then determine</w:t>
      </w:r>
      <w:r>
        <w:rPr>
          <w:bCs/>
        </w:rPr>
        <w:t>d</w:t>
      </w:r>
      <w:r w:rsidRPr="00596FBE">
        <w:rPr>
          <w:bCs/>
        </w:rPr>
        <w:t xml:space="preserve"> </w:t>
      </w:r>
      <w:r>
        <w:rPr>
          <w:bCs/>
        </w:rPr>
        <w:t>whether</w:t>
      </w:r>
      <w:r w:rsidRPr="00596FBE">
        <w:rPr>
          <w:bCs/>
        </w:rPr>
        <w:t xml:space="preserve"> the requested unlisted</w:t>
      </w:r>
      <w:r w:rsidRPr="00596FBE">
        <w:t xml:space="preserve"> resource change</w:t>
      </w:r>
      <w:r>
        <w:t>d</w:t>
      </w:r>
      <w:r w:rsidRPr="00596FBE">
        <w:t xml:space="preserve"> the construct being measured after all testing </w:t>
      </w:r>
      <w:r w:rsidR="00BE56D4">
        <w:t>was</w:t>
      </w:r>
      <w:r w:rsidRPr="00596FBE">
        <w:t xml:space="preserve"> completed.</w:t>
      </w:r>
    </w:p>
    <w:p w14:paraId="5AF09A8E" w14:textId="77777777" w:rsidR="0087034C" w:rsidRDefault="0087034C" w:rsidP="0087034C">
      <w:pPr>
        <w:pStyle w:val="Heading4"/>
      </w:pPr>
      <w:bookmarkStart w:id="489" w:name="_Toc182555196"/>
      <w:r>
        <w:t>Accommodation Usage</w:t>
      </w:r>
      <w:bookmarkEnd w:id="489"/>
    </w:p>
    <w:p w14:paraId="5B66264E" w14:textId="36AB6352" w:rsidR="0087034C" w:rsidRDefault="0087034C" w:rsidP="0087034C">
      <w:pPr>
        <w:rPr>
          <w:lang w:eastAsia="zh-CN"/>
        </w:rPr>
      </w:pPr>
      <w:r w:rsidRPr="00992B82">
        <w:rPr>
          <w:lang w:eastAsia="zh-CN"/>
        </w:rPr>
        <w:t>After schools and LEAs assign</w:t>
      </w:r>
      <w:r w:rsidR="00BE56D4">
        <w:rPr>
          <w:lang w:eastAsia="zh-CN"/>
        </w:rPr>
        <w:t>ed</w:t>
      </w:r>
      <w:r w:rsidRPr="00992B82">
        <w:rPr>
          <w:lang w:eastAsia="zh-CN"/>
        </w:rPr>
        <w:t xml:space="preserve"> eligible students to accommodations or</w:t>
      </w:r>
      <w:r>
        <w:rPr>
          <w:lang w:eastAsia="zh-CN"/>
        </w:rPr>
        <w:t xml:space="preserve"> designated supports, </w:t>
      </w:r>
      <w:r w:rsidR="00420BF5">
        <w:rPr>
          <w:lang w:eastAsia="zh-CN"/>
        </w:rPr>
        <w:t xml:space="preserve">CAI’s </w:t>
      </w:r>
      <w:r>
        <w:rPr>
          <w:lang w:eastAsia="zh-CN"/>
        </w:rPr>
        <w:t>TDS provide</w:t>
      </w:r>
      <w:r w:rsidR="00BE56D4">
        <w:rPr>
          <w:lang w:eastAsia="zh-CN"/>
        </w:rPr>
        <w:t>d</w:t>
      </w:r>
      <w:r>
        <w:rPr>
          <w:lang w:eastAsia="zh-CN"/>
        </w:rPr>
        <w:t xml:space="preserve"> and </w:t>
      </w:r>
      <w:r w:rsidRPr="00992B82">
        <w:rPr>
          <w:lang w:eastAsia="zh-CN"/>
        </w:rPr>
        <w:t>capture</w:t>
      </w:r>
      <w:r w:rsidR="00BE56D4">
        <w:rPr>
          <w:lang w:eastAsia="zh-CN"/>
        </w:rPr>
        <w:t>d</w:t>
      </w:r>
      <w:r w:rsidRPr="00992B82">
        <w:rPr>
          <w:lang w:eastAsia="zh-CN"/>
        </w:rPr>
        <w:t xml:space="preserve"> whether a </w:t>
      </w:r>
      <w:r>
        <w:rPr>
          <w:lang w:eastAsia="zh-CN"/>
        </w:rPr>
        <w:t xml:space="preserve">certain accommodation or designated support </w:t>
      </w:r>
      <w:r w:rsidRPr="00992B82">
        <w:rPr>
          <w:lang w:eastAsia="zh-CN"/>
        </w:rPr>
        <w:t>(or multiple</w:t>
      </w:r>
      <w:r w:rsidR="00185681">
        <w:rPr>
          <w:lang w:eastAsia="zh-CN"/>
        </w:rPr>
        <w:t xml:space="preserve"> </w:t>
      </w:r>
      <w:r w:rsidRPr="00992B82">
        <w:rPr>
          <w:lang w:eastAsia="zh-CN"/>
        </w:rPr>
        <w:t>accommodations or</w:t>
      </w:r>
      <w:r w:rsidR="00185681">
        <w:rPr>
          <w:lang w:eastAsia="zh-CN"/>
        </w:rPr>
        <w:t xml:space="preserve"> </w:t>
      </w:r>
      <w:r w:rsidR="00BE56D4">
        <w:rPr>
          <w:lang w:eastAsia="zh-CN"/>
        </w:rPr>
        <w:t xml:space="preserve">designated </w:t>
      </w:r>
      <w:r w:rsidRPr="00992B82">
        <w:rPr>
          <w:lang w:eastAsia="zh-CN"/>
        </w:rPr>
        <w:t xml:space="preserve">supports) </w:t>
      </w:r>
      <w:r w:rsidR="00BE56D4">
        <w:rPr>
          <w:lang w:eastAsia="zh-CN"/>
        </w:rPr>
        <w:t>was</w:t>
      </w:r>
      <w:r>
        <w:rPr>
          <w:lang w:eastAsia="zh-CN"/>
        </w:rPr>
        <w:t xml:space="preserve"> used by a student as the student</w:t>
      </w:r>
      <w:r w:rsidRPr="00992B82">
        <w:rPr>
          <w:lang w:eastAsia="zh-CN"/>
        </w:rPr>
        <w:t xml:space="preserve"> progresse</w:t>
      </w:r>
      <w:r w:rsidR="00BE56D4">
        <w:rPr>
          <w:lang w:eastAsia="zh-CN"/>
        </w:rPr>
        <w:t>d</w:t>
      </w:r>
      <w:r>
        <w:rPr>
          <w:lang w:eastAsia="zh-CN"/>
        </w:rPr>
        <w:t xml:space="preserve"> through the test.</w:t>
      </w:r>
    </w:p>
    <w:p w14:paraId="60848EAF" w14:textId="4D9F1D9C" w:rsidR="00C31B59" w:rsidRDefault="00FB21A7" w:rsidP="00C013D4">
      <w:pPr>
        <w:keepNext/>
        <w:keepLines/>
        <w:rPr>
          <w:lang w:eastAsia="zh-CN"/>
        </w:rPr>
      </w:pPr>
      <w:r w:rsidRPr="007C431E">
        <w:rPr>
          <w:rStyle w:val="Cross-Reference"/>
        </w:rPr>
        <w:lastRenderedPageBreak/>
        <w:fldChar w:fldCharType="begin"/>
      </w:r>
      <w:r w:rsidRPr="007C431E">
        <w:rPr>
          <w:rStyle w:val="Cross-Reference"/>
        </w:rPr>
        <w:instrText xml:space="preserve"> REF _Ref60739870 \h </w:instrText>
      </w:r>
      <w:r w:rsidR="00B329F1" w:rsidRPr="007C431E">
        <w:rPr>
          <w:rStyle w:val="Cross-Reference"/>
        </w:rPr>
        <w:instrText xml:space="preserve"> \* MERGEFORMAT </w:instrText>
      </w:r>
      <w:r w:rsidRPr="007C431E">
        <w:rPr>
          <w:rStyle w:val="Cross-Reference"/>
        </w:rPr>
      </w:r>
      <w:r w:rsidRPr="007C431E">
        <w:rPr>
          <w:rStyle w:val="Cross-Reference"/>
        </w:rPr>
        <w:fldChar w:fldCharType="separate"/>
      </w:r>
      <w:r w:rsidR="00BA03D5" w:rsidRPr="00BA03D5">
        <w:rPr>
          <w:rStyle w:val="Cross-Reference"/>
        </w:rPr>
        <w:t>Table 5.7</w:t>
      </w:r>
      <w:r w:rsidRPr="007C431E">
        <w:rPr>
          <w:rStyle w:val="Cross-Reference"/>
        </w:rPr>
        <w:fldChar w:fldCharType="end"/>
      </w:r>
      <w:r w:rsidR="0087034C" w:rsidRPr="00992B82">
        <w:rPr>
          <w:lang w:eastAsia="zh-CN"/>
        </w:rPr>
        <w:t xml:space="preserve"> </w:t>
      </w:r>
      <w:r>
        <w:rPr>
          <w:lang w:eastAsia="zh-CN"/>
        </w:rPr>
        <w:t xml:space="preserve">through </w:t>
      </w:r>
      <w:r w:rsidR="00B329F1" w:rsidRPr="007C431E">
        <w:rPr>
          <w:rStyle w:val="Cross-Reference"/>
        </w:rPr>
        <w:fldChar w:fldCharType="begin"/>
      </w:r>
      <w:r w:rsidR="00B329F1" w:rsidRPr="007C431E">
        <w:rPr>
          <w:rStyle w:val="Cross-Reference"/>
        </w:rPr>
        <w:instrText xml:space="preserve"> REF  _Ref67051725 \* Lower \h  \* MERGEFORMAT </w:instrText>
      </w:r>
      <w:r w:rsidR="00B329F1" w:rsidRPr="007C431E">
        <w:rPr>
          <w:rStyle w:val="Cross-Reference"/>
        </w:rPr>
      </w:r>
      <w:r w:rsidR="00B329F1" w:rsidRPr="007C431E">
        <w:rPr>
          <w:rStyle w:val="Cross-Reference"/>
        </w:rPr>
        <w:fldChar w:fldCharType="separate"/>
      </w:r>
      <w:r w:rsidR="00BA03D5" w:rsidRPr="00BA03D5">
        <w:rPr>
          <w:rStyle w:val="Cross-Reference"/>
        </w:rPr>
        <w:t>table 5.9</w:t>
      </w:r>
      <w:r w:rsidR="00B329F1" w:rsidRPr="007C431E">
        <w:rPr>
          <w:rStyle w:val="Cross-Reference"/>
        </w:rPr>
        <w:fldChar w:fldCharType="end"/>
      </w:r>
      <w:r>
        <w:rPr>
          <w:lang w:eastAsia="zh-CN"/>
        </w:rPr>
        <w:t xml:space="preserve"> r</w:t>
      </w:r>
      <w:r w:rsidR="0087034C" w:rsidRPr="00992B82">
        <w:rPr>
          <w:lang w:eastAsia="zh-CN"/>
        </w:rPr>
        <w:t xml:space="preserve">eport </w:t>
      </w:r>
      <w:r w:rsidR="00C31B59">
        <w:rPr>
          <w:lang w:eastAsia="zh-CN"/>
        </w:rPr>
        <w:t xml:space="preserve">the </w:t>
      </w:r>
      <w:r w:rsidR="0087034C" w:rsidRPr="00992B82">
        <w:rPr>
          <w:lang w:eastAsia="zh-CN"/>
        </w:rPr>
        <w:t>number of students who</w:t>
      </w:r>
      <w:r w:rsidR="00C31B59">
        <w:rPr>
          <w:lang w:eastAsia="zh-CN"/>
        </w:rPr>
        <w:t>,</w:t>
      </w:r>
      <w:r w:rsidR="00C31B59" w:rsidRPr="00C31B59">
        <w:rPr>
          <w:lang w:eastAsia="zh-CN"/>
        </w:rPr>
        <w:t xml:space="preserve"> </w:t>
      </w:r>
      <w:r w:rsidR="00C31B59" w:rsidRPr="00992B82">
        <w:rPr>
          <w:lang w:eastAsia="zh-CN"/>
        </w:rPr>
        <w:t>based on the availab</w:t>
      </w:r>
      <w:r w:rsidR="00C31B59">
        <w:rPr>
          <w:lang w:eastAsia="zh-CN"/>
        </w:rPr>
        <w:t>ility of data,</w:t>
      </w:r>
      <w:r w:rsidR="00BE56D4">
        <w:rPr>
          <w:lang w:eastAsia="zh-CN"/>
        </w:rPr>
        <w:t xml:space="preserve"> were</w:t>
      </w:r>
      <w:r w:rsidR="0087034C" w:rsidRPr="00992B82">
        <w:rPr>
          <w:lang w:eastAsia="zh-CN"/>
        </w:rPr>
        <w:t xml:space="preserve"> assigned to a certain accommodation or designated sup</w:t>
      </w:r>
      <w:r w:rsidR="0087034C">
        <w:rPr>
          <w:lang w:eastAsia="zh-CN"/>
        </w:rPr>
        <w:t>port</w:t>
      </w:r>
      <w:r w:rsidR="00C31B59">
        <w:rPr>
          <w:lang w:eastAsia="zh-CN"/>
        </w:rPr>
        <w:t xml:space="preserve"> and</w:t>
      </w:r>
      <w:r w:rsidR="0087034C">
        <w:rPr>
          <w:lang w:eastAsia="zh-CN"/>
        </w:rPr>
        <w:t xml:space="preserve"> </w:t>
      </w:r>
      <w:r w:rsidR="0087034C" w:rsidRPr="00992B82">
        <w:rPr>
          <w:lang w:eastAsia="zh-CN"/>
        </w:rPr>
        <w:t>actually u</w:t>
      </w:r>
      <w:r w:rsidR="0087034C">
        <w:rPr>
          <w:lang w:eastAsia="zh-CN"/>
        </w:rPr>
        <w:t xml:space="preserve">sed </w:t>
      </w:r>
      <w:r w:rsidR="0087034C" w:rsidRPr="00992B82">
        <w:rPr>
          <w:lang w:eastAsia="zh-CN"/>
        </w:rPr>
        <w:t>this accommodation or designated support</w:t>
      </w:r>
      <w:r w:rsidR="0087034C">
        <w:rPr>
          <w:lang w:eastAsia="zh-CN"/>
        </w:rPr>
        <w:t>.</w:t>
      </w:r>
    </w:p>
    <w:p w14:paraId="78D86DAD" w14:textId="7D725406" w:rsidR="0087034C" w:rsidRDefault="0087034C" w:rsidP="00C013D4">
      <w:pPr>
        <w:keepNext/>
        <w:keepLines/>
        <w:rPr>
          <w:lang w:eastAsia="zh-CN"/>
        </w:rPr>
      </w:pPr>
      <w:r>
        <w:rPr>
          <w:lang w:eastAsia="zh-CN"/>
        </w:rPr>
        <w:t xml:space="preserve">Types of </w:t>
      </w:r>
      <w:r w:rsidR="00C31B59" w:rsidRPr="00124D70">
        <w:rPr>
          <w:rFonts w:eastAsia="Arial"/>
        </w:rPr>
        <w:t xml:space="preserve">accommodations and designated supports—labeled “ACC” and “DS” in the </w:t>
      </w:r>
      <w:r w:rsidR="00C31B59" w:rsidRPr="00124D70">
        <w:rPr>
          <w:rFonts w:eastAsia="Arial"/>
          <w:i/>
          <w:iCs/>
        </w:rPr>
        <w:t xml:space="preserve">Resource Type </w:t>
      </w:r>
      <w:r w:rsidR="00C31B59" w:rsidRPr="00124D70">
        <w:rPr>
          <w:rFonts w:eastAsia="Arial"/>
        </w:rPr>
        <w:t>column—</w:t>
      </w:r>
      <w:r w:rsidRPr="00992B82">
        <w:rPr>
          <w:lang w:eastAsia="zh-CN"/>
        </w:rPr>
        <w:t xml:space="preserve">included in </w:t>
      </w:r>
      <w:r w:rsidR="00F26B46" w:rsidRPr="007C431E">
        <w:rPr>
          <w:rStyle w:val="Cross-Reference"/>
        </w:rPr>
        <w:fldChar w:fldCharType="begin"/>
      </w:r>
      <w:r w:rsidR="00F26B46" w:rsidRPr="007C431E">
        <w:rPr>
          <w:rStyle w:val="Cross-Reference"/>
        </w:rPr>
        <w:instrText xml:space="preserve"> REF  _Ref60739870 \* Lower \h  \* MERGEFORMAT </w:instrText>
      </w:r>
      <w:r w:rsidR="00F26B46" w:rsidRPr="007C431E">
        <w:rPr>
          <w:rStyle w:val="Cross-Reference"/>
        </w:rPr>
      </w:r>
      <w:r w:rsidR="00F26B46" w:rsidRPr="007C431E">
        <w:rPr>
          <w:rStyle w:val="Cross-Reference"/>
        </w:rPr>
        <w:fldChar w:fldCharType="separate"/>
      </w:r>
      <w:r w:rsidR="00BA03D5" w:rsidRPr="00BA03D5">
        <w:rPr>
          <w:rStyle w:val="Cross-Reference"/>
        </w:rPr>
        <w:t>table 5.7</w:t>
      </w:r>
      <w:r w:rsidR="00F26B46" w:rsidRPr="007C431E">
        <w:rPr>
          <w:rStyle w:val="Cross-Reference"/>
        </w:rPr>
        <w:fldChar w:fldCharType="end"/>
      </w:r>
      <w:r w:rsidR="004C4473">
        <w:rPr>
          <w:lang w:eastAsia="zh-CN"/>
        </w:rPr>
        <w:t xml:space="preserve"> through </w:t>
      </w:r>
      <w:r w:rsidR="00F26B46" w:rsidRPr="007C431E">
        <w:rPr>
          <w:rStyle w:val="Cross-Reference"/>
        </w:rPr>
        <w:fldChar w:fldCharType="begin"/>
      </w:r>
      <w:r w:rsidR="00F26B46" w:rsidRPr="007C431E">
        <w:rPr>
          <w:rStyle w:val="Cross-Reference"/>
        </w:rPr>
        <w:instrText xml:space="preserve"> REF  _Ref67051725 \* Lower \h  \* MERGEFORMAT </w:instrText>
      </w:r>
      <w:r w:rsidR="00F26B46" w:rsidRPr="007C431E">
        <w:rPr>
          <w:rStyle w:val="Cross-Reference"/>
        </w:rPr>
      </w:r>
      <w:r w:rsidR="00F26B46" w:rsidRPr="007C431E">
        <w:rPr>
          <w:rStyle w:val="Cross-Reference"/>
        </w:rPr>
        <w:fldChar w:fldCharType="separate"/>
      </w:r>
      <w:r w:rsidR="00BA03D5" w:rsidRPr="00BA03D5">
        <w:rPr>
          <w:rStyle w:val="Cross-Reference"/>
        </w:rPr>
        <w:t>table 5.9</w:t>
      </w:r>
      <w:r w:rsidR="00F26B46" w:rsidRPr="007C431E">
        <w:rPr>
          <w:rStyle w:val="Cross-Reference"/>
        </w:rPr>
        <w:fldChar w:fldCharType="end"/>
      </w:r>
      <w:r w:rsidRPr="00992B82">
        <w:rPr>
          <w:lang w:eastAsia="zh-CN"/>
        </w:rPr>
        <w:t xml:space="preserve"> a</w:t>
      </w:r>
      <w:r>
        <w:rPr>
          <w:lang w:eastAsia="zh-CN"/>
        </w:rPr>
        <w:t xml:space="preserve">re listed </w:t>
      </w:r>
      <w:r w:rsidR="004D7294">
        <w:rPr>
          <w:lang w:eastAsia="zh-CN"/>
        </w:rPr>
        <w:t>as follows:</w:t>
      </w:r>
    </w:p>
    <w:p w14:paraId="32F1E68B" w14:textId="5FE50BB8" w:rsidR="0087034C" w:rsidRPr="00992B82" w:rsidRDefault="0087034C" w:rsidP="00C013D4">
      <w:pPr>
        <w:pStyle w:val="bullets"/>
        <w:keepNext/>
        <w:keepLines/>
        <w:rPr>
          <w:lang w:eastAsia="zh-CN"/>
        </w:rPr>
      </w:pPr>
      <w:r w:rsidRPr="002D2902">
        <w:rPr>
          <w:b/>
          <w:bCs/>
          <w:lang w:eastAsia="zh-CN"/>
        </w:rPr>
        <w:t xml:space="preserve">Print on </w:t>
      </w:r>
      <w:r w:rsidR="003731BA" w:rsidRPr="002D2902">
        <w:rPr>
          <w:b/>
          <w:bCs/>
          <w:lang w:eastAsia="zh-CN"/>
        </w:rPr>
        <w:t>Demand</w:t>
      </w:r>
      <w:r w:rsidRPr="002D2902">
        <w:rPr>
          <w:b/>
          <w:bCs/>
          <w:lang w:eastAsia="zh-CN"/>
        </w:rPr>
        <w:t>:</w:t>
      </w:r>
      <w:r w:rsidR="00284503">
        <w:rPr>
          <w:lang w:eastAsia="zh-CN"/>
        </w:rPr>
        <w:t xml:space="preserve"> </w:t>
      </w:r>
      <w:r w:rsidRPr="00992B82">
        <w:rPr>
          <w:lang w:eastAsia="zh-CN"/>
        </w:rPr>
        <w:t>Paper copies of passages</w:t>
      </w:r>
      <w:r w:rsidR="00C31B59">
        <w:rPr>
          <w:lang w:eastAsia="zh-CN"/>
        </w:rPr>
        <w:t xml:space="preserve"> and </w:t>
      </w:r>
      <w:r w:rsidRPr="00992B82">
        <w:rPr>
          <w:lang w:eastAsia="zh-CN"/>
        </w:rPr>
        <w:t>stimuli</w:t>
      </w:r>
      <w:r w:rsidR="00C31B59">
        <w:rPr>
          <w:lang w:eastAsia="zh-CN"/>
        </w:rPr>
        <w:t>,</w:t>
      </w:r>
      <w:r w:rsidRPr="00992B82">
        <w:rPr>
          <w:lang w:eastAsia="zh-CN"/>
        </w:rPr>
        <w:t xml:space="preserve"> items</w:t>
      </w:r>
      <w:r w:rsidR="00C31B59">
        <w:rPr>
          <w:lang w:eastAsia="zh-CN"/>
        </w:rPr>
        <w:t>, or all of these</w:t>
      </w:r>
      <w:r w:rsidRPr="00992B82">
        <w:rPr>
          <w:lang w:eastAsia="zh-CN"/>
        </w:rPr>
        <w:t xml:space="preserve"> are printed for students.</w:t>
      </w:r>
    </w:p>
    <w:p w14:paraId="0526433C" w14:textId="7C50C5EA" w:rsidR="0087034C" w:rsidRDefault="0087034C" w:rsidP="00C013D4">
      <w:pPr>
        <w:pStyle w:val="bullets"/>
        <w:keepNext/>
        <w:keepLines/>
        <w:rPr>
          <w:lang w:eastAsia="zh-CN"/>
        </w:rPr>
      </w:pPr>
      <w:r w:rsidRPr="002D2902">
        <w:rPr>
          <w:b/>
          <w:bCs/>
          <w:lang w:eastAsia="zh-CN"/>
        </w:rPr>
        <w:t>Masking:</w:t>
      </w:r>
      <w:r w:rsidR="00284503">
        <w:rPr>
          <w:lang w:eastAsia="zh-CN"/>
        </w:rPr>
        <w:t xml:space="preserve"> </w:t>
      </w:r>
      <w:r w:rsidR="00C31B59">
        <w:rPr>
          <w:lang w:eastAsia="zh-CN"/>
        </w:rPr>
        <w:t>This resource i</w:t>
      </w:r>
      <w:r w:rsidRPr="00992B82">
        <w:rPr>
          <w:lang w:eastAsia="zh-CN"/>
        </w:rPr>
        <w:t>nvolves blocking off content that is not of immediate need or that may be distracting to the student.</w:t>
      </w:r>
    </w:p>
    <w:p w14:paraId="41C59FD0" w14:textId="49E6AFB0" w:rsidR="004D7294" w:rsidRDefault="004F11C7" w:rsidP="00C013D4">
      <w:pPr>
        <w:keepNext/>
        <w:keepLines/>
        <w:rPr>
          <w:lang w:eastAsia="zh-CN"/>
        </w:rPr>
      </w:pPr>
      <w:r>
        <w:rPr>
          <w:lang w:eastAsia="zh-CN"/>
        </w:rPr>
        <w:t>T</w:t>
      </w:r>
      <w:r w:rsidR="004D7294">
        <w:rPr>
          <w:lang w:eastAsia="zh-CN"/>
        </w:rPr>
        <w:t xml:space="preserve">he other types of </w:t>
      </w:r>
      <w:r w:rsidR="004D7294" w:rsidRPr="00124D70">
        <w:rPr>
          <w:rFonts w:eastAsia="Arial"/>
        </w:rPr>
        <w:t>accommodations</w:t>
      </w:r>
      <w:r w:rsidR="004D7294">
        <w:rPr>
          <w:lang w:eastAsia="zh-CN"/>
        </w:rPr>
        <w:t xml:space="preserve"> and </w:t>
      </w:r>
      <w:r w:rsidR="004D7294" w:rsidRPr="00124D70">
        <w:rPr>
          <w:rFonts w:eastAsia="Arial"/>
        </w:rPr>
        <w:t>designated supports</w:t>
      </w:r>
      <w:r w:rsidR="004D7294">
        <w:rPr>
          <w:lang w:eastAsia="zh-CN"/>
        </w:rPr>
        <w:t xml:space="preserve"> were not used during the </w:t>
      </w:r>
      <w:r w:rsidR="004D7294" w:rsidRPr="00C34C12">
        <w:t>201</w:t>
      </w:r>
      <w:r w:rsidR="004D7294">
        <w:t>9</w:t>
      </w:r>
      <w:r w:rsidR="004D7294" w:rsidRPr="00C34C12">
        <w:t>–20</w:t>
      </w:r>
      <w:r w:rsidR="004D7294">
        <w:t>20 CAA for Science administration and, therefore, are not included</w:t>
      </w:r>
      <w:r>
        <w:rPr>
          <w:lang w:eastAsia="zh-CN"/>
        </w:rPr>
        <w:t xml:space="preserve"> in these tables.</w:t>
      </w:r>
    </w:p>
    <w:p w14:paraId="0588359F" w14:textId="26F495D8" w:rsidR="0062337F" w:rsidRDefault="0062337F" w:rsidP="0062337F">
      <w:pPr>
        <w:rPr>
          <w:lang w:eastAsia="zh-CN"/>
        </w:rPr>
      </w:pPr>
      <w:r>
        <w:rPr>
          <w:lang w:eastAsia="zh-CN"/>
        </w:rPr>
        <w:t>Note that for</w:t>
      </w:r>
      <w:r w:rsidRPr="00C013D4">
        <w:rPr>
          <w:b/>
          <w:bCs/>
          <w:lang w:eastAsia="zh-CN"/>
        </w:rPr>
        <w:t xml:space="preserve"> </w:t>
      </w:r>
      <w:r w:rsidRPr="007C431E">
        <w:rPr>
          <w:rStyle w:val="Cross-Reference"/>
        </w:rPr>
        <w:fldChar w:fldCharType="begin"/>
      </w:r>
      <w:r w:rsidRPr="007C431E">
        <w:rPr>
          <w:rStyle w:val="Cross-Reference"/>
        </w:rPr>
        <w:instrText xml:space="preserve"> REF  _Ref60739870 \* Lower \h  \* MERGEFORMAT </w:instrText>
      </w:r>
      <w:r w:rsidRPr="007C431E">
        <w:rPr>
          <w:rStyle w:val="Cross-Reference"/>
        </w:rPr>
      </w:r>
      <w:r w:rsidRPr="007C431E">
        <w:rPr>
          <w:rStyle w:val="Cross-Reference"/>
        </w:rPr>
        <w:fldChar w:fldCharType="separate"/>
      </w:r>
      <w:r w:rsidRPr="00BA03D5">
        <w:rPr>
          <w:rStyle w:val="Cross-Reference"/>
        </w:rPr>
        <w:t>table 5.7</w:t>
      </w:r>
      <w:r w:rsidRPr="007C431E">
        <w:rPr>
          <w:rStyle w:val="Cross-Reference"/>
        </w:rPr>
        <w:fldChar w:fldCharType="end"/>
      </w:r>
      <w:r>
        <w:rPr>
          <w:lang w:eastAsia="zh-CN"/>
        </w:rPr>
        <w:t xml:space="preserve"> through </w:t>
      </w:r>
      <w:r w:rsidRPr="007C431E">
        <w:rPr>
          <w:rStyle w:val="Cross-Reference"/>
        </w:rPr>
        <w:fldChar w:fldCharType="begin"/>
      </w:r>
      <w:r w:rsidRPr="007C431E">
        <w:rPr>
          <w:rStyle w:val="Cross-Reference"/>
        </w:rPr>
        <w:instrText xml:space="preserve"> REF  _Ref67051725 \* Lower \h  \* MERGEFORMAT </w:instrText>
      </w:r>
      <w:r w:rsidRPr="007C431E">
        <w:rPr>
          <w:rStyle w:val="Cross-Reference"/>
        </w:rPr>
      </w:r>
      <w:r w:rsidRPr="007C431E">
        <w:rPr>
          <w:rStyle w:val="Cross-Reference"/>
        </w:rPr>
        <w:fldChar w:fldCharType="separate"/>
      </w:r>
      <w:r w:rsidRPr="00BA03D5">
        <w:rPr>
          <w:rStyle w:val="Cross-Reference"/>
        </w:rPr>
        <w:t>table 5.9</w:t>
      </w:r>
      <w:r w:rsidRPr="007C431E">
        <w:rPr>
          <w:rStyle w:val="Cross-Reference"/>
        </w:rPr>
        <w:fldChar w:fldCharType="end"/>
      </w:r>
      <w:r>
        <w:rPr>
          <w:lang w:eastAsia="zh-CN"/>
        </w:rPr>
        <w:t>, ESS = Earth and Space Sciences, PS = Physical Sciences, and LS = Life Sciences.</w:t>
      </w:r>
    </w:p>
    <w:p w14:paraId="3A6E3A9A" w14:textId="32D67125" w:rsidR="00DD70AE" w:rsidRDefault="00DD70AE" w:rsidP="00DD70AE">
      <w:pPr>
        <w:pStyle w:val="Caption"/>
      </w:pPr>
      <w:bookmarkStart w:id="490" w:name="_Ref60739870"/>
      <w:bookmarkStart w:id="491" w:name="_Toc60837141"/>
      <w:bookmarkStart w:id="492" w:name="_Toc67319698"/>
      <w:bookmarkStart w:id="493" w:name="_Toc220498702"/>
      <w:r>
        <w:t xml:space="preserve">Table </w:t>
      </w:r>
      <w:r>
        <w:fldChar w:fldCharType="begin"/>
      </w:r>
      <w:r>
        <w:instrText>STYLEREF 2 \s</w:instrText>
      </w:r>
      <w:r>
        <w:fldChar w:fldCharType="separate"/>
      </w:r>
      <w:r w:rsidR="00961502">
        <w:rPr>
          <w:noProof/>
        </w:rPr>
        <w:t>5</w:t>
      </w:r>
      <w:r>
        <w:fldChar w:fldCharType="end"/>
      </w:r>
      <w:r>
        <w:t>.</w:t>
      </w:r>
      <w:r>
        <w:fldChar w:fldCharType="begin"/>
      </w:r>
      <w:r>
        <w:instrText>SEQ Table \* ARABIC \s 2</w:instrText>
      </w:r>
      <w:r>
        <w:fldChar w:fldCharType="separate"/>
      </w:r>
      <w:r w:rsidR="00961502">
        <w:rPr>
          <w:noProof/>
        </w:rPr>
        <w:t>7</w:t>
      </w:r>
      <w:r>
        <w:fldChar w:fldCharType="end"/>
      </w:r>
      <w:bookmarkEnd w:id="490"/>
      <w:r>
        <w:t xml:space="preserve">  </w:t>
      </w:r>
      <w:r w:rsidRPr="00992B82">
        <w:rPr>
          <w:lang w:eastAsia="zh-CN"/>
        </w:rPr>
        <w:t>Summary of</w:t>
      </w:r>
      <w:r w:rsidR="00DA7BE6">
        <w:rPr>
          <w:lang w:eastAsia="zh-CN"/>
        </w:rPr>
        <w:t xml:space="preserve"> </w:t>
      </w:r>
      <w:r w:rsidRPr="00992B82">
        <w:rPr>
          <w:lang w:eastAsia="zh-CN"/>
        </w:rPr>
        <w:t>Accommodations and Designated Supports Used by Students</w:t>
      </w:r>
      <w:r>
        <w:rPr>
          <w:lang w:eastAsia="zh-CN"/>
        </w:rPr>
        <w:t xml:space="preserve">, </w:t>
      </w:r>
      <w:bookmarkEnd w:id="491"/>
      <w:r>
        <w:rPr>
          <w:lang w:eastAsia="zh-CN"/>
        </w:rPr>
        <w:t>Grade</w:t>
      </w:r>
      <w:r w:rsidR="00423D3A">
        <w:rPr>
          <w:lang w:eastAsia="zh-CN"/>
        </w:rPr>
        <w:t> </w:t>
      </w:r>
      <w:r>
        <w:rPr>
          <w:lang w:eastAsia="zh-CN"/>
        </w:rPr>
        <w:t>Five</w:t>
      </w:r>
      <w:bookmarkEnd w:id="492"/>
      <w:bookmarkEnd w:id="493"/>
    </w:p>
    <w:tbl>
      <w:tblPr>
        <w:tblStyle w:val="TRs"/>
        <w:tblW w:w="9720" w:type="dxa"/>
        <w:tblLayout w:type="fixed"/>
        <w:tblLook w:val="04A0" w:firstRow="1" w:lastRow="0" w:firstColumn="1" w:lastColumn="0" w:noHBand="0" w:noVBand="1"/>
        <w:tblDescription w:val="Summary of Accommodations and Designated Supports Used by Students, Grade Five"/>
      </w:tblPr>
      <w:tblGrid>
        <w:gridCol w:w="4536"/>
        <w:gridCol w:w="864"/>
        <w:gridCol w:w="864"/>
        <w:gridCol w:w="864"/>
        <w:gridCol w:w="864"/>
        <w:gridCol w:w="864"/>
        <w:gridCol w:w="864"/>
      </w:tblGrid>
      <w:tr w:rsidR="00DD70AE" w:rsidRPr="00992B82" w14:paraId="57FB360A" w14:textId="77777777" w:rsidTr="00BF353A">
        <w:trPr>
          <w:cnfStyle w:val="100000000000" w:firstRow="1" w:lastRow="0" w:firstColumn="0" w:lastColumn="0" w:oddVBand="0" w:evenVBand="0" w:oddHBand="0" w:evenHBand="0" w:firstRowFirstColumn="0" w:firstRowLastColumn="0" w:lastRowFirstColumn="0" w:lastRowLastColumn="0"/>
          <w:trHeight w:val="3024"/>
        </w:trPr>
        <w:tc>
          <w:tcPr>
            <w:tcW w:w="4536" w:type="dxa"/>
            <w:hideMark/>
          </w:tcPr>
          <w:p w14:paraId="31CAEC28" w14:textId="0890B8B1" w:rsidR="00DD70AE" w:rsidRPr="00992B82" w:rsidRDefault="00B329F1" w:rsidP="00BF353A">
            <w:pPr>
              <w:pStyle w:val="TableHead"/>
              <w:rPr>
                <w:rFonts w:ascii="Times New Roman" w:hAnsi="Times New Roman" w:cs="Times New Roman"/>
                <w:color w:val="000000"/>
                <w:lang w:eastAsia="zh-CN"/>
              </w:rPr>
            </w:pPr>
            <w:r>
              <w:rPr>
                <w:lang w:eastAsia="zh-CN"/>
              </w:rPr>
              <w:t>Resource Type</w:t>
            </w:r>
          </w:p>
        </w:tc>
        <w:tc>
          <w:tcPr>
            <w:tcW w:w="864" w:type="dxa"/>
            <w:textDirection w:val="btLr"/>
            <w:hideMark/>
          </w:tcPr>
          <w:p w14:paraId="50D27593" w14:textId="657EC7F3" w:rsidR="00DD70AE" w:rsidRPr="00992B82" w:rsidRDefault="00DD70AE" w:rsidP="00DD70AE">
            <w:pPr>
              <w:pStyle w:val="TableHead"/>
              <w:ind w:left="72" w:right="72"/>
              <w:jc w:val="left"/>
              <w:rPr>
                <w:rFonts w:ascii="Times New Roman" w:hAnsi="Times New Roman" w:cs="Times New Roman"/>
                <w:color w:val="000000"/>
                <w:lang w:eastAsia="zh-CN"/>
              </w:rPr>
            </w:pPr>
            <w:r w:rsidRPr="00992B82">
              <w:rPr>
                <w:lang w:eastAsia="zh-CN"/>
              </w:rPr>
              <w:t xml:space="preserve"># </w:t>
            </w:r>
            <w:r w:rsidR="00A238D7">
              <w:rPr>
                <w:lang w:eastAsia="zh-CN"/>
              </w:rPr>
              <w:t xml:space="preserve">of </w:t>
            </w:r>
            <w:r w:rsidRPr="00992B82">
              <w:rPr>
                <w:lang w:eastAsia="zh-CN"/>
              </w:rPr>
              <w:t xml:space="preserve">Students Assigned </w:t>
            </w:r>
            <w:r w:rsidR="006F03A4">
              <w:rPr>
                <w:lang w:eastAsia="zh-CN"/>
              </w:rPr>
              <w:t xml:space="preserve">an </w:t>
            </w:r>
            <w:r w:rsidRPr="00992B82">
              <w:rPr>
                <w:lang w:eastAsia="zh-CN"/>
              </w:rPr>
              <w:t>ACC or DS</w:t>
            </w:r>
            <w:r>
              <w:rPr>
                <w:lang w:eastAsia="zh-CN"/>
              </w:rPr>
              <w:t xml:space="preserve"> for ESS</w:t>
            </w:r>
          </w:p>
        </w:tc>
        <w:tc>
          <w:tcPr>
            <w:tcW w:w="864" w:type="dxa"/>
            <w:textDirection w:val="btLr"/>
            <w:hideMark/>
          </w:tcPr>
          <w:p w14:paraId="34F56756" w14:textId="21A2222D" w:rsidR="00DD70AE" w:rsidRPr="00992B82" w:rsidRDefault="00DD70AE" w:rsidP="00DD70AE">
            <w:pPr>
              <w:pStyle w:val="TableHead"/>
              <w:ind w:left="72" w:right="72"/>
              <w:jc w:val="left"/>
              <w:rPr>
                <w:rFonts w:ascii="Times New Roman" w:hAnsi="Times New Roman" w:cs="Times New Roman"/>
                <w:color w:val="000000"/>
                <w:lang w:eastAsia="zh-CN"/>
              </w:rPr>
            </w:pPr>
            <w:r w:rsidRPr="00992B82">
              <w:rPr>
                <w:lang w:eastAsia="zh-CN"/>
              </w:rPr>
              <w:t xml:space="preserve"># </w:t>
            </w:r>
            <w:r w:rsidR="00A238D7">
              <w:rPr>
                <w:lang w:eastAsia="zh-CN"/>
              </w:rPr>
              <w:t xml:space="preserve">of </w:t>
            </w:r>
            <w:r w:rsidRPr="00992B82">
              <w:rPr>
                <w:lang w:eastAsia="zh-CN"/>
              </w:rPr>
              <w:t xml:space="preserve">Students </w:t>
            </w:r>
            <w:r w:rsidR="004B51E8">
              <w:rPr>
                <w:lang w:eastAsia="zh-CN"/>
              </w:rPr>
              <w:t>Who</w:t>
            </w:r>
            <w:r w:rsidR="00A238D7">
              <w:rPr>
                <w:lang w:eastAsia="zh-CN"/>
              </w:rPr>
              <w:t xml:space="preserve"> </w:t>
            </w:r>
            <w:r w:rsidRPr="00992B82">
              <w:rPr>
                <w:lang w:eastAsia="zh-CN"/>
              </w:rPr>
              <w:t xml:space="preserve">Used </w:t>
            </w:r>
            <w:r w:rsidR="006F03A4">
              <w:rPr>
                <w:lang w:eastAsia="zh-CN"/>
              </w:rPr>
              <w:t xml:space="preserve">an </w:t>
            </w:r>
            <w:r w:rsidRPr="00992B82">
              <w:rPr>
                <w:lang w:eastAsia="zh-CN"/>
              </w:rPr>
              <w:t>ACC or DS</w:t>
            </w:r>
            <w:r>
              <w:rPr>
                <w:lang w:eastAsia="zh-CN"/>
              </w:rPr>
              <w:t xml:space="preserve"> for ESS</w:t>
            </w:r>
          </w:p>
        </w:tc>
        <w:tc>
          <w:tcPr>
            <w:tcW w:w="864" w:type="dxa"/>
            <w:textDirection w:val="btLr"/>
            <w:hideMark/>
          </w:tcPr>
          <w:p w14:paraId="458A2D67" w14:textId="4896F6A9" w:rsidR="00DD70AE" w:rsidRPr="00992B82" w:rsidRDefault="00DD70AE" w:rsidP="00DD70AE">
            <w:pPr>
              <w:pStyle w:val="TableHead"/>
              <w:ind w:left="72" w:right="72"/>
              <w:jc w:val="left"/>
              <w:rPr>
                <w:rFonts w:ascii="Times New Roman" w:hAnsi="Times New Roman" w:cs="Times New Roman"/>
                <w:color w:val="000000"/>
                <w:lang w:eastAsia="zh-CN"/>
              </w:rPr>
            </w:pPr>
            <w:r w:rsidRPr="00992B82">
              <w:rPr>
                <w:lang w:eastAsia="zh-CN"/>
              </w:rPr>
              <w:t xml:space="preserve">% </w:t>
            </w:r>
            <w:r w:rsidR="00A238D7">
              <w:rPr>
                <w:lang w:eastAsia="zh-CN"/>
              </w:rPr>
              <w:t xml:space="preserve">of </w:t>
            </w:r>
            <w:r w:rsidRPr="00992B82">
              <w:rPr>
                <w:lang w:eastAsia="zh-CN"/>
              </w:rPr>
              <w:t xml:space="preserve">Students Assigned </w:t>
            </w:r>
            <w:r w:rsidR="006F03A4">
              <w:rPr>
                <w:lang w:eastAsia="zh-CN"/>
              </w:rPr>
              <w:t xml:space="preserve">an </w:t>
            </w:r>
            <w:r w:rsidRPr="00992B82">
              <w:rPr>
                <w:lang w:eastAsia="zh-CN"/>
              </w:rPr>
              <w:t>ACC or DS</w:t>
            </w:r>
            <w:r>
              <w:rPr>
                <w:lang w:eastAsia="zh-CN"/>
              </w:rPr>
              <w:t xml:space="preserve"> for PS</w:t>
            </w:r>
          </w:p>
        </w:tc>
        <w:tc>
          <w:tcPr>
            <w:tcW w:w="864" w:type="dxa"/>
            <w:textDirection w:val="btLr"/>
            <w:hideMark/>
          </w:tcPr>
          <w:p w14:paraId="60FC961E" w14:textId="2527BB7D" w:rsidR="00DD70AE" w:rsidRPr="00992B82" w:rsidRDefault="00DD70AE" w:rsidP="00DD70AE">
            <w:pPr>
              <w:pStyle w:val="TableHead"/>
              <w:ind w:left="72" w:right="72"/>
              <w:jc w:val="left"/>
              <w:rPr>
                <w:rFonts w:ascii="Times New Roman" w:hAnsi="Times New Roman" w:cs="Times New Roman"/>
                <w:color w:val="000000"/>
                <w:lang w:eastAsia="zh-CN"/>
              </w:rPr>
            </w:pPr>
            <w:r w:rsidRPr="00992B82">
              <w:rPr>
                <w:lang w:eastAsia="zh-CN"/>
              </w:rPr>
              <w:t xml:space="preserve">% </w:t>
            </w:r>
            <w:r w:rsidR="00A238D7">
              <w:rPr>
                <w:lang w:eastAsia="zh-CN"/>
              </w:rPr>
              <w:t xml:space="preserve">of </w:t>
            </w:r>
            <w:r w:rsidRPr="00992B82">
              <w:rPr>
                <w:lang w:eastAsia="zh-CN"/>
              </w:rPr>
              <w:t xml:space="preserve">Students </w:t>
            </w:r>
            <w:r w:rsidR="004B51E8">
              <w:rPr>
                <w:lang w:eastAsia="zh-CN"/>
              </w:rPr>
              <w:t>Who</w:t>
            </w:r>
            <w:r w:rsidR="00A238D7">
              <w:rPr>
                <w:lang w:eastAsia="zh-CN"/>
              </w:rPr>
              <w:t xml:space="preserve"> </w:t>
            </w:r>
            <w:r w:rsidRPr="00992B82">
              <w:rPr>
                <w:lang w:eastAsia="zh-CN"/>
              </w:rPr>
              <w:t xml:space="preserve">Used </w:t>
            </w:r>
            <w:r w:rsidR="006F03A4">
              <w:rPr>
                <w:lang w:eastAsia="zh-CN"/>
              </w:rPr>
              <w:t xml:space="preserve">an </w:t>
            </w:r>
            <w:r w:rsidRPr="00992B82">
              <w:rPr>
                <w:lang w:eastAsia="zh-CN"/>
              </w:rPr>
              <w:t>ACC or DS</w:t>
            </w:r>
            <w:r>
              <w:rPr>
                <w:lang w:eastAsia="zh-CN"/>
              </w:rPr>
              <w:t xml:space="preserve"> for PS</w:t>
            </w:r>
          </w:p>
        </w:tc>
        <w:tc>
          <w:tcPr>
            <w:tcW w:w="864" w:type="dxa"/>
            <w:textDirection w:val="btLr"/>
            <w:hideMark/>
          </w:tcPr>
          <w:p w14:paraId="5517E499" w14:textId="0A38CF7C" w:rsidR="00DD70AE" w:rsidRPr="00992B82" w:rsidRDefault="00DD70AE" w:rsidP="00DD70AE">
            <w:pPr>
              <w:pStyle w:val="TableHead"/>
              <w:ind w:left="72" w:right="72"/>
              <w:jc w:val="left"/>
              <w:rPr>
                <w:rFonts w:ascii="Times New Roman" w:hAnsi="Times New Roman" w:cs="Times New Roman"/>
                <w:color w:val="000000"/>
                <w:lang w:eastAsia="zh-CN"/>
              </w:rPr>
            </w:pPr>
            <w:r>
              <w:rPr>
                <w:lang w:eastAsia="zh-CN"/>
              </w:rPr>
              <w:t>%</w:t>
            </w:r>
            <w:r w:rsidRPr="00992B82">
              <w:rPr>
                <w:lang w:eastAsia="zh-CN"/>
              </w:rPr>
              <w:t xml:space="preserve"> </w:t>
            </w:r>
            <w:r w:rsidR="00A238D7">
              <w:rPr>
                <w:lang w:eastAsia="zh-CN"/>
              </w:rPr>
              <w:t xml:space="preserve">of </w:t>
            </w:r>
            <w:r w:rsidRPr="00992B82">
              <w:rPr>
                <w:lang w:eastAsia="zh-CN"/>
              </w:rPr>
              <w:t xml:space="preserve">Students Assigned </w:t>
            </w:r>
            <w:r w:rsidR="006F03A4">
              <w:rPr>
                <w:lang w:eastAsia="zh-CN"/>
              </w:rPr>
              <w:t xml:space="preserve">an </w:t>
            </w:r>
            <w:r w:rsidRPr="00992B82">
              <w:rPr>
                <w:lang w:eastAsia="zh-CN"/>
              </w:rPr>
              <w:t>ACC or DS</w:t>
            </w:r>
            <w:r>
              <w:rPr>
                <w:lang w:eastAsia="zh-CN"/>
              </w:rPr>
              <w:t xml:space="preserve"> for LS</w:t>
            </w:r>
          </w:p>
        </w:tc>
        <w:tc>
          <w:tcPr>
            <w:tcW w:w="864" w:type="dxa"/>
            <w:textDirection w:val="btLr"/>
          </w:tcPr>
          <w:p w14:paraId="10A9AA69" w14:textId="0DDCCA3C" w:rsidR="00DD70AE" w:rsidRPr="00992B82" w:rsidRDefault="00DD70AE" w:rsidP="00DD70AE">
            <w:pPr>
              <w:pStyle w:val="TableHead"/>
              <w:ind w:left="72" w:right="72"/>
              <w:jc w:val="left"/>
              <w:rPr>
                <w:lang w:eastAsia="zh-CN"/>
              </w:rPr>
            </w:pPr>
            <w:r w:rsidRPr="00992B82">
              <w:rPr>
                <w:lang w:eastAsia="zh-CN"/>
              </w:rPr>
              <w:t xml:space="preserve">% </w:t>
            </w:r>
            <w:r w:rsidR="00A238D7">
              <w:rPr>
                <w:lang w:eastAsia="zh-CN"/>
              </w:rPr>
              <w:t xml:space="preserve">of </w:t>
            </w:r>
            <w:r w:rsidRPr="00992B82">
              <w:rPr>
                <w:lang w:eastAsia="zh-CN"/>
              </w:rPr>
              <w:t xml:space="preserve">Students </w:t>
            </w:r>
            <w:r w:rsidR="004B51E8">
              <w:rPr>
                <w:lang w:eastAsia="zh-CN"/>
              </w:rPr>
              <w:t>Who</w:t>
            </w:r>
            <w:r w:rsidR="00A238D7">
              <w:rPr>
                <w:lang w:eastAsia="zh-CN"/>
              </w:rPr>
              <w:t xml:space="preserve"> </w:t>
            </w:r>
            <w:r w:rsidRPr="00992B82">
              <w:rPr>
                <w:lang w:eastAsia="zh-CN"/>
              </w:rPr>
              <w:t xml:space="preserve">Used </w:t>
            </w:r>
            <w:r w:rsidR="006F03A4">
              <w:rPr>
                <w:lang w:eastAsia="zh-CN"/>
              </w:rPr>
              <w:t xml:space="preserve">an </w:t>
            </w:r>
            <w:r w:rsidRPr="00992B82">
              <w:rPr>
                <w:lang w:eastAsia="zh-CN"/>
              </w:rPr>
              <w:t>ACC or DS</w:t>
            </w:r>
            <w:r>
              <w:rPr>
                <w:lang w:eastAsia="zh-CN"/>
              </w:rPr>
              <w:t xml:space="preserve"> for LS</w:t>
            </w:r>
          </w:p>
        </w:tc>
      </w:tr>
      <w:tr w:rsidR="00DD70AE" w:rsidRPr="00D21B2A" w14:paraId="41D98162" w14:textId="77777777" w:rsidTr="00926C8B">
        <w:trPr>
          <w:trHeight w:val="315"/>
        </w:trPr>
        <w:tc>
          <w:tcPr>
            <w:tcW w:w="4536" w:type="dxa"/>
            <w:tcBorders>
              <w:top w:val="single" w:sz="4" w:space="0" w:color="auto"/>
            </w:tcBorders>
            <w:hideMark/>
          </w:tcPr>
          <w:p w14:paraId="5B550ACD" w14:textId="6247F8A0" w:rsidR="00DD70AE" w:rsidRPr="00D21B2A" w:rsidRDefault="00DD70AE" w:rsidP="00BB1488">
            <w:pPr>
              <w:pStyle w:val="TableText"/>
            </w:pPr>
            <w:r w:rsidRPr="00D21B2A">
              <w:t>ACC</w:t>
            </w:r>
            <w:r w:rsidR="006D3106">
              <w:t>—</w:t>
            </w:r>
            <w:r w:rsidRPr="00D21B2A">
              <w:t>Non-Embedded Print on Demand</w:t>
            </w:r>
          </w:p>
        </w:tc>
        <w:tc>
          <w:tcPr>
            <w:tcW w:w="864" w:type="dxa"/>
            <w:tcBorders>
              <w:top w:val="single" w:sz="4" w:space="0" w:color="auto"/>
            </w:tcBorders>
          </w:tcPr>
          <w:p w14:paraId="688C4D43" w14:textId="77777777" w:rsidR="00DD70AE" w:rsidRPr="00752CAD" w:rsidRDefault="00DD70AE" w:rsidP="00BB1488">
            <w:pPr>
              <w:pStyle w:val="TableText"/>
              <w:rPr>
                <w:szCs w:val="24"/>
              </w:rPr>
            </w:pPr>
            <w:r w:rsidRPr="00BD3E15">
              <w:rPr>
                <w:color w:val="000000"/>
                <w:szCs w:val="24"/>
              </w:rPr>
              <w:t>2</w:t>
            </w:r>
          </w:p>
        </w:tc>
        <w:tc>
          <w:tcPr>
            <w:tcW w:w="864" w:type="dxa"/>
            <w:tcBorders>
              <w:top w:val="single" w:sz="4" w:space="0" w:color="auto"/>
            </w:tcBorders>
          </w:tcPr>
          <w:p w14:paraId="697CE7AB" w14:textId="77777777" w:rsidR="00DD70AE" w:rsidRPr="00752CAD" w:rsidRDefault="00DD70AE" w:rsidP="00BB1488">
            <w:pPr>
              <w:pStyle w:val="TableText"/>
              <w:rPr>
                <w:szCs w:val="24"/>
              </w:rPr>
            </w:pPr>
            <w:r w:rsidRPr="00C82AB3">
              <w:rPr>
                <w:color w:val="000000"/>
                <w:szCs w:val="24"/>
              </w:rPr>
              <w:t>1</w:t>
            </w:r>
          </w:p>
        </w:tc>
        <w:tc>
          <w:tcPr>
            <w:tcW w:w="864" w:type="dxa"/>
            <w:tcBorders>
              <w:top w:val="single" w:sz="4" w:space="0" w:color="auto"/>
            </w:tcBorders>
            <w:hideMark/>
          </w:tcPr>
          <w:p w14:paraId="77D06D46" w14:textId="77777777" w:rsidR="00DD70AE" w:rsidRPr="00752CAD" w:rsidRDefault="00DD70AE" w:rsidP="00BB1488">
            <w:pPr>
              <w:pStyle w:val="TableText"/>
              <w:rPr>
                <w:szCs w:val="24"/>
              </w:rPr>
            </w:pPr>
            <w:r w:rsidRPr="00C82AB3">
              <w:rPr>
                <w:color w:val="000000"/>
                <w:szCs w:val="24"/>
              </w:rPr>
              <w:t>2</w:t>
            </w:r>
          </w:p>
        </w:tc>
        <w:tc>
          <w:tcPr>
            <w:tcW w:w="864" w:type="dxa"/>
            <w:tcBorders>
              <w:top w:val="single" w:sz="4" w:space="0" w:color="auto"/>
            </w:tcBorders>
            <w:hideMark/>
          </w:tcPr>
          <w:p w14:paraId="11FD14B0" w14:textId="77777777" w:rsidR="00DD70AE" w:rsidRPr="00752CAD" w:rsidRDefault="00DD70AE" w:rsidP="00BB1488">
            <w:pPr>
              <w:pStyle w:val="TableText"/>
              <w:rPr>
                <w:szCs w:val="24"/>
              </w:rPr>
            </w:pPr>
            <w:r w:rsidRPr="00BD3E15">
              <w:rPr>
                <w:color w:val="000000"/>
                <w:szCs w:val="24"/>
              </w:rPr>
              <w:t>0</w:t>
            </w:r>
          </w:p>
        </w:tc>
        <w:tc>
          <w:tcPr>
            <w:tcW w:w="864" w:type="dxa"/>
            <w:tcBorders>
              <w:top w:val="single" w:sz="4" w:space="0" w:color="auto"/>
            </w:tcBorders>
            <w:hideMark/>
          </w:tcPr>
          <w:p w14:paraId="350F59F6" w14:textId="77777777" w:rsidR="00DD70AE" w:rsidRPr="00752CAD" w:rsidRDefault="00DD70AE" w:rsidP="00BB1488">
            <w:pPr>
              <w:pStyle w:val="TableText"/>
              <w:rPr>
                <w:szCs w:val="24"/>
              </w:rPr>
            </w:pPr>
            <w:r w:rsidRPr="00C82AB3">
              <w:rPr>
                <w:color w:val="000000"/>
                <w:szCs w:val="24"/>
              </w:rPr>
              <w:t>0</w:t>
            </w:r>
          </w:p>
        </w:tc>
        <w:tc>
          <w:tcPr>
            <w:tcW w:w="864" w:type="dxa"/>
            <w:tcBorders>
              <w:top w:val="single" w:sz="4" w:space="0" w:color="auto"/>
            </w:tcBorders>
          </w:tcPr>
          <w:p w14:paraId="28FB0AC9" w14:textId="77777777" w:rsidR="00DD70AE" w:rsidRPr="00752CAD" w:rsidRDefault="00DD70AE" w:rsidP="00BB1488">
            <w:pPr>
              <w:pStyle w:val="TableText"/>
              <w:rPr>
                <w:szCs w:val="24"/>
              </w:rPr>
            </w:pPr>
            <w:r w:rsidRPr="00BD3E15">
              <w:rPr>
                <w:color w:val="000000"/>
                <w:szCs w:val="24"/>
              </w:rPr>
              <w:t>0</w:t>
            </w:r>
          </w:p>
        </w:tc>
      </w:tr>
      <w:tr w:rsidR="00DD70AE" w:rsidRPr="00D21B2A" w14:paraId="11A99586" w14:textId="77777777" w:rsidTr="00C35970">
        <w:trPr>
          <w:trHeight w:val="315"/>
        </w:trPr>
        <w:tc>
          <w:tcPr>
            <w:tcW w:w="4536" w:type="dxa"/>
            <w:hideMark/>
          </w:tcPr>
          <w:p w14:paraId="50456790" w14:textId="5C6DD46E" w:rsidR="00DD70AE" w:rsidRPr="00D21B2A" w:rsidRDefault="00DD70AE" w:rsidP="00BB1488">
            <w:pPr>
              <w:pStyle w:val="TableText"/>
            </w:pPr>
            <w:r w:rsidRPr="00D21B2A">
              <w:t>DS</w:t>
            </w:r>
            <w:r w:rsidR="006D3106">
              <w:t>—</w:t>
            </w:r>
            <w:r w:rsidRPr="00D21B2A">
              <w:t>Embedded Masking</w:t>
            </w:r>
          </w:p>
        </w:tc>
        <w:tc>
          <w:tcPr>
            <w:tcW w:w="864" w:type="dxa"/>
          </w:tcPr>
          <w:p w14:paraId="11A2ECC9" w14:textId="77777777" w:rsidR="00DD70AE" w:rsidRPr="00752CAD" w:rsidRDefault="00DD70AE" w:rsidP="00BB1488">
            <w:pPr>
              <w:pStyle w:val="TableText"/>
              <w:rPr>
                <w:szCs w:val="24"/>
              </w:rPr>
            </w:pPr>
            <w:r w:rsidRPr="00C82AB3">
              <w:rPr>
                <w:color w:val="000000"/>
                <w:szCs w:val="24"/>
              </w:rPr>
              <w:t>3</w:t>
            </w:r>
          </w:p>
        </w:tc>
        <w:tc>
          <w:tcPr>
            <w:tcW w:w="864" w:type="dxa"/>
          </w:tcPr>
          <w:p w14:paraId="32629CF5" w14:textId="77777777" w:rsidR="00DD70AE" w:rsidRPr="00752CAD" w:rsidRDefault="00DD70AE" w:rsidP="00BB1488">
            <w:pPr>
              <w:pStyle w:val="TableText"/>
              <w:rPr>
                <w:szCs w:val="24"/>
              </w:rPr>
            </w:pPr>
            <w:r w:rsidRPr="00BD3E15">
              <w:rPr>
                <w:color w:val="000000"/>
                <w:szCs w:val="24"/>
              </w:rPr>
              <w:t>0</w:t>
            </w:r>
          </w:p>
        </w:tc>
        <w:tc>
          <w:tcPr>
            <w:tcW w:w="864" w:type="dxa"/>
            <w:hideMark/>
          </w:tcPr>
          <w:p w14:paraId="0C2C36DA" w14:textId="77777777" w:rsidR="00DD70AE" w:rsidRPr="00752CAD" w:rsidRDefault="00DD70AE" w:rsidP="00BB1488">
            <w:pPr>
              <w:pStyle w:val="TableText"/>
              <w:rPr>
                <w:szCs w:val="24"/>
              </w:rPr>
            </w:pPr>
            <w:r w:rsidRPr="00BD3E15">
              <w:rPr>
                <w:color w:val="000000"/>
                <w:szCs w:val="24"/>
              </w:rPr>
              <w:t>17</w:t>
            </w:r>
          </w:p>
        </w:tc>
        <w:tc>
          <w:tcPr>
            <w:tcW w:w="864" w:type="dxa"/>
            <w:hideMark/>
          </w:tcPr>
          <w:p w14:paraId="1741067D" w14:textId="77777777" w:rsidR="00DD70AE" w:rsidRPr="00752CAD" w:rsidRDefault="00DD70AE" w:rsidP="00BB1488">
            <w:pPr>
              <w:pStyle w:val="TableText"/>
              <w:rPr>
                <w:szCs w:val="24"/>
              </w:rPr>
            </w:pPr>
            <w:r w:rsidRPr="00BD3E15">
              <w:rPr>
                <w:color w:val="000000"/>
                <w:szCs w:val="24"/>
              </w:rPr>
              <w:t>1</w:t>
            </w:r>
          </w:p>
        </w:tc>
        <w:tc>
          <w:tcPr>
            <w:tcW w:w="864" w:type="dxa"/>
            <w:hideMark/>
          </w:tcPr>
          <w:p w14:paraId="34A2B337" w14:textId="77777777" w:rsidR="00DD70AE" w:rsidRPr="00752CAD" w:rsidRDefault="00DD70AE" w:rsidP="00BB1488">
            <w:pPr>
              <w:pStyle w:val="TableText"/>
              <w:rPr>
                <w:szCs w:val="24"/>
              </w:rPr>
            </w:pPr>
            <w:r w:rsidRPr="00C82AB3">
              <w:rPr>
                <w:color w:val="000000"/>
                <w:szCs w:val="24"/>
              </w:rPr>
              <w:t>7</w:t>
            </w:r>
          </w:p>
        </w:tc>
        <w:tc>
          <w:tcPr>
            <w:tcW w:w="864" w:type="dxa"/>
          </w:tcPr>
          <w:p w14:paraId="60C21B99" w14:textId="77777777" w:rsidR="00DD70AE" w:rsidRPr="00752CAD" w:rsidRDefault="00DD70AE" w:rsidP="00BB1488">
            <w:pPr>
              <w:pStyle w:val="TableText"/>
              <w:rPr>
                <w:szCs w:val="24"/>
              </w:rPr>
            </w:pPr>
            <w:r w:rsidRPr="00BD3E15">
              <w:rPr>
                <w:color w:val="000000"/>
                <w:szCs w:val="24"/>
              </w:rPr>
              <w:t>0</w:t>
            </w:r>
          </w:p>
        </w:tc>
      </w:tr>
    </w:tbl>
    <w:p w14:paraId="0110028C" w14:textId="3B523114" w:rsidR="00DD70AE" w:rsidRDefault="00DD70AE" w:rsidP="00DD70AE">
      <w:pPr>
        <w:pStyle w:val="Caption"/>
      </w:pPr>
      <w:bookmarkStart w:id="494" w:name="_Toc67319699"/>
      <w:bookmarkStart w:id="495" w:name="_Toc220498703"/>
      <w:r>
        <w:t xml:space="preserve">Table </w:t>
      </w:r>
      <w:r>
        <w:fldChar w:fldCharType="begin"/>
      </w:r>
      <w:r>
        <w:instrText>STYLEREF 2 \s</w:instrText>
      </w:r>
      <w:r>
        <w:fldChar w:fldCharType="separate"/>
      </w:r>
      <w:r w:rsidR="00961502">
        <w:rPr>
          <w:noProof/>
        </w:rPr>
        <w:t>5</w:t>
      </w:r>
      <w:r>
        <w:fldChar w:fldCharType="end"/>
      </w:r>
      <w:r>
        <w:t>.</w:t>
      </w:r>
      <w:r>
        <w:fldChar w:fldCharType="begin"/>
      </w:r>
      <w:r>
        <w:instrText>SEQ Table \* ARABIC \s 2</w:instrText>
      </w:r>
      <w:r>
        <w:fldChar w:fldCharType="separate"/>
      </w:r>
      <w:r w:rsidR="00961502">
        <w:rPr>
          <w:noProof/>
        </w:rPr>
        <w:t>8</w:t>
      </w:r>
      <w:r>
        <w:fldChar w:fldCharType="end"/>
      </w:r>
      <w:r>
        <w:t xml:space="preserve">  </w:t>
      </w:r>
      <w:r w:rsidRPr="00992B82">
        <w:rPr>
          <w:lang w:eastAsia="zh-CN"/>
        </w:rPr>
        <w:t>Summary of Accommodations and Designated Supports Used by Students</w:t>
      </w:r>
      <w:r>
        <w:rPr>
          <w:lang w:eastAsia="zh-CN"/>
        </w:rPr>
        <w:t>, Grade</w:t>
      </w:r>
      <w:r w:rsidR="00423D3A">
        <w:rPr>
          <w:lang w:eastAsia="zh-CN"/>
        </w:rPr>
        <w:t> </w:t>
      </w:r>
      <w:r>
        <w:rPr>
          <w:lang w:eastAsia="zh-CN"/>
        </w:rPr>
        <w:t>Eight</w:t>
      </w:r>
      <w:bookmarkEnd w:id="494"/>
      <w:bookmarkEnd w:id="495"/>
    </w:p>
    <w:tbl>
      <w:tblPr>
        <w:tblStyle w:val="TRs"/>
        <w:tblW w:w="9720" w:type="dxa"/>
        <w:tblLayout w:type="fixed"/>
        <w:tblLook w:val="04A0" w:firstRow="1" w:lastRow="0" w:firstColumn="1" w:lastColumn="0" w:noHBand="0" w:noVBand="1"/>
        <w:tblDescription w:val="Summary of Accommodations and Designated Supports Used by Students, Grade Eight"/>
      </w:tblPr>
      <w:tblGrid>
        <w:gridCol w:w="4536"/>
        <w:gridCol w:w="864"/>
        <w:gridCol w:w="864"/>
        <w:gridCol w:w="864"/>
        <w:gridCol w:w="864"/>
        <w:gridCol w:w="864"/>
        <w:gridCol w:w="864"/>
      </w:tblGrid>
      <w:tr w:rsidR="0038111C" w:rsidRPr="00992B82" w14:paraId="7308A01B" w14:textId="77777777" w:rsidTr="00BF353A">
        <w:trPr>
          <w:cnfStyle w:val="100000000000" w:firstRow="1" w:lastRow="0" w:firstColumn="0" w:lastColumn="0" w:oddVBand="0" w:evenVBand="0" w:oddHBand="0" w:evenHBand="0" w:firstRowFirstColumn="0" w:firstRowLastColumn="0" w:lastRowFirstColumn="0" w:lastRowLastColumn="0"/>
          <w:trHeight w:val="3024"/>
        </w:trPr>
        <w:tc>
          <w:tcPr>
            <w:tcW w:w="4536" w:type="dxa"/>
            <w:hideMark/>
          </w:tcPr>
          <w:p w14:paraId="5E3E5C92" w14:textId="338EC7DF" w:rsidR="00DD70AE" w:rsidRPr="00992B82" w:rsidRDefault="00B329F1" w:rsidP="00BF353A">
            <w:pPr>
              <w:pStyle w:val="TableHead"/>
              <w:rPr>
                <w:rFonts w:ascii="Times New Roman" w:hAnsi="Times New Roman" w:cs="Times New Roman"/>
                <w:color w:val="000000"/>
                <w:lang w:eastAsia="zh-CN"/>
              </w:rPr>
            </w:pPr>
            <w:r>
              <w:rPr>
                <w:lang w:eastAsia="zh-CN"/>
              </w:rPr>
              <w:t>Resource Type</w:t>
            </w:r>
          </w:p>
        </w:tc>
        <w:tc>
          <w:tcPr>
            <w:tcW w:w="864" w:type="dxa"/>
            <w:textDirection w:val="btLr"/>
            <w:hideMark/>
          </w:tcPr>
          <w:p w14:paraId="19723139" w14:textId="3453444D" w:rsidR="00DD70AE" w:rsidRPr="00992B82" w:rsidRDefault="00DD70AE" w:rsidP="00DD70AE">
            <w:pPr>
              <w:pStyle w:val="TableHead"/>
              <w:ind w:left="72" w:right="72"/>
              <w:jc w:val="left"/>
              <w:rPr>
                <w:rFonts w:ascii="Times New Roman" w:hAnsi="Times New Roman" w:cs="Times New Roman"/>
                <w:color w:val="000000"/>
                <w:lang w:eastAsia="zh-CN"/>
              </w:rPr>
            </w:pPr>
            <w:r w:rsidRPr="00992B82">
              <w:rPr>
                <w:lang w:eastAsia="zh-CN"/>
              </w:rPr>
              <w:t xml:space="preserve"># </w:t>
            </w:r>
            <w:r w:rsidR="00A238D7">
              <w:rPr>
                <w:lang w:eastAsia="zh-CN"/>
              </w:rPr>
              <w:t xml:space="preserve">of </w:t>
            </w:r>
            <w:r w:rsidRPr="00992B82">
              <w:rPr>
                <w:lang w:eastAsia="zh-CN"/>
              </w:rPr>
              <w:t xml:space="preserve">Students Assigned </w:t>
            </w:r>
            <w:r w:rsidR="006F03A4">
              <w:rPr>
                <w:lang w:eastAsia="zh-CN"/>
              </w:rPr>
              <w:t xml:space="preserve">an </w:t>
            </w:r>
            <w:r w:rsidRPr="00992B82">
              <w:rPr>
                <w:lang w:eastAsia="zh-CN"/>
              </w:rPr>
              <w:t>ACC or DS</w:t>
            </w:r>
            <w:r>
              <w:rPr>
                <w:lang w:eastAsia="zh-CN"/>
              </w:rPr>
              <w:t xml:space="preserve"> for ESS</w:t>
            </w:r>
          </w:p>
        </w:tc>
        <w:tc>
          <w:tcPr>
            <w:tcW w:w="864" w:type="dxa"/>
            <w:textDirection w:val="btLr"/>
            <w:hideMark/>
          </w:tcPr>
          <w:p w14:paraId="4CD71107" w14:textId="327C1780" w:rsidR="00DD70AE" w:rsidRPr="00992B82" w:rsidRDefault="00DD70AE" w:rsidP="00DD70AE">
            <w:pPr>
              <w:pStyle w:val="TableHead"/>
              <w:ind w:left="72" w:right="72"/>
              <w:jc w:val="left"/>
              <w:rPr>
                <w:rFonts w:ascii="Times New Roman" w:hAnsi="Times New Roman" w:cs="Times New Roman"/>
                <w:color w:val="000000"/>
                <w:lang w:eastAsia="zh-CN"/>
              </w:rPr>
            </w:pPr>
            <w:r w:rsidRPr="00992B82">
              <w:rPr>
                <w:lang w:eastAsia="zh-CN"/>
              </w:rPr>
              <w:t xml:space="preserve"># </w:t>
            </w:r>
            <w:r w:rsidR="00A238D7">
              <w:rPr>
                <w:lang w:eastAsia="zh-CN"/>
              </w:rPr>
              <w:t xml:space="preserve">of </w:t>
            </w:r>
            <w:r w:rsidRPr="00992B82">
              <w:rPr>
                <w:lang w:eastAsia="zh-CN"/>
              </w:rPr>
              <w:t xml:space="preserve">Students </w:t>
            </w:r>
            <w:r w:rsidR="004B51E8">
              <w:rPr>
                <w:lang w:eastAsia="zh-CN"/>
              </w:rPr>
              <w:t>Who</w:t>
            </w:r>
            <w:r w:rsidR="00A238D7">
              <w:rPr>
                <w:lang w:eastAsia="zh-CN"/>
              </w:rPr>
              <w:t xml:space="preserve"> </w:t>
            </w:r>
            <w:r w:rsidRPr="00992B82">
              <w:rPr>
                <w:lang w:eastAsia="zh-CN"/>
              </w:rPr>
              <w:t xml:space="preserve">Used </w:t>
            </w:r>
            <w:r w:rsidR="006F03A4">
              <w:rPr>
                <w:lang w:eastAsia="zh-CN"/>
              </w:rPr>
              <w:t xml:space="preserve">an </w:t>
            </w:r>
            <w:r w:rsidRPr="00992B82">
              <w:rPr>
                <w:lang w:eastAsia="zh-CN"/>
              </w:rPr>
              <w:t>ACC or DS</w:t>
            </w:r>
            <w:r>
              <w:rPr>
                <w:lang w:eastAsia="zh-CN"/>
              </w:rPr>
              <w:t xml:space="preserve"> for ESS</w:t>
            </w:r>
          </w:p>
        </w:tc>
        <w:tc>
          <w:tcPr>
            <w:tcW w:w="864" w:type="dxa"/>
            <w:textDirection w:val="btLr"/>
            <w:hideMark/>
          </w:tcPr>
          <w:p w14:paraId="71B511A8" w14:textId="1871946A" w:rsidR="00DD70AE" w:rsidRPr="00992B82" w:rsidRDefault="00DD70AE" w:rsidP="00DD70AE">
            <w:pPr>
              <w:pStyle w:val="TableHead"/>
              <w:ind w:left="72" w:right="72"/>
              <w:jc w:val="left"/>
              <w:rPr>
                <w:rFonts w:ascii="Times New Roman" w:hAnsi="Times New Roman" w:cs="Times New Roman"/>
                <w:color w:val="000000"/>
                <w:lang w:eastAsia="zh-CN"/>
              </w:rPr>
            </w:pPr>
            <w:r w:rsidRPr="00992B82">
              <w:rPr>
                <w:lang w:eastAsia="zh-CN"/>
              </w:rPr>
              <w:t xml:space="preserve">% </w:t>
            </w:r>
            <w:r w:rsidR="00A238D7">
              <w:rPr>
                <w:lang w:eastAsia="zh-CN"/>
              </w:rPr>
              <w:t xml:space="preserve">of </w:t>
            </w:r>
            <w:r w:rsidRPr="00992B82">
              <w:rPr>
                <w:lang w:eastAsia="zh-CN"/>
              </w:rPr>
              <w:t xml:space="preserve">Students Assigned </w:t>
            </w:r>
            <w:r w:rsidR="006F03A4">
              <w:rPr>
                <w:lang w:eastAsia="zh-CN"/>
              </w:rPr>
              <w:t xml:space="preserve">an </w:t>
            </w:r>
            <w:r w:rsidRPr="00992B82">
              <w:rPr>
                <w:lang w:eastAsia="zh-CN"/>
              </w:rPr>
              <w:t>ACC or DS</w:t>
            </w:r>
            <w:r>
              <w:rPr>
                <w:lang w:eastAsia="zh-CN"/>
              </w:rPr>
              <w:t xml:space="preserve"> for PS</w:t>
            </w:r>
          </w:p>
        </w:tc>
        <w:tc>
          <w:tcPr>
            <w:tcW w:w="864" w:type="dxa"/>
            <w:textDirection w:val="btLr"/>
            <w:hideMark/>
          </w:tcPr>
          <w:p w14:paraId="4A734B3F" w14:textId="0122F7DA" w:rsidR="00DD70AE" w:rsidRPr="00992B82" w:rsidRDefault="00DD70AE" w:rsidP="00DD70AE">
            <w:pPr>
              <w:pStyle w:val="TableHead"/>
              <w:ind w:left="72" w:right="72"/>
              <w:jc w:val="left"/>
              <w:rPr>
                <w:rFonts w:ascii="Times New Roman" w:hAnsi="Times New Roman" w:cs="Times New Roman"/>
                <w:color w:val="000000"/>
                <w:lang w:eastAsia="zh-CN"/>
              </w:rPr>
            </w:pPr>
            <w:r w:rsidRPr="00992B82">
              <w:rPr>
                <w:lang w:eastAsia="zh-CN"/>
              </w:rPr>
              <w:t xml:space="preserve">% </w:t>
            </w:r>
            <w:r w:rsidR="00A238D7">
              <w:rPr>
                <w:lang w:eastAsia="zh-CN"/>
              </w:rPr>
              <w:t xml:space="preserve">of </w:t>
            </w:r>
            <w:r w:rsidRPr="00992B82">
              <w:rPr>
                <w:lang w:eastAsia="zh-CN"/>
              </w:rPr>
              <w:t xml:space="preserve">Students </w:t>
            </w:r>
            <w:r w:rsidR="004B51E8">
              <w:rPr>
                <w:lang w:eastAsia="zh-CN"/>
              </w:rPr>
              <w:t>Who</w:t>
            </w:r>
            <w:r w:rsidR="00A238D7">
              <w:rPr>
                <w:lang w:eastAsia="zh-CN"/>
              </w:rPr>
              <w:t xml:space="preserve"> </w:t>
            </w:r>
            <w:r w:rsidRPr="00992B82">
              <w:rPr>
                <w:lang w:eastAsia="zh-CN"/>
              </w:rPr>
              <w:t xml:space="preserve">Used </w:t>
            </w:r>
            <w:r w:rsidR="006F03A4">
              <w:rPr>
                <w:lang w:eastAsia="zh-CN"/>
              </w:rPr>
              <w:t xml:space="preserve">an </w:t>
            </w:r>
            <w:r w:rsidRPr="00992B82">
              <w:rPr>
                <w:lang w:eastAsia="zh-CN"/>
              </w:rPr>
              <w:t>ACC or DS</w:t>
            </w:r>
            <w:r>
              <w:rPr>
                <w:lang w:eastAsia="zh-CN"/>
              </w:rPr>
              <w:t xml:space="preserve"> for PS</w:t>
            </w:r>
          </w:p>
        </w:tc>
        <w:tc>
          <w:tcPr>
            <w:tcW w:w="864" w:type="dxa"/>
            <w:textDirection w:val="btLr"/>
            <w:hideMark/>
          </w:tcPr>
          <w:p w14:paraId="441A9B69" w14:textId="6677AE59" w:rsidR="00DD70AE" w:rsidRPr="00992B82" w:rsidRDefault="00DD70AE" w:rsidP="00DD70AE">
            <w:pPr>
              <w:pStyle w:val="TableHead"/>
              <w:ind w:left="72" w:right="72"/>
              <w:jc w:val="left"/>
              <w:rPr>
                <w:rFonts w:ascii="Times New Roman" w:hAnsi="Times New Roman" w:cs="Times New Roman"/>
                <w:color w:val="000000"/>
                <w:lang w:eastAsia="zh-CN"/>
              </w:rPr>
            </w:pPr>
            <w:r w:rsidRPr="00992B82">
              <w:rPr>
                <w:lang w:eastAsia="zh-CN"/>
              </w:rPr>
              <w:t xml:space="preserve">% </w:t>
            </w:r>
            <w:r w:rsidR="00A238D7">
              <w:rPr>
                <w:lang w:eastAsia="zh-CN"/>
              </w:rPr>
              <w:t xml:space="preserve">of </w:t>
            </w:r>
            <w:r w:rsidRPr="00992B82">
              <w:rPr>
                <w:lang w:eastAsia="zh-CN"/>
              </w:rPr>
              <w:t xml:space="preserve">Students Assigned </w:t>
            </w:r>
            <w:r w:rsidR="00F230E4">
              <w:rPr>
                <w:lang w:eastAsia="zh-CN"/>
              </w:rPr>
              <w:t xml:space="preserve">an </w:t>
            </w:r>
            <w:r w:rsidRPr="00992B82">
              <w:rPr>
                <w:lang w:eastAsia="zh-CN"/>
              </w:rPr>
              <w:t>ACC or DS</w:t>
            </w:r>
            <w:r>
              <w:rPr>
                <w:lang w:eastAsia="zh-CN"/>
              </w:rPr>
              <w:t xml:space="preserve"> for LS</w:t>
            </w:r>
          </w:p>
        </w:tc>
        <w:tc>
          <w:tcPr>
            <w:tcW w:w="864" w:type="dxa"/>
            <w:textDirection w:val="btLr"/>
          </w:tcPr>
          <w:p w14:paraId="4BC8D7B9" w14:textId="64EFD394" w:rsidR="00DD70AE" w:rsidRDefault="00DD70AE" w:rsidP="00DD70AE">
            <w:pPr>
              <w:pStyle w:val="TableHead"/>
              <w:ind w:left="72" w:right="72"/>
              <w:jc w:val="left"/>
              <w:rPr>
                <w:lang w:eastAsia="zh-CN"/>
              </w:rPr>
            </w:pPr>
            <w:r w:rsidRPr="00992B82">
              <w:rPr>
                <w:lang w:eastAsia="zh-CN"/>
              </w:rPr>
              <w:t xml:space="preserve">% </w:t>
            </w:r>
            <w:r w:rsidR="00A238D7">
              <w:rPr>
                <w:lang w:eastAsia="zh-CN"/>
              </w:rPr>
              <w:t xml:space="preserve">of </w:t>
            </w:r>
            <w:r w:rsidRPr="00992B82">
              <w:rPr>
                <w:lang w:eastAsia="zh-CN"/>
              </w:rPr>
              <w:t xml:space="preserve">Students </w:t>
            </w:r>
            <w:r w:rsidR="004B51E8">
              <w:rPr>
                <w:lang w:eastAsia="zh-CN"/>
              </w:rPr>
              <w:t>Who</w:t>
            </w:r>
            <w:r w:rsidR="00A238D7">
              <w:rPr>
                <w:lang w:eastAsia="zh-CN"/>
              </w:rPr>
              <w:t xml:space="preserve"> </w:t>
            </w:r>
            <w:r w:rsidRPr="00992B82">
              <w:rPr>
                <w:lang w:eastAsia="zh-CN"/>
              </w:rPr>
              <w:t xml:space="preserve">Used </w:t>
            </w:r>
            <w:r w:rsidR="006F03A4">
              <w:rPr>
                <w:lang w:eastAsia="zh-CN"/>
              </w:rPr>
              <w:t xml:space="preserve">an </w:t>
            </w:r>
            <w:r w:rsidRPr="00992B82">
              <w:rPr>
                <w:lang w:eastAsia="zh-CN"/>
              </w:rPr>
              <w:t>ACC or DS</w:t>
            </w:r>
            <w:r>
              <w:rPr>
                <w:lang w:eastAsia="zh-CN"/>
              </w:rPr>
              <w:t xml:space="preserve"> for LS</w:t>
            </w:r>
          </w:p>
        </w:tc>
      </w:tr>
      <w:tr w:rsidR="00DD70AE" w:rsidRPr="00D21B2A" w14:paraId="5F53B3C7" w14:textId="77777777" w:rsidTr="00926C8B">
        <w:trPr>
          <w:trHeight w:val="315"/>
        </w:trPr>
        <w:tc>
          <w:tcPr>
            <w:tcW w:w="4536" w:type="dxa"/>
            <w:tcBorders>
              <w:top w:val="single" w:sz="4" w:space="0" w:color="auto"/>
            </w:tcBorders>
            <w:hideMark/>
          </w:tcPr>
          <w:p w14:paraId="2CF32C16" w14:textId="4428C9EC" w:rsidR="00DD70AE" w:rsidRPr="00D21B2A" w:rsidRDefault="00DD70AE" w:rsidP="00BB1488">
            <w:pPr>
              <w:pStyle w:val="TableText"/>
            </w:pPr>
            <w:r w:rsidRPr="00D21B2A">
              <w:t>ACC</w:t>
            </w:r>
            <w:r w:rsidR="006D3106">
              <w:t>—</w:t>
            </w:r>
            <w:r w:rsidRPr="00D21B2A">
              <w:t>Non-Embedded Print on Demand</w:t>
            </w:r>
          </w:p>
        </w:tc>
        <w:tc>
          <w:tcPr>
            <w:tcW w:w="864" w:type="dxa"/>
            <w:tcBorders>
              <w:top w:val="single" w:sz="4" w:space="0" w:color="auto"/>
            </w:tcBorders>
          </w:tcPr>
          <w:p w14:paraId="07EF20A3" w14:textId="77777777" w:rsidR="00DD70AE" w:rsidRPr="00752CAD" w:rsidRDefault="00DD70AE" w:rsidP="00BB1488">
            <w:pPr>
              <w:pStyle w:val="TableText"/>
              <w:rPr>
                <w:szCs w:val="24"/>
              </w:rPr>
            </w:pPr>
            <w:r w:rsidRPr="00C82AB3">
              <w:rPr>
                <w:color w:val="000000"/>
                <w:szCs w:val="24"/>
              </w:rPr>
              <w:t>15</w:t>
            </w:r>
          </w:p>
        </w:tc>
        <w:tc>
          <w:tcPr>
            <w:tcW w:w="864" w:type="dxa"/>
            <w:tcBorders>
              <w:top w:val="single" w:sz="4" w:space="0" w:color="auto"/>
            </w:tcBorders>
          </w:tcPr>
          <w:p w14:paraId="7BC3BC1E" w14:textId="77777777" w:rsidR="00DD70AE" w:rsidRPr="00752CAD" w:rsidRDefault="00DD70AE" w:rsidP="00BB1488">
            <w:pPr>
              <w:pStyle w:val="TableText"/>
              <w:rPr>
                <w:szCs w:val="24"/>
              </w:rPr>
            </w:pPr>
            <w:r w:rsidRPr="00C82AB3">
              <w:rPr>
                <w:color w:val="000000"/>
                <w:szCs w:val="24"/>
              </w:rPr>
              <w:t>1</w:t>
            </w:r>
          </w:p>
        </w:tc>
        <w:tc>
          <w:tcPr>
            <w:tcW w:w="864" w:type="dxa"/>
            <w:tcBorders>
              <w:top w:val="single" w:sz="4" w:space="0" w:color="auto"/>
            </w:tcBorders>
            <w:hideMark/>
          </w:tcPr>
          <w:p w14:paraId="1F14BFDD" w14:textId="77777777" w:rsidR="00DD70AE" w:rsidRPr="00752CAD" w:rsidRDefault="00DD70AE" w:rsidP="00BB1488">
            <w:pPr>
              <w:pStyle w:val="TableText"/>
              <w:rPr>
                <w:szCs w:val="24"/>
              </w:rPr>
            </w:pPr>
            <w:r w:rsidRPr="00C82AB3">
              <w:rPr>
                <w:color w:val="000000"/>
                <w:szCs w:val="24"/>
              </w:rPr>
              <w:t>8</w:t>
            </w:r>
          </w:p>
        </w:tc>
        <w:tc>
          <w:tcPr>
            <w:tcW w:w="864" w:type="dxa"/>
            <w:tcBorders>
              <w:top w:val="single" w:sz="4" w:space="0" w:color="auto"/>
            </w:tcBorders>
            <w:hideMark/>
          </w:tcPr>
          <w:p w14:paraId="7A114996" w14:textId="77777777" w:rsidR="00DD70AE" w:rsidRPr="00752CAD" w:rsidRDefault="00DD70AE" w:rsidP="00BB1488">
            <w:pPr>
              <w:pStyle w:val="TableText"/>
              <w:rPr>
                <w:szCs w:val="24"/>
              </w:rPr>
            </w:pPr>
            <w:r w:rsidRPr="00C82AB3">
              <w:rPr>
                <w:color w:val="000000"/>
                <w:szCs w:val="24"/>
              </w:rPr>
              <w:t>1</w:t>
            </w:r>
          </w:p>
        </w:tc>
        <w:tc>
          <w:tcPr>
            <w:tcW w:w="864" w:type="dxa"/>
            <w:tcBorders>
              <w:top w:val="single" w:sz="4" w:space="0" w:color="auto"/>
            </w:tcBorders>
            <w:hideMark/>
          </w:tcPr>
          <w:p w14:paraId="04410A90" w14:textId="77777777" w:rsidR="00DD70AE" w:rsidRPr="00752CAD" w:rsidRDefault="00DD70AE" w:rsidP="00BB1488">
            <w:pPr>
              <w:pStyle w:val="TableText"/>
              <w:rPr>
                <w:szCs w:val="24"/>
              </w:rPr>
            </w:pPr>
            <w:r w:rsidRPr="00C82AB3">
              <w:rPr>
                <w:color w:val="000000"/>
                <w:szCs w:val="24"/>
              </w:rPr>
              <w:t>2</w:t>
            </w:r>
          </w:p>
        </w:tc>
        <w:tc>
          <w:tcPr>
            <w:tcW w:w="864" w:type="dxa"/>
            <w:tcBorders>
              <w:top w:val="single" w:sz="4" w:space="0" w:color="auto"/>
            </w:tcBorders>
          </w:tcPr>
          <w:p w14:paraId="4E3EEE95" w14:textId="77777777" w:rsidR="00DD70AE" w:rsidRPr="00752CAD" w:rsidRDefault="00DD70AE" w:rsidP="00BB1488">
            <w:pPr>
              <w:pStyle w:val="TableText"/>
              <w:rPr>
                <w:szCs w:val="24"/>
              </w:rPr>
            </w:pPr>
            <w:r w:rsidRPr="00C82AB3">
              <w:rPr>
                <w:color w:val="000000"/>
                <w:szCs w:val="24"/>
              </w:rPr>
              <w:t>1</w:t>
            </w:r>
          </w:p>
        </w:tc>
      </w:tr>
      <w:tr w:rsidR="00DD70AE" w:rsidRPr="00D21B2A" w14:paraId="032CD6CF" w14:textId="77777777" w:rsidTr="00C35970">
        <w:trPr>
          <w:trHeight w:val="315"/>
        </w:trPr>
        <w:tc>
          <w:tcPr>
            <w:tcW w:w="4536" w:type="dxa"/>
            <w:hideMark/>
          </w:tcPr>
          <w:p w14:paraId="2924B77B" w14:textId="4EFF1B2C" w:rsidR="00DD70AE" w:rsidRPr="00D21B2A" w:rsidRDefault="00DD70AE" w:rsidP="00BB1488">
            <w:pPr>
              <w:pStyle w:val="TableText"/>
            </w:pPr>
            <w:r w:rsidRPr="00D21B2A">
              <w:t>DS</w:t>
            </w:r>
            <w:r w:rsidR="006D3106">
              <w:t>—</w:t>
            </w:r>
            <w:r w:rsidRPr="00D21B2A">
              <w:t>Embedded Masking</w:t>
            </w:r>
          </w:p>
        </w:tc>
        <w:tc>
          <w:tcPr>
            <w:tcW w:w="864" w:type="dxa"/>
          </w:tcPr>
          <w:p w14:paraId="009FA987" w14:textId="77777777" w:rsidR="00DD70AE" w:rsidRPr="00752CAD" w:rsidRDefault="00DD70AE" w:rsidP="00BB1488">
            <w:pPr>
              <w:pStyle w:val="TableText"/>
              <w:rPr>
                <w:szCs w:val="24"/>
              </w:rPr>
            </w:pPr>
            <w:r w:rsidRPr="00C82AB3">
              <w:rPr>
                <w:color w:val="000000"/>
                <w:szCs w:val="24"/>
              </w:rPr>
              <w:t>34</w:t>
            </w:r>
          </w:p>
        </w:tc>
        <w:tc>
          <w:tcPr>
            <w:tcW w:w="864" w:type="dxa"/>
          </w:tcPr>
          <w:p w14:paraId="08374A3B" w14:textId="77777777" w:rsidR="00DD70AE" w:rsidRPr="00752CAD" w:rsidRDefault="00DD70AE" w:rsidP="00BB1488">
            <w:pPr>
              <w:pStyle w:val="TableText"/>
              <w:rPr>
                <w:szCs w:val="24"/>
              </w:rPr>
            </w:pPr>
            <w:r w:rsidRPr="00C82AB3">
              <w:rPr>
                <w:color w:val="000000"/>
                <w:szCs w:val="24"/>
              </w:rPr>
              <w:t>0</w:t>
            </w:r>
          </w:p>
        </w:tc>
        <w:tc>
          <w:tcPr>
            <w:tcW w:w="864" w:type="dxa"/>
            <w:hideMark/>
          </w:tcPr>
          <w:p w14:paraId="4C277707" w14:textId="77777777" w:rsidR="00DD70AE" w:rsidRPr="00752CAD" w:rsidRDefault="00DD70AE" w:rsidP="00BB1488">
            <w:pPr>
              <w:pStyle w:val="TableText"/>
              <w:rPr>
                <w:szCs w:val="24"/>
              </w:rPr>
            </w:pPr>
            <w:r w:rsidRPr="00C82AB3">
              <w:rPr>
                <w:color w:val="000000"/>
                <w:szCs w:val="24"/>
              </w:rPr>
              <w:t>24</w:t>
            </w:r>
          </w:p>
        </w:tc>
        <w:tc>
          <w:tcPr>
            <w:tcW w:w="864" w:type="dxa"/>
            <w:hideMark/>
          </w:tcPr>
          <w:p w14:paraId="210E125C" w14:textId="77777777" w:rsidR="00DD70AE" w:rsidRPr="00752CAD" w:rsidRDefault="00DD70AE" w:rsidP="00BB1488">
            <w:pPr>
              <w:pStyle w:val="TableText"/>
              <w:rPr>
                <w:szCs w:val="24"/>
              </w:rPr>
            </w:pPr>
            <w:r w:rsidRPr="00C82AB3">
              <w:rPr>
                <w:color w:val="000000"/>
                <w:szCs w:val="24"/>
              </w:rPr>
              <w:t>0</w:t>
            </w:r>
          </w:p>
        </w:tc>
        <w:tc>
          <w:tcPr>
            <w:tcW w:w="864" w:type="dxa"/>
            <w:hideMark/>
          </w:tcPr>
          <w:p w14:paraId="33E3283E" w14:textId="77777777" w:rsidR="00DD70AE" w:rsidRPr="00840C32" w:rsidRDefault="00DD70AE" w:rsidP="00BB1488">
            <w:pPr>
              <w:pStyle w:val="TableText"/>
              <w:rPr>
                <w:szCs w:val="24"/>
              </w:rPr>
            </w:pPr>
            <w:r w:rsidRPr="00C82AB3">
              <w:rPr>
                <w:color w:val="000000"/>
                <w:szCs w:val="24"/>
              </w:rPr>
              <w:t>6</w:t>
            </w:r>
          </w:p>
        </w:tc>
        <w:tc>
          <w:tcPr>
            <w:tcW w:w="864" w:type="dxa"/>
          </w:tcPr>
          <w:p w14:paraId="2C8B9DAE" w14:textId="77777777" w:rsidR="00DD70AE" w:rsidRPr="00752CAD" w:rsidRDefault="00DD70AE" w:rsidP="00BB1488">
            <w:pPr>
              <w:pStyle w:val="TableText"/>
              <w:rPr>
                <w:szCs w:val="24"/>
              </w:rPr>
            </w:pPr>
            <w:r w:rsidRPr="00C82AB3">
              <w:rPr>
                <w:color w:val="000000"/>
                <w:szCs w:val="24"/>
              </w:rPr>
              <w:t>0</w:t>
            </w:r>
          </w:p>
        </w:tc>
      </w:tr>
    </w:tbl>
    <w:p w14:paraId="55142906" w14:textId="032E2DB4" w:rsidR="00DD70AE" w:rsidRDefault="00DD70AE" w:rsidP="00DD70AE">
      <w:pPr>
        <w:pStyle w:val="Caption"/>
      </w:pPr>
      <w:bookmarkStart w:id="496" w:name="_Ref67051725"/>
      <w:bookmarkStart w:id="497" w:name="_Toc67319700"/>
      <w:bookmarkStart w:id="498" w:name="_Toc220498704"/>
      <w:r>
        <w:lastRenderedPageBreak/>
        <w:t xml:space="preserve">Table </w:t>
      </w:r>
      <w:r>
        <w:fldChar w:fldCharType="begin"/>
      </w:r>
      <w:r>
        <w:instrText>STYLEREF 2 \s</w:instrText>
      </w:r>
      <w:r>
        <w:fldChar w:fldCharType="separate"/>
      </w:r>
      <w:r w:rsidR="00961502">
        <w:rPr>
          <w:noProof/>
        </w:rPr>
        <w:t>5</w:t>
      </w:r>
      <w:r>
        <w:fldChar w:fldCharType="end"/>
      </w:r>
      <w:r>
        <w:t>.</w:t>
      </w:r>
      <w:r>
        <w:fldChar w:fldCharType="begin"/>
      </w:r>
      <w:r>
        <w:instrText>SEQ Table \* ARABIC \s 2</w:instrText>
      </w:r>
      <w:r>
        <w:fldChar w:fldCharType="separate"/>
      </w:r>
      <w:r w:rsidR="00961502">
        <w:rPr>
          <w:noProof/>
        </w:rPr>
        <w:t>9</w:t>
      </w:r>
      <w:r>
        <w:fldChar w:fldCharType="end"/>
      </w:r>
      <w:bookmarkEnd w:id="496"/>
      <w:r>
        <w:t xml:space="preserve">  </w:t>
      </w:r>
      <w:r w:rsidRPr="00992B82">
        <w:rPr>
          <w:lang w:eastAsia="zh-CN"/>
        </w:rPr>
        <w:t>Summary of Accommodations and Designated Supports Used by Students</w:t>
      </w:r>
      <w:r>
        <w:rPr>
          <w:lang w:eastAsia="zh-CN"/>
        </w:rPr>
        <w:t>, High</w:t>
      </w:r>
      <w:r w:rsidR="00423D3A">
        <w:rPr>
          <w:lang w:eastAsia="zh-CN"/>
        </w:rPr>
        <w:t> </w:t>
      </w:r>
      <w:r>
        <w:rPr>
          <w:lang w:eastAsia="zh-CN"/>
        </w:rPr>
        <w:t>School</w:t>
      </w:r>
      <w:bookmarkEnd w:id="497"/>
      <w:bookmarkEnd w:id="498"/>
    </w:p>
    <w:tbl>
      <w:tblPr>
        <w:tblStyle w:val="TRs"/>
        <w:tblW w:w="9720" w:type="dxa"/>
        <w:tblLayout w:type="fixed"/>
        <w:tblLook w:val="04A0" w:firstRow="1" w:lastRow="0" w:firstColumn="1" w:lastColumn="0" w:noHBand="0" w:noVBand="1"/>
        <w:tblDescription w:val="Summary of Accommodations and Designated Supports Used by Students, High School"/>
      </w:tblPr>
      <w:tblGrid>
        <w:gridCol w:w="4536"/>
        <w:gridCol w:w="864"/>
        <w:gridCol w:w="864"/>
        <w:gridCol w:w="864"/>
        <w:gridCol w:w="864"/>
        <w:gridCol w:w="864"/>
        <w:gridCol w:w="864"/>
      </w:tblGrid>
      <w:tr w:rsidR="0038111C" w:rsidRPr="00992B82" w14:paraId="05D8CCD8" w14:textId="77777777" w:rsidTr="00BF353A">
        <w:trPr>
          <w:cnfStyle w:val="100000000000" w:firstRow="1" w:lastRow="0" w:firstColumn="0" w:lastColumn="0" w:oddVBand="0" w:evenVBand="0" w:oddHBand="0" w:evenHBand="0" w:firstRowFirstColumn="0" w:firstRowLastColumn="0" w:lastRowFirstColumn="0" w:lastRowLastColumn="0"/>
          <w:trHeight w:val="3024"/>
        </w:trPr>
        <w:tc>
          <w:tcPr>
            <w:tcW w:w="4536" w:type="dxa"/>
            <w:hideMark/>
          </w:tcPr>
          <w:p w14:paraId="0176AD1D" w14:textId="09BAA6D4" w:rsidR="00DD70AE" w:rsidRPr="00992B82" w:rsidRDefault="00B329F1" w:rsidP="00BF353A">
            <w:pPr>
              <w:pStyle w:val="TableHead"/>
              <w:rPr>
                <w:rFonts w:ascii="Times New Roman" w:hAnsi="Times New Roman" w:cs="Times New Roman"/>
                <w:color w:val="000000"/>
                <w:lang w:eastAsia="zh-CN"/>
              </w:rPr>
            </w:pPr>
            <w:r>
              <w:rPr>
                <w:lang w:eastAsia="zh-CN"/>
              </w:rPr>
              <w:t>Resource Type</w:t>
            </w:r>
          </w:p>
        </w:tc>
        <w:tc>
          <w:tcPr>
            <w:tcW w:w="864" w:type="dxa"/>
            <w:textDirection w:val="btLr"/>
            <w:hideMark/>
          </w:tcPr>
          <w:p w14:paraId="40DBF485" w14:textId="5EC71AB8" w:rsidR="00DD70AE" w:rsidRPr="00992B82" w:rsidRDefault="00DD70AE" w:rsidP="00DD70AE">
            <w:pPr>
              <w:pStyle w:val="TableHead"/>
              <w:ind w:left="72" w:right="72"/>
              <w:jc w:val="left"/>
              <w:rPr>
                <w:rFonts w:ascii="Times New Roman" w:hAnsi="Times New Roman" w:cs="Times New Roman"/>
                <w:color w:val="000000"/>
                <w:lang w:eastAsia="zh-CN"/>
              </w:rPr>
            </w:pPr>
            <w:r w:rsidRPr="00992B82">
              <w:rPr>
                <w:lang w:eastAsia="zh-CN"/>
              </w:rPr>
              <w:t xml:space="preserve"># </w:t>
            </w:r>
            <w:r w:rsidR="00A238D7">
              <w:rPr>
                <w:lang w:eastAsia="zh-CN"/>
              </w:rPr>
              <w:t xml:space="preserve">of </w:t>
            </w:r>
            <w:r w:rsidRPr="00992B82">
              <w:rPr>
                <w:lang w:eastAsia="zh-CN"/>
              </w:rPr>
              <w:t xml:space="preserve">Students Assigned </w:t>
            </w:r>
            <w:r w:rsidR="006F03A4">
              <w:rPr>
                <w:lang w:eastAsia="zh-CN"/>
              </w:rPr>
              <w:t xml:space="preserve">an </w:t>
            </w:r>
            <w:r w:rsidRPr="00992B82">
              <w:rPr>
                <w:lang w:eastAsia="zh-CN"/>
              </w:rPr>
              <w:t>ACC or DS</w:t>
            </w:r>
            <w:r>
              <w:rPr>
                <w:lang w:eastAsia="zh-CN"/>
              </w:rPr>
              <w:t xml:space="preserve"> for ESS</w:t>
            </w:r>
          </w:p>
        </w:tc>
        <w:tc>
          <w:tcPr>
            <w:tcW w:w="864" w:type="dxa"/>
            <w:textDirection w:val="btLr"/>
            <w:hideMark/>
          </w:tcPr>
          <w:p w14:paraId="51407AFE" w14:textId="3DD563A6" w:rsidR="00DD70AE" w:rsidRPr="00992B82" w:rsidRDefault="00DD70AE" w:rsidP="00DD70AE">
            <w:pPr>
              <w:pStyle w:val="TableHead"/>
              <w:ind w:left="72" w:right="72"/>
              <w:jc w:val="left"/>
              <w:rPr>
                <w:rFonts w:ascii="Times New Roman" w:hAnsi="Times New Roman" w:cs="Times New Roman"/>
                <w:color w:val="000000"/>
                <w:lang w:eastAsia="zh-CN"/>
              </w:rPr>
            </w:pPr>
            <w:r w:rsidRPr="00992B82">
              <w:rPr>
                <w:lang w:eastAsia="zh-CN"/>
              </w:rPr>
              <w:t xml:space="preserve"># </w:t>
            </w:r>
            <w:r w:rsidR="00A238D7">
              <w:rPr>
                <w:lang w:eastAsia="zh-CN"/>
              </w:rPr>
              <w:t xml:space="preserve">of </w:t>
            </w:r>
            <w:r w:rsidRPr="00992B82">
              <w:rPr>
                <w:lang w:eastAsia="zh-CN"/>
              </w:rPr>
              <w:t xml:space="preserve">Students </w:t>
            </w:r>
            <w:r w:rsidR="004B51E8">
              <w:rPr>
                <w:lang w:eastAsia="zh-CN"/>
              </w:rPr>
              <w:t>Who</w:t>
            </w:r>
            <w:r w:rsidR="00A238D7">
              <w:rPr>
                <w:lang w:eastAsia="zh-CN"/>
              </w:rPr>
              <w:t xml:space="preserve"> </w:t>
            </w:r>
            <w:r w:rsidRPr="00992B82">
              <w:rPr>
                <w:lang w:eastAsia="zh-CN"/>
              </w:rPr>
              <w:t xml:space="preserve">Used </w:t>
            </w:r>
            <w:r w:rsidR="006F03A4">
              <w:rPr>
                <w:lang w:eastAsia="zh-CN"/>
              </w:rPr>
              <w:t xml:space="preserve">an </w:t>
            </w:r>
            <w:r w:rsidRPr="00992B82">
              <w:rPr>
                <w:lang w:eastAsia="zh-CN"/>
              </w:rPr>
              <w:t>ACC or DS</w:t>
            </w:r>
            <w:r>
              <w:rPr>
                <w:lang w:eastAsia="zh-CN"/>
              </w:rPr>
              <w:t xml:space="preserve"> for ESS</w:t>
            </w:r>
          </w:p>
        </w:tc>
        <w:tc>
          <w:tcPr>
            <w:tcW w:w="864" w:type="dxa"/>
            <w:textDirection w:val="btLr"/>
            <w:hideMark/>
          </w:tcPr>
          <w:p w14:paraId="31BB3E10" w14:textId="62D137FA" w:rsidR="00DD70AE" w:rsidRPr="00992B82" w:rsidRDefault="00DD70AE" w:rsidP="00DD70AE">
            <w:pPr>
              <w:pStyle w:val="TableHead"/>
              <w:ind w:left="72" w:right="72"/>
              <w:jc w:val="left"/>
              <w:rPr>
                <w:rFonts w:ascii="Times New Roman" w:hAnsi="Times New Roman" w:cs="Times New Roman"/>
                <w:color w:val="000000"/>
                <w:lang w:eastAsia="zh-CN"/>
              </w:rPr>
            </w:pPr>
            <w:r w:rsidRPr="00992B82">
              <w:rPr>
                <w:lang w:eastAsia="zh-CN"/>
              </w:rPr>
              <w:t xml:space="preserve">% </w:t>
            </w:r>
            <w:r w:rsidR="00A238D7">
              <w:rPr>
                <w:lang w:eastAsia="zh-CN"/>
              </w:rPr>
              <w:t xml:space="preserve">of </w:t>
            </w:r>
            <w:r w:rsidRPr="00992B82">
              <w:rPr>
                <w:lang w:eastAsia="zh-CN"/>
              </w:rPr>
              <w:t xml:space="preserve">Students Assigned </w:t>
            </w:r>
            <w:r w:rsidR="006F03A4">
              <w:rPr>
                <w:lang w:eastAsia="zh-CN"/>
              </w:rPr>
              <w:t xml:space="preserve">an </w:t>
            </w:r>
            <w:r w:rsidRPr="00992B82">
              <w:rPr>
                <w:lang w:eastAsia="zh-CN"/>
              </w:rPr>
              <w:t>ACC or DS</w:t>
            </w:r>
            <w:r>
              <w:rPr>
                <w:lang w:eastAsia="zh-CN"/>
              </w:rPr>
              <w:t xml:space="preserve"> for PS</w:t>
            </w:r>
          </w:p>
        </w:tc>
        <w:tc>
          <w:tcPr>
            <w:tcW w:w="864" w:type="dxa"/>
            <w:textDirection w:val="btLr"/>
            <w:hideMark/>
          </w:tcPr>
          <w:p w14:paraId="7748B2D7" w14:textId="5BABF98D" w:rsidR="00DD70AE" w:rsidRPr="00992B82" w:rsidRDefault="00DD70AE" w:rsidP="00DD70AE">
            <w:pPr>
              <w:pStyle w:val="TableHead"/>
              <w:ind w:left="72" w:right="72"/>
              <w:jc w:val="left"/>
              <w:rPr>
                <w:rFonts w:ascii="Times New Roman" w:hAnsi="Times New Roman" w:cs="Times New Roman"/>
                <w:color w:val="000000"/>
                <w:lang w:eastAsia="zh-CN"/>
              </w:rPr>
            </w:pPr>
            <w:r w:rsidRPr="00992B82">
              <w:rPr>
                <w:lang w:eastAsia="zh-CN"/>
              </w:rPr>
              <w:t xml:space="preserve">% </w:t>
            </w:r>
            <w:r w:rsidR="00A238D7">
              <w:rPr>
                <w:lang w:eastAsia="zh-CN"/>
              </w:rPr>
              <w:t xml:space="preserve">of </w:t>
            </w:r>
            <w:r w:rsidRPr="00992B82">
              <w:rPr>
                <w:lang w:eastAsia="zh-CN"/>
              </w:rPr>
              <w:t xml:space="preserve">Students </w:t>
            </w:r>
            <w:r w:rsidR="004B51E8">
              <w:rPr>
                <w:lang w:eastAsia="zh-CN"/>
              </w:rPr>
              <w:t>Who</w:t>
            </w:r>
            <w:r w:rsidR="00A238D7">
              <w:rPr>
                <w:lang w:eastAsia="zh-CN"/>
              </w:rPr>
              <w:t xml:space="preserve"> </w:t>
            </w:r>
            <w:r w:rsidRPr="00992B82">
              <w:rPr>
                <w:lang w:eastAsia="zh-CN"/>
              </w:rPr>
              <w:t xml:space="preserve">Used </w:t>
            </w:r>
            <w:r w:rsidR="006F03A4">
              <w:rPr>
                <w:lang w:eastAsia="zh-CN"/>
              </w:rPr>
              <w:t xml:space="preserve">an </w:t>
            </w:r>
            <w:r w:rsidRPr="00992B82">
              <w:rPr>
                <w:lang w:eastAsia="zh-CN"/>
              </w:rPr>
              <w:t>ACC or DS</w:t>
            </w:r>
            <w:r>
              <w:rPr>
                <w:lang w:eastAsia="zh-CN"/>
              </w:rPr>
              <w:t xml:space="preserve"> for PS</w:t>
            </w:r>
          </w:p>
        </w:tc>
        <w:tc>
          <w:tcPr>
            <w:tcW w:w="864" w:type="dxa"/>
            <w:textDirection w:val="btLr"/>
            <w:hideMark/>
          </w:tcPr>
          <w:p w14:paraId="3B01E9CD" w14:textId="1E87D6CA" w:rsidR="00DD70AE" w:rsidRPr="00992B82" w:rsidRDefault="00DD70AE" w:rsidP="00DD70AE">
            <w:pPr>
              <w:pStyle w:val="TableHead"/>
              <w:ind w:left="72" w:right="72"/>
              <w:jc w:val="left"/>
              <w:rPr>
                <w:rFonts w:ascii="Times New Roman" w:hAnsi="Times New Roman" w:cs="Times New Roman"/>
                <w:color w:val="000000"/>
                <w:lang w:eastAsia="zh-CN"/>
              </w:rPr>
            </w:pPr>
            <w:r w:rsidRPr="00992B82">
              <w:rPr>
                <w:lang w:eastAsia="zh-CN"/>
              </w:rPr>
              <w:t xml:space="preserve">% </w:t>
            </w:r>
            <w:r w:rsidR="00A238D7">
              <w:rPr>
                <w:lang w:eastAsia="zh-CN"/>
              </w:rPr>
              <w:t xml:space="preserve">of </w:t>
            </w:r>
            <w:r w:rsidRPr="00992B82">
              <w:rPr>
                <w:lang w:eastAsia="zh-CN"/>
              </w:rPr>
              <w:t xml:space="preserve">Students Assigned </w:t>
            </w:r>
            <w:r w:rsidR="006F03A4">
              <w:rPr>
                <w:lang w:eastAsia="zh-CN"/>
              </w:rPr>
              <w:t xml:space="preserve">an </w:t>
            </w:r>
            <w:r w:rsidRPr="00992B82">
              <w:rPr>
                <w:lang w:eastAsia="zh-CN"/>
              </w:rPr>
              <w:t>ACC or DS</w:t>
            </w:r>
            <w:r>
              <w:rPr>
                <w:lang w:eastAsia="zh-CN"/>
              </w:rPr>
              <w:t xml:space="preserve"> for LS</w:t>
            </w:r>
          </w:p>
        </w:tc>
        <w:tc>
          <w:tcPr>
            <w:tcW w:w="864" w:type="dxa"/>
            <w:textDirection w:val="btLr"/>
          </w:tcPr>
          <w:p w14:paraId="53733583" w14:textId="58631089" w:rsidR="00DD70AE" w:rsidRDefault="00DD70AE" w:rsidP="00DD70AE">
            <w:pPr>
              <w:pStyle w:val="TableHead"/>
              <w:ind w:left="72" w:right="72"/>
              <w:jc w:val="left"/>
              <w:rPr>
                <w:lang w:eastAsia="zh-CN"/>
              </w:rPr>
            </w:pPr>
            <w:r w:rsidRPr="00992B82">
              <w:rPr>
                <w:lang w:eastAsia="zh-CN"/>
              </w:rPr>
              <w:t xml:space="preserve">% </w:t>
            </w:r>
            <w:r w:rsidR="00A238D7">
              <w:rPr>
                <w:lang w:eastAsia="zh-CN"/>
              </w:rPr>
              <w:t xml:space="preserve">of </w:t>
            </w:r>
            <w:r w:rsidRPr="00992B82">
              <w:rPr>
                <w:lang w:eastAsia="zh-CN"/>
              </w:rPr>
              <w:t xml:space="preserve">Students </w:t>
            </w:r>
            <w:r w:rsidR="004B51E8">
              <w:rPr>
                <w:lang w:eastAsia="zh-CN"/>
              </w:rPr>
              <w:t>Who</w:t>
            </w:r>
            <w:r w:rsidR="00A238D7">
              <w:rPr>
                <w:lang w:eastAsia="zh-CN"/>
              </w:rPr>
              <w:t xml:space="preserve"> </w:t>
            </w:r>
            <w:r w:rsidRPr="00992B82">
              <w:rPr>
                <w:lang w:eastAsia="zh-CN"/>
              </w:rPr>
              <w:t xml:space="preserve">Used </w:t>
            </w:r>
            <w:r w:rsidR="006F03A4">
              <w:rPr>
                <w:lang w:eastAsia="zh-CN"/>
              </w:rPr>
              <w:t xml:space="preserve">an </w:t>
            </w:r>
            <w:r w:rsidRPr="00992B82">
              <w:rPr>
                <w:lang w:eastAsia="zh-CN"/>
              </w:rPr>
              <w:t>ACC or DS</w:t>
            </w:r>
            <w:r>
              <w:rPr>
                <w:lang w:eastAsia="zh-CN"/>
              </w:rPr>
              <w:t xml:space="preserve"> for LS</w:t>
            </w:r>
          </w:p>
        </w:tc>
      </w:tr>
      <w:tr w:rsidR="00DD70AE" w:rsidRPr="00D21B2A" w14:paraId="1A90D995" w14:textId="77777777" w:rsidTr="00926C8B">
        <w:trPr>
          <w:trHeight w:val="315"/>
        </w:trPr>
        <w:tc>
          <w:tcPr>
            <w:tcW w:w="4536" w:type="dxa"/>
            <w:tcBorders>
              <w:top w:val="single" w:sz="4" w:space="0" w:color="auto"/>
            </w:tcBorders>
            <w:hideMark/>
          </w:tcPr>
          <w:p w14:paraId="69371D4F" w14:textId="639FCFC9" w:rsidR="00DD70AE" w:rsidRPr="00D21B2A" w:rsidRDefault="00DD70AE" w:rsidP="00BB1488">
            <w:pPr>
              <w:pStyle w:val="TableText"/>
            </w:pPr>
            <w:r w:rsidRPr="00D21B2A">
              <w:t>ACC</w:t>
            </w:r>
            <w:r w:rsidR="006D3106">
              <w:t>—</w:t>
            </w:r>
            <w:r w:rsidRPr="00D21B2A">
              <w:t>Non-Embedded Print on Demand</w:t>
            </w:r>
          </w:p>
        </w:tc>
        <w:tc>
          <w:tcPr>
            <w:tcW w:w="864" w:type="dxa"/>
            <w:tcBorders>
              <w:top w:val="single" w:sz="4" w:space="0" w:color="auto"/>
            </w:tcBorders>
          </w:tcPr>
          <w:p w14:paraId="026C4B4D" w14:textId="77777777" w:rsidR="00DD70AE" w:rsidRPr="00752CAD" w:rsidRDefault="00DD70AE" w:rsidP="00BB1488">
            <w:pPr>
              <w:pStyle w:val="TableText"/>
              <w:rPr>
                <w:szCs w:val="24"/>
              </w:rPr>
            </w:pPr>
            <w:r w:rsidRPr="00C82AB3">
              <w:rPr>
                <w:color w:val="000000"/>
                <w:szCs w:val="24"/>
              </w:rPr>
              <w:t>0</w:t>
            </w:r>
          </w:p>
        </w:tc>
        <w:tc>
          <w:tcPr>
            <w:tcW w:w="864" w:type="dxa"/>
            <w:tcBorders>
              <w:top w:val="single" w:sz="4" w:space="0" w:color="auto"/>
            </w:tcBorders>
          </w:tcPr>
          <w:p w14:paraId="0F917628" w14:textId="77777777" w:rsidR="00DD70AE" w:rsidRPr="00752CAD" w:rsidRDefault="00DD70AE" w:rsidP="00BB1488">
            <w:pPr>
              <w:pStyle w:val="TableText"/>
              <w:rPr>
                <w:szCs w:val="24"/>
              </w:rPr>
            </w:pPr>
            <w:r w:rsidRPr="00C82AB3">
              <w:rPr>
                <w:color w:val="000000"/>
                <w:szCs w:val="24"/>
              </w:rPr>
              <w:t>0</w:t>
            </w:r>
          </w:p>
        </w:tc>
        <w:tc>
          <w:tcPr>
            <w:tcW w:w="864" w:type="dxa"/>
            <w:tcBorders>
              <w:top w:val="single" w:sz="4" w:space="0" w:color="auto"/>
            </w:tcBorders>
            <w:hideMark/>
          </w:tcPr>
          <w:p w14:paraId="5A6EA450" w14:textId="77777777" w:rsidR="00DD70AE" w:rsidRPr="00752CAD" w:rsidRDefault="00DD70AE" w:rsidP="00BB1488">
            <w:pPr>
              <w:pStyle w:val="TableText"/>
              <w:rPr>
                <w:szCs w:val="24"/>
              </w:rPr>
            </w:pPr>
            <w:r w:rsidRPr="00C82AB3">
              <w:rPr>
                <w:color w:val="000000"/>
                <w:szCs w:val="24"/>
              </w:rPr>
              <w:t>0</w:t>
            </w:r>
          </w:p>
        </w:tc>
        <w:tc>
          <w:tcPr>
            <w:tcW w:w="864" w:type="dxa"/>
            <w:tcBorders>
              <w:top w:val="single" w:sz="4" w:space="0" w:color="auto"/>
            </w:tcBorders>
            <w:hideMark/>
          </w:tcPr>
          <w:p w14:paraId="61A2825A" w14:textId="77777777" w:rsidR="00DD70AE" w:rsidRPr="00752CAD" w:rsidRDefault="00DD70AE" w:rsidP="00BB1488">
            <w:pPr>
              <w:pStyle w:val="TableText"/>
              <w:rPr>
                <w:szCs w:val="24"/>
              </w:rPr>
            </w:pPr>
            <w:r w:rsidRPr="00C82AB3">
              <w:rPr>
                <w:color w:val="000000"/>
                <w:szCs w:val="24"/>
              </w:rPr>
              <w:t>0</w:t>
            </w:r>
          </w:p>
        </w:tc>
        <w:tc>
          <w:tcPr>
            <w:tcW w:w="864" w:type="dxa"/>
            <w:tcBorders>
              <w:top w:val="single" w:sz="4" w:space="0" w:color="auto"/>
            </w:tcBorders>
            <w:hideMark/>
          </w:tcPr>
          <w:p w14:paraId="326FA91D" w14:textId="77777777" w:rsidR="00DD70AE" w:rsidRPr="00752CAD" w:rsidRDefault="00DD70AE" w:rsidP="00BB1488">
            <w:pPr>
              <w:pStyle w:val="TableText"/>
              <w:rPr>
                <w:szCs w:val="24"/>
              </w:rPr>
            </w:pPr>
            <w:r w:rsidRPr="00C82AB3">
              <w:rPr>
                <w:color w:val="000000"/>
                <w:szCs w:val="24"/>
              </w:rPr>
              <w:t>0</w:t>
            </w:r>
          </w:p>
        </w:tc>
        <w:tc>
          <w:tcPr>
            <w:tcW w:w="864" w:type="dxa"/>
            <w:tcBorders>
              <w:top w:val="single" w:sz="4" w:space="0" w:color="auto"/>
            </w:tcBorders>
          </w:tcPr>
          <w:p w14:paraId="00B77F07" w14:textId="77777777" w:rsidR="00DD70AE" w:rsidRPr="00752CAD" w:rsidRDefault="00DD70AE" w:rsidP="00BB1488">
            <w:pPr>
              <w:pStyle w:val="TableText"/>
              <w:rPr>
                <w:szCs w:val="24"/>
              </w:rPr>
            </w:pPr>
            <w:r w:rsidRPr="00C82AB3">
              <w:rPr>
                <w:color w:val="000000"/>
                <w:szCs w:val="24"/>
              </w:rPr>
              <w:t>0</w:t>
            </w:r>
          </w:p>
        </w:tc>
      </w:tr>
      <w:tr w:rsidR="00DD70AE" w:rsidRPr="00D21B2A" w14:paraId="5DDE0134" w14:textId="77777777" w:rsidTr="00C35970">
        <w:trPr>
          <w:trHeight w:val="315"/>
        </w:trPr>
        <w:tc>
          <w:tcPr>
            <w:tcW w:w="4536" w:type="dxa"/>
            <w:hideMark/>
          </w:tcPr>
          <w:p w14:paraId="41F7D8C9" w14:textId="24C468CA" w:rsidR="00DD70AE" w:rsidRPr="00D21B2A" w:rsidRDefault="00DD70AE" w:rsidP="00BB1488">
            <w:pPr>
              <w:pStyle w:val="TableText"/>
            </w:pPr>
            <w:r w:rsidRPr="00D21B2A">
              <w:t>DS</w:t>
            </w:r>
            <w:r w:rsidR="006D3106">
              <w:t>—</w:t>
            </w:r>
            <w:r w:rsidRPr="00D21B2A">
              <w:t>Embedded Masking</w:t>
            </w:r>
          </w:p>
        </w:tc>
        <w:tc>
          <w:tcPr>
            <w:tcW w:w="864" w:type="dxa"/>
          </w:tcPr>
          <w:p w14:paraId="5C446A13" w14:textId="77777777" w:rsidR="00DD70AE" w:rsidRPr="00752CAD" w:rsidRDefault="00DD70AE" w:rsidP="00BB1488">
            <w:pPr>
              <w:pStyle w:val="TableText"/>
              <w:rPr>
                <w:szCs w:val="24"/>
              </w:rPr>
            </w:pPr>
            <w:r w:rsidRPr="00C82AB3">
              <w:rPr>
                <w:color w:val="000000"/>
                <w:szCs w:val="24"/>
              </w:rPr>
              <w:t>12</w:t>
            </w:r>
          </w:p>
        </w:tc>
        <w:tc>
          <w:tcPr>
            <w:tcW w:w="864" w:type="dxa"/>
          </w:tcPr>
          <w:p w14:paraId="47A65556" w14:textId="77777777" w:rsidR="00DD70AE" w:rsidRPr="00752CAD" w:rsidRDefault="00DD70AE" w:rsidP="00BB1488">
            <w:pPr>
              <w:pStyle w:val="TableText"/>
              <w:rPr>
                <w:szCs w:val="24"/>
              </w:rPr>
            </w:pPr>
            <w:r w:rsidRPr="00C82AB3">
              <w:rPr>
                <w:color w:val="000000"/>
                <w:szCs w:val="24"/>
              </w:rPr>
              <w:t>0</w:t>
            </w:r>
          </w:p>
        </w:tc>
        <w:tc>
          <w:tcPr>
            <w:tcW w:w="864" w:type="dxa"/>
            <w:hideMark/>
          </w:tcPr>
          <w:p w14:paraId="53249670" w14:textId="77777777" w:rsidR="00DD70AE" w:rsidRPr="00752CAD" w:rsidRDefault="00DD70AE" w:rsidP="00BB1488">
            <w:pPr>
              <w:pStyle w:val="TableText"/>
              <w:rPr>
                <w:szCs w:val="24"/>
              </w:rPr>
            </w:pPr>
            <w:r w:rsidRPr="00C82AB3">
              <w:rPr>
                <w:color w:val="000000"/>
                <w:szCs w:val="24"/>
              </w:rPr>
              <w:t>9</w:t>
            </w:r>
          </w:p>
        </w:tc>
        <w:tc>
          <w:tcPr>
            <w:tcW w:w="864" w:type="dxa"/>
            <w:hideMark/>
          </w:tcPr>
          <w:p w14:paraId="3DAC2A7E" w14:textId="77777777" w:rsidR="00DD70AE" w:rsidRPr="00752CAD" w:rsidRDefault="00DD70AE" w:rsidP="00BB1488">
            <w:pPr>
              <w:pStyle w:val="TableText"/>
              <w:rPr>
                <w:szCs w:val="24"/>
              </w:rPr>
            </w:pPr>
            <w:r w:rsidRPr="00C82AB3">
              <w:rPr>
                <w:color w:val="000000"/>
                <w:szCs w:val="24"/>
              </w:rPr>
              <w:t>0</w:t>
            </w:r>
          </w:p>
        </w:tc>
        <w:tc>
          <w:tcPr>
            <w:tcW w:w="864" w:type="dxa"/>
            <w:hideMark/>
          </w:tcPr>
          <w:p w14:paraId="10E6FB85" w14:textId="77777777" w:rsidR="00DD70AE" w:rsidRPr="00752CAD" w:rsidRDefault="00DD70AE" w:rsidP="00BB1488">
            <w:pPr>
              <w:pStyle w:val="TableText"/>
              <w:rPr>
                <w:szCs w:val="24"/>
              </w:rPr>
            </w:pPr>
            <w:r w:rsidRPr="00C82AB3">
              <w:rPr>
                <w:color w:val="000000"/>
                <w:szCs w:val="24"/>
              </w:rPr>
              <w:t>3</w:t>
            </w:r>
          </w:p>
        </w:tc>
        <w:tc>
          <w:tcPr>
            <w:tcW w:w="864" w:type="dxa"/>
          </w:tcPr>
          <w:p w14:paraId="084BC555" w14:textId="77777777" w:rsidR="00DD70AE" w:rsidRPr="00752CAD" w:rsidRDefault="00DD70AE" w:rsidP="00BB1488">
            <w:pPr>
              <w:pStyle w:val="TableText"/>
              <w:rPr>
                <w:szCs w:val="24"/>
              </w:rPr>
            </w:pPr>
            <w:r w:rsidRPr="00C82AB3">
              <w:rPr>
                <w:color w:val="000000"/>
                <w:szCs w:val="24"/>
              </w:rPr>
              <w:t>0</w:t>
            </w:r>
          </w:p>
        </w:tc>
      </w:tr>
    </w:tbl>
    <w:p w14:paraId="59623328" w14:textId="248B76BE" w:rsidR="00417F6F" w:rsidRDefault="00417F6F" w:rsidP="007A71B3">
      <w:pPr>
        <w:pStyle w:val="Heading3"/>
        <w:pageBreakBefore/>
        <w:numPr>
          <w:ilvl w:val="0"/>
          <w:numId w:val="0"/>
        </w:numPr>
        <w:ind w:left="446" w:hanging="446"/>
      </w:pPr>
      <w:bookmarkStart w:id="499" w:name="_Toc182555197"/>
      <w:r w:rsidRPr="004B2D24">
        <w:lastRenderedPageBreak/>
        <w:t>References</w:t>
      </w:r>
      <w:bookmarkEnd w:id="499"/>
    </w:p>
    <w:p w14:paraId="75BF333D" w14:textId="4D106982" w:rsidR="00707387" w:rsidRPr="00C34C12" w:rsidRDefault="00490A2C" w:rsidP="00707387">
      <w:pPr>
        <w:pStyle w:val="References"/>
      </w:pPr>
      <w:bookmarkStart w:id="500" w:name="_Hlk67398163"/>
      <w:r w:rsidRPr="00C34C12">
        <w:t xml:space="preserve">California Department of Education. </w:t>
      </w:r>
      <w:r w:rsidR="00707387" w:rsidRPr="00C34C12">
        <w:t xml:space="preserve">(2019a). </w:t>
      </w:r>
      <w:r w:rsidR="00707387" w:rsidRPr="00C34C12">
        <w:rPr>
          <w:i/>
          <w:iCs/>
        </w:rPr>
        <w:t>201</w:t>
      </w:r>
      <w:r w:rsidR="00707387">
        <w:rPr>
          <w:i/>
          <w:iCs/>
        </w:rPr>
        <w:t>9</w:t>
      </w:r>
      <w:r w:rsidR="00707387" w:rsidRPr="00C34C12">
        <w:rPr>
          <w:i/>
          <w:iCs/>
        </w:rPr>
        <w:t>–</w:t>
      </w:r>
      <w:r w:rsidR="00707387">
        <w:rPr>
          <w:i/>
          <w:iCs/>
        </w:rPr>
        <w:t>20</w:t>
      </w:r>
      <w:r w:rsidR="00707387" w:rsidRPr="00C34C12">
        <w:rPr>
          <w:i/>
          <w:iCs/>
        </w:rPr>
        <w:t xml:space="preserve"> California Alternate Assessment for Science test examiner tutorial</w:t>
      </w:r>
      <w:r w:rsidR="00707387" w:rsidRPr="00C34C12">
        <w:t xml:space="preserve">. Sacramento, CA: California Department of Education. </w:t>
      </w:r>
    </w:p>
    <w:p w14:paraId="04A39326" w14:textId="7AF7F07D" w:rsidR="00490A2C" w:rsidRPr="00C34C12" w:rsidRDefault="00490A2C" w:rsidP="00490A2C">
      <w:pPr>
        <w:pStyle w:val="References"/>
      </w:pPr>
      <w:r w:rsidRPr="00C34C12">
        <w:t>California Department of Education. (20</w:t>
      </w:r>
      <w:r w:rsidR="00A372FC">
        <w:t>19</w:t>
      </w:r>
      <w:r w:rsidR="00707387">
        <w:t>b</w:t>
      </w:r>
      <w:r w:rsidRPr="00C34C12">
        <w:t xml:space="preserve">). </w:t>
      </w:r>
      <w:r w:rsidR="00C610E5" w:rsidRPr="00C610E5">
        <w:rPr>
          <w:i/>
          <w:iCs/>
        </w:rPr>
        <w:t xml:space="preserve">CAASPP and ELPAC </w:t>
      </w:r>
      <w:r w:rsidR="00C610E5">
        <w:rPr>
          <w:i/>
        </w:rPr>
        <w:t>t</w:t>
      </w:r>
      <w:r w:rsidRPr="00C34C12">
        <w:rPr>
          <w:i/>
        </w:rPr>
        <w:t>echnical specifications and configuration guide for online testing</w:t>
      </w:r>
      <w:r w:rsidRPr="00C34C12">
        <w:t xml:space="preserve">. Sacramento, CA: California Department of Education. </w:t>
      </w:r>
    </w:p>
    <w:p w14:paraId="06E47B36" w14:textId="3842D572" w:rsidR="00490A2C" w:rsidRPr="00C34C12" w:rsidRDefault="00490A2C" w:rsidP="00490A2C">
      <w:pPr>
        <w:pStyle w:val="References"/>
      </w:pPr>
      <w:r w:rsidRPr="00C34C12">
        <w:t>California Department of Education. (2019</w:t>
      </w:r>
      <w:r w:rsidR="00707387">
        <w:t>c</w:t>
      </w:r>
      <w:r w:rsidRPr="00C34C12">
        <w:t xml:space="preserve">). </w:t>
      </w:r>
      <w:r w:rsidRPr="00C34C12">
        <w:rPr>
          <w:i/>
          <w:iCs/>
        </w:rPr>
        <w:t xml:space="preserve">California Alternate Assessment for Science directions for administration, training performance task, fossils and </w:t>
      </w:r>
      <w:r w:rsidR="00BC7A02">
        <w:rPr>
          <w:i/>
          <w:iCs/>
        </w:rPr>
        <w:t>plate tectonics</w:t>
      </w:r>
      <w:r w:rsidRPr="00C34C12">
        <w:rPr>
          <w:i/>
          <w:iCs/>
        </w:rPr>
        <w:t xml:space="preserve">. </w:t>
      </w:r>
      <w:r w:rsidRPr="00C34C12">
        <w:t xml:space="preserve">Sacramento, CA: California Department of Education. </w:t>
      </w:r>
    </w:p>
    <w:p w14:paraId="13373164" w14:textId="67E9113F" w:rsidR="00C610E5" w:rsidRPr="00C34C12" w:rsidRDefault="00C610E5" w:rsidP="00C610E5">
      <w:pPr>
        <w:pStyle w:val="References"/>
      </w:pPr>
      <w:r w:rsidRPr="00C34C12">
        <w:t>California Department of Education. (2019</w:t>
      </w:r>
      <w:r w:rsidR="00431BB1">
        <w:t>d</w:t>
      </w:r>
      <w:r w:rsidRPr="00C34C12">
        <w:t xml:space="preserve">). </w:t>
      </w:r>
      <w:r w:rsidRPr="00C34C12">
        <w:rPr>
          <w:i/>
        </w:rPr>
        <w:t>Matrix one:</w:t>
      </w:r>
      <w:r w:rsidRPr="00C34C12">
        <w:t xml:space="preserve"> </w:t>
      </w:r>
      <w:r w:rsidRPr="00C34C12">
        <w:rPr>
          <w:i/>
        </w:rPr>
        <w:t>Universal tools, designated supports, and accommodations for the California Assessment of Student Performance and Progress for 2019–20.</w:t>
      </w:r>
      <w:r w:rsidRPr="00C34C12">
        <w:t xml:space="preserve"> Sacramento, CA: California Department of Education. </w:t>
      </w:r>
    </w:p>
    <w:p w14:paraId="21876502" w14:textId="42148249" w:rsidR="00C610E5" w:rsidRPr="00C34C12" w:rsidRDefault="00C610E5" w:rsidP="00C610E5">
      <w:pPr>
        <w:pStyle w:val="References"/>
      </w:pPr>
      <w:bookmarkStart w:id="501" w:name="_Hlk67399252"/>
      <w:r w:rsidRPr="00C34C12">
        <w:t>California Department of Education. (20</w:t>
      </w:r>
      <w:r>
        <w:t>20a</w:t>
      </w:r>
      <w:r w:rsidRPr="00C34C12">
        <w:t xml:space="preserve">). </w:t>
      </w:r>
      <w:r w:rsidRPr="00C34C12">
        <w:rPr>
          <w:i/>
          <w:iCs/>
        </w:rPr>
        <w:t>20</w:t>
      </w:r>
      <w:r>
        <w:rPr>
          <w:i/>
          <w:iCs/>
        </w:rPr>
        <w:t>20</w:t>
      </w:r>
      <w:r w:rsidRPr="00C34C12">
        <w:rPr>
          <w:i/>
          <w:iCs/>
        </w:rPr>
        <w:t>–</w:t>
      </w:r>
      <w:r>
        <w:rPr>
          <w:i/>
          <w:iCs/>
        </w:rPr>
        <w:t>21</w:t>
      </w:r>
      <w:r w:rsidRPr="00C34C12">
        <w:rPr>
          <w:i/>
          <w:iCs/>
        </w:rPr>
        <w:t xml:space="preserve"> CAA for Science administration planning guide: Grade eight.</w:t>
      </w:r>
      <w:r w:rsidRPr="00C34C12">
        <w:t xml:space="preserve"> Sacramento, CA: California Department of Education. </w:t>
      </w:r>
    </w:p>
    <w:bookmarkEnd w:id="501"/>
    <w:p w14:paraId="172F8E50" w14:textId="17754787" w:rsidR="00431BB1" w:rsidRPr="00C34C12" w:rsidRDefault="00431BB1" w:rsidP="00431BB1">
      <w:pPr>
        <w:pStyle w:val="References"/>
      </w:pPr>
      <w:r w:rsidRPr="00C34C12">
        <w:t>California Department of Education. (20</w:t>
      </w:r>
      <w:r>
        <w:t>20b</w:t>
      </w:r>
      <w:r w:rsidRPr="00C34C12">
        <w:t>)</w:t>
      </w:r>
      <w:r w:rsidR="00B667E9">
        <w:t>.</w:t>
      </w:r>
      <w:r w:rsidRPr="00C34C12">
        <w:t xml:space="preserve"> </w:t>
      </w:r>
      <w:r>
        <w:rPr>
          <w:i/>
        </w:rPr>
        <w:t>CAASPP and ELPAC a</w:t>
      </w:r>
      <w:r w:rsidRPr="00C34C12">
        <w:rPr>
          <w:i/>
        </w:rPr>
        <w:t>ccessibility guide for online testing.</w:t>
      </w:r>
      <w:r w:rsidRPr="00C34C12">
        <w:t xml:space="preserve"> Sacramento, CA: California Department of Education. </w:t>
      </w:r>
    </w:p>
    <w:p w14:paraId="002C3C74" w14:textId="1691CE60" w:rsidR="00A372FC" w:rsidRPr="00C40871" w:rsidRDefault="00A372FC" w:rsidP="00A372FC">
      <w:pPr>
        <w:pStyle w:val="References"/>
      </w:pPr>
      <w:r w:rsidRPr="00124D70">
        <w:rPr>
          <w:szCs w:val="20"/>
        </w:rPr>
        <w:t>California Department of Education. (20</w:t>
      </w:r>
      <w:r>
        <w:rPr>
          <w:szCs w:val="20"/>
        </w:rPr>
        <w:t>20</w:t>
      </w:r>
      <w:r w:rsidR="00431BB1">
        <w:rPr>
          <w:szCs w:val="20"/>
        </w:rPr>
        <w:t>c</w:t>
      </w:r>
      <w:r w:rsidRPr="00124D70">
        <w:rPr>
          <w:szCs w:val="20"/>
        </w:rPr>
        <w:t xml:space="preserve">). </w:t>
      </w:r>
      <w:r w:rsidRPr="00512C8E">
        <w:rPr>
          <w:i/>
          <w:szCs w:val="20"/>
        </w:rPr>
        <w:t>CAASPP and ELPAC Test Operations Management System user guide</w:t>
      </w:r>
      <w:r w:rsidRPr="00124D70">
        <w:rPr>
          <w:szCs w:val="20"/>
        </w:rPr>
        <w:t xml:space="preserve">. Sacramento, CA: California Department of Education. </w:t>
      </w:r>
    </w:p>
    <w:p w14:paraId="01222C2A" w14:textId="4EAEC88B" w:rsidR="00C37D6F" w:rsidRPr="00C34C12" w:rsidRDefault="00C37D6F" w:rsidP="00C37D6F">
      <w:pPr>
        <w:pStyle w:val="References"/>
      </w:pPr>
      <w:r w:rsidRPr="00C34C12">
        <w:t>California Department of Education. (20</w:t>
      </w:r>
      <w:r>
        <w:t>20</w:t>
      </w:r>
      <w:r w:rsidR="00431BB1">
        <w:t>d</w:t>
      </w:r>
      <w:r w:rsidRPr="00C34C12">
        <w:t xml:space="preserve">). </w:t>
      </w:r>
      <w:r w:rsidRPr="00C34C12">
        <w:rPr>
          <w:i/>
        </w:rPr>
        <w:t>CAASPP online test administration manual, 201</w:t>
      </w:r>
      <w:r>
        <w:rPr>
          <w:i/>
        </w:rPr>
        <w:t>9</w:t>
      </w:r>
      <w:r w:rsidRPr="00C34C12">
        <w:rPr>
          <w:i/>
        </w:rPr>
        <w:t>–</w:t>
      </w:r>
      <w:r>
        <w:rPr>
          <w:i/>
        </w:rPr>
        <w:t>2020</w:t>
      </w:r>
      <w:r w:rsidRPr="00C34C12">
        <w:rPr>
          <w:i/>
        </w:rPr>
        <w:t xml:space="preserve"> </w:t>
      </w:r>
      <w:r>
        <w:rPr>
          <w:i/>
        </w:rPr>
        <w:t xml:space="preserve">test </w:t>
      </w:r>
      <w:r w:rsidRPr="00C34C12">
        <w:rPr>
          <w:i/>
        </w:rPr>
        <w:t>administration.</w:t>
      </w:r>
      <w:r w:rsidRPr="00C34C12">
        <w:t xml:space="preserve"> Sacramento, CA: California Department of Education. </w:t>
      </w:r>
    </w:p>
    <w:p w14:paraId="58A2CF60" w14:textId="13221ED8" w:rsidR="00C37D6F" w:rsidRPr="00C34C12" w:rsidRDefault="00C37D6F" w:rsidP="00C37D6F">
      <w:pPr>
        <w:pStyle w:val="References"/>
      </w:pPr>
      <w:r w:rsidRPr="00C34C12">
        <w:t>California Department of Education. (20</w:t>
      </w:r>
      <w:r>
        <w:t>20</w:t>
      </w:r>
      <w:r w:rsidR="00431BB1">
        <w:t>e</w:t>
      </w:r>
      <w:r w:rsidRPr="00C34C12">
        <w:t xml:space="preserve">). </w:t>
      </w:r>
      <w:r w:rsidRPr="00116A3C">
        <w:rPr>
          <w:i/>
          <w:iCs/>
        </w:rPr>
        <w:t>CAASPP</w:t>
      </w:r>
      <w:r>
        <w:t xml:space="preserve"> </w:t>
      </w:r>
      <w:r>
        <w:rPr>
          <w:rFonts w:eastAsia="Times New Roman"/>
          <w:i/>
        </w:rPr>
        <w:t>s</w:t>
      </w:r>
      <w:r w:rsidRPr="00C34C12">
        <w:rPr>
          <w:rFonts w:eastAsia="Times New Roman"/>
          <w:i/>
        </w:rPr>
        <w:t xml:space="preserve">ecurity incidents and </w:t>
      </w:r>
      <w:r w:rsidR="005C028D" w:rsidRPr="00C34C12">
        <w:rPr>
          <w:rFonts w:eastAsia="Times New Roman"/>
          <w:i/>
        </w:rPr>
        <w:t xml:space="preserve">Appeals </w:t>
      </w:r>
      <w:r w:rsidRPr="00C34C12">
        <w:rPr>
          <w:rFonts w:eastAsia="Times New Roman"/>
          <w:i/>
        </w:rPr>
        <w:t xml:space="preserve">procedure guide. </w:t>
      </w:r>
      <w:r w:rsidRPr="00C34C12">
        <w:t xml:space="preserve">Sacramento, CA: California Department of Education. </w:t>
      </w:r>
    </w:p>
    <w:p w14:paraId="6BFF55CE" w14:textId="4D209AD3" w:rsidR="00707387" w:rsidRPr="00380C0B" w:rsidRDefault="00707387" w:rsidP="00707387">
      <w:pPr>
        <w:pStyle w:val="References"/>
      </w:pPr>
      <w:r>
        <w:t>California Department of Education. (2020</w:t>
      </w:r>
      <w:r w:rsidR="00721B49">
        <w:t>f</w:t>
      </w:r>
      <w:r>
        <w:t xml:space="preserve">). </w:t>
      </w:r>
      <w:r w:rsidRPr="00163DF8">
        <w:rPr>
          <w:i/>
        </w:rPr>
        <w:t xml:space="preserve">California </w:t>
      </w:r>
      <w:r>
        <w:rPr>
          <w:i/>
        </w:rPr>
        <w:t>a</w:t>
      </w:r>
      <w:r w:rsidRPr="00163DF8">
        <w:rPr>
          <w:i/>
        </w:rPr>
        <w:t xml:space="preserve">ssessment </w:t>
      </w:r>
      <w:r>
        <w:rPr>
          <w:i/>
        </w:rPr>
        <w:t>a</w:t>
      </w:r>
      <w:r w:rsidRPr="00163DF8">
        <w:rPr>
          <w:i/>
        </w:rPr>
        <w:t xml:space="preserve">ccessibility </w:t>
      </w:r>
      <w:r>
        <w:rPr>
          <w:i/>
        </w:rPr>
        <w:t>r</w:t>
      </w:r>
      <w:r w:rsidRPr="00163DF8">
        <w:rPr>
          <w:i/>
        </w:rPr>
        <w:t xml:space="preserve">esources </w:t>
      </w:r>
      <w:r>
        <w:rPr>
          <w:i/>
        </w:rPr>
        <w:t>m</w:t>
      </w:r>
      <w:r w:rsidRPr="00163DF8">
        <w:rPr>
          <w:i/>
        </w:rPr>
        <w:t>atrix</w:t>
      </w:r>
      <w:r>
        <w:t xml:space="preserve">. Sacramento, CA: California Department of Education. </w:t>
      </w:r>
    </w:p>
    <w:p w14:paraId="4327BD76" w14:textId="089759B6" w:rsidR="00490A2C" w:rsidRPr="00C34C12" w:rsidRDefault="00490A2C" w:rsidP="00490A2C">
      <w:pPr>
        <w:pStyle w:val="References"/>
        <w:rPr>
          <w:szCs w:val="20"/>
        </w:rPr>
      </w:pPr>
      <w:r w:rsidRPr="00C34C12">
        <w:rPr>
          <w:szCs w:val="20"/>
        </w:rPr>
        <w:t xml:space="preserve">California Science Teachers Association. (2000–2019). </w:t>
      </w:r>
      <w:r w:rsidRPr="00C34C12">
        <w:rPr>
          <w:i/>
          <w:iCs/>
          <w:szCs w:val="20"/>
        </w:rPr>
        <w:t>CA Alternate Assessment - CAA- Science</w:t>
      </w:r>
      <w:r w:rsidRPr="00C34C12">
        <w:rPr>
          <w:szCs w:val="20"/>
        </w:rPr>
        <w:t xml:space="preserve">. </w:t>
      </w:r>
    </w:p>
    <w:p w14:paraId="3F099639" w14:textId="009C7E72" w:rsidR="00D827B2" w:rsidRPr="00D827B2" w:rsidRDefault="00490A2C" w:rsidP="00A15018">
      <w:pPr>
        <w:pStyle w:val="References"/>
      </w:pPr>
      <w:r w:rsidRPr="00C34C12">
        <w:rPr>
          <w:szCs w:val="20"/>
        </w:rPr>
        <w:t>Educational</w:t>
      </w:r>
      <w:r w:rsidRPr="00C34C12">
        <w:t xml:space="preserve"> Testing Service. (2014). </w:t>
      </w:r>
      <w:r w:rsidRPr="00C34C12">
        <w:rPr>
          <w:i/>
        </w:rPr>
        <w:t>ETS standards for quality and fairness</w:t>
      </w:r>
      <w:r w:rsidRPr="00C34C12">
        <w:t xml:space="preserve">. Princeton, NJ: Educational Testing Service. </w:t>
      </w:r>
    </w:p>
    <w:p w14:paraId="6A186E4F" w14:textId="4385F3DA" w:rsidR="00721B49" w:rsidRPr="00124D70" w:rsidRDefault="00721B49" w:rsidP="00721B49">
      <w:pPr>
        <w:pStyle w:val="References"/>
      </w:pPr>
      <w:r w:rsidRPr="00124D70">
        <w:t xml:space="preserve">Smarter Balanced Assessment Consortium. (2014). </w:t>
      </w:r>
      <w:r w:rsidRPr="00124D70">
        <w:rPr>
          <w:i/>
        </w:rPr>
        <w:t xml:space="preserve">Smarter Balanced Assessment Consortium: Usability, accessibility, and accommodations implementation guide. </w:t>
      </w:r>
      <w:r w:rsidRPr="00124D70">
        <w:t xml:space="preserve">Los Angeles: Smarter Balanced Assessment Consortium. </w:t>
      </w:r>
    </w:p>
    <w:p w14:paraId="60670D4F" w14:textId="3C2A0974" w:rsidR="00721B49" w:rsidRPr="00124D70" w:rsidRDefault="00721B49" w:rsidP="00721B49">
      <w:pPr>
        <w:pStyle w:val="References"/>
        <w:rPr>
          <w:szCs w:val="20"/>
        </w:rPr>
      </w:pPr>
      <w:r w:rsidRPr="00124D70">
        <w:rPr>
          <w:szCs w:val="20"/>
        </w:rPr>
        <w:t xml:space="preserve">Smarter Balanced Assessment Consortium. (2018). </w:t>
      </w:r>
      <w:r w:rsidRPr="00124D70">
        <w:rPr>
          <w:i/>
          <w:szCs w:val="20"/>
        </w:rPr>
        <w:t>Smarter Balanced Resources and Practices Comparison Crosswalk.</w:t>
      </w:r>
      <w:r w:rsidRPr="00124D70">
        <w:rPr>
          <w:szCs w:val="20"/>
        </w:rPr>
        <w:t xml:space="preserve"> Los Angeles: Smarter Balanced Assessment Consortium. </w:t>
      </w:r>
    </w:p>
    <w:p w14:paraId="40F8BDE3" w14:textId="6A38BE75" w:rsidR="00721B49" w:rsidRDefault="00721B49" w:rsidP="00A15018">
      <w:pPr>
        <w:pStyle w:val="References"/>
        <w:rPr>
          <w:szCs w:val="20"/>
        </w:rPr>
      </w:pPr>
      <w:r w:rsidRPr="00C34C12">
        <w:t>Smarter Balanced Assessment Consortium. (20</w:t>
      </w:r>
      <w:r>
        <w:t>20</w:t>
      </w:r>
      <w:r w:rsidRPr="00C34C12">
        <w:t xml:space="preserve">). </w:t>
      </w:r>
      <w:r w:rsidRPr="00C34C12">
        <w:rPr>
          <w:i/>
        </w:rPr>
        <w:t>Smarter Balanced Assessment Consortium: Usability, accessibility, and accommodations guidelines.</w:t>
      </w:r>
      <w:r w:rsidRPr="00C34C12">
        <w:t xml:space="preserve"> Los Angeles, CA: Smarter Balanced Assessment Consortium. </w:t>
      </w:r>
    </w:p>
    <w:p w14:paraId="27517DF1" w14:textId="3ADA48EB" w:rsidR="00E16AE1" w:rsidRPr="004B2D24" w:rsidRDefault="00E16AE1" w:rsidP="00670FD2">
      <w:pPr>
        <w:pStyle w:val="Heading2"/>
      </w:pPr>
      <w:bookmarkStart w:id="502" w:name="_Scoring_and_Reporting"/>
      <w:bookmarkStart w:id="503" w:name="_Toc182555198"/>
      <w:bookmarkEnd w:id="500"/>
      <w:bookmarkEnd w:id="502"/>
      <w:r w:rsidRPr="004B2D24">
        <w:lastRenderedPageBreak/>
        <w:t>Scoring</w:t>
      </w:r>
      <w:r w:rsidR="006F6A88" w:rsidRPr="004B2D24">
        <w:t xml:space="preserve"> and Reporting</w:t>
      </w:r>
      <w:bookmarkEnd w:id="503"/>
    </w:p>
    <w:p w14:paraId="12F8425F" w14:textId="4AAC9B08" w:rsidR="001145F0" w:rsidRPr="00C34C12" w:rsidRDefault="001145F0" w:rsidP="001145F0">
      <w:pPr>
        <w:keepNext/>
      </w:pPr>
      <w:r w:rsidRPr="00C34C12">
        <w:t xml:space="preserve">Student scores for the </w:t>
      </w:r>
      <w:r>
        <w:t xml:space="preserve">operational administration </w:t>
      </w:r>
      <w:r w:rsidRPr="00C34C12">
        <w:t>of the California Alternate Assessment (CAA) for Science, given during the 201</w:t>
      </w:r>
      <w:r w:rsidR="006E182F">
        <w:t>9</w:t>
      </w:r>
      <w:r w:rsidRPr="00C34C12">
        <w:t>–20</w:t>
      </w:r>
      <w:r w:rsidR="006E182F">
        <w:t>20</w:t>
      </w:r>
      <w:r w:rsidRPr="00C34C12">
        <w:t xml:space="preserve"> California Assessment of Student Performance and Progress (CAASPP) administration, were not reported using CAASPP Student Score Reports. However, the percent-correct scores and preliminary indicator categories were calculated to provide local educational agencies (LEAs) with information on student performance on the assessment. This chapter describes how the student responses were scored to determine each student’s percent-correct score and preliminary indictor category.</w:t>
      </w:r>
    </w:p>
    <w:p w14:paraId="0B3B54DC" w14:textId="07A1859C" w:rsidR="00902C37" w:rsidRDefault="006F6A88" w:rsidP="00DB6635">
      <w:pPr>
        <w:pStyle w:val="Heading3"/>
      </w:pPr>
      <w:bookmarkStart w:id="504" w:name="_Toc66787446"/>
      <w:bookmarkStart w:id="505" w:name="_Toc66787905"/>
      <w:bookmarkStart w:id="506" w:name="_Toc67035497"/>
      <w:bookmarkStart w:id="507" w:name="_Toc67319361"/>
      <w:bookmarkStart w:id="508" w:name="_Toc67382473"/>
      <w:bookmarkStart w:id="509" w:name="_Toc67466032"/>
      <w:bookmarkStart w:id="510" w:name="_Toc68089013"/>
      <w:bookmarkStart w:id="511" w:name="_Toc68107862"/>
      <w:bookmarkStart w:id="512" w:name="_CAA_for_Science"/>
      <w:bookmarkStart w:id="513" w:name="_Toc182555199"/>
      <w:bookmarkEnd w:id="504"/>
      <w:bookmarkEnd w:id="505"/>
      <w:bookmarkEnd w:id="506"/>
      <w:bookmarkEnd w:id="507"/>
      <w:bookmarkEnd w:id="508"/>
      <w:bookmarkEnd w:id="509"/>
      <w:bookmarkEnd w:id="510"/>
      <w:bookmarkEnd w:id="511"/>
      <w:bookmarkEnd w:id="512"/>
      <w:r w:rsidRPr="004B2D24">
        <w:t>CAA for Science Scoring Process</w:t>
      </w:r>
      <w:bookmarkEnd w:id="513"/>
    </w:p>
    <w:p w14:paraId="7E9EC4ED" w14:textId="0AC4024D" w:rsidR="005945CE" w:rsidRPr="00C34C12" w:rsidRDefault="005945CE" w:rsidP="005945CE">
      <w:r w:rsidRPr="00C34C12">
        <w:t xml:space="preserve">Each student was administered three </w:t>
      </w:r>
      <w:r w:rsidR="00576C75">
        <w:t xml:space="preserve">operational </w:t>
      </w:r>
      <w:r w:rsidRPr="00C34C12">
        <w:t>embedded performance tasks (PTs)</w:t>
      </w:r>
      <w:r w:rsidR="00700C80">
        <w:t xml:space="preserve"> and one field test</w:t>
      </w:r>
      <w:r w:rsidR="00C1041D">
        <w:t xml:space="preserve"> embedded</w:t>
      </w:r>
      <w:r w:rsidR="00700C80">
        <w:t xml:space="preserve"> PT</w:t>
      </w:r>
      <w:r w:rsidRPr="00C34C12">
        <w:t>, each consisting of 10 items, for a total of 12 points. Two items in each</w:t>
      </w:r>
      <w:r w:rsidR="00C1041D" w:rsidRPr="00C1041D">
        <w:t xml:space="preserve"> </w:t>
      </w:r>
      <w:r w:rsidR="00C1041D">
        <w:t>embedded</w:t>
      </w:r>
      <w:r w:rsidRPr="00C34C12">
        <w:t xml:space="preserve"> PT are worth two points. </w:t>
      </w:r>
      <w:r w:rsidR="00700C80">
        <w:t>The field test items do not c</w:t>
      </w:r>
      <w:r w:rsidR="00290509">
        <w:t xml:space="preserve">ount toward </w:t>
      </w:r>
      <w:r w:rsidR="007E7328">
        <w:t>the student’s total test score.</w:t>
      </w:r>
    </w:p>
    <w:p w14:paraId="2BF5BD79" w14:textId="60940694" w:rsidR="005945CE" w:rsidRPr="00C34C12" w:rsidRDefault="005945CE" w:rsidP="005945CE">
      <w:r w:rsidRPr="00C34C12">
        <w:t>During</w:t>
      </w:r>
      <w:r w:rsidR="00827E5A">
        <w:t xml:space="preserve"> the</w:t>
      </w:r>
      <w:r w:rsidRPr="00C34C12">
        <w:t xml:space="preserve"> administration, the student’s answer to each item was entered into the CAASPP test delivery system (TDS). Instructions detailing how to administer the tests were provided in the secure </w:t>
      </w:r>
      <w:r w:rsidRPr="00C34C12">
        <w:rPr>
          <w:i/>
          <w:iCs/>
        </w:rPr>
        <w:t>Embedded Performance Task Directions for Administration.</w:t>
      </w:r>
      <w:r w:rsidRPr="00C34C12">
        <w:t xml:space="preserve"> Refer to </w:t>
      </w:r>
      <w:r w:rsidR="0004693C">
        <w:t>a</w:t>
      </w:r>
      <w:r w:rsidR="0004693C" w:rsidRPr="00C34C12">
        <w:t xml:space="preserve"> </w:t>
      </w:r>
      <w:r w:rsidRPr="00C34C12">
        <w:t xml:space="preserve">nonsecure training test </w:t>
      </w:r>
      <w:r w:rsidRPr="00C34C12">
        <w:rPr>
          <w:i/>
          <w:iCs/>
        </w:rPr>
        <w:t>DFA</w:t>
      </w:r>
      <w:r w:rsidRPr="00C34C12">
        <w:t xml:space="preserve"> for the type of information and instructions that were available to test examiners (California Department of Education, 2019).</w:t>
      </w:r>
    </w:p>
    <w:p w14:paraId="503A318F" w14:textId="32A8B9E0" w:rsidR="00D60CBC" w:rsidRPr="00C34C12" w:rsidRDefault="005945CE" w:rsidP="00D60CBC">
      <w:r w:rsidRPr="00C34C12">
        <w:t>Student responses to items were captured and scored in the TDS and then the data was passed directly from the quality monitoring system to the database of record to be transmitted to ETS. The percent correct and preliminary indicator were assigned to each student by ETS’ Enterprise Score Key Management System.</w:t>
      </w:r>
    </w:p>
    <w:p w14:paraId="638C1EAD" w14:textId="77777777" w:rsidR="00D60CBC" w:rsidRPr="00C34C12" w:rsidRDefault="00D60CBC" w:rsidP="00D60CBC">
      <w:pPr>
        <w:pStyle w:val="Heading3"/>
        <w:ind w:left="360" w:hanging="360"/>
      </w:pPr>
      <w:bookmarkStart w:id="514" w:name="_Toc38901278"/>
      <w:bookmarkStart w:id="515" w:name="_Toc182555200"/>
      <w:r w:rsidRPr="00C34C12">
        <w:t>Types of Scores</w:t>
      </w:r>
      <w:bookmarkEnd w:id="514"/>
      <w:bookmarkEnd w:id="515"/>
    </w:p>
    <w:p w14:paraId="1181C9FD" w14:textId="601D7888" w:rsidR="00D60CBC" w:rsidRPr="00C34C12" w:rsidRDefault="00D60CBC" w:rsidP="00D60CBC">
      <w:r w:rsidRPr="00C34C12">
        <w:t>To provide a broad and early indication about an LEA’s implementation of the California Next Generation Science Standards</w:t>
      </w:r>
      <w:r w:rsidR="00457D0A" w:rsidRPr="00C34C12">
        <w:t xml:space="preserve"> Core Content Connectors (Science Connectors)</w:t>
      </w:r>
      <w:r w:rsidR="00354A37">
        <w:t xml:space="preserve"> </w:t>
      </w:r>
      <w:r w:rsidRPr="00C34C12">
        <w:t>on the CAA for Science, two types of scores were calculated: the percent-correct score that indicates</w:t>
      </w:r>
      <w:r w:rsidR="0044460A">
        <w:t xml:space="preserve"> the</w:t>
      </w:r>
      <w:r w:rsidRPr="00C34C12">
        <w:t xml:space="preserve"> percentage of maximum points earned by a student; and a preliminary indicator category that indicates low, medium, or high performance (implying limited, moderate, or considerable understanding of the content tested).</w:t>
      </w:r>
    </w:p>
    <w:p w14:paraId="3B2E9B0B" w14:textId="77777777" w:rsidR="00D60CBC" w:rsidRPr="00C34C12" w:rsidRDefault="00D60CBC" w:rsidP="00D60CBC">
      <w:pPr>
        <w:pStyle w:val="Heading4"/>
        <w:ind w:left="792" w:hanging="792"/>
      </w:pPr>
      <w:bookmarkStart w:id="516" w:name="_Toc38901279"/>
      <w:bookmarkStart w:id="517" w:name="_Toc182555201"/>
      <w:r w:rsidRPr="00C34C12">
        <w:t>Percent Correct</w:t>
      </w:r>
      <w:bookmarkEnd w:id="516"/>
      <w:bookmarkEnd w:id="517"/>
    </w:p>
    <w:p w14:paraId="05FECE51" w14:textId="3D74784D" w:rsidR="00D60CBC" w:rsidRPr="00C34C12" w:rsidRDefault="00D60CBC" w:rsidP="00D60CBC">
      <w:r w:rsidRPr="00C34C12">
        <w:t xml:space="preserve">The percent-correct scores are calculated for </w:t>
      </w:r>
      <w:r w:rsidR="00766E38">
        <w:t>operational</w:t>
      </w:r>
      <w:r w:rsidRPr="00C34C12">
        <w:t xml:space="preserve"> items. The percent correct is calculated using equation</w:t>
      </w:r>
      <w:r w:rsidR="00714179">
        <w:t xml:space="preserve"> 6.1. </w:t>
      </w:r>
      <w:r w:rsidR="00714179" w:rsidRPr="00C34C12">
        <w:rPr>
          <w:i/>
          <w:iCs/>
        </w:rPr>
        <w:t>Refer to</w:t>
      </w:r>
      <w:r w:rsidR="00714179" w:rsidRPr="00C34C12">
        <w:rPr>
          <w:i/>
        </w:rPr>
        <w:t xml:space="preserve"> the </w:t>
      </w:r>
      <w:hyperlink w:anchor="_Alternative_Text_for_10" w:history="1">
        <w:r w:rsidR="00714179" w:rsidRPr="00C34C12">
          <w:rPr>
            <w:rStyle w:val="Hyperlink"/>
            <w:i/>
          </w:rPr>
          <w:t>Alternative Text for Equation 6.1</w:t>
        </w:r>
      </w:hyperlink>
      <w:r w:rsidR="00714179" w:rsidRPr="00C34C12">
        <w:rPr>
          <w:i/>
        </w:rPr>
        <w:t xml:space="preserve"> for a description of this equation.</w:t>
      </w:r>
    </w:p>
    <w:bookmarkStart w:id="518" w:name="_MON_1791276533"/>
    <w:bookmarkEnd w:id="518"/>
    <w:bookmarkStart w:id="519" w:name="_MON_1610168215"/>
    <w:bookmarkEnd w:id="519"/>
    <w:p w14:paraId="1B3D9A52" w14:textId="05920B13" w:rsidR="00D60CBC" w:rsidRPr="00C34C12" w:rsidRDefault="00317548" w:rsidP="00D60CBC">
      <w:pPr>
        <w:pStyle w:val="NormalIndent2"/>
        <w:tabs>
          <w:tab w:val="right" w:pos="9900"/>
        </w:tabs>
      </w:pPr>
      <w:r>
        <w:object w:dxaOrig="8780" w:dyaOrig="700" w14:anchorId="7795B3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uation 6.1; a link to the long description for this equation is found in the preceding paragraph." style="width:438.9pt;height:35.05pt" o:ole="">
            <v:imagedata r:id="rId35" o:title=""/>
          </v:shape>
          <o:OLEObject Type="Embed" ProgID="Word.Document.12" ShapeID="_x0000_i1025" DrawAspect="Content" ObjectID="_1835872851" r:id="rId36">
            <o:FieldCodes>\s</o:FieldCodes>
          </o:OLEObject>
        </w:object>
      </w:r>
      <w:r w:rsidR="00D60CBC" w:rsidRPr="00C34C12">
        <w:tab/>
      </w:r>
      <w:bookmarkStart w:id="520" w:name="EQ6_1"/>
      <w:r w:rsidR="00D60CBC" w:rsidRPr="00C34C12">
        <w:t>(6.1)</w:t>
      </w:r>
      <w:bookmarkEnd w:id="520"/>
    </w:p>
    <w:p w14:paraId="710A445C" w14:textId="77777777" w:rsidR="00D60CBC" w:rsidRPr="00C34C12" w:rsidRDefault="00D60CBC" w:rsidP="00D60CBC">
      <w:r w:rsidRPr="00C34C12">
        <w:t>If the student did not respond to at least one item for the</w:t>
      </w:r>
      <w:r w:rsidRPr="00C34C12">
        <w:rPr>
          <w:rFonts w:eastAsia="Calibri"/>
        </w:rPr>
        <w:t xml:space="preserve"> embedded</w:t>
      </w:r>
      <w:r w:rsidRPr="00C34C12">
        <w:t xml:space="preserve"> PT, a score of 0 (zero) was assigned for that</w:t>
      </w:r>
      <w:r w:rsidRPr="00C34C12">
        <w:rPr>
          <w:rFonts w:eastAsia="Calibri"/>
        </w:rPr>
        <w:t xml:space="preserve"> embedded</w:t>
      </w:r>
      <w:r w:rsidRPr="00C34C12">
        <w:t xml:space="preserve"> PT.</w:t>
      </w:r>
    </w:p>
    <w:p w14:paraId="31ED61D4" w14:textId="77777777" w:rsidR="00D60CBC" w:rsidRPr="00C34C12" w:rsidRDefault="00D60CBC" w:rsidP="00D60CBC">
      <w:pPr>
        <w:pStyle w:val="Heading4"/>
        <w:ind w:left="792" w:hanging="792"/>
      </w:pPr>
      <w:bookmarkStart w:id="521" w:name="_Toc38901280"/>
      <w:bookmarkStart w:id="522" w:name="_Toc182555202"/>
      <w:r w:rsidRPr="00C34C12">
        <w:lastRenderedPageBreak/>
        <w:t>Preliminary Indicator Categories</w:t>
      </w:r>
      <w:bookmarkEnd w:id="521"/>
      <w:bookmarkEnd w:id="522"/>
    </w:p>
    <w:p w14:paraId="0FA37864" w14:textId="266455FA" w:rsidR="005945CE" w:rsidRPr="00C34C12" w:rsidRDefault="005945CE" w:rsidP="005945CE">
      <w:r w:rsidRPr="00C34C12">
        <w:t xml:space="preserve">The preliminary indicators are descriptive statements with corresponding threshold scores used in reporting the CAA for Science results. Indicators are considered preliminary because they are available to parents/guardians and the public before </w:t>
      </w:r>
      <w:r w:rsidR="000954C2">
        <w:t>the development of the operational reporting scale</w:t>
      </w:r>
      <w:r w:rsidRPr="00C34C12">
        <w:t>.</w:t>
      </w:r>
    </w:p>
    <w:p w14:paraId="0D4E4B54" w14:textId="5CF21B99" w:rsidR="005945CE" w:rsidRPr="00C34C12" w:rsidRDefault="005945CE" w:rsidP="005945CE">
      <w:r w:rsidRPr="00C34C12">
        <w:t>There</w:t>
      </w:r>
      <w:r w:rsidRPr="00C34C12" w:rsidDel="0004480A">
        <w:t xml:space="preserve"> </w:t>
      </w:r>
      <w:r w:rsidRPr="00C34C12">
        <w:t xml:space="preserve">were three preliminary indicator categories to indicate high (category 3), medium (category 2), or low (category 1) performance. A student’s preliminary indicator category provided a general indication of the student’s understanding of the Science Connectors. </w:t>
      </w:r>
      <w:r w:rsidR="00FE6130" w:rsidRPr="007C431E">
        <w:rPr>
          <w:rStyle w:val="Cross-Reference"/>
        </w:rPr>
        <w:fldChar w:fldCharType="begin"/>
      </w:r>
      <w:r w:rsidR="00FE6130" w:rsidRPr="007C431E">
        <w:rPr>
          <w:rStyle w:val="Cross-Reference"/>
        </w:rPr>
        <w:instrText xml:space="preserve"> REF _Ref61505432 \h  \* MERGEFORMAT </w:instrText>
      </w:r>
      <w:r w:rsidR="00FE6130" w:rsidRPr="007C431E">
        <w:rPr>
          <w:rStyle w:val="Cross-Reference"/>
        </w:rPr>
      </w:r>
      <w:r w:rsidR="00FE6130" w:rsidRPr="007C431E">
        <w:rPr>
          <w:rStyle w:val="Cross-Reference"/>
        </w:rPr>
        <w:fldChar w:fldCharType="separate"/>
      </w:r>
      <w:r w:rsidR="00D71AD9" w:rsidRPr="00D71AD9">
        <w:rPr>
          <w:rStyle w:val="Cross-Reference"/>
        </w:rPr>
        <w:t>Table 6.1</w:t>
      </w:r>
      <w:r w:rsidR="00FE6130" w:rsidRPr="007C431E">
        <w:rPr>
          <w:rStyle w:val="Cross-Reference"/>
        </w:rPr>
        <w:fldChar w:fldCharType="end"/>
      </w:r>
      <w:r w:rsidRPr="00C34C12">
        <w:t xml:space="preserve"> provides the description of each indicator category.</w:t>
      </w:r>
    </w:p>
    <w:p w14:paraId="0FAC956F" w14:textId="0A6A71D4" w:rsidR="005945CE" w:rsidRPr="00C34C12" w:rsidRDefault="005945CE" w:rsidP="005945CE">
      <w:pPr>
        <w:pStyle w:val="Caption"/>
      </w:pPr>
      <w:bookmarkStart w:id="523" w:name="_Ref61505432"/>
      <w:bookmarkStart w:id="524" w:name="_Toc67319701"/>
      <w:bookmarkStart w:id="525" w:name="_Toc220498705"/>
      <w:r w:rsidRPr="00C34C12">
        <w:t xml:space="preserve">Table </w:t>
      </w:r>
      <w:r>
        <w:fldChar w:fldCharType="begin"/>
      </w:r>
      <w:r>
        <w:instrText>STYLEREF 2 \s</w:instrText>
      </w:r>
      <w:r>
        <w:fldChar w:fldCharType="separate"/>
      </w:r>
      <w:r w:rsidR="00961502">
        <w:rPr>
          <w:noProof/>
        </w:rPr>
        <w:t>6</w:t>
      </w:r>
      <w:r>
        <w:fldChar w:fldCharType="end"/>
      </w:r>
      <w:r w:rsidR="00A40753">
        <w:t>.</w:t>
      </w:r>
      <w:r>
        <w:fldChar w:fldCharType="begin"/>
      </w:r>
      <w:r>
        <w:instrText>SEQ Table \* ARABIC \s 2</w:instrText>
      </w:r>
      <w:r>
        <w:fldChar w:fldCharType="separate"/>
      </w:r>
      <w:r w:rsidR="00961502">
        <w:rPr>
          <w:noProof/>
        </w:rPr>
        <w:t>1</w:t>
      </w:r>
      <w:r>
        <w:fldChar w:fldCharType="end"/>
      </w:r>
      <w:bookmarkEnd w:id="523"/>
      <w:r w:rsidRPr="00C34C12">
        <w:rPr>
          <w:szCs w:val="18"/>
        </w:rPr>
        <w:t xml:space="preserve">  Indicator Categories</w:t>
      </w:r>
      <w:bookmarkEnd w:id="524"/>
      <w:bookmarkEnd w:id="525"/>
    </w:p>
    <w:tbl>
      <w:tblPr>
        <w:tblStyle w:val="TRsBorders"/>
        <w:tblW w:w="9648" w:type="dxa"/>
        <w:tblLook w:val="04A0" w:firstRow="1" w:lastRow="0" w:firstColumn="1" w:lastColumn="0" w:noHBand="0" w:noVBand="1"/>
        <w:tblDescription w:val="Indicator Categories"/>
      </w:tblPr>
      <w:tblGrid>
        <w:gridCol w:w="1296"/>
        <w:gridCol w:w="8352"/>
      </w:tblGrid>
      <w:tr w:rsidR="005945CE" w:rsidRPr="00C34C12" w14:paraId="64685A4B" w14:textId="77777777" w:rsidTr="00D263E0">
        <w:trPr>
          <w:cnfStyle w:val="100000000000" w:firstRow="1" w:lastRow="0" w:firstColumn="0" w:lastColumn="0" w:oddVBand="0" w:evenVBand="0" w:oddHBand="0" w:evenHBand="0" w:firstRowFirstColumn="0" w:firstRowLastColumn="0" w:lastRowFirstColumn="0" w:lastRowLastColumn="0"/>
          <w:cantSplit/>
        </w:trPr>
        <w:tc>
          <w:tcPr>
            <w:tcW w:w="1296" w:type="dxa"/>
          </w:tcPr>
          <w:p w14:paraId="6AED747A" w14:textId="77777777" w:rsidR="005945CE" w:rsidRPr="00C34C12" w:rsidRDefault="005945CE" w:rsidP="003A43F8">
            <w:pPr>
              <w:pStyle w:val="TableHead"/>
              <w:keepNext/>
              <w:rPr>
                <w:bCs w:val="0"/>
                <w:noProof w:val="0"/>
              </w:rPr>
            </w:pPr>
            <w:r w:rsidRPr="00C34C12">
              <w:rPr>
                <w:bCs w:val="0"/>
                <w:noProof w:val="0"/>
              </w:rPr>
              <w:t>Category</w:t>
            </w:r>
          </w:p>
        </w:tc>
        <w:tc>
          <w:tcPr>
            <w:tcW w:w="8352" w:type="dxa"/>
          </w:tcPr>
          <w:p w14:paraId="329A4C28" w14:textId="77777777" w:rsidR="005945CE" w:rsidRPr="00C34C12" w:rsidRDefault="005945CE" w:rsidP="003A43F8">
            <w:pPr>
              <w:pStyle w:val="TableHead"/>
              <w:keepNext/>
              <w:rPr>
                <w:bCs w:val="0"/>
                <w:noProof w:val="0"/>
              </w:rPr>
            </w:pPr>
            <w:r w:rsidRPr="00C34C12">
              <w:rPr>
                <w:bCs w:val="0"/>
                <w:noProof w:val="0"/>
              </w:rPr>
              <w:t>Explanation</w:t>
            </w:r>
          </w:p>
        </w:tc>
      </w:tr>
      <w:tr w:rsidR="005945CE" w:rsidRPr="00C34C12" w14:paraId="49B1B2E5" w14:textId="77777777" w:rsidTr="00D263E0">
        <w:tc>
          <w:tcPr>
            <w:tcW w:w="1296" w:type="dxa"/>
          </w:tcPr>
          <w:p w14:paraId="125CDF31" w14:textId="77777777" w:rsidR="005945CE" w:rsidRPr="00C34C12" w:rsidRDefault="005945CE" w:rsidP="003A43F8">
            <w:pPr>
              <w:pStyle w:val="TableText"/>
              <w:keepNext/>
              <w:jc w:val="center"/>
              <w:rPr>
                <w:noProof w:val="0"/>
              </w:rPr>
            </w:pPr>
            <w:r w:rsidRPr="00C34C12">
              <w:rPr>
                <w:noProof w:val="0"/>
              </w:rPr>
              <w:t>3</w:t>
            </w:r>
          </w:p>
        </w:tc>
        <w:tc>
          <w:tcPr>
            <w:tcW w:w="8352" w:type="dxa"/>
          </w:tcPr>
          <w:p w14:paraId="0FEB1C84" w14:textId="77777777" w:rsidR="005945CE" w:rsidRPr="00C34C12" w:rsidRDefault="005945CE" w:rsidP="003A43F8">
            <w:pPr>
              <w:pStyle w:val="TableText"/>
              <w:keepNext/>
              <w:jc w:val="left"/>
              <w:rPr>
                <w:noProof w:val="0"/>
              </w:rPr>
            </w:pPr>
            <w:r w:rsidRPr="00C34C12">
              <w:rPr>
                <w:noProof w:val="0"/>
                <w:color w:val="000000"/>
                <w:shd w:val="clear" w:color="auto" w:fill="FFFFFF"/>
              </w:rPr>
              <w:t>Student performance suggests a considerable understanding of the Science Connectors.</w:t>
            </w:r>
          </w:p>
        </w:tc>
      </w:tr>
      <w:tr w:rsidR="005945CE" w:rsidRPr="00C34C12" w14:paraId="31B95FC6" w14:textId="77777777" w:rsidTr="00D263E0">
        <w:tc>
          <w:tcPr>
            <w:tcW w:w="1296" w:type="dxa"/>
          </w:tcPr>
          <w:p w14:paraId="4128C4D9" w14:textId="77777777" w:rsidR="005945CE" w:rsidRPr="00C34C12" w:rsidRDefault="005945CE" w:rsidP="003A43F8">
            <w:pPr>
              <w:pStyle w:val="TableText"/>
              <w:keepNext/>
              <w:jc w:val="center"/>
              <w:rPr>
                <w:noProof w:val="0"/>
              </w:rPr>
            </w:pPr>
            <w:r w:rsidRPr="00C34C12">
              <w:rPr>
                <w:noProof w:val="0"/>
              </w:rPr>
              <w:t>2</w:t>
            </w:r>
          </w:p>
        </w:tc>
        <w:tc>
          <w:tcPr>
            <w:tcW w:w="8352" w:type="dxa"/>
          </w:tcPr>
          <w:p w14:paraId="54148183" w14:textId="77777777" w:rsidR="005945CE" w:rsidRPr="00C34C12" w:rsidRDefault="005945CE" w:rsidP="003A43F8">
            <w:pPr>
              <w:pStyle w:val="TableText"/>
              <w:jc w:val="left"/>
              <w:rPr>
                <w:noProof w:val="0"/>
              </w:rPr>
            </w:pPr>
            <w:r w:rsidRPr="00C34C12">
              <w:rPr>
                <w:noProof w:val="0"/>
              </w:rPr>
              <w:t xml:space="preserve">Student performance suggests a </w:t>
            </w:r>
            <w:r w:rsidRPr="00C34C12">
              <w:rPr>
                <w:i/>
                <w:noProof w:val="0"/>
              </w:rPr>
              <w:t>moderate</w:t>
            </w:r>
            <w:r w:rsidRPr="00C34C12">
              <w:rPr>
                <w:noProof w:val="0"/>
              </w:rPr>
              <w:t xml:space="preserve"> understanding of the </w:t>
            </w:r>
            <w:r w:rsidRPr="00C34C12">
              <w:rPr>
                <w:noProof w:val="0"/>
                <w:color w:val="000000"/>
                <w:shd w:val="clear" w:color="auto" w:fill="FFFFFF"/>
              </w:rPr>
              <w:t>Science Connectors</w:t>
            </w:r>
            <w:r w:rsidRPr="00C34C12">
              <w:rPr>
                <w:noProof w:val="0"/>
              </w:rPr>
              <w:t>.</w:t>
            </w:r>
          </w:p>
        </w:tc>
      </w:tr>
      <w:tr w:rsidR="005945CE" w:rsidRPr="00C34C12" w14:paraId="69C2999E" w14:textId="77777777" w:rsidTr="00D263E0">
        <w:tc>
          <w:tcPr>
            <w:tcW w:w="1296" w:type="dxa"/>
          </w:tcPr>
          <w:p w14:paraId="2F9BF8F6" w14:textId="77777777" w:rsidR="005945CE" w:rsidRPr="00C34C12" w:rsidRDefault="005945CE" w:rsidP="003A43F8">
            <w:pPr>
              <w:pStyle w:val="TableText"/>
              <w:jc w:val="center"/>
              <w:rPr>
                <w:noProof w:val="0"/>
              </w:rPr>
            </w:pPr>
            <w:r w:rsidRPr="00C34C12">
              <w:rPr>
                <w:noProof w:val="0"/>
              </w:rPr>
              <w:t>1</w:t>
            </w:r>
          </w:p>
        </w:tc>
        <w:tc>
          <w:tcPr>
            <w:tcW w:w="8352" w:type="dxa"/>
          </w:tcPr>
          <w:p w14:paraId="0DAABA88" w14:textId="77777777" w:rsidR="005945CE" w:rsidRPr="00C34C12" w:rsidRDefault="005945CE" w:rsidP="003A43F8">
            <w:pPr>
              <w:pStyle w:val="TableText"/>
              <w:jc w:val="left"/>
              <w:rPr>
                <w:noProof w:val="0"/>
              </w:rPr>
            </w:pPr>
            <w:r w:rsidRPr="00C34C12">
              <w:rPr>
                <w:noProof w:val="0"/>
                <w:color w:val="000000"/>
                <w:shd w:val="clear" w:color="auto" w:fill="FFFFFF"/>
              </w:rPr>
              <w:t>Student performance suggests a limited understanding of the Science Connectors.</w:t>
            </w:r>
          </w:p>
        </w:tc>
      </w:tr>
    </w:tbl>
    <w:p w14:paraId="698C34A9" w14:textId="77777777" w:rsidR="005945CE" w:rsidRPr="00C34C12" w:rsidRDefault="005945CE" w:rsidP="005945CE">
      <w:pPr>
        <w:spacing w:before="120"/>
      </w:pPr>
      <w:r w:rsidRPr="00C34C12">
        <w:t>Students who performed at or below the chance level—the average performance expected of students responding to each item at random—were assigned to the indicator category of 1. Students who performed exceedingly well (i.e., 90 percent correct or above) were assigned the indicator category of 3. Most students are in category 2.</w:t>
      </w:r>
    </w:p>
    <w:p w14:paraId="42CD37AC" w14:textId="34D65859" w:rsidR="005945CE" w:rsidRPr="00C34C12" w:rsidRDefault="005945CE" w:rsidP="005945CE">
      <w:pPr>
        <w:ind w:firstLine="1"/>
      </w:pPr>
      <w:r w:rsidRPr="00C34C12">
        <w:t>A group of California science educators familiar with the eligible student population reviewed and provided feedback on plans and initial drafts of preliminary indicators on December 20, 2017. The threshold scores for the three indicator categories are presented in</w:t>
      </w:r>
      <w:r w:rsidR="003A174C">
        <w:t xml:space="preserve"> </w:t>
      </w:r>
      <w:r w:rsidR="00DF228C" w:rsidRPr="007C431E">
        <w:rPr>
          <w:rStyle w:val="Cross-Reference"/>
        </w:rPr>
        <w:fldChar w:fldCharType="begin"/>
      </w:r>
      <w:r w:rsidR="00DF228C" w:rsidRPr="007C431E">
        <w:rPr>
          <w:rStyle w:val="Cross-Reference"/>
        </w:rPr>
        <w:instrText xml:space="preserve"> REF  _Ref67055496 \* Lower \h  \* MERGEFORMAT </w:instrText>
      </w:r>
      <w:r w:rsidR="00DF228C" w:rsidRPr="007C431E">
        <w:rPr>
          <w:rStyle w:val="Cross-Reference"/>
        </w:rPr>
      </w:r>
      <w:r w:rsidR="00DF228C" w:rsidRPr="007C431E">
        <w:rPr>
          <w:rStyle w:val="Cross-Reference"/>
        </w:rPr>
        <w:fldChar w:fldCharType="separate"/>
      </w:r>
      <w:r w:rsidR="0074738A" w:rsidRPr="0074738A">
        <w:rPr>
          <w:rStyle w:val="Cross-Reference"/>
        </w:rPr>
        <w:t>table 6.2</w:t>
      </w:r>
      <w:r w:rsidR="00DF228C" w:rsidRPr="007C431E">
        <w:rPr>
          <w:rStyle w:val="Cross-Reference"/>
        </w:rPr>
        <w:fldChar w:fldCharType="end"/>
      </w:r>
      <w:r w:rsidRPr="00DF228C">
        <w:t>.</w:t>
      </w:r>
      <w:r w:rsidRPr="00C34C12">
        <w:t xml:space="preserve"> Each threshold score is expressed as a percentage of the maximum possible score.</w:t>
      </w:r>
    </w:p>
    <w:p w14:paraId="55DD9A20" w14:textId="2BD20B6C" w:rsidR="005945CE" w:rsidRPr="00C34C12" w:rsidRDefault="005945CE" w:rsidP="005945CE">
      <w:pPr>
        <w:pStyle w:val="Caption"/>
      </w:pPr>
      <w:bookmarkStart w:id="526" w:name="_Ref67055496"/>
      <w:bookmarkStart w:id="527" w:name="_Toc67319702"/>
      <w:bookmarkStart w:id="528" w:name="_Toc220498706"/>
      <w:r w:rsidRPr="00C34C12">
        <w:t>Table </w:t>
      </w:r>
      <w:r>
        <w:fldChar w:fldCharType="begin"/>
      </w:r>
      <w:r>
        <w:instrText>STYLEREF 2 \s</w:instrText>
      </w:r>
      <w:r>
        <w:fldChar w:fldCharType="separate"/>
      </w:r>
      <w:r w:rsidR="00961502">
        <w:rPr>
          <w:noProof/>
        </w:rPr>
        <w:t>6</w:t>
      </w:r>
      <w:r>
        <w:fldChar w:fldCharType="end"/>
      </w:r>
      <w:r w:rsidR="00A40753">
        <w:t>.</w:t>
      </w:r>
      <w:r>
        <w:fldChar w:fldCharType="begin"/>
      </w:r>
      <w:r>
        <w:instrText>SEQ Table \* ARABIC \s 2</w:instrText>
      </w:r>
      <w:r>
        <w:fldChar w:fldCharType="separate"/>
      </w:r>
      <w:r w:rsidR="00961502">
        <w:rPr>
          <w:noProof/>
        </w:rPr>
        <w:t>2</w:t>
      </w:r>
      <w:r>
        <w:fldChar w:fldCharType="end"/>
      </w:r>
      <w:bookmarkEnd w:id="526"/>
      <w:r w:rsidRPr="00C34C12">
        <w:rPr>
          <w:szCs w:val="18"/>
        </w:rPr>
        <w:t xml:space="preserve">  Threshold Scores for Preliminary Categories</w:t>
      </w:r>
      <w:bookmarkEnd w:id="527"/>
      <w:bookmarkEnd w:id="528"/>
    </w:p>
    <w:tbl>
      <w:tblPr>
        <w:tblStyle w:val="TRs"/>
        <w:tblW w:w="0" w:type="auto"/>
        <w:tblLook w:val="04A0" w:firstRow="1" w:lastRow="0" w:firstColumn="1" w:lastColumn="0" w:noHBand="0" w:noVBand="1"/>
        <w:tblDescription w:val="Threshold Scores for Preliminary Categories"/>
      </w:tblPr>
      <w:tblGrid>
        <w:gridCol w:w="2016"/>
        <w:gridCol w:w="1728"/>
        <w:gridCol w:w="1728"/>
      </w:tblGrid>
      <w:tr w:rsidR="005945CE" w:rsidRPr="00C34C12" w14:paraId="55910C8E" w14:textId="77777777" w:rsidTr="000B6A7E">
        <w:trPr>
          <w:cnfStyle w:val="100000000000" w:firstRow="1" w:lastRow="0" w:firstColumn="0" w:lastColumn="0" w:oddVBand="0" w:evenVBand="0" w:oddHBand="0" w:evenHBand="0" w:firstRowFirstColumn="0" w:firstRowLastColumn="0" w:lastRowFirstColumn="0" w:lastRowLastColumn="0"/>
        </w:trPr>
        <w:tc>
          <w:tcPr>
            <w:tcW w:w="2016" w:type="dxa"/>
          </w:tcPr>
          <w:p w14:paraId="316E92E5" w14:textId="73BB2EC5" w:rsidR="005945CE" w:rsidRPr="00C34C12" w:rsidRDefault="005945CE" w:rsidP="003A43F8">
            <w:pPr>
              <w:pStyle w:val="TableHead"/>
              <w:rPr>
                <w:bCs w:val="0"/>
                <w:noProof w:val="0"/>
                <w:szCs w:val="24"/>
              </w:rPr>
            </w:pPr>
            <w:r w:rsidRPr="00C34C12">
              <w:rPr>
                <w:bCs w:val="0"/>
                <w:noProof w:val="0"/>
                <w:szCs w:val="24"/>
              </w:rPr>
              <w:t>Grade Level</w:t>
            </w:r>
            <w:r w:rsidR="001725A5">
              <w:rPr>
                <w:bCs w:val="0"/>
                <w:noProof w:val="0"/>
                <w:szCs w:val="24"/>
              </w:rPr>
              <w:t xml:space="preserve"> or Grade Band</w:t>
            </w:r>
          </w:p>
        </w:tc>
        <w:tc>
          <w:tcPr>
            <w:tcW w:w="1728" w:type="dxa"/>
          </w:tcPr>
          <w:p w14:paraId="7A0629CA" w14:textId="77777777" w:rsidR="005945CE" w:rsidRPr="00C34C12" w:rsidRDefault="005945CE" w:rsidP="003A43F8">
            <w:pPr>
              <w:pStyle w:val="TableHead"/>
              <w:rPr>
                <w:bCs w:val="0"/>
                <w:noProof w:val="0"/>
                <w:szCs w:val="24"/>
              </w:rPr>
            </w:pPr>
            <w:r w:rsidRPr="00C34C12">
              <w:rPr>
                <w:bCs w:val="0"/>
                <w:noProof w:val="0"/>
                <w:szCs w:val="24"/>
              </w:rPr>
              <w:t>Required for Category 2</w:t>
            </w:r>
          </w:p>
        </w:tc>
        <w:tc>
          <w:tcPr>
            <w:tcW w:w="1728" w:type="dxa"/>
          </w:tcPr>
          <w:p w14:paraId="597E18FA" w14:textId="77777777" w:rsidR="005945CE" w:rsidRPr="00C34C12" w:rsidRDefault="005945CE" w:rsidP="003A43F8">
            <w:pPr>
              <w:pStyle w:val="TableHead"/>
              <w:rPr>
                <w:bCs w:val="0"/>
                <w:noProof w:val="0"/>
                <w:szCs w:val="24"/>
              </w:rPr>
            </w:pPr>
            <w:r w:rsidRPr="00C34C12">
              <w:rPr>
                <w:bCs w:val="0"/>
                <w:noProof w:val="0"/>
                <w:szCs w:val="24"/>
              </w:rPr>
              <w:t>Required for Category 3</w:t>
            </w:r>
          </w:p>
        </w:tc>
      </w:tr>
      <w:tr w:rsidR="005945CE" w:rsidRPr="00C34C12" w14:paraId="70841EDB" w14:textId="77777777" w:rsidTr="001725A5">
        <w:tc>
          <w:tcPr>
            <w:tcW w:w="2016" w:type="dxa"/>
          </w:tcPr>
          <w:p w14:paraId="389B8658" w14:textId="77777777" w:rsidR="005945CE" w:rsidRPr="00C34C12" w:rsidRDefault="005945CE" w:rsidP="003A43F8">
            <w:pPr>
              <w:pStyle w:val="TableText"/>
              <w:rPr>
                <w:noProof w:val="0"/>
                <w:szCs w:val="24"/>
              </w:rPr>
            </w:pPr>
            <w:r w:rsidRPr="00C34C12">
              <w:rPr>
                <w:noProof w:val="0"/>
                <w:szCs w:val="24"/>
              </w:rPr>
              <w:t>Grade 5</w:t>
            </w:r>
          </w:p>
        </w:tc>
        <w:tc>
          <w:tcPr>
            <w:tcW w:w="1728" w:type="dxa"/>
          </w:tcPr>
          <w:p w14:paraId="417DA0E1" w14:textId="77777777" w:rsidR="005945CE" w:rsidRPr="00C34C12" w:rsidRDefault="005945CE" w:rsidP="003A43F8">
            <w:pPr>
              <w:pStyle w:val="TableText"/>
              <w:ind w:right="432"/>
              <w:rPr>
                <w:noProof w:val="0"/>
                <w:szCs w:val="24"/>
              </w:rPr>
            </w:pPr>
            <w:r w:rsidRPr="00C34C12">
              <w:rPr>
                <w:noProof w:val="0"/>
                <w:szCs w:val="24"/>
              </w:rPr>
              <w:t>33%</w:t>
            </w:r>
          </w:p>
        </w:tc>
        <w:tc>
          <w:tcPr>
            <w:tcW w:w="1728" w:type="dxa"/>
          </w:tcPr>
          <w:p w14:paraId="0B91B973" w14:textId="77777777" w:rsidR="005945CE" w:rsidRPr="00C34C12" w:rsidRDefault="005945CE" w:rsidP="003A43F8">
            <w:pPr>
              <w:pStyle w:val="TableText"/>
              <w:ind w:right="432"/>
              <w:rPr>
                <w:noProof w:val="0"/>
                <w:szCs w:val="24"/>
              </w:rPr>
            </w:pPr>
            <w:r w:rsidRPr="00C34C12">
              <w:rPr>
                <w:noProof w:val="0"/>
                <w:szCs w:val="24"/>
              </w:rPr>
              <w:t>90%</w:t>
            </w:r>
          </w:p>
        </w:tc>
      </w:tr>
      <w:tr w:rsidR="005945CE" w:rsidRPr="00C34C12" w14:paraId="66BC4FFA" w14:textId="77777777" w:rsidTr="001725A5">
        <w:tc>
          <w:tcPr>
            <w:tcW w:w="2016" w:type="dxa"/>
          </w:tcPr>
          <w:p w14:paraId="17A0AC99" w14:textId="77777777" w:rsidR="005945CE" w:rsidRPr="00C34C12" w:rsidRDefault="005945CE" w:rsidP="003A43F8">
            <w:pPr>
              <w:pStyle w:val="TableText"/>
              <w:rPr>
                <w:noProof w:val="0"/>
                <w:szCs w:val="24"/>
              </w:rPr>
            </w:pPr>
            <w:r w:rsidRPr="00C34C12">
              <w:rPr>
                <w:noProof w:val="0"/>
                <w:szCs w:val="24"/>
              </w:rPr>
              <w:t>Grade 8</w:t>
            </w:r>
          </w:p>
        </w:tc>
        <w:tc>
          <w:tcPr>
            <w:tcW w:w="1728" w:type="dxa"/>
          </w:tcPr>
          <w:p w14:paraId="0A0A38EF" w14:textId="77777777" w:rsidR="005945CE" w:rsidRPr="00C34C12" w:rsidRDefault="005945CE" w:rsidP="003A43F8">
            <w:pPr>
              <w:pStyle w:val="TableText"/>
              <w:ind w:right="432"/>
              <w:rPr>
                <w:noProof w:val="0"/>
                <w:szCs w:val="24"/>
              </w:rPr>
            </w:pPr>
            <w:r w:rsidRPr="00C34C12">
              <w:rPr>
                <w:noProof w:val="0"/>
                <w:szCs w:val="24"/>
              </w:rPr>
              <w:t>33%</w:t>
            </w:r>
          </w:p>
        </w:tc>
        <w:tc>
          <w:tcPr>
            <w:tcW w:w="1728" w:type="dxa"/>
          </w:tcPr>
          <w:p w14:paraId="4536EA03" w14:textId="77777777" w:rsidR="005945CE" w:rsidRPr="00C34C12" w:rsidRDefault="005945CE" w:rsidP="003A43F8">
            <w:pPr>
              <w:pStyle w:val="TableText"/>
              <w:ind w:right="432"/>
              <w:rPr>
                <w:noProof w:val="0"/>
                <w:szCs w:val="24"/>
              </w:rPr>
            </w:pPr>
            <w:r w:rsidRPr="00C34C12">
              <w:rPr>
                <w:noProof w:val="0"/>
                <w:szCs w:val="24"/>
              </w:rPr>
              <w:t>90%</w:t>
            </w:r>
          </w:p>
        </w:tc>
      </w:tr>
      <w:tr w:rsidR="005945CE" w:rsidRPr="00C34C12" w14:paraId="455E482B" w14:textId="77777777" w:rsidTr="001725A5">
        <w:tc>
          <w:tcPr>
            <w:tcW w:w="2016" w:type="dxa"/>
          </w:tcPr>
          <w:p w14:paraId="61551052" w14:textId="77777777" w:rsidR="005945CE" w:rsidRPr="00C34C12" w:rsidRDefault="005945CE" w:rsidP="003A43F8">
            <w:pPr>
              <w:pStyle w:val="TableText"/>
              <w:rPr>
                <w:noProof w:val="0"/>
                <w:szCs w:val="24"/>
              </w:rPr>
            </w:pPr>
            <w:r w:rsidRPr="00C34C12">
              <w:rPr>
                <w:noProof w:val="0"/>
                <w:szCs w:val="24"/>
              </w:rPr>
              <w:t xml:space="preserve">High </w:t>
            </w:r>
            <w:r>
              <w:rPr>
                <w:noProof w:val="0"/>
                <w:szCs w:val="24"/>
              </w:rPr>
              <w:t>s</w:t>
            </w:r>
            <w:r w:rsidRPr="00C34C12">
              <w:rPr>
                <w:noProof w:val="0"/>
                <w:szCs w:val="24"/>
              </w:rPr>
              <w:t>chool</w:t>
            </w:r>
          </w:p>
        </w:tc>
        <w:tc>
          <w:tcPr>
            <w:tcW w:w="1728" w:type="dxa"/>
          </w:tcPr>
          <w:p w14:paraId="17600637" w14:textId="77777777" w:rsidR="005945CE" w:rsidRPr="00C34C12" w:rsidRDefault="005945CE" w:rsidP="003A43F8">
            <w:pPr>
              <w:pStyle w:val="TableText"/>
              <w:ind w:right="432"/>
              <w:rPr>
                <w:noProof w:val="0"/>
                <w:szCs w:val="24"/>
              </w:rPr>
            </w:pPr>
            <w:r w:rsidRPr="00C34C12">
              <w:rPr>
                <w:noProof w:val="0"/>
                <w:szCs w:val="24"/>
              </w:rPr>
              <w:t>33%</w:t>
            </w:r>
          </w:p>
        </w:tc>
        <w:tc>
          <w:tcPr>
            <w:tcW w:w="1728" w:type="dxa"/>
          </w:tcPr>
          <w:p w14:paraId="59DB1916" w14:textId="77777777" w:rsidR="005945CE" w:rsidRPr="00C34C12" w:rsidRDefault="005945CE" w:rsidP="003A43F8">
            <w:pPr>
              <w:pStyle w:val="TableText"/>
              <w:ind w:right="432"/>
              <w:rPr>
                <w:noProof w:val="0"/>
                <w:szCs w:val="24"/>
              </w:rPr>
            </w:pPr>
            <w:r w:rsidRPr="00C34C12">
              <w:rPr>
                <w:noProof w:val="0"/>
                <w:szCs w:val="24"/>
              </w:rPr>
              <w:t>90%</w:t>
            </w:r>
          </w:p>
        </w:tc>
      </w:tr>
    </w:tbl>
    <w:p w14:paraId="4D037808" w14:textId="5ED30282" w:rsidR="005945CE" w:rsidRPr="00C34C12" w:rsidRDefault="005945CE" w:rsidP="005945CE">
      <w:pPr>
        <w:keepNext/>
        <w:pageBreakBefore/>
        <w:spacing w:before="120"/>
      </w:pPr>
      <w:r w:rsidRPr="00C34C12">
        <w:lastRenderedPageBreak/>
        <w:t>The preliminary indicator conversion table is shown for grade five in</w:t>
      </w:r>
      <w:r w:rsidR="00F100D5">
        <w:t xml:space="preserve"> </w:t>
      </w:r>
      <w:r w:rsidR="001725A5" w:rsidRPr="007C431E">
        <w:rPr>
          <w:rStyle w:val="Cross-Reference"/>
        </w:rPr>
        <w:fldChar w:fldCharType="begin"/>
      </w:r>
      <w:r w:rsidR="001725A5" w:rsidRPr="007C431E">
        <w:rPr>
          <w:rStyle w:val="Cross-Reference"/>
        </w:rPr>
        <w:instrText xml:space="preserve"> REF  _Ref67056145 \* Lower \h  \* MERGEFORMAT </w:instrText>
      </w:r>
      <w:r w:rsidR="001725A5" w:rsidRPr="007C431E">
        <w:rPr>
          <w:rStyle w:val="Cross-Reference"/>
        </w:rPr>
      </w:r>
      <w:r w:rsidR="001725A5" w:rsidRPr="007C431E">
        <w:rPr>
          <w:rStyle w:val="Cross-Reference"/>
        </w:rPr>
        <w:fldChar w:fldCharType="separate"/>
      </w:r>
      <w:r w:rsidR="0074738A" w:rsidRPr="0074738A">
        <w:rPr>
          <w:rStyle w:val="Cross-Reference"/>
        </w:rPr>
        <w:t>table 6.3</w:t>
      </w:r>
      <w:r w:rsidR="001725A5" w:rsidRPr="007C431E">
        <w:rPr>
          <w:rStyle w:val="Cross-Reference"/>
        </w:rPr>
        <w:fldChar w:fldCharType="end"/>
      </w:r>
      <w:r w:rsidRPr="00C34C12">
        <w:t>. This table provides the percent-correct score and preliminary category for each possible raw score.</w:t>
      </w:r>
    </w:p>
    <w:p w14:paraId="19209FA7" w14:textId="5ADD433F" w:rsidR="005945CE" w:rsidRPr="00C34C12" w:rsidRDefault="6100641C" w:rsidP="001725A5">
      <w:pPr>
        <w:pStyle w:val="Caption"/>
      </w:pPr>
      <w:bookmarkStart w:id="529" w:name="_Ref67056145"/>
      <w:bookmarkStart w:id="530" w:name="_Toc67319703"/>
      <w:bookmarkStart w:id="531" w:name="_Toc220498707"/>
      <w:r>
        <w:t xml:space="preserve">Table </w:t>
      </w:r>
      <w:r w:rsidR="005945CE">
        <w:fldChar w:fldCharType="begin"/>
      </w:r>
      <w:r w:rsidR="005945CE">
        <w:instrText>STYLEREF 2 \s</w:instrText>
      </w:r>
      <w:r w:rsidR="005945CE">
        <w:fldChar w:fldCharType="separate"/>
      </w:r>
      <w:r w:rsidR="00961502">
        <w:rPr>
          <w:noProof/>
        </w:rPr>
        <w:t>6</w:t>
      </w:r>
      <w:r w:rsidR="005945CE">
        <w:fldChar w:fldCharType="end"/>
      </w:r>
      <w:r w:rsidR="6DCDE1CA">
        <w:t>.</w:t>
      </w:r>
      <w:r w:rsidR="005945CE">
        <w:fldChar w:fldCharType="begin"/>
      </w:r>
      <w:r w:rsidR="005945CE">
        <w:instrText>SEQ Table \* ARABIC \s 2</w:instrText>
      </w:r>
      <w:r w:rsidR="005945CE">
        <w:fldChar w:fldCharType="separate"/>
      </w:r>
      <w:r w:rsidR="00961502">
        <w:rPr>
          <w:noProof/>
        </w:rPr>
        <w:t>3</w:t>
      </w:r>
      <w:r w:rsidR="005945CE">
        <w:fldChar w:fldCharType="end"/>
      </w:r>
      <w:bookmarkEnd w:id="529"/>
      <w:r>
        <w:t xml:space="preserve">  Grade Five Preliminary Indicator Conversion Table</w:t>
      </w:r>
      <w:bookmarkEnd w:id="530"/>
      <w:bookmarkEnd w:id="531"/>
    </w:p>
    <w:tbl>
      <w:tblPr>
        <w:tblStyle w:val="TRs"/>
        <w:tblW w:w="0" w:type="auto"/>
        <w:tblLayout w:type="fixed"/>
        <w:tblLook w:val="04A0" w:firstRow="1" w:lastRow="0" w:firstColumn="1" w:lastColumn="0" w:noHBand="0" w:noVBand="1"/>
        <w:tblDescription w:val="Grade Five Preliminary Indicator Conversion Table"/>
      </w:tblPr>
      <w:tblGrid>
        <w:gridCol w:w="2448"/>
        <w:gridCol w:w="1584"/>
        <w:gridCol w:w="1584"/>
      </w:tblGrid>
      <w:tr w:rsidR="005945CE" w:rsidRPr="00C34C12" w14:paraId="62EA728A" w14:textId="77777777" w:rsidTr="000B6A7E">
        <w:trPr>
          <w:cnfStyle w:val="100000000000" w:firstRow="1" w:lastRow="0" w:firstColumn="0" w:lastColumn="0" w:oddVBand="0" w:evenVBand="0" w:oddHBand="0" w:evenHBand="0" w:firstRowFirstColumn="0" w:firstRowLastColumn="0" w:lastRowFirstColumn="0" w:lastRowLastColumn="0"/>
          <w:trHeight w:val="576"/>
        </w:trPr>
        <w:tc>
          <w:tcPr>
            <w:tcW w:w="2448" w:type="dxa"/>
          </w:tcPr>
          <w:p w14:paraId="13998DDB" w14:textId="77777777" w:rsidR="005945CE" w:rsidRPr="00C34C12" w:rsidRDefault="005945CE" w:rsidP="003A43F8">
            <w:pPr>
              <w:pStyle w:val="TableHead"/>
              <w:rPr>
                <w:bCs w:val="0"/>
                <w:noProof w:val="0"/>
              </w:rPr>
            </w:pPr>
            <w:r w:rsidRPr="00C34C12">
              <w:rPr>
                <w:bCs w:val="0"/>
                <w:noProof w:val="0"/>
              </w:rPr>
              <w:t>Raw Score (# of points earned)</w:t>
            </w:r>
          </w:p>
        </w:tc>
        <w:tc>
          <w:tcPr>
            <w:tcW w:w="1584" w:type="dxa"/>
          </w:tcPr>
          <w:p w14:paraId="04E3C947" w14:textId="77777777" w:rsidR="005945CE" w:rsidRPr="00C34C12" w:rsidRDefault="005945CE" w:rsidP="003A43F8">
            <w:pPr>
              <w:pStyle w:val="TableHead"/>
              <w:rPr>
                <w:bCs w:val="0"/>
                <w:noProof w:val="0"/>
              </w:rPr>
            </w:pPr>
            <w:r w:rsidRPr="00C34C12">
              <w:rPr>
                <w:bCs w:val="0"/>
                <w:noProof w:val="0"/>
              </w:rPr>
              <w:t>Percent Correct</w:t>
            </w:r>
          </w:p>
        </w:tc>
        <w:tc>
          <w:tcPr>
            <w:tcW w:w="1584" w:type="dxa"/>
          </w:tcPr>
          <w:p w14:paraId="31AD5D8B" w14:textId="77777777" w:rsidR="005945CE" w:rsidRPr="00C34C12" w:rsidRDefault="005945CE" w:rsidP="003A43F8">
            <w:pPr>
              <w:pStyle w:val="TableHead"/>
              <w:rPr>
                <w:bCs w:val="0"/>
                <w:noProof w:val="0"/>
              </w:rPr>
            </w:pPr>
            <w:r w:rsidRPr="00C34C12">
              <w:rPr>
                <w:bCs w:val="0"/>
                <w:noProof w:val="0"/>
              </w:rPr>
              <w:t>Preliminary Category</w:t>
            </w:r>
          </w:p>
        </w:tc>
      </w:tr>
      <w:tr w:rsidR="00152C7E" w:rsidRPr="00C34C12" w14:paraId="354D7E4B" w14:textId="77777777" w:rsidTr="006903AE">
        <w:tc>
          <w:tcPr>
            <w:tcW w:w="0" w:type="dxa"/>
            <w:tcBorders>
              <w:top w:val="single" w:sz="4" w:space="0" w:color="auto"/>
            </w:tcBorders>
          </w:tcPr>
          <w:p w14:paraId="5738F831" w14:textId="23DC012C" w:rsidR="00152C7E" w:rsidRPr="00C34C12" w:rsidRDefault="00152C7E" w:rsidP="001725A5">
            <w:pPr>
              <w:pStyle w:val="TableText"/>
              <w:keepNext/>
              <w:spacing w:before="14" w:after="14"/>
              <w:jc w:val="center"/>
              <w:rPr>
                <w:noProof w:val="0"/>
              </w:rPr>
            </w:pPr>
            <w:r w:rsidRPr="004B2D24">
              <w:rPr>
                <w:color w:val="000000"/>
                <w:szCs w:val="24"/>
              </w:rPr>
              <w:t>0</w:t>
            </w:r>
          </w:p>
        </w:tc>
        <w:tc>
          <w:tcPr>
            <w:tcW w:w="0" w:type="dxa"/>
            <w:tcBorders>
              <w:top w:val="single" w:sz="4" w:space="0" w:color="auto"/>
            </w:tcBorders>
            <w:vAlign w:val="bottom"/>
          </w:tcPr>
          <w:p w14:paraId="3F964465" w14:textId="4D439C7A" w:rsidR="00152C7E" w:rsidRPr="00C34C12" w:rsidRDefault="00733BB7" w:rsidP="001725A5">
            <w:pPr>
              <w:pStyle w:val="TableText"/>
              <w:spacing w:before="14" w:after="14"/>
              <w:ind w:right="468"/>
              <w:rPr>
                <w:noProof w:val="0"/>
                <w:szCs w:val="24"/>
              </w:rPr>
            </w:pPr>
            <w:r w:rsidRPr="0098195E">
              <w:rPr>
                <w:color w:val="000000"/>
                <w:szCs w:val="24"/>
              </w:rPr>
              <w:t>0</w:t>
            </w:r>
          </w:p>
        </w:tc>
        <w:tc>
          <w:tcPr>
            <w:tcW w:w="0" w:type="dxa"/>
            <w:tcBorders>
              <w:top w:val="single" w:sz="4" w:space="0" w:color="auto"/>
            </w:tcBorders>
            <w:vAlign w:val="bottom"/>
          </w:tcPr>
          <w:p w14:paraId="02CAB34F" w14:textId="35D6DB6C" w:rsidR="00152C7E" w:rsidRPr="00C34C12" w:rsidRDefault="00733BB7" w:rsidP="001725A5">
            <w:pPr>
              <w:pStyle w:val="TableText"/>
              <w:spacing w:before="14" w:after="14"/>
              <w:ind w:right="576"/>
              <w:rPr>
                <w:noProof w:val="0"/>
                <w:szCs w:val="24"/>
              </w:rPr>
            </w:pPr>
            <w:r w:rsidRPr="00D71D7F">
              <w:rPr>
                <w:color w:val="000000"/>
                <w:szCs w:val="24"/>
              </w:rPr>
              <w:t>1</w:t>
            </w:r>
          </w:p>
        </w:tc>
      </w:tr>
      <w:tr w:rsidR="00152C7E" w:rsidRPr="00C34C12" w14:paraId="064DEAE3" w14:textId="77777777" w:rsidTr="006903AE">
        <w:tc>
          <w:tcPr>
            <w:tcW w:w="0" w:type="dxa"/>
          </w:tcPr>
          <w:p w14:paraId="78F2DD9C" w14:textId="48688EB3" w:rsidR="00152C7E" w:rsidRPr="00C34C12" w:rsidRDefault="00152C7E" w:rsidP="001725A5">
            <w:pPr>
              <w:pStyle w:val="TableText"/>
              <w:keepNext/>
              <w:spacing w:before="14" w:after="14"/>
              <w:jc w:val="center"/>
              <w:rPr>
                <w:noProof w:val="0"/>
              </w:rPr>
            </w:pPr>
            <w:r w:rsidRPr="004B2D24">
              <w:rPr>
                <w:color w:val="000000"/>
                <w:szCs w:val="24"/>
              </w:rPr>
              <w:t>1</w:t>
            </w:r>
          </w:p>
        </w:tc>
        <w:tc>
          <w:tcPr>
            <w:tcW w:w="0" w:type="dxa"/>
            <w:vAlign w:val="bottom"/>
          </w:tcPr>
          <w:p w14:paraId="182C9CC4" w14:textId="0EAC95AE" w:rsidR="00152C7E" w:rsidRPr="00C34C12" w:rsidRDefault="00733BB7" w:rsidP="001725A5">
            <w:pPr>
              <w:pStyle w:val="TableText"/>
              <w:spacing w:before="14" w:after="14"/>
              <w:ind w:right="468"/>
              <w:rPr>
                <w:noProof w:val="0"/>
                <w:szCs w:val="24"/>
              </w:rPr>
            </w:pPr>
            <w:r w:rsidRPr="00D71D7F">
              <w:rPr>
                <w:color w:val="000000"/>
                <w:szCs w:val="24"/>
              </w:rPr>
              <w:t>3</w:t>
            </w:r>
          </w:p>
        </w:tc>
        <w:tc>
          <w:tcPr>
            <w:tcW w:w="0" w:type="dxa"/>
            <w:vAlign w:val="bottom"/>
          </w:tcPr>
          <w:p w14:paraId="0286BEAF" w14:textId="0DF6E6B7" w:rsidR="00152C7E" w:rsidRPr="00C34C12" w:rsidRDefault="00733BB7" w:rsidP="001725A5">
            <w:pPr>
              <w:pStyle w:val="TableText"/>
              <w:spacing w:before="14" w:after="14"/>
              <w:ind w:right="576"/>
              <w:rPr>
                <w:noProof w:val="0"/>
                <w:szCs w:val="24"/>
              </w:rPr>
            </w:pPr>
            <w:r w:rsidRPr="00AD2EF5">
              <w:rPr>
                <w:color w:val="000000"/>
                <w:szCs w:val="24"/>
              </w:rPr>
              <w:t>1</w:t>
            </w:r>
          </w:p>
        </w:tc>
      </w:tr>
      <w:tr w:rsidR="00152C7E" w:rsidRPr="00C34C12" w14:paraId="21103F49" w14:textId="77777777" w:rsidTr="006903AE">
        <w:tc>
          <w:tcPr>
            <w:tcW w:w="0" w:type="dxa"/>
          </w:tcPr>
          <w:p w14:paraId="7638B97E" w14:textId="3DD3AC12" w:rsidR="00152C7E" w:rsidRPr="00C34C12" w:rsidRDefault="00152C7E" w:rsidP="001725A5">
            <w:pPr>
              <w:pStyle w:val="TableText"/>
              <w:keepNext/>
              <w:spacing w:before="14" w:after="14"/>
              <w:jc w:val="center"/>
              <w:rPr>
                <w:noProof w:val="0"/>
              </w:rPr>
            </w:pPr>
            <w:r w:rsidRPr="004B2D24">
              <w:rPr>
                <w:color w:val="000000"/>
                <w:szCs w:val="24"/>
              </w:rPr>
              <w:t>2</w:t>
            </w:r>
          </w:p>
        </w:tc>
        <w:tc>
          <w:tcPr>
            <w:tcW w:w="0" w:type="dxa"/>
            <w:vAlign w:val="bottom"/>
          </w:tcPr>
          <w:p w14:paraId="7930FBFD" w14:textId="53FDBE4A" w:rsidR="00152C7E" w:rsidRPr="00C34C12" w:rsidRDefault="00733BB7" w:rsidP="001725A5">
            <w:pPr>
              <w:pStyle w:val="TableText"/>
              <w:spacing w:before="14" w:after="14"/>
              <w:ind w:right="468"/>
              <w:rPr>
                <w:noProof w:val="0"/>
                <w:szCs w:val="24"/>
              </w:rPr>
            </w:pPr>
            <w:r w:rsidRPr="0098195E">
              <w:rPr>
                <w:color w:val="000000"/>
                <w:szCs w:val="24"/>
              </w:rPr>
              <w:t>6</w:t>
            </w:r>
          </w:p>
        </w:tc>
        <w:tc>
          <w:tcPr>
            <w:tcW w:w="0" w:type="dxa"/>
            <w:vAlign w:val="bottom"/>
          </w:tcPr>
          <w:p w14:paraId="6740191C" w14:textId="487A057C" w:rsidR="00152C7E" w:rsidRPr="00C34C12" w:rsidRDefault="00733BB7" w:rsidP="001725A5">
            <w:pPr>
              <w:pStyle w:val="TableText"/>
              <w:spacing w:before="14" w:after="14"/>
              <w:ind w:right="576"/>
              <w:rPr>
                <w:noProof w:val="0"/>
                <w:szCs w:val="24"/>
              </w:rPr>
            </w:pPr>
            <w:r w:rsidRPr="00C53C2B">
              <w:rPr>
                <w:color w:val="000000"/>
                <w:szCs w:val="24"/>
              </w:rPr>
              <w:t>1</w:t>
            </w:r>
          </w:p>
        </w:tc>
      </w:tr>
      <w:tr w:rsidR="00152C7E" w:rsidRPr="00C34C12" w14:paraId="7B7B5838" w14:textId="77777777" w:rsidTr="006903AE">
        <w:tc>
          <w:tcPr>
            <w:tcW w:w="0" w:type="dxa"/>
          </w:tcPr>
          <w:p w14:paraId="07588D85" w14:textId="17D4B2FC" w:rsidR="00152C7E" w:rsidRPr="00C34C12" w:rsidRDefault="00152C7E" w:rsidP="001725A5">
            <w:pPr>
              <w:pStyle w:val="TableText"/>
              <w:spacing w:before="14" w:after="14"/>
              <w:jc w:val="center"/>
              <w:rPr>
                <w:noProof w:val="0"/>
              </w:rPr>
            </w:pPr>
            <w:r w:rsidRPr="004B2D24">
              <w:rPr>
                <w:color w:val="000000"/>
                <w:szCs w:val="24"/>
              </w:rPr>
              <w:t>3</w:t>
            </w:r>
          </w:p>
        </w:tc>
        <w:tc>
          <w:tcPr>
            <w:tcW w:w="0" w:type="dxa"/>
            <w:vAlign w:val="bottom"/>
          </w:tcPr>
          <w:p w14:paraId="6B39CB0E" w14:textId="0C312F68" w:rsidR="00152C7E" w:rsidRPr="00C34C12" w:rsidRDefault="00733BB7" w:rsidP="001725A5">
            <w:pPr>
              <w:pStyle w:val="TableText"/>
              <w:spacing w:before="14" w:after="14"/>
              <w:ind w:right="468"/>
              <w:rPr>
                <w:noProof w:val="0"/>
                <w:szCs w:val="24"/>
              </w:rPr>
            </w:pPr>
            <w:r w:rsidRPr="0098195E">
              <w:rPr>
                <w:color w:val="000000"/>
                <w:szCs w:val="24"/>
              </w:rPr>
              <w:t>8</w:t>
            </w:r>
          </w:p>
        </w:tc>
        <w:tc>
          <w:tcPr>
            <w:tcW w:w="0" w:type="dxa"/>
            <w:vAlign w:val="bottom"/>
          </w:tcPr>
          <w:p w14:paraId="232FCA94" w14:textId="55F45596" w:rsidR="00152C7E" w:rsidRPr="00C34C12" w:rsidRDefault="00733BB7" w:rsidP="001725A5">
            <w:pPr>
              <w:pStyle w:val="TableText"/>
              <w:spacing w:before="14" w:after="14"/>
              <w:ind w:right="576"/>
              <w:rPr>
                <w:noProof w:val="0"/>
                <w:szCs w:val="24"/>
              </w:rPr>
            </w:pPr>
            <w:r w:rsidRPr="0098195E">
              <w:rPr>
                <w:color w:val="000000"/>
                <w:szCs w:val="24"/>
              </w:rPr>
              <w:t>1</w:t>
            </w:r>
          </w:p>
        </w:tc>
      </w:tr>
      <w:tr w:rsidR="00152C7E" w:rsidRPr="00C34C12" w14:paraId="7B3C8969" w14:textId="77777777" w:rsidTr="006903AE">
        <w:tc>
          <w:tcPr>
            <w:tcW w:w="0" w:type="dxa"/>
          </w:tcPr>
          <w:p w14:paraId="45F44EFC" w14:textId="7CF8B56D" w:rsidR="00152C7E" w:rsidRPr="00C34C12" w:rsidRDefault="00152C7E" w:rsidP="001725A5">
            <w:pPr>
              <w:pStyle w:val="TableText"/>
              <w:spacing w:before="14" w:after="14"/>
              <w:jc w:val="center"/>
              <w:rPr>
                <w:noProof w:val="0"/>
              </w:rPr>
            </w:pPr>
            <w:r w:rsidRPr="004B2D24">
              <w:rPr>
                <w:color w:val="000000"/>
                <w:szCs w:val="24"/>
              </w:rPr>
              <w:t>4</w:t>
            </w:r>
          </w:p>
        </w:tc>
        <w:tc>
          <w:tcPr>
            <w:tcW w:w="0" w:type="dxa"/>
            <w:vAlign w:val="bottom"/>
          </w:tcPr>
          <w:p w14:paraId="4886F017" w14:textId="19844D29" w:rsidR="00152C7E" w:rsidRPr="00C34C12" w:rsidRDefault="00733BB7" w:rsidP="001725A5">
            <w:pPr>
              <w:pStyle w:val="TableText"/>
              <w:spacing w:before="14" w:after="14"/>
              <w:ind w:right="468"/>
              <w:rPr>
                <w:noProof w:val="0"/>
                <w:szCs w:val="24"/>
              </w:rPr>
            </w:pPr>
            <w:r w:rsidRPr="00C53C2B">
              <w:rPr>
                <w:color w:val="000000"/>
                <w:szCs w:val="24"/>
              </w:rPr>
              <w:t>11</w:t>
            </w:r>
          </w:p>
        </w:tc>
        <w:tc>
          <w:tcPr>
            <w:tcW w:w="0" w:type="dxa"/>
            <w:vAlign w:val="bottom"/>
          </w:tcPr>
          <w:p w14:paraId="7BB57453" w14:textId="0390E66E" w:rsidR="00152C7E" w:rsidRPr="00C34C12" w:rsidRDefault="00733BB7" w:rsidP="001725A5">
            <w:pPr>
              <w:pStyle w:val="TableText"/>
              <w:spacing w:before="14" w:after="14"/>
              <w:ind w:right="576"/>
              <w:rPr>
                <w:noProof w:val="0"/>
                <w:szCs w:val="24"/>
              </w:rPr>
            </w:pPr>
            <w:r w:rsidRPr="006903AE">
              <w:rPr>
                <w:color w:val="000000"/>
                <w:szCs w:val="24"/>
              </w:rPr>
              <w:t>1</w:t>
            </w:r>
          </w:p>
        </w:tc>
      </w:tr>
      <w:tr w:rsidR="00152C7E" w:rsidRPr="00C34C12" w14:paraId="0731F037" w14:textId="77777777" w:rsidTr="006903AE">
        <w:tc>
          <w:tcPr>
            <w:tcW w:w="0" w:type="dxa"/>
          </w:tcPr>
          <w:p w14:paraId="5C708BAF" w14:textId="357B7872" w:rsidR="00152C7E" w:rsidRPr="00C34C12" w:rsidRDefault="00152C7E" w:rsidP="001725A5">
            <w:pPr>
              <w:pStyle w:val="TableText"/>
              <w:spacing w:before="14" w:after="14"/>
              <w:jc w:val="center"/>
              <w:rPr>
                <w:noProof w:val="0"/>
              </w:rPr>
            </w:pPr>
            <w:r w:rsidRPr="004B2D24">
              <w:rPr>
                <w:color w:val="000000"/>
                <w:szCs w:val="24"/>
              </w:rPr>
              <w:t>5</w:t>
            </w:r>
          </w:p>
        </w:tc>
        <w:tc>
          <w:tcPr>
            <w:tcW w:w="0" w:type="dxa"/>
            <w:vAlign w:val="bottom"/>
          </w:tcPr>
          <w:p w14:paraId="64ABB33B" w14:textId="68E4B6D7" w:rsidR="00152C7E" w:rsidRPr="00C34C12" w:rsidRDefault="00733BB7" w:rsidP="001725A5">
            <w:pPr>
              <w:pStyle w:val="TableText"/>
              <w:spacing w:before="14" w:after="14"/>
              <w:ind w:right="468"/>
              <w:rPr>
                <w:noProof w:val="0"/>
                <w:szCs w:val="24"/>
              </w:rPr>
            </w:pPr>
            <w:r w:rsidRPr="00D71D7F">
              <w:rPr>
                <w:color w:val="000000"/>
                <w:szCs w:val="24"/>
              </w:rPr>
              <w:t>14</w:t>
            </w:r>
          </w:p>
        </w:tc>
        <w:tc>
          <w:tcPr>
            <w:tcW w:w="0" w:type="dxa"/>
            <w:vAlign w:val="bottom"/>
          </w:tcPr>
          <w:p w14:paraId="2A07C589" w14:textId="29474EBE" w:rsidR="00152C7E" w:rsidRPr="00C34C12" w:rsidRDefault="00733BB7" w:rsidP="001725A5">
            <w:pPr>
              <w:pStyle w:val="TableText"/>
              <w:spacing w:before="14" w:after="14"/>
              <w:ind w:right="576"/>
              <w:rPr>
                <w:noProof w:val="0"/>
                <w:szCs w:val="24"/>
              </w:rPr>
            </w:pPr>
            <w:r w:rsidRPr="006903AE">
              <w:rPr>
                <w:color w:val="000000"/>
                <w:szCs w:val="24"/>
              </w:rPr>
              <w:t>1</w:t>
            </w:r>
          </w:p>
        </w:tc>
      </w:tr>
      <w:tr w:rsidR="00152C7E" w:rsidRPr="00C34C12" w14:paraId="061D3841" w14:textId="77777777" w:rsidTr="006903AE">
        <w:tc>
          <w:tcPr>
            <w:tcW w:w="0" w:type="dxa"/>
          </w:tcPr>
          <w:p w14:paraId="21D9207C" w14:textId="7F2F5CE7" w:rsidR="00152C7E" w:rsidRPr="00C34C12" w:rsidRDefault="00152C7E" w:rsidP="001725A5">
            <w:pPr>
              <w:pStyle w:val="TableText"/>
              <w:spacing w:before="14" w:after="14"/>
              <w:jc w:val="center"/>
              <w:rPr>
                <w:noProof w:val="0"/>
              </w:rPr>
            </w:pPr>
            <w:r w:rsidRPr="004B2D24">
              <w:rPr>
                <w:color w:val="000000"/>
                <w:szCs w:val="24"/>
              </w:rPr>
              <w:t>6</w:t>
            </w:r>
          </w:p>
        </w:tc>
        <w:tc>
          <w:tcPr>
            <w:tcW w:w="0" w:type="dxa"/>
            <w:vAlign w:val="bottom"/>
          </w:tcPr>
          <w:p w14:paraId="21BFF8DC" w14:textId="2FA4936F" w:rsidR="00152C7E" w:rsidRPr="00C34C12" w:rsidRDefault="00733BB7" w:rsidP="001725A5">
            <w:pPr>
              <w:pStyle w:val="TableText"/>
              <w:spacing w:before="14" w:after="14"/>
              <w:ind w:right="468"/>
              <w:rPr>
                <w:noProof w:val="0"/>
                <w:szCs w:val="24"/>
              </w:rPr>
            </w:pPr>
            <w:r w:rsidRPr="0098195E">
              <w:rPr>
                <w:color w:val="000000"/>
                <w:szCs w:val="24"/>
              </w:rPr>
              <w:t>17</w:t>
            </w:r>
          </w:p>
        </w:tc>
        <w:tc>
          <w:tcPr>
            <w:tcW w:w="0" w:type="dxa"/>
            <w:vAlign w:val="bottom"/>
          </w:tcPr>
          <w:p w14:paraId="5CBAD228" w14:textId="57B8DCF1" w:rsidR="00152C7E" w:rsidRPr="00C34C12" w:rsidRDefault="00733BB7" w:rsidP="001725A5">
            <w:pPr>
              <w:pStyle w:val="TableText"/>
              <w:spacing w:before="14" w:after="14"/>
              <w:ind w:right="576"/>
              <w:rPr>
                <w:noProof w:val="0"/>
                <w:szCs w:val="24"/>
              </w:rPr>
            </w:pPr>
            <w:r w:rsidRPr="00AD2EF5">
              <w:rPr>
                <w:color w:val="000000"/>
                <w:szCs w:val="24"/>
              </w:rPr>
              <w:t>1</w:t>
            </w:r>
          </w:p>
        </w:tc>
      </w:tr>
      <w:tr w:rsidR="00152C7E" w:rsidRPr="00C34C12" w14:paraId="49C73F01" w14:textId="77777777" w:rsidTr="006903AE">
        <w:tc>
          <w:tcPr>
            <w:tcW w:w="0" w:type="dxa"/>
          </w:tcPr>
          <w:p w14:paraId="2A03C26C" w14:textId="65E752EB" w:rsidR="00152C7E" w:rsidRPr="00C34C12" w:rsidRDefault="00152C7E" w:rsidP="001725A5">
            <w:pPr>
              <w:pStyle w:val="TableText"/>
              <w:spacing w:before="14" w:after="14"/>
              <w:jc w:val="center"/>
              <w:rPr>
                <w:noProof w:val="0"/>
              </w:rPr>
            </w:pPr>
            <w:r w:rsidRPr="004B2D24">
              <w:rPr>
                <w:color w:val="000000"/>
                <w:szCs w:val="24"/>
              </w:rPr>
              <w:t>7</w:t>
            </w:r>
          </w:p>
        </w:tc>
        <w:tc>
          <w:tcPr>
            <w:tcW w:w="0" w:type="dxa"/>
            <w:vAlign w:val="bottom"/>
          </w:tcPr>
          <w:p w14:paraId="6D467489" w14:textId="6A00FEA9" w:rsidR="00152C7E" w:rsidRPr="00C34C12" w:rsidRDefault="00733BB7" w:rsidP="001725A5">
            <w:pPr>
              <w:pStyle w:val="TableText"/>
              <w:spacing w:before="14" w:after="14"/>
              <w:ind w:right="468"/>
              <w:rPr>
                <w:noProof w:val="0"/>
                <w:szCs w:val="24"/>
              </w:rPr>
            </w:pPr>
            <w:r w:rsidRPr="006903AE">
              <w:rPr>
                <w:color w:val="000000"/>
                <w:szCs w:val="24"/>
              </w:rPr>
              <w:t>19</w:t>
            </w:r>
          </w:p>
        </w:tc>
        <w:tc>
          <w:tcPr>
            <w:tcW w:w="0" w:type="dxa"/>
            <w:vAlign w:val="bottom"/>
          </w:tcPr>
          <w:p w14:paraId="42F19AAA" w14:textId="433695ED" w:rsidR="00152C7E" w:rsidRPr="00C34C12" w:rsidRDefault="00733BB7" w:rsidP="001725A5">
            <w:pPr>
              <w:pStyle w:val="TableText"/>
              <w:spacing w:before="14" w:after="14"/>
              <w:ind w:right="576"/>
              <w:rPr>
                <w:noProof w:val="0"/>
                <w:szCs w:val="24"/>
              </w:rPr>
            </w:pPr>
            <w:r w:rsidRPr="0098195E">
              <w:rPr>
                <w:color w:val="000000"/>
                <w:szCs w:val="24"/>
              </w:rPr>
              <w:t>1</w:t>
            </w:r>
          </w:p>
        </w:tc>
      </w:tr>
      <w:tr w:rsidR="00152C7E" w:rsidRPr="00C34C12" w14:paraId="195D8702" w14:textId="77777777" w:rsidTr="006903AE">
        <w:tc>
          <w:tcPr>
            <w:tcW w:w="0" w:type="dxa"/>
          </w:tcPr>
          <w:p w14:paraId="7BC8DBA2" w14:textId="59A77F15" w:rsidR="00152C7E" w:rsidRPr="00C34C12" w:rsidRDefault="00152C7E" w:rsidP="001725A5">
            <w:pPr>
              <w:pStyle w:val="TableText"/>
              <w:spacing w:before="14" w:after="14"/>
              <w:jc w:val="center"/>
              <w:rPr>
                <w:noProof w:val="0"/>
              </w:rPr>
            </w:pPr>
            <w:r w:rsidRPr="004B2D24">
              <w:rPr>
                <w:color w:val="000000"/>
                <w:szCs w:val="24"/>
              </w:rPr>
              <w:t>8</w:t>
            </w:r>
          </w:p>
        </w:tc>
        <w:tc>
          <w:tcPr>
            <w:tcW w:w="0" w:type="dxa"/>
            <w:vAlign w:val="bottom"/>
          </w:tcPr>
          <w:p w14:paraId="639EC09F" w14:textId="20227A98" w:rsidR="00152C7E" w:rsidRPr="00C34C12" w:rsidRDefault="00733BB7" w:rsidP="001725A5">
            <w:pPr>
              <w:pStyle w:val="TableText"/>
              <w:spacing w:before="14" w:after="14"/>
              <w:ind w:right="468"/>
              <w:rPr>
                <w:noProof w:val="0"/>
                <w:szCs w:val="24"/>
              </w:rPr>
            </w:pPr>
            <w:r w:rsidRPr="0098195E">
              <w:rPr>
                <w:color w:val="000000"/>
                <w:szCs w:val="24"/>
              </w:rPr>
              <w:t>22</w:t>
            </w:r>
          </w:p>
        </w:tc>
        <w:tc>
          <w:tcPr>
            <w:tcW w:w="0" w:type="dxa"/>
            <w:vAlign w:val="bottom"/>
          </w:tcPr>
          <w:p w14:paraId="5C508DD2" w14:textId="65C5D65C" w:rsidR="00152C7E" w:rsidRPr="00C34C12" w:rsidRDefault="00733BB7" w:rsidP="001725A5">
            <w:pPr>
              <w:pStyle w:val="TableText"/>
              <w:spacing w:before="14" w:after="14"/>
              <w:ind w:right="576"/>
              <w:rPr>
                <w:noProof w:val="0"/>
                <w:szCs w:val="24"/>
              </w:rPr>
            </w:pPr>
            <w:r w:rsidRPr="00C53C2B">
              <w:rPr>
                <w:color w:val="000000"/>
                <w:szCs w:val="24"/>
              </w:rPr>
              <w:t>1</w:t>
            </w:r>
          </w:p>
        </w:tc>
      </w:tr>
      <w:tr w:rsidR="00152C7E" w:rsidRPr="00C34C12" w14:paraId="18BEE659" w14:textId="77777777" w:rsidTr="006903AE">
        <w:tc>
          <w:tcPr>
            <w:tcW w:w="0" w:type="dxa"/>
          </w:tcPr>
          <w:p w14:paraId="341129C6" w14:textId="6E9D7DBF" w:rsidR="00152C7E" w:rsidRPr="00C34C12" w:rsidRDefault="00152C7E" w:rsidP="001725A5">
            <w:pPr>
              <w:pStyle w:val="TableText"/>
              <w:spacing w:before="14" w:after="14"/>
              <w:jc w:val="center"/>
              <w:rPr>
                <w:noProof w:val="0"/>
              </w:rPr>
            </w:pPr>
            <w:r w:rsidRPr="004B2D24">
              <w:rPr>
                <w:color w:val="000000"/>
                <w:szCs w:val="24"/>
              </w:rPr>
              <w:t>9</w:t>
            </w:r>
          </w:p>
        </w:tc>
        <w:tc>
          <w:tcPr>
            <w:tcW w:w="0" w:type="dxa"/>
            <w:vAlign w:val="bottom"/>
          </w:tcPr>
          <w:p w14:paraId="117C66CD" w14:textId="71BD69A6" w:rsidR="00152C7E" w:rsidRPr="00C34C12" w:rsidRDefault="00733BB7" w:rsidP="001725A5">
            <w:pPr>
              <w:pStyle w:val="TableText"/>
              <w:spacing w:before="14" w:after="14"/>
              <w:ind w:right="468"/>
              <w:rPr>
                <w:noProof w:val="0"/>
                <w:szCs w:val="24"/>
              </w:rPr>
            </w:pPr>
            <w:r w:rsidRPr="00AD2EF5">
              <w:rPr>
                <w:color w:val="000000"/>
                <w:szCs w:val="24"/>
              </w:rPr>
              <w:t>25</w:t>
            </w:r>
          </w:p>
        </w:tc>
        <w:tc>
          <w:tcPr>
            <w:tcW w:w="0" w:type="dxa"/>
            <w:vAlign w:val="bottom"/>
          </w:tcPr>
          <w:p w14:paraId="6C808017" w14:textId="0A8B0A88" w:rsidR="00152C7E" w:rsidRPr="00C34C12" w:rsidRDefault="00733BB7" w:rsidP="001725A5">
            <w:pPr>
              <w:pStyle w:val="TableText"/>
              <w:spacing w:before="14" w:after="14"/>
              <w:ind w:right="576"/>
              <w:rPr>
                <w:noProof w:val="0"/>
                <w:szCs w:val="24"/>
              </w:rPr>
            </w:pPr>
            <w:r w:rsidRPr="006903AE">
              <w:rPr>
                <w:color w:val="000000"/>
                <w:szCs w:val="24"/>
              </w:rPr>
              <w:t>1</w:t>
            </w:r>
          </w:p>
        </w:tc>
      </w:tr>
      <w:tr w:rsidR="00152C7E" w:rsidRPr="00C34C12" w14:paraId="70CC7D09" w14:textId="77777777" w:rsidTr="006903AE">
        <w:tc>
          <w:tcPr>
            <w:tcW w:w="0" w:type="dxa"/>
          </w:tcPr>
          <w:p w14:paraId="6E979EB3" w14:textId="6265FBF1" w:rsidR="00152C7E" w:rsidRPr="00C34C12" w:rsidRDefault="00152C7E" w:rsidP="001725A5">
            <w:pPr>
              <w:pStyle w:val="TableText"/>
              <w:spacing w:before="14" w:after="14"/>
              <w:jc w:val="center"/>
              <w:rPr>
                <w:noProof w:val="0"/>
              </w:rPr>
            </w:pPr>
            <w:r w:rsidRPr="004B2D24">
              <w:rPr>
                <w:color w:val="000000"/>
                <w:szCs w:val="24"/>
              </w:rPr>
              <w:t>10</w:t>
            </w:r>
          </w:p>
        </w:tc>
        <w:tc>
          <w:tcPr>
            <w:tcW w:w="0" w:type="dxa"/>
            <w:vAlign w:val="bottom"/>
          </w:tcPr>
          <w:p w14:paraId="49B025F9" w14:textId="131FB563" w:rsidR="00152C7E" w:rsidRPr="00C34C12" w:rsidRDefault="00733BB7" w:rsidP="001725A5">
            <w:pPr>
              <w:pStyle w:val="TableText"/>
              <w:spacing w:before="14" w:after="14"/>
              <w:ind w:right="468"/>
              <w:rPr>
                <w:noProof w:val="0"/>
                <w:szCs w:val="24"/>
              </w:rPr>
            </w:pPr>
            <w:r w:rsidRPr="00AD2EF5">
              <w:rPr>
                <w:color w:val="000000"/>
                <w:szCs w:val="24"/>
              </w:rPr>
              <w:t>28</w:t>
            </w:r>
          </w:p>
        </w:tc>
        <w:tc>
          <w:tcPr>
            <w:tcW w:w="0" w:type="dxa"/>
            <w:vAlign w:val="bottom"/>
          </w:tcPr>
          <w:p w14:paraId="05AD9F7F" w14:textId="427E505C" w:rsidR="00152C7E" w:rsidRPr="00C34C12" w:rsidRDefault="00733BB7" w:rsidP="001725A5">
            <w:pPr>
              <w:pStyle w:val="TableText"/>
              <w:spacing w:before="14" w:after="14"/>
              <w:ind w:right="576"/>
              <w:rPr>
                <w:noProof w:val="0"/>
                <w:szCs w:val="24"/>
              </w:rPr>
            </w:pPr>
            <w:r w:rsidRPr="0098195E">
              <w:rPr>
                <w:color w:val="000000"/>
                <w:szCs w:val="24"/>
              </w:rPr>
              <w:t>1</w:t>
            </w:r>
          </w:p>
        </w:tc>
      </w:tr>
      <w:tr w:rsidR="00152C7E" w:rsidRPr="00C34C12" w14:paraId="3B7076E3" w14:textId="77777777" w:rsidTr="006903AE">
        <w:tc>
          <w:tcPr>
            <w:tcW w:w="0" w:type="dxa"/>
          </w:tcPr>
          <w:p w14:paraId="6FE5C16C" w14:textId="5F07A51A" w:rsidR="00152C7E" w:rsidRPr="00C34C12" w:rsidRDefault="00152C7E" w:rsidP="001725A5">
            <w:pPr>
              <w:pStyle w:val="TableText"/>
              <w:spacing w:before="14" w:after="14"/>
              <w:jc w:val="center"/>
              <w:rPr>
                <w:noProof w:val="0"/>
              </w:rPr>
            </w:pPr>
            <w:r w:rsidRPr="004B2D24">
              <w:rPr>
                <w:color w:val="000000"/>
                <w:szCs w:val="24"/>
              </w:rPr>
              <w:t>11</w:t>
            </w:r>
          </w:p>
        </w:tc>
        <w:tc>
          <w:tcPr>
            <w:tcW w:w="0" w:type="dxa"/>
            <w:vAlign w:val="bottom"/>
          </w:tcPr>
          <w:p w14:paraId="5C3A2F83" w14:textId="02DDB883" w:rsidR="00152C7E" w:rsidRPr="00C34C12" w:rsidRDefault="00733BB7" w:rsidP="001725A5">
            <w:pPr>
              <w:pStyle w:val="TableText"/>
              <w:spacing w:before="14" w:after="14"/>
              <w:ind w:right="468"/>
              <w:rPr>
                <w:noProof w:val="0"/>
                <w:szCs w:val="24"/>
              </w:rPr>
            </w:pPr>
            <w:r w:rsidRPr="00C53C2B">
              <w:rPr>
                <w:color w:val="000000"/>
                <w:szCs w:val="24"/>
              </w:rPr>
              <w:t>31</w:t>
            </w:r>
          </w:p>
        </w:tc>
        <w:tc>
          <w:tcPr>
            <w:tcW w:w="0" w:type="dxa"/>
            <w:vAlign w:val="bottom"/>
          </w:tcPr>
          <w:p w14:paraId="3F3DA85B" w14:textId="0EFC19F6" w:rsidR="00152C7E" w:rsidRPr="00C34C12" w:rsidRDefault="00733BB7" w:rsidP="001725A5">
            <w:pPr>
              <w:pStyle w:val="TableText"/>
              <w:spacing w:before="14" w:after="14"/>
              <w:ind w:right="576"/>
              <w:rPr>
                <w:noProof w:val="0"/>
                <w:szCs w:val="24"/>
              </w:rPr>
            </w:pPr>
            <w:r w:rsidRPr="006903AE">
              <w:rPr>
                <w:color w:val="000000"/>
                <w:szCs w:val="24"/>
              </w:rPr>
              <w:t>1</w:t>
            </w:r>
          </w:p>
        </w:tc>
      </w:tr>
      <w:tr w:rsidR="00152C7E" w:rsidRPr="00C34C12" w14:paraId="34EC0678" w14:textId="77777777" w:rsidTr="006903AE">
        <w:tc>
          <w:tcPr>
            <w:tcW w:w="0" w:type="dxa"/>
          </w:tcPr>
          <w:p w14:paraId="648DB569" w14:textId="5D46A151" w:rsidR="00152C7E" w:rsidRPr="00C34C12" w:rsidRDefault="00152C7E" w:rsidP="001725A5">
            <w:pPr>
              <w:pStyle w:val="TableText"/>
              <w:spacing w:before="14" w:after="14"/>
              <w:jc w:val="center"/>
              <w:rPr>
                <w:noProof w:val="0"/>
              </w:rPr>
            </w:pPr>
            <w:r w:rsidRPr="004B2D24">
              <w:rPr>
                <w:color w:val="000000"/>
                <w:szCs w:val="24"/>
              </w:rPr>
              <w:t>12</w:t>
            </w:r>
          </w:p>
        </w:tc>
        <w:tc>
          <w:tcPr>
            <w:tcW w:w="0" w:type="dxa"/>
            <w:vAlign w:val="bottom"/>
          </w:tcPr>
          <w:p w14:paraId="2B7559E8" w14:textId="787CB7D3" w:rsidR="00152C7E" w:rsidRPr="00C34C12" w:rsidRDefault="00733BB7" w:rsidP="001725A5">
            <w:pPr>
              <w:pStyle w:val="TableText"/>
              <w:spacing w:before="14" w:after="14"/>
              <w:ind w:right="468"/>
              <w:rPr>
                <w:noProof w:val="0"/>
                <w:szCs w:val="24"/>
              </w:rPr>
            </w:pPr>
            <w:r w:rsidRPr="00AD2EF5">
              <w:rPr>
                <w:color w:val="000000"/>
                <w:szCs w:val="24"/>
              </w:rPr>
              <w:t>33</w:t>
            </w:r>
          </w:p>
        </w:tc>
        <w:tc>
          <w:tcPr>
            <w:tcW w:w="0" w:type="dxa"/>
            <w:vAlign w:val="bottom"/>
          </w:tcPr>
          <w:p w14:paraId="5006EE2D" w14:textId="63A5191B" w:rsidR="00152C7E" w:rsidRPr="00C34C12" w:rsidRDefault="00733BB7" w:rsidP="001725A5">
            <w:pPr>
              <w:pStyle w:val="TableText"/>
              <w:spacing w:before="14" w:after="14"/>
              <w:ind w:right="576"/>
              <w:rPr>
                <w:noProof w:val="0"/>
                <w:szCs w:val="24"/>
              </w:rPr>
            </w:pPr>
            <w:r w:rsidRPr="00AD2EF5">
              <w:rPr>
                <w:color w:val="000000"/>
                <w:szCs w:val="24"/>
              </w:rPr>
              <w:t>2</w:t>
            </w:r>
          </w:p>
        </w:tc>
      </w:tr>
      <w:tr w:rsidR="00152C7E" w:rsidRPr="00C34C12" w14:paraId="020A8CE2" w14:textId="77777777" w:rsidTr="006903AE">
        <w:tc>
          <w:tcPr>
            <w:tcW w:w="0" w:type="dxa"/>
          </w:tcPr>
          <w:p w14:paraId="5DC1066E" w14:textId="6102515D" w:rsidR="00152C7E" w:rsidRPr="00C34C12" w:rsidRDefault="00152C7E" w:rsidP="001725A5">
            <w:pPr>
              <w:pStyle w:val="TableText"/>
              <w:spacing w:before="14" w:after="14"/>
              <w:jc w:val="center"/>
              <w:rPr>
                <w:noProof w:val="0"/>
              </w:rPr>
            </w:pPr>
            <w:r w:rsidRPr="004B2D24">
              <w:rPr>
                <w:color w:val="000000"/>
                <w:szCs w:val="24"/>
              </w:rPr>
              <w:t>13</w:t>
            </w:r>
          </w:p>
        </w:tc>
        <w:tc>
          <w:tcPr>
            <w:tcW w:w="0" w:type="dxa"/>
            <w:vAlign w:val="bottom"/>
          </w:tcPr>
          <w:p w14:paraId="512085D3" w14:textId="4FC0F999" w:rsidR="00152C7E" w:rsidRPr="00C34C12" w:rsidRDefault="00733BB7" w:rsidP="001725A5">
            <w:pPr>
              <w:pStyle w:val="TableText"/>
              <w:spacing w:before="14" w:after="14"/>
              <w:ind w:right="468"/>
              <w:rPr>
                <w:noProof w:val="0"/>
                <w:szCs w:val="24"/>
              </w:rPr>
            </w:pPr>
            <w:r w:rsidRPr="00AD2EF5">
              <w:rPr>
                <w:color w:val="000000"/>
                <w:szCs w:val="24"/>
              </w:rPr>
              <w:t>36</w:t>
            </w:r>
          </w:p>
        </w:tc>
        <w:tc>
          <w:tcPr>
            <w:tcW w:w="0" w:type="dxa"/>
            <w:vAlign w:val="bottom"/>
          </w:tcPr>
          <w:p w14:paraId="67BABDA7" w14:textId="393445CA" w:rsidR="00152C7E" w:rsidRPr="00C34C12" w:rsidRDefault="00733BB7" w:rsidP="001725A5">
            <w:pPr>
              <w:pStyle w:val="TableText"/>
              <w:spacing w:before="14" w:after="14"/>
              <w:ind w:right="576"/>
              <w:rPr>
                <w:noProof w:val="0"/>
                <w:szCs w:val="24"/>
              </w:rPr>
            </w:pPr>
            <w:r w:rsidRPr="00AD2EF5">
              <w:rPr>
                <w:color w:val="000000"/>
                <w:szCs w:val="24"/>
              </w:rPr>
              <w:t>2</w:t>
            </w:r>
          </w:p>
        </w:tc>
      </w:tr>
      <w:tr w:rsidR="00152C7E" w:rsidRPr="00C34C12" w14:paraId="573A33BB" w14:textId="77777777" w:rsidTr="006903AE">
        <w:tc>
          <w:tcPr>
            <w:tcW w:w="0" w:type="dxa"/>
          </w:tcPr>
          <w:p w14:paraId="69CB6C14" w14:textId="570C8650" w:rsidR="00152C7E" w:rsidRPr="00C34C12" w:rsidRDefault="00152C7E" w:rsidP="001725A5">
            <w:pPr>
              <w:pStyle w:val="TableText"/>
              <w:spacing w:before="14" w:after="14"/>
              <w:jc w:val="center"/>
              <w:rPr>
                <w:noProof w:val="0"/>
              </w:rPr>
            </w:pPr>
            <w:r w:rsidRPr="004B2D24">
              <w:rPr>
                <w:color w:val="000000"/>
                <w:szCs w:val="24"/>
              </w:rPr>
              <w:t>14</w:t>
            </w:r>
          </w:p>
        </w:tc>
        <w:tc>
          <w:tcPr>
            <w:tcW w:w="0" w:type="dxa"/>
            <w:vAlign w:val="bottom"/>
          </w:tcPr>
          <w:p w14:paraId="3BFE1B07" w14:textId="25661CBE" w:rsidR="00152C7E" w:rsidRPr="00C34C12" w:rsidRDefault="00733BB7" w:rsidP="001725A5">
            <w:pPr>
              <w:pStyle w:val="TableText"/>
              <w:spacing w:before="14" w:after="14"/>
              <w:ind w:right="468"/>
              <w:rPr>
                <w:noProof w:val="0"/>
                <w:szCs w:val="24"/>
              </w:rPr>
            </w:pPr>
            <w:r w:rsidRPr="00C53C2B">
              <w:rPr>
                <w:color w:val="000000"/>
                <w:szCs w:val="24"/>
              </w:rPr>
              <w:t>39</w:t>
            </w:r>
          </w:p>
        </w:tc>
        <w:tc>
          <w:tcPr>
            <w:tcW w:w="0" w:type="dxa"/>
            <w:vAlign w:val="bottom"/>
          </w:tcPr>
          <w:p w14:paraId="1E5FAB45" w14:textId="59696E01" w:rsidR="00152C7E" w:rsidRPr="00C34C12" w:rsidRDefault="00733BB7" w:rsidP="001725A5">
            <w:pPr>
              <w:pStyle w:val="TableText"/>
              <w:spacing w:before="14" w:after="14"/>
              <w:ind w:right="576"/>
              <w:rPr>
                <w:noProof w:val="0"/>
                <w:szCs w:val="24"/>
              </w:rPr>
            </w:pPr>
            <w:r w:rsidRPr="00AD2EF5">
              <w:rPr>
                <w:color w:val="000000"/>
                <w:szCs w:val="24"/>
              </w:rPr>
              <w:t>2</w:t>
            </w:r>
          </w:p>
        </w:tc>
      </w:tr>
      <w:tr w:rsidR="00152C7E" w:rsidRPr="00C34C12" w14:paraId="41DC703C" w14:textId="77777777" w:rsidTr="006903AE">
        <w:tc>
          <w:tcPr>
            <w:tcW w:w="0" w:type="dxa"/>
          </w:tcPr>
          <w:p w14:paraId="6EDF7994" w14:textId="71D16E31" w:rsidR="00152C7E" w:rsidRPr="00C34C12" w:rsidRDefault="00152C7E" w:rsidP="001725A5">
            <w:pPr>
              <w:pStyle w:val="TableText"/>
              <w:spacing w:before="14" w:after="14"/>
              <w:jc w:val="center"/>
              <w:rPr>
                <w:noProof w:val="0"/>
              </w:rPr>
            </w:pPr>
            <w:r w:rsidRPr="004B2D24">
              <w:rPr>
                <w:color w:val="000000"/>
                <w:szCs w:val="24"/>
              </w:rPr>
              <w:t>15</w:t>
            </w:r>
          </w:p>
        </w:tc>
        <w:tc>
          <w:tcPr>
            <w:tcW w:w="0" w:type="dxa"/>
            <w:vAlign w:val="bottom"/>
          </w:tcPr>
          <w:p w14:paraId="0E480B25" w14:textId="3CADF30E" w:rsidR="00152C7E" w:rsidRPr="00C34C12" w:rsidRDefault="00733BB7" w:rsidP="001725A5">
            <w:pPr>
              <w:pStyle w:val="TableText"/>
              <w:spacing w:before="14" w:after="14"/>
              <w:ind w:right="468"/>
              <w:rPr>
                <w:noProof w:val="0"/>
                <w:szCs w:val="24"/>
              </w:rPr>
            </w:pPr>
            <w:r w:rsidRPr="006903AE">
              <w:rPr>
                <w:color w:val="000000"/>
                <w:szCs w:val="24"/>
              </w:rPr>
              <w:t>42</w:t>
            </w:r>
          </w:p>
        </w:tc>
        <w:tc>
          <w:tcPr>
            <w:tcW w:w="0" w:type="dxa"/>
            <w:vAlign w:val="bottom"/>
          </w:tcPr>
          <w:p w14:paraId="7CE03EF6" w14:textId="78523FFE" w:rsidR="00152C7E" w:rsidRPr="00C34C12" w:rsidRDefault="00733BB7" w:rsidP="001725A5">
            <w:pPr>
              <w:pStyle w:val="TableText"/>
              <w:spacing w:before="14" w:after="14"/>
              <w:ind w:right="576"/>
              <w:rPr>
                <w:noProof w:val="0"/>
                <w:szCs w:val="24"/>
              </w:rPr>
            </w:pPr>
            <w:r w:rsidRPr="00C53C2B">
              <w:rPr>
                <w:color w:val="000000"/>
                <w:szCs w:val="24"/>
              </w:rPr>
              <w:t>2</w:t>
            </w:r>
          </w:p>
        </w:tc>
      </w:tr>
      <w:tr w:rsidR="00152C7E" w:rsidRPr="00C34C12" w14:paraId="5CBF8441" w14:textId="77777777" w:rsidTr="006903AE">
        <w:tc>
          <w:tcPr>
            <w:tcW w:w="0" w:type="dxa"/>
          </w:tcPr>
          <w:p w14:paraId="40CA73DB" w14:textId="3545C393" w:rsidR="00152C7E" w:rsidRPr="00C34C12" w:rsidRDefault="00152C7E" w:rsidP="001725A5">
            <w:pPr>
              <w:pStyle w:val="TableText"/>
              <w:spacing w:before="14" w:after="14"/>
              <w:jc w:val="center"/>
              <w:rPr>
                <w:noProof w:val="0"/>
              </w:rPr>
            </w:pPr>
            <w:r w:rsidRPr="004B2D24">
              <w:rPr>
                <w:color w:val="000000"/>
                <w:szCs w:val="24"/>
              </w:rPr>
              <w:t>16</w:t>
            </w:r>
          </w:p>
        </w:tc>
        <w:tc>
          <w:tcPr>
            <w:tcW w:w="0" w:type="dxa"/>
            <w:vAlign w:val="bottom"/>
          </w:tcPr>
          <w:p w14:paraId="31CB6C08" w14:textId="066DE04C" w:rsidR="00152C7E" w:rsidRPr="00C34C12" w:rsidRDefault="00733BB7" w:rsidP="001725A5">
            <w:pPr>
              <w:pStyle w:val="TableText"/>
              <w:spacing w:before="14" w:after="14"/>
              <w:ind w:right="468"/>
              <w:rPr>
                <w:noProof w:val="0"/>
                <w:szCs w:val="24"/>
              </w:rPr>
            </w:pPr>
            <w:r w:rsidRPr="00C53C2B">
              <w:rPr>
                <w:color w:val="000000"/>
                <w:szCs w:val="24"/>
              </w:rPr>
              <w:t>44</w:t>
            </w:r>
          </w:p>
        </w:tc>
        <w:tc>
          <w:tcPr>
            <w:tcW w:w="0" w:type="dxa"/>
            <w:vAlign w:val="bottom"/>
          </w:tcPr>
          <w:p w14:paraId="63FC2FB8" w14:textId="4042822D" w:rsidR="00152C7E" w:rsidRPr="00C34C12" w:rsidRDefault="00733BB7" w:rsidP="001725A5">
            <w:pPr>
              <w:pStyle w:val="TableText"/>
              <w:spacing w:before="14" w:after="14"/>
              <w:ind w:right="576"/>
              <w:rPr>
                <w:noProof w:val="0"/>
                <w:szCs w:val="24"/>
              </w:rPr>
            </w:pPr>
            <w:r w:rsidRPr="00AD2EF5">
              <w:rPr>
                <w:color w:val="000000"/>
                <w:szCs w:val="24"/>
              </w:rPr>
              <w:t>2</w:t>
            </w:r>
          </w:p>
        </w:tc>
      </w:tr>
      <w:tr w:rsidR="00152C7E" w:rsidRPr="00C34C12" w14:paraId="2EBE4727" w14:textId="77777777" w:rsidTr="006903AE">
        <w:tc>
          <w:tcPr>
            <w:tcW w:w="0" w:type="dxa"/>
          </w:tcPr>
          <w:p w14:paraId="3A41865C" w14:textId="48B0962D" w:rsidR="00152C7E" w:rsidRPr="00C34C12" w:rsidRDefault="00152C7E" w:rsidP="001725A5">
            <w:pPr>
              <w:pStyle w:val="TableText"/>
              <w:spacing w:before="14" w:after="14"/>
              <w:jc w:val="center"/>
              <w:rPr>
                <w:noProof w:val="0"/>
              </w:rPr>
            </w:pPr>
            <w:r w:rsidRPr="004B2D24">
              <w:rPr>
                <w:color w:val="000000"/>
                <w:szCs w:val="24"/>
              </w:rPr>
              <w:t>17</w:t>
            </w:r>
          </w:p>
        </w:tc>
        <w:tc>
          <w:tcPr>
            <w:tcW w:w="0" w:type="dxa"/>
            <w:vAlign w:val="bottom"/>
          </w:tcPr>
          <w:p w14:paraId="7ECC3B9A" w14:textId="5288C586" w:rsidR="00152C7E" w:rsidRPr="00C34C12" w:rsidRDefault="00733BB7" w:rsidP="001725A5">
            <w:pPr>
              <w:pStyle w:val="TableText"/>
              <w:spacing w:before="14" w:after="14"/>
              <w:ind w:right="468"/>
              <w:rPr>
                <w:noProof w:val="0"/>
                <w:szCs w:val="24"/>
              </w:rPr>
            </w:pPr>
            <w:r w:rsidRPr="00AD2EF5">
              <w:rPr>
                <w:color w:val="000000"/>
                <w:szCs w:val="24"/>
              </w:rPr>
              <w:t>47</w:t>
            </w:r>
          </w:p>
        </w:tc>
        <w:tc>
          <w:tcPr>
            <w:tcW w:w="0" w:type="dxa"/>
            <w:vAlign w:val="bottom"/>
          </w:tcPr>
          <w:p w14:paraId="7C178E62" w14:textId="640E82F7" w:rsidR="00152C7E" w:rsidRPr="00C34C12" w:rsidRDefault="00733BB7" w:rsidP="001725A5">
            <w:pPr>
              <w:pStyle w:val="TableText"/>
              <w:spacing w:before="14" w:after="14"/>
              <w:ind w:right="576"/>
              <w:rPr>
                <w:noProof w:val="0"/>
                <w:szCs w:val="24"/>
              </w:rPr>
            </w:pPr>
            <w:r w:rsidRPr="00C53C2B">
              <w:rPr>
                <w:color w:val="000000"/>
                <w:szCs w:val="24"/>
              </w:rPr>
              <w:t>2</w:t>
            </w:r>
          </w:p>
        </w:tc>
      </w:tr>
      <w:tr w:rsidR="00152C7E" w:rsidRPr="00C34C12" w14:paraId="431CA2B9" w14:textId="77777777" w:rsidTr="006903AE">
        <w:tc>
          <w:tcPr>
            <w:tcW w:w="0" w:type="dxa"/>
          </w:tcPr>
          <w:p w14:paraId="54BC7F41" w14:textId="32E7EB91" w:rsidR="00152C7E" w:rsidRPr="00C34C12" w:rsidRDefault="00152C7E" w:rsidP="001725A5">
            <w:pPr>
              <w:pStyle w:val="TableText"/>
              <w:spacing w:before="14" w:after="14"/>
              <w:jc w:val="center"/>
              <w:rPr>
                <w:noProof w:val="0"/>
              </w:rPr>
            </w:pPr>
            <w:r w:rsidRPr="004B2D24">
              <w:rPr>
                <w:color w:val="000000"/>
                <w:szCs w:val="24"/>
              </w:rPr>
              <w:t>18</w:t>
            </w:r>
          </w:p>
        </w:tc>
        <w:tc>
          <w:tcPr>
            <w:tcW w:w="0" w:type="dxa"/>
            <w:vAlign w:val="bottom"/>
          </w:tcPr>
          <w:p w14:paraId="5E6AC384" w14:textId="1BC31D0B" w:rsidR="00152C7E" w:rsidRPr="00C34C12" w:rsidRDefault="00733BB7" w:rsidP="001725A5">
            <w:pPr>
              <w:pStyle w:val="TableText"/>
              <w:spacing w:before="14" w:after="14"/>
              <w:ind w:right="468"/>
              <w:rPr>
                <w:noProof w:val="0"/>
                <w:szCs w:val="24"/>
              </w:rPr>
            </w:pPr>
            <w:r w:rsidRPr="00C53C2B">
              <w:rPr>
                <w:color w:val="000000"/>
                <w:szCs w:val="24"/>
              </w:rPr>
              <w:t>50</w:t>
            </w:r>
          </w:p>
        </w:tc>
        <w:tc>
          <w:tcPr>
            <w:tcW w:w="0" w:type="dxa"/>
            <w:vAlign w:val="bottom"/>
          </w:tcPr>
          <w:p w14:paraId="40DB962A" w14:textId="273DE446" w:rsidR="00152C7E" w:rsidRPr="00C34C12" w:rsidRDefault="00733BB7" w:rsidP="001725A5">
            <w:pPr>
              <w:pStyle w:val="TableText"/>
              <w:spacing w:before="14" w:after="14"/>
              <w:ind w:right="576"/>
              <w:rPr>
                <w:noProof w:val="0"/>
                <w:szCs w:val="24"/>
              </w:rPr>
            </w:pPr>
            <w:r w:rsidRPr="006903AE">
              <w:rPr>
                <w:color w:val="000000"/>
                <w:szCs w:val="24"/>
              </w:rPr>
              <w:t>2</w:t>
            </w:r>
          </w:p>
        </w:tc>
      </w:tr>
      <w:tr w:rsidR="00152C7E" w:rsidRPr="00C34C12" w14:paraId="16D05044" w14:textId="77777777" w:rsidTr="006903AE">
        <w:tc>
          <w:tcPr>
            <w:tcW w:w="0" w:type="dxa"/>
          </w:tcPr>
          <w:p w14:paraId="3C9B6867" w14:textId="3C59FA23" w:rsidR="00152C7E" w:rsidRPr="00C34C12" w:rsidRDefault="00152C7E" w:rsidP="001725A5">
            <w:pPr>
              <w:pStyle w:val="TableText"/>
              <w:spacing w:before="14" w:after="14"/>
              <w:jc w:val="center"/>
              <w:rPr>
                <w:noProof w:val="0"/>
              </w:rPr>
            </w:pPr>
            <w:r w:rsidRPr="004B2D24">
              <w:rPr>
                <w:color w:val="000000"/>
                <w:szCs w:val="24"/>
              </w:rPr>
              <w:t>19</w:t>
            </w:r>
          </w:p>
        </w:tc>
        <w:tc>
          <w:tcPr>
            <w:tcW w:w="0" w:type="dxa"/>
            <w:vAlign w:val="bottom"/>
          </w:tcPr>
          <w:p w14:paraId="3100FF0D" w14:textId="0C6B0A87" w:rsidR="00152C7E" w:rsidRPr="00C34C12" w:rsidRDefault="00733BB7" w:rsidP="001725A5">
            <w:pPr>
              <w:pStyle w:val="TableText"/>
              <w:spacing w:before="14" w:after="14"/>
              <w:ind w:right="468"/>
              <w:rPr>
                <w:noProof w:val="0"/>
                <w:szCs w:val="24"/>
              </w:rPr>
            </w:pPr>
            <w:r w:rsidRPr="00C53C2B">
              <w:rPr>
                <w:color w:val="000000"/>
                <w:szCs w:val="24"/>
              </w:rPr>
              <w:t>53</w:t>
            </w:r>
          </w:p>
        </w:tc>
        <w:tc>
          <w:tcPr>
            <w:tcW w:w="0" w:type="dxa"/>
            <w:vAlign w:val="bottom"/>
          </w:tcPr>
          <w:p w14:paraId="0E456214" w14:textId="017FA042" w:rsidR="00152C7E" w:rsidRPr="00C34C12" w:rsidRDefault="00733BB7" w:rsidP="001725A5">
            <w:pPr>
              <w:pStyle w:val="TableText"/>
              <w:spacing w:before="14" w:after="14"/>
              <w:ind w:right="576"/>
              <w:rPr>
                <w:noProof w:val="0"/>
                <w:szCs w:val="24"/>
              </w:rPr>
            </w:pPr>
            <w:r w:rsidRPr="006903AE">
              <w:rPr>
                <w:color w:val="000000"/>
                <w:szCs w:val="24"/>
              </w:rPr>
              <w:t>2</w:t>
            </w:r>
          </w:p>
        </w:tc>
      </w:tr>
      <w:tr w:rsidR="00152C7E" w:rsidRPr="00C34C12" w14:paraId="0D8AF229" w14:textId="77777777" w:rsidTr="006903AE">
        <w:tc>
          <w:tcPr>
            <w:tcW w:w="0" w:type="dxa"/>
          </w:tcPr>
          <w:p w14:paraId="50A4009E" w14:textId="4201017D" w:rsidR="00152C7E" w:rsidRPr="00C34C12" w:rsidRDefault="00152C7E" w:rsidP="001725A5">
            <w:pPr>
              <w:pStyle w:val="TableText"/>
              <w:spacing w:before="14" w:after="14"/>
              <w:jc w:val="center"/>
              <w:rPr>
                <w:noProof w:val="0"/>
              </w:rPr>
            </w:pPr>
            <w:r w:rsidRPr="004B2D24">
              <w:rPr>
                <w:color w:val="000000"/>
                <w:szCs w:val="24"/>
              </w:rPr>
              <w:t>20</w:t>
            </w:r>
          </w:p>
        </w:tc>
        <w:tc>
          <w:tcPr>
            <w:tcW w:w="0" w:type="dxa"/>
            <w:vAlign w:val="bottom"/>
          </w:tcPr>
          <w:p w14:paraId="3EB884EA" w14:textId="1833B4D5" w:rsidR="00152C7E" w:rsidRPr="00C34C12" w:rsidRDefault="00733BB7" w:rsidP="001725A5">
            <w:pPr>
              <w:pStyle w:val="TableText"/>
              <w:spacing w:before="14" w:after="14"/>
              <w:ind w:right="468"/>
              <w:rPr>
                <w:noProof w:val="0"/>
                <w:szCs w:val="24"/>
              </w:rPr>
            </w:pPr>
            <w:r w:rsidRPr="00C53C2B">
              <w:rPr>
                <w:color w:val="000000"/>
                <w:szCs w:val="24"/>
              </w:rPr>
              <w:t>56</w:t>
            </w:r>
          </w:p>
        </w:tc>
        <w:tc>
          <w:tcPr>
            <w:tcW w:w="0" w:type="dxa"/>
            <w:vAlign w:val="bottom"/>
          </w:tcPr>
          <w:p w14:paraId="47CFE4D7" w14:textId="12AD1358" w:rsidR="00152C7E" w:rsidRPr="00C34C12" w:rsidRDefault="00733BB7" w:rsidP="001725A5">
            <w:pPr>
              <w:pStyle w:val="TableText"/>
              <w:spacing w:before="14" w:after="14"/>
              <w:ind w:right="576"/>
              <w:rPr>
                <w:noProof w:val="0"/>
                <w:szCs w:val="24"/>
              </w:rPr>
            </w:pPr>
            <w:r w:rsidRPr="00C53C2B">
              <w:rPr>
                <w:color w:val="000000"/>
                <w:szCs w:val="24"/>
              </w:rPr>
              <w:t>2</w:t>
            </w:r>
          </w:p>
        </w:tc>
      </w:tr>
      <w:tr w:rsidR="00152C7E" w:rsidRPr="00C34C12" w14:paraId="30E7886A" w14:textId="77777777" w:rsidTr="006903AE">
        <w:tc>
          <w:tcPr>
            <w:tcW w:w="0" w:type="dxa"/>
          </w:tcPr>
          <w:p w14:paraId="2678D182" w14:textId="4FF47F72" w:rsidR="00152C7E" w:rsidRPr="00C34C12" w:rsidRDefault="00152C7E" w:rsidP="001725A5">
            <w:pPr>
              <w:pStyle w:val="TableText"/>
              <w:spacing w:before="14" w:after="14"/>
              <w:jc w:val="center"/>
              <w:rPr>
                <w:noProof w:val="0"/>
              </w:rPr>
            </w:pPr>
            <w:r w:rsidRPr="004B2D24">
              <w:rPr>
                <w:color w:val="000000"/>
                <w:szCs w:val="24"/>
              </w:rPr>
              <w:t>21</w:t>
            </w:r>
          </w:p>
        </w:tc>
        <w:tc>
          <w:tcPr>
            <w:tcW w:w="0" w:type="dxa"/>
            <w:vAlign w:val="bottom"/>
          </w:tcPr>
          <w:p w14:paraId="040A2E10" w14:textId="14CBCC48" w:rsidR="00152C7E" w:rsidRPr="00C34C12" w:rsidRDefault="00733BB7" w:rsidP="001725A5">
            <w:pPr>
              <w:pStyle w:val="TableText"/>
              <w:spacing w:before="14" w:after="14"/>
              <w:ind w:right="468"/>
              <w:rPr>
                <w:noProof w:val="0"/>
                <w:szCs w:val="24"/>
              </w:rPr>
            </w:pPr>
            <w:r w:rsidRPr="00C53C2B">
              <w:rPr>
                <w:color w:val="000000"/>
                <w:szCs w:val="24"/>
              </w:rPr>
              <w:t>58</w:t>
            </w:r>
          </w:p>
        </w:tc>
        <w:tc>
          <w:tcPr>
            <w:tcW w:w="0" w:type="dxa"/>
            <w:vAlign w:val="bottom"/>
          </w:tcPr>
          <w:p w14:paraId="1595DA61" w14:textId="6968B5EA" w:rsidR="00152C7E" w:rsidRPr="00C34C12" w:rsidRDefault="00733BB7" w:rsidP="001725A5">
            <w:pPr>
              <w:pStyle w:val="TableText"/>
              <w:spacing w:before="14" w:after="14"/>
              <w:ind w:right="576"/>
              <w:rPr>
                <w:noProof w:val="0"/>
                <w:szCs w:val="24"/>
              </w:rPr>
            </w:pPr>
            <w:r w:rsidRPr="00C53C2B">
              <w:rPr>
                <w:color w:val="000000"/>
                <w:szCs w:val="24"/>
              </w:rPr>
              <w:t>2</w:t>
            </w:r>
          </w:p>
        </w:tc>
      </w:tr>
      <w:tr w:rsidR="00152C7E" w:rsidRPr="00C34C12" w14:paraId="66B1E2AA" w14:textId="77777777" w:rsidTr="006903AE">
        <w:tc>
          <w:tcPr>
            <w:tcW w:w="0" w:type="dxa"/>
          </w:tcPr>
          <w:p w14:paraId="3D6927CB" w14:textId="4461C2AF" w:rsidR="00152C7E" w:rsidRPr="00C34C12" w:rsidRDefault="00152C7E" w:rsidP="001725A5">
            <w:pPr>
              <w:pStyle w:val="TableText"/>
              <w:spacing w:before="14" w:after="14"/>
              <w:jc w:val="center"/>
              <w:rPr>
                <w:noProof w:val="0"/>
              </w:rPr>
            </w:pPr>
            <w:r w:rsidRPr="004B2D24">
              <w:rPr>
                <w:color w:val="000000"/>
                <w:szCs w:val="24"/>
              </w:rPr>
              <w:t>22</w:t>
            </w:r>
          </w:p>
        </w:tc>
        <w:tc>
          <w:tcPr>
            <w:tcW w:w="0" w:type="dxa"/>
            <w:vAlign w:val="bottom"/>
          </w:tcPr>
          <w:p w14:paraId="0628760F" w14:textId="7117CCB3" w:rsidR="00152C7E" w:rsidRPr="00C34C12" w:rsidRDefault="00733BB7" w:rsidP="001725A5">
            <w:pPr>
              <w:pStyle w:val="TableText"/>
              <w:spacing w:before="14" w:after="14"/>
              <w:ind w:right="468"/>
              <w:rPr>
                <w:noProof w:val="0"/>
                <w:szCs w:val="24"/>
              </w:rPr>
            </w:pPr>
            <w:r w:rsidRPr="00C53C2B">
              <w:rPr>
                <w:color w:val="000000"/>
                <w:szCs w:val="24"/>
              </w:rPr>
              <w:t>61</w:t>
            </w:r>
          </w:p>
        </w:tc>
        <w:tc>
          <w:tcPr>
            <w:tcW w:w="0" w:type="dxa"/>
            <w:vAlign w:val="bottom"/>
          </w:tcPr>
          <w:p w14:paraId="5945D2B9" w14:textId="3914ECC2" w:rsidR="00152C7E" w:rsidRPr="00C34C12" w:rsidRDefault="00733BB7" w:rsidP="001725A5">
            <w:pPr>
              <w:pStyle w:val="TableText"/>
              <w:spacing w:before="14" w:after="14"/>
              <w:ind w:right="576"/>
              <w:rPr>
                <w:noProof w:val="0"/>
                <w:szCs w:val="24"/>
              </w:rPr>
            </w:pPr>
            <w:r w:rsidRPr="006903AE">
              <w:rPr>
                <w:color w:val="000000"/>
                <w:szCs w:val="24"/>
              </w:rPr>
              <w:t>2</w:t>
            </w:r>
          </w:p>
        </w:tc>
      </w:tr>
      <w:tr w:rsidR="00152C7E" w:rsidRPr="00C34C12" w14:paraId="4018B22B" w14:textId="77777777" w:rsidTr="006903AE">
        <w:tc>
          <w:tcPr>
            <w:tcW w:w="0" w:type="dxa"/>
          </w:tcPr>
          <w:p w14:paraId="51517D55" w14:textId="5153E29D" w:rsidR="00152C7E" w:rsidRPr="00C34C12" w:rsidRDefault="00152C7E" w:rsidP="001725A5">
            <w:pPr>
              <w:pStyle w:val="TableText"/>
              <w:spacing w:before="14" w:after="14"/>
              <w:jc w:val="center"/>
              <w:rPr>
                <w:noProof w:val="0"/>
              </w:rPr>
            </w:pPr>
            <w:r w:rsidRPr="004B2D24">
              <w:rPr>
                <w:color w:val="000000"/>
                <w:szCs w:val="24"/>
              </w:rPr>
              <w:t>23</w:t>
            </w:r>
          </w:p>
        </w:tc>
        <w:tc>
          <w:tcPr>
            <w:tcW w:w="0" w:type="dxa"/>
            <w:vAlign w:val="bottom"/>
          </w:tcPr>
          <w:p w14:paraId="3E41FD19" w14:textId="72CBA085" w:rsidR="00152C7E" w:rsidRPr="00C34C12" w:rsidRDefault="00733BB7" w:rsidP="001725A5">
            <w:pPr>
              <w:pStyle w:val="TableText"/>
              <w:spacing w:before="14" w:after="14"/>
              <w:ind w:right="468"/>
              <w:rPr>
                <w:noProof w:val="0"/>
                <w:szCs w:val="24"/>
              </w:rPr>
            </w:pPr>
            <w:r w:rsidRPr="006903AE">
              <w:rPr>
                <w:color w:val="000000"/>
                <w:szCs w:val="24"/>
              </w:rPr>
              <w:t>64</w:t>
            </w:r>
          </w:p>
        </w:tc>
        <w:tc>
          <w:tcPr>
            <w:tcW w:w="0" w:type="dxa"/>
            <w:vAlign w:val="bottom"/>
          </w:tcPr>
          <w:p w14:paraId="04976C0C" w14:textId="08DA0A8D" w:rsidR="00152C7E" w:rsidRPr="00C34C12" w:rsidRDefault="00733BB7" w:rsidP="001725A5">
            <w:pPr>
              <w:pStyle w:val="TableText"/>
              <w:spacing w:before="14" w:after="14"/>
              <w:ind w:right="576"/>
              <w:rPr>
                <w:noProof w:val="0"/>
                <w:szCs w:val="24"/>
              </w:rPr>
            </w:pPr>
            <w:r w:rsidRPr="006903AE">
              <w:rPr>
                <w:color w:val="000000"/>
                <w:szCs w:val="24"/>
              </w:rPr>
              <w:t>2</w:t>
            </w:r>
          </w:p>
        </w:tc>
      </w:tr>
      <w:tr w:rsidR="00152C7E" w:rsidRPr="00C34C12" w14:paraId="06CC3BD0" w14:textId="77777777" w:rsidTr="006903AE">
        <w:tc>
          <w:tcPr>
            <w:tcW w:w="0" w:type="dxa"/>
          </w:tcPr>
          <w:p w14:paraId="0E78031A" w14:textId="5E8A700A" w:rsidR="00152C7E" w:rsidRPr="00C34C12" w:rsidRDefault="00152C7E" w:rsidP="001725A5">
            <w:pPr>
              <w:pStyle w:val="TableText"/>
              <w:spacing w:before="14" w:after="14"/>
              <w:jc w:val="center"/>
              <w:rPr>
                <w:noProof w:val="0"/>
              </w:rPr>
            </w:pPr>
            <w:r w:rsidRPr="004B2D24">
              <w:rPr>
                <w:color w:val="000000"/>
                <w:szCs w:val="24"/>
              </w:rPr>
              <w:t>24</w:t>
            </w:r>
          </w:p>
        </w:tc>
        <w:tc>
          <w:tcPr>
            <w:tcW w:w="0" w:type="dxa"/>
            <w:vAlign w:val="bottom"/>
          </w:tcPr>
          <w:p w14:paraId="2D1BAA01" w14:textId="2FD37CFE" w:rsidR="00152C7E" w:rsidRPr="00C34C12" w:rsidRDefault="00733BB7" w:rsidP="001725A5">
            <w:pPr>
              <w:pStyle w:val="TableText"/>
              <w:spacing w:before="14" w:after="14"/>
              <w:ind w:right="468"/>
              <w:rPr>
                <w:noProof w:val="0"/>
                <w:szCs w:val="24"/>
              </w:rPr>
            </w:pPr>
            <w:r w:rsidRPr="003939C9">
              <w:rPr>
                <w:color w:val="000000"/>
                <w:szCs w:val="24"/>
              </w:rPr>
              <w:t>67</w:t>
            </w:r>
          </w:p>
        </w:tc>
        <w:tc>
          <w:tcPr>
            <w:tcW w:w="0" w:type="dxa"/>
            <w:vAlign w:val="bottom"/>
          </w:tcPr>
          <w:p w14:paraId="1955ACA0" w14:textId="5F6EF7D6" w:rsidR="00152C7E" w:rsidRPr="00C34C12" w:rsidRDefault="00733BB7" w:rsidP="001725A5">
            <w:pPr>
              <w:pStyle w:val="TableText"/>
              <w:spacing w:before="14" w:after="14"/>
              <w:ind w:right="576"/>
              <w:rPr>
                <w:noProof w:val="0"/>
                <w:szCs w:val="24"/>
              </w:rPr>
            </w:pPr>
            <w:r w:rsidRPr="00C53C2B">
              <w:rPr>
                <w:color w:val="000000"/>
                <w:szCs w:val="24"/>
              </w:rPr>
              <w:t>2</w:t>
            </w:r>
          </w:p>
        </w:tc>
      </w:tr>
      <w:tr w:rsidR="00152C7E" w:rsidRPr="00C34C12" w14:paraId="0CABAA18" w14:textId="77777777" w:rsidTr="006903AE">
        <w:tc>
          <w:tcPr>
            <w:tcW w:w="0" w:type="dxa"/>
          </w:tcPr>
          <w:p w14:paraId="641F4B30" w14:textId="0D4D77EA" w:rsidR="00152C7E" w:rsidRPr="00C34C12" w:rsidRDefault="00152C7E" w:rsidP="001725A5">
            <w:pPr>
              <w:pStyle w:val="TableText"/>
              <w:spacing w:before="14" w:after="14"/>
              <w:jc w:val="center"/>
              <w:rPr>
                <w:noProof w:val="0"/>
              </w:rPr>
            </w:pPr>
            <w:r w:rsidRPr="004B2D24">
              <w:rPr>
                <w:color w:val="000000"/>
                <w:szCs w:val="24"/>
              </w:rPr>
              <w:t>25</w:t>
            </w:r>
          </w:p>
        </w:tc>
        <w:tc>
          <w:tcPr>
            <w:tcW w:w="0" w:type="dxa"/>
            <w:vAlign w:val="bottom"/>
          </w:tcPr>
          <w:p w14:paraId="1F946C39" w14:textId="3F26A53C" w:rsidR="00152C7E" w:rsidRPr="00C34C12" w:rsidRDefault="00733BB7" w:rsidP="001725A5">
            <w:pPr>
              <w:pStyle w:val="TableText"/>
              <w:spacing w:before="14" w:after="14"/>
              <w:ind w:right="468"/>
              <w:rPr>
                <w:noProof w:val="0"/>
                <w:szCs w:val="24"/>
              </w:rPr>
            </w:pPr>
            <w:r w:rsidRPr="006903AE">
              <w:rPr>
                <w:color w:val="000000"/>
                <w:szCs w:val="24"/>
              </w:rPr>
              <w:t>69</w:t>
            </w:r>
          </w:p>
        </w:tc>
        <w:tc>
          <w:tcPr>
            <w:tcW w:w="0" w:type="dxa"/>
            <w:vAlign w:val="bottom"/>
          </w:tcPr>
          <w:p w14:paraId="1C087CE2" w14:textId="489DB621" w:rsidR="00152C7E" w:rsidRPr="00C34C12" w:rsidRDefault="00733BB7" w:rsidP="001725A5">
            <w:pPr>
              <w:pStyle w:val="TableText"/>
              <w:spacing w:before="14" w:after="14"/>
              <w:ind w:right="576"/>
              <w:rPr>
                <w:noProof w:val="0"/>
                <w:szCs w:val="24"/>
              </w:rPr>
            </w:pPr>
            <w:r w:rsidRPr="006903AE">
              <w:rPr>
                <w:color w:val="000000"/>
                <w:szCs w:val="24"/>
              </w:rPr>
              <w:t>2</w:t>
            </w:r>
          </w:p>
        </w:tc>
      </w:tr>
      <w:tr w:rsidR="00152C7E" w:rsidRPr="00C34C12" w14:paraId="3442FF26" w14:textId="77777777" w:rsidTr="006903AE">
        <w:tc>
          <w:tcPr>
            <w:tcW w:w="0" w:type="dxa"/>
          </w:tcPr>
          <w:p w14:paraId="30A912D7" w14:textId="30ABC39A" w:rsidR="00152C7E" w:rsidRPr="00C34C12" w:rsidRDefault="00152C7E" w:rsidP="001725A5">
            <w:pPr>
              <w:pStyle w:val="TableText"/>
              <w:spacing w:before="14" w:after="14"/>
              <w:jc w:val="center"/>
              <w:rPr>
                <w:noProof w:val="0"/>
              </w:rPr>
            </w:pPr>
            <w:r w:rsidRPr="004B2D24">
              <w:rPr>
                <w:color w:val="000000"/>
                <w:szCs w:val="24"/>
              </w:rPr>
              <w:t>26</w:t>
            </w:r>
          </w:p>
        </w:tc>
        <w:tc>
          <w:tcPr>
            <w:tcW w:w="0" w:type="dxa"/>
            <w:vAlign w:val="bottom"/>
          </w:tcPr>
          <w:p w14:paraId="61449DD1" w14:textId="6560E6D4" w:rsidR="00152C7E" w:rsidRPr="00C34C12" w:rsidRDefault="00733BB7" w:rsidP="001725A5">
            <w:pPr>
              <w:pStyle w:val="TableText"/>
              <w:spacing w:before="14" w:after="14"/>
              <w:ind w:right="468"/>
              <w:rPr>
                <w:noProof w:val="0"/>
                <w:szCs w:val="24"/>
              </w:rPr>
            </w:pPr>
            <w:r w:rsidRPr="006903AE">
              <w:rPr>
                <w:color w:val="000000"/>
                <w:szCs w:val="24"/>
              </w:rPr>
              <w:t>72</w:t>
            </w:r>
          </w:p>
        </w:tc>
        <w:tc>
          <w:tcPr>
            <w:tcW w:w="0" w:type="dxa"/>
            <w:vAlign w:val="bottom"/>
          </w:tcPr>
          <w:p w14:paraId="2067415B" w14:textId="518440DC" w:rsidR="00152C7E" w:rsidRPr="00C34C12" w:rsidRDefault="00733BB7" w:rsidP="001725A5">
            <w:pPr>
              <w:pStyle w:val="TableText"/>
              <w:spacing w:before="14" w:after="14"/>
              <w:ind w:right="576"/>
              <w:rPr>
                <w:noProof w:val="0"/>
                <w:szCs w:val="24"/>
              </w:rPr>
            </w:pPr>
            <w:r w:rsidRPr="003939C9">
              <w:rPr>
                <w:color w:val="000000"/>
                <w:szCs w:val="24"/>
              </w:rPr>
              <w:t>2</w:t>
            </w:r>
          </w:p>
        </w:tc>
      </w:tr>
      <w:tr w:rsidR="00152C7E" w:rsidRPr="00C34C12" w14:paraId="4BFBA6D0" w14:textId="77777777" w:rsidTr="006903AE">
        <w:tc>
          <w:tcPr>
            <w:tcW w:w="0" w:type="dxa"/>
          </w:tcPr>
          <w:p w14:paraId="09432C66" w14:textId="6354C818" w:rsidR="00152C7E" w:rsidRPr="00C34C12" w:rsidRDefault="00152C7E" w:rsidP="001725A5">
            <w:pPr>
              <w:pStyle w:val="TableText"/>
              <w:spacing w:before="14" w:after="14"/>
              <w:jc w:val="center"/>
              <w:rPr>
                <w:noProof w:val="0"/>
              </w:rPr>
            </w:pPr>
            <w:r w:rsidRPr="004B2D24">
              <w:rPr>
                <w:color w:val="000000"/>
                <w:szCs w:val="24"/>
              </w:rPr>
              <w:t>27</w:t>
            </w:r>
          </w:p>
        </w:tc>
        <w:tc>
          <w:tcPr>
            <w:tcW w:w="0" w:type="dxa"/>
            <w:vAlign w:val="bottom"/>
          </w:tcPr>
          <w:p w14:paraId="710B057E" w14:textId="59B91CB3" w:rsidR="00152C7E" w:rsidRPr="00C34C12" w:rsidRDefault="00733BB7" w:rsidP="001725A5">
            <w:pPr>
              <w:pStyle w:val="TableText"/>
              <w:spacing w:before="14" w:after="14"/>
              <w:ind w:right="468"/>
              <w:rPr>
                <w:noProof w:val="0"/>
                <w:szCs w:val="24"/>
              </w:rPr>
            </w:pPr>
            <w:r w:rsidRPr="000A7ABF">
              <w:rPr>
                <w:color w:val="000000"/>
                <w:szCs w:val="24"/>
              </w:rPr>
              <w:t>75</w:t>
            </w:r>
          </w:p>
        </w:tc>
        <w:tc>
          <w:tcPr>
            <w:tcW w:w="0" w:type="dxa"/>
            <w:vAlign w:val="bottom"/>
          </w:tcPr>
          <w:p w14:paraId="4EDE94B4" w14:textId="2D8EE4A2" w:rsidR="00152C7E" w:rsidRPr="00C34C12" w:rsidRDefault="00733BB7" w:rsidP="001725A5">
            <w:pPr>
              <w:pStyle w:val="TableText"/>
              <w:spacing w:before="14" w:after="14"/>
              <w:ind w:right="576"/>
              <w:rPr>
                <w:noProof w:val="0"/>
                <w:szCs w:val="24"/>
              </w:rPr>
            </w:pPr>
            <w:r w:rsidRPr="006903AE">
              <w:rPr>
                <w:color w:val="000000"/>
                <w:szCs w:val="24"/>
              </w:rPr>
              <w:t>2</w:t>
            </w:r>
          </w:p>
        </w:tc>
      </w:tr>
      <w:tr w:rsidR="00152C7E" w:rsidRPr="00C34C12" w14:paraId="52227F9E" w14:textId="77777777" w:rsidTr="006903AE">
        <w:tc>
          <w:tcPr>
            <w:tcW w:w="0" w:type="dxa"/>
          </w:tcPr>
          <w:p w14:paraId="103B6935" w14:textId="05D2E275" w:rsidR="00152C7E" w:rsidRPr="00C34C12" w:rsidRDefault="00152C7E" w:rsidP="001725A5">
            <w:pPr>
              <w:pStyle w:val="TableText"/>
              <w:spacing w:before="14" w:after="14"/>
              <w:jc w:val="center"/>
              <w:rPr>
                <w:noProof w:val="0"/>
              </w:rPr>
            </w:pPr>
            <w:r w:rsidRPr="004B2D24">
              <w:rPr>
                <w:color w:val="000000"/>
                <w:szCs w:val="24"/>
              </w:rPr>
              <w:t>28</w:t>
            </w:r>
          </w:p>
        </w:tc>
        <w:tc>
          <w:tcPr>
            <w:tcW w:w="0" w:type="dxa"/>
            <w:vAlign w:val="bottom"/>
          </w:tcPr>
          <w:p w14:paraId="523FE275" w14:textId="5DE5DA04" w:rsidR="00152C7E" w:rsidRPr="00C34C12" w:rsidRDefault="00733BB7" w:rsidP="001725A5">
            <w:pPr>
              <w:pStyle w:val="TableText"/>
              <w:spacing w:before="14" w:after="14"/>
              <w:ind w:right="468"/>
              <w:rPr>
                <w:noProof w:val="0"/>
                <w:szCs w:val="24"/>
              </w:rPr>
            </w:pPr>
            <w:r w:rsidRPr="006903AE">
              <w:rPr>
                <w:color w:val="000000"/>
                <w:szCs w:val="24"/>
              </w:rPr>
              <w:t>78</w:t>
            </w:r>
          </w:p>
        </w:tc>
        <w:tc>
          <w:tcPr>
            <w:tcW w:w="0" w:type="dxa"/>
            <w:vAlign w:val="bottom"/>
          </w:tcPr>
          <w:p w14:paraId="77DF71ED" w14:textId="55E9AA03" w:rsidR="00152C7E" w:rsidRPr="00C34C12" w:rsidRDefault="00733BB7" w:rsidP="001725A5">
            <w:pPr>
              <w:pStyle w:val="TableText"/>
              <w:spacing w:before="14" w:after="14"/>
              <w:ind w:right="576"/>
              <w:rPr>
                <w:noProof w:val="0"/>
                <w:szCs w:val="24"/>
              </w:rPr>
            </w:pPr>
            <w:r w:rsidRPr="006903AE">
              <w:rPr>
                <w:color w:val="000000"/>
                <w:szCs w:val="24"/>
              </w:rPr>
              <w:t>2</w:t>
            </w:r>
          </w:p>
        </w:tc>
      </w:tr>
      <w:tr w:rsidR="00152C7E" w:rsidRPr="00C34C12" w14:paraId="0628AEAF" w14:textId="77777777" w:rsidTr="006903AE">
        <w:tc>
          <w:tcPr>
            <w:tcW w:w="0" w:type="dxa"/>
          </w:tcPr>
          <w:p w14:paraId="1086A73E" w14:textId="67930DCC" w:rsidR="00152C7E" w:rsidRPr="00C34C12" w:rsidRDefault="00152C7E" w:rsidP="001725A5">
            <w:pPr>
              <w:pStyle w:val="TableText"/>
              <w:spacing w:before="14" w:after="14"/>
              <w:jc w:val="center"/>
              <w:rPr>
                <w:noProof w:val="0"/>
              </w:rPr>
            </w:pPr>
            <w:r w:rsidRPr="004B2D24">
              <w:rPr>
                <w:color w:val="000000"/>
                <w:szCs w:val="24"/>
              </w:rPr>
              <w:t>29</w:t>
            </w:r>
          </w:p>
        </w:tc>
        <w:tc>
          <w:tcPr>
            <w:tcW w:w="0" w:type="dxa"/>
            <w:vAlign w:val="bottom"/>
          </w:tcPr>
          <w:p w14:paraId="18CABD02" w14:textId="002C17C6" w:rsidR="00152C7E" w:rsidRPr="00C34C12" w:rsidRDefault="00733BB7" w:rsidP="001725A5">
            <w:pPr>
              <w:pStyle w:val="TableText"/>
              <w:spacing w:before="14" w:after="14"/>
              <w:ind w:right="468"/>
              <w:rPr>
                <w:noProof w:val="0"/>
                <w:szCs w:val="24"/>
              </w:rPr>
            </w:pPr>
            <w:r w:rsidRPr="003939C9">
              <w:rPr>
                <w:color w:val="000000"/>
                <w:szCs w:val="24"/>
              </w:rPr>
              <w:t>81</w:t>
            </w:r>
          </w:p>
        </w:tc>
        <w:tc>
          <w:tcPr>
            <w:tcW w:w="0" w:type="dxa"/>
            <w:vAlign w:val="bottom"/>
          </w:tcPr>
          <w:p w14:paraId="34C1B425" w14:textId="3698C2E0" w:rsidR="00152C7E" w:rsidRPr="00C34C12" w:rsidRDefault="00733BB7" w:rsidP="001725A5">
            <w:pPr>
              <w:pStyle w:val="TableText"/>
              <w:spacing w:before="14" w:after="14"/>
              <w:ind w:right="576"/>
              <w:rPr>
                <w:noProof w:val="0"/>
                <w:szCs w:val="24"/>
              </w:rPr>
            </w:pPr>
            <w:r w:rsidRPr="006903AE">
              <w:rPr>
                <w:color w:val="000000"/>
                <w:szCs w:val="24"/>
              </w:rPr>
              <w:t>2</w:t>
            </w:r>
          </w:p>
        </w:tc>
      </w:tr>
      <w:tr w:rsidR="00152C7E" w:rsidRPr="00C34C12" w14:paraId="6C91F28F" w14:textId="77777777" w:rsidTr="006903AE">
        <w:tc>
          <w:tcPr>
            <w:tcW w:w="0" w:type="dxa"/>
          </w:tcPr>
          <w:p w14:paraId="61C22EBD" w14:textId="6ABAA4B2" w:rsidR="00152C7E" w:rsidRPr="00C34C12" w:rsidRDefault="00152C7E" w:rsidP="001725A5">
            <w:pPr>
              <w:pStyle w:val="TableText"/>
              <w:spacing w:before="14" w:after="14"/>
              <w:jc w:val="center"/>
              <w:rPr>
                <w:noProof w:val="0"/>
              </w:rPr>
            </w:pPr>
            <w:r w:rsidRPr="004B2D24">
              <w:rPr>
                <w:color w:val="000000"/>
                <w:szCs w:val="24"/>
              </w:rPr>
              <w:t>30</w:t>
            </w:r>
          </w:p>
        </w:tc>
        <w:tc>
          <w:tcPr>
            <w:tcW w:w="0" w:type="dxa"/>
            <w:vAlign w:val="bottom"/>
          </w:tcPr>
          <w:p w14:paraId="7187E738" w14:textId="1D78CAD8" w:rsidR="00152C7E" w:rsidRPr="00C34C12" w:rsidRDefault="00733BB7" w:rsidP="001725A5">
            <w:pPr>
              <w:pStyle w:val="TableText"/>
              <w:spacing w:before="14" w:after="14"/>
              <w:ind w:right="468"/>
              <w:rPr>
                <w:noProof w:val="0"/>
                <w:szCs w:val="24"/>
              </w:rPr>
            </w:pPr>
            <w:r w:rsidRPr="006903AE">
              <w:rPr>
                <w:color w:val="000000"/>
                <w:szCs w:val="24"/>
              </w:rPr>
              <w:t>83</w:t>
            </w:r>
          </w:p>
        </w:tc>
        <w:tc>
          <w:tcPr>
            <w:tcW w:w="0" w:type="dxa"/>
            <w:vAlign w:val="bottom"/>
          </w:tcPr>
          <w:p w14:paraId="05BE3207" w14:textId="3E0A7C90" w:rsidR="00152C7E" w:rsidRPr="00C34C12" w:rsidRDefault="00733BB7" w:rsidP="001725A5">
            <w:pPr>
              <w:pStyle w:val="TableText"/>
              <w:spacing w:before="14" w:after="14"/>
              <w:ind w:right="576"/>
              <w:rPr>
                <w:noProof w:val="0"/>
                <w:szCs w:val="24"/>
              </w:rPr>
            </w:pPr>
            <w:r w:rsidRPr="000A7ABF">
              <w:rPr>
                <w:color w:val="000000"/>
                <w:szCs w:val="24"/>
              </w:rPr>
              <w:t>2</w:t>
            </w:r>
          </w:p>
        </w:tc>
      </w:tr>
      <w:tr w:rsidR="00152C7E" w:rsidRPr="00C34C12" w14:paraId="275C47D9" w14:textId="77777777" w:rsidTr="006903AE">
        <w:tc>
          <w:tcPr>
            <w:tcW w:w="0" w:type="dxa"/>
          </w:tcPr>
          <w:p w14:paraId="361344BF" w14:textId="1072708D" w:rsidR="00152C7E" w:rsidRPr="00C34C12" w:rsidRDefault="00152C7E" w:rsidP="001725A5">
            <w:pPr>
              <w:pStyle w:val="TableText"/>
              <w:spacing w:before="14" w:after="14"/>
              <w:jc w:val="center"/>
              <w:rPr>
                <w:noProof w:val="0"/>
              </w:rPr>
            </w:pPr>
            <w:r w:rsidRPr="004B2D24">
              <w:rPr>
                <w:color w:val="000000"/>
                <w:szCs w:val="24"/>
              </w:rPr>
              <w:t>31</w:t>
            </w:r>
          </w:p>
        </w:tc>
        <w:tc>
          <w:tcPr>
            <w:tcW w:w="0" w:type="dxa"/>
            <w:vAlign w:val="bottom"/>
          </w:tcPr>
          <w:p w14:paraId="1C412356" w14:textId="33596DB7" w:rsidR="00152C7E" w:rsidRPr="00C34C12" w:rsidRDefault="00733BB7" w:rsidP="001725A5">
            <w:pPr>
              <w:pStyle w:val="TableText"/>
              <w:spacing w:before="14" w:after="14"/>
              <w:ind w:right="468"/>
              <w:rPr>
                <w:noProof w:val="0"/>
                <w:szCs w:val="24"/>
              </w:rPr>
            </w:pPr>
            <w:r w:rsidRPr="006903AE">
              <w:rPr>
                <w:color w:val="000000"/>
                <w:szCs w:val="24"/>
              </w:rPr>
              <w:t>86</w:t>
            </w:r>
          </w:p>
        </w:tc>
        <w:tc>
          <w:tcPr>
            <w:tcW w:w="0" w:type="dxa"/>
            <w:vAlign w:val="bottom"/>
          </w:tcPr>
          <w:p w14:paraId="09F56CD1" w14:textId="08D2D150" w:rsidR="00152C7E" w:rsidRPr="00C34C12" w:rsidRDefault="00733BB7" w:rsidP="001725A5">
            <w:pPr>
              <w:pStyle w:val="TableText"/>
              <w:spacing w:before="14" w:after="14"/>
              <w:ind w:right="576"/>
              <w:rPr>
                <w:noProof w:val="0"/>
                <w:szCs w:val="24"/>
              </w:rPr>
            </w:pPr>
            <w:r w:rsidRPr="006903AE">
              <w:rPr>
                <w:color w:val="000000"/>
                <w:szCs w:val="24"/>
              </w:rPr>
              <w:t>2</w:t>
            </w:r>
          </w:p>
        </w:tc>
      </w:tr>
      <w:tr w:rsidR="00152C7E" w:rsidRPr="00C34C12" w14:paraId="235E7E86" w14:textId="77777777" w:rsidTr="006903AE">
        <w:tc>
          <w:tcPr>
            <w:tcW w:w="0" w:type="dxa"/>
          </w:tcPr>
          <w:p w14:paraId="1A3D12F8" w14:textId="5614EF9D" w:rsidR="00152C7E" w:rsidRPr="00C34C12" w:rsidRDefault="00152C7E" w:rsidP="001725A5">
            <w:pPr>
              <w:pStyle w:val="TableText"/>
              <w:spacing w:before="14" w:after="14"/>
              <w:jc w:val="center"/>
              <w:rPr>
                <w:noProof w:val="0"/>
              </w:rPr>
            </w:pPr>
            <w:r w:rsidRPr="004B2D24">
              <w:rPr>
                <w:color w:val="000000"/>
                <w:szCs w:val="24"/>
              </w:rPr>
              <w:t>32</w:t>
            </w:r>
          </w:p>
        </w:tc>
        <w:tc>
          <w:tcPr>
            <w:tcW w:w="0" w:type="dxa"/>
            <w:vAlign w:val="bottom"/>
          </w:tcPr>
          <w:p w14:paraId="340D8458" w14:textId="1AB496A6" w:rsidR="00152C7E" w:rsidRPr="00C34C12" w:rsidRDefault="00733BB7" w:rsidP="001725A5">
            <w:pPr>
              <w:pStyle w:val="TableText"/>
              <w:spacing w:before="14" w:after="14"/>
              <w:ind w:right="468"/>
              <w:rPr>
                <w:noProof w:val="0"/>
                <w:szCs w:val="24"/>
              </w:rPr>
            </w:pPr>
            <w:r w:rsidRPr="006903AE">
              <w:rPr>
                <w:color w:val="000000"/>
                <w:szCs w:val="24"/>
              </w:rPr>
              <w:t>89</w:t>
            </w:r>
          </w:p>
        </w:tc>
        <w:tc>
          <w:tcPr>
            <w:tcW w:w="0" w:type="dxa"/>
            <w:vAlign w:val="bottom"/>
          </w:tcPr>
          <w:p w14:paraId="059AEC0E" w14:textId="1D0414B5" w:rsidR="00152C7E" w:rsidRPr="00C34C12" w:rsidRDefault="00733BB7" w:rsidP="001725A5">
            <w:pPr>
              <w:pStyle w:val="TableText"/>
              <w:spacing w:before="14" w:after="14"/>
              <w:ind w:right="576"/>
              <w:rPr>
                <w:noProof w:val="0"/>
                <w:szCs w:val="24"/>
              </w:rPr>
            </w:pPr>
            <w:r w:rsidRPr="006903AE">
              <w:rPr>
                <w:color w:val="000000"/>
                <w:szCs w:val="24"/>
              </w:rPr>
              <w:t>2</w:t>
            </w:r>
          </w:p>
        </w:tc>
      </w:tr>
      <w:tr w:rsidR="00152C7E" w:rsidRPr="00C34C12" w14:paraId="6B45E0AF" w14:textId="77777777" w:rsidTr="006903AE">
        <w:tc>
          <w:tcPr>
            <w:tcW w:w="0" w:type="dxa"/>
          </w:tcPr>
          <w:p w14:paraId="7B289F50" w14:textId="2C96A4ED" w:rsidR="00152C7E" w:rsidRPr="00C34C12" w:rsidRDefault="00152C7E" w:rsidP="001725A5">
            <w:pPr>
              <w:pStyle w:val="TableText"/>
              <w:spacing w:before="14" w:after="14"/>
              <w:jc w:val="center"/>
              <w:rPr>
                <w:noProof w:val="0"/>
              </w:rPr>
            </w:pPr>
            <w:r w:rsidRPr="004B2D24">
              <w:rPr>
                <w:color w:val="000000"/>
                <w:szCs w:val="24"/>
              </w:rPr>
              <w:t>33</w:t>
            </w:r>
          </w:p>
        </w:tc>
        <w:tc>
          <w:tcPr>
            <w:tcW w:w="0" w:type="dxa"/>
            <w:vAlign w:val="bottom"/>
          </w:tcPr>
          <w:p w14:paraId="6074A896" w14:textId="409B1249" w:rsidR="00152C7E" w:rsidRPr="00C34C12" w:rsidRDefault="00733BB7" w:rsidP="001725A5">
            <w:pPr>
              <w:pStyle w:val="TableText"/>
              <w:spacing w:before="14" w:after="14"/>
              <w:ind w:right="468"/>
              <w:rPr>
                <w:noProof w:val="0"/>
                <w:szCs w:val="24"/>
              </w:rPr>
            </w:pPr>
            <w:r w:rsidRPr="006903AE">
              <w:rPr>
                <w:color w:val="000000"/>
                <w:szCs w:val="24"/>
              </w:rPr>
              <w:t>92</w:t>
            </w:r>
          </w:p>
        </w:tc>
        <w:tc>
          <w:tcPr>
            <w:tcW w:w="0" w:type="dxa"/>
            <w:vAlign w:val="bottom"/>
          </w:tcPr>
          <w:p w14:paraId="76746B50" w14:textId="18194CA5" w:rsidR="00152C7E" w:rsidRPr="00C34C12" w:rsidRDefault="00733BB7" w:rsidP="001725A5">
            <w:pPr>
              <w:pStyle w:val="TableText"/>
              <w:spacing w:before="14" w:after="14"/>
              <w:ind w:right="576"/>
              <w:rPr>
                <w:noProof w:val="0"/>
                <w:szCs w:val="24"/>
              </w:rPr>
            </w:pPr>
            <w:r w:rsidRPr="000A7ABF">
              <w:rPr>
                <w:color w:val="000000"/>
                <w:szCs w:val="24"/>
              </w:rPr>
              <w:t>3</w:t>
            </w:r>
          </w:p>
        </w:tc>
      </w:tr>
      <w:tr w:rsidR="00152C7E" w:rsidRPr="00C34C12" w14:paraId="56700B26" w14:textId="77777777" w:rsidTr="006903AE">
        <w:tc>
          <w:tcPr>
            <w:tcW w:w="0" w:type="dxa"/>
          </w:tcPr>
          <w:p w14:paraId="72C986E4" w14:textId="1353B0C8" w:rsidR="00152C7E" w:rsidRPr="00C34C12" w:rsidRDefault="00152C7E" w:rsidP="001725A5">
            <w:pPr>
              <w:pStyle w:val="TableText"/>
              <w:spacing w:before="14" w:after="14"/>
              <w:jc w:val="center"/>
              <w:rPr>
                <w:noProof w:val="0"/>
              </w:rPr>
            </w:pPr>
            <w:r w:rsidRPr="004B2D24">
              <w:rPr>
                <w:color w:val="000000"/>
                <w:szCs w:val="24"/>
              </w:rPr>
              <w:t>34</w:t>
            </w:r>
          </w:p>
        </w:tc>
        <w:tc>
          <w:tcPr>
            <w:tcW w:w="0" w:type="dxa"/>
            <w:vAlign w:val="bottom"/>
          </w:tcPr>
          <w:p w14:paraId="3848D9A1" w14:textId="1D9E0C6B" w:rsidR="00152C7E" w:rsidRPr="00C34C12" w:rsidRDefault="00733BB7" w:rsidP="001725A5">
            <w:pPr>
              <w:pStyle w:val="TableText"/>
              <w:spacing w:before="14" w:after="14"/>
              <w:ind w:right="468"/>
              <w:rPr>
                <w:noProof w:val="0"/>
                <w:szCs w:val="24"/>
              </w:rPr>
            </w:pPr>
            <w:r w:rsidRPr="000A7ABF">
              <w:rPr>
                <w:color w:val="000000"/>
                <w:szCs w:val="24"/>
              </w:rPr>
              <w:t>94</w:t>
            </w:r>
          </w:p>
        </w:tc>
        <w:tc>
          <w:tcPr>
            <w:tcW w:w="0" w:type="dxa"/>
            <w:vAlign w:val="bottom"/>
          </w:tcPr>
          <w:p w14:paraId="5DD1D89E" w14:textId="534F1A5E" w:rsidR="00152C7E" w:rsidRPr="00C34C12" w:rsidRDefault="00733BB7" w:rsidP="001725A5">
            <w:pPr>
              <w:pStyle w:val="TableText"/>
              <w:spacing w:before="14" w:after="14"/>
              <w:ind w:right="576"/>
              <w:rPr>
                <w:noProof w:val="0"/>
                <w:szCs w:val="24"/>
              </w:rPr>
            </w:pPr>
            <w:r w:rsidRPr="000A7ABF">
              <w:rPr>
                <w:color w:val="000000"/>
                <w:szCs w:val="24"/>
              </w:rPr>
              <w:t>3</w:t>
            </w:r>
          </w:p>
        </w:tc>
      </w:tr>
      <w:tr w:rsidR="00152C7E" w:rsidRPr="00C34C12" w14:paraId="1D7AFE2C" w14:textId="77777777" w:rsidTr="006903AE">
        <w:tc>
          <w:tcPr>
            <w:tcW w:w="0" w:type="dxa"/>
          </w:tcPr>
          <w:p w14:paraId="2368A445" w14:textId="3DF1F584" w:rsidR="00152C7E" w:rsidRPr="00C34C12" w:rsidRDefault="00152C7E" w:rsidP="001725A5">
            <w:pPr>
              <w:pStyle w:val="TableText"/>
              <w:spacing w:before="14" w:after="14"/>
              <w:jc w:val="center"/>
              <w:rPr>
                <w:noProof w:val="0"/>
              </w:rPr>
            </w:pPr>
            <w:r w:rsidRPr="004B2D24">
              <w:rPr>
                <w:color w:val="000000"/>
                <w:szCs w:val="24"/>
              </w:rPr>
              <w:t>35</w:t>
            </w:r>
          </w:p>
        </w:tc>
        <w:tc>
          <w:tcPr>
            <w:tcW w:w="0" w:type="dxa"/>
            <w:vAlign w:val="bottom"/>
          </w:tcPr>
          <w:p w14:paraId="0072C163" w14:textId="56633922" w:rsidR="00152C7E" w:rsidRPr="00C34C12" w:rsidRDefault="008116A8" w:rsidP="001725A5">
            <w:pPr>
              <w:pStyle w:val="TableText"/>
              <w:spacing w:before="14" w:after="14"/>
              <w:ind w:right="468"/>
              <w:rPr>
                <w:noProof w:val="0"/>
                <w:szCs w:val="24"/>
              </w:rPr>
            </w:pPr>
            <w:r w:rsidRPr="006903AE">
              <w:rPr>
                <w:color w:val="000000"/>
                <w:szCs w:val="24"/>
              </w:rPr>
              <w:t>97</w:t>
            </w:r>
          </w:p>
        </w:tc>
        <w:tc>
          <w:tcPr>
            <w:tcW w:w="0" w:type="dxa"/>
            <w:vAlign w:val="bottom"/>
          </w:tcPr>
          <w:p w14:paraId="4D71B008" w14:textId="3793BB0C" w:rsidR="00152C7E" w:rsidRPr="00C34C12" w:rsidRDefault="008116A8" w:rsidP="001725A5">
            <w:pPr>
              <w:pStyle w:val="TableText"/>
              <w:spacing w:before="14" w:after="14"/>
              <w:ind w:right="576"/>
              <w:rPr>
                <w:noProof w:val="0"/>
                <w:szCs w:val="24"/>
              </w:rPr>
            </w:pPr>
            <w:r w:rsidRPr="003939C9">
              <w:rPr>
                <w:color w:val="000000"/>
                <w:szCs w:val="24"/>
              </w:rPr>
              <w:t>3</w:t>
            </w:r>
          </w:p>
        </w:tc>
      </w:tr>
      <w:tr w:rsidR="00152C7E" w:rsidRPr="00C34C12" w14:paraId="03596AAB" w14:textId="77777777" w:rsidTr="006903AE">
        <w:tc>
          <w:tcPr>
            <w:tcW w:w="0" w:type="dxa"/>
          </w:tcPr>
          <w:p w14:paraId="1275A612" w14:textId="23CBB5EE" w:rsidR="00152C7E" w:rsidRPr="00C34C12" w:rsidRDefault="00152C7E" w:rsidP="001725A5">
            <w:pPr>
              <w:pStyle w:val="TableText"/>
              <w:spacing w:before="14" w:after="14"/>
              <w:jc w:val="center"/>
              <w:rPr>
                <w:noProof w:val="0"/>
              </w:rPr>
            </w:pPr>
            <w:r w:rsidRPr="004B2D24">
              <w:rPr>
                <w:color w:val="000000"/>
                <w:szCs w:val="24"/>
              </w:rPr>
              <w:t>36</w:t>
            </w:r>
          </w:p>
        </w:tc>
        <w:tc>
          <w:tcPr>
            <w:tcW w:w="0" w:type="dxa"/>
            <w:vAlign w:val="bottom"/>
          </w:tcPr>
          <w:p w14:paraId="4670A9F9" w14:textId="397B9234" w:rsidR="00152C7E" w:rsidRPr="00C34C12" w:rsidRDefault="008116A8" w:rsidP="001725A5">
            <w:pPr>
              <w:pStyle w:val="TableText"/>
              <w:spacing w:before="14" w:after="14"/>
              <w:ind w:right="468"/>
              <w:rPr>
                <w:noProof w:val="0"/>
                <w:szCs w:val="24"/>
              </w:rPr>
            </w:pPr>
            <w:r w:rsidRPr="006903AE">
              <w:rPr>
                <w:color w:val="000000"/>
                <w:szCs w:val="24"/>
              </w:rPr>
              <w:t>100</w:t>
            </w:r>
          </w:p>
        </w:tc>
        <w:tc>
          <w:tcPr>
            <w:tcW w:w="0" w:type="dxa"/>
            <w:vAlign w:val="bottom"/>
          </w:tcPr>
          <w:p w14:paraId="6B35A074" w14:textId="54A49C5F" w:rsidR="00152C7E" w:rsidRPr="00C34C12" w:rsidRDefault="008116A8" w:rsidP="001725A5">
            <w:pPr>
              <w:pStyle w:val="TableText"/>
              <w:spacing w:before="14" w:after="14"/>
              <w:ind w:right="576"/>
              <w:rPr>
                <w:noProof w:val="0"/>
                <w:szCs w:val="24"/>
              </w:rPr>
            </w:pPr>
            <w:r w:rsidRPr="008E4423">
              <w:rPr>
                <w:color w:val="000000"/>
                <w:szCs w:val="24"/>
              </w:rPr>
              <w:t>3</w:t>
            </w:r>
          </w:p>
        </w:tc>
      </w:tr>
    </w:tbl>
    <w:p w14:paraId="185DE496" w14:textId="5AAC00D1" w:rsidR="005945CE" w:rsidRPr="00C34C12" w:rsidRDefault="005945CE" w:rsidP="00CD1DFA">
      <w:pPr>
        <w:keepNext/>
        <w:spacing w:before="120"/>
      </w:pPr>
      <w:r w:rsidRPr="00C34C12">
        <w:lastRenderedPageBreak/>
        <w:t xml:space="preserve">The preliminary indicator conversion table is shown for grade eight in </w:t>
      </w:r>
      <w:r w:rsidR="001725A5" w:rsidRPr="007C431E">
        <w:rPr>
          <w:rStyle w:val="Cross-Reference"/>
        </w:rPr>
        <w:fldChar w:fldCharType="begin"/>
      </w:r>
      <w:r w:rsidR="001725A5" w:rsidRPr="007C431E">
        <w:rPr>
          <w:rStyle w:val="Cross-Reference"/>
        </w:rPr>
        <w:instrText xml:space="preserve"> REF  _Ref67056154 \* Lower \h  \* MERGEFORMAT </w:instrText>
      </w:r>
      <w:r w:rsidR="001725A5" w:rsidRPr="007C431E">
        <w:rPr>
          <w:rStyle w:val="Cross-Reference"/>
        </w:rPr>
      </w:r>
      <w:r w:rsidR="001725A5" w:rsidRPr="007C431E">
        <w:rPr>
          <w:rStyle w:val="Cross-Reference"/>
        </w:rPr>
        <w:fldChar w:fldCharType="separate"/>
      </w:r>
      <w:r w:rsidR="0074738A" w:rsidRPr="0074738A">
        <w:rPr>
          <w:rStyle w:val="Cross-Reference"/>
        </w:rPr>
        <w:t>table 6.4</w:t>
      </w:r>
      <w:r w:rsidR="001725A5" w:rsidRPr="007C431E">
        <w:rPr>
          <w:rStyle w:val="Cross-Reference"/>
        </w:rPr>
        <w:fldChar w:fldCharType="end"/>
      </w:r>
      <w:r w:rsidRPr="00C34C12">
        <w:t>. This table provides the percent-correct score and preliminary category for each possible raw score.</w:t>
      </w:r>
    </w:p>
    <w:p w14:paraId="65170663" w14:textId="6734287B" w:rsidR="005945CE" w:rsidRPr="00C34C12" w:rsidRDefault="005945CE" w:rsidP="005945CE">
      <w:pPr>
        <w:pStyle w:val="Caption"/>
      </w:pPr>
      <w:bookmarkStart w:id="532" w:name="_Ref67056154"/>
      <w:bookmarkStart w:id="533" w:name="_Ref22224994"/>
      <w:bookmarkStart w:id="534" w:name="_Toc30414274"/>
      <w:bookmarkStart w:id="535" w:name="_Toc38901381"/>
      <w:bookmarkStart w:id="536" w:name="_Toc67319704"/>
      <w:bookmarkStart w:id="537" w:name="_Toc220498708"/>
      <w:r w:rsidRPr="00C34C12">
        <w:t xml:space="preserve">Table </w:t>
      </w:r>
      <w:r>
        <w:fldChar w:fldCharType="begin"/>
      </w:r>
      <w:r>
        <w:instrText>STYLEREF 2 \s</w:instrText>
      </w:r>
      <w:r>
        <w:fldChar w:fldCharType="separate"/>
      </w:r>
      <w:r w:rsidR="00961502">
        <w:rPr>
          <w:noProof/>
        </w:rPr>
        <w:t>6</w:t>
      </w:r>
      <w:r>
        <w:fldChar w:fldCharType="end"/>
      </w:r>
      <w:r w:rsidR="00A40753">
        <w:t>.</w:t>
      </w:r>
      <w:r>
        <w:fldChar w:fldCharType="begin"/>
      </w:r>
      <w:r>
        <w:instrText>SEQ Table \* ARABIC \s 2</w:instrText>
      </w:r>
      <w:r>
        <w:fldChar w:fldCharType="separate"/>
      </w:r>
      <w:r w:rsidR="00961502">
        <w:rPr>
          <w:noProof/>
        </w:rPr>
        <w:t>4</w:t>
      </w:r>
      <w:r>
        <w:fldChar w:fldCharType="end"/>
      </w:r>
      <w:bookmarkEnd w:id="532"/>
      <w:bookmarkEnd w:id="533"/>
      <w:r w:rsidRPr="00C34C12">
        <w:rPr>
          <w:szCs w:val="18"/>
        </w:rPr>
        <w:t xml:space="preserve">  Grade Eight Preliminary Indicator Conversion Table</w:t>
      </w:r>
      <w:bookmarkEnd w:id="534"/>
      <w:bookmarkEnd w:id="535"/>
      <w:bookmarkEnd w:id="536"/>
      <w:bookmarkEnd w:id="537"/>
    </w:p>
    <w:tbl>
      <w:tblPr>
        <w:tblStyle w:val="TRs"/>
        <w:tblW w:w="0" w:type="auto"/>
        <w:tblLayout w:type="fixed"/>
        <w:tblLook w:val="04A0" w:firstRow="1" w:lastRow="0" w:firstColumn="1" w:lastColumn="0" w:noHBand="0" w:noVBand="1"/>
        <w:tblDescription w:val="Grade Eight Preliminary Indicator Conversion Table"/>
      </w:tblPr>
      <w:tblGrid>
        <w:gridCol w:w="2448"/>
        <w:gridCol w:w="1584"/>
        <w:gridCol w:w="1584"/>
      </w:tblGrid>
      <w:tr w:rsidR="005945CE" w:rsidRPr="00C34C12" w14:paraId="6BF95503" w14:textId="77777777" w:rsidTr="000B6A7E">
        <w:trPr>
          <w:cnfStyle w:val="100000000000" w:firstRow="1" w:lastRow="0" w:firstColumn="0" w:lastColumn="0" w:oddVBand="0" w:evenVBand="0" w:oddHBand="0" w:evenHBand="0" w:firstRowFirstColumn="0" w:firstRowLastColumn="0" w:lastRowFirstColumn="0" w:lastRowLastColumn="0"/>
          <w:trHeight w:val="576"/>
        </w:trPr>
        <w:tc>
          <w:tcPr>
            <w:tcW w:w="2448" w:type="dxa"/>
          </w:tcPr>
          <w:p w14:paraId="3F5CF123" w14:textId="77777777" w:rsidR="005945CE" w:rsidRPr="00C34C12" w:rsidRDefault="005945CE" w:rsidP="003A43F8">
            <w:pPr>
              <w:pStyle w:val="TableHead"/>
              <w:rPr>
                <w:bCs w:val="0"/>
                <w:noProof w:val="0"/>
              </w:rPr>
            </w:pPr>
            <w:r w:rsidRPr="00C34C12">
              <w:rPr>
                <w:bCs w:val="0"/>
                <w:noProof w:val="0"/>
              </w:rPr>
              <w:t>Raw Score (# of points earned)</w:t>
            </w:r>
          </w:p>
        </w:tc>
        <w:tc>
          <w:tcPr>
            <w:tcW w:w="1584" w:type="dxa"/>
          </w:tcPr>
          <w:p w14:paraId="6B9B9824" w14:textId="77777777" w:rsidR="005945CE" w:rsidRPr="00C34C12" w:rsidRDefault="005945CE" w:rsidP="003A43F8">
            <w:pPr>
              <w:pStyle w:val="TableHead"/>
              <w:rPr>
                <w:bCs w:val="0"/>
                <w:noProof w:val="0"/>
              </w:rPr>
            </w:pPr>
            <w:r w:rsidRPr="00C34C12">
              <w:rPr>
                <w:bCs w:val="0"/>
                <w:noProof w:val="0"/>
              </w:rPr>
              <w:t>Percent Correct</w:t>
            </w:r>
          </w:p>
        </w:tc>
        <w:tc>
          <w:tcPr>
            <w:tcW w:w="1584" w:type="dxa"/>
          </w:tcPr>
          <w:p w14:paraId="4B288168" w14:textId="77777777" w:rsidR="005945CE" w:rsidRPr="00C34C12" w:rsidRDefault="005945CE" w:rsidP="003A43F8">
            <w:pPr>
              <w:pStyle w:val="TableHead"/>
              <w:rPr>
                <w:bCs w:val="0"/>
                <w:noProof w:val="0"/>
              </w:rPr>
            </w:pPr>
            <w:r w:rsidRPr="00C34C12">
              <w:rPr>
                <w:bCs w:val="0"/>
                <w:noProof w:val="0"/>
              </w:rPr>
              <w:t>Preliminary Category</w:t>
            </w:r>
          </w:p>
        </w:tc>
      </w:tr>
      <w:tr w:rsidR="00152C7E" w:rsidRPr="00C34C12" w14:paraId="22FAE29E" w14:textId="77777777" w:rsidTr="00FF68D3">
        <w:trPr>
          <w:trHeight w:val="70"/>
        </w:trPr>
        <w:tc>
          <w:tcPr>
            <w:tcW w:w="2448" w:type="dxa"/>
            <w:tcBorders>
              <w:top w:val="single" w:sz="4" w:space="0" w:color="auto"/>
            </w:tcBorders>
            <w:vAlign w:val="bottom"/>
          </w:tcPr>
          <w:p w14:paraId="573F32F3" w14:textId="6C4BADF3" w:rsidR="00152C7E" w:rsidRPr="00C34C12" w:rsidRDefault="00152C7E" w:rsidP="001725A5">
            <w:pPr>
              <w:pStyle w:val="TableText"/>
              <w:spacing w:before="14" w:after="14"/>
              <w:jc w:val="center"/>
              <w:rPr>
                <w:noProof w:val="0"/>
              </w:rPr>
            </w:pPr>
            <w:r w:rsidRPr="004B2D24">
              <w:rPr>
                <w:color w:val="000000"/>
                <w:szCs w:val="24"/>
              </w:rPr>
              <w:t>0</w:t>
            </w:r>
          </w:p>
        </w:tc>
        <w:tc>
          <w:tcPr>
            <w:tcW w:w="1584" w:type="dxa"/>
            <w:tcBorders>
              <w:top w:val="single" w:sz="4" w:space="0" w:color="auto"/>
            </w:tcBorders>
            <w:vAlign w:val="bottom"/>
          </w:tcPr>
          <w:p w14:paraId="2E926C9F" w14:textId="124B6B21" w:rsidR="00152C7E" w:rsidRPr="000A7ABF" w:rsidRDefault="00FF68D3" w:rsidP="001725A5">
            <w:pPr>
              <w:pStyle w:val="TableText"/>
              <w:spacing w:before="14" w:after="14"/>
              <w:ind w:right="468"/>
              <w:rPr>
                <w:szCs w:val="24"/>
              </w:rPr>
            </w:pPr>
            <w:r w:rsidRPr="00FF68D3">
              <w:rPr>
                <w:color w:val="000000"/>
                <w:szCs w:val="24"/>
              </w:rPr>
              <w:t>0</w:t>
            </w:r>
          </w:p>
        </w:tc>
        <w:tc>
          <w:tcPr>
            <w:tcW w:w="1584" w:type="dxa"/>
            <w:tcBorders>
              <w:top w:val="single" w:sz="4" w:space="0" w:color="auto"/>
            </w:tcBorders>
            <w:vAlign w:val="bottom"/>
          </w:tcPr>
          <w:p w14:paraId="425DC928" w14:textId="71D39D06" w:rsidR="00152C7E" w:rsidRPr="00592F0C" w:rsidRDefault="00FF68D3" w:rsidP="001725A5">
            <w:pPr>
              <w:pStyle w:val="TableText"/>
              <w:spacing w:before="14" w:after="14"/>
              <w:ind w:right="576"/>
              <w:rPr>
                <w:szCs w:val="24"/>
              </w:rPr>
            </w:pPr>
            <w:r w:rsidRPr="00FF68D3">
              <w:rPr>
                <w:color w:val="000000"/>
                <w:szCs w:val="24"/>
              </w:rPr>
              <w:t>1</w:t>
            </w:r>
          </w:p>
        </w:tc>
      </w:tr>
      <w:tr w:rsidR="00152C7E" w:rsidRPr="00C34C12" w14:paraId="318F2616" w14:textId="77777777" w:rsidTr="00FF68D3">
        <w:tc>
          <w:tcPr>
            <w:tcW w:w="2448" w:type="dxa"/>
            <w:vAlign w:val="bottom"/>
          </w:tcPr>
          <w:p w14:paraId="0DD48E22" w14:textId="04F9BC98" w:rsidR="00152C7E" w:rsidRPr="00C34C12" w:rsidRDefault="00152C7E" w:rsidP="001725A5">
            <w:pPr>
              <w:pStyle w:val="TableText"/>
              <w:spacing w:before="14" w:after="14"/>
              <w:jc w:val="center"/>
              <w:rPr>
                <w:noProof w:val="0"/>
              </w:rPr>
            </w:pPr>
            <w:r w:rsidRPr="004B2D24">
              <w:rPr>
                <w:color w:val="000000"/>
                <w:szCs w:val="24"/>
              </w:rPr>
              <w:t>1</w:t>
            </w:r>
          </w:p>
        </w:tc>
        <w:tc>
          <w:tcPr>
            <w:tcW w:w="1584" w:type="dxa"/>
            <w:vAlign w:val="bottom"/>
          </w:tcPr>
          <w:p w14:paraId="2E5D73D0" w14:textId="7D3E14A7" w:rsidR="00152C7E" w:rsidRPr="00592F0C" w:rsidRDefault="00FF68D3" w:rsidP="001725A5">
            <w:pPr>
              <w:pStyle w:val="TableText"/>
              <w:spacing w:before="14" w:after="14"/>
              <w:ind w:right="468"/>
              <w:rPr>
                <w:szCs w:val="24"/>
              </w:rPr>
            </w:pPr>
            <w:r w:rsidRPr="00FF68D3">
              <w:rPr>
                <w:color w:val="000000"/>
                <w:szCs w:val="24"/>
              </w:rPr>
              <w:t>3</w:t>
            </w:r>
          </w:p>
        </w:tc>
        <w:tc>
          <w:tcPr>
            <w:tcW w:w="1584" w:type="dxa"/>
            <w:vAlign w:val="bottom"/>
          </w:tcPr>
          <w:p w14:paraId="5230B4A6" w14:textId="2FD4E7D5" w:rsidR="00152C7E" w:rsidRPr="00592F0C" w:rsidRDefault="00FF68D3" w:rsidP="001725A5">
            <w:pPr>
              <w:pStyle w:val="TableText"/>
              <w:spacing w:before="14" w:after="14"/>
              <w:ind w:right="576"/>
              <w:rPr>
                <w:szCs w:val="24"/>
              </w:rPr>
            </w:pPr>
            <w:r w:rsidRPr="00FF68D3">
              <w:rPr>
                <w:color w:val="000000"/>
                <w:szCs w:val="24"/>
              </w:rPr>
              <w:t>1</w:t>
            </w:r>
          </w:p>
        </w:tc>
      </w:tr>
      <w:tr w:rsidR="00152C7E" w:rsidRPr="00C34C12" w14:paraId="3905FB05" w14:textId="77777777" w:rsidTr="00FF68D3">
        <w:tc>
          <w:tcPr>
            <w:tcW w:w="2448" w:type="dxa"/>
            <w:vAlign w:val="bottom"/>
          </w:tcPr>
          <w:p w14:paraId="5BB4F567" w14:textId="3087296A" w:rsidR="00152C7E" w:rsidRPr="00C34C12" w:rsidRDefault="00152C7E" w:rsidP="001725A5">
            <w:pPr>
              <w:pStyle w:val="TableText"/>
              <w:spacing w:before="14" w:after="14"/>
              <w:jc w:val="center"/>
              <w:rPr>
                <w:noProof w:val="0"/>
              </w:rPr>
            </w:pPr>
            <w:r w:rsidRPr="004B2D24">
              <w:rPr>
                <w:color w:val="000000"/>
                <w:szCs w:val="24"/>
              </w:rPr>
              <w:t>2</w:t>
            </w:r>
          </w:p>
        </w:tc>
        <w:tc>
          <w:tcPr>
            <w:tcW w:w="1584" w:type="dxa"/>
            <w:vAlign w:val="bottom"/>
          </w:tcPr>
          <w:p w14:paraId="48376156" w14:textId="2D1EDEDA" w:rsidR="00152C7E" w:rsidRPr="000A7ABF" w:rsidRDefault="00FF68D3" w:rsidP="001725A5">
            <w:pPr>
              <w:pStyle w:val="TableText"/>
              <w:spacing w:before="14" w:after="14"/>
              <w:ind w:right="468"/>
              <w:rPr>
                <w:szCs w:val="24"/>
              </w:rPr>
            </w:pPr>
            <w:r w:rsidRPr="00FF68D3">
              <w:rPr>
                <w:color w:val="000000"/>
                <w:szCs w:val="24"/>
              </w:rPr>
              <w:t>6</w:t>
            </w:r>
          </w:p>
        </w:tc>
        <w:tc>
          <w:tcPr>
            <w:tcW w:w="1584" w:type="dxa"/>
            <w:vAlign w:val="bottom"/>
          </w:tcPr>
          <w:p w14:paraId="0F9DEFD2" w14:textId="13588263" w:rsidR="00152C7E" w:rsidRPr="00592F0C" w:rsidRDefault="00FF68D3" w:rsidP="001725A5">
            <w:pPr>
              <w:pStyle w:val="TableText"/>
              <w:spacing w:before="14" w:after="14"/>
              <w:ind w:right="576"/>
              <w:rPr>
                <w:szCs w:val="24"/>
              </w:rPr>
            </w:pPr>
            <w:r w:rsidRPr="00FF68D3">
              <w:rPr>
                <w:color w:val="000000"/>
                <w:szCs w:val="24"/>
              </w:rPr>
              <w:t>1</w:t>
            </w:r>
          </w:p>
        </w:tc>
      </w:tr>
      <w:tr w:rsidR="00152C7E" w:rsidRPr="00C34C12" w14:paraId="66D01843" w14:textId="77777777" w:rsidTr="00FF68D3">
        <w:tc>
          <w:tcPr>
            <w:tcW w:w="2448" w:type="dxa"/>
            <w:vAlign w:val="bottom"/>
          </w:tcPr>
          <w:p w14:paraId="357BBD58" w14:textId="4D7AC7BA" w:rsidR="00152C7E" w:rsidRPr="00C34C12" w:rsidRDefault="00152C7E" w:rsidP="001725A5">
            <w:pPr>
              <w:pStyle w:val="TableText"/>
              <w:spacing w:before="14" w:after="14"/>
              <w:jc w:val="center"/>
              <w:rPr>
                <w:noProof w:val="0"/>
              </w:rPr>
            </w:pPr>
            <w:r w:rsidRPr="004B2D24">
              <w:rPr>
                <w:color w:val="000000"/>
                <w:szCs w:val="24"/>
              </w:rPr>
              <w:t>3</w:t>
            </w:r>
          </w:p>
        </w:tc>
        <w:tc>
          <w:tcPr>
            <w:tcW w:w="1584" w:type="dxa"/>
            <w:vAlign w:val="bottom"/>
          </w:tcPr>
          <w:p w14:paraId="671B9A3B" w14:textId="08350306" w:rsidR="00152C7E" w:rsidRPr="00592F0C" w:rsidRDefault="00FF68D3" w:rsidP="001725A5">
            <w:pPr>
              <w:pStyle w:val="TableText"/>
              <w:spacing w:before="14" w:after="14"/>
              <w:ind w:right="468"/>
              <w:rPr>
                <w:szCs w:val="24"/>
              </w:rPr>
            </w:pPr>
            <w:r w:rsidRPr="00FF68D3">
              <w:rPr>
                <w:color w:val="000000"/>
                <w:szCs w:val="24"/>
              </w:rPr>
              <w:t>8</w:t>
            </w:r>
          </w:p>
        </w:tc>
        <w:tc>
          <w:tcPr>
            <w:tcW w:w="1584" w:type="dxa"/>
            <w:vAlign w:val="bottom"/>
          </w:tcPr>
          <w:p w14:paraId="28F8AB4B" w14:textId="4560D1AD" w:rsidR="00152C7E" w:rsidRPr="000A7ABF" w:rsidRDefault="00FF68D3" w:rsidP="001725A5">
            <w:pPr>
              <w:pStyle w:val="TableText"/>
              <w:spacing w:before="14" w:after="14"/>
              <w:ind w:right="576"/>
              <w:rPr>
                <w:szCs w:val="24"/>
              </w:rPr>
            </w:pPr>
            <w:r w:rsidRPr="00FF68D3">
              <w:rPr>
                <w:color w:val="000000"/>
                <w:szCs w:val="24"/>
              </w:rPr>
              <w:t>1</w:t>
            </w:r>
          </w:p>
        </w:tc>
      </w:tr>
      <w:tr w:rsidR="00152C7E" w:rsidRPr="00C34C12" w14:paraId="65C47BCC" w14:textId="77777777" w:rsidTr="00FF68D3">
        <w:trPr>
          <w:trHeight w:val="80"/>
        </w:trPr>
        <w:tc>
          <w:tcPr>
            <w:tcW w:w="2448" w:type="dxa"/>
            <w:vAlign w:val="bottom"/>
          </w:tcPr>
          <w:p w14:paraId="583FAF22" w14:textId="65E834FF" w:rsidR="00152C7E" w:rsidRPr="00C34C12" w:rsidRDefault="00152C7E" w:rsidP="001725A5">
            <w:pPr>
              <w:pStyle w:val="TableText"/>
              <w:spacing w:before="14" w:after="14"/>
              <w:jc w:val="center"/>
              <w:rPr>
                <w:noProof w:val="0"/>
              </w:rPr>
            </w:pPr>
            <w:r w:rsidRPr="004B2D24">
              <w:rPr>
                <w:color w:val="000000"/>
                <w:szCs w:val="24"/>
              </w:rPr>
              <w:t>4</w:t>
            </w:r>
          </w:p>
        </w:tc>
        <w:tc>
          <w:tcPr>
            <w:tcW w:w="1584" w:type="dxa"/>
            <w:vAlign w:val="bottom"/>
          </w:tcPr>
          <w:p w14:paraId="1E2EA1AA" w14:textId="6EB42DE3" w:rsidR="00152C7E" w:rsidRPr="00592F0C" w:rsidRDefault="00FF68D3" w:rsidP="001725A5">
            <w:pPr>
              <w:pStyle w:val="TableText"/>
              <w:spacing w:before="14" w:after="14"/>
              <w:ind w:right="468"/>
              <w:rPr>
                <w:szCs w:val="24"/>
              </w:rPr>
            </w:pPr>
            <w:r w:rsidRPr="00FF68D3">
              <w:rPr>
                <w:color w:val="000000"/>
                <w:szCs w:val="24"/>
              </w:rPr>
              <w:t>11</w:t>
            </w:r>
          </w:p>
        </w:tc>
        <w:tc>
          <w:tcPr>
            <w:tcW w:w="1584" w:type="dxa"/>
            <w:vAlign w:val="bottom"/>
          </w:tcPr>
          <w:p w14:paraId="7DFCC953" w14:textId="79553CEF" w:rsidR="00152C7E" w:rsidRPr="000A7ABF" w:rsidRDefault="00FF68D3" w:rsidP="001725A5">
            <w:pPr>
              <w:pStyle w:val="TableText"/>
              <w:spacing w:before="14" w:after="14"/>
              <w:ind w:right="576"/>
              <w:rPr>
                <w:szCs w:val="24"/>
              </w:rPr>
            </w:pPr>
            <w:r w:rsidRPr="00FF68D3">
              <w:rPr>
                <w:color w:val="000000"/>
                <w:szCs w:val="24"/>
              </w:rPr>
              <w:t>1</w:t>
            </w:r>
          </w:p>
        </w:tc>
      </w:tr>
      <w:tr w:rsidR="00152C7E" w:rsidRPr="00C34C12" w14:paraId="5F2464ED" w14:textId="77777777" w:rsidTr="00FF68D3">
        <w:trPr>
          <w:trHeight w:val="80"/>
        </w:trPr>
        <w:tc>
          <w:tcPr>
            <w:tcW w:w="2448" w:type="dxa"/>
            <w:vAlign w:val="bottom"/>
          </w:tcPr>
          <w:p w14:paraId="3DCE2AAF" w14:textId="5EB74F03" w:rsidR="00152C7E" w:rsidRPr="00C34C12" w:rsidRDefault="00152C7E" w:rsidP="001725A5">
            <w:pPr>
              <w:pStyle w:val="TableText"/>
              <w:spacing w:before="14" w:after="14"/>
              <w:jc w:val="center"/>
              <w:rPr>
                <w:noProof w:val="0"/>
              </w:rPr>
            </w:pPr>
            <w:r w:rsidRPr="004B2D24">
              <w:rPr>
                <w:color w:val="000000"/>
                <w:szCs w:val="24"/>
              </w:rPr>
              <w:t>5</w:t>
            </w:r>
          </w:p>
        </w:tc>
        <w:tc>
          <w:tcPr>
            <w:tcW w:w="1584" w:type="dxa"/>
            <w:vAlign w:val="bottom"/>
          </w:tcPr>
          <w:p w14:paraId="294852CB" w14:textId="187CBCF7" w:rsidR="00152C7E" w:rsidRPr="00592F0C" w:rsidRDefault="00FF68D3" w:rsidP="001725A5">
            <w:pPr>
              <w:pStyle w:val="TableText"/>
              <w:spacing w:before="14" w:after="14"/>
              <w:ind w:right="468"/>
              <w:rPr>
                <w:szCs w:val="24"/>
              </w:rPr>
            </w:pPr>
            <w:r w:rsidRPr="00FF68D3">
              <w:rPr>
                <w:color w:val="000000"/>
                <w:szCs w:val="24"/>
              </w:rPr>
              <w:t>14</w:t>
            </w:r>
          </w:p>
        </w:tc>
        <w:tc>
          <w:tcPr>
            <w:tcW w:w="1584" w:type="dxa"/>
            <w:vAlign w:val="bottom"/>
          </w:tcPr>
          <w:p w14:paraId="569CF9B4" w14:textId="7160418E" w:rsidR="00152C7E" w:rsidRPr="000A7ABF" w:rsidRDefault="00FF68D3" w:rsidP="001725A5">
            <w:pPr>
              <w:pStyle w:val="TableText"/>
              <w:spacing w:before="14" w:after="14"/>
              <w:ind w:right="576"/>
              <w:rPr>
                <w:szCs w:val="24"/>
              </w:rPr>
            </w:pPr>
            <w:r w:rsidRPr="00FF68D3">
              <w:rPr>
                <w:color w:val="000000"/>
                <w:szCs w:val="24"/>
              </w:rPr>
              <w:t>1</w:t>
            </w:r>
          </w:p>
        </w:tc>
      </w:tr>
      <w:tr w:rsidR="00152C7E" w:rsidRPr="00C34C12" w14:paraId="7D853A30" w14:textId="77777777" w:rsidTr="00FF68D3">
        <w:trPr>
          <w:trHeight w:val="80"/>
        </w:trPr>
        <w:tc>
          <w:tcPr>
            <w:tcW w:w="2448" w:type="dxa"/>
            <w:vAlign w:val="bottom"/>
          </w:tcPr>
          <w:p w14:paraId="1240BF94" w14:textId="159D551C" w:rsidR="00152C7E" w:rsidRPr="00C34C12" w:rsidRDefault="00152C7E" w:rsidP="001725A5">
            <w:pPr>
              <w:pStyle w:val="TableText"/>
              <w:spacing w:before="14" w:after="14"/>
              <w:jc w:val="center"/>
              <w:rPr>
                <w:noProof w:val="0"/>
              </w:rPr>
            </w:pPr>
            <w:r w:rsidRPr="004B2D24">
              <w:rPr>
                <w:color w:val="000000"/>
                <w:szCs w:val="24"/>
              </w:rPr>
              <w:t>6</w:t>
            </w:r>
          </w:p>
        </w:tc>
        <w:tc>
          <w:tcPr>
            <w:tcW w:w="1584" w:type="dxa"/>
            <w:vAlign w:val="bottom"/>
          </w:tcPr>
          <w:p w14:paraId="59023E52" w14:textId="1DDD4160" w:rsidR="00152C7E" w:rsidRPr="00592F0C" w:rsidRDefault="00FF68D3" w:rsidP="001725A5">
            <w:pPr>
              <w:pStyle w:val="TableText"/>
              <w:spacing w:before="14" w:after="14"/>
              <w:ind w:right="468"/>
              <w:rPr>
                <w:szCs w:val="24"/>
              </w:rPr>
            </w:pPr>
            <w:r w:rsidRPr="00FF68D3">
              <w:rPr>
                <w:color w:val="000000"/>
                <w:szCs w:val="24"/>
              </w:rPr>
              <w:t>17</w:t>
            </w:r>
          </w:p>
        </w:tc>
        <w:tc>
          <w:tcPr>
            <w:tcW w:w="1584" w:type="dxa"/>
            <w:vAlign w:val="bottom"/>
          </w:tcPr>
          <w:p w14:paraId="461DBA69" w14:textId="45C4A007" w:rsidR="00152C7E" w:rsidRPr="00592F0C" w:rsidRDefault="00FF68D3" w:rsidP="001725A5">
            <w:pPr>
              <w:pStyle w:val="TableText"/>
              <w:spacing w:before="14" w:after="14"/>
              <w:ind w:right="576"/>
              <w:rPr>
                <w:szCs w:val="24"/>
              </w:rPr>
            </w:pPr>
            <w:r w:rsidRPr="00FF68D3">
              <w:rPr>
                <w:color w:val="000000"/>
                <w:szCs w:val="24"/>
              </w:rPr>
              <w:t>1</w:t>
            </w:r>
          </w:p>
        </w:tc>
      </w:tr>
      <w:tr w:rsidR="00152C7E" w:rsidRPr="00C34C12" w14:paraId="03960FDD" w14:textId="77777777" w:rsidTr="00FF68D3">
        <w:trPr>
          <w:trHeight w:val="80"/>
        </w:trPr>
        <w:tc>
          <w:tcPr>
            <w:tcW w:w="2448" w:type="dxa"/>
            <w:vAlign w:val="bottom"/>
          </w:tcPr>
          <w:p w14:paraId="7B1640CA" w14:textId="1A712121" w:rsidR="00152C7E" w:rsidRPr="00C34C12" w:rsidRDefault="00152C7E" w:rsidP="001725A5">
            <w:pPr>
              <w:pStyle w:val="TableText"/>
              <w:spacing w:before="14" w:after="14"/>
              <w:jc w:val="center"/>
              <w:rPr>
                <w:noProof w:val="0"/>
              </w:rPr>
            </w:pPr>
            <w:r w:rsidRPr="004B2D24">
              <w:rPr>
                <w:color w:val="000000"/>
                <w:szCs w:val="24"/>
              </w:rPr>
              <w:t>7</w:t>
            </w:r>
          </w:p>
        </w:tc>
        <w:tc>
          <w:tcPr>
            <w:tcW w:w="1584" w:type="dxa"/>
            <w:vAlign w:val="bottom"/>
          </w:tcPr>
          <w:p w14:paraId="1FC0813E" w14:textId="035A36E4" w:rsidR="00152C7E" w:rsidRPr="000A7ABF" w:rsidRDefault="00FF68D3" w:rsidP="001725A5">
            <w:pPr>
              <w:pStyle w:val="TableText"/>
              <w:spacing w:before="14" w:after="14"/>
              <w:ind w:right="468"/>
              <w:rPr>
                <w:szCs w:val="24"/>
              </w:rPr>
            </w:pPr>
            <w:r w:rsidRPr="00FF68D3">
              <w:rPr>
                <w:color w:val="000000"/>
                <w:szCs w:val="24"/>
              </w:rPr>
              <w:t>19</w:t>
            </w:r>
          </w:p>
        </w:tc>
        <w:tc>
          <w:tcPr>
            <w:tcW w:w="1584" w:type="dxa"/>
            <w:vAlign w:val="bottom"/>
          </w:tcPr>
          <w:p w14:paraId="372AE4BE" w14:textId="77271E19" w:rsidR="00152C7E" w:rsidRPr="000A7ABF" w:rsidRDefault="00FF68D3" w:rsidP="001725A5">
            <w:pPr>
              <w:pStyle w:val="TableText"/>
              <w:spacing w:before="14" w:after="14"/>
              <w:ind w:right="576"/>
              <w:rPr>
                <w:szCs w:val="24"/>
              </w:rPr>
            </w:pPr>
            <w:r w:rsidRPr="00FF68D3">
              <w:rPr>
                <w:color w:val="000000"/>
                <w:szCs w:val="24"/>
              </w:rPr>
              <w:t>1</w:t>
            </w:r>
          </w:p>
        </w:tc>
      </w:tr>
      <w:tr w:rsidR="00152C7E" w:rsidRPr="00C34C12" w14:paraId="06CAADD9" w14:textId="77777777" w:rsidTr="00FF68D3">
        <w:trPr>
          <w:trHeight w:val="80"/>
        </w:trPr>
        <w:tc>
          <w:tcPr>
            <w:tcW w:w="2448" w:type="dxa"/>
            <w:vAlign w:val="bottom"/>
          </w:tcPr>
          <w:p w14:paraId="2EEB45A9" w14:textId="6A010AE7" w:rsidR="00152C7E" w:rsidRPr="00C34C12" w:rsidRDefault="00152C7E" w:rsidP="001725A5">
            <w:pPr>
              <w:pStyle w:val="TableText"/>
              <w:spacing w:before="14" w:after="14"/>
              <w:jc w:val="center"/>
              <w:rPr>
                <w:noProof w:val="0"/>
              </w:rPr>
            </w:pPr>
            <w:r w:rsidRPr="004B2D24">
              <w:rPr>
                <w:color w:val="000000"/>
                <w:szCs w:val="24"/>
              </w:rPr>
              <w:t>8</w:t>
            </w:r>
          </w:p>
        </w:tc>
        <w:tc>
          <w:tcPr>
            <w:tcW w:w="1584" w:type="dxa"/>
            <w:vAlign w:val="bottom"/>
          </w:tcPr>
          <w:p w14:paraId="12DC3CF6" w14:textId="50D676B5" w:rsidR="00152C7E" w:rsidRPr="000A7ABF" w:rsidRDefault="00FF68D3" w:rsidP="001725A5">
            <w:pPr>
              <w:pStyle w:val="TableText"/>
              <w:spacing w:before="14" w:after="14"/>
              <w:ind w:right="468"/>
              <w:rPr>
                <w:szCs w:val="24"/>
              </w:rPr>
            </w:pPr>
            <w:r w:rsidRPr="00FF68D3">
              <w:rPr>
                <w:color w:val="000000"/>
                <w:szCs w:val="24"/>
              </w:rPr>
              <w:t>22</w:t>
            </w:r>
          </w:p>
        </w:tc>
        <w:tc>
          <w:tcPr>
            <w:tcW w:w="1584" w:type="dxa"/>
            <w:vAlign w:val="bottom"/>
          </w:tcPr>
          <w:p w14:paraId="261B77AB" w14:textId="40368759" w:rsidR="00152C7E" w:rsidRPr="000A7ABF" w:rsidRDefault="00FF68D3" w:rsidP="001725A5">
            <w:pPr>
              <w:pStyle w:val="TableText"/>
              <w:spacing w:before="14" w:after="14"/>
              <w:ind w:right="576"/>
              <w:rPr>
                <w:szCs w:val="24"/>
              </w:rPr>
            </w:pPr>
            <w:r w:rsidRPr="00FF68D3">
              <w:rPr>
                <w:color w:val="000000"/>
                <w:szCs w:val="24"/>
              </w:rPr>
              <w:t>1</w:t>
            </w:r>
          </w:p>
        </w:tc>
      </w:tr>
      <w:tr w:rsidR="00152C7E" w:rsidRPr="00C34C12" w14:paraId="6EB1197A" w14:textId="77777777" w:rsidTr="00FF68D3">
        <w:trPr>
          <w:trHeight w:val="80"/>
        </w:trPr>
        <w:tc>
          <w:tcPr>
            <w:tcW w:w="2448" w:type="dxa"/>
            <w:vAlign w:val="bottom"/>
          </w:tcPr>
          <w:p w14:paraId="287BFF54" w14:textId="33B8E540" w:rsidR="00152C7E" w:rsidRPr="00C34C12" w:rsidRDefault="00152C7E" w:rsidP="001725A5">
            <w:pPr>
              <w:pStyle w:val="TableText"/>
              <w:spacing w:before="14" w:after="14"/>
              <w:jc w:val="center"/>
              <w:rPr>
                <w:noProof w:val="0"/>
              </w:rPr>
            </w:pPr>
            <w:r w:rsidRPr="004B2D24">
              <w:rPr>
                <w:color w:val="000000"/>
                <w:szCs w:val="24"/>
              </w:rPr>
              <w:t>9</w:t>
            </w:r>
          </w:p>
        </w:tc>
        <w:tc>
          <w:tcPr>
            <w:tcW w:w="1584" w:type="dxa"/>
            <w:vAlign w:val="bottom"/>
          </w:tcPr>
          <w:p w14:paraId="37FEF469" w14:textId="7B8A86A5" w:rsidR="00152C7E" w:rsidRPr="000A7ABF" w:rsidRDefault="00FF68D3" w:rsidP="001725A5">
            <w:pPr>
              <w:pStyle w:val="TableText"/>
              <w:spacing w:before="14" w:after="14"/>
              <w:ind w:right="468"/>
              <w:rPr>
                <w:szCs w:val="24"/>
              </w:rPr>
            </w:pPr>
            <w:r w:rsidRPr="00FF68D3">
              <w:rPr>
                <w:color w:val="000000"/>
                <w:szCs w:val="24"/>
              </w:rPr>
              <w:t>25</w:t>
            </w:r>
          </w:p>
        </w:tc>
        <w:tc>
          <w:tcPr>
            <w:tcW w:w="1584" w:type="dxa"/>
            <w:vAlign w:val="bottom"/>
          </w:tcPr>
          <w:p w14:paraId="4AF33124" w14:textId="4F9E4A91" w:rsidR="00152C7E" w:rsidRPr="000A7ABF" w:rsidRDefault="00FF68D3" w:rsidP="001725A5">
            <w:pPr>
              <w:pStyle w:val="TableText"/>
              <w:spacing w:before="14" w:after="14"/>
              <w:ind w:right="576"/>
              <w:rPr>
                <w:szCs w:val="24"/>
              </w:rPr>
            </w:pPr>
            <w:r w:rsidRPr="00FF68D3">
              <w:rPr>
                <w:color w:val="000000"/>
                <w:szCs w:val="24"/>
              </w:rPr>
              <w:t>1</w:t>
            </w:r>
          </w:p>
        </w:tc>
      </w:tr>
      <w:tr w:rsidR="00152C7E" w:rsidRPr="00C34C12" w14:paraId="5389463B" w14:textId="77777777" w:rsidTr="00FF68D3">
        <w:trPr>
          <w:trHeight w:val="80"/>
        </w:trPr>
        <w:tc>
          <w:tcPr>
            <w:tcW w:w="2448" w:type="dxa"/>
            <w:vAlign w:val="bottom"/>
          </w:tcPr>
          <w:p w14:paraId="1B2B50A3" w14:textId="7504B467" w:rsidR="00152C7E" w:rsidRPr="00C34C12" w:rsidRDefault="00152C7E" w:rsidP="001725A5">
            <w:pPr>
              <w:pStyle w:val="TableText"/>
              <w:spacing w:before="14" w:after="14"/>
              <w:jc w:val="center"/>
              <w:rPr>
                <w:noProof w:val="0"/>
              </w:rPr>
            </w:pPr>
            <w:r w:rsidRPr="004B2D24">
              <w:rPr>
                <w:color w:val="000000"/>
                <w:szCs w:val="24"/>
              </w:rPr>
              <w:t>10</w:t>
            </w:r>
          </w:p>
        </w:tc>
        <w:tc>
          <w:tcPr>
            <w:tcW w:w="1584" w:type="dxa"/>
            <w:vAlign w:val="bottom"/>
          </w:tcPr>
          <w:p w14:paraId="67C145AB" w14:textId="4E6A82D5" w:rsidR="00152C7E" w:rsidRPr="000A7ABF" w:rsidRDefault="00FF68D3" w:rsidP="001725A5">
            <w:pPr>
              <w:pStyle w:val="TableText"/>
              <w:spacing w:before="14" w:after="14"/>
              <w:ind w:right="468"/>
              <w:rPr>
                <w:szCs w:val="24"/>
              </w:rPr>
            </w:pPr>
            <w:r w:rsidRPr="00FF68D3">
              <w:rPr>
                <w:color w:val="000000"/>
                <w:szCs w:val="24"/>
              </w:rPr>
              <w:t>28</w:t>
            </w:r>
          </w:p>
        </w:tc>
        <w:tc>
          <w:tcPr>
            <w:tcW w:w="1584" w:type="dxa"/>
            <w:vAlign w:val="bottom"/>
          </w:tcPr>
          <w:p w14:paraId="7C9AA3C2" w14:textId="51D1D1C6" w:rsidR="00152C7E" w:rsidRPr="000A7ABF" w:rsidRDefault="00FF68D3" w:rsidP="001725A5">
            <w:pPr>
              <w:pStyle w:val="TableText"/>
              <w:spacing w:before="14" w:after="14"/>
              <w:ind w:right="576"/>
              <w:rPr>
                <w:szCs w:val="24"/>
              </w:rPr>
            </w:pPr>
            <w:r w:rsidRPr="00FF68D3">
              <w:rPr>
                <w:color w:val="000000"/>
                <w:szCs w:val="24"/>
              </w:rPr>
              <w:t>1</w:t>
            </w:r>
          </w:p>
        </w:tc>
      </w:tr>
      <w:tr w:rsidR="00152C7E" w:rsidRPr="00C34C12" w14:paraId="3F3414FB" w14:textId="77777777" w:rsidTr="00FF68D3">
        <w:trPr>
          <w:trHeight w:val="80"/>
        </w:trPr>
        <w:tc>
          <w:tcPr>
            <w:tcW w:w="2448" w:type="dxa"/>
            <w:vAlign w:val="bottom"/>
          </w:tcPr>
          <w:p w14:paraId="54582FE8" w14:textId="49D3203D" w:rsidR="00152C7E" w:rsidRPr="00C34C12" w:rsidRDefault="00152C7E" w:rsidP="001725A5">
            <w:pPr>
              <w:pStyle w:val="TableText"/>
              <w:spacing w:before="14" w:after="14"/>
              <w:jc w:val="center"/>
              <w:rPr>
                <w:noProof w:val="0"/>
              </w:rPr>
            </w:pPr>
            <w:r w:rsidRPr="004B2D24">
              <w:rPr>
                <w:color w:val="000000"/>
                <w:szCs w:val="24"/>
              </w:rPr>
              <w:t>11</w:t>
            </w:r>
          </w:p>
        </w:tc>
        <w:tc>
          <w:tcPr>
            <w:tcW w:w="1584" w:type="dxa"/>
            <w:vAlign w:val="bottom"/>
          </w:tcPr>
          <w:p w14:paraId="5632B564" w14:textId="3D18FE9C" w:rsidR="00152C7E" w:rsidRPr="00592F0C" w:rsidRDefault="00FF68D3" w:rsidP="001725A5">
            <w:pPr>
              <w:pStyle w:val="TableText"/>
              <w:spacing w:before="14" w:after="14"/>
              <w:ind w:right="468"/>
              <w:rPr>
                <w:szCs w:val="24"/>
              </w:rPr>
            </w:pPr>
            <w:r w:rsidRPr="00FF68D3">
              <w:rPr>
                <w:color w:val="000000"/>
                <w:szCs w:val="24"/>
              </w:rPr>
              <w:t>31</w:t>
            </w:r>
          </w:p>
        </w:tc>
        <w:tc>
          <w:tcPr>
            <w:tcW w:w="1584" w:type="dxa"/>
            <w:vAlign w:val="bottom"/>
          </w:tcPr>
          <w:p w14:paraId="72659C8F" w14:textId="4597F86F" w:rsidR="00152C7E" w:rsidRPr="000A7ABF" w:rsidRDefault="00FF68D3" w:rsidP="001725A5">
            <w:pPr>
              <w:pStyle w:val="TableText"/>
              <w:spacing w:before="14" w:after="14"/>
              <w:ind w:right="576"/>
              <w:rPr>
                <w:szCs w:val="24"/>
              </w:rPr>
            </w:pPr>
            <w:r w:rsidRPr="00FF68D3">
              <w:rPr>
                <w:color w:val="000000"/>
                <w:szCs w:val="24"/>
              </w:rPr>
              <w:t>1</w:t>
            </w:r>
          </w:p>
        </w:tc>
      </w:tr>
      <w:tr w:rsidR="00152C7E" w:rsidRPr="00C34C12" w14:paraId="6E01ED8E" w14:textId="77777777" w:rsidTr="00FF68D3">
        <w:trPr>
          <w:trHeight w:val="80"/>
        </w:trPr>
        <w:tc>
          <w:tcPr>
            <w:tcW w:w="2448" w:type="dxa"/>
            <w:vAlign w:val="bottom"/>
          </w:tcPr>
          <w:p w14:paraId="4C15C4EA" w14:textId="5D9C3224" w:rsidR="00152C7E" w:rsidRPr="00C34C12" w:rsidRDefault="00152C7E" w:rsidP="001725A5">
            <w:pPr>
              <w:pStyle w:val="TableText"/>
              <w:spacing w:before="14" w:after="14"/>
              <w:jc w:val="center"/>
              <w:rPr>
                <w:noProof w:val="0"/>
              </w:rPr>
            </w:pPr>
            <w:r w:rsidRPr="004B2D24">
              <w:rPr>
                <w:color w:val="000000"/>
                <w:szCs w:val="24"/>
              </w:rPr>
              <w:t>12</w:t>
            </w:r>
          </w:p>
        </w:tc>
        <w:tc>
          <w:tcPr>
            <w:tcW w:w="1584" w:type="dxa"/>
            <w:vAlign w:val="bottom"/>
          </w:tcPr>
          <w:p w14:paraId="7A3015C7" w14:textId="4B328A54" w:rsidR="00152C7E" w:rsidRPr="000A7ABF" w:rsidRDefault="00FF68D3" w:rsidP="001725A5">
            <w:pPr>
              <w:pStyle w:val="TableText"/>
              <w:spacing w:before="14" w:after="14"/>
              <w:ind w:right="468"/>
              <w:rPr>
                <w:szCs w:val="24"/>
              </w:rPr>
            </w:pPr>
            <w:r w:rsidRPr="00FF68D3">
              <w:rPr>
                <w:color w:val="000000"/>
                <w:szCs w:val="24"/>
              </w:rPr>
              <w:t>33</w:t>
            </w:r>
          </w:p>
        </w:tc>
        <w:tc>
          <w:tcPr>
            <w:tcW w:w="1584" w:type="dxa"/>
            <w:vAlign w:val="bottom"/>
          </w:tcPr>
          <w:p w14:paraId="21C06C28" w14:textId="0B3AB6B7" w:rsidR="00152C7E" w:rsidRPr="000A7ABF" w:rsidRDefault="00FF68D3" w:rsidP="001725A5">
            <w:pPr>
              <w:pStyle w:val="TableText"/>
              <w:spacing w:before="14" w:after="14"/>
              <w:ind w:right="576"/>
              <w:rPr>
                <w:szCs w:val="24"/>
              </w:rPr>
            </w:pPr>
            <w:r w:rsidRPr="00FF68D3">
              <w:rPr>
                <w:color w:val="000000"/>
                <w:szCs w:val="24"/>
              </w:rPr>
              <w:t>2</w:t>
            </w:r>
          </w:p>
        </w:tc>
      </w:tr>
      <w:tr w:rsidR="00152C7E" w:rsidRPr="00C34C12" w14:paraId="0025601F" w14:textId="77777777" w:rsidTr="00FF68D3">
        <w:trPr>
          <w:trHeight w:val="80"/>
        </w:trPr>
        <w:tc>
          <w:tcPr>
            <w:tcW w:w="2448" w:type="dxa"/>
            <w:vAlign w:val="bottom"/>
          </w:tcPr>
          <w:p w14:paraId="5B03552C" w14:textId="7ED8E69B" w:rsidR="00152C7E" w:rsidRPr="00C34C12" w:rsidRDefault="00152C7E" w:rsidP="001725A5">
            <w:pPr>
              <w:pStyle w:val="TableText"/>
              <w:spacing w:before="14" w:after="14"/>
              <w:jc w:val="center"/>
              <w:rPr>
                <w:noProof w:val="0"/>
              </w:rPr>
            </w:pPr>
            <w:r w:rsidRPr="004B2D24">
              <w:rPr>
                <w:color w:val="000000"/>
                <w:szCs w:val="24"/>
              </w:rPr>
              <w:t>13</w:t>
            </w:r>
          </w:p>
        </w:tc>
        <w:tc>
          <w:tcPr>
            <w:tcW w:w="1584" w:type="dxa"/>
            <w:vAlign w:val="bottom"/>
          </w:tcPr>
          <w:p w14:paraId="29E76B1A" w14:textId="3E197B73" w:rsidR="00152C7E" w:rsidRPr="000A7ABF" w:rsidRDefault="00FF68D3" w:rsidP="001725A5">
            <w:pPr>
              <w:pStyle w:val="TableText"/>
              <w:spacing w:before="14" w:after="14"/>
              <w:ind w:right="468"/>
              <w:rPr>
                <w:szCs w:val="24"/>
              </w:rPr>
            </w:pPr>
            <w:r w:rsidRPr="00FF68D3">
              <w:rPr>
                <w:color w:val="000000"/>
                <w:szCs w:val="24"/>
              </w:rPr>
              <w:t>36</w:t>
            </w:r>
          </w:p>
        </w:tc>
        <w:tc>
          <w:tcPr>
            <w:tcW w:w="1584" w:type="dxa"/>
            <w:vAlign w:val="bottom"/>
          </w:tcPr>
          <w:p w14:paraId="2E04906D" w14:textId="4437251A" w:rsidR="00152C7E" w:rsidRPr="000A7ABF" w:rsidRDefault="00FF68D3" w:rsidP="001725A5">
            <w:pPr>
              <w:pStyle w:val="TableText"/>
              <w:spacing w:before="14" w:after="14"/>
              <w:ind w:right="576"/>
              <w:rPr>
                <w:szCs w:val="24"/>
              </w:rPr>
            </w:pPr>
            <w:r w:rsidRPr="00FF68D3">
              <w:rPr>
                <w:color w:val="000000"/>
                <w:szCs w:val="24"/>
              </w:rPr>
              <w:t>2</w:t>
            </w:r>
          </w:p>
        </w:tc>
      </w:tr>
      <w:tr w:rsidR="00152C7E" w:rsidRPr="00C34C12" w14:paraId="2ABFA811" w14:textId="77777777" w:rsidTr="00FF68D3">
        <w:trPr>
          <w:trHeight w:val="80"/>
        </w:trPr>
        <w:tc>
          <w:tcPr>
            <w:tcW w:w="2448" w:type="dxa"/>
            <w:vAlign w:val="bottom"/>
          </w:tcPr>
          <w:p w14:paraId="34E5336B" w14:textId="1577859D" w:rsidR="00152C7E" w:rsidRPr="00C34C12" w:rsidRDefault="00152C7E" w:rsidP="001725A5">
            <w:pPr>
              <w:pStyle w:val="TableText"/>
              <w:spacing w:before="14" w:after="14"/>
              <w:jc w:val="center"/>
              <w:rPr>
                <w:noProof w:val="0"/>
              </w:rPr>
            </w:pPr>
            <w:r w:rsidRPr="004B2D24">
              <w:rPr>
                <w:color w:val="000000"/>
                <w:szCs w:val="24"/>
              </w:rPr>
              <w:t>14</w:t>
            </w:r>
          </w:p>
        </w:tc>
        <w:tc>
          <w:tcPr>
            <w:tcW w:w="1584" w:type="dxa"/>
            <w:vAlign w:val="bottom"/>
          </w:tcPr>
          <w:p w14:paraId="57F26584" w14:textId="1CA3DD95" w:rsidR="00152C7E" w:rsidRPr="00592F0C" w:rsidRDefault="00FF68D3" w:rsidP="001725A5">
            <w:pPr>
              <w:pStyle w:val="TableText"/>
              <w:spacing w:before="14" w:after="14"/>
              <w:ind w:right="468"/>
              <w:rPr>
                <w:szCs w:val="24"/>
              </w:rPr>
            </w:pPr>
            <w:r w:rsidRPr="00FF68D3">
              <w:rPr>
                <w:color w:val="000000"/>
                <w:szCs w:val="24"/>
              </w:rPr>
              <w:t>39</w:t>
            </w:r>
          </w:p>
        </w:tc>
        <w:tc>
          <w:tcPr>
            <w:tcW w:w="1584" w:type="dxa"/>
            <w:vAlign w:val="bottom"/>
          </w:tcPr>
          <w:p w14:paraId="092D526C" w14:textId="054B89E1" w:rsidR="00152C7E" w:rsidRPr="00592F0C" w:rsidRDefault="00FF68D3" w:rsidP="001725A5">
            <w:pPr>
              <w:pStyle w:val="TableText"/>
              <w:spacing w:before="14" w:after="14"/>
              <w:ind w:right="576"/>
              <w:rPr>
                <w:szCs w:val="24"/>
              </w:rPr>
            </w:pPr>
            <w:r w:rsidRPr="00FF68D3">
              <w:rPr>
                <w:color w:val="000000"/>
                <w:szCs w:val="24"/>
              </w:rPr>
              <w:t>2</w:t>
            </w:r>
          </w:p>
        </w:tc>
      </w:tr>
      <w:tr w:rsidR="00152C7E" w:rsidRPr="00C34C12" w14:paraId="0C196069" w14:textId="77777777" w:rsidTr="00FF68D3">
        <w:trPr>
          <w:trHeight w:val="80"/>
        </w:trPr>
        <w:tc>
          <w:tcPr>
            <w:tcW w:w="2448" w:type="dxa"/>
            <w:vAlign w:val="bottom"/>
          </w:tcPr>
          <w:p w14:paraId="159F5BCF" w14:textId="41468D8F" w:rsidR="00152C7E" w:rsidRPr="00C34C12" w:rsidRDefault="00152C7E" w:rsidP="001725A5">
            <w:pPr>
              <w:pStyle w:val="TableText"/>
              <w:spacing w:before="14" w:after="14"/>
              <w:jc w:val="center"/>
              <w:rPr>
                <w:noProof w:val="0"/>
              </w:rPr>
            </w:pPr>
            <w:r w:rsidRPr="004B2D24">
              <w:rPr>
                <w:color w:val="000000"/>
                <w:szCs w:val="24"/>
              </w:rPr>
              <w:t>15</w:t>
            </w:r>
          </w:p>
        </w:tc>
        <w:tc>
          <w:tcPr>
            <w:tcW w:w="1584" w:type="dxa"/>
            <w:vAlign w:val="bottom"/>
          </w:tcPr>
          <w:p w14:paraId="1D91E08E" w14:textId="1536FF68" w:rsidR="00152C7E" w:rsidRPr="000A7ABF" w:rsidRDefault="00FF68D3" w:rsidP="001725A5">
            <w:pPr>
              <w:pStyle w:val="TableText"/>
              <w:spacing w:before="14" w:after="14"/>
              <w:ind w:right="468"/>
              <w:rPr>
                <w:szCs w:val="24"/>
              </w:rPr>
            </w:pPr>
            <w:r w:rsidRPr="00FF68D3">
              <w:rPr>
                <w:color w:val="000000"/>
                <w:szCs w:val="24"/>
              </w:rPr>
              <w:t>42</w:t>
            </w:r>
          </w:p>
        </w:tc>
        <w:tc>
          <w:tcPr>
            <w:tcW w:w="1584" w:type="dxa"/>
            <w:vAlign w:val="bottom"/>
          </w:tcPr>
          <w:p w14:paraId="00605E96" w14:textId="2E33A8A7" w:rsidR="00152C7E" w:rsidRPr="000A7ABF" w:rsidRDefault="00FF68D3" w:rsidP="001725A5">
            <w:pPr>
              <w:pStyle w:val="TableText"/>
              <w:spacing w:before="14" w:after="14"/>
              <w:ind w:right="576"/>
              <w:rPr>
                <w:szCs w:val="24"/>
              </w:rPr>
            </w:pPr>
            <w:r w:rsidRPr="00FF68D3">
              <w:rPr>
                <w:color w:val="000000"/>
                <w:szCs w:val="24"/>
              </w:rPr>
              <w:t>2</w:t>
            </w:r>
          </w:p>
        </w:tc>
      </w:tr>
      <w:tr w:rsidR="00152C7E" w:rsidRPr="00C34C12" w14:paraId="601BD53D" w14:textId="77777777" w:rsidTr="00FF68D3">
        <w:trPr>
          <w:trHeight w:val="80"/>
        </w:trPr>
        <w:tc>
          <w:tcPr>
            <w:tcW w:w="2448" w:type="dxa"/>
            <w:vAlign w:val="bottom"/>
          </w:tcPr>
          <w:p w14:paraId="44944D4D" w14:textId="5D1DCAAF" w:rsidR="00152C7E" w:rsidRPr="00C34C12" w:rsidRDefault="00152C7E" w:rsidP="001725A5">
            <w:pPr>
              <w:pStyle w:val="TableText"/>
              <w:spacing w:before="14" w:after="14"/>
              <w:jc w:val="center"/>
              <w:rPr>
                <w:noProof w:val="0"/>
              </w:rPr>
            </w:pPr>
            <w:r w:rsidRPr="004B2D24">
              <w:rPr>
                <w:color w:val="000000"/>
                <w:szCs w:val="24"/>
              </w:rPr>
              <w:t>16</w:t>
            </w:r>
          </w:p>
        </w:tc>
        <w:tc>
          <w:tcPr>
            <w:tcW w:w="1584" w:type="dxa"/>
            <w:vAlign w:val="bottom"/>
          </w:tcPr>
          <w:p w14:paraId="08664AD3" w14:textId="2FB04FA7" w:rsidR="00152C7E" w:rsidRPr="000A7ABF" w:rsidRDefault="00FF68D3" w:rsidP="001725A5">
            <w:pPr>
              <w:pStyle w:val="TableText"/>
              <w:spacing w:before="14" w:after="14"/>
              <w:ind w:right="468"/>
              <w:rPr>
                <w:szCs w:val="24"/>
              </w:rPr>
            </w:pPr>
            <w:r w:rsidRPr="00FF68D3">
              <w:rPr>
                <w:color w:val="000000"/>
                <w:szCs w:val="24"/>
              </w:rPr>
              <w:t>44</w:t>
            </w:r>
          </w:p>
        </w:tc>
        <w:tc>
          <w:tcPr>
            <w:tcW w:w="1584" w:type="dxa"/>
            <w:vAlign w:val="bottom"/>
          </w:tcPr>
          <w:p w14:paraId="57512C42" w14:textId="216B505A" w:rsidR="00152C7E" w:rsidRPr="000A7ABF" w:rsidRDefault="00FF68D3" w:rsidP="001725A5">
            <w:pPr>
              <w:pStyle w:val="TableText"/>
              <w:spacing w:before="14" w:after="14"/>
              <w:ind w:right="576"/>
              <w:rPr>
                <w:szCs w:val="24"/>
              </w:rPr>
            </w:pPr>
            <w:r w:rsidRPr="00FF68D3">
              <w:rPr>
                <w:color w:val="000000"/>
                <w:szCs w:val="24"/>
              </w:rPr>
              <w:t>2</w:t>
            </w:r>
          </w:p>
        </w:tc>
      </w:tr>
      <w:tr w:rsidR="00152C7E" w:rsidRPr="00C34C12" w14:paraId="734E0260" w14:textId="77777777" w:rsidTr="00FF68D3">
        <w:trPr>
          <w:trHeight w:val="80"/>
        </w:trPr>
        <w:tc>
          <w:tcPr>
            <w:tcW w:w="2448" w:type="dxa"/>
            <w:vAlign w:val="bottom"/>
          </w:tcPr>
          <w:p w14:paraId="26D06944" w14:textId="312053C9" w:rsidR="00152C7E" w:rsidRPr="00C34C12" w:rsidRDefault="00152C7E" w:rsidP="001725A5">
            <w:pPr>
              <w:pStyle w:val="TableText"/>
              <w:spacing w:before="14" w:after="14"/>
              <w:jc w:val="center"/>
              <w:rPr>
                <w:noProof w:val="0"/>
              </w:rPr>
            </w:pPr>
            <w:r w:rsidRPr="004B2D24">
              <w:rPr>
                <w:color w:val="000000"/>
                <w:szCs w:val="24"/>
              </w:rPr>
              <w:t>17</w:t>
            </w:r>
          </w:p>
        </w:tc>
        <w:tc>
          <w:tcPr>
            <w:tcW w:w="1584" w:type="dxa"/>
            <w:vAlign w:val="bottom"/>
          </w:tcPr>
          <w:p w14:paraId="246322F5" w14:textId="262E7CF1" w:rsidR="00152C7E" w:rsidRPr="00592F0C" w:rsidRDefault="00FF68D3" w:rsidP="001725A5">
            <w:pPr>
              <w:pStyle w:val="TableText"/>
              <w:spacing w:before="14" w:after="14"/>
              <w:ind w:right="468"/>
              <w:rPr>
                <w:szCs w:val="24"/>
              </w:rPr>
            </w:pPr>
            <w:r w:rsidRPr="00FF68D3">
              <w:rPr>
                <w:color w:val="000000"/>
                <w:szCs w:val="24"/>
              </w:rPr>
              <w:t>47</w:t>
            </w:r>
          </w:p>
        </w:tc>
        <w:tc>
          <w:tcPr>
            <w:tcW w:w="1584" w:type="dxa"/>
            <w:vAlign w:val="bottom"/>
          </w:tcPr>
          <w:p w14:paraId="0A40CEE6" w14:textId="0F1E0624" w:rsidR="00152C7E" w:rsidRPr="00592F0C" w:rsidRDefault="00FF68D3" w:rsidP="001725A5">
            <w:pPr>
              <w:pStyle w:val="TableText"/>
              <w:spacing w:before="14" w:after="14"/>
              <w:ind w:right="576"/>
              <w:rPr>
                <w:szCs w:val="24"/>
              </w:rPr>
            </w:pPr>
            <w:r w:rsidRPr="00FF68D3">
              <w:rPr>
                <w:color w:val="000000"/>
                <w:szCs w:val="24"/>
              </w:rPr>
              <w:t>2</w:t>
            </w:r>
          </w:p>
        </w:tc>
      </w:tr>
      <w:tr w:rsidR="00152C7E" w:rsidRPr="00C34C12" w14:paraId="01BC82E0" w14:textId="77777777" w:rsidTr="00FF68D3">
        <w:trPr>
          <w:trHeight w:val="80"/>
        </w:trPr>
        <w:tc>
          <w:tcPr>
            <w:tcW w:w="2448" w:type="dxa"/>
            <w:vAlign w:val="bottom"/>
          </w:tcPr>
          <w:p w14:paraId="12BE1F41" w14:textId="7BFC218E" w:rsidR="00152C7E" w:rsidRPr="00C34C12" w:rsidRDefault="00152C7E" w:rsidP="001725A5">
            <w:pPr>
              <w:pStyle w:val="TableText"/>
              <w:spacing w:before="14" w:after="14"/>
              <w:jc w:val="center"/>
              <w:rPr>
                <w:noProof w:val="0"/>
              </w:rPr>
            </w:pPr>
            <w:r w:rsidRPr="004B2D24">
              <w:rPr>
                <w:color w:val="000000"/>
                <w:szCs w:val="24"/>
              </w:rPr>
              <w:t>18</w:t>
            </w:r>
          </w:p>
        </w:tc>
        <w:tc>
          <w:tcPr>
            <w:tcW w:w="1584" w:type="dxa"/>
            <w:vAlign w:val="bottom"/>
          </w:tcPr>
          <w:p w14:paraId="22C1B630" w14:textId="3A0CBF61" w:rsidR="00152C7E" w:rsidRPr="000A7ABF" w:rsidRDefault="00FF68D3" w:rsidP="001725A5">
            <w:pPr>
              <w:pStyle w:val="TableText"/>
              <w:spacing w:before="14" w:after="14"/>
              <w:ind w:right="468"/>
              <w:rPr>
                <w:szCs w:val="24"/>
              </w:rPr>
            </w:pPr>
            <w:r w:rsidRPr="00FF68D3">
              <w:rPr>
                <w:color w:val="000000"/>
                <w:szCs w:val="24"/>
              </w:rPr>
              <w:t>50</w:t>
            </w:r>
          </w:p>
        </w:tc>
        <w:tc>
          <w:tcPr>
            <w:tcW w:w="1584" w:type="dxa"/>
            <w:vAlign w:val="bottom"/>
          </w:tcPr>
          <w:p w14:paraId="7C772467" w14:textId="01582ED9" w:rsidR="00152C7E" w:rsidRPr="00592F0C" w:rsidRDefault="00FF68D3" w:rsidP="001725A5">
            <w:pPr>
              <w:pStyle w:val="TableText"/>
              <w:spacing w:before="14" w:after="14"/>
              <w:ind w:right="576"/>
              <w:rPr>
                <w:szCs w:val="24"/>
              </w:rPr>
            </w:pPr>
            <w:r w:rsidRPr="00FF68D3">
              <w:rPr>
                <w:color w:val="000000"/>
                <w:szCs w:val="24"/>
              </w:rPr>
              <w:t>2</w:t>
            </w:r>
          </w:p>
        </w:tc>
      </w:tr>
      <w:tr w:rsidR="00152C7E" w:rsidRPr="00C34C12" w14:paraId="54071B51" w14:textId="77777777" w:rsidTr="00FF68D3">
        <w:trPr>
          <w:trHeight w:val="80"/>
        </w:trPr>
        <w:tc>
          <w:tcPr>
            <w:tcW w:w="2448" w:type="dxa"/>
            <w:vAlign w:val="bottom"/>
          </w:tcPr>
          <w:p w14:paraId="37F57DCD" w14:textId="3513B0F9" w:rsidR="00152C7E" w:rsidRPr="00C34C12" w:rsidRDefault="00152C7E" w:rsidP="001725A5">
            <w:pPr>
              <w:pStyle w:val="TableText"/>
              <w:spacing w:before="14" w:after="14"/>
              <w:jc w:val="center"/>
              <w:rPr>
                <w:noProof w:val="0"/>
              </w:rPr>
            </w:pPr>
            <w:r w:rsidRPr="004B2D24">
              <w:rPr>
                <w:color w:val="000000"/>
                <w:szCs w:val="24"/>
              </w:rPr>
              <w:t>19</w:t>
            </w:r>
          </w:p>
        </w:tc>
        <w:tc>
          <w:tcPr>
            <w:tcW w:w="1584" w:type="dxa"/>
            <w:vAlign w:val="bottom"/>
          </w:tcPr>
          <w:p w14:paraId="5FE804AE" w14:textId="78171C2C" w:rsidR="00152C7E" w:rsidRPr="000A7ABF" w:rsidRDefault="00FF68D3" w:rsidP="001725A5">
            <w:pPr>
              <w:pStyle w:val="TableText"/>
              <w:spacing w:before="14" w:after="14"/>
              <w:ind w:right="468"/>
              <w:rPr>
                <w:szCs w:val="24"/>
              </w:rPr>
            </w:pPr>
            <w:r w:rsidRPr="00FF68D3">
              <w:rPr>
                <w:color w:val="000000"/>
                <w:szCs w:val="24"/>
              </w:rPr>
              <w:t>53</w:t>
            </w:r>
          </w:p>
        </w:tc>
        <w:tc>
          <w:tcPr>
            <w:tcW w:w="1584" w:type="dxa"/>
            <w:vAlign w:val="bottom"/>
          </w:tcPr>
          <w:p w14:paraId="63086492" w14:textId="18AA0A91" w:rsidR="00152C7E" w:rsidRPr="00DA0A59" w:rsidRDefault="00FF68D3" w:rsidP="001725A5">
            <w:pPr>
              <w:pStyle w:val="TableText"/>
              <w:spacing w:before="14" w:after="14"/>
              <w:ind w:right="576"/>
              <w:rPr>
                <w:szCs w:val="24"/>
              </w:rPr>
            </w:pPr>
            <w:r w:rsidRPr="00FF68D3">
              <w:rPr>
                <w:color w:val="000000"/>
                <w:szCs w:val="24"/>
              </w:rPr>
              <w:t>2</w:t>
            </w:r>
          </w:p>
        </w:tc>
      </w:tr>
      <w:tr w:rsidR="00152C7E" w:rsidRPr="00C34C12" w14:paraId="41FFA2A5" w14:textId="77777777" w:rsidTr="00FF68D3">
        <w:trPr>
          <w:trHeight w:val="80"/>
        </w:trPr>
        <w:tc>
          <w:tcPr>
            <w:tcW w:w="2448" w:type="dxa"/>
            <w:vAlign w:val="bottom"/>
          </w:tcPr>
          <w:p w14:paraId="2FAFC9F1" w14:textId="5663C3E8" w:rsidR="00152C7E" w:rsidRPr="00C34C12" w:rsidRDefault="00152C7E" w:rsidP="001725A5">
            <w:pPr>
              <w:pStyle w:val="TableText"/>
              <w:spacing w:before="14" w:after="14"/>
              <w:jc w:val="center"/>
              <w:rPr>
                <w:noProof w:val="0"/>
              </w:rPr>
            </w:pPr>
            <w:r w:rsidRPr="004B2D24">
              <w:rPr>
                <w:color w:val="000000"/>
                <w:szCs w:val="24"/>
              </w:rPr>
              <w:t>20</w:t>
            </w:r>
          </w:p>
        </w:tc>
        <w:tc>
          <w:tcPr>
            <w:tcW w:w="1584" w:type="dxa"/>
            <w:vAlign w:val="bottom"/>
          </w:tcPr>
          <w:p w14:paraId="05E30263" w14:textId="6EA42F5D" w:rsidR="00152C7E" w:rsidRPr="00592F0C" w:rsidRDefault="00FF68D3" w:rsidP="001725A5">
            <w:pPr>
              <w:pStyle w:val="TableText"/>
              <w:spacing w:before="14" w:after="14"/>
              <w:ind w:right="468"/>
              <w:rPr>
                <w:szCs w:val="24"/>
              </w:rPr>
            </w:pPr>
            <w:r w:rsidRPr="00FF68D3">
              <w:rPr>
                <w:color w:val="000000"/>
                <w:szCs w:val="24"/>
              </w:rPr>
              <w:t>56</w:t>
            </w:r>
          </w:p>
        </w:tc>
        <w:tc>
          <w:tcPr>
            <w:tcW w:w="1584" w:type="dxa"/>
            <w:vAlign w:val="bottom"/>
          </w:tcPr>
          <w:p w14:paraId="70DF4FA7" w14:textId="199E7AD5" w:rsidR="00152C7E" w:rsidRPr="00592F0C" w:rsidRDefault="00FF68D3" w:rsidP="001725A5">
            <w:pPr>
              <w:pStyle w:val="TableText"/>
              <w:spacing w:before="14" w:after="14"/>
              <w:ind w:right="576"/>
              <w:rPr>
                <w:szCs w:val="24"/>
              </w:rPr>
            </w:pPr>
            <w:r w:rsidRPr="00FF68D3">
              <w:rPr>
                <w:color w:val="000000"/>
                <w:szCs w:val="24"/>
              </w:rPr>
              <w:t>2</w:t>
            </w:r>
          </w:p>
        </w:tc>
      </w:tr>
      <w:tr w:rsidR="00152C7E" w:rsidRPr="00C34C12" w14:paraId="75CB4AA4" w14:textId="77777777" w:rsidTr="00FF68D3">
        <w:trPr>
          <w:trHeight w:val="80"/>
        </w:trPr>
        <w:tc>
          <w:tcPr>
            <w:tcW w:w="2448" w:type="dxa"/>
            <w:vAlign w:val="bottom"/>
          </w:tcPr>
          <w:p w14:paraId="070F59DA" w14:textId="6FDD6CAA" w:rsidR="00152C7E" w:rsidRPr="00C34C12" w:rsidRDefault="00152C7E" w:rsidP="001725A5">
            <w:pPr>
              <w:pStyle w:val="TableText"/>
              <w:spacing w:before="14" w:after="14"/>
              <w:jc w:val="center"/>
              <w:rPr>
                <w:noProof w:val="0"/>
              </w:rPr>
            </w:pPr>
            <w:r w:rsidRPr="004B2D24">
              <w:rPr>
                <w:color w:val="000000"/>
                <w:szCs w:val="24"/>
              </w:rPr>
              <w:t>21</w:t>
            </w:r>
          </w:p>
        </w:tc>
        <w:tc>
          <w:tcPr>
            <w:tcW w:w="1584" w:type="dxa"/>
            <w:vAlign w:val="bottom"/>
          </w:tcPr>
          <w:p w14:paraId="72F6C5BA" w14:textId="6E61C835" w:rsidR="00152C7E" w:rsidRPr="00592F0C" w:rsidRDefault="00FF68D3" w:rsidP="001725A5">
            <w:pPr>
              <w:pStyle w:val="TableText"/>
              <w:spacing w:before="14" w:after="14"/>
              <w:ind w:right="468"/>
              <w:rPr>
                <w:szCs w:val="24"/>
              </w:rPr>
            </w:pPr>
            <w:r w:rsidRPr="00FF68D3">
              <w:rPr>
                <w:color w:val="000000"/>
                <w:szCs w:val="24"/>
              </w:rPr>
              <w:t>58</w:t>
            </w:r>
          </w:p>
        </w:tc>
        <w:tc>
          <w:tcPr>
            <w:tcW w:w="1584" w:type="dxa"/>
            <w:vAlign w:val="bottom"/>
          </w:tcPr>
          <w:p w14:paraId="000C5FFE" w14:textId="1E8C8AAC" w:rsidR="00152C7E" w:rsidRPr="00592F0C" w:rsidRDefault="00FF68D3" w:rsidP="001725A5">
            <w:pPr>
              <w:pStyle w:val="TableText"/>
              <w:spacing w:before="14" w:after="14"/>
              <w:ind w:right="576"/>
              <w:rPr>
                <w:szCs w:val="24"/>
              </w:rPr>
            </w:pPr>
            <w:r w:rsidRPr="00FF68D3">
              <w:rPr>
                <w:color w:val="000000"/>
                <w:szCs w:val="24"/>
              </w:rPr>
              <w:t>2</w:t>
            </w:r>
          </w:p>
        </w:tc>
      </w:tr>
      <w:tr w:rsidR="00152C7E" w:rsidRPr="00C34C12" w14:paraId="68082C84" w14:textId="77777777" w:rsidTr="00FF68D3">
        <w:trPr>
          <w:trHeight w:val="80"/>
        </w:trPr>
        <w:tc>
          <w:tcPr>
            <w:tcW w:w="2448" w:type="dxa"/>
            <w:vAlign w:val="bottom"/>
          </w:tcPr>
          <w:p w14:paraId="12FB7EB4" w14:textId="026EF81E" w:rsidR="00152C7E" w:rsidRPr="00C34C12" w:rsidRDefault="00152C7E" w:rsidP="001725A5">
            <w:pPr>
              <w:pStyle w:val="TableText"/>
              <w:spacing w:before="14" w:after="14"/>
              <w:jc w:val="center"/>
              <w:rPr>
                <w:noProof w:val="0"/>
              </w:rPr>
            </w:pPr>
            <w:r w:rsidRPr="004B2D24">
              <w:rPr>
                <w:color w:val="000000"/>
                <w:szCs w:val="24"/>
              </w:rPr>
              <w:t>22</w:t>
            </w:r>
          </w:p>
        </w:tc>
        <w:tc>
          <w:tcPr>
            <w:tcW w:w="1584" w:type="dxa"/>
            <w:vAlign w:val="bottom"/>
          </w:tcPr>
          <w:p w14:paraId="553869B9" w14:textId="57956186" w:rsidR="00152C7E" w:rsidRPr="00DA0A59" w:rsidRDefault="00FF68D3" w:rsidP="001725A5">
            <w:pPr>
              <w:pStyle w:val="TableText"/>
              <w:spacing w:before="14" w:after="14"/>
              <w:ind w:right="468"/>
              <w:rPr>
                <w:szCs w:val="24"/>
              </w:rPr>
            </w:pPr>
            <w:r w:rsidRPr="00FF68D3">
              <w:rPr>
                <w:color w:val="000000"/>
                <w:szCs w:val="24"/>
              </w:rPr>
              <w:t>61</w:t>
            </w:r>
          </w:p>
        </w:tc>
        <w:tc>
          <w:tcPr>
            <w:tcW w:w="1584" w:type="dxa"/>
            <w:vAlign w:val="bottom"/>
          </w:tcPr>
          <w:p w14:paraId="703CD018" w14:textId="470379D9" w:rsidR="00152C7E" w:rsidRPr="00DA0A59" w:rsidRDefault="00FF68D3" w:rsidP="001725A5">
            <w:pPr>
              <w:pStyle w:val="TableText"/>
              <w:spacing w:before="14" w:after="14"/>
              <w:ind w:right="576"/>
              <w:rPr>
                <w:szCs w:val="24"/>
              </w:rPr>
            </w:pPr>
            <w:r w:rsidRPr="00FF68D3">
              <w:rPr>
                <w:color w:val="000000"/>
                <w:szCs w:val="24"/>
              </w:rPr>
              <w:t>2</w:t>
            </w:r>
          </w:p>
        </w:tc>
      </w:tr>
      <w:tr w:rsidR="00152C7E" w:rsidRPr="00C34C12" w14:paraId="4C695D49" w14:textId="77777777" w:rsidTr="00FF68D3">
        <w:trPr>
          <w:trHeight w:val="80"/>
        </w:trPr>
        <w:tc>
          <w:tcPr>
            <w:tcW w:w="2448" w:type="dxa"/>
            <w:vAlign w:val="bottom"/>
          </w:tcPr>
          <w:p w14:paraId="1CA0B147" w14:textId="64F4AF8E" w:rsidR="00152C7E" w:rsidRPr="00C34C12" w:rsidRDefault="00152C7E" w:rsidP="001725A5">
            <w:pPr>
              <w:pStyle w:val="TableText"/>
              <w:spacing w:before="14" w:after="14"/>
              <w:jc w:val="center"/>
              <w:rPr>
                <w:noProof w:val="0"/>
              </w:rPr>
            </w:pPr>
            <w:r w:rsidRPr="004B2D24">
              <w:rPr>
                <w:color w:val="000000"/>
                <w:szCs w:val="24"/>
              </w:rPr>
              <w:t>23</w:t>
            </w:r>
          </w:p>
        </w:tc>
        <w:tc>
          <w:tcPr>
            <w:tcW w:w="1584" w:type="dxa"/>
            <w:vAlign w:val="bottom"/>
          </w:tcPr>
          <w:p w14:paraId="5BBDA4CB" w14:textId="0BC4C8BA" w:rsidR="00152C7E" w:rsidRPr="00592F0C" w:rsidRDefault="00FF68D3" w:rsidP="001725A5">
            <w:pPr>
              <w:pStyle w:val="TableText"/>
              <w:spacing w:before="14" w:after="14"/>
              <w:ind w:right="468"/>
              <w:rPr>
                <w:szCs w:val="24"/>
              </w:rPr>
            </w:pPr>
            <w:r w:rsidRPr="00FF68D3">
              <w:rPr>
                <w:color w:val="000000"/>
                <w:szCs w:val="24"/>
              </w:rPr>
              <w:t>64</w:t>
            </w:r>
          </w:p>
        </w:tc>
        <w:tc>
          <w:tcPr>
            <w:tcW w:w="1584" w:type="dxa"/>
            <w:vAlign w:val="bottom"/>
          </w:tcPr>
          <w:p w14:paraId="1567DBD6" w14:textId="3DA43790" w:rsidR="00152C7E" w:rsidRPr="00592F0C" w:rsidRDefault="00FF68D3" w:rsidP="001725A5">
            <w:pPr>
              <w:pStyle w:val="TableText"/>
              <w:spacing w:before="14" w:after="14"/>
              <w:ind w:right="576"/>
              <w:rPr>
                <w:szCs w:val="24"/>
              </w:rPr>
            </w:pPr>
            <w:r w:rsidRPr="00FF68D3">
              <w:rPr>
                <w:color w:val="000000"/>
                <w:szCs w:val="24"/>
              </w:rPr>
              <w:t>2</w:t>
            </w:r>
          </w:p>
        </w:tc>
      </w:tr>
      <w:tr w:rsidR="00152C7E" w:rsidRPr="00C34C12" w14:paraId="683A6F90" w14:textId="77777777" w:rsidTr="00FF68D3">
        <w:trPr>
          <w:trHeight w:val="80"/>
        </w:trPr>
        <w:tc>
          <w:tcPr>
            <w:tcW w:w="2448" w:type="dxa"/>
            <w:vAlign w:val="bottom"/>
          </w:tcPr>
          <w:p w14:paraId="012C8A5F" w14:textId="44184500" w:rsidR="00152C7E" w:rsidRPr="00C34C12" w:rsidRDefault="00152C7E" w:rsidP="001725A5">
            <w:pPr>
              <w:pStyle w:val="TableText"/>
              <w:spacing w:before="14" w:after="14"/>
              <w:jc w:val="center"/>
              <w:rPr>
                <w:noProof w:val="0"/>
              </w:rPr>
            </w:pPr>
            <w:r w:rsidRPr="004B2D24">
              <w:rPr>
                <w:color w:val="000000"/>
                <w:szCs w:val="24"/>
              </w:rPr>
              <w:t>24</w:t>
            </w:r>
          </w:p>
        </w:tc>
        <w:tc>
          <w:tcPr>
            <w:tcW w:w="1584" w:type="dxa"/>
            <w:vAlign w:val="bottom"/>
          </w:tcPr>
          <w:p w14:paraId="24C5119D" w14:textId="2F17D196" w:rsidR="00152C7E" w:rsidRPr="00592F0C" w:rsidRDefault="00FF68D3" w:rsidP="001725A5">
            <w:pPr>
              <w:pStyle w:val="TableText"/>
              <w:spacing w:before="14" w:after="14"/>
              <w:ind w:right="468"/>
              <w:rPr>
                <w:szCs w:val="24"/>
              </w:rPr>
            </w:pPr>
            <w:r w:rsidRPr="00FF68D3">
              <w:rPr>
                <w:color w:val="000000"/>
                <w:szCs w:val="24"/>
              </w:rPr>
              <w:t>67</w:t>
            </w:r>
          </w:p>
        </w:tc>
        <w:tc>
          <w:tcPr>
            <w:tcW w:w="1584" w:type="dxa"/>
            <w:vAlign w:val="bottom"/>
          </w:tcPr>
          <w:p w14:paraId="3741893B" w14:textId="2F50DAA0" w:rsidR="00152C7E" w:rsidRPr="00592F0C" w:rsidRDefault="00FF68D3" w:rsidP="001725A5">
            <w:pPr>
              <w:pStyle w:val="TableText"/>
              <w:spacing w:before="14" w:after="14"/>
              <w:ind w:right="576"/>
              <w:rPr>
                <w:szCs w:val="24"/>
              </w:rPr>
            </w:pPr>
            <w:r w:rsidRPr="00FF68D3">
              <w:rPr>
                <w:color w:val="000000"/>
                <w:szCs w:val="24"/>
              </w:rPr>
              <w:t>2</w:t>
            </w:r>
          </w:p>
        </w:tc>
      </w:tr>
      <w:tr w:rsidR="00152C7E" w:rsidRPr="00C34C12" w14:paraId="26839439" w14:textId="77777777" w:rsidTr="00FF68D3">
        <w:trPr>
          <w:trHeight w:val="80"/>
        </w:trPr>
        <w:tc>
          <w:tcPr>
            <w:tcW w:w="2448" w:type="dxa"/>
            <w:vAlign w:val="bottom"/>
          </w:tcPr>
          <w:p w14:paraId="24D6E8A4" w14:textId="791618C5" w:rsidR="00152C7E" w:rsidRPr="00C34C12" w:rsidRDefault="00152C7E" w:rsidP="001725A5">
            <w:pPr>
              <w:pStyle w:val="TableText"/>
              <w:spacing w:before="14" w:after="14"/>
              <w:jc w:val="center"/>
              <w:rPr>
                <w:noProof w:val="0"/>
              </w:rPr>
            </w:pPr>
            <w:r w:rsidRPr="004B2D24">
              <w:rPr>
                <w:color w:val="000000"/>
                <w:szCs w:val="24"/>
              </w:rPr>
              <w:t>25</w:t>
            </w:r>
          </w:p>
        </w:tc>
        <w:tc>
          <w:tcPr>
            <w:tcW w:w="1584" w:type="dxa"/>
            <w:vAlign w:val="bottom"/>
          </w:tcPr>
          <w:p w14:paraId="63A7A2AF" w14:textId="6C81BAD3" w:rsidR="00152C7E" w:rsidRPr="00592F0C" w:rsidRDefault="00FF68D3" w:rsidP="001725A5">
            <w:pPr>
              <w:pStyle w:val="TableText"/>
              <w:spacing w:before="14" w:after="14"/>
              <w:ind w:right="468"/>
              <w:rPr>
                <w:szCs w:val="24"/>
              </w:rPr>
            </w:pPr>
            <w:r w:rsidRPr="00FF68D3">
              <w:rPr>
                <w:color w:val="000000"/>
                <w:szCs w:val="24"/>
              </w:rPr>
              <w:t>69</w:t>
            </w:r>
          </w:p>
        </w:tc>
        <w:tc>
          <w:tcPr>
            <w:tcW w:w="1584" w:type="dxa"/>
            <w:vAlign w:val="bottom"/>
          </w:tcPr>
          <w:p w14:paraId="3118FBE0" w14:textId="55AB4E69" w:rsidR="00152C7E" w:rsidRPr="00DA0A59" w:rsidRDefault="00FF68D3" w:rsidP="001725A5">
            <w:pPr>
              <w:pStyle w:val="TableText"/>
              <w:spacing w:before="14" w:after="14"/>
              <w:ind w:right="576"/>
              <w:rPr>
                <w:szCs w:val="24"/>
              </w:rPr>
            </w:pPr>
            <w:r w:rsidRPr="00FF68D3">
              <w:rPr>
                <w:color w:val="000000"/>
                <w:szCs w:val="24"/>
              </w:rPr>
              <w:t>2</w:t>
            </w:r>
          </w:p>
        </w:tc>
      </w:tr>
      <w:tr w:rsidR="00152C7E" w:rsidRPr="00C34C12" w14:paraId="7CEE0914" w14:textId="77777777" w:rsidTr="00FF68D3">
        <w:trPr>
          <w:trHeight w:val="80"/>
        </w:trPr>
        <w:tc>
          <w:tcPr>
            <w:tcW w:w="2448" w:type="dxa"/>
            <w:vAlign w:val="bottom"/>
          </w:tcPr>
          <w:p w14:paraId="20DA0C00" w14:textId="05AE1028" w:rsidR="00152C7E" w:rsidRPr="00C34C12" w:rsidRDefault="00152C7E" w:rsidP="001725A5">
            <w:pPr>
              <w:pStyle w:val="TableText"/>
              <w:spacing w:before="14" w:after="14"/>
              <w:jc w:val="center"/>
              <w:rPr>
                <w:noProof w:val="0"/>
              </w:rPr>
            </w:pPr>
            <w:r w:rsidRPr="004B2D24">
              <w:rPr>
                <w:color w:val="000000"/>
                <w:szCs w:val="24"/>
              </w:rPr>
              <w:t>26</w:t>
            </w:r>
          </w:p>
        </w:tc>
        <w:tc>
          <w:tcPr>
            <w:tcW w:w="1584" w:type="dxa"/>
            <w:vAlign w:val="bottom"/>
          </w:tcPr>
          <w:p w14:paraId="680B25CD" w14:textId="71BE130A" w:rsidR="00152C7E" w:rsidRPr="00592F0C" w:rsidRDefault="00FF68D3" w:rsidP="001725A5">
            <w:pPr>
              <w:pStyle w:val="TableText"/>
              <w:spacing w:before="14" w:after="14"/>
              <w:ind w:right="468"/>
              <w:rPr>
                <w:szCs w:val="24"/>
              </w:rPr>
            </w:pPr>
            <w:r w:rsidRPr="00FF68D3">
              <w:rPr>
                <w:color w:val="000000"/>
                <w:szCs w:val="24"/>
              </w:rPr>
              <w:t>72</w:t>
            </w:r>
          </w:p>
        </w:tc>
        <w:tc>
          <w:tcPr>
            <w:tcW w:w="1584" w:type="dxa"/>
            <w:vAlign w:val="bottom"/>
          </w:tcPr>
          <w:p w14:paraId="0EB62675" w14:textId="650217E6" w:rsidR="00152C7E" w:rsidRPr="00592F0C" w:rsidRDefault="00FF68D3" w:rsidP="001725A5">
            <w:pPr>
              <w:pStyle w:val="TableText"/>
              <w:spacing w:before="14" w:after="14"/>
              <w:ind w:right="576"/>
              <w:rPr>
                <w:szCs w:val="24"/>
              </w:rPr>
            </w:pPr>
            <w:r w:rsidRPr="00FF68D3">
              <w:rPr>
                <w:color w:val="000000"/>
                <w:szCs w:val="24"/>
              </w:rPr>
              <w:t>2</w:t>
            </w:r>
          </w:p>
        </w:tc>
      </w:tr>
      <w:tr w:rsidR="00152C7E" w:rsidRPr="00C34C12" w14:paraId="36912CF8" w14:textId="77777777" w:rsidTr="00FF68D3">
        <w:trPr>
          <w:trHeight w:val="80"/>
        </w:trPr>
        <w:tc>
          <w:tcPr>
            <w:tcW w:w="2448" w:type="dxa"/>
            <w:vAlign w:val="bottom"/>
          </w:tcPr>
          <w:p w14:paraId="52DF3568" w14:textId="6C12C8AD" w:rsidR="00152C7E" w:rsidRPr="00C34C12" w:rsidRDefault="00152C7E" w:rsidP="001725A5">
            <w:pPr>
              <w:pStyle w:val="TableText"/>
              <w:spacing w:before="14" w:after="14"/>
              <w:jc w:val="center"/>
              <w:rPr>
                <w:noProof w:val="0"/>
              </w:rPr>
            </w:pPr>
            <w:r w:rsidRPr="004B2D24">
              <w:rPr>
                <w:color w:val="000000"/>
                <w:szCs w:val="24"/>
              </w:rPr>
              <w:t>27</w:t>
            </w:r>
          </w:p>
        </w:tc>
        <w:tc>
          <w:tcPr>
            <w:tcW w:w="1584" w:type="dxa"/>
            <w:vAlign w:val="bottom"/>
          </w:tcPr>
          <w:p w14:paraId="5810BB69" w14:textId="64CC3171" w:rsidR="00152C7E" w:rsidRPr="00DA0A59" w:rsidRDefault="00FF68D3" w:rsidP="001725A5">
            <w:pPr>
              <w:pStyle w:val="TableText"/>
              <w:spacing w:before="14" w:after="14"/>
              <w:ind w:right="468"/>
              <w:rPr>
                <w:szCs w:val="24"/>
              </w:rPr>
            </w:pPr>
            <w:r w:rsidRPr="00FF68D3">
              <w:rPr>
                <w:color w:val="000000"/>
                <w:szCs w:val="24"/>
              </w:rPr>
              <w:t>75</w:t>
            </w:r>
          </w:p>
        </w:tc>
        <w:tc>
          <w:tcPr>
            <w:tcW w:w="1584" w:type="dxa"/>
            <w:vAlign w:val="bottom"/>
          </w:tcPr>
          <w:p w14:paraId="14F282D0" w14:textId="584F0E09" w:rsidR="00152C7E" w:rsidRPr="00DA0A59" w:rsidRDefault="00FF68D3" w:rsidP="001725A5">
            <w:pPr>
              <w:pStyle w:val="TableText"/>
              <w:spacing w:before="14" w:after="14"/>
              <w:ind w:right="576"/>
              <w:rPr>
                <w:szCs w:val="24"/>
              </w:rPr>
            </w:pPr>
            <w:r w:rsidRPr="00FF68D3">
              <w:rPr>
                <w:color w:val="000000"/>
                <w:szCs w:val="24"/>
              </w:rPr>
              <w:t>2</w:t>
            </w:r>
          </w:p>
        </w:tc>
      </w:tr>
      <w:tr w:rsidR="00152C7E" w:rsidRPr="00C34C12" w14:paraId="073F6DE4" w14:textId="77777777" w:rsidTr="00FF68D3">
        <w:trPr>
          <w:trHeight w:val="80"/>
        </w:trPr>
        <w:tc>
          <w:tcPr>
            <w:tcW w:w="2448" w:type="dxa"/>
            <w:vAlign w:val="bottom"/>
          </w:tcPr>
          <w:p w14:paraId="7A7703E7" w14:textId="2CB0FE0F" w:rsidR="00152C7E" w:rsidRPr="00C34C12" w:rsidRDefault="00152C7E" w:rsidP="001725A5">
            <w:pPr>
              <w:pStyle w:val="TableText"/>
              <w:spacing w:before="14" w:after="14"/>
              <w:jc w:val="center"/>
              <w:rPr>
                <w:noProof w:val="0"/>
              </w:rPr>
            </w:pPr>
            <w:r w:rsidRPr="004B2D24">
              <w:rPr>
                <w:color w:val="000000"/>
                <w:szCs w:val="24"/>
              </w:rPr>
              <w:t>28</w:t>
            </w:r>
          </w:p>
        </w:tc>
        <w:tc>
          <w:tcPr>
            <w:tcW w:w="1584" w:type="dxa"/>
            <w:vAlign w:val="bottom"/>
          </w:tcPr>
          <w:p w14:paraId="42DD9EA4" w14:textId="45CBF39E" w:rsidR="00152C7E" w:rsidRPr="00592F0C" w:rsidRDefault="00FF68D3" w:rsidP="001725A5">
            <w:pPr>
              <w:pStyle w:val="TableText"/>
              <w:spacing w:before="14" w:after="14"/>
              <w:ind w:right="468"/>
              <w:rPr>
                <w:szCs w:val="24"/>
              </w:rPr>
            </w:pPr>
            <w:r w:rsidRPr="00FF68D3">
              <w:rPr>
                <w:color w:val="000000"/>
                <w:szCs w:val="24"/>
              </w:rPr>
              <w:t>78</w:t>
            </w:r>
          </w:p>
        </w:tc>
        <w:tc>
          <w:tcPr>
            <w:tcW w:w="1584" w:type="dxa"/>
            <w:vAlign w:val="bottom"/>
          </w:tcPr>
          <w:p w14:paraId="4B1BDECE" w14:textId="0FE80C18" w:rsidR="00152C7E" w:rsidRPr="00592F0C" w:rsidRDefault="00FF68D3" w:rsidP="001725A5">
            <w:pPr>
              <w:pStyle w:val="TableText"/>
              <w:spacing w:before="14" w:after="14"/>
              <w:ind w:right="576"/>
              <w:rPr>
                <w:szCs w:val="24"/>
              </w:rPr>
            </w:pPr>
            <w:r w:rsidRPr="00FF68D3">
              <w:rPr>
                <w:color w:val="000000"/>
                <w:szCs w:val="24"/>
              </w:rPr>
              <w:t>2</w:t>
            </w:r>
          </w:p>
        </w:tc>
      </w:tr>
      <w:tr w:rsidR="00152C7E" w:rsidRPr="00C34C12" w14:paraId="2FD2FCD8" w14:textId="77777777" w:rsidTr="00FF68D3">
        <w:trPr>
          <w:trHeight w:val="80"/>
        </w:trPr>
        <w:tc>
          <w:tcPr>
            <w:tcW w:w="2448" w:type="dxa"/>
            <w:vAlign w:val="bottom"/>
          </w:tcPr>
          <w:p w14:paraId="27676A45" w14:textId="4E826398" w:rsidR="00152C7E" w:rsidRPr="00C34C12" w:rsidRDefault="00152C7E" w:rsidP="001725A5">
            <w:pPr>
              <w:pStyle w:val="TableText"/>
              <w:spacing w:before="14" w:after="14"/>
              <w:jc w:val="center"/>
              <w:rPr>
                <w:noProof w:val="0"/>
              </w:rPr>
            </w:pPr>
            <w:r w:rsidRPr="004B2D24">
              <w:rPr>
                <w:color w:val="000000"/>
                <w:szCs w:val="24"/>
              </w:rPr>
              <w:t>29</w:t>
            </w:r>
          </w:p>
        </w:tc>
        <w:tc>
          <w:tcPr>
            <w:tcW w:w="1584" w:type="dxa"/>
            <w:vAlign w:val="bottom"/>
          </w:tcPr>
          <w:p w14:paraId="45649383" w14:textId="6E8229A9" w:rsidR="00152C7E" w:rsidRPr="00DA0A59" w:rsidRDefault="00FF68D3" w:rsidP="001725A5">
            <w:pPr>
              <w:pStyle w:val="TableText"/>
              <w:spacing w:before="14" w:after="14"/>
              <w:ind w:right="468"/>
              <w:rPr>
                <w:szCs w:val="24"/>
              </w:rPr>
            </w:pPr>
            <w:r w:rsidRPr="00FF68D3">
              <w:rPr>
                <w:color w:val="000000"/>
                <w:szCs w:val="24"/>
              </w:rPr>
              <w:t>81</w:t>
            </w:r>
          </w:p>
        </w:tc>
        <w:tc>
          <w:tcPr>
            <w:tcW w:w="1584" w:type="dxa"/>
            <w:vAlign w:val="bottom"/>
          </w:tcPr>
          <w:p w14:paraId="3E7BD624" w14:textId="1C5791A4" w:rsidR="00152C7E" w:rsidRPr="00DA0A59" w:rsidRDefault="00FF68D3" w:rsidP="001725A5">
            <w:pPr>
              <w:pStyle w:val="TableText"/>
              <w:spacing w:before="14" w:after="14"/>
              <w:ind w:right="576"/>
              <w:rPr>
                <w:szCs w:val="24"/>
              </w:rPr>
            </w:pPr>
            <w:r w:rsidRPr="00FF68D3">
              <w:rPr>
                <w:color w:val="000000"/>
                <w:szCs w:val="24"/>
              </w:rPr>
              <w:t>2</w:t>
            </w:r>
          </w:p>
        </w:tc>
      </w:tr>
      <w:tr w:rsidR="00152C7E" w:rsidRPr="00C34C12" w14:paraId="23968030" w14:textId="77777777" w:rsidTr="00FF68D3">
        <w:trPr>
          <w:trHeight w:val="80"/>
        </w:trPr>
        <w:tc>
          <w:tcPr>
            <w:tcW w:w="2448" w:type="dxa"/>
            <w:vAlign w:val="bottom"/>
          </w:tcPr>
          <w:p w14:paraId="4C3AB52C" w14:textId="5798252B" w:rsidR="00152C7E" w:rsidRPr="00C34C12" w:rsidRDefault="00152C7E" w:rsidP="001725A5">
            <w:pPr>
              <w:pStyle w:val="TableText"/>
              <w:spacing w:before="14" w:after="14"/>
              <w:jc w:val="center"/>
              <w:rPr>
                <w:noProof w:val="0"/>
              </w:rPr>
            </w:pPr>
            <w:r w:rsidRPr="004B2D24">
              <w:rPr>
                <w:color w:val="000000"/>
                <w:szCs w:val="24"/>
              </w:rPr>
              <w:t>30</w:t>
            </w:r>
          </w:p>
        </w:tc>
        <w:tc>
          <w:tcPr>
            <w:tcW w:w="1584" w:type="dxa"/>
            <w:vAlign w:val="bottom"/>
          </w:tcPr>
          <w:p w14:paraId="03453680" w14:textId="21740DE7" w:rsidR="00152C7E" w:rsidRPr="00DA0A59" w:rsidRDefault="00FF68D3" w:rsidP="001725A5">
            <w:pPr>
              <w:pStyle w:val="TableText"/>
              <w:spacing w:before="14" w:after="14"/>
              <w:ind w:right="468"/>
              <w:rPr>
                <w:szCs w:val="24"/>
              </w:rPr>
            </w:pPr>
            <w:r w:rsidRPr="00FF68D3">
              <w:rPr>
                <w:color w:val="000000"/>
                <w:szCs w:val="24"/>
              </w:rPr>
              <w:t>83</w:t>
            </w:r>
          </w:p>
        </w:tc>
        <w:tc>
          <w:tcPr>
            <w:tcW w:w="1584" w:type="dxa"/>
            <w:vAlign w:val="bottom"/>
          </w:tcPr>
          <w:p w14:paraId="114873FE" w14:textId="2A9B81BB" w:rsidR="00152C7E" w:rsidRPr="00DA0A59" w:rsidRDefault="00FF68D3" w:rsidP="001725A5">
            <w:pPr>
              <w:pStyle w:val="TableText"/>
              <w:spacing w:before="14" w:after="14"/>
              <w:ind w:right="576"/>
              <w:rPr>
                <w:szCs w:val="24"/>
              </w:rPr>
            </w:pPr>
            <w:r w:rsidRPr="00FF68D3">
              <w:rPr>
                <w:color w:val="000000"/>
                <w:szCs w:val="24"/>
              </w:rPr>
              <w:t>2</w:t>
            </w:r>
          </w:p>
        </w:tc>
      </w:tr>
      <w:tr w:rsidR="00152C7E" w:rsidRPr="00C34C12" w14:paraId="45FC64D2" w14:textId="77777777" w:rsidTr="00FF68D3">
        <w:trPr>
          <w:trHeight w:val="80"/>
        </w:trPr>
        <w:tc>
          <w:tcPr>
            <w:tcW w:w="2448" w:type="dxa"/>
            <w:vAlign w:val="bottom"/>
          </w:tcPr>
          <w:p w14:paraId="5FC082A8" w14:textId="5B1A44F6" w:rsidR="00152C7E" w:rsidRPr="00C34C12" w:rsidRDefault="00152C7E" w:rsidP="001725A5">
            <w:pPr>
              <w:pStyle w:val="TableText"/>
              <w:spacing w:before="14" w:after="14"/>
              <w:jc w:val="center"/>
              <w:rPr>
                <w:noProof w:val="0"/>
              </w:rPr>
            </w:pPr>
            <w:r w:rsidRPr="004B2D24">
              <w:rPr>
                <w:color w:val="000000"/>
                <w:szCs w:val="24"/>
              </w:rPr>
              <w:t>31</w:t>
            </w:r>
          </w:p>
        </w:tc>
        <w:tc>
          <w:tcPr>
            <w:tcW w:w="1584" w:type="dxa"/>
            <w:vAlign w:val="bottom"/>
          </w:tcPr>
          <w:p w14:paraId="77616356" w14:textId="2D5C6FA2" w:rsidR="00152C7E" w:rsidRPr="00DA0A59" w:rsidRDefault="00FF68D3" w:rsidP="001725A5">
            <w:pPr>
              <w:pStyle w:val="TableText"/>
              <w:spacing w:before="14" w:after="14"/>
              <w:ind w:right="468"/>
              <w:rPr>
                <w:szCs w:val="24"/>
              </w:rPr>
            </w:pPr>
            <w:r w:rsidRPr="00FF68D3">
              <w:rPr>
                <w:color w:val="000000"/>
                <w:szCs w:val="24"/>
              </w:rPr>
              <w:t>86</w:t>
            </w:r>
          </w:p>
        </w:tc>
        <w:tc>
          <w:tcPr>
            <w:tcW w:w="1584" w:type="dxa"/>
            <w:vAlign w:val="bottom"/>
          </w:tcPr>
          <w:p w14:paraId="6E2CC131" w14:textId="26B6614D" w:rsidR="00152C7E" w:rsidRPr="00DA0A59" w:rsidRDefault="00FF68D3" w:rsidP="001725A5">
            <w:pPr>
              <w:pStyle w:val="TableText"/>
              <w:spacing w:before="14" w:after="14"/>
              <w:ind w:right="576"/>
              <w:rPr>
                <w:szCs w:val="24"/>
              </w:rPr>
            </w:pPr>
            <w:r w:rsidRPr="00FF68D3">
              <w:rPr>
                <w:color w:val="000000"/>
                <w:szCs w:val="24"/>
              </w:rPr>
              <w:t>2</w:t>
            </w:r>
          </w:p>
        </w:tc>
      </w:tr>
      <w:tr w:rsidR="00152C7E" w:rsidRPr="00C34C12" w14:paraId="7ABF93D4" w14:textId="77777777" w:rsidTr="00FF68D3">
        <w:trPr>
          <w:trHeight w:val="80"/>
        </w:trPr>
        <w:tc>
          <w:tcPr>
            <w:tcW w:w="2448" w:type="dxa"/>
            <w:vAlign w:val="bottom"/>
          </w:tcPr>
          <w:p w14:paraId="7EB4950A" w14:textId="04F71784" w:rsidR="00152C7E" w:rsidRPr="00C34C12" w:rsidRDefault="00152C7E" w:rsidP="001725A5">
            <w:pPr>
              <w:pStyle w:val="TableText"/>
              <w:spacing w:before="14" w:after="14"/>
              <w:jc w:val="center"/>
              <w:rPr>
                <w:noProof w:val="0"/>
              </w:rPr>
            </w:pPr>
            <w:r w:rsidRPr="004B2D24">
              <w:rPr>
                <w:color w:val="000000"/>
                <w:szCs w:val="24"/>
              </w:rPr>
              <w:t>32</w:t>
            </w:r>
          </w:p>
        </w:tc>
        <w:tc>
          <w:tcPr>
            <w:tcW w:w="1584" w:type="dxa"/>
            <w:vAlign w:val="bottom"/>
          </w:tcPr>
          <w:p w14:paraId="70C6AF25" w14:textId="081157A1" w:rsidR="00152C7E" w:rsidRPr="00EC5FA8" w:rsidRDefault="00FF68D3" w:rsidP="001725A5">
            <w:pPr>
              <w:pStyle w:val="TableText"/>
              <w:spacing w:before="14" w:after="14"/>
              <w:ind w:right="468"/>
              <w:rPr>
                <w:szCs w:val="24"/>
              </w:rPr>
            </w:pPr>
            <w:r w:rsidRPr="00FF68D3">
              <w:rPr>
                <w:color w:val="000000"/>
                <w:szCs w:val="24"/>
              </w:rPr>
              <w:t>89</w:t>
            </w:r>
          </w:p>
        </w:tc>
        <w:tc>
          <w:tcPr>
            <w:tcW w:w="1584" w:type="dxa"/>
            <w:vAlign w:val="bottom"/>
          </w:tcPr>
          <w:p w14:paraId="113A0ADE" w14:textId="7D888B32" w:rsidR="00152C7E" w:rsidRPr="00DA0A59" w:rsidRDefault="00FF68D3" w:rsidP="001725A5">
            <w:pPr>
              <w:pStyle w:val="TableText"/>
              <w:spacing w:before="14" w:after="14"/>
              <w:ind w:right="576"/>
              <w:rPr>
                <w:szCs w:val="24"/>
              </w:rPr>
            </w:pPr>
            <w:r w:rsidRPr="00FF68D3">
              <w:rPr>
                <w:color w:val="000000"/>
                <w:szCs w:val="24"/>
              </w:rPr>
              <w:t>2</w:t>
            </w:r>
          </w:p>
        </w:tc>
      </w:tr>
      <w:tr w:rsidR="00152C7E" w:rsidRPr="00C34C12" w14:paraId="718A2B9B" w14:textId="77777777" w:rsidTr="00FF68D3">
        <w:trPr>
          <w:trHeight w:val="80"/>
        </w:trPr>
        <w:tc>
          <w:tcPr>
            <w:tcW w:w="2448" w:type="dxa"/>
            <w:vAlign w:val="bottom"/>
          </w:tcPr>
          <w:p w14:paraId="22971A2A" w14:textId="6C8FE9E5" w:rsidR="00152C7E" w:rsidRPr="00C34C12" w:rsidRDefault="00152C7E" w:rsidP="001725A5">
            <w:pPr>
              <w:pStyle w:val="TableText"/>
              <w:spacing w:before="14" w:after="14"/>
              <w:jc w:val="center"/>
              <w:rPr>
                <w:noProof w:val="0"/>
              </w:rPr>
            </w:pPr>
            <w:r w:rsidRPr="004B2D24">
              <w:rPr>
                <w:color w:val="000000"/>
                <w:szCs w:val="24"/>
              </w:rPr>
              <w:t>33</w:t>
            </w:r>
          </w:p>
        </w:tc>
        <w:tc>
          <w:tcPr>
            <w:tcW w:w="1584" w:type="dxa"/>
            <w:vAlign w:val="bottom"/>
          </w:tcPr>
          <w:p w14:paraId="19D37156" w14:textId="2E67DB08" w:rsidR="00152C7E" w:rsidRPr="00DA0A59" w:rsidRDefault="00FF68D3" w:rsidP="001725A5">
            <w:pPr>
              <w:pStyle w:val="TableText"/>
              <w:spacing w:before="14" w:after="14"/>
              <w:ind w:right="468"/>
              <w:rPr>
                <w:szCs w:val="24"/>
              </w:rPr>
            </w:pPr>
            <w:r w:rsidRPr="00FF68D3">
              <w:rPr>
                <w:color w:val="000000"/>
                <w:szCs w:val="24"/>
              </w:rPr>
              <w:t>92</w:t>
            </w:r>
          </w:p>
        </w:tc>
        <w:tc>
          <w:tcPr>
            <w:tcW w:w="1584" w:type="dxa"/>
            <w:vAlign w:val="bottom"/>
          </w:tcPr>
          <w:p w14:paraId="5FAFACEF" w14:textId="01FBB177" w:rsidR="00152C7E" w:rsidRPr="00DA0A59" w:rsidRDefault="00FF68D3" w:rsidP="001725A5">
            <w:pPr>
              <w:pStyle w:val="TableText"/>
              <w:spacing w:before="14" w:after="14"/>
              <w:ind w:right="576"/>
              <w:rPr>
                <w:szCs w:val="24"/>
              </w:rPr>
            </w:pPr>
            <w:r w:rsidRPr="00FF68D3">
              <w:rPr>
                <w:color w:val="000000"/>
                <w:szCs w:val="24"/>
              </w:rPr>
              <w:t>3</w:t>
            </w:r>
          </w:p>
        </w:tc>
      </w:tr>
      <w:tr w:rsidR="00152C7E" w:rsidRPr="00C34C12" w14:paraId="3763CBD7" w14:textId="77777777" w:rsidTr="00FF68D3">
        <w:trPr>
          <w:trHeight w:val="80"/>
        </w:trPr>
        <w:tc>
          <w:tcPr>
            <w:tcW w:w="2448" w:type="dxa"/>
            <w:vAlign w:val="bottom"/>
          </w:tcPr>
          <w:p w14:paraId="5CB7D0E5" w14:textId="1B70FA7B" w:rsidR="00152C7E" w:rsidRPr="00C34C12" w:rsidRDefault="00152C7E" w:rsidP="001725A5">
            <w:pPr>
              <w:pStyle w:val="TableText"/>
              <w:keepNext/>
              <w:spacing w:before="14" w:after="14"/>
              <w:jc w:val="center"/>
              <w:rPr>
                <w:noProof w:val="0"/>
              </w:rPr>
            </w:pPr>
            <w:r w:rsidRPr="004B2D24">
              <w:rPr>
                <w:color w:val="000000"/>
                <w:szCs w:val="24"/>
              </w:rPr>
              <w:t>34</w:t>
            </w:r>
          </w:p>
        </w:tc>
        <w:tc>
          <w:tcPr>
            <w:tcW w:w="1584" w:type="dxa"/>
            <w:vAlign w:val="bottom"/>
          </w:tcPr>
          <w:p w14:paraId="12D5B723" w14:textId="0F7B0ADE" w:rsidR="00152C7E" w:rsidRPr="00EC5FA8" w:rsidRDefault="00FF68D3" w:rsidP="001725A5">
            <w:pPr>
              <w:pStyle w:val="TableText"/>
              <w:spacing w:before="14" w:after="14"/>
              <w:ind w:right="468"/>
              <w:rPr>
                <w:szCs w:val="24"/>
              </w:rPr>
            </w:pPr>
            <w:r w:rsidRPr="00FF68D3">
              <w:rPr>
                <w:color w:val="000000"/>
                <w:szCs w:val="24"/>
              </w:rPr>
              <w:t>94</w:t>
            </w:r>
          </w:p>
        </w:tc>
        <w:tc>
          <w:tcPr>
            <w:tcW w:w="1584" w:type="dxa"/>
            <w:vAlign w:val="bottom"/>
          </w:tcPr>
          <w:p w14:paraId="2BDF7A4E" w14:textId="44C1EA91" w:rsidR="00152C7E" w:rsidRPr="00DA0A59" w:rsidRDefault="00FF68D3" w:rsidP="001725A5">
            <w:pPr>
              <w:pStyle w:val="TableText"/>
              <w:spacing w:before="14" w:after="14"/>
              <w:ind w:right="576"/>
              <w:rPr>
                <w:szCs w:val="24"/>
              </w:rPr>
            </w:pPr>
            <w:r w:rsidRPr="00FF68D3">
              <w:rPr>
                <w:color w:val="000000"/>
                <w:szCs w:val="24"/>
              </w:rPr>
              <w:t>3</w:t>
            </w:r>
          </w:p>
        </w:tc>
      </w:tr>
      <w:tr w:rsidR="00152C7E" w:rsidRPr="00C34C12" w14:paraId="3599C3FF" w14:textId="77777777" w:rsidTr="00FF68D3">
        <w:trPr>
          <w:trHeight w:val="80"/>
        </w:trPr>
        <w:tc>
          <w:tcPr>
            <w:tcW w:w="2448" w:type="dxa"/>
            <w:vAlign w:val="bottom"/>
          </w:tcPr>
          <w:p w14:paraId="0A8FD837" w14:textId="101CA89F" w:rsidR="00152C7E" w:rsidRPr="00C34C12" w:rsidRDefault="00152C7E" w:rsidP="001725A5">
            <w:pPr>
              <w:pStyle w:val="TableText"/>
              <w:keepNext/>
              <w:spacing w:before="14" w:after="14"/>
              <w:jc w:val="center"/>
              <w:rPr>
                <w:noProof w:val="0"/>
              </w:rPr>
            </w:pPr>
            <w:r w:rsidRPr="004B2D24">
              <w:rPr>
                <w:color w:val="000000"/>
                <w:szCs w:val="24"/>
              </w:rPr>
              <w:t>35</w:t>
            </w:r>
          </w:p>
        </w:tc>
        <w:tc>
          <w:tcPr>
            <w:tcW w:w="1584" w:type="dxa"/>
            <w:vAlign w:val="bottom"/>
          </w:tcPr>
          <w:p w14:paraId="4B66790A" w14:textId="1410FE78" w:rsidR="00152C7E" w:rsidRPr="00EC5FA8" w:rsidRDefault="00FF68D3" w:rsidP="001725A5">
            <w:pPr>
              <w:pStyle w:val="TableText"/>
              <w:spacing w:before="14" w:after="14"/>
              <w:ind w:right="468"/>
              <w:rPr>
                <w:szCs w:val="24"/>
              </w:rPr>
            </w:pPr>
            <w:r w:rsidRPr="00FF68D3">
              <w:rPr>
                <w:color w:val="000000"/>
                <w:szCs w:val="24"/>
              </w:rPr>
              <w:t>97</w:t>
            </w:r>
          </w:p>
        </w:tc>
        <w:tc>
          <w:tcPr>
            <w:tcW w:w="1584" w:type="dxa"/>
            <w:vAlign w:val="bottom"/>
          </w:tcPr>
          <w:p w14:paraId="353E6447" w14:textId="51490E01" w:rsidR="00152C7E" w:rsidRPr="00592F0C" w:rsidRDefault="00FF68D3" w:rsidP="001725A5">
            <w:pPr>
              <w:pStyle w:val="TableText"/>
              <w:spacing w:before="14" w:after="14"/>
              <w:ind w:right="576"/>
              <w:rPr>
                <w:szCs w:val="24"/>
              </w:rPr>
            </w:pPr>
            <w:r w:rsidRPr="00FF68D3">
              <w:rPr>
                <w:color w:val="000000"/>
                <w:szCs w:val="24"/>
              </w:rPr>
              <w:t>3</w:t>
            </w:r>
          </w:p>
        </w:tc>
      </w:tr>
      <w:tr w:rsidR="00152C7E" w:rsidRPr="00C34C12" w14:paraId="452784CC" w14:textId="77777777" w:rsidTr="00FF68D3">
        <w:trPr>
          <w:trHeight w:val="80"/>
        </w:trPr>
        <w:tc>
          <w:tcPr>
            <w:tcW w:w="2448" w:type="dxa"/>
            <w:vAlign w:val="bottom"/>
          </w:tcPr>
          <w:p w14:paraId="6700DD0F" w14:textId="7C4D048A" w:rsidR="00152C7E" w:rsidRPr="00C34C12" w:rsidRDefault="00152C7E" w:rsidP="001725A5">
            <w:pPr>
              <w:pStyle w:val="TableText"/>
              <w:spacing w:before="14" w:after="14"/>
              <w:jc w:val="center"/>
              <w:rPr>
                <w:noProof w:val="0"/>
              </w:rPr>
            </w:pPr>
            <w:r w:rsidRPr="004B2D24">
              <w:rPr>
                <w:color w:val="000000"/>
                <w:szCs w:val="24"/>
              </w:rPr>
              <w:t>36</w:t>
            </w:r>
          </w:p>
        </w:tc>
        <w:tc>
          <w:tcPr>
            <w:tcW w:w="1584" w:type="dxa"/>
            <w:vAlign w:val="bottom"/>
          </w:tcPr>
          <w:p w14:paraId="272D76F8" w14:textId="170EA92E" w:rsidR="00152C7E" w:rsidRPr="00DA0A59" w:rsidRDefault="00FF68D3" w:rsidP="001725A5">
            <w:pPr>
              <w:pStyle w:val="TableText"/>
              <w:spacing w:before="14" w:after="14"/>
              <w:ind w:right="468"/>
              <w:rPr>
                <w:szCs w:val="24"/>
              </w:rPr>
            </w:pPr>
            <w:r w:rsidRPr="00FF68D3">
              <w:rPr>
                <w:color w:val="000000"/>
                <w:szCs w:val="24"/>
              </w:rPr>
              <w:t>100</w:t>
            </w:r>
          </w:p>
        </w:tc>
        <w:tc>
          <w:tcPr>
            <w:tcW w:w="1584" w:type="dxa"/>
            <w:vAlign w:val="bottom"/>
          </w:tcPr>
          <w:p w14:paraId="1639DEDD" w14:textId="60B60D54" w:rsidR="00152C7E" w:rsidRPr="00EC5FA8" w:rsidRDefault="00FF68D3" w:rsidP="001725A5">
            <w:pPr>
              <w:pStyle w:val="TableText"/>
              <w:spacing w:before="14" w:after="14"/>
              <w:ind w:right="576"/>
              <w:rPr>
                <w:szCs w:val="24"/>
              </w:rPr>
            </w:pPr>
            <w:r w:rsidRPr="00FF68D3">
              <w:rPr>
                <w:color w:val="000000"/>
                <w:szCs w:val="24"/>
              </w:rPr>
              <w:t>3</w:t>
            </w:r>
          </w:p>
        </w:tc>
      </w:tr>
    </w:tbl>
    <w:p w14:paraId="181E6F03" w14:textId="5083499B" w:rsidR="005945CE" w:rsidRPr="00C34C12" w:rsidRDefault="005945CE" w:rsidP="005945CE">
      <w:pPr>
        <w:keepNext/>
        <w:spacing w:before="120"/>
      </w:pPr>
      <w:r w:rsidRPr="00C34C12">
        <w:lastRenderedPageBreak/>
        <w:t xml:space="preserve">The preliminary indicator conversion table is shown for high school in </w:t>
      </w:r>
      <w:r w:rsidR="001725A5" w:rsidRPr="007C431E">
        <w:rPr>
          <w:rStyle w:val="Cross-Reference"/>
        </w:rPr>
        <w:fldChar w:fldCharType="begin"/>
      </w:r>
      <w:r w:rsidR="001725A5" w:rsidRPr="007C431E">
        <w:rPr>
          <w:rStyle w:val="Cross-Reference"/>
        </w:rPr>
        <w:instrText xml:space="preserve"> REF  _Ref67056164 \* Lower \h  \* MERGEFORMAT </w:instrText>
      </w:r>
      <w:r w:rsidR="001725A5" w:rsidRPr="007C431E">
        <w:rPr>
          <w:rStyle w:val="Cross-Reference"/>
        </w:rPr>
      </w:r>
      <w:r w:rsidR="001725A5" w:rsidRPr="007C431E">
        <w:rPr>
          <w:rStyle w:val="Cross-Reference"/>
        </w:rPr>
        <w:fldChar w:fldCharType="separate"/>
      </w:r>
      <w:r w:rsidR="0074738A" w:rsidRPr="0074738A">
        <w:rPr>
          <w:rStyle w:val="Cross-Reference"/>
        </w:rPr>
        <w:t>table 6.5</w:t>
      </w:r>
      <w:r w:rsidR="001725A5" w:rsidRPr="007C431E">
        <w:rPr>
          <w:rStyle w:val="Cross-Reference"/>
        </w:rPr>
        <w:fldChar w:fldCharType="end"/>
      </w:r>
      <w:r w:rsidRPr="00C34C12">
        <w:t>. This table provides the percent-correct score and preliminary category for each possible raw score.</w:t>
      </w:r>
    </w:p>
    <w:p w14:paraId="629584F4" w14:textId="5DD2E2CC" w:rsidR="005945CE" w:rsidRPr="00C34C12" w:rsidRDefault="005945CE" w:rsidP="005945CE">
      <w:pPr>
        <w:pStyle w:val="Caption"/>
      </w:pPr>
      <w:bookmarkStart w:id="538" w:name="_Ref67056164"/>
      <w:bookmarkStart w:id="539" w:name="_Ref22225000"/>
      <w:bookmarkStart w:id="540" w:name="_Toc30414275"/>
      <w:bookmarkStart w:id="541" w:name="_Toc38901382"/>
      <w:bookmarkStart w:id="542" w:name="_Toc67319705"/>
      <w:bookmarkStart w:id="543" w:name="_Toc220498709"/>
      <w:r w:rsidRPr="00C34C12">
        <w:t xml:space="preserve">Table </w:t>
      </w:r>
      <w:r>
        <w:fldChar w:fldCharType="begin"/>
      </w:r>
      <w:r>
        <w:instrText>STYLEREF 2 \s</w:instrText>
      </w:r>
      <w:r>
        <w:fldChar w:fldCharType="separate"/>
      </w:r>
      <w:r w:rsidR="00961502">
        <w:rPr>
          <w:noProof/>
        </w:rPr>
        <w:t>6</w:t>
      </w:r>
      <w:r>
        <w:fldChar w:fldCharType="end"/>
      </w:r>
      <w:r w:rsidR="00A40753">
        <w:t>.</w:t>
      </w:r>
      <w:r>
        <w:fldChar w:fldCharType="begin"/>
      </w:r>
      <w:r>
        <w:instrText>SEQ Table \* ARABIC \s 2</w:instrText>
      </w:r>
      <w:r>
        <w:fldChar w:fldCharType="separate"/>
      </w:r>
      <w:r w:rsidR="00961502">
        <w:rPr>
          <w:noProof/>
        </w:rPr>
        <w:t>5</w:t>
      </w:r>
      <w:r>
        <w:fldChar w:fldCharType="end"/>
      </w:r>
      <w:bookmarkEnd w:id="538"/>
      <w:bookmarkEnd w:id="539"/>
      <w:r w:rsidRPr="00C34C12">
        <w:rPr>
          <w:szCs w:val="18"/>
        </w:rPr>
        <w:t xml:space="preserve">  High School Preliminary Indicator Conversion Table</w:t>
      </w:r>
      <w:bookmarkEnd w:id="540"/>
      <w:bookmarkEnd w:id="541"/>
      <w:bookmarkEnd w:id="542"/>
      <w:bookmarkEnd w:id="543"/>
    </w:p>
    <w:tbl>
      <w:tblPr>
        <w:tblStyle w:val="TRs"/>
        <w:tblW w:w="0" w:type="auto"/>
        <w:tblLayout w:type="fixed"/>
        <w:tblLook w:val="04A0" w:firstRow="1" w:lastRow="0" w:firstColumn="1" w:lastColumn="0" w:noHBand="0" w:noVBand="1"/>
        <w:tblDescription w:val="High School Preliminary Indicator Conversion Table"/>
      </w:tblPr>
      <w:tblGrid>
        <w:gridCol w:w="2448"/>
        <w:gridCol w:w="1584"/>
        <w:gridCol w:w="1584"/>
      </w:tblGrid>
      <w:tr w:rsidR="005945CE" w:rsidRPr="00C34C12" w14:paraId="4265C52A" w14:textId="77777777" w:rsidTr="003F570B">
        <w:trPr>
          <w:cnfStyle w:val="100000000000" w:firstRow="1" w:lastRow="0" w:firstColumn="0" w:lastColumn="0" w:oddVBand="0" w:evenVBand="0" w:oddHBand="0" w:evenHBand="0" w:firstRowFirstColumn="0" w:firstRowLastColumn="0" w:lastRowFirstColumn="0" w:lastRowLastColumn="0"/>
          <w:trHeight w:val="576"/>
        </w:trPr>
        <w:tc>
          <w:tcPr>
            <w:tcW w:w="2448" w:type="dxa"/>
          </w:tcPr>
          <w:p w14:paraId="1D1A6DB1" w14:textId="77777777" w:rsidR="005945CE" w:rsidRPr="00C34C12" w:rsidRDefault="005945CE" w:rsidP="003A43F8">
            <w:pPr>
              <w:pStyle w:val="TableHead"/>
              <w:rPr>
                <w:bCs w:val="0"/>
                <w:noProof w:val="0"/>
              </w:rPr>
            </w:pPr>
            <w:r w:rsidRPr="00C34C12">
              <w:rPr>
                <w:bCs w:val="0"/>
                <w:noProof w:val="0"/>
              </w:rPr>
              <w:t>Raw Score (# of points earned)</w:t>
            </w:r>
          </w:p>
        </w:tc>
        <w:tc>
          <w:tcPr>
            <w:tcW w:w="1584" w:type="dxa"/>
          </w:tcPr>
          <w:p w14:paraId="19EEEC1B" w14:textId="77777777" w:rsidR="005945CE" w:rsidRPr="00C34C12" w:rsidRDefault="005945CE" w:rsidP="003A43F8">
            <w:pPr>
              <w:pStyle w:val="TableHead"/>
              <w:rPr>
                <w:bCs w:val="0"/>
                <w:noProof w:val="0"/>
              </w:rPr>
            </w:pPr>
            <w:r w:rsidRPr="00C34C12">
              <w:rPr>
                <w:bCs w:val="0"/>
                <w:noProof w:val="0"/>
              </w:rPr>
              <w:t>Percent Correct</w:t>
            </w:r>
          </w:p>
        </w:tc>
        <w:tc>
          <w:tcPr>
            <w:tcW w:w="1584" w:type="dxa"/>
          </w:tcPr>
          <w:p w14:paraId="7DE48240" w14:textId="77777777" w:rsidR="005945CE" w:rsidRPr="00C34C12" w:rsidRDefault="005945CE" w:rsidP="003A43F8">
            <w:pPr>
              <w:pStyle w:val="TableHead"/>
              <w:rPr>
                <w:bCs w:val="0"/>
                <w:noProof w:val="0"/>
              </w:rPr>
            </w:pPr>
            <w:r w:rsidRPr="00C34C12">
              <w:rPr>
                <w:bCs w:val="0"/>
                <w:noProof w:val="0"/>
              </w:rPr>
              <w:t>Preliminary Category</w:t>
            </w:r>
          </w:p>
        </w:tc>
      </w:tr>
      <w:tr w:rsidR="00152C7E" w:rsidRPr="00C34C12" w14:paraId="597C5216" w14:textId="77777777" w:rsidTr="00EC5FA8">
        <w:trPr>
          <w:trHeight w:val="70"/>
        </w:trPr>
        <w:tc>
          <w:tcPr>
            <w:tcW w:w="0" w:type="dxa"/>
            <w:tcBorders>
              <w:top w:val="single" w:sz="4" w:space="0" w:color="auto"/>
            </w:tcBorders>
          </w:tcPr>
          <w:p w14:paraId="5549B619" w14:textId="2405835F" w:rsidR="00152C7E" w:rsidRPr="00C34C12" w:rsidRDefault="00152C7E" w:rsidP="001725A5">
            <w:pPr>
              <w:pStyle w:val="TableText"/>
              <w:spacing w:before="14" w:after="14"/>
              <w:jc w:val="center"/>
              <w:rPr>
                <w:noProof w:val="0"/>
              </w:rPr>
            </w:pPr>
            <w:r w:rsidRPr="004B2D24">
              <w:rPr>
                <w:color w:val="000000"/>
                <w:szCs w:val="24"/>
              </w:rPr>
              <w:t>0</w:t>
            </w:r>
          </w:p>
        </w:tc>
        <w:tc>
          <w:tcPr>
            <w:tcW w:w="0" w:type="dxa"/>
            <w:tcBorders>
              <w:top w:val="single" w:sz="4" w:space="0" w:color="auto"/>
            </w:tcBorders>
            <w:vAlign w:val="bottom"/>
          </w:tcPr>
          <w:p w14:paraId="07DBAEC2" w14:textId="2B43897B" w:rsidR="00152C7E" w:rsidRPr="00EC5FA8" w:rsidRDefault="00D94B5A" w:rsidP="001725A5">
            <w:pPr>
              <w:pStyle w:val="TableText"/>
              <w:spacing w:before="14" w:after="14"/>
              <w:ind w:right="468"/>
              <w:rPr>
                <w:szCs w:val="24"/>
              </w:rPr>
            </w:pPr>
            <w:r w:rsidRPr="00EC5FA8">
              <w:rPr>
                <w:color w:val="000000"/>
                <w:szCs w:val="24"/>
              </w:rPr>
              <w:t>0</w:t>
            </w:r>
          </w:p>
        </w:tc>
        <w:tc>
          <w:tcPr>
            <w:tcW w:w="0" w:type="dxa"/>
            <w:tcBorders>
              <w:top w:val="single" w:sz="4" w:space="0" w:color="auto"/>
            </w:tcBorders>
            <w:vAlign w:val="bottom"/>
          </w:tcPr>
          <w:p w14:paraId="11CBFB82" w14:textId="58FDF492" w:rsidR="00152C7E" w:rsidRPr="00DA0A59" w:rsidRDefault="00D94B5A" w:rsidP="001725A5">
            <w:pPr>
              <w:pStyle w:val="TableText"/>
              <w:spacing w:before="14" w:after="14"/>
              <w:ind w:right="576"/>
              <w:rPr>
                <w:szCs w:val="24"/>
              </w:rPr>
            </w:pPr>
            <w:r w:rsidRPr="00EE0770">
              <w:rPr>
                <w:color w:val="000000"/>
                <w:szCs w:val="24"/>
              </w:rPr>
              <w:t>1</w:t>
            </w:r>
          </w:p>
        </w:tc>
      </w:tr>
      <w:tr w:rsidR="00152C7E" w:rsidRPr="00C34C12" w14:paraId="25ADD475" w14:textId="77777777" w:rsidTr="00EC5FA8">
        <w:tc>
          <w:tcPr>
            <w:tcW w:w="0" w:type="dxa"/>
          </w:tcPr>
          <w:p w14:paraId="1166081C" w14:textId="24BB4309" w:rsidR="00152C7E" w:rsidRPr="00C34C12" w:rsidRDefault="00152C7E" w:rsidP="001725A5">
            <w:pPr>
              <w:pStyle w:val="TableText"/>
              <w:spacing w:before="14" w:after="14"/>
              <w:jc w:val="center"/>
              <w:rPr>
                <w:noProof w:val="0"/>
              </w:rPr>
            </w:pPr>
            <w:r w:rsidRPr="004B2D24">
              <w:rPr>
                <w:color w:val="000000"/>
                <w:szCs w:val="24"/>
              </w:rPr>
              <w:t>1</w:t>
            </w:r>
          </w:p>
        </w:tc>
        <w:tc>
          <w:tcPr>
            <w:tcW w:w="0" w:type="dxa"/>
            <w:vAlign w:val="bottom"/>
          </w:tcPr>
          <w:p w14:paraId="1251E627" w14:textId="219C78CE" w:rsidR="00152C7E" w:rsidRPr="00EE0770" w:rsidRDefault="00D94B5A" w:rsidP="001725A5">
            <w:pPr>
              <w:pStyle w:val="TableText"/>
              <w:spacing w:before="14" w:after="14"/>
              <w:ind w:right="468"/>
              <w:rPr>
                <w:szCs w:val="24"/>
              </w:rPr>
            </w:pPr>
            <w:r w:rsidRPr="00EE0770">
              <w:rPr>
                <w:color w:val="000000"/>
                <w:szCs w:val="24"/>
              </w:rPr>
              <w:t>3</w:t>
            </w:r>
          </w:p>
        </w:tc>
        <w:tc>
          <w:tcPr>
            <w:tcW w:w="0" w:type="dxa"/>
            <w:vAlign w:val="bottom"/>
          </w:tcPr>
          <w:p w14:paraId="6AF720AF" w14:textId="0AD342AB" w:rsidR="00152C7E" w:rsidRPr="00EC5FA8" w:rsidRDefault="00D94B5A" w:rsidP="001725A5">
            <w:pPr>
              <w:pStyle w:val="TableText"/>
              <w:spacing w:before="14" w:after="14"/>
              <w:ind w:right="576"/>
              <w:rPr>
                <w:szCs w:val="24"/>
              </w:rPr>
            </w:pPr>
            <w:r w:rsidRPr="00EE0770">
              <w:rPr>
                <w:color w:val="000000"/>
                <w:szCs w:val="24"/>
              </w:rPr>
              <w:t>1</w:t>
            </w:r>
          </w:p>
        </w:tc>
      </w:tr>
      <w:tr w:rsidR="00152C7E" w:rsidRPr="00C34C12" w14:paraId="43A66FF7" w14:textId="77777777" w:rsidTr="00EC5FA8">
        <w:tc>
          <w:tcPr>
            <w:tcW w:w="0" w:type="dxa"/>
          </w:tcPr>
          <w:p w14:paraId="18BC6226" w14:textId="2B75DB40" w:rsidR="00152C7E" w:rsidRPr="00C34C12" w:rsidRDefault="00152C7E" w:rsidP="001725A5">
            <w:pPr>
              <w:pStyle w:val="TableText"/>
              <w:spacing w:before="14" w:after="14"/>
              <w:jc w:val="center"/>
              <w:rPr>
                <w:noProof w:val="0"/>
              </w:rPr>
            </w:pPr>
            <w:r w:rsidRPr="004B2D24">
              <w:rPr>
                <w:color w:val="000000"/>
                <w:szCs w:val="24"/>
              </w:rPr>
              <w:t>2</w:t>
            </w:r>
          </w:p>
        </w:tc>
        <w:tc>
          <w:tcPr>
            <w:tcW w:w="0" w:type="dxa"/>
            <w:vAlign w:val="bottom"/>
          </w:tcPr>
          <w:p w14:paraId="0E0E16E3" w14:textId="65B146B4" w:rsidR="00152C7E" w:rsidRPr="00EC5FA8" w:rsidRDefault="00D94B5A" w:rsidP="001725A5">
            <w:pPr>
              <w:pStyle w:val="TableText"/>
              <w:spacing w:before="14" w:after="14"/>
              <w:ind w:right="468"/>
              <w:rPr>
                <w:szCs w:val="24"/>
              </w:rPr>
            </w:pPr>
            <w:r w:rsidRPr="00EC5FA8">
              <w:rPr>
                <w:color w:val="000000"/>
                <w:szCs w:val="24"/>
              </w:rPr>
              <w:t>6</w:t>
            </w:r>
          </w:p>
        </w:tc>
        <w:tc>
          <w:tcPr>
            <w:tcW w:w="0" w:type="dxa"/>
            <w:vAlign w:val="bottom"/>
          </w:tcPr>
          <w:p w14:paraId="4D90B617" w14:textId="5CF24427" w:rsidR="00152C7E" w:rsidRPr="00143FC3" w:rsidRDefault="00D94B5A" w:rsidP="001725A5">
            <w:pPr>
              <w:pStyle w:val="TableText"/>
              <w:spacing w:before="14" w:after="14"/>
              <w:ind w:right="576"/>
              <w:rPr>
                <w:szCs w:val="24"/>
              </w:rPr>
            </w:pPr>
            <w:r w:rsidRPr="00143FC3">
              <w:rPr>
                <w:color w:val="000000"/>
                <w:szCs w:val="24"/>
              </w:rPr>
              <w:t>1</w:t>
            </w:r>
          </w:p>
        </w:tc>
      </w:tr>
      <w:tr w:rsidR="00152C7E" w:rsidRPr="00C34C12" w14:paraId="5D8BE6EE" w14:textId="77777777" w:rsidTr="00EC5FA8">
        <w:tc>
          <w:tcPr>
            <w:tcW w:w="0" w:type="dxa"/>
          </w:tcPr>
          <w:p w14:paraId="632227E0" w14:textId="1A19FB18" w:rsidR="00152C7E" w:rsidRPr="00C34C12" w:rsidRDefault="00152C7E" w:rsidP="001725A5">
            <w:pPr>
              <w:pStyle w:val="TableText"/>
              <w:spacing w:before="14" w:after="14"/>
              <w:jc w:val="center"/>
              <w:rPr>
                <w:noProof w:val="0"/>
              </w:rPr>
            </w:pPr>
            <w:r w:rsidRPr="004B2D24">
              <w:rPr>
                <w:color w:val="000000"/>
                <w:szCs w:val="24"/>
              </w:rPr>
              <w:t>3</w:t>
            </w:r>
          </w:p>
        </w:tc>
        <w:tc>
          <w:tcPr>
            <w:tcW w:w="0" w:type="dxa"/>
            <w:vAlign w:val="bottom"/>
          </w:tcPr>
          <w:p w14:paraId="3060B1B7" w14:textId="552D6110" w:rsidR="00152C7E" w:rsidRPr="00EC5FA8" w:rsidRDefault="00D94B5A" w:rsidP="001725A5">
            <w:pPr>
              <w:pStyle w:val="TableText"/>
              <w:spacing w:before="14" w:after="14"/>
              <w:ind w:right="468"/>
              <w:rPr>
                <w:szCs w:val="24"/>
              </w:rPr>
            </w:pPr>
            <w:r w:rsidRPr="00EE0770">
              <w:rPr>
                <w:color w:val="000000"/>
                <w:szCs w:val="24"/>
              </w:rPr>
              <w:t>8</w:t>
            </w:r>
          </w:p>
        </w:tc>
        <w:tc>
          <w:tcPr>
            <w:tcW w:w="0" w:type="dxa"/>
            <w:vAlign w:val="bottom"/>
          </w:tcPr>
          <w:p w14:paraId="088E7E32" w14:textId="48F174EF" w:rsidR="00152C7E" w:rsidRPr="00EE0770" w:rsidRDefault="00D94B5A" w:rsidP="001725A5">
            <w:pPr>
              <w:pStyle w:val="TableText"/>
              <w:spacing w:before="14" w:after="14"/>
              <w:ind w:right="576"/>
              <w:rPr>
                <w:szCs w:val="24"/>
              </w:rPr>
            </w:pPr>
            <w:r w:rsidRPr="00EE0770">
              <w:rPr>
                <w:color w:val="000000"/>
                <w:szCs w:val="24"/>
              </w:rPr>
              <w:t>1</w:t>
            </w:r>
          </w:p>
        </w:tc>
      </w:tr>
      <w:tr w:rsidR="00152C7E" w:rsidRPr="00C34C12" w14:paraId="30A0DC4E" w14:textId="77777777" w:rsidTr="00EC5FA8">
        <w:trPr>
          <w:trHeight w:val="80"/>
        </w:trPr>
        <w:tc>
          <w:tcPr>
            <w:tcW w:w="0" w:type="dxa"/>
          </w:tcPr>
          <w:p w14:paraId="5B271D17" w14:textId="40AFC391" w:rsidR="00152C7E" w:rsidRPr="00C34C12" w:rsidRDefault="00152C7E" w:rsidP="001725A5">
            <w:pPr>
              <w:pStyle w:val="TableText"/>
              <w:spacing w:before="14" w:after="14"/>
              <w:jc w:val="center"/>
              <w:rPr>
                <w:noProof w:val="0"/>
              </w:rPr>
            </w:pPr>
            <w:r w:rsidRPr="004B2D24">
              <w:rPr>
                <w:color w:val="000000"/>
                <w:szCs w:val="24"/>
              </w:rPr>
              <w:t>4</w:t>
            </w:r>
          </w:p>
        </w:tc>
        <w:tc>
          <w:tcPr>
            <w:tcW w:w="0" w:type="dxa"/>
            <w:vAlign w:val="bottom"/>
          </w:tcPr>
          <w:p w14:paraId="0693D307" w14:textId="721FD1A8" w:rsidR="00152C7E" w:rsidRPr="00EC5FA8" w:rsidRDefault="00D94B5A" w:rsidP="001725A5">
            <w:pPr>
              <w:pStyle w:val="TableText"/>
              <w:spacing w:before="14" w:after="14"/>
              <w:ind w:right="468"/>
              <w:rPr>
                <w:szCs w:val="24"/>
              </w:rPr>
            </w:pPr>
            <w:r w:rsidRPr="00EC5FA8">
              <w:rPr>
                <w:color w:val="000000"/>
                <w:szCs w:val="24"/>
              </w:rPr>
              <w:t>11</w:t>
            </w:r>
          </w:p>
        </w:tc>
        <w:tc>
          <w:tcPr>
            <w:tcW w:w="0" w:type="dxa"/>
            <w:vAlign w:val="bottom"/>
          </w:tcPr>
          <w:p w14:paraId="70135495" w14:textId="49BB1C42" w:rsidR="00152C7E" w:rsidRPr="00EC5FA8" w:rsidRDefault="00D94B5A" w:rsidP="001725A5">
            <w:pPr>
              <w:pStyle w:val="TableText"/>
              <w:spacing w:before="14" w:after="14"/>
              <w:ind w:right="576"/>
              <w:rPr>
                <w:szCs w:val="24"/>
              </w:rPr>
            </w:pPr>
            <w:r w:rsidRPr="00EE0770">
              <w:rPr>
                <w:color w:val="000000"/>
                <w:szCs w:val="24"/>
              </w:rPr>
              <w:t>1</w:t>
            </w:r>
          </w:p>
        </w:tc>
      </w:tr>
      <w:tr w:rsidR="00152C7E" w:rsidRPr="00C34C12" w14:paraId="171BB5A7" w14:textId="77777777" w:rsidTr="00EC5FA8">
        <w:trPr>
          <w:trHeight w:val="80"/>
        </w:trPr>
        <w:tc>
          <w:tcPr>
            <w:tcW w:w="0" w:type="dxa"/>
          </w:tcPr>
          <w:p w14:paraId="26305FB3" w14:textId="37824C08" w:rsidR="00152C7E" w:rsidRPr="00C34C12" w:rsidRDefault="00152C7E" w:rsidP="001725A5">
            <w:pPr>
              <w:pStyle w:val="TableText"/>
              <w:spacing w:before="14" w:after="14"/>
              <w:jc w:val="center"/>
              <w:rPr>
                <w:noProof w:val="0"/>
              </w:rPr>
            </w:pPr>
            <w:r w:rsidRPr="004B2D24">
              <w:rPr>
                <w:color w:val="000000"/>
                <w:szCs w:val="24"/>
              </w:rPr>
              <w:t>5</w:t>
            </w:r>
          </w:p>
        </w:tc>
        <w:tc>
          <w:tcPr>
            <w:tcW w:w="0" w:type="dxa"/>
            <w:vAlign w:val="bottom"/>
          </w:tcPr>
          <w:p w14:paraId="28D414D2" w14:textId="2A37DE21" w:rsidR="00152C7E" w:rsidRPr="00EE0770" w:rsidRDefault="00D94B5A" w:rsidP="001725A5">
            <w:pPr>
              <w:pStyle w:val="TableText"/>
              <w:spacing w:before="14" w:after="14"/>
              <w:ind w:right="468"/>
              <w:rPr>
                <w:szCs w:val="24"/>
              </w:rPr>
            </w:pPr>
            <w:r w:rsidRPr="00143FC3">
              <w:rPr>
                <w:color w:val="000000"/>
                <w:szCs w:val="24"/>
              </w:rPr>
              <w:t>14</w:t>
            </w:r>
          </w:p>
        </w:tc>
        <w:tc>
          <w:tcPr>
            <w:tcW w:w="0" w:type="dxa"/>
            <w:vAlign w:val="bottom"/>
          </w:tcPr>
          <w:p w14:paraId="6B2F7801" w14:textId="3C515CC6" w:rsidR="00152C7E" w:rsidRPr="00EE0770" w:rsidRDefault="00D94B5A" w:rsidP="001725A5">
            <w:pPr>
              <w:pStyle w:val="TableText"/>
              <w:spacing w:before="14" w:after="14"/>
              <w:ind w:right="576"/>
              <w:rPr>
                <w:szCs w:val="24"/>
              </w:rPr>
            </w:pPr>
            <w:r w:rsidRPr="00EE0770">
              <w:rPr>
                <w:color w:val="000000"/>
                <w:szCs w:val="24"/>
              </w:rPr>
              <w:t>1</w:t>
            </w:r>
          </w:p>
        </w:tc>
      </w:tr>
      <w:tr w:rsidR="00152C7E" w:rsidRPr="00C34C12" w14:paraId="45831D2B" w14:textId="77777777" w:rsidTr="00EC5FA8">
        <w:trPr>
          <w:trHeight w:val="80"/>
        </w:trPr>
        <w:tc>
          <w:tcPr>
            <w:tcW w:w="0" w:type="dxa"/>
          </w:tcPr>
          <w:p w14:paraId="1D1481BD" w14:textId="2B60A7C1" w:rsidR="00152C7E" w:rsidRPr="00C34C12" w:rsidRDefault="00152C7E" w:rsidP="001725A5">
            <w:pPr>
              <w:pStyle w:val="TableText"/>
              <w:spacing w:before="14" w:after="14"/>
              <w:jc w:val="center"/>
              <w:rPr>
                <w:noProof w:val="0"/>
              </w:rPr>
            </w:pPr>
            <w:r w:rsidRPr="004B2D24">
              <w:rPr>
                <w:color w:val="000000"/>
                <w:szCs w:val="24"/>
              </w:rPr>
              <w:t>6</w:t>
            </w:r>
          </w:p>
        </w:tc>
        <w:tc>
          <w:tcPr>
            <w:tcW w:w="0" w:type="dxa"/>
            <w:vAlign w:val="bottom"/>
          </w:tcPr>
          <w:p w14:paraId="36C200BC" w14:textId="1860E808" w:rsidR="00152C7E" w:rsidRPr="00EC5FA8" w:rsidRDefault="00D94B5A" w:rsidP="001725A5">
            <w:pPr>
              <w:pStyle w:val="TableText"/>
              <w:spacing w:before="14" w:after="14"/>
              <w:ind w:right="468"/>
              <w:rPr>
                <w:szCs w:val="24"/>
              </w:rPr>
            </w:pPr>
            <w:r w:rsidRPr="00EC5FA8">
              <w:rPr>
                <w:color w:val="000000"/>
                <w:szCs w:val="24"/>
              </w:rPr>
              <w:t>17</w:t>
            </w:r>
          </w:p>
        </w:tc>
        <w:tc>
          <w:tcPr>
            <w:tcW w:w="0" w:type="dxa"/>
            <w:vAlign w:val="bottom"/>
          </w:tcPr>
          <w:p w14:paraId="4BA2F44D" w14:textId="58B2350D" w:rsidR="00152C7E" w:rsidRPr="00EC5FA8" w:rsidRDefault="00D94B5A" w:rsidP="001725A5">
            <w:pPr>
              <w:pStyle w:val="TableText"/>
              <w:spacing w:before="14" w:after="14"/>
              <w:ind w:right="576"/>
              <w:rPr>
                <w:szCs w:val="24"/>
              </w:rPr>
            </w:pPr>
            <w:r w:rsidRPr="00EE0770">
              <w:rPr>
                <w:color w:val="000000"/>
                <w:szCs w:val="24"/>
              </w:rPr>
              <w:t>1</w:t>
            </w:r>
          </w:p>
        </w:tc>
      </w:tr>
      <w:tr w:rsidR="00152C7E" w:rsidRPr="00C34C12" w14:paraId="5B8223AC" w14:textId="77777777" w:rsidTr="00EC5FA8">
        <w:trPr>
          <w:trHeight w:val="80"/>
        </w:trPr>
        <w:tc>
          <w:tcPr>
            <w:tcW w:w="0" w:type="dxa"/>
          </w:tcPr>
          <w:p w14:paraId="5202C360" w14:textId="449C342A" w:rsidR="00152C7E" w:rsidRPr="00C34C12" w:rsidRDefault="00152C7E" w:rsidP="001725A5">
            <w:pPr>
              <w:pStyle w:val="TableText"/>
              <w:spacing w:before="14" w:after="14"/>
              <w:jc w:val="center"/>
              <w:rPr>
                <w:noProof w:val="0"/>
              </w:rPr>
            </w:pPr>
            <w:r w:rsidRPr="004B2D24">
              <w:rPr>
                <w:color w:val="000000"/>
                <w:szCs w:val="24"/>
              </w:rPr>
              <w:t>7</w:t>
            </w:r>
          </w:p>
        </w:tc>
        <w:tc>
          <w:tcPr>
            <w:tcW w:w="0" w:type="dxa"/>
            <w:vAlign w:val="bottom"/>
          </w:tcPr>
          <w:p w14:paraId="4F0E2206" w14:textId="47AA0BC3" w:rsidR="00152C7E" w:rsidRPr="00EC5FA8" w:rsidRDefault="00D94B5A" w:rsidP="001725A5">
            <w:pPr>
              <w:pStyle w:val="TableText"/>
              <w:spacing w:before="14" w:after="14"/>
              <w:ind w:right="468"/>
              <w:rPr>
                <w:szCs w:val="24"/>
              </w:rPr>
            </w:pPr>
            <w:r w:rsidRPr="00143FC3">
              <w:rPr>
                <w:color w:val="000000"/>
                <w:szCs w:val="24"/>
              </w:rPr>
              <w:t>19</w:t>
            </w:r>
          </w:p>
        </w:tc>
        <w:tc>
          <w:tcPr>
            <w:tcW w:w="0" w:type="dxa"/>
            <w:vAlign w:val="bottom"/>
          </w:tcPr>
          <w:p w14:paraId="6C3C2C73" w14:textId="61922216" w:rsidR="00152C7E" w:rsidRPr="00EC5FA8" w:rsidRDefault="00D94B5A" w:rsidP="001725A5">
            <w:pPr>
              <w:pStyle w:val="TableText"/>
              <w:spacing w:before="14" w:after="14"/>
              <w:ind w:right="576"/>
              <w:rPr>
                <w:szCs w:val="24"/>
              </w:rPr>
            </w:pPr>
            <w:r w:rsidRPr="00EC5FA8">
              <w:rPr>
                <w:color w:val="000000"/>
                <w:szCs w:val="24"/>
              </w:rPr>
              <w:t>1</w:t>
            </w:r>
          </w:p>
        </w:tc>
      </w:tr>
      <w:tr w:rsidR="00152C7E" w:rsidRPr="00C34C12" w14:paraId="3AC6029E" w14:textId="77777777" w:rsidTr="00EC5FA8">
        <w:trPr>
          <w:trHeight w:val="80"/>
        </w:trPr>
        <w:tc>
          <w:tcPr>
            <w:tcW w:w="0" w:type="dxa"/>
          </w:tcPr>
          <w:p w14:paraId="2A9F6CE8" w14:textId="74D8FA5B" w:rsidR="00152C7E" w:rsidRPr="00C34C12" w:rsidRDefault="00152C7E" w:rsidP="001725A5">
            <w:pPr>
              <w:pStyle w:val="TableText"/>
              <w:spacing w:before="14" w:after="14"/>
              <w:jc w:val="center"/>
              <w:rPr>
                <w:noProof w:val="0"/>
              </w:rPr>
            </w:pPr>
            <w:r w:rsidRPr="004B2D24">
              <w:rPr>
                <w:color w:val="000000"/>
                <w:szCs w:val="24"/>
              </w:rPr>
              <w:t>8</w:t>
            </w:r>
          </w:p>
        </w:tc>
        <w:tc>
          <w:tcPr>
            <w:tcW w:w="0" w:type="dxa"/>
            <w:vAlign w:val="bottom"/>
          </w:tcPr>
          <w:p w14:paraId="4121B794" w14:textId="3E329590" w:rsidR="00152C7E" w:rsidRPr="00EC5FA8" w:rsidRDefault="00D94B5A" w:rsidP="001725A5">
            <w:pPr>
              <w:pStyle w:val="TableText"/>
              <w:spacing w:before="14" w:after="14"/>
              <w:ind w:right="468"/>
              <w:rPr>
                <w:szCs w:val="24"/>
              </w:rPr>
            </w:pPr>
            <w:r w:rsidRPr="00EC5FA8">
              <w:rPr>
                <w:color w:val="000000"/>
                <w:szCs w:val="24"/>
              </w:rPr>
              <w:t>22</w:t>
            </w:r>
          </w:p>
        </w:tc>
        <w:tc>
          <w:tcPr>
            <w:tcW w:w="0" w:type="dxa"/>
            <w:vAlign w:val="bottom"/>
          </w:tcPr>
          <w:p w14:paraId="458C848E" w14:textId="35A07A8C" w:rsidR="00152C7E" w:rsidRPr="00EC5FA8" w:rsidRDefault="00D94B5A" w:rsidP="001725A5">
            <w:pPr>
              <w:pStyle w:val="TableText"/>
              <w:spacing w:before="14" w:after="14"/>
              <w:ind w:right="576"/>
              <w:rPr>
                <w:szCs w:val="24"/>
              </w:rPr>
            </w:pPr>
            <w:r w:rsidRPr="00EC5FA8">
              <w:rPr>
                <w:color w:val="000000"/>
                <w:szCs w:val="24"/>
              </w:rPr>
              <w:t>1</w:t>
            </w:r>
          </w:p>
        </w:tc>
      </w:tr>
      <w:tr w:rsidR="00152C7E" w:rsidRPr="00C34C12" w14:paraId="6B177E11" w14:textId="77777777" w:rsidTr="00EC5FA8">
        <w:trPr>
          <w:trHeight w:val="80"/>
        </w:trPr>
        <w:tc>
          <w:tcPr>
            <w:tcW w:w="0" w:type="dxa"/>
          </w:tcPr>
          <w:p w14:paraId="595F48BB" w14:textId="1AF8E3B1" w:rsidR="00152C7E" w:rsidRPr="00C34C12" w:rsidRDefault="00152C7E" w:rsidP="001725A5">
            <w:pPr>
              <w:pStyle w:val="TableText"/>
              <w:spacing w:before="14" w:after="14"/>
              <w:jc w:val="center"/>
              <w:rPr>
                <w:noProof w:val="0"/>
              </w:rPr>
            </w:pPr>
            <w:r w:rsidRPr="004B2D24">
              <w:rPr>
                <w:color w:val="000000"/>
                <w:szCs w:val="24"/>
              </w:rPr>
              <w:t>9</w:t>
            </w:r>
          </w:p>
        </w:tc>
        <w:tc>
          <w:tcPr>
            <w:tcW w:w="0" w:type="dxa"/>
            <w:vAlign w:val="bottom"/>
          </w:tcPr>
          <w:p w14:paraId="377605E6" w14:textId="688A2067" w:rsidR="00152C7E" w:rsidRPr="00EC5FA8" w:rsidRDefault="00D94B5A" w:rsidP="001725A5">
            <w:pPr>
              <w:pStyle w:val="TableText"/>
              <w:spacing w:before="14" w:after="14"/>
              <w:ind w:right="468"/>
              <w:rPr>
                <w:szCs w:val="24"/>
              </w:rPr>
            </w:pPr>
            <w:r w:rsidRPr="00143FC3">
              <w:rPr>
                <w:color w:val="000000"/>
                <w:szCs w:val="24"/>
              </w:rPr>
              <w:t>25</w:t>
            </w:r>
          </w:p>
        </w:tc>
        <w:tc>
          <w:tcPr>
            <w:tcW w:w="0" w:type="dxa"/>
            <w:vAlign w:val="bottom"/>
          </w:tcPr>
          <w:p w14:paraId="45CD2BD6" w14:textId="1609FD91" w:rsidR="00152C7E" w:rsidRPr="00EC5FA8" w:rsidRDefault="00D94B5A" w:rsidP="001725A5">
            <w:pPr>
              <w:pStyle w:val="TableText"/>
              <w:spacing w:before="14" w:after="14"/>
              <w:ind w:right="576"/>
              <w:rPr>
                <w:szCs w:val="24"/>
              </w:rPr>
            </w:pPr>
            <w:r w:rsidRPr="00EE0770">
              <w:rPr>
                <w:color w:val="000000"/>
                <w:szCs w:val="24"/>
              </w:rPr>
              <w:t>1</w:t>
            </w:r>
          </w:p>
        </w:tc>
      </w:tr>
      <w:tr w:rsidR="00152C7E" w:rsidRPr="00C34C12" w14:paraId="37CB307B" w14:textId="77777777" w:rsidTr="00EC5FA8">
        <w:trPr>
          <w:trHeight w:val="80"/>
        </w:trPr>
        <w:tc>
          <w:tcPr>
            <w:tcW w:w="0" w:type="dxa"/>
          </w:tcPr>
          <w:p w14:paraId="7F4C3D65" w14:textId="7CBF95F6" w:rsidR="00152C7E" w:rsidRPr="00C34C12" w:rsidRDefault="00152C7E" w:rsidP="001725A5">
            <w:pPr>
              <w:pStyle w:val="TableText"/>
              <w:spacing w:before="14" w:after="14"/>
              <w:jc w:val="center"/>
              <w:rPr>
                <w:noProof w:val="0"/>
              </w:rPr>
            </w:pPr>
            <w:r w:rsidRPr="004B2D24">
              <w:rPr>
                <w:color w:val="000000"/>
                <w:szCs w:val="24"/>
              </w:rPr>
              <w:t>10</w:t>
            </w:r>
          </w:p>
        </w:tc>
        <w:tc>
          <w:tcPr>
            <w:tcW w:w="0" w:type="dxa"/>
            <w:vAlign w:val="bottom"/>
          </w:tcPr>
          <w:p w14:paraId="2ADC4933" w14:textId="1851579B" w:rsidR="00152C7E" w:rsidRPr="00EC5FA8" w:rsidRDefault="00D94B5A" w:rsidP="001725A5">
            <w:pPr>
              <w:pStyle w:val="TableText"/>
              <w:spacing w:before="14" w:after="14"/>
              <w:ind w:right="468"/>
              <w:rPr>
                <w:szCs w:val="24"/>
              </w:rPr>
            </w:pPr>
            <w:r w:rsidRPr="00EC5FA8">
              <w:rPr>
                <w:color w:val="000000"/>
                <w:szCs w:val="24"/>
              </w:rPr>
              <w:t>28</w:t>
            </w:r>
          </w:p>
        </w:tc>
        <w:tc>
          <w:tcPr>
            <w:tcW w:w="0" w:type="dxa"/>
            <w:vAlign w:val="bottom"/>
          </w:tcPr>
          <w:p w14:paraId="5FF0E698" w14:textId="039A8411" w:rsidR="00152C7E" w:rsidRPr="00EC5FA8" w:rsidRDefault="00D94B5A" w:rsidP="001725A5">
            <w:pPr>
              <w:pStyle w:val="TableText"/>
              <w:spacing w:before="14" w:after="14"/>
              <w:ind w:right="576"/>
              <w:rPr>
                <w:szCs w:val="24"/>
              </w:rPr>
            </w:pPr>
            <w:r w:rsidRPr="00143FC3">
              <w:rPr>
                <w:color w:val="000000"/>
                <w:szCs w:val="24"/>
              </w:rPr>
              <w:t>1</w:t>
            </w:r>
          </w:p>
        </w:tc>
      </w:tr>
      <w:tr w:rsidR="00152C7E" w:rsidRPr="00C34C12" w14:paraId="3C74BEF5" w14:textId="77777777" w:rsidTr="00EC5FA8">
        <w:trPr>
          <w:trHeight w:val="80"/>
        </w:trPr>
        <w:tc>
          <w:tcPr>
            <w:tcW w:w="0" w:type="dxa"/>
          </w:tcPr>
          <w:p w14:paraId="090FC1AB" w14:textId="6390BD3E" w:rsidR="00152C7E" w:rsidRPr="00C34C12" w:rsidRDefault="00152C7E" w:rsidP="001725A5">
            <w:pPr>
              <w:pStyle w:val="TableText"/>
              <w:spacing w:before="14" w:after="14"/>
              <w:jc w:val="center"/>
              <w:rPr>
                <w:noProof w:val="0"/>
              </w:rPr>
            </w:pPr>
            <w:r w:rsidRPr="004B2D24">
              <w:rPr>
                <w:color w:val="000000"/>
                <w:szCs w:val="24"/>
              </w:rPr>
              <w:t>11</w:t>
            </w:r>
          </w:p>
        </w:tc>
        <w:tc>
          <w:tcPr>
            <w:tcW w:w="0" w:type="dxa"/>
            <w:vAlign w:val="bottom"/>
          </w:tcPr>
          <w:p w14:paraId="3C856E93" w14:textId="59C940D6" w:rsidR="00152C7E" w:rsidRPr="00EC5FA8" w:rsidRDefault="00D94B5A" w:rsidP="001725A5">
            <w:pPr>
              <w:pStyle w:val="TableText"/>
              <w:spacing w:before="14" w:after="14"/>
              <w:ind w:right="468"/>
              <w:rPr>
                <w:szCs w:val="24"/>
              </w:rPr>
            </w:pPr>
            <w:r w:rsidRPr="00EC5FA8">
              <w:rPr>
                <w:color w:val="000000"/>
                <w:szCs w:val="24"/>
              </w:rPr>
              <w:t>31</w:t>
            </w:r>
          </w:p>
        </w:tc>
        <w:tc>
          <w:tcPr>
            <w:tcW w:w="0" w:type="dxa"/>
            <w:vAlign w:val="bottom"/>
          </w:tcPr>
          <w:p w14:paraId="65EFD2BE" w14:textId="18C94895" w:rsidR="00152C7E" w:rsidRPr="00EC5FA8" w:rsidRDefault="00D94B5A" w:rsidP="001725A5">
            <w:pPr>
              <w:pStyle w:val="TableText"/>
              <w:spacing w:before="14" w:after="14"/>
              <w:ind w:right="576"/>
              <w:rPr>
                <w:szCs w:val="24"/>
              </w:rPr>
            </w:pPr>
            <w:r w:rsidRPr="00EC5FA8">
              <w:rPr>
                <w:color w:val="000000"/>
                <w:szCs w:val="24"/>
              </w:rPr>
              <w:t>1</w:t>
            </w:r>
          </w:p>
        </w:tc>
      </w:tr>
      <w:tr w:rsidR="00152C7E" w:rsidRPr="00C34C12" w14:paraId="70A41304" w14:textId="77777777" w:rsidTr="00EC5FA8">
        <w:trPr>
          <w:trHeight w:val="80"/>
        </w:trPr>
        <w:tc>
          <w:tcPr>
            <w:tcW w:w="0" w:type="dxa"/>
          </w:tcPr>
          <w:p w14:paraId="65CE811D" w14:textId="56866B07" w:rsidR="00152C7E" w:rsidRPr="00C34C12" w:rsidRDefault="00152C7E" w:rsidP="001725A5">
            <w:pPr>
              <w:pStyle w:val="TableText"/>
              <w:spacing w:before="14" w:after="14"/>
              <w:jc w:val="center"/>
              <w:rPr>
                <w:noProof w:val="0"/>
              </w:rPr>
            </w:pPr>
            <w:r w:rsidRPr="004B2D24">
              <w:rPr>
                <w:color w:val="000000"/>
                <w:szCs w:val="24"/>
              </w:rPr>
              <w:t>12</w:t>
            </w:r>
          </w:p>
        </w:tc>
        <w:tc>
          <w:tcPr>
            <w:tcW w:w="0" w:type="dxa"/>
            <w:vAlign w:val="bottom"/>
          </w:tcPr>
          <w:p w14:paraId="3E3C13A5" w14:textId="7CF232C0" w:rsidR="00152C7E" w:rsidRPr="00EC5FA8" w:rsidRDefault="00D94B5A" w:rsidP="001725A5">
            <w:pPr>
              <w:pStyle w:val="TableText"/>
              <w:spacing w:before="14" w:after="14"/>
              <w:ind w:right="468"/>
              <w:rPr>
                <w:szCs w:val="24"/>
              </w:rPr>
            </w:pPr>
            <w:r w:rsidRPr="00EC5FA8">
              <w:rPr>
                <w:color w:val="000000"/>
                <w:szCs w:val="24"/>
              </w:rPr>
              <w:t>33</w:t>
            </w:r>
          </w:p>
        </w:tc>
        <w:tc>
          <w:tcPr>
            <w:tcW w:w="0" w:type="dxa"/>
            <w:vAlign w:val="bottom"/>
          </w:tcPr>
          <w:p w14:paraId="21CA802D" w14:textId="7291D98C" w:rsidR="00152C7E" w:rsidRPr="00EC5FA8" w:rsidRDefault="00D94B5A" w:rsidP="001725A5">
            <w:pPr>
              <w:pStyle w:val="TableText"/>
              <w:spacing w:before="14" w:after="14"/>
              <w:ind w:right="576"/>
              <w:rPr>
                <w:szCs w:val="24"/>
              </w:rPr>
            </w:pPr>
            <w:r w:rsidRPr="00EC5FA8">
              <w:rPr>
                <w:color w:val="000000"/>
                <w:szCs w:val="24"/>
              </w:rPr>
              <w:t>2</w:t>
            </w:r>
          </w:p>
        </w:tc>
      </w:tr>
      <w:tr w:rsidR="00152C7E" w:rsidRPr="00C34C12" w14:paraId="5EF3BB50" w14:textId="77777777" w:rsidTr="00EC5FA8">
        <w:trPr>
          <w:trHeight w:val="80"/>
        </w:trPr>
        <w:tc>
          <w:tcPr>
            <w:tcW w:w="0" w:type="dxa"/>
          </w:tcPr>
          <w:p w14:paraId="617A6408" w14:textId="7A0E5855" w:rsidR="00152C7E" w:rsidRPr="00C34C12" w:rsidRDefault="00152C7E" w:rsidP="001725A5">
            <w:pPr>
              <w:pStyle w:val="TableText"/>
              <w:spacing w:before="14" w:after="14"/>
              <w:jc w:val="center"/>
              <w:rPr>
                <w:noProof w:val="0"/>
              </w:rPr>
            </w:pPr>
            <w:r w:rsidRPr="004B2D24">
              <w:rPr>
                <w:color w:val="000000"/>
                <w:szCs w:val="24"/>
              </w:rPr>
              <w:t>13</w:t>
            </w:r>
          </w:p>
        </w:tc>
        <w:tc>
          <w:tcPr>
            <w:tcW w:w="0" w:type="dxa"/>
            <w:vAlign w:val="bottom"/>
          </w:tcPr>
          <w:p w14:paraId="2F5C702F" w14:textId="6053BBFB" w:rsidR="00152C7E" w:rsidRPr="00EC5FA8" w:rsidRDefault="00D94B5A" w:rsidP="001725A5">
            <w:pPr>
              <w:pStyle w:val="TableText"/>
              <w:spacing w:before="14" w:after="14"/>
              <w:ind w:right="468"/>
              <w:rPr>
                <w:szCs w:val="24"/>
              </w:rPr>
            </w:pPr>
            <w:r w:rsidRPr="00EE0770">
              <w:rPr>
                <w:color w:val="000000"/>
                <w:szCs w:val="24"/>
              </w:rPr>
              <w:t>36</w:t>
            </w:r>
          </w:p>
        </w:tc>
        <w:tc>
          <w:tcPr>
            <w:tcW w:w="0" w:type="dxa"/>
            <w:vAlign w:val="bottom"/>
          </w:tcPr>
          <w:p w14:paraId="0848766C" w14:textId="075F6A39" w:rsidR="00152C7E" w:rsidRPr="00EC5FA8" w:rsidRDefault="00D94B5A" w:rsidP="001725A5">
            <w:pPr>
              <w:pStyle w:val="TableText"/>
              <w:spacing w:before="14" w:after="14"/>
              <w:ind w:right="576"/>
              <w:rPr>
                <w:szCs w:val="24"/>
              </w:rPr>
            </w:pPr>
            <w:r w:rsidRPr="00143FC3">
              <w:rPr>
                <w:color w:val="000000"/>
                <w:szCs w:val="24"/>
              </w:rPr>
              <w:t>2</w:t>
            </w:r>
          </w:p>
        </w:tc>
      </w:tr>
      <w:tr w:rsidR="00152C7E" w:rsidRPr="00C34C12" w14:paraId="5C614AB7" w14:textId="77777777" w:rsidTr="00EC5FA8">
        <w:trPr>
          <w:trHeight w:val="80"/>
        </w:trPr>
        <w:tc>
          <w:tcPr>
            <w:tcW w:w="0" w:type="dxa"/>
          </w:tcPr>
          <w:p w14:paraId="4765E11A" w14:textId="53920F13" w:rsidR="00152C7E" w:rsidRPr="00C34C12" w:rsidRDefault="00152C7E" w:rsidP="001725A5">
            <w:pPr>
              <w:pStyle w:val="TableText"/>
              <w:spacing w:before="14" w:after="14"/>
              <w:jc w:val="center"/>
              <w:rPr>
                <w:noProof w:val="0"/>
              </w:rPr>
            </w:pPr>
            <w:r w:rsidRPr="004B2D24">
              <w:rPr>
                <w:color w:val="000000"/>
                <w:szCs w:val="24"/>
              </w:rPr>
              <w:t>14</w:t>
            </w:r>
          </w:p>
        </w:tc>
        <w:tc>
          <w:tcPr>
            <w:tcW w:w="0" w:type="dxa"/>
            <w:vAlign w:val="bottom"/>
          </w:tcPr>
          <w:p w14:paraId="2A7971A5" w14:textId="727ABE9B" w:rsidR="00152C7E" w:rsidRPr="00143FC3" w:rsidRDefault="00D94B5A" w:rsidP="001725A5">
            <w:pPr>
              <w:pStyle w:val="TableText"/>
              <w:spacing w:before="14" w:after="14"/>
              <w:ind w:right="468"/>
              <w:rPr>
                <w:szCs w:val="24"/>
              </w:rPr>
            </w:pPr>
            <w:r w:rsidRPr="00143FC3">
              <w:rPr>
                <w:color w:val="000000"/>
                <w:szCs w:val="24"/>
              </w:rPr>
              <w:t>39</w:t>
            </w:r>
          </w:p>
        </w:tc>
        <w:tc>
          <w:tcPr>
            <w:tcW w:w="0" w:type="dxa"/>
            <w:vAlign w:val="bottom"/>
          </w:tcPr>
          <w:p w14:paraId="1009A08F" w14:textId="69EF3F76" w:rsidR="00152C7E" w:rsidRPr="00EC5FA8" w:rsidRDefault="00D94B5A" w:rsidP="001725A5">
            <w:pPr>
              <w:pStyle w:val="TableText"/>
              <w:spacing w:before="14" w:after="14"/>
              <w:ind w:right="576"/>
              <w:rPr>
                <w:szCs w:val="24"/>
              </w:rPr>
            </w:pPr>
            <w:r w:rsidRPr="00EE0770">
              <w:rPr>
                <w:color w:val="000000"/>
                <w:szCs w:val="24"/>
              </w:rPr>
              <w:t>2</w:t>
            </w:r>
          </w:p>
        </w:tc>
      </w:tr>
      <w:tr w:rsidR="00152C7E" w:rsidRPr="00C34C12" w14:paraId="7F15E570" w14:textId="77777777" w:rsidTr="00EC5FA8">
        <w:trPr>
          <w:trHeight w:val="80"/>
        </w:trPr>
        <w:tc>
          <w:tcPr>
            <w:tcW w:w="0" w:type="dxa"/>
          </w:tcPr>
          <w:p w14:paraId="1B7C343C" w14:textId="56CB646D" w:rsidR="00152C7E" w:rsidRPr="00C34C12" w:rsidRDefault="00152C7E" w:rsidP="001725A5">
            <w:pPr>
              <w:pStyle w:val="TableText"/>
              <w:spacing w:before="14" w:after="14"/>
              <w:jc w:val="center"/>
              <w:rPr>
                <w:noProof w:val="0"/>
              </w:rPr>
            </w:pPr>
            <w:r w:rsidRPr="004B2D24">
              <w:rPr>
                <w:color w:val="000000"/>
                <w:szCs w:val="24"/>
              </w:rPr>
              <w:t>15</w:t>
            </w:r>
          </w:p>
        </w:tc>
        <w:tc>
          <w:tcPr>
            <w:tcW w:w="0" w:type="dxa"/>
            <w:vAlign w:val="bottom"/>
          </w:tcPr>
          <w:p w14:paraId="06ECAEE7" w14:textId="1A627526" w:rsidR="00152C7E" w:rsidRPr="00143FC3" w:rsidRDefault="00D94B5A" w:rsidP="001725A5">
            <w:pPr>
              <w:pStyle w:val="TableText"/>
              <w:spacing w:before="14" w:after="14"/>
              <w:ind w:right="468"/>
              <w:rPr>
                <w:szCs w:val="24"/>
              </w:rPr>
            </w:pPr>
            <w:r w:rsidRPr="00EA4AE9">
              <w:rPr>
                <w:color w:val="000000"/>
                <w:szCs w:val="24"/>
              </w:rPr>
              <w:t>42</w:t>
            </w:r>
          </w:p>
        </w:tc>
        <w:tc>
          <w:tcPr>
            <w:tcW w:w="0" w:type="dxa"/>
            <w:vAlign w:val="bottom"/>
          </w:tcPr>
          <w:p w14:paraId="40FE83DF" w14:textId="4E350021" w:rsidR="00152C7E" w:rsidRPr="00EE0770" w:rsidRDefault="00D94B5A" w:rsidP="001725A5">
            <w:pPr>
              <w:pStyle w:val="TableText"/>
              <w:spacing w:before="14" w:after="14"/>
              <w:ind w:right="576"/>
              <w:rPr>
                <w:szCs w:val="24"/>
              </w:rPr>
            </w:pPr>
            <w:r w:rsidRPr="00143FC3">
              <w:rPr>
                <w:color w:val="000000"/>
                <w:szCs w:val="24"/>
              </w:rPr>
              <w:t>2</w:t>
            </w:r>
          </w:p>
        </w:tc>
      </w:tr>
      <w:tr w:rsidR="00152C7E" w:rsidRPr="00C34C12" w14:paraId="31DA04B0" w14:textId="77777777" w:rsidTr="00EC5FA8">
        <w:trPr>
          <w:trHeight w:val="80"/>
        </w:trPr>
        <w:tc>
          <w:tcPr>
            <w:tcW w:w="0" w:type="dxa"/>
          </w:tcPr>
          <w:p w14:paraId="060FFB51" w14:textId="0BDA269A" w:rsidR="00152C7E" w:rsidRPr="00C34C12" w:rsidRDefault="00152C7E" w:rsidP="001725A5">
            <w:pPr>
              <w:pStyle w:val="TableText"/>
              <w:spacing w:before="14" w:after="14"/>
              <w:jc w:val="center"/>
              <w:rPr>
                <w:noProof w:val="0"/>
              </w:rPr>
            </w:pPr>
            <w:r w:rsidRPr="004B2D24">
              <w:rPr>
                <w:color w:val="000000"/>
                <w:szCs w:val="24"/>
              </w:rPr>
              <w:t>16</w:t>
            </w:r>
          </w:p>
        </w:tc>
        <w:tc>
          <w:tcPr>
            <w:tcW w:w="0" w:type="dxa"/>
            <w:vAlign w:val="bottom"/>
          </w:tcPr>
          <w:p w14:paraId="2E290F32" w14:textId="6252DD35" w:rsidR="00152C7E" w:rsidRPr="00143FC3" w:rsidRDefault="00D94B5A" w:rsidP="001725A5">
            <w:pPr>
              <w:pStyle w:val="TableText"/>
              <w:spacing w:before="14" w:after="14"/>
              <w:ind w:right="468"/>
              <w:rPr>
                <w:szCs w:val="24"/>
              </w:rPr>
            </w:pPr>
            <w:r w:rsidRPr="00143FC3">
              <w:rPr>
                <w:color w:val="000000"/>
                <w:szCs w:val="24"/>
              </w:rPr>
              <w:t>44</w:t>
            </w:r>
          </w:p>
        </w:tc>
        <w:tc>
          <w:tcPr>
            <w:tcW w:w="0" w:type="dxa"/>
            <w:vAlign w:val="bottom"/>
          </w:tcPr>
          <w:p w14:paraId="7838B08D" w14:textId="1FFD37B0" w:rsidR="00152C7E" w:rsidRPr="009B258A" w:rsidRDefault="00D94B5A" w:rsidP="001725A5">
            <w:pPr>
              <w:pStyle w:val="TableText"/>
              <w:spacing w:before="14" w:after="14"/>
              <w:ind w:right="576"/>
              <w:rPr>
                <w:szCs w:val="24"/>
              </w:rPr>
            </w:pPr>
            <w:r w:rsidRPr="009B258A">
              <w:rPr>
                <w:color w:val="000000"/>
                <w:szCs w:val="24"/>
              </w:rPr>
              <w:t>2</w:t>
            </w:r>
          </w:p>
        </w:tc>
      </w:tr>
      <w:tr w:rsidR="00152C7E" w:rsidRPr="00C34C12" w14:paraId="48FCAF29" w14:textId="77777777" w:rsidTr="00EC5FA8">
        <w:trPr>
          <w:trHeight w:val="80"/>
        </w:trPr>
        <w:tc>
          <w:tcPr>
            <w:tcW w:w="0" w:type="dxa"/>
          </w:tcPr>
          <w:p w14:paraId="13F2AA55" w14:textId="080DB402" w:rsidR="00152C7E" w:rsidRPr="00C34C12" w:rsidRDefault="00152C7E" w:rsidP="001725A5">
            <w:pPr>
              <w:pStyle w:val="TableText"/>
              <w:spacing w:before="14" w:after="14"/>
              <w:jc w:val="center"/>
              <w:rPr>
                <w:noProof w:val="0"/>
              </w:rPr>
            </w:pPr>
            <w:r w:rsidRPr="004B2D24">
              <w:rPr>
                <w:color w:val="000000"/>
                <w:szCs w:val="24"/>
              </w:rPr>
              <w:t>17</w:t>
            </w:r>
          </w:p>
        </w:tc>
        <w:tc>
          <w:tcPr>
            <w:tcW w:w="0" w:type="dxa"/>
            <w:vAlign w:val="bottom"/>
          </w:tcPr>
          <w:p w14:paraId="5F7D42EA" w14:textId="504E10F6" w:rsidR="00152C7E" w:rsidRPr="00143FC3" w:rsidRDefault="00D94B5A" w:rsidP="001725A5">
            <w:pPr>
              <w:pStyle w:val="TableText"/>
              <w:spacing w:before="14" w:after="14"/>
              <w:ind w:right="468"/>
              <w:rPr>
                <w:szCs w:val="24"/>
              </w:rPr>
            </w:pPr>
            <w:r w:rsidRPr="004C5198">
              <w:rPr>
                <w:color w:val="000000"/>
                <w:szCs w:val="24"/>
              </w:rPr>
              <w:t>47</w:t>
            </w:r>
          </w:p>
        </w:tc>
        <w:tc>
          <w:tcPr>
            <w:tcW w:w="0" w:type="dxa"/>
            <w:vAlign w:val="bottom"/>
          </w:tcPr>
          <w:p w14:paraId="637CE226" w14:textId="5DED85C8" w:rsidR="00152C7E" w:rsidRPr="00143FC3" w:rsidRDefault="00D94B5A" w:rsidP="001725A5">
            <w:pPr>
              <w:pStyle w:val="TableText"/>
              <w:spacing w:before="14" w:after="14"/>
              <w:ind w:right="576"/>
              <w:rPr>
                <w:szCs w:val="24"/>
              </w:rPr>
            </w:pPr>
            <w:r w:rsidRPr="00143FC3">
              <w:rPr>
                <w:color w:val="000000"/>
                <w:szCs w:val="24"/>
              </w:rPr>
              <w:t>2</w:t>
            </w:r>
          </w:p>
        </w:tc>
      </w:tr>
      <w:tr w:rsidR="00152C7E" w:rsidRPr="00C34C12" w14:paraId="2627C545" w14:textId="77777777" w:rsidTr="00EC5FA8">
        <w:trPr>
          <w:trHeight w:val="80"/>
        </w:trPr>
        <w:tc>
          <w:tcPr>
            <w:tcW w:w="0" w:type="dxa"/>
          </w:tcPr>
          <w:p w14:paraId="20D88C31" w14:textId="7C93BD05" w:rsidR="00152C7E" w:rsidRPr="00C34C12" w:rsidRDefault="00152C7E" w:rsidP="001725A5">
            <w:pPr>
              <w:pStyle w:val="TableText"/>
              <w:spacing w:before="14" w:after="14"/>
              <w:jc w:val="center"/>
              <w:rPr>
                <w:noProof w:val="0"/>
              </w:rPr>
            </w:pPr>
            <w:r w:rsidRPr="004B2D24">
              <w:rPr>
                <w:color w:val="000000"/>
                <w:szCs w:val="24"/>
              </w:rPr>
              <w:t>18</w:t>
            </w:r>
          </w:p>
        </w:tc>
        <w:tc>
          <w:tcPr>
            <w:tcW w:w="0" w:type="dxa"/>
            <w:vAlign w:val="bottom"/>
          </w:tcPr>
          <w:p w14:paraId="2E86F48A" w14:textId="7C323061" w:rsidR="00152C7E" w:rsidRPr="00143FC3" w:rsidRDefault="00D94B5A" w:rsidP="001725A5">
            <w:pPr>
              <w:pStyle w:val="TableText"/>
              <w:spacing w:before="14" w:after="14"/>
              <w:ind w:right="468"/>
              <w:rPr>
                <w:szCs w:val="24"/>
              </w:rPr>
            </w:pPr>
            <w:r w:rsidRPr="00953DA6">
              <w:rPr>
                <w:color w:val="000000"/>
                <w:szCs w:val="24"/>
              </w:rPr>
              <w:t>50</w:t>
            </w:r>
          </w:p>
        </w:tc>
        <w:tc>
          <w:tcPr>
            <w:tcW w:w="0" w:type="dxa"/>
            <w:vAlign w:val="bottom"/>
          </w:tcPr>
          <w:p w14:paraId="0A602994" w14:textId="2C76FA91" w:rsidR="00152C7E" w:rsidRPr="00EA4AE9" w:rsidRDefault="00D94B5A" w:rsidP="001725A5">
            <w:pPr>
              <w:pStyle w:val="TableText"/>
              <w:spacing w:before="14" w:after="14"/>
              <w:ind w:right="576"/>
              <w:rPr>
                <w:szCs w:val="24"/>
              </w:rPr>
            </w:pPr>
            <w:r w:rsidRPr="009B258A">
              <w:rPr>
                <w:color w:val="000000"/>
                <w:szCs w:val="24"/>
              </w:rPr>
              <w:t>2</w:t>
            </w:r>
          </w:p>
        </w:tc>
      </w:tr>
      <w:tr w:rsidR="00152C7E" w:rsidRPr="00C34C12" w14:paraId="28252985" w14:textId="77777777" w:rsidTr="00EC5FA8">
        <w:trPr>
          <w:trHeight w:val="80"/>
        </w:trPr>
        <w:tc>
          <w:tcPr>
            <w:tcW w:w="0" w:type="dxa"/>
          </w:tcPr>
          <w:p w14:paraId="5EC7ABE0" w14:textId="6FDEABCB" w:rsidR="00152C7E" w:rsidRPr="00C34C12" w:rsidRDefault="00152C7E" w:rsidP="001725A5">
            <w:pPr>
              <w:pStyle w:val="TableText"/>
              <w:spacing w:before="14" w:after="14"/>
              <w:jc w:val="center"/>
              <w:rPr>
                <w:noProof w:val="0"/>
              </w:rPr>
            </w:pPr>
            <w:r w:rsidRPr="004B2D24">
              <w:rPr>
                <w:color w:val="000000"/>
                <w:szCs w:val="24"/>
              </w:rPr>
              <w:t>19</w:t>
            </w:r>
          </w:p>
        </w:tc>
        <w:tc>
          <w:tcPr>
            <w:tcW w:w="0" w:type="dxa"/>
            <w:vAlign w:val="bottom"/>
          </w:tcPr>
          <w:p w14:paraId="2D1998FA" w14:textId="6B7753EE" w:rsidR="00152C7E" w:rsidRPr="00143FC3" w:rsidRDefault="00D94B5A" w:rsidP="001725A5">
            <w:pPr>
              <w:pStyle w:val="TableText"/>
              <w:spacing w:before="14" w:after="14"/>
              <w:ind w:right="468"/>
              <w:rPr>
                <w:szCs w:val="24"/>
              </w:rPr>
            </w:pPr>
            <w:r w:rsidRPr="00143FC3">
              <w:rPr>
                <w:color w:val="000000"/>
                <w:szCs w:val="24"/>
              </w:rPr>
              <w:t>53</w:t>
            </w:r>
          </w:p>
        </w:tc>
        <w:tc>
          <w:tcPr>
            <w:tcW w:w="0" w:type="dxa"/>
            <w:vAlign w:val="bottom"/>
          </w:tcPr>
          <w:p w14:paraId="4A0E782D" w14:textId="5BDBC7B2" w:rsidR="00152C7E" w:rsidRPr="00143FC3" w:rsidRDefault="00D94B5A" w:rsidP="001725A5">
            <w:pPr>
              <w:pStyle w:val="TableText"/>
              <w:spacing w:before="14" w:after="14"/>
              <w:ind w:right="576"/>
              <w:rPr>
                <w:szCs w:val="24"/>
              </w:rPr>
            </w:pPr>
            <w:r w:rsidRPr="00953DA6">
              <w:rPr>
                <w:color w:val="000000"/>
                <w:szCs w:val="24"/>
              </w:rPr>
              <w:t>2</w:t>
            </w:r>
          </w:p>
        </w:tc>
      </w:tr>
      <w:tr w:rsidR="00152C7E" w:rsidRPr="00C34C12" w14:paraId="2D29160C" w14:textId="77777777" w:rsidTr="00EC5FA8">
        <w:trPr>
          <w:trHeight w:val="80"/>
        </w:trPr>
        <w:tc>
          <w:tcPr>
            <w:tcW w:w="0" w:type="dxa"/>
          </w:tcPr>
          <w:p w14:paraId="34B69E9F" w14:textId="1A7E34B9" w:rsidR="00152C7E" w:rsidRPr="00C34C12" w:rsidRDefault="00152C7E" w:rsidP="001725A5">
            <w:pPr>
              <w:pStyle w:val="TableText"/>
              <w:spacing w:before="14" w:after="14"/>
              <w:jc w:val="center"/>
              <w:rPr>
                <w:noProof w:val="0"/>
              </w:rPr>
            </w:pPr>
            <w:r w:rsidRPr="004B2D24">
              <w:rPr>
                <w:color w:val="000000"/>
                <w:szCs w:val="24"/>
              </w:rPr>
              <w:t>20</w:t>
            </w:r>
          </w:p>
        </w:tc>
        <w:tc>
          <w:tcPr>
            <w:tcW w:w="0" w:type="dxa"/>
            <w:vAlign w:val="bottom"/>
          </w:tcPr>
          <w:p w14:paraId="5CF0024A" w14:textId="1988E9C8" w:rsidR="00152C7E" w:rsidRPr="00143FC3" w:rsidRDefault="00D94B5A" w:rsidP="001725A5">
            <w:pPr>
              <w:pStyle w:val="TableText"/>
              <w:spacing w:before="14" w:after="14"/>
              <w:ind w:right="468"/>
              <w:rPr>
                <w:szCs w:val="24"/>
              </w:rPr>
            </w:pPr>
            <w:r w:rsidRPr="009B258A">
              <w:rPr>
                <w:color w:val="000000"/>
                <w:szCs w:val="24"/>
              </w:rPr>
              <w:t>56</w:t>
            </w:r>
          </w:p>
        </w:tc>
        <w:tc>
          <w:tcPr>
            <w:tcW w:w="0" w:type="dxa"/>
            <w:vAlign w:val="bottom"/>
          </w:tcPr>
          <w:p w14:paraId="7E94CA7D" w14:textId="347D69A2" w:rsidR="00152C7E" w:rsidRPr="00143FC3" w:rsidRDefault="00D94B5A" w:rsidP="001725A5">
            <w:pPr>
              <w:pStyle w:val="TableText"/>
              <w:spacing w:before="14" w:after="14"/>
              <w:ind w:right="576"/>
              <w:rPr>
                <w:szCs w:val="24"/>
              </w:rPr>
            </w:pPr>
            <w:r w:rsidRPr="004C5198">
              <w:rPr>
                <w:color w:val="000000"/>
                <w:szCs w:val="24"/>
              </w:rPr>
              <w:t>2</w:t>
            </w:r>
          </w:p>
        </w:tc>
      </w:tr>
      <w:tr w:rsidR="00152C7E" w:rsidRPr="00C34C12" w14:paraId="2D134F03" w14:textId="77777777" w:rsidTr="00EC5FA8">
        <w:trPr>
          <w:trHeight w:val="80"/>
        </w:trPr>
        <w:tc>
          <w:tcPr>
            <w:tcW w:w="0" w:type="dxa"/>
          </w:tcPr>
          <w:p w14:paraId="1C3F8EEC" w14:textId="22364F91" w:rsidR="00152C7E" w:rsidRPr="00C34C12" w:rsidRDefault="00152C7E" w:rsidP="001725A5">
            <w:pPr>
              <w:pStyle w:val="TableText"/>
              <w:spacing w:before="14" w:after="14"/>
              <w:jc w:val="center"/>
              <w:rPr>
                <w:noProof w:val="0"/>
              </w:rPr>
            </w:pPr>
            <w:r w:rsidRPr="004B2D24">
              <w:rPr>
                <w:color w:val="000000"/>
                <w:szCs w:val="24"/>
              </w:rPr>
              <w:t>21</w:t>
            </w:r>
          </w:p>
        </w:tc>
        <w:tc>
          <w:tcPr>
            <w:tcW w:w="0" w:type="dxa"/>
            <w:vAlign w:val="bottom"/>
          </w:tcPr>
          <w:p w14:paraId="4D5AAEED" w14:textId="4A4A4CBC" w:rsidR="00152C7E" w:rsidRPr="00EA4AE9" w:rsidRDefault="00D94B5A" w:rsidP="001725A5">
            <w:pPr>
              <w:pStyle w:val="TableText"/>
              <w:spacing w:before="14" w:after="14"/>
              <w:ind w:right="468"/>
              <w:rPr>
                <w:szCs w:val="24"/>
              </w:rPr>
            </w:pPr>
            <w:r w:rsidRPr="009B258A">
              <w:rPr>
                <w:color w:val="000000"/>
                <w:szCs w:val="24"/>
              </w:rPr>
              <w:t>58</w:t>
            </w:r>
          </w:p>
        </w:tc>
        <w:tc>
          <w:tcPr>
            <w:tcW w:w="0" w:type="dxa"/>
            <w:vAlign w:val="bottom"/>
          </w:tcPr>
          <w:p w14:paraId="2AF5A6F8" w14:textId="1F6E9CD1" w:rsidR="00152C7E" w:rsidRPr="009B258A" w:rsidRDefault="00D94B5A" w:rsidP="001725A5">
            <w:pPr>
              <w:pStyle w:val="TableText"/>
              <w:spacing w:before="14" w:after="14"/>
              <w:ind w:right="576"/>
              <w:rPr>
                <w:szCs w:val="24"/>
              </w:rPr>
            </w:pPr>
            <w:r w:rsidRPr="00953DA6">
              <w:rPr>
                <w:color w:val="000000"/>
                <w:szCs w:val="24"/>
              </w:rPr>
              <w:t>2</w:t>
            </w:r>
          </w:p>
        </w:tc>
      </w:tr>
      <w:tr w:rsidR="00152C7E" w:rsidRPr="00C34C12" w14:paraId="4DF08C81" w14:textId="77777777" w:rsidTr="00EC5FA8">
        <w:trPr>
          <w:trHeight w:val="80"/>
        </w:trPr>
        <w:tc>
          <w:tcPr>
            <w:tcW w:w="0" w:type="dxa"/>
          </w:tcPr>
          <w:p w14:paraId="58CAF48A" w14:textId="4414B93B" w:rsidR="00152C7E" w:rsidRPr="00C34C12" w:rsidRDefault="00152C7E" w:rsidP="001725A5">
            <w:pPr>
              <w:pStyle w:val="TableText"/>
              <w:spacing w:before="14" w:after="14"/>
              <w:jc w:val="center"/>
              <w:rPr>
                <w:noProof w:val="0"/>
              </w:rPr>
            </w:pPr>
            <w:r w:rsidRPr="004B2D24">
              <w:rPr>
                <w:color w:val="000000"/>
                <w:szCs w:val="24"/>
              </w:rPr>
              <w:t>22</w:t>
            </w:r>
          </w:p>
        </w:tc>
        <w:tc>
          <w:tcPr>
            <w:tcW w:w="0" w:type="dxa"/>
            <w:vAlign w:val="bottom"/>
          </w:tcPr>
          <w:p w14:paraId="7D1432C9" w14:textId="7182D391" w:rsidR="00152C7E" w:rsidRPr="00143FC3" w:rsidRDefault="00D94B5A" w:rsidP="001725A5">
            <w:pPr>
              <w:pStyle w:val="TableText"/>
              <w:spacing w:before="14" w:after="14"/>
              <w:ind w:right="468"/>
              <w:rPr>
                <w:szCs w:val="24"/>
              </w:rPr>
            </w:pPr>
            <w:r w:rsidRPr="00143FC3">
              <w:rPr>
                <w:color w:val="000000"/>
                <w:szCs w:val="24"/>
              </w:rPr>
              <w:t>61</w:t>
            </w:r>
          </w:p>
        </w:tc>
        <w:tc>
          <w:tcPr>
            <w:tcW w:w="0" w:type="dxa"/>
            <w:vAlign w:val="bottom"/>
          </w:tcPr>
          <w:p w14:paraId="0AED555D" w14:textId="42FB531E" w:rsidR="00152C7E" w:rsidRPr="00953DA6" w:rsidRDefault="00D94B5A" w:rsidP="001725A5">
            <w:pPr>
              <w:pStyle w:val="TableText"/>
              <w:spacing w:before="14" w:after="14"/>
              <w:ind w:right="576"/>
              <w:rPr>
                <w:szCs w:val="24"/>
              </w:rPr>
            </w:pPr>
            <w:r w:rsidRPr="004C5198">
              <w:rPr>
                <w:color w:val="000000"/>
                <w:szCs w:val="24"/>
              </w:rPr>
              <w:t>2</w:t>
            </w:r>
          </w:p>
        </w:tc>
      </w:tr>
      <w:tr w:rsidR="00152C7E" w:rsidRPr="00C34C12" w14:paraId="51E3C923" w14:textId="77777777" w:rsidTr="00EC5FA8">
        <w:trPr>
          <w:trHeight w:val="80"/>
        </w:trPr>
        <w:tc>
          <w:tcPr>
            <w:tcW w:w="0" w:type="dxa"/>
          </w:tcPr>
          <w:p w14:paraId="204B01CA" w14:textId="66E1D126" w:rsidR="00152C7E" w:rsidRPr="00C34C12" w:rsidRDefault="00152C7E" w:rsidP="001725A5">
            <w:pPr>
              <w:pStyle w:val="TableText"/>
              <w:spacing w:before="14" w:after="14"/>
              <w:jc w:val="center"/>
              <w:rPr>
                <w:noProof w:val="0"/>
              </w:rPr>
            </w:pPr>
            <w:r w:rsidRPr="004B2D24">
              <w:rPr>
                <w:color w:val="000000"/>
                <w:szCs w:val="24"/>
              </w:rPr>
              <w:t>23</w:t>
            </w:r>
          </w:p>
        </w:tc>
        <w:tc>
          <w:tcPr>
            <w:tcW w:w="0" w:type="dxa"/>
            <w:vAlign w:val="bottom"/>
          </w:tcPr>
          <w:p w14:paraId="78905C73" w14:textId="3EB0800A" w:rsidR="00152C7E" w:rsidRPr="00EA4AE9" w:rsidRDefault="00D94B5A" w:rsidP="001725A5">
            <w:pPr>
              <w:pStyle w:val="TableText"/>
              <w:spacing w:before="14" w:after="14"/>
              <w:ind w:right="468"/>
              <w:rPr>
                <w:szCs w:val="24"/>
              </w:rPr>
            </w:pPr>
            <w:r w:rsidRPr="00953DA6">
              <w:rPr>
                <w:color w:val="000000"/>
                <w:szCs w:val="24"/>
              </w:rPr>
              <w:t>64</w:t>
            </w:r>
          </w:p>
        </w:tc>
        <w:tc>
          <w:tcPr>
            <w:tcW w:w="0" w:type="dxa"/>
            <w:vAlign w:val="bottom"/>
          </w:tcPr>
          <w:p w14:paraId="55379F36" w14:textId="142CC6D1" w:rsidR="00152C7E" w:rsidRPr="00143FC3" w:rsidRDefault="00D94B5A" w:rsidP="001725A5">
            <w:pPr>
              <w:pStyle w:val="TableText"/>
              <w:spacing w:before="14" w:after="14"/>
              <w:ind w:right="576"/>
              <w:rPr>
                <w:szCs w:val="24"/>
              </w:rPr>
            </w:pPr>
            <w:r w:rsidRPr="00143FC3">
              <w:rPr>
                <w:color w:val="000000"/>
                <w:szCs w:val="24"/>
              </w:rPr>
              <w:t>2</w:t>
            </w:r>
          </w:p>
        </w:tc>
      </w:tr>
      <w:tr w:rsidR="00152C7E" w:rsidRPr="00C34C12" w14:paraId="7F5DE70E" w14:textId="77777777" w:rsidTr="00EC5FA8">
        <w:trPr>
          <w:trHeight w:val="80"/>
        </w:trPr>
        <w:tc>
          <w:tcPr>
            <w:tcW w:w="0" w:type="dxa"/>
          </w:tcPr>
          <w:p w14:paraId="2AA81A7C" w14:textId="13FE4AC7" w:rsidR="00152C7E" w:rsidRPr="00C34C12" w:rsidRDefault="00152C7E" w:rsidP="001725A5">
            <w:pPr>
              <w:pStyle w:val="TableText"/>
              <w:spacing w:before="14" w:after="14"/>
              <w:jc w:val="center"/>
              <w:rPr>
                <w:noProof w:val="0"/>
              </w:rPr>
            </w:pPr>
            <w:r w:rsidRPr="004B2D24">
              <w:rPr>
                <w:color w:val="000000"/>
                <w:szCs w:val="24"/>
              </w:rPr>
              <w:t>24</w:t>
            </w:r>
          </w:p>
        </w:tc>
        <w:tc>
          <w:tcPr>
            <w:tcW w:w="0" w:type="dxa"/>
            <w:vAlign w:val="bottom"/>
          </w:tcPr>
          <w:p w14:paraId="0E0CC790" w14:textId="14D408D5" w:rsidR="00152C7E" w:rsidRPr="00EA4AE9" w:rsidRDefault="00D94B5A" w:rsidP="001725A5">
            <w:pPr>
              <w:pStyle w:val="TableText"/>
              <w:spacing w:before="14" w:after="14"/>
              <w:ind w:right="468"/>
              <w:rPr>
                <w:szCs w:val="24"/>
              </w:rPr>
            </w:pPr>
            <w:r w:rsidRPr="009B258A">
              <w:rPr>
                <w:color w:val="000000"/>
                <w:szCs w:val="24"/>
              </w:rPr>
              <w:t>67</w:t>
            </w:r>
          </w:p>
        </w:tc>
        <w:tc>
          <w:tcPr>
            <w:tcW w:w="0" w:type="dxa"/>
            <w:vAlign w:val="bottom"/>
          </w:tcPr>
          <w:p w14:paraId="1B50A1DA" w14:textId="2563A31B" w:rsidR="00152C7E" w:rsidRPr="00143FC3" w:rsidRDefault="00D94B5A" w:rsidP="001725A5">
            <w:pPr>
              <w:pStyle w:val="TableText"/>
              <w:spacing w:before="14" w:after="14"/>
              <w:ind w:right="576"/>
              <w:rPr>
                <w:szCs w:val="24"/>
              </w:rPr>
            </w:pPr>
            <w:r w:rsidRPr="00953DA6">
              <w:rPr>
                <w:color w:val="000000"/>
                <w:szCs w:val="24"/>
              </w:rPr>
              <w:t>2</w:t>
            </w:r>
          </w:p>
        </w:tc>
      </w:tr>
      <w:tr w:rsidR="00152C7E" w:rsidRPr="00C34C12" w14:paraId="16E38DFE" w14:textId="77777777" w:rsidTr="00EC5FA8">
        <w:trPr>
          <w:trHeight w:val="80"/>
        </w:trPr>
        <w:tc>
          <w:tcPr>
            <w:tcW w:w="0" w:type="dxa"/>
          </w:tcPr>
          <w:p w14:paraId="5076137F" w14:textId="4F609A91" w:rsidR="00152C7E" w:rsidRPr="00C34C12" w:rsidRDefault="00152C7E" w:rsidP="001725A5">
            <w:pPr>
              <w:pStyle w:val="TableText"/>
              <w:spacing w:before="14" w:after="14"/>
              <w:jc w:val="center"/>
              <w:rPr>
                <w:noProof w:val="0"/>
              </w:rPr>
            </w:pPr>
            <w:r w:rsidRPr="004B2D24">
              <w:rPr>
                <w:color w:val="000000"/>
                <w:szCs w:val="24"/>
              </w:rPr>
              <w:t>25</w:t>
            </w:r>
          </w:p>
        </w:tc>
        <w:tc>
          <w:tcPr>
            <w:tcW w:w="0" w:type="dxa"/>
            <w:vAlign w:val="bottom"/>
          </w:tcPr>
          <w:p w14:paraId="5CD6E273" w14:textId="7A750079" w:rsidR="00152C7E" w:rsidRPr="009B258A" w:rsidRDefault="00D94B5A" w:rsidP="001725A5">
            <w:pPr>
              <w:pStyle w:val="TableText"/>
              <w:spacing w:before="14" w:after="14"/>
              <w:ind w:right="468"/>
              <w:rPr>
                <w:szCs w:val="24"/>
              </w:rPr>
            </w:pPr>
            <w:r w:rsidRPr="00953DA6">
              <w:rPr>
                <w:color w:val="000000"/>
                <w:szCs w:val="24"/>
              </w:rPr>
              <w:t>69</w:t>
            </w:r>
          </w:p>
        </w:tc>
        <w:tc>
          <w:tcPr>
            <w:tcW w:w="0" w:type="dxa"/>
            <w:vAlign w:val="bottom"/>
          </w:tcPr>
          <w:p w14:paraId="3ABA4486" w14:textId="75A00E9A" w:rsidR="00152C7E" w:rsidRPr="00143FC3" w:rsidRDefault="00D94B5A" w:rsidP="001725A5">
            <w:pPr>
              <w:pStyle w:val="TableText"/>
              <w:spacing w:before="14" w:after="14"/>
              <w:ind w:right="576"/>
              <w:rPr>
                <w:szCs w:val="24"/>
              </w:rPr>
            </w:pPr>
            <w:r w:rsidRPr="00143FC3">
              <w:rPr>
                <w:color w:val="000000"/>
                <w:szCs w:val="24"/>
              </w:rPr>
              <w:t>2</w:t>
            </w:r>
          </w:p>
        </w:tc>
      </w:tr>
      <w:tr w:rsidR="00152C7E" w:rsidRPr="00C34C12" w14:paraId="5988FD2C" w14:textId="77777777" w:rsidTr="00EC5FA8">
        <w:trPr>
          <w:trHeight w:val="80"/>
        </w:trPr>
        <w:tc>
          <w:tcPr>
            <w:tcW w:w="0" w:type="dxa"/>
          </w:tcPr>
          <w:p w14:paraId="32CAFD6D" w14:textId="3EFC69A9" w:rsidR="00152C7E" w:rsidRPr="00C34C12" w:rsidRDefault="00152C7E" w:rsidP="001725A5">
            <w:pPr>
              <w:pStyle w:val="TableText"/>
              <w:spacing w:before="14" w:after="14"/>
              <w:jc w:val="center"/>
              <w:rPr>
                <w:noProof w:val="0"/>
              </w:rPr>
            </w:pPr>
            <w:r w:rsidRPr="004B2D24">
              <w:rPr>
                <w:color w:val="000000"/>
                <w:szCs w:val="24"/>
              </w:rPr>
              <w:t>26</w:t>
            </w:r>
          </w:p>
        </w:tc>
        <w:tc>
          <w:tcPr>
            <w:tcW w:w="0" w:type="dxa"/>
            <w:vAlign w:val="bottom"/>
          </w:tcPr>
          <w:p w14:paraId="30690242" w14:textId="185D1279" w:rsidR="00152C7E" w:rsidRPr="00EA4AE9" w:rsidRDefault="00D94B5A" w:rsidP="001725A5">
            <w:pPr>
              <w:pStyle w:val="TableText"/>
              <w:spacing w:before="14" w:after="14"/>
              <w:ind w:right="468"/>
              <w:rPr>
                <w:szCs w:val="24"/>
              </w:rPr>
            </w:pPr>
            <w:r w:rsidRPr="00EA4AE9">
              <w:rPr>
                <w:color w:val="000000"/>
                <w:szCs w:val="24"/>
              </w:rPr>
              <w:t>72</w:t>
            </w:r>
          </w:p>
        </w:tc>
        <w:tc>
          <w:tcPr>
            <w:tcW w:w="0" w:type="dxa"/>
            <w:vAlign w:val="bottom"/>
          </w:tcPr>
          <w:p w14:paraId="478878A4" w14:textId="459A6E6B" w:rsidR="00152C7E" w:rsidRPr="00EA4AE9" w:rsidRDefault="00D94B5A" w:rsidP="001725A5">
            <w:pPr>
              <w:pStyle w:val="TableText"/>
              <w:spacing w:before="14" w:after="14"/>
              <w:ind w:right="576"/>
              <w:rPr>
                <w:szCs w:val="24"/>
              </w:rPr>
            </w:pPr>
            <w:r w:rsidRPr="00953DA6">
              <w:rPr>
                <w:color w:val="000000"/>
                <w:szCs w:val="24"/>
              </w:rPr>
              <w:t>2</w:t>
            </w:r>
          </w:p>
        </w:tc>
      </w:tr>
      <w:tr w:rsidR="00152C7E" w:rsidRPr="00C34C12" w14:paraId="6C261D55" w14:textId="77777777" w:rsidTr="00EC5FA8">
        <w:trPr>
          <w:trHeight w:val="80"/>
        </w:trPr>
        <w:tc>
          <w:tcPr>
            <w:tcW w:w="0" w:type="dxa"/>
          </w:tcPr>
          <w:p w14:paraId="776579C4" w14:textId="06643AFC" w:rsidR="00152C7E" w:rsidRPr="00C34C12" w:rsidRDefault="00152C7E" w:rsidP="001725A5">
            <w:pPr>
              <w:pStyle w:val="TableText"/>
              <w:spacing w:before="14" w:after="14"/>
              <w:jc w:val="center"/>
              <w:rPr>
                <w:noProof w:val="0"/>
              </w:rPr>
            </w:pPr>
            <w:r w:rsidRPr="004B2D24">
              <w:rPr>
                <w:color w:val="000000"/>
                <w:szCs w:val="24"/>
              </w:rPr>
              <w:t>27</w:t>
            </w:r>
          </w:p>
        </w:tc>
        <w:tc>
          <w:tcPr>
            <w:tcW w:w="0" w:type="dxa"/>
            <w:vAlign w:val="bottom"/>
          </w:tcPr>
          <w:p w14:paraId="0AFD4CEB" w14:textId="47449F3A" w:rsidR="00152C7E" w:rsidRPr="00143FC3" w:rsidRDefault="00D94B5A" w:rsidP="001725A5">
            <w:pPr>
              <w:pStyle w:val="TableText"/>
              <w:spacing w:before="14" w:after="14"/>
              <w:ind w:right="468"/>
              <w:rPr>
                <w:szCs w:val="24"/>
              </w:rPr>
            </w:pPr>
            <w:r w:rsidRPr="00567CE2">
              <w:rPr>
                <w:color w:val="000000"/>
                <w:szCs w:val="24"/>
              </w:rPr>
              <w:t>75</w:t>
            </w:r>
          </w:p>
        </w:tc>
        <w:tc>
          <w:tcPr>
            <w:tcW w:w="0" w:type="dxa"/>
            <w:vAlign w:val="bottom"/>
          </w:tcPr>
          <w:p w14:paraId="327C7876" w14:textId="2E9D53FB" w:rsidR="00152C7E" w:rsidRPr="00953DA6" w:rsidRDefault="00D94B5A" w:rsidP="001725A5">
            <w:pPr>
              <w:pStyle w:val="TableText"/>
              <w:spacing w:before="14" w:after="14"/>
              <w:ind w:right="576"/>
              <w:rPr>
                <w:szCs w:val="24"/>
              </w:rPr>
            </w:pPr>
            <w:r w:rsidRPr="009B258A">
              <w:rPr>
                <w:color w:val="000000"/>
                <w:szCs w:val="24"/>
              </w:rPr>
              <w:t>2</w:t>
            </w:r>
          </w:p>
        </w:tc>
      </w:tr>
      <w:tr w:rsidR="00152C7E" w:rsidRPr="00C34C12" w14:paraId="6FBE63C0" w14:textId="77777777" w:rsidTr="00EC5FA8">
        <w:trPr>
          <w:trHeight w:val="80"/>
        </w:trPr>
        <w:tc>
          <w:tcPr>
            <w:tcW w:w="0" w:type="dxa"/>
          </w:tcPr>
          <w:p w14:paraId="0D403740" w14:textId="6A9BAB95" w:rsidR="00152C7E" w:rsidRPr="00C34C12" w:rsidRDefault="00152C7E" w:rsidP="001725A5">
            <w:pPr>
              <w:pStyle w:val="TableText"/>
              <w:spacing w:before="14" w:after="14"/>
              <w:jc w:val="center"/>
              <w:rPr>
                <w:noProof w:val="0"/>
              </w:rPr>
            </w:pPr>
            <w:r w:rsidRPr="004B2D24">
              <w:rPr>
                <w:color w:val="000000"/>
                <w:szCs w:val="24"/>
              </w:rPr>
              <w:t>28</w:t>
            </w:r>
          </w:p>
        </w:tc>
        <w:tc>
          <w:tcPr>
            <w:tcW w:w="0" w:type="dxa"/>
            <w:vAlign w:val="bottom"/>
          </w:tcPr>
          <w:p w14:paraId="73943EFB" w14:textId="64AB8AD7" w:rsidR="00152C7E" w:rsidRPr="00567CE2" w:rsidRDefault="00D94B5A" w:rsidP="001725A5">
            <w:pPr>
              <w:pStyle w:val="TableText"/>
              <w:spacing w:before="14" w:after="14"/>
              <w:ind w:right="468"/>
              <w:rPr>
                <w:szCs w:val="24"/>
              </w:rPr>
            </w:pPr>
            <w:r w:rsidRPr="00EA4AE9">
              <w:rPr>
                <w:color w:val="000000"/>
                <w:szCs w:val="24"/>
              </w:rPr>
              <w:t>78</w:t>
            </w:r>
          </w:p>
        </w:tc>
        <w:tc>
          <w:tcPr>
            <w:tcW w:w="0" w:type="dxa"/>
            <w:vAlign w:val="bottom"/>
          </w:tcPr>
          <w:p w14:paraId="19410DE2" w14:textId="23FA3EF6" w:rsidR="00152C7E" w:rsidRPr="00953DA6" w:rsidRDefault="00D94B5A" w:rsidP="001725A5">
            <w:pPr>
              <w:pStyle w:val="TableText"/>
              <w:spacing w:before="14" w:after="14"/>
              <w:ind w:right="576"/>
              <w:rPr>
                <w:szCs w:val="24"/>
              </w:rPr>
            </w:pPr>
            <w:r w:rsidRPr="00953DA6">
              <w:rPr>
                <w:color w:val="000000"/>
                <w:szCs w:val="24"/>
              </w:rPr>
              <w:t>2</w:t>
            </w:r>
          </w:p>
        </w:tc>
      </w:tr>
      <w:tr w:rsidR="00152C7E" w:rsidRPr="00C34C12" w14:paraId="76DB1D28" w14:textId="77777777" w:rsidTr="00EC5FA8">
        <w:trPr>
          <w:trHeight w:val="80"/>
        </w:trPr>
        <w:tc>
          <w:tcPr>
            <w:tcW w:w="0" w:type="dxa"/>
          </w:tcPr>
          <w:p w14:paraId="7605B5FB" w14:textId="0D115BD5" w:rsidR="00152C7E" w:rsidRPr="00C34C12" w:rsidRDefault="00152C7E" w:rsidP="001725A5">
            <w:pPr>
              <w:pStyle w:val="TableText"/>
              <w:spacing w:before="14" w:after="14"/>
              <w:jc w:val="center"/>
              <w:rPr>
                <w:noProof w:val="0"/>
              </w:rPr>
            </w:pPr>
            <w:r w:rsidRPr="004B2D24">
              <w:rPr>
                <w:color w:val="000000"/>
                <w:szCs w:val="24"/>
              </w:rPr>
              <w:t>29</w:t>
            </w:r>
          </w:p>
        </w:tc>
        <w:tc>
          <w:tcPr>
            <w:tcW w:w="0" w:type="dxa"/>
            <w:vAlign w:val="bottom"/>
          </w:tcPr>
          <w:p w14:paraId="54235A7D" w14:textId="524E2993" w:rsidR="00152C7E" w:rsidRPr="00953DA6" w:rsidRDefault="00D94B5A" w:rsidP="001725A5">
            <w:pPr>
              <w:pStyle w:val="TableText"/>
              <w:spacing w:before="14" w:after="14"/>
              <w:ind w:right="468"/>
              <w:rPr>
                <w:szCs w:val="24"/>
              </w:rPr>
            </w:pPr>
            <w:r w:rsidRPr="00953DA6">
              <w:rPr>
                <w:color w:val="000000"/>
                <w:szCs w:val="24"/>
              </w:rPr>
              <w:t>81</w:t>
            </w:r>
          </w:p>
        </w:tc>
        <w:tc>
          <w:tcPr>
            <w:tcW w:w="0" w:type="dxa"/>
            <w:vAlign w:val="bottom"/>
          </w:tcPr>
          <w:p w14:paraId="6B53546F" w14:textId="1B9DCDD0" w:rsidR="00152C7E" w:rsidRPr="00953DA6" w:rsidRDefault="00D94B5A" w:rsidP="001725A5">
            <w:pPr>
              <w:pStyle w:val="TableText"/>
              <w:spacing w:before="14" w:after="14"/>
              <w:ind w:right="576"/>
              <w:rPr>
                <w:szCs w:val="24"/>
              </w:rPr>
            </w:pPr>
            <w:r w:rsidRPr="00953DA6">
              <w:rPr>
                <w:color w:val="000000"/>
                <w:szCs w:val="24"/>
              </w:rPr>
              <w:t>2</w:t>
            </w:r>
          </w:p>
        </w:tc>
      </w:tr>
      <w:tr w:rsidR="00152C7E" w:rsidRPr="00C34C12" w14:paraId="4A74F53C" w14:textId="77777777" w:rsidTr="00EC5FA8">
        <w:trPr>
          <w:trHeight w:val="80"/>
        </w:trPr>
        <w:tc>
          <w:tcPr>
            <w:tcW w:w="0" w:type="dxa"/>
          </w:tcPr>
          <w:p w14:paraId="4EFA8B08" w14:textId="71338008" w:rsidR="00152C7E" w:rsidRPr="00C34C12" w:rsidRDefault="00152C7E" w:rsidP="001725A5">
            <w:pPr>
              <w:pStyle w:val="TableText"/>
              <w:spacing w:before="14" w:after="14"/>
              <w:jc w:val="center"/>
              <w:rPr>
                <w:noProof w:val="0"/>
              </w:rPr>
            </w:pPr>
            <w:r w:rsidRPr="004B2D24">
              <w:rPr>
                <w:color w:val="000000"/>
                <w:szCs w:val="24"/>
              </w:rPr>
              <w:t>30</w:t>
            </w:r>
          </w:p>
        </w:tc>
        <w:tc>
          <w:tcPr>
            <w:tcW w:w="0" w:type="dxa"/>
            <w:vAlign w:val="bottom"/>
          </w:tcPr>
          <w:p w14:paraId="7CB4835A" w14:textId="0FED5D23" w:rsidR="00152C7E" w:rsidRPr="004C5198" w:rsidRDefault="00D94B5A" w:rsidP="001725A5">
            <w:pPr>
              <w:pStyle w:val="TableText"/>
              <w:spacing w:before="14" w:after="14"/>
              <w:ind w:right="468"/>
              <w:rPr>
                <w:szCs w:val="24"/>
              </w:rPr>
            </w:pPr>
            <w:r w:rsidRPr="00953DA6">
              <w:rPr>
                <w:color w:val="000000"/>
                <w:szCs w:val="24"/>
              </w:rPr>
              <w:t>83</w:t>
            </w:r>
          </w:p>
        </w:tc>
        <w:tc>
          <w:tcPr>
            <w:tcW w:w="0" w:type="dxa"/>
            <w:vAlign w:val="bottom"/>
          </w:tcPr>
          <w:p w14:paraId="341FFE8B" w14:textId="201AC083" w:rsidR="00152C7E" w:rsidRPr="009B258A" w:rsidRDefault="00D94B5A" w:rsidP="001725A5">
            <w:pPr>
              <w:pStyle w:val="TableText"/>
              <w:spacing w:before="14" w:after="14"/>
              <w:ind w:right="576"/>
              <w:rPr>
                <w:szCs w:val="24"/>
              </w:rPr>
            </w:pPr>
            <w:r w:rsidRPr="009B258A">
              <w:rPr>
                <w:color w:val="000000"/>
                <w:szCs w:val="24"/>
              </w:rPr>
              <w:t>2</w:t>
            </w:r>
          </w:p>
        </w:tc>
      </w:tr>
      <w:tr w:rsidR="00152C7E" w:rsidRPr="00C34C12" w14:paraId="0D687B57" w14:textId="77777777" w:rsidTr="00EC5FA8">
        <w:trPr>
          <w:trHeight w:val="80"/>
        </w:trPr>
        <w:tc>
          <w:tcPr>
            <w:tcW w:w="0" w:type="dxa"/>
          </w:tcPr>
          <w:p w14:paraId="03F0D75E" w14:textId="049798EA" w:rsidR="00152C7E" w:rsidRPr="00C34C12" w:rsidRDefault="00152C7E" w:rsidP="001725A5">
            <w:pPr>
              <w:pStyle w:val="TableText"/>
              <w:spacing w:before="14" w:after="14"/>
              <w:jc w:val="center"/>
              <w:rPr>
                <w:noProof w:val="0"/>
              </w:rPr>
            </w:pPr>
            <w:r w:rsidRPr="004B2D24">
              <w:rPr>
                <w:color w:val="000000"/>
                <w:szCs w:val="24"/>
              </w:rPr>
              <w:t>31</w:t>
            </w:r>
          </w:p>
        </w:tc>
        <w:tc>
          <w:tcPr>
            <w:tcW w:w="0" w:type="dxa"/>
            <w:vAlign w:val="bottom"/>
          </w:tcPr>
          <w:p w14:paraId="4982D916" w14:textId="3D582F4A" w:rsidR="00152C7E" w:rsidRPr="00567CE2" w:rsidRDefault="00D94B5A" w:rsidP="001725A5">
            <w:pPr>
              <w:pStyle w:val="TableText"/>
              <w:spacing w:before="14" w:after="14"/>
              <w:ind w:right="468"/>
              <w:rPr>
                <w:szCs w:val="24"/>
              </w:rPr>
            </w:pPr>
            <w:r w:rsidRPr="004C5198">
              <w:rPr>
                <w:color w:val="000000"/>
                <w:szCs w:val="24"/>
              </w:rPr>
              <w:t>86</w:t>
            </w:r>
          </w:p>
        </w:tc>
        <w:tc>
          <w:tcPr>
            <w:tcW w:w="0" w:type="dxa"/>
            <w:vAlign w:val="bottom"/>
          </w:tcPr>
          <w:p w14:paraId="3BCEF3B7" w14:textId="7B1B1195" w:rsidR="00152C7E" w:rsidRPr="009B258A" w:rsidRDefault="00D94B5A" w:rsidP="001725A5">
            <w:pPr>
              <w:pStyle w:val="TableText"/>
              <w:spacing w:before="14" w:after="14"/>
              <w:ind w:right="576"/>
              <w:rPr>
                <w:szCs w:val="24"/>
              </w:rPr>
            </w:pPr>
            <w:r w:rsidRPr="00567CE2">
              <w:rPr>
                <w:color w:val="000000"/>
                <w:szCs w:val="24"/>
              </w:rPr>
              <w:t>2</w:t>
            </w:r>
          </w:p>
        </w:tc>
      </w:tr>
      <w:tr w:rsidR="00152C7E" w:rsidRPr="00C34C12" w14:paraId="7004A3F4" w14:textId="77777777" w:rsidTr="00EC5FA8">
        <w:trPr>
          <w:trHeight w:val="80"/>
        </w:trPr>
        <w:tc>
          <w:tcPr>
            <w:tcW w:w="0" w:type="dxa"/>
          </w:tcPr>
          <w:p w14:paraId="7C50737F" w14:textId="47385009" w:rsidR="00152C7E" w:rsidRPr="00C34C12" w:rsidRDefault="00152C7E" w:rsidP="001725A5">
            <w:pPr>
              <w:pStyle w:val="TableText"/>
              <w:spacing w:before="14" w:after="14"/>
              <w:jc w:val="center"/>
              <w:rPr>
                <w:noProof w:val="0"/>
              </w:rPr>
            </w:pPr>
            <w:r w:rsidRPr="004B2D24">
              <w:rPr>
                <w:color w:val="000000"/>
                <w:szCs w:val="24"/>
              </w:rPr>
              <w:t>32</w:t>
            </w:r>
          </w:p>
        </w:tc>
        <w:tc>
          <w:tcPr>
            <w:tcW w:w="0" w:type="dxa"/>
            <w:vAlign w:val="bottom"/>
          </w:tcPr>
          <w:p w14:paraId="356BC680" w14:textId="587E69F4" w:rsidR="00152C7E" w:rsidRPr="00567CE2" w:rsidRDefault="0075317A" w:rsidP="001725A5">
            <w:pPr>
              <w:pStyle w:val="TableText"/>
              <w:spacing w:before="14" w:after="14"/>
              <w:ind w:right="468"/>
              <w:rPr>
                <w:szCs w:val="24"/>
              </w:rPr>
            </w:pPr>
            <w:r w:rsidRPr="009B258A">
              <w:rPr>
                <w:color w:val="000000"/>
                <w:szCs w:val="24"/>
              </w:rPr>
              <w:t>89</w:t>
            </w:r>
          </w:p>
        </w:tc>
        <w:tc>
          <w:tcPr>
            <w:tcW w:w="0" w:type="dxa"/>
            <w:vAlign w:val="bottom"/>
          </w:tcPr>
          <w:p w14:paraId="02AADD9E" w14:textId="04B393FB" w:rsidR="00152C7E" w:rsidRPr="00567CE2" w:rsidRDefault="0075317A" w:rsidP="001725A5">
            <w:pPr>
              <w:pStyle w:val="TableText"/>
              <w:spacing w:before="14" w:after="14"/>
              <w:ind w:right="576"/>
              <w:rPr>
                <w:szCs w:val="24"/>
              </w:rPr>
            </w:pPr>
            <w:r w:rsidRPr="00567CE2">
              <w:rPr>
                <w:color w:val="000000"/>
                <w:szCs w:val="24"/>
              </w:rPr>
              <w:t>2</w:t>
            </w:r>
          </w:p>
        </w:tc>
      </w:tr>
      <w:tr w:rsidR="00152C7E" w:rsidRPr="00C34C12" w14:paraId="534D84BA" w14:textId="77777777" w:rsidTr="00EC5FA8">
        <w:trPr>
          <w:trHeight w:val="80"/>
        </w:trPr>
        <w:tc>
          <w:tcPr>
            <w:tcW w:w="0" w:type="dxa"/>
          </w:tcPr>
          <w:p w14:paraId="7D12B243" w14:textId="132688C0" w:rsidR="00152C7E" w:rsidRPr="00C34C12" w:rsidRDefault="00152C7E" w:rsidP="001725A5">
            <w:pPr>
              <w:pStyle w:val="TableText"/>
              <w:spacing w:before="14" w:after="14"/>
              <w:jc w:val="center"/>
              <w:rPr>
                <w:noProof w:val="0"/>
              </w:rPr>
            </w:pPr>
            <w:r w:rsidRPr="004B2D24">
              <w:rPr>
                <w:color w:val="000000"/>
                <w:szCs w:val="24"/>
              </w:rPr>
              <w:t>33</w:t>
            </w:r>
          </w:p>
        </w:tc>
        <w:tc>
          <w:tcPr>
            <w:tcW w:w="0" w:type="dxa"/>
            <w:vAlign w:val="bottom"/>
          </w:tcPr>
          <w:p w14:paraId="514DB764" w14:textId="7840AB98" w:rsidR="00152C7E" w:rsidRPr="00567CE2" w:rsidRDefault="0075317A" w:rsidP="001725A5">
            <w:pPr>
              <w:pStyle w:val="TableText"/>
              <w:spacing w:before="14" w:after="14"/>
              <w:ind w:right="468"/>
              <w:rPr>
                <w:szCs w:val="24"/>
              </w:rPr>
            </w:pPr>
            <w:r w:rsidRPr="00567CE2">
              <w:rPr>
                <w:color w:val="000000"/>
                <w:szCs w:val="24"/>
              </w:rPr>
              <w:t>92</w:t>
            </w:r>
          </w:p>
        </w:tc>
        <w:tc>
          <w:tcPr>
            <w:tcW w:w="0" w:type="dxa"/>
            <w:vAlign w:val="bottom"/>
          </w:tcPr>
          <w:p w14:paraId="2D814554" w14:textId="6403D4E3" w:rsidR="00152C7E" w:rsidRPr="00567CE2" w:rsidRDefault="0075317A" w:rsidP="001725A5">
            <w:pPr>
              <w:pStyle w:val="TableText"/>
              <w:spacing w:before="14" w:after="14"/>
              <w:ind w:right="576"/>
              <w:rPr>
                <w:szCs w:val="24"/>
              </w:rPr>
            </w:pPr>
            <w:r w:rsidRPr="001E0E15">
              <w:rPr>
                <w:color w:val="000000"/>
                <w:szCs w:val="24"/>
              </w:rPr>
              <w:t>3</w:t>
            </w:r>
          </w:p>
        </w:tc>
      </w:tr>
      <w:tr w:rsidR="00152C7E" w:rsidRPr="00C34C12" w14:paraId="5CCC6298" w14:textId="77777777" w:rsidTr="00EC5FA8">
        <w:trPr>
          <w:trHeight w:val="80"/>
        </w:trPr>
        <w:tc>
          <w:tcPr>
            <w:tcW w:w="0" w:type="dxa"/>
          </w:tcPr>
          <w:p w14:paraId="5FE9ABE9" w14:textId="4C822730" w:rsidR="00152C7E" w:rsidRPr="00C34C12" w:rsidRDefault="00152C7E" w:rsidP="001725A5">
            <w:pPr>
              <w:pStyle w:val="TableText"/>
              <w:spacing w:before="14" w:after="14"/>
              <w:jc w:val="center"/>
              <w:rPr>
                <w:noProof w:val="0"/>
              </w:rPr>
            </w:pPr>
            <w:r w:rsidRPr="004B2D24">
              <w:rPr>
                <w:color w:val="000000"/>
                <w:szCs w:val="24"/>
              </w:rPr>
              <w:t>34</w:t>
            </w:r>
          </w:p>
        </w:tc>
        <w:tc>
          <w:tcPr>
            <w:tcW w:w="0" w:type="dxa"/>
            <w:vAlign w:val="bottom"/>
          </w:tcPr>
          <w:p w14:paraId="2274E968" w14:textId="020AED3F" w:rsidR="00152C7E" w:rsidRPr="00567CE2" w:rsidRDefault="0075317A" w:rsidP="001725A5">
            <w:pPr>
              <w:pStyle w:val="TableText"/>
              <w:spacing w:before="14" w:after="14"/>
              <w:ind w:right="468"/>
              <w:rPr>
                <w:szCs w:val="24"/>
              </w:rPr>
            </w:pPr>
            <w:r w:rsidRPr="00567CE2">
              <w:rPr>
                <w:color w:val="000000"/>
                <w:szCs w:val="24"/>
              </w:rPr>
              <w:t>94</w:t>
            </w:r>
          </w:p>
        </w:tc>
        <w:tc>
          <w:tcPr>
            <w:tcW w:w="0" w:type="dxa"/>
            <w:vAlign w:val="bottom"/>
          </w:tcPr>
          <w:p w14:paraId="7A2AF380" w14:textId="783C4920" w:rsidR="00152C7E" w:rsidRPr="004C5198" w:rsidRDefault="0075317A" w:rsidP="001725A5">
            <w:pPr>
              <w:pStyle w:val="TableText"/>
              <w:spacing w:before="14" w:after="14"/>
              <w:ind w:right="576"/>
              <w:rPr>
                <w:szCs w:val="24"/>
              </w:rPr>
            </w:pPr>
            <w:r w:rsidRPr="00567CE2">
              <w:rPr>
                <w:color w:val="000000"/>
                <w:szCs w:val="24"/>
              </w:rPr>
              <w:t>3</w:t>
            </w:r>
          </w:p>
        </w:tc>
      </w:tr>
      <w:tr w:rsidR="00152C7E" w:rsidRPr="00C34C12" w14:paraId="7CE54B8E" w14:textId="77777777" w:rsidTr="00EC5FA8">
        <w:trPr>
          <w:trHeight w:val="80"/>
        </w:trPr>
        <w:tc>
          <w:tcPr>
            <w:tcW w:w="0" w:type="dxa"/>
          </w:tcPr>
          <w:p w14:paraId="27EF4D0B" w14:textId="02AFE1A2" w:rsidR="00152C7E" w:rsidRPr="00C34C12" w:rsidRDefault="00152C7E" w:rsidP="001725A5">
            <w:pPr>
              <w:pStyle w:val="TableText"/>
              <w:spacing w:before="14" w:after="14"/>
              <w:jc w:val="center"/>
              <w:rPr>
                <w:noProof w:val="0"/>
              </w:rPr>
            </w:pPr>
            <w:r w:rsidRPr="004B2D24">
              <w:rPr>
                <w:color w:val="000000"/>
                <w:szCs w:val="24"/>
              </w:rPr>
              <w:t>35</w:t>
            </w:r>
          </w:p>
        </w:tc>
        <w:tc>
          <w:tcPr>
            <w:tcW w:w="0" w:type="dxa"/>
            <w:vAlign w:val="bottom"/>
          </w:tcPr>
          <w:p w14:paraId="226B6116" w14:textId="3BCE3628" w:rsidR="00152C7E" w:rsidRPr="00567CE2" w:rsidRDefault="0075317A" w:rsidP="001725A5">
            <w:pPr>
              <w:pStyle w:val="TableText"/>
              <w:spacing w:before="14" w:after="14"/>
              <w:ind w:right="468"/>
              <w:rPr>
                <w:szCs w:val="24"/>
              </w:rPr>
            </w:pPr>
            <w:r w:rsidRPr="00567CE2">
              <w:rPr>
                <w:color w:val="000000"/>
                <w:szCs w:val="24"/>
              </w:rPr>
              <w:t>97</w:t>
            </w:r>
          </w:p>
        </w:tc>
        <w:tc>
          <w:tcPr>
            <w:tcW w:w="0" w:type="dxa"/>
            <w:vAlign w:val="bottom"/>
          </w:tcPr>
          <w:p w14:paraId="0C78446A" w14:textId="71006BBA" w:rsidR="00152C7E" w:rsidRPr="00953DA6" w:rsidRDefault="0075317A" w:rsidP="001725A5">
            <w:pPr>
              <w:pStyle w:val="TableText"/>
              <w:spacing w:before="14" w:after="14"/>
              <w:ind w:right="576"/>
              <w:rPr>
                <w:szCs w:val="24"/>
              </w:rPr>
            </w:pPr>
            <w:r w:rsidRPr="00953DA6">
              <w:rPr>
                <w:color w:val="000000"/>
                <w:szCs w:val="24"/>
              </w:rPr>
              <w:t>3</w:t>
            </w:r>
          </w:p>
        </w:tc>
      </w:tr>
      <w:tr w:rsidR="00152C7E" w:rsidRPr="00C34C12" w14:paraId="2F422E13" w14:textId="77777777" w:rsidTr="00EC5FA8">
        <w:trPr>
          <w:trHeight w:val="80"/>
        </w:trPr>
        <w:tc>
          <w:tcPr>
            <w:tcW w:w="0" w:type="dxa"/>
          </w:tcPr>
          <w:p w14:paraId="03907782" w14:textId="3104AB9E" w:rsidR="00152C7E" w:rsidRPr="00C34C12" w:rsidRDefault="00152C7E" w:rsidP="001725A5">
            <w:pPr>
              <w:pStyle w:val="TableText"/>
              <w:spacing w:before="14" w:after="14"/>
              <w:jc w:val="center"/>
              <w:rPr>
                <w:noProof w:val="0"/>
              </w:rPr>
            </w:pPr>
            <w:r w:rsidRPr="004B2D24">
              <w:rPr>
                <w:color w:val="000000"/>
                <w:szCs w:val="24"/>
              </w:rPr>
              <w:t>36</w:t>
            </w:r>
          </w:p>
        </w:tc>
        <w:tc>
          <w:tcPr>
            <w:tcW w:w="0" w:type="dxa"/>
            <w:vAlign w:val="bottom"/>
          </w:tcPr>
          <w:p w14:paraId="58455F83" w14:textId="3831BE8C" w:rsidR="00152C7E" w:rsidRPr="00953DA6" w:rsidRDefault="0075317A" w:rsidP="001725A5">
            <w:pPr>
              <w:pStyle w:val="TableText"/>
              <w:spacing w:before="14" w:after="14"/>
              <w:ind w:right="468"/>
              <w:rPr>
                <w:szCs w:val="24"/>
              </w:rPr>
            </w:pPr>
            <w:r w:rsidRPr="004C5198">
              <w:rPr>
                <w:color w:val="000000"/>
                <w:szCs w:val="24"/>
              </w:rPr>
              <w:t>100</w:t>
            </w:r>
          </w:p>
        </w:tc>
        <w:tc>
          <w:tcPr>
            <w:tcW w:w="0" w:type="dxa"/>
            <w:vAlign w:val="bottom"/>
          </w:tcPr>
          <w:p w14:paraId="786E01A6" w14:textId="6767E3FD" w:rsidR="00152C7E" w:rsidRPr="00953DA6" w:rsidRDefault="0075317A" w:rsidP="001725A5">
            <w:pPr>
              <w:pStyle w:val="TableText"/>
              <w:spacing w:before="14" w:after="14"/>
              <w:ind w:right="576"/>
              <w:rPr>
                <w:szCs w:val="24"/>
              </w:rPr>
            </w:pPr>
            <w:r w:rsidRPr="00953DA6">
              <w:rPr>
                <w:color w:val="000000"/>
                <w:szCs w:val="24"/>
              </w:rPr>
              <w:t>3</w:t>
            </w:r>
          </w:p>
        </w:tc>
      </w:tr>
    </w:tbl>
    <w:p w14:paraId="18EE509E" w14:textId="77777777" w:rsidR="005945CE" w:rsidRPr="00C34C12" w:rsidRDefault="005945CE" w:rsidP="005945CE">
      <w:pPr>
        <w:rPr>
          <w:sz w:val="2"/>
          <w:szCs w:val="2"/>
        </w:rPr>
      </w:pPr>
    </w:p>
    <w:p w14:paraId="09977C58" w14:textId="25AAF49E" w:rsidR="005945CE" w:rsidRPr="00C34C12" w:rsidRDefault="000F52BB" w:rsidP="005945CE">
      <w:pPr>
        <w:spacing w:before="120"/>
      </w:pPr>
      <w:r w:rsidRPr="007C431E">
        <w:rPr>
          <w:rStyle w:val="Cross-Reference"/>
        </w:rPr>
        <w:lastRenderedPageBreak/>
        <w:fldChar w:fldCharType="begin"/>
      </w:r>
      <w:r w:rsidRPr="007C431E">
        <w:rPr>
          <w:rStyle w:val="Cross-Reference"/>
        </w:rPr>
        <w:instrText xml:space="preserve"> REF _Ref30149967 \h  \* MERGEFORMAT </w:instrText>
      </w:r>
      <w:r w:rsidRPr="007C431E">
        <w:rPr>
          <w:rStyle w:val="Cross-Reference"/>
        </w:rPr>
      </w:r>
      <w:r w:rsidRPr="007C431E">
        <w:rPr>
          <w:rStyle w:val="Cross-Reference"/>
        </w:rPr>
        <w:fldChar w:fldCharType="separate"/>
      </w:r>
      <w:r w:rsidR="0074738A" w:rsidRPr="0074738A">
        <w:rPr>
          <w:rStyle w:val="Cross-Reference"/>
        </w:rPr>
        <w:t>Table 6.A.1</w:t>
      </w:r>
      <w:r w:rsidRPr="007C431E">
        <w:rPr>
          <w:rStyle w:val="Cross-Reference"/>
        </w:rPr>
        <w:fldChar w:fldCharType="end"/>
      </w:r>
      <w:r w:rsidR="005945CE" w:rsidRPr="00C34C12">
        <w:t xml:space="preserve"> </w:t>
      </w:r>
      <w:r w:rsidR="005C028D">
        <w:t xml:space="preserve">in </w:t>
      </w:r>
      <w:hyperlink w:anchor="_Appendix_6.A:_Preliminary" w:history="1">
        <w:r w:rsidR="005C028D" w:rsidRPr="005C028D">
          <w:rPr>
            <w:rStyle w:val="Hyperlink"/>
          </w:rPr>
          <w:t>appendix 6.A</w:t>
        </w:r>
      </w:hyperlink>
      <w:r w:rsidR="005C028D">
        <w:t xml:space="preserve"> </w:t>
      </w:r>
      <w:r w:rsidR="005945CE" w:rsidRPr="00C34C12">
        <w:t>shows</w:t>
      </w:r>
      <w:r w:rsidR="00243B11">
        <w:t xml:space="preserve"> </w:t>
      </w:r>
      <w:r w:rsidR="005945CE" w:rsidRPr="00C34C12">
        <w:t xml:space="preserve">the percentage of students at each </w:t>
      </w:r>
      <w:r w:rsidR="00327F4C">
        <w:t xml:space="preserve">preliminary </w:t>
      </w:r>
      <w:r w:rsidR="005945CE" w:rsidRPr="00C34C12">
        <w:t xml:space="preserve">category level. </w:t>
      </w:r>
      <w:r w:rsidR="00A2370F" w:rsidRPr="00BA1018">
        <w:rPr>
          <w:rStyle w:val="Cross-Reference"/>
        </w:rPr>
        <w:fldChar w:fldCharType="begin"/>
      </w:r>
      <w:r w:rsidR="00A2370F" w:rsidRPr="00BA1018">
        <w:rPr>
          <w:rStyle w:val="Cross-Reference"/>
        </w:rPr>
        <w:instrText xml:space="preserve"> REF _Ref30149967 \h  \* MERGEFORMAT </w:instrText>
      </w:r>
      <w:r w:rsidR="00A2370F" w:rsidRPr="00BA1018">
        <w:rPr>
          <w:rStyle w:val="Cross-Reference"/>
        </w:rPr>
      </w:r>
      <w:r w:rsidR="00A2370F" w:rsidRPr="00BA1018">
        <w:rPr>
          <w:rStyle w:val="Cross-Reference"/>
        </w:rPr>
        <w:fldChar w:fldCharType="separate"/>
      </w:r>
      <w:r w:rsidR="0074738A" w:rsidRPr="0074738A">
        <w:rPr>
          <w:rStyle w:val="Cross-Reference"/>
        </w:rPr>
        <w:t>Table 6.A.1</w:t>
      </w:r>
      <w:r w:rsidR="00A2370F" w:rsidRPr="00BA1018">
        <w:rPr>
          <w:rStyle w:val="Cross-Reference"/>
        </w:rPr>
        <w:fldChar w:fldCharType="end"/>
      </w:r>
      <w:r w:rsidR="00351CF4">
        <w:t xml:space="preserve"> is based on all students who completed all four embedded PTs and who had a valid test score</w:t>
      </w:r>
      <w:r w:rsidR="00ED6458">
        <w:t xml:space="preserve">. </w:t>
      </w:r>
      <w:r w:rsidR="005C4334">
        <w:t>T</w:t>
      </w:r>
      <w:r w:rsidR="00ED6458">
        <w:t>he majority of students</w:t>
      </w:r>
      <w:r w:rsidR="0085056F">
        <w:t xml:space="preserve"> with scores</w:t>
      </w:r>
      <w:r w:rsidR="00ED6458">
        <w:t xml:space="preserve"> at all grade levels </w:t>
      </w:r>
      <w:r w:rsidR="00E56370">
        <w:t>were cl</w:t>
      </w:r>
      <w:r w:rsidR="00E10291">
        <w:t>assified as being in preliminary category 2.</w:t>
      </w:r>
    </w:p>
    <w:p w14:paraId="08D81D3C" w14:textId="36FB28EE" w:rsidR="00417F6F" w:rsidRDefault="00417F6F" w:rsidP="00DB6635">
      <w:pPr>
        <w:pStyle w:val="Heading3"/>
        <w:pageBreakBefore/>
        <w:numPr>
          <w:ilvl w:val="0"/>
          <w:numId w:val="0"/>
        </w:numPr>
      </w:pPr>
      <w:bookmarkStart w:id="544" w:name="_Toc182555203"/>
      <w:r w:rsidRPr="004B2D24">
        <w:lastRenderedPageBreak/>
        <w:t>Reference</w:t>
      </w:r>
      <w:bookmarkEnd w:id="544"/>
    </w:p>
    <w:p w14:paraId="57444561" w14:textId="3859D1F7" w:rsidR="005945CE" w:rsidRPr="00C34C12" w:rsidRDefault="005945CE" w:rsidP="005945CE">
      <w:pPr>
        <w:pStyle w:val="References"/>
      </w:pPr>
      <w:bookmarkStart w:id="545" w:name="_Hlk35094439"/>
      <w:r w:rsidRPr="00C34C12">
        <w:t xml:space="preserve">California Department of Education. (2019). </w:t>
      </w:r>
      <w:r w:rsidRPr="00C34C12">
        <w:rPr>
          <w:i/>
          <w:iCs/>
        </w:rPr>
        <w:t xml:space="preserve">California Alternate Assessment for Science directions for administration, training performance task, fossils and </w:t>
      </w:r>
      <w:r w:rsidR="00BC7A02">
        <w:rPr>
          <w:i/>
          <w:iCs/>
        </w:rPr>
        <w:t>plate tectonics</w:t>
      </w:r>
      <w:r w:rsidRPr="00C34C12">
        <w:rPr>
          <w:i/>
          <w:iCs/>
        </w:rPr>
        <w:t xml:space="preserve">. </w:t>
      </w:r>
      <w:r w:rsidRPr="00C34C12">
        <w:t xml:space="preserve">Sacramento, CA: California Department of Education. </w:t>
      </w:r>
    </w:p>
    <w:p w14:paraId="3EF3F1B6" w14:textId="77777777" w:rsidR="008C10DF" w:rsidRPr="00C34C12" w:rsidRDefault="008C10DF" w:rsidP="008C10DF">
      <w:pPr>
        <w:pStyle w:val="Heading3"/>
        <w:pageBreakBefore/>
        <w:numPr>
          <w:ilvl w:val="0"/>
          <w:numId w:val="0"/>
        </w:numPr>
        <w:ind w:left="360" w:hanging="360"/>
      </w:pPr>
      <w:bookmarkStart w:id="546" w:name="_Toc38901286"/>
      <w:bookmarkStart w:id="547" w:name="_Toc182555204"/>
      <w:bookmarkEnd w:id="545"/>
      <w:r w:rsidRPr="00C34C12">
        <w:lastRenderedPageBreak/>
        <w:t>Accessibility Information</w:t>
      </w:r>
      <w:bookmarkEnd w:id="546"/>
      <w:bookmarkEnd w:id="547"/>
    </w:p>
    <w:p w14:paraId="2F8CB679" w14:textId="77777777" w:rsidR="008C10DF" w:rsidRPr="00C34C12" w:rsidRDefault="008C10DF" w:rsidP="008C10DF">
      <w:pPr>
        <w:pStyle w:val="Heading4"/>
        <w:numPr>
          <w:ilvl w:val="0"/>
          <w:numId w:val="0"/>
        </w:numPr>
        <w:ind w:left="792" w:hanging="792"/>
      </w:pPr>
      <w:bookmarkStart w:id="548" w:name="_Alternative_Text_for_10"/>
      <w:bookmarkStart w:id="549" w:name="_Toc38901287"/>
      <w:bookmarkStart w:id="550" w:name="_Toc182555205"/>
      <w:bookmarkEnd w:id="548"/>
      <w:r w:rsidRPr="00C34C12">
        <w:t>Alternative Text for Equation 6.1</w:t>
      </w:r>
      <w:bookmarkEnd w:id="549"/>
      <w:bookmarkEnd w:id="550"/>
    </w:p>
    <w:p w14:paraId="44411440" w14:textId="46A3DB26" w:rsidR="008C10DF" w:rsidRPr="00C34C12" w:rsidRDefault="008C10DF" w:rsidP="008C10DF">
      <w:r w:rsidRPr="00C34C12">
        <w:t>Percent correct equals the number of points earned for all items divided by the maximum number of points for all items.</w:t>
      </w:r>
      <w:r w:rsidR="000909AF" w:rsidRPr="000909AF">
        <w:t xml:space="preserve"> </w:t>
      </w:r>
      <w:r w:rsidR="000909AF" w:rsidRPr="000909AF">
        <w:rPr>
          <w:i/>
          <w:iCs/>
        </w:rPr>
        <w:t xml:space="preserve">(Return to </w:t>
      </w:r>
      <w:hyperlink w:anchor="EQ6_1" w:history="1">
        <w:r w:rsidR="000909AF" w:rsidRPr="00807C6E">
          <w:rPr>
            <w:rStyle w:val="Hyperlink"/>
            <w:i/>
            <w:iCs/>
          </w:rPr>
          <w:t>equation 6.1</w:t>
        </w:r>
      </w:hyperlink>
      <w:r w:rsidR="000909AF" w:rsidRPr="000909AF">
        <w:rPr>
          <w:i/>
          <w:iCs/>
        </w:rPr>
        <w:t>.)</w:t>
      </w:r>
    </w:p>
    <w:p w14:paraId="6E74E914" w14:textId="701F1C75" w:rsidR="00DB6635" w:rsidRDefault="001267FB" w:rsidP="001267FB">
      <w:pPr>
        <w:pStyle w:val="Heading3"/>
        <w:pageBreakBefore/>
        <w:numPr>
          <w:ilvl w:val="0"/>
          <w:numId w:val="0"/>
        </w:numPr>
        <w:ind w:left="446" w:hanging="446"/>
      </w:pPr>
      <w:bookmarkStart w:id="551" w:name="_Appendix_6.A:_Preliminary"/>
      <w:bookmarkStart w:id="552" w:name="_Toc38636148"/>
      <w:bookmarkStart w:id="553" w:name="_Toc182555206"/>
      <w:bookmarkEnd w:id="551"/>
      <w:r>
        <w:lastRenderedPageBreak/>
        <w:t xml:space="preserve">Appendix 6.A: </w:t>
      </w:r>
      <w:r w:rsidR="00C22EE1">
        <w:t xml:space="preserve">Preliminary Indicator </w:t>
      </w:r>
      <w:r>
        <w:t>Summa</w:t>
      </w:r>
      <w:r w:rsidR="00C22EE1">
        <w:t>ry</w:t>
      </w:r>
      <w:bookmarkEnd w:id="552"/>
      <w:bookmarkEnd w:id="553"/>
    </w:p>
    <w:p w14:paraId="1DE3F289" w14:textId="15F33A8C" w:rsidR="001267FB" w:rsidRDefault="001267FB" w:rsidP="001267FB">
      <w:pPr>
        <w:pStyle w:val="Caption"/>
      </w:pPr>
      <w:bookmarkStart w:id="554" w:name="_Ref30149967"/>
      <w:bookmarkStart w:id="555" w:name="_Toc67319706"/>
      <w:bookmarkStart w:id="556" w:name="_Toc62213719"/>
      <w:bookmarkStart w:id="557" w:name="_Toc220498710"/>
      <w:r>
        <w:t>Table 6.A.</w:t>
      </w:r>
      <w:r>
        <w:rPr>
          <w:noProof/>
        </w:rPr>
        <w:fldChar w:fldCharType="begin"/>
      </w:r>
      <w:r>
        <w:rPr>
          <w:noProof/>
        </w:rPr>
        <w:instrText xml:space="preserve"> SEQ Table_6.A. \* ARABIC </w:instrText>
      </w:r>
      <w:r>
        <w:rPr>
          <w:noProof/>
        </w:rPr>
        <w:fldChar w:fldCharType="separate"/>
      </w:r>
      <w:r w:rsidR="00961502">
        <w:rPr>
          <w:noProof/>
        </w:rPr>
        <w:t>1</w:t>
      </w:r>
      <w:r>
        <w:rPr>
          <w:noProof/>
        </w:rPr>
        <w:fldChar w:fldCharType="end"/>
      </w:r>
      <w:bookmarkEnd w:id="554"/>
      <w:r>
        <w:t xml:space="preserve">  Number and Percentage of Students in the Preliminary Indicator Categories</w:t>
      </w:r>
      <w:bookmarkEnd w:id="555"/>
      <w:bookmarkEnd w:id="556"/>
      <w:bookmarkEnd w:id="557"/>
    </w:p>
    <w:tbl>
      <w:tblPr>
        <w:tblStyle w:val="TRs"/>
        <w:tblW w:w="7056" w:type="dxa"/>
        <w:tblLayout w:type="fixed"/>
        <w:tblLook w:val="04A0" w:firstRow="1" w:lastRow="0" w:firstColumn="1" w:lastColumn="0" w:noHBand="0" w:noVBand="1"/>
        <w:tblDescription w:val="Number and Percentage of Students in the Preliminary Indicator Categories"/>
      </w:tblPr>
      <w:tblGrid>
        <w:gridCol w:w="2016"/>
        <w:gridCol w:w="720"/>
        <w:gridCol w:w="720"/>
        <w:gridCol w:w="720"/>
        <w:gridCol w:w="720"/>
        <w:gridCol w:w="720"/>
        <w:gridCol w:w="720"/>
        <w:gridCol w:w="720"/>
      </w:tblGrid>
      <w:tr w:rsidR="002D3906" w:rsidRPr="008E7168" w14:paraId="005C83F9" w14:textId="108039FF" w:rsidTr="00BA1018">
        <w:trPr>
          <w:cnfStyle w:val="100000000000" w:firstRow="1" w:lastRow="0" w:firstColumn="0" w:lastColumn="0" w:oddVBand="0" w:evenVBand="0" w:oddHBand="0" w:evenHBand="0" w:firstRowFirstColumn="0" w:firstRowLastColumn="0" w:lastRowFirstColumn="0" w:lastRowLastColumn="0"/>
          <w:trHeight w:val="3168"/>
        </w:trPr>
        <w:tc>
          <w:tcPr>
            <w:tcW w:w="2016" w:type="dxa"/>
            <w:hideMark/>
          </w:tcPr>
          <w:p w14:paraId="4CDC4311" w14:textId="225994C2" w:rsidR="001267FB" w:rsidRPr="008E7168" w:rsidRDefault="001267FB" w:rsidP="003F570B">
            <w:pPr>
              <w:pStyle w:val="TableHead"/>
              <w:rPr>
                <w:b w:val="0"/>
                <w:bCs w:val="0"/>
              </w:rPr>
            </w:pPr>
            <w:r w:rsidRPr="008E7168">
              <w:rPr>
                <w:bCs w:val="0"/>
              </w:rPr>
              <w:t>Grade</w:t>
            </w:r>
            <w:r w:rsidR="002A5BCA">
              <w:rPr>
                <w:bCs w:val="0"/>
              </w:rPr>
              <w:t xml:space="preserve"> Level</w:t>
            </w:r>
            <w:r w:rsidR="00E33AC3">
              <w:rPr>
                <w:bCs w:val="0"/>
              </w:rPr>
              <w:t xml:space="preserve"> or Grade Band</w:t>
            </w:r>
          </w:p>
        </w:tc>
        <w:tc>
          <w:tcPr>
            <w:tcW w:w="720" w:type="dxa"/>
            <w:textDirection w:val="btLr"/>
            <w:vAlign w:val="center"/>
            <w:hideMark/>
          </w:tcPr>
          <w:p w14:paraId="3905C016" w14:textId="7F248DC1" w:rsidR="001267FB" w:rsidRPr="008E7168" w:rsidRDefault="001267FB" w:rsidP="00BA1018">
            <w:pPr>
              <w:pStyle w:val="TableHead"/>
              <w:ind w:left="113" w:right="113"/>
              <w:jc w:val="left"/>
              <w:rPr>
                <w:b w:val="0"/>
                <w:bCs w:val="0"/>
              </w:rPr>
            </w:pPr>
            <w:r w:rsidRPr="008E7168">
              <w:rPr>
                <w:bCs w:val="0"/>
              </w:rPr>
              <w:t>Preliminary Category 1 N</w:t>
            </w:r>
          </w:p>
        </w:tc>
        <w:tc>
          <w:tcPr>
            <w:tcW w:w="720" w:type="dxa"/>
            <w:textDirection w:val="btLr"/>
            <w:vAlign w:val="center"/>
            <w:hideMark/>
          </w:tcPr>
          <w:p w14:paraId="2CA6EED3" w14:textId="408F00A4" w:rsidR="001267FB" w:rsidRPr="008E7168" w:rsidRDefault="001267FB" w:rsidP="00BA1018">
            <w:pPr>
              <w:pStyle w:val="TableHead"/>
              <w:ind w:left="113" w:right="113"/>
              <w:jc w:val="left"/>
              <w:rPr>
                <w:b w:val="0"/>
                <w:bCs w:val="0"/>
              </w:rPr>
            </w:pPr>
            <w:r w:rsidRPr="005F0429">
              <w:rPr>
                <w:bCs w:val="0"/>
                <w:noProof w:val="0"/>
              </w:rPr>
              <w:t>Preliminar</w:t>
            </w:r>
            <w:r w:rsidR="005F0429">
              <w:rPr>
                <w:bCs w:val="0"/>
                <w:noProof w:val="0"/>
              </w:rPr>
              <w:t>y</w:t>
            </w:r>
            <w:r w:rsidRPr="008E7168">
              <w:rPr>
                <w:bCs w:val="0"/>
              </w:rPr>
              <w:t xml:space="preserve"> Category 1 %</w:t>
            </w:r>
          </w:p>
        </w:tc>
        <w:tc>
          <w:tcPr>
            <w:tcW w:w="720" w:type="dxa"/>
            <w:textDirection w:val="btLr"/>
            <w:vAlign w:val="center"/>
            <w:hideMark/>
          </w:tcPr>
          <w:p w14:paraId="1B24DE89" w14:textId="37C40F27" w:rsidR="001267FB" w:rsidRPr="008E7168" w:rsidRDefault="001267FB" w:rsidP="00BA1018">
            <w:pPr>
              <w:pStyle w:val="TableHead"/>
              <w:ind w:left="113" w:right="113"/>
              <w:jc w:val="left"/>
              <w:rPr>
                <w:b w:val="0"/>
                <w:bCs w:val="0"/>
              </w:rPr>
            </w:pPr>
            <w:r w:rsidRPr="008E7168">
              <w:rPr>
                <w:bCs w:val="0"/>
              </w:rPr>
              <w:t>Preliminary Category 2 N</w:t>
            </w:r>
          </w:p>
        </w:tc>
        <w:tc>
          <w:tcPr>
            <w:tcW w:w="720" w:type="dxa"/>
            <w:textDirection w:val="btLr"/>
            <w:vAlign w:val="center"/>
            <w:hideMark/>
          </w:tcPr>
          <w:p w14:paraId="7079E4FD" w14:textId="3850F351" w:rsidR="001267FB" w:rsidRPr="008E7168" w:rsidRDefault="001267FB" w:rsidP="00BA1018">
            <w:pPr>
              <w:pStyle w:val="TableHead"/>
              <w:ind w:left="72" w:right="113"/>
              <w:jc w:val="left"/>
              <w:rPr>
                <w:b w:val="0"/>
                <w:bCs w:val="0"/>
              </w:rPr>
            </w:pPr>
            <w:r w:rsidRPr="005F0429">
              <w:rPr>
                <w:bCs w:val="0"/>
                <w:noProof w:val="0"/>
              </w:rPr>
              <w:t>Preliminar</w:t>
            </w:r>
            <w:r w:rsidR="00C06FB4">
              <w:rPr>
                <w:bCs w:val="0"/>
                <w:noProof w:val="0"/>
              </w:rPr>
              <w:t>y</w:t>
            </w:r>
            <w:r w:rsidRPr="008E7168">
              <w:rPr>
                <w:bCs w:val="0"/>
              </w:rPr>
              <w:t xml:space="preserve"> Category 2 %</w:t>
            </w:r>
          </w:p>
        </w:tc>
        <w:tc>
          <w:tcPr>
            <w:tcW w:w="720" w:type="dxa"/>
            <w:textDirection w:val="btLr"/>
            <w:vAlign w:val="center"/>
            <w:hideMark/>
          </w:tcPr>
          <w:p w14:paraId="0F52B918" w14:textId="6F0E7333" w:rsidR="001267FB" w:rsidRPr="008E7168" w:rsidRDefault="001267FB" w:rsidP="00BA1018">
            <w:pPr>
              <w:pStyle w:val="TableHead"/>
              <w:ind w:left="72" w:right="113"/>
              <w:jc w:val="left"/>
              <w:rPr>
                <w:b w:val="0"/>
                <w:bCs w:val="0"/>
              </w:rPr>
            </w:pPr>
            <w:r w:rsidRPr="008E7168">
              <w:rPr>
                <w:bCs w:val="0"/>
              </w:rPr>
              <w:t>Preliminary Category 3 N</w:t>
            </w:r>
          </w:p>
        </w:tc>
        <w:tc>
          <w:tcPr>
            <w:tcW w:w="720" w:type="dxa"/>
            <w:textDirection w:val="btLr"/>
            <w:vAlign w:val="center"/>
            <w:hideMark/>
          </w:tcPr>
          <w:p w14:paraId="739398DE" w14:textId="0BED201D" w:rsidR="001267FB" w:rsidRPr="008E7168" w:rsidRDefault="001267FB" w:rsidP="00BA1018">
            <w:pPr>
              <w:pStyle w:val="TableHead"/>
              <w:ind w:left="72" w:right="113"/>
              <w:jc w:val="left"/>
              <w:rPr>
                <w:b w:val="0"/>
                <w:bCs w:val="0"/>
              </w:rPr>
            </w:pPr>
            <w:r w:rsidRPr="005F0429">
              <w:rPr>
                <w:bCs w:val="0"/>
                <w:noProof w:val="0"/>
              </w:rPr>
              <w:t>Preliminar</w:t>
            </w:r>
            <w:r w:rsidR="00C06FB4">
              <w:rPr>
                <w:bCs w:val="0"/>
                <w:noProof w:val="0"/>
              </w:rPr>
              <w:t>y</w:t>
            </w:r>
            <w:r w:rsidRPr="008E7168">
              <w:rPr>
                <w:bCs w:val="0"/>
              </w:rPr>
              <w:t xml:space="preserve"> Category 3 %</w:t>
            </w:r>
          </w:p>
        </w:tc>
        <w:tc>
          <w:tcPr>
            <w:tcW w:w="720" w:type="dxa"/>
            <w:textDirection w:val="btLr"/>
            <w:vAlign w:val="center"/>
          </w:tcPr>
          <w:p w14:paraId="0F830781" w14:textId="7F320C21" w:rsidR="00DA26D1" w:rsidRDefault="00DA26D1" w:rsidP="00BA1018">
            <w:pPr>
              <w:pStyle w:val="TableHead"/>
              <w:ind w:left="72" w:right="113"/>
              <w:jc w:val="left"/>
              <w:rPr>
                <w:bCs w:val="0"/>
              </w:rPr>
            </w:pPr>
            <w:r>
              <w:rPr>
                <w:bCs w:val="0"/>
              </w:rPr>
              <w:t>Total Number of Students</w:t>
            </w:r>
          </w:p>
        </w:tc>
      </w:tr>
      <w:tr w:rsidR="001267FB" w:rsidRPr="00E36F1B" w14:paraId="6CA7C7F1" w14:textId="04FBA53C" w:rsidTr="4ABB1B6B">
        <w:tc>
          <w:tcPr>
            <w:tcW w:w="2016" w:type="dxa"/>
            <w:tcBorders>
              <w:top w:val="single" w:sz="4" w:space="0" w:color="auto"/>
            </w:tcBorders>
            <w:hideMark/>
          </w:tcPr>
          <w:p w14:paraId="783F9CBA" w14:textId="77777777" w:rsidR="001267FB" w:rsidRPr="00E36F1B" w:rsidRDefault="001267FB" w:rsidP="00936F67">
            <w:pPr>
              <w:pStyle w:val="TableText"/>
              <w:jc w:val="left"/>
            </w:pPr>
            <w:r>
              <w:t>Five</w:t>
            </w:r>
          </w:p>
        </w:tc>
        <w:tc>
          <w:tcPr>
            <w:tcW w:w="720" w:type="dxa"/>
            <w:tcBorders>
              <w:top w:val="single" w:sz="4" w:space="0" w:color="auto"/>
            </w:tcBorders>
          </w:tcPr>
          <w:p w14:paraId="3B6C9165" w14:textId="063C1117" w:rsidR="001267FB" w:rsidRPr="006A72CD" w:rsidRDefault="00D81E27" w:rsidP="00936F67">
            <w:pPr>
              <w:pStyle w:val="TableText"/>
              <w:rPr>
                <w:szCs w:val="24"/>
              </w:rPr>
            </w:pPr>
            <w:r w:rsidRPr="00201CF5">
              <w:rPr>
                <w:color w:val="000000"/>
                <w:szCs w:val="24"/>
              </w:rPr>
              <w:t>57</w:t>
            </w:r>
          </w:p>
        </w:tc>
        <w:tc>
          <w:tcPr>
            <w:tcW w:w="720" w:type="dxa"/>
            <w:tcBorders>
              <w:top w:val="single" w:sz="4" w:space="0" w:color="auto"/>
            </w:tcBorders>
          </w:tcPr>
          <w:p w14:paraId="4F12A14A" w14:textId="49684A10" w:rsidR="001267FB" w:rsidRPr="006A72CD" w:rsidRDefault="3C94A013" w:rsidP="4ABB1B6B">
            <w:pPr>
              <w:pStyle w:val="TableText"/>
              <w:rPr>
                <w:color w:val="000000" w:themeColor="text1"/>
              </w:rPr>
            </w:pPr>
            <w:r w:rsidRPr="4ABB1B6B">
              <w:rPr>
                <w:color w:val="000000" w:themeColor="text1"/>
              </w:rPr>
              <w:t>16%</w:t>
            </w:r>
          </w:p>
        </w:tc>
        <w:tc>
          <w:tcPr>
            <w:tcW w:w="720" w:type="dxa"/>
            <w:tcBorders>
              <w:top w:val="single" w:sz="4" w:space="0" w:color="auto"/>
            </w:tcBorders>
          </w:tcPr>
          <w:p w14:paraId="18C2664F" w14:textId="40EE362F" w:rsidR="001267FB" w:rsidRPr="006A72CD" w:rsidRDefault="00D81E27" w:rsidP="00936F67">
            <w:pPr>
              <w:pStyle w:val="TableText"/>
              <w:rPr>
                <w:szCs w:val="24"/>
              </w:rPr>
            </w:pPr>
            <w:r w:rsidRPr="00201CF5">
              <w:rPr>
                <w:color w:val="000000"/>
                <w:szCs w:val="24"/>
              </w:rPr>
              <w:t>287</w:t>
            </w:r>
          </w:p>
        </w:tc>
        <w:tc>
          <w:tcPr>
            <w:tcW w:w="720" w:type="dxa"/>
            <w:tcBorders>
              <w:top w:val="single" w:sz="4" w:space="0" w:color="auto"/>
            </w:tcBorders>
          </w:tcPr>
          <w:p w14:paraId="74DB90AE" w14:textId="0DA171E8" w:rsidR="001267FB" w:rsidRPr="006A72CD" w:rsidRDefault="00D81E27" w:rsidP="00936F67">
            <w:pPr>
              <w:pStyle w:val="TableText"/>
              <w:rPr>
                <w:szCs w:val="24"/>
              </w:rPr>
            </w:pPr>
            <w:r w:rsidRPr="00201CF5">
              <w:rPr>
                <w:color w:val="000000"/>
                <w:szCs w:val="24"/>
              </w:rPr>
              <w:t>78%</w:t>
            </w:r>
          </w:p>
        </w:tc>
        <w:tc>
          <w:tcPr>
            <w:tcW w:w="720" w:type="dxa"/>
            <w:tcBorders>
              <w:top w:val="single" w:sz="4" w:space="0" w:color="auto"/>
            </w:tcBorders>
          </w:tcPr>
          <w:p w14:paraId="264A54F4" w14:textId="059B9A0A" w:rsidR="001267FB" w:rsidRPr="006A72CD" w:rsidRDefault="00D81E27" w:rsidP="00936F67">
            <w:pPr>
              <w:pStyle w:val="TableText"/>
              <w:rPr>
                <w:szCs w:val="24"/>
              </w:rPr>
            </w:pPr>
            <w:r w:rsidRPr="00201CF5">
              <w:rPr>
                <w:color w:val="000000"/>
                <w:szCs w:val="24"/>
              </w:rPr>
              <w:t>23</w:t>
            </w:r>
          </w:p>
        </w:tc>
        <w:tc>
          <w:tcPr>
            <w:tcW w:w="720" w:type="dxa"/>
            <w:tcBorders>
              <w:top w:val="single" w:sz="4" w:space="0" w:color="auto"/>
            </w:tcBorders>
          </w:tcPr>
          <w:p w14:paraId="0CA9E44B" w14:textId="3D71336C" w:rsidR="001267FB" w:rsidRPr="006A72CD" w:rsidRDefault="00D81E27" w:rsidP="00936F67">
            <w:pPr>
              <w:pStyle w:val="TableText"/>
              <w:rPr>
                <w:szCs w:val="24"/>
              </w:rPr>
            </w:pPr>
            <w:r w:rsidRPr="00201CF5">
              <w:rPr>
                <w:color w:val="000000"/>
                <w:szCs w:val="24"/>
              </w:rPr>
              <w:t>6%</w:t>
            </w:r>
          </w:p>
        </w:tc>
        <w:tc>
          <w:tcPr>
            <w:tcW w:w="720" w:type="dxa"/>
            <w:tcBorders>
              <w:top w:val="single" w:sz="4" w:space="0" w:color="auto"/>
            </w:tcBorders>
          </w:tcPr>
          <w:p w14:paraId="0B5E63AD" w14:textId="72119128" w:rsidR="00DA26D1" w:rsidRPr="00201CF5" w:rsidRDefault="1CC44DE9" w:rsidP="4ABB1B6B">
            <w:pPr>
              <w:pStyle w:val="TableText"/>
              <w:rPr>
                <w:color w:val="000000"/>
              </w:rPr>
            </w:pPr>
            <w:r w:rsidRPr="4ABB1B6B">
              <w:rPr>
                <w:color w:val="000000" w:themeColor="text1"/>
              </w:rPr>
              <w:t>367</w:t>
            </w:r>
          </w:p>
        </w:tc>
      </w:tr>
      <w:tr w:rsidR="001267FB" w:rsidRPr="00E36F1B" w14:paraId="77F5F0F4" w14:textId="0298148F" w:rsidTr="4ABB1B6B">
        <w:tc>
          <w:tcPr>
            <w:tcW w:w="2016" w:type="dxa"/>
            <w:hideMark/>
          </w:tcPr>
          <w:p w14:paraId="7BAE5951" w14:textId="77777777" w:rsidR="001267FB" w:rsidRPr="00E36F1B" w:rsidRDefault="001267FB" w:rsidP="00936F67">
            <w:pPr>
              <w:pStyle w:val="TableText"/>
              <w:jc w:val="left"/>
            </w:pPr>
            <w:r>
              <w:t>Eight</w:t>
            </w:r>
          </w:p>
        </w:tc>
        <w:tc>
          <w:tcPr>
            <w:tcW w:w="720" w:type="dxa"/>
          </w:tcPr>
          <w:p w14:paraId="6AA56080" w14:textId="3ACE7C25" w:rsidR="001267FB" w:rsidRPr="006A72CD" w:rsidRDefault="00963CB1" w:rsidP="00936F67">
            <w:pPr>
              <w:pStyle w:val="TableText"/>
              <w:rPr>
                <w:szCs w:val="24"/>
              </w:rPr>
            </w:pPr>
            <w:r w:rsidRPr="00201CF5">
              <w:rPr>
                <w:color w:val="000000"/>
                <w:szCs w:val="24"/>
              </w:rPr>
              <w:t>56</w:t>
            </w:r>
          </w:p>
        </w:tc>
        <w:tc>
          <w:tcPr>
            <w:tcW w:w="720" w:type="dxa"/>
          </w:tcPr>
          <w:p w14:paraId="6573F3E0" w14:textId="1E7D5CFA" w:rsidR="001267FB" w:rsidRPr="006A72CD" w:rsidRDefault="00963CB1" w:rsidP="00936F67">
            <w:pPr>
              <w:pStyle w:val="TableText"/>
              <w:rPr>
                <w:szCs w:val="24"/>
              </w:rPr>
            </w:pPr>
            <w:r w:rsidRPr="00201CF5">
              <w:rPr>
                <w:color w:val="000000"/>
                <w:szCs w:val="24"/>
              </w:rPr>
              <w:t>13%</w:t>
            </w:r>
          </w:p>
        </w:tc>
        <w:tc>
          <w:tcPr>
            <w:tcW w:w="720" w:type="dxa"/>
          </w:tcPr>
          <w:p w14:paraId="2C5FCF5D" w14:textId="4A64ABE0" w:rsidR="001267FB" w:rsidRPr="006A72CD" w:rsidRDefault="00963CB1" w:rsidP="00936F67">
            <w:pPr>
              <w:pStyle w:val="TableText"/>
              <w:rPr>
                <w:szCs w:val="24"/>
              </w:rPr>
            </w:pPr>
            <w:r w:rsidRPr="00201CF5">
              <w:rPr>
                <w:color w:val="000000"/>
                <w:szCs w:val="24"/>
              </w:rPr>
              <w:t>351</w:t>
            </w:r>
          </w:p>
        </w:tc>
        <w:tc>
          <w:tcPr>
            <w:tcW w:w="720" w:type="dxa"/>
          </w:tcPr>
          <w:p w14:paraId="72A2E757" w14:textId="13228E0A" w:rsidR="001267FB" w:rsidRPr="006A72CD" w:rsidRDefault="00963CB1" w:rsidP="00936F67">
            <w:pPr>
              <w:pStyle w:val="TableText"/>
              <w:rPr>
                <w:szCs w:val="24"/>
              </w:rPr>
            </w:pPr>
            <w:r w:rsidRPr="00201CF5">
              <w:rPr>
                <w:color w:val="000000"/>
                <w:szCs w:val="24"/>
              </w:rPr>
              <w:t>81%</w:t>
            </w:r>
          </w:p>
        </w:tc>
        <w:tc>
          <w:tcPr>
            <w:tcW w:w="720" w:type="dxa"/>
          </w:tcPr>
          <w:p w14:paraId="6E91FC86" w14:textId="2FAFCB0F" w:rsidR="001267FB" w:rsidRPr="006A72CD" w:rsidRDefault="00963CB1" w:rsidP="00936F67">
            <w:pPr>
              <w:pStyle w:val="TableText"/>
              <w:rPr>
                <w:szCs w:val="24"/>
              </w:rPr>
            </w:pPr>
            <w:r w:rsidRPr="00201CF5">
              <w:rPr>
                <w:color w:val="000000"/>
                <w:szCs w:val="24"/>
              </w:rPr>
              <w:t>28</w:t>
            </w:r>
          </w:p>
        </w:tc>
        <w:tc>
          <w:tcPr>
            <w:tcW w:w="720" w:type="dxa"/>
          </w:tcPr>
          <w:p w14:paraId="71918DB3" w14:textId="060DC57C" w:rsidR="001267FB" w:rsidRPr="006A72CD" w:rsidRDefault="00963CB1" w:rsidP="00936F67">
            <w:pPr>
              <w:pStyle w:val="TableText"/>
              <w:rPr>
                <w:szCs w:val="24"/>
              </w:rPr>
            </w:pPr>
            <w:r w:rsidRPr="00201CF5">
              <w:rPr>
                <w:color w:val="000000"/>
                <w:szCs w:val="24"/>
              </w:rPr>
              <w:t>6%</w:t>
            </w:r>
          </w:p>
        </w:tc>
        <w:tc>
          <w:tcPr>
            <w:tcW w:w="720" w:type="dxa"/>
          </w:tcPr>
          <w:p w14:paraId="43EDB8D9" w14:textId="46FB4BAA" w:rsidR="00DA26D1" w:rsidRPr="00201CF5" w:rsidRDefault="00B20CBC" w:rsidP="00936F67">
            <w:pPr>
              <w:pStyle w:val="TableText"/>
              <w:rPr>
                <w:color w:val="000000"/>
                <w:szCs w:val="24"/>
              </w:rPr>
            </w:pPr>
            <w:r>
              <w:rPr>
                <w:color w:val="000000"/>
                <w:szCs w:val="24"/>
              </w:rPr>
              <w:t>435</w:t>
            </w:r>
          </w:p>
        </w:tc>
      </w:tr>
      <w:tr w:rsidR="001267FB" w:rsidRPr="00E36F1B" w14:paraId="04F74805" w14:textId="1873D14C" w:rsidTr="4ABB1B6B">
        <w:tc>
          <w:tcPr>
            <w:tcW w:w="2016" w:type="dxa"/>
            <w:hideMark/>
          </w:tcPr>
          <w:p w14:paraId="3129B442" w14:textId="77777777" w:rsidR="001267FB" w:rsidRPr="00E36F1B" w:rsidRDefault="001267FB" w:rsidP="00936F67">
            <w:pPr>
              <w:pStyle w:val="TableText"/>
              <w:jc w:val="left"/>
            </w:pPr>
            <w:r>
              <w:t>HS—Ten</w:t>
            </w:r>
          </w:p>
        </w:tc>
        <w:tc>
          <w:tcPr>
            <w:tcW w:w="720" w:type="dxa"/>
          </w:tcPr>
          <w:p w14:paraId="27F505F2" w14:textId="595DE104" w:rsidR="001267FB" w:rsidRPr="006A72CD" w:rsidRDefault="005005CF" w:rsidP="00936F67">
            <w:pPr>
              <w:pStyle w:val="TableText"/>
              <w:rPr>
                <w:szCs w:val="24"/>
              </w:rPr>
            </w:pPr>
            <w:r w:rsidRPr="00201CF5">
              <w:rPr>
                <w:color w:val="000000"/>
                <w:szCs w:val="24"/>
              </w:rPr>
              <w:t>20</w:t>
            </w:r>
          </w:p>
        </w:tc>
        <w:tc>
          <w:tcPr>
            <w:tcW w:w="720" w:type="dxa"/>
          </w:tcPr>
          <w:p w14:paraId="7DF1D0B4" w14:textId="018E2E6C" w:rsidR="001267FB" w:rsidRPr="006A72CD" w:rsidRDefault="005005CF" w:rsidP="00936F67">
            <w:pPr>
              <w:pStyle w:val="TableText"/>
              <w:rPr>
                <w:szCs w:val="24"/>
              </w:rPr>
            </w:pPr>
            <w:r w:rsidRPr="00201CF5">
              <w:rPr>
                <w:color w:val="000000"/>
                <w:szCs w:val="24"/>
              </w:rPr>
              <w:t>19%</w:t>
            </w:r>
          </w:p>
        </w:tc>
        <w:tc>
          <w:tcPr>
            <w:tcW w:w="720" w:type="dxa"/>
          </w:tcPr>
          <w:p w14:paraId="40E087A5" w14:textId="4697A227" w:rsidR="001267FB" w:rsidRPr="006A72CD" w:rsidRDefault="005005CF" w:rsidP="00936F67">
            <w:pPr>
              <w:pStyle w:val="TableText"/>
              <w:rPr>
                <w:szCs w:val="24"/>
              </w:rPr>
            </w:pPr>
            <w:r w:rsidRPr="00201CF5">
              <w:rPr>
                <w:color w:val="000000"/>
                <w:szCs w:val="24"/>
              </w:rPr>
              <w:t>78</w:t>
            </w:r>
          </w:p>
        </w:tc>
        <w:tc>
          <w:tcPr>
            <w:tcW w:w="720" w:type="dxa"/>
          </w:tcPr>
          <w:p w14:paraId="00C0A155" w14:textId="42347F7F" w:rsidR="001267FB" w:rsidRPr="006A72CD" w:rsidRDefault="005005CF" w:rsidP="00936F67">
            <w:pPr>
              <w:pStyle w:val="TableText"/>
              <w:rPr>
                <w:szCs w:val="24"/>
              </w:rPr>
            </w:pPr>
            <w:r w:rsidRPr="00201CF5">
              <w:rPr>
                <w:color w:val="000000"/>
                <w:szCs w:val="24"/>
              </w:rPr>
              <w:t>73%</w:t>
            </w:r>
          </w:p>
        </w:tc>
        <w:tc>
          <w:tcPr>
            <w:tcW w:w="720" w:type="dxa"/>
          </w:tcPr>
          <w:p w14:paraId="78F9EBEE" w14:textId="730BFB75" w:rsidR="001267FB" w:rsidRPr="006A72CD" w:rsidRDefault="005005CF" w:rsidP="00936F67">
            <w:pPr>
              <w:pStyle w:val="TableText"/>
              <w:rPr>
                <w:szCs w:val="24"/>
              </w:rPr>
            </w:pPr>
            <w:r w:rsidRPr="00201CF5">
              <w:rPr>
                <w:color w:val="000000"/>
                <w:szCs w:val="24"/>
              </w:rPr>
              <w:t>9</w:t>
            </w:r>
          </w:p>
        </w:tc>
        <w:tc>
          <w:tcPr>
            <w:tcW w:w="720" w:type="dxa"/>
          </w:tcPr>
          <w:p w14:paraId="26DCF031" w14:textId="2DBAACEB" w:rsidR="001267FB" w:rsidRPr="006A72CD" w:rsidRDefault="005005CF" w:rsidP="00936F67">
            <w:pPr>
              <w:pStyle w:val="TableText"/>
              <w:rPr>
                <w:szCs w:val="24"/>
              </w:rPr>
            </w:pPr>
            <w:r w:rsidRPr="00201CF5">
              <w:rPr>
                <w:color w:val="000000"/>
                <w:szCs w:val="24"/>
              </w:rPr>
              <w:t>8%</w:t>
            </w:r>
          </w:p>
        </w:tc>
        <w:tc>
          <w:tcPr>
            <w:tcW w:w="720" w:type="dxa"/>
          </w:tcPr>
          <w:p w14:paraId="33FE97E9" w14:textId="2EBBCE05" w:rsidR="00DA26D1" w:rsidRPr="00201CF5" w:rsidRDefault="00B20CBC" w:rsidP="00936F67">
            <w:pPr>
              <w:pStyle w:val="TableText"/>
              <w:rPr>
                <w:color w:val="000000"/>
                <w:szCs w:val="24"/>
              </w:rPr>
            </w:pPr>
            <w:r>
              <w:rPr>
                <w:color w:val="000000"/>
                <w:szCs w:val="24"/>
              </w:rPr>
              <w:t>107</w:t>
            </w:r>
          </w:p>
        </w:tc>
      </w:tr>
      <w:tr w:rsidR="001267FB" w:rsidRPr="00E36F1B" w14:paraId="0D36DDEA" w14:textId="4D7A5E00" w:rsidTr="4ABB1B6B">
        <w:tc>
          <w:tcPr>
            <w:tcW w:w="2016" w:type="dxa"/>
          </w:tcPr>
          <w:p w14:paraId="1D928E7B" w14:textId="77777777" w:rsidR="001267FB" w:rsidRPr="00E36F1B" w:rsidRDefault="001267FB" w:rsidP="00936F67">
            <w:pPr>
              <w:pStyle w:val="TableText"/>
              <w:jc w:val="left"/>
            </w:pPr>
            <w:r>
              <w:t>HS—Eleven</w:t>
            </w:r>
          </w:p>
        </w:tc>
        <w:tc>
          <w:tcPr>
            <w:tcW w:w="720" w:type="dxa"/>
          </w:tcPr>
          <w:p w14:paraId="1A70D409" w14:textId="6D887F1F" w:rsidR="001267FB" w:rsidRPr="006A72CD" w:rsidRDefault="005005CF" w:rsidP="00936F67">
            <w:pPr>
              <w:pStyle w:val="TableText"/>
              <w:rPr>
                <w:szCs w:val="24"/>
              </w:rPr>
            </w:pPr>
            <w:r w:rsidRPr="00201CF5">
              <w:rPr>
                <w:color w:val="000000"/>
                <w:szCs w:val="24"/>
              </w:rPr>
              <w:t>17</w:t>
            </w:r>
          </w:p>
        </w:tc>
        <w:tc>
          <w:tcPr>
            <w:tcW w:w="720" w:type="dxa"/>
          </w:tcPr>
          <w:p w14:paraId="75831E74" w14:textId="2881BA9B" w:rsidR="001267FB" w:rsidRPr="006A72CD" w:rsidRDefault="005005CF" w:rsidP="00936F67">
            <w:pPr>
              <w:pStyle w:val="TableText"/>
              <w:rPr>
                <w:szCs w:val="24"/>
              </w:rPr>
            </w:pPr>
            <w:r w:rsidRPr="00201CF5">
              <w:rPr>
                <w:color w:val="000000"/>
                <w:szCs w:val="24"/>
              </w:rPr>
              <w:t>8%</w:t>
            </w:r>
          </w:p>
        </w:tc>
        <w:tc>
          <w:tcPr>
            <w:tcW w:w="720" w:type="dxa"/>
          </w:tcPr>
          <w:p w14:paraId="42344964" w14:textId="13E086FB" w:rsidR="001267FB" w:rsidRPr="006A72CD" w:rsidRDefault="005005CF" w:rsidP="00936F67">
            <w:pPr>
              <w:pStyle w:val="TableText"/>
              <w:rPr>
                <w:szCs w:val="24"/>
              </w:rPr>
            </w:pPr>
            <w:r w:rsidRPr="00201CF5">
              <w:rPr>
                <w:color w:val="000000"/>
                <w:szCs w:val="24"/>
              </w:rPr>
              <w:t>186</w:t>
            </w:r>
          </w:p>
        </w:tc>
        <w:tc>
          <w:tcPr>
            <w:tcW w:w="720" w:type="dxa"/>
          </w:tcPr>
          <w:p w14:paraId="6AF067E7" w14:textId="27A70747" w:rsidR="001267FB" w:rsidRPr="006A72CD" w:rsidRDefault="005005CF" w:rsidP="00936F67">
            <w:pPr>
              <w:pStyle w:val="TableText"/>
              <w:rPr>
                <w:szCs w:val="24"/>
              </w:rPr>
            </w:pPr>
            <w:r w:rsidRPr="00201CF5">
              <w:rPr>
                <w:color w:val="000000"/>
                <w:szCs w:val="24"/>
              </w:rPr>
              <w:t>87%</w:t>
            </w:r>
          </w:p>
        </w:tc>
        <w:tc>
          <w:tcPr>
            <w:tcW w:w="720" w:type="dxa"/>
          </w:tcPr>
          <w:p w14:paraId="23CEFC4F" w14:textId="4DCEFC32" w:rsidR="001267FB" w:rsidRPr="006A72CD" w:rsidRDefault="005005CF" w:rsidP="00936F67">
            <w:pPr>
              <w:pStyle w:val="TableText"/>
              <w:rPr>
                <w:szCs w:val="24"/>
              </w:rPr>
            </w:pPr>
            <w:r w:rsidRPr="00201CF5">
              <w:rPr>
                <w:color w:val="000000"/>
                <w:szCs w:val="24"/>
              </w:rPr>
              <w:t>12</w:t>
            </w:r>
          </w:p>
        </w:tc>
        <w:tc>
          <w:tcPr>
            <w:tcW w:w="720" w:type="dxa"/>
          </w:tcPr>
          <w:p w14:paraId="56B2320C" w14:textId="18ADD5FF" w:rsidR="001267FB" w:rsidRPr="006A72CD" w:rsidRDefault="005005CF" w:rsidP="00936F67">
            <w:pPr>
              <w:pStyle w:val="TableText"/>
              <w:rPr>
                <w:szCs w:val="24"/>
              </w:rPr>
            </w:pPr>
            <w:r w:rsidRPr="00201CF5">
              <w:rPr>
                <w:color w:val="000000"/>
                <w:szCs w:val="24"/>
              </w:rPr>
              <w:t>6%</w:t>
            </w:r>
          </w:p>
        </w:tc>
        <w:tc>
          <w:tcPr>
            <w:tcW w:w="720" w:type="dxa"/>
          </w:tcPr>
          <w:p w14:paraId="0FEF375E" w14:textId="1161AC06" w:rsidR="00DA26D1" w:rsidRPr="00201CF5" w:rsidRDefault="00B20CBC" w:rsidP="00936F67">
            <w:pPr>
              <w:pStyle w:val="TableText"/>
              <w:rPr>
                <w:color w:val="000000"/>
                <w:szCs w:val="24"/>
              </w:rPr>
            </w:pPr>
            <w:r>
              <w:rPr>
                <w:color w:val="000000"/>
                <w:szCs w:val="24"/>
              </w:rPr>
              <w:t>215</w:t>
            </w:r>
          </w:p>
        </w:tc>
      </w:tr>
      <w:tr w:rsidR="001267FB" w:rsidRPr="00E36F1B" w14:paraId="76520180" w14:textId="6D342C62" w:rsidTr="4ABB1B6B">
        <w:tc>
          <w:tcPr>
            <w:tcW w:w="2016" w:type="dxa"/>
            <w:hideMark/>
          </w:tcPr>
          <w:p w14:paraId="0CEC0E89" w14:textId="77777777" w:rsidR="001267FB" w:rsidRPr="00E36F1B" w:rsidRDefault="001267FB" w:rsidP="00936F67">
            <w:pPr>
              <w:pStyle w:val="TableText"/>
              <w:jc w:val="left"/>
            </w:pPr>
            <w:r>
              <w:t>HS—Twelve</w:t>
            </w:r>
          </w:p>
        </w:tc>
        <w:tc>
          <w:tcPr>
            <w:tcW w:w="720" w:type="dxa"/>
          </w:tcPr>
          <w:p w14:paraId="56F65DE8" w14:textId="5FF74438" w:rsidR="001267FB" w:rsidRPr="006A72CD" w:rsidRDefault="005005CF" w:rsidP="00936F67">
            <w:pPr>
              <w:pStyle w:val="TableText"/>
              <w:rPr>
                <w:szCs w:val="24"/>
              </w:rPr>
            </w:pPr>
            <w:r w:rsidRPr="00201CF5">
              <w:rPr>
                <w:color w:val="000000"/>
                <w:szCs w:val="24"/>
              </w:rPr>
              <w:t>25</w:t>
            </w:r>
          </w:p>
        </w:tc>
        <w:tc>
          <w:tcPr>
            <w:tcW w:w="720" w:type="dxa"/>
          </w:tcPr>
          <w:p w14:paraId="447D79B4" w14:textId="2C00F51B" w:rsidR="001267FB" w:rsidRPr="006A72CD" w:rsidRDefault="005005CF" w:rsidP="00936F67">
            <w:pPr>
              <w:pStyle w:val="TableText"/>
              <w:rPr>
                <w:szCs w:val="24"/>
              </w:rPr>
            </w:pPr>
            <w:r w:rsidRPr="00201CF5">
              <w:rPr>
                <w:color w:val="000000"/>
                <w:szCs w:val="24"/>
              </w:rPr>
              <w:t>13%</w:t>
            </w:r>
          </w:p>
        </w:tc>
        <w:tc>
          <w:tcPr>
            <w:tcW w:w="720" w:type="dxa"/>
          </w:tcPr>
          <w:p w14:paraId="1CB2C1DD" w14:textId="3BC7E1B4" w:rsidR="001267FB" w:rsidRPr="006A72CD" w:rsidRDefault="005005CF" w:rsidP="00936F67">
            <w:pPr>
              <w:pStyle w:val="TableText"/>
              <w:rPr>
                <w:szCs w:val="24"/>
              </w:rPr>
            </w:pPr>
            <w:r w:rsidRPr="00201CF5">
              <w:rPr>
                <w:color w:val="000000"/>
                <w:szCs w:val="24"/>
              </w:rPr>
              <w:t>149</w:t>
            </w:r>
          </w:p>
        </w:tc>
        <w:tc>
          <w:tcPr>
            <w:tcW w:w="720" w:type="dxa"/>
          </w:tcPr>
          <w:p w14:paraId="10C3FC1A" w14:textId="7E2A8882" w:rsidR="001267FB" w:rsidRPr="006A72CD" w:rsidRDefault="005005CF" w:rsidP="00936F67">
            <w:pPr>
              <w:pStyle w:val="TableText"/>
              <w:rPr>
                <w:szCs w:val="24"/>
              </w:rPr>
            </w:pPr>
            <w:r w:rsidRPr="00201CF5">
              <w:rPr>
                <w:color w:val="000000"/>
                <w:szCs w:val="24"/>
              </w:rPr>
              <w:t>78%</w:t>
            </w:r>
          </w:p>
        </w:tc>
        <w:tc>
          <w:tcPr>
            <w:tcW w:w="720" w:type="dxa"/>
          </w:tcPr>
          <w:p w14:paraId="49AB297E" w14:textId="40C3E66D" w:rsidR="001267FB" w:rsidRPr="006A72CD" w:rsidRDefault="005005CF" w:rsidP="00936F67">
            <w:pPr>
              <w:pStyle w:val="TableText"/>
              <w:rPr>
                <w:szCs w:val="24"/>
              </w:rPr>
            </w:pPr>
            <w:r w:rsidRPr="00201CF5">
              <w:rPr>
                <w:color w:val="000000"/>
                <w:szCs w:val="24"/>
              </w:rPr>
              <w:t>16</w:t>
            </w:r>
          </w:p>
        </w:tc>
        <w:tc>
          <w:tcPr>
            <w:tcW w:w="720" w:type="dxa"/>
          </w:tcPr>
          <w:p w14:paraId="46639B84" w14:textId="366BBF89" w:rsidR="001267FB" w:rsidRPr="006A72CD" w:rsidRDefault="005005CF" w:rsidP="00936F67">
            <w:pPr>
              <w:pStyle w:val="TableText"/>
              <w:rPr>
                <w:szCs w:val="24"/>
              </w:rPr>
            </w:pPr>
            <w:r w:rsidRPr="00201CF5">
              <w:rPr>
                <w:color w:val="000000"/>
                <w:szCs w:val="24"/>
              </w:rPr>
              <w:t>8%</w:t>
            </w:r>
          </w:p>
        </w:tc>
        <w:tc>
          <w:tcPr>
            <w:tcW w:w="720" w:type="dxa"/>
          </w:tcPr>
          <w:p w14:paraId="365C9398" w14:textId="02DB9197" w:rsidR="00DA26D1" w:rsidRPr="00201CF5" w:rsidRDefault="00B20CBC" w:rsidP="00936F67">
            <w:pPr>
              <w:pStyle w:val="TableText"/>
              <w:rPr>
                <w:color w:val="000000"/>
                <w:szCs w:val="24"/>
              </w:rPr>
            </w:pPr>
            <w:r>
              <w:rPr>
                <w:color w:val="000000"/>
                <w:szCs w:val="24"/>
              </w:rPr>
              <w:t>190</w:t>
            </w:r>
          </w:p>
        </w:tc>
      </w:tr>
      <w:tr w:rsidR="001267FB" w:rsidRPr="00E36F1B" w14:paraId="56DF3CF1" w14:textId="3EA6C318" w:rsidTr="4ABB1B6B">
        <w:tc>
          <w:tcPr>
            <w:tcW w:w="2016" w:type="dxa"/>
            <w:hideMark/>
          </w:tcPr>
          <w:p w14:paraId="43107094" w14:textId="77777777" w:rsidR="001267FB" w:rsidRPr="00E36F1B" w:rsidRDefault="001267FB" w:rsidP="00936F67">
            <w:pPr>
              <w:pStyle w:val="TableText"/>
              <w:jc w:val="left"/>
            </w:pPr>
            <w:r>
              <w:t>HS—All Grades</w:t>
            </w:r>
          </w:p>
        </w:tc>
        <w:tc>
          <w:tcPr>
            <w:tcW w:w="720" w:type="dxa"/>
          </w:tcPr>
          <w:p w14:paraId="68BBB8F4" w14:textId="5E9FBFBD" w:rsidR="001267FB" w:rsidRPr="006A72CD" w:rsidRDefault="005005CF" w:rsidP="00936F67">
            <w:pPr>
              <w:pStyle w:val="TableText"/>
              <w:rPr>
                <w:szCs w:val="24"/>
              </w:rPr>
            </w:pPr>
            <w:r w:rsidRPr="00201CF5">
              <w:rPr>
                <w:color w:val="000000"/>
                <w:szCs w:val="24"/>
              </w:rPr>
              <w:t>62</w:t>
            </w:r>
          </w:p>
        </w:tc>
        <w:tc>
          <w:tcPr>
            <w:tcW w:w="720" w:type="dxa"/>
          </w:tcPr>
          <w:p w14:paraId="04B344A8" w14:textId="318B8EC0" w:rsidR="001267FB" w:rsidRPr="006A72CD" w:rsidRDefault="005005CF" w:rsidP="00936F67">
            <w:pPr>
              <w:pStyle w:val="TableText"/>
              <w:rPr>
                <w:szCs w:val="24"/>
              </w:rPr>
            </w:pPr>
            <w:r w:rsidRPr="00201CF5">
              <w:rPr>
                <w:color w:val="000000"/>
                <w:szCs w:val="24"/>
              </w:rPr>
              <w:t>12%</w:t>
            </w:r>
          </w:p>
        </w:tc>
        <w:tc>
          <w:tcPr>
            <w:tcW w:w="720" w:type="dxa"/>
          </w:tcPr>
          <w:p w14:paraId="6C5D969A" w14:textId="51F03477" w:rsidR="001267FB" w:rsidRPr="006A72CD" w:rsidRDefault="005005CF" w:rsidP="00936F67">
            <w:pPr>
              <w:pStyle w:val="TableText"/>
              <w:rPr>
                <w:szCs w:val="24"/>
              </w:rPr>
            </w:pPr>
            <w:r w:rsidRPr="00201CF5">
              <w:rPr>
                <w:color w:val="000000"/>
                <w:szCs w:val="24"/>
              </w:rPr>
              <w:t>413</w:t>
            </w:r>
          </w:p>
        </w:tc>
        <w:tc>
          <w:tcPr>
            <w:tcW w:w="720" w:type="dxa"/>
          </w:tcPr>
          <w:p w14:paraId="5D678D47" w14:textId="07199579" w:rsidR="001267FB" w:rsidRPr="006A72CD" w:rsidRDefault="005005CF" w:rsidP="00936F67">
            <w:pPr>
              <w:pStyle w:val="TableText"/>
              <w:rPr>
                <w:szCs w:val="24"/>
              </w:rPr>
            </w:pPr>
            <w:r w:rsidRPr="00201CF5">
              <w:rPr>
                <w:color w:val="000000"/>
                <w:szCs w:val="24"/>
              </w:rPr>
              <w:t>81%</w:t>
            </w:r>
          </w:p>
        </w:tc>
        <w:tc>
          <w:tcPr>
            <w:tcW w:w="720" w:type="dxa"/>
          </w:tcPr>
          <w:p w14:paraId="68A3B608" w14:textId="7B87E712" w:rsidR="001267FB" w:rsidRPr="006A72CD" w:rsidRDefault="005005CF" w:rsidP="00936F67">
            <w:pPr>
              <w:pStyle w:val="TableText"/>
              <w:rPr>
                <w:szCs w:val="24"/>
              </w:rPr>
            </w:pPr>
            <w:r w:rsidRPr="00201CF5">
              <w:rPr>
                <w:color w:val="000000"/>
                <w:szCs w:val="24"/>
              </w:rPr>
              <w:t>37</w:t>
            </w:r>
          </w:p>
        </w:tc>
        <w:tc>
          <w:tcPr>
            <w:tcW w:w="720" w:type="dxa"/>
          </w:tcPr>
          <w:p w14:paraId="6B8B378E" w14:textId="27B88C82" w:rsidR="001267FB" w:rsidRPr="006A72CD" w:rsidRDefault="005005CF" w:rsidP="00936F67">
            <w:pPr>
              <w:pStyle w:val="TableText"/>
              <w:rPr>
                <w:szCs w:val="24"/>
              </w:rPr>
            </w:pPr>
            <w:r w:rsidRPr="00201CF5">
              <w:rPr>
                <w:color w:val="000000"/>
                <w:szCs w:val="24"/>
              </w:rPr>
              <w:t>7%</w:t>
            </w:r>
          </w:p>
        </w:tc>
        <w:tc>
          <w:tcPr>
            <w:tcW w:w="720" w:type="dxa"/>
          </w:tcPr>
          <w:p w14:paraId="6BF67925" w14:textId="5E09F8C2" w:rsidR="00DA26D1" w:rsidRPr="00201CF5" w:rsidRDefault="00B20CBC" w:rsidP="00936F67">
            <w:pPr>
              <w:pStyle w:val="TableText"/>
              <w:rPr>
                <w:color w:val="000000"/>
                <w:szCs w:val="24"/>
              </w:rPr>
            </w:pPr>
            <w:r>
              <w:rPr>
                <w:color w:val="000000"/>
                <w:szCs w:val="24"/>
              </w:rPr>
              <w:t>512</w:t>
            </w:r>
          </w:p>
        </w:tc>
      </w:tr>
    </w:tbl>
    <w:p w14:paraId="15A3BA6F" w14:textId="689B1840" w:rsidR="003E008B" w:rsidRPr="004B2D24" w:rsidRDefault="003E008B" w:rsidP="00670FD2">
      <w:pPr>
        <w:pStyle w:val="Heading2"/>
      </w:pPr>
      <w:bookmarkStart w:id="558" w:name="_Chapter_7:_Psychometric"/>
      <w:bookmarkStart w:id="559" w:name="_Psychometric_Analyses"/>
      <w:bookmarkStart w:id="560" w:name="_Toc182555207"/>
      <w:bookmarkEnd w:id="558"/>
      <w:bookmarkEnd w:id="559"/>
      <w:r w:rsidRPr="004B2D24">
        <w:lastRenderedPageBreak/>
        <w:t>Psychometric Analyses</w:t>
      </w:r>
      <w:bookmarkEnd w:id="560"/>
    </w:p>
    <w:p w14:paraId="57E7137B" w14:textId="79B93AC3" w:rsidR="005B13C5" w:rsidRPr="004B2D24" w:rsidRDefault="00C827EF" w:rsidP="00B20CBC">
      <w:r w:rsidRPr="00C34C12">
        <w:t>This chapter summarizes the results of the psychometric analyses</w:t>
      </w:r>
      <w:r w:rsidR="00A2672B">
        <w:t xml:space="preserve"> that are </w:t>
      </w:r>
      <w:r w:rsidR="009925C2">
        <w:t>typically</w:t>
      </w:r>
      <w:r w:rsidRPr="00C34C12">
        <w:t xml:space="preserve"> conducted for the California Alternate Assessment (CAA) for Science administration. </w:t>
      </w:r>
      <w:r w:rsidR="00A302DD">
        <w:t>However, b</w:t>
      </w:r>
      <w:r w:rsidR="001C79D7">
        <w:t>ecause of</w:t>
      </w:r>
      <w:r w:rsidR="005B13C5" w:rsidRPr="004B2D24">
        <w:t xml:space="preserve"> the impact of </w:t>
      </w:r>
      <w:r w:rsidR="00A302DD">
        <w:t xml:space="preserve">the </w:t>
      </w:r>
      <w:r w:rsidR="001000AC">
        <w:t>novel coronavirus disease 2019 (</w:t>
      </w:r>
      <w:r w:rsidR="005B13C5" w:rsidRPr="004B2D24">
        <w:t>C</w:t>
      </w:r>
      <w:r w:rsidR="00804135" w:rsidRPr="004B2D24">
        <w:t>OVID</w:t>
      </w:r>
      <w:r w:rsidR="005B13C5" w:rsidRPr="004B2D24">
        <w:t>-19</w:t>
      </w:r>
      <w:r w:rsidR="001000AC">
        <w:t>)</w:t>
      </w:r>
      <w:r w:rsidR="00A302DD">
        <w:t xml:space="preserve"> pandemic</w:t>
      </w:r>
      <w:r w:rsidR="005B13C5" w:rsidRPr="004B2D24">
        <w:t xml:space="preserve">, </w:t>
      </w:r>
      <w:r w:rsidR="001F2E67">
        <w:t>no</w:t>
      </w:r>
      <w:r w:rsidR="005B13C5" w:rsidRPr="004B2D24">
        <w:t xml:space="preserve"> classical item analyses</w:t>
      </w:r>
      <w:r w:rsidR="002B1F7A">
        <w:t>, differential item functioning</w:t>
      </w:r>
      <w:r w:rsidR="007F5EE5">
        <w:t xml:space="preserve"> (DIF)</w:t>
      </w:r>
      <w:r w:rsidR="004F5A2A">
        <w:t xml:space="preserve"> analyses</w:t>
      </w:r>
      <w:r w:rsidR="002B1F7A">
        <w:t>,</w:t>
      </w:r>
      <w:r w:rsidR="005B13C5" w:rsidRPr="004B2D24">
        <w:t xml:space="preserve"> </w:t>
      </w:r>
      <w:r w:rsidR="00037C0F" w:rsidRPr="004B2D24">
        <w:rPr>
          <w:lang w:bidi="en-US"/>
        </w:rPr>
        <w:t>item response theory</w:t>
      </w:r>
      <w:r w:rsidR="005B13C5" w:rsidRPr="004B2D24">
        <w:t xml:space="preserve"> </w:t>
      </w:r>
      <w:r w:rsidR="00037C0F" w:rsidRPr="004B2D24">
        <w:t>(</w:t>
      </w:r>
      <w:r w:rsidR="005B13C5" w:rsidRPr="004B2D24">
        <w:t>IRT</w:t>
      </w:r>
      <w:r w:rsidR="00037C0F" w:rsidRPr="004B2D24">
        <w:t>)</w:t>
      </w:r>
      <w:r w:rsidR="005B13C5" w:rsidRPr="004B2D24">
        <w:t xml:space="preserve"> analyses</w:t>
      </w:r>
      <w:r w:rsidR="00C27BB7">
        <w:t>, reliability</w:t>
      </w:r>
      <w:r w:rsidR="001C79D7">
        <w:t xml:space="preserve"> analyses</w:t>
      </w:r>
      <w:r w:rsidR="00C27BB7">
        <w:t>, or validity analyses</w:t>
      </w:r>
      <w:r w:rsidR="005B13C5" w:rsidRPr="004B2D24">
        <w:t xml:space="preserve"> were conducted </w:t>
      </w:r>
      <w:r w:rsidR="006D26EC">
        <w:t>for</w:t>
      </w:r>
      <w:r w:rsidR="006D26EC" w:rsidRPr="004B2D24">
        <w:t xml:space="preserve"> </w:t>
      </w:r>
      <w:r w:rsidR="005B13C5" w:rsidRPr="004B2D24">
        <w:t>the 2019</w:t>
      </w:r>
      <w:r w:rsidR="00235738" w:rsidRPr="004B2D24">
        <w:t>–</w:t>
      </w:r>
      <w:r w:rsidR="005B13C5" w:rsidRPr="004B2D24">
        <w:t xml:space="preserve">2020 </w:t>
      </w:r>
      <w:r w:rsidR="00A302DD">
        <w:t xml:space="preserve">CAA for Science </w:t>
      </w:r>
      <w:r w:rsidR="005B13C5" w:rsidRPr="004B2D24">
        <w:t xml:space="preserve">administration. </w:t>
      </w:r>
    </w:p>
    <w:p w14:paraId="2EDFCD5F" w14:textId="679FC585" w:rsidR="003E008B" w:rsidRDefault="00621C8F" w:rsidP="00DB6635">
      <w:pPr>
        <w:pStyle w:val="Heading3"/>
        <w:rPr>
          <w:lang w:bidi="en-US"/>
        </w:rPr>
      </w:pPr>
      <w:bookmarkStart w:id="561" w:name="_Toc182555208"/>
      <w:r w:rsidRPr="004B2D24">
        <w:rPr>
          <w:lang w:bidi="en-US"/>
        </w:rPr>
        <w:t>Overview</w:t>
      </w:r>
      <w:bookmarkEnd w:id="561"/>
    </w:p>
    <w:p w14:paraId="5D81E66A" w14:textId="28E82292" w:rsidR="007C1023" w:rsidRPr="00C34C12" w:rsidRDefault="007C1023" w:rsidP="007C1023">
      <w:r w:rsidRPr="00C34C12">
        <w:t xml:space="preserve">This </w:t>
      </w:r>
      <w:r w:rsidR="002B1F7A">
        <w:t>section</w:t>
      </w:r>
      <w:r w:rsidR="002B1F7A" w:rsidRPr="00C34C12">
        <w:t xml:space="preserve"> </w:t>
      </w:r>
      <w:r w:rsidRPr="00C34C12">
        <w:t xml:space="preserve">describes the data samples </w:t>
      </w:r>
      <w:r w:rsidR="003271C2">
        <w:t>typically</w:t>
      </w:r>
      <w:r w:rsidRPr="00C34C12">
        <w:t xml:space="preserve"> used for the statistical analyses and provides explanations for all statistical procedures implemented in the psychometric analyses. Those procedures </w:t>
      </w:r>
      <w:r w:rsidR="001C79D7">
        <w:t>typically</w:t>
      </w:r>
      <w:r w:rsidRPr="00C34C12">
        <w:t xml:space="preserve"> include item analyses, DIF analyses, IRT calibration, computation of reliability, and standard errors of measurement. The procedures </w:t>
      </w:r>
      <w:r w:rsidR="00483BE3">
        <w:t xml:space="preserve">are </w:t>
      </w:r>
      <w:r w:rsidRPr="00C34C12">
        <w:t>designed to ensure the validity of score uses.</w:t>
      </w:r>
    </w:p>
    <w:p w14:paraId="5B715117" w14:textId="77777777" w:rsidR="007C1023" w:rsidRPr="00C34C12" w:rsidRDefault="007C1023" w:rsidP="007C1023">
      <w:pPr>
        <w:pStyle w:val="Heading4"/>
        <w:ind w:left="792" w:hanging="792"/>
      </w:pPr>
      <w:bookmarkStart w:id="562" w:name="_Toc38901290"/>
      <w:bookmarkStart w:id="563" w:name="_Toc182555209"/>
      <w:r w:rsidRPr="00C34C12">
        <w:t>Summary of the Analyses</w:t>
      </w:r>
      <w:bookmarkEnd w:id="562"/>
      <w:bookmarkEnd w:id="563"/>
    </w:p>
    <w:p w14:paraId="2540BE5E" w14:textId="10A10777" w:rsidR="007C1023" w:rsidRPr="00C34C12" w:rsidRDefault="007C1023" w:rsidP="007C1023">
      <w:r w:rsidRPr="00C34C12">
        <w:t xml:space="preserve">ETS </w:t>
      </w:r>
      <w:r w:rsidR="00A23042">
        <w:t xml:space="preserve">typically </w:t>
      </w:r>
      <w:r w:rsidRPr="00C34C12">
        <w:t>conduct</w:t>
      </w:r>
      <w:r w:rsidR="00A23042">
        <w:t>s</w:t>
      </w:r>
      <w:r w:rsidRPr="00C34C12">
        <w:t xml:space="preserve"> the following analyses for the CAA for Science. </w:t>
      </w:r>
      <w:r w:rsidR="003675BE">
        <w:t>However, these analyses were not conducted in 2019–2020 because of the impact of the COVID</w:t>
      </w:r>
      <w:r w:rsidR="003675BE">
        <w:noBreakHyphen/>
        <w:t>19 pandemic</w:t>
      </w:r>
      <w:r w:rsidR="003675BE" w:rsidRPr="00380C0B">
        <w:t>.</w:t>
      </w:r>
      <w:r w:rsidR="003675BE">
        <w:t xml:space="preserve"> </w:t>
      </w:r>
      <w:r w:rsidRPr="00C34C12">
        <w:t xml:space="preserve">Each analysis is described in the </w:t>
      </w:r>
      <w:r w:rsidR="004C06B6">
        <w:t>body</w:t>
      </w:r>
      <w:r w:rsidR="004C06B6" w:rsidRPr="00C34C12">
        <w:t xml:space="preserve"> </w:t>
      </w:r>
      <w:r w:rsidRPr="00C34C12">
        <w:t>of this chapter.</w:t>
      </w:r>
    </w:p>
    <w:p w14:paraId="3FD3DBEA" w14:textId="19E064B7" w:rsidR="007C1023" w:rsidRPr="00C34C12" w:rsidRDefault="007C1023" w:rsidP="00985D71">
      <w:pPr>
        <w:pStyle w:val="Numbered"/>
        <w:numPr>
          <w:ilvl w:val="0"/>
          <w:numId w:val="82"/>
        </w:numPr>
        <w:ind w:left="864" w:hanging="288"/>
      </w:pPr>
      <w:bookmarkStart w:id="564" w:name="_Hlk34906344"/>
      <w:r w:rsidRPr="00C34C12">
        <w:rPr>
          <w:b/>
        </w:rPr>
        <w:t>Classical Item Analyses—</w:t>
      </w:r>
      <w:r w:rsidRPr="00C34C12">
        <w:t xml:space="preserve">Classical item analysis for the CAA for Science is discussed in section </w:t>
      </w:r>
      <w:hyperlink w:anchor="_Toc66787508" w:history="1">
        <w:r w:rsidRPr="00C34C12">
          <w:rPr>
            <w:rStyle w:val="Hyperlink"/>
            <w:i/>
          </w:rPr>
          <w:t>7.2 Classical Item Analys</w:t>
        </w:r>
        <w:r w:rsidR="0066512D">
          <w:rPr>
            <w:rStyle w:val="Hyperlink"/>
            <w:i/>
          </w:rPr>
          <w:t>e</w:t>
        </w:r>
        <w:r w:rsidRPr="00C34C12">
          <w:rPr>
            <w:rStyle w:val="Hyperlink"/>
            <w:i/>
          </w:rPr>
          <w:t>s</w:t>
        </w:r>
      </w:hyperlink>
      <w:r w:rsidRPr="00C34C12">
        <w:t xml:space="preserve">. </w:t>
      </w:r>
    </w:p>
    <w:p w14:paraId="00E78792" w14:textId="52AD9C44" w:rsidR="007C1023" w:rsidRPr="00C34C12" w:rsidRDefault="007C1023" w:rsidP="00985D71">
      <w:pPr>
        <w:pStyle w:val="Numbered"/>
        <w:numPr>
          <w:ilvl w:val="0"/>
          <w:numId w:val="82"/>
        </w:numPr>
        <w:ind w:left="864" w:hanging="288"/>
      </w:pPr>
      <w:r w:rsidRPr="00C34C12">
        <w:rPr>
          <w:b/>
        </w:rPr>
        <w:t>Omission and Completion Analyses—</w:t>
      </w:r>
      <w:r w:rsidRPr="00C34C12">
        <w:t xml:space="preserve">The omit rate and item difficulty information for the CAA for Science are described in section </w:t>
      </w:r>
      <w:hyperlink w:anchor="_Omission_and_Completion" w:history="1">
        <w:r w:rsidRPr="00C34C12">
          <w:rPr>
            <w:rStyle w:val="Hyperlink"/>
            <w:i/>
          </w:rPr>
          <w:t>7.3 Omission and Completion Rates</w:t>
        </w:r>
      </w:hyperlink>
      <w:r w:rsidR="00A610F7">
        <w:t>.</w:t>
      </w:r>
      <w:r w:rsidRPr="00C34C12">
        <w:t xml:space="preserve"> </w:t>
      </w:r>
    </w:p>
    <w:p w14:paraId="4D48AAFA" w14:textId="406E19C5" w:rsidR="007C1023" w:rsidRPr="00C34C12" w:rsidRDefault="007C1023" w:rsidP="00985D71">
      <w:pPr>
        <w:pStyle w:val="Numbered"/>
        <w:keepLines/>
        <w:numPr>
          <w:ilvl w:val="0"/>
          <w:numId w:val="82"/>
        </w:numPr>
        <w:ind w:left="864" w:hanging="288"/>
      </w:pPr>
      <w:r w:rsidRPr="00C34C12">
        <w:rPr>
          <w:b/>
        </w:rPr>
        <w:t>DIF Analyses—</w:t>
      </w:r>
      <w:r w:rsidRPr="00C34C12">
        <w:t xml:space="preserve">DIF analysis for the CAA for Science is described in section </w:t>
      </w:r>
      <w:hyperlink w:anchor="_Differential_Item_Functioning" w:history="1">
        <w:r w:rsidRPr="00C34C12">
          <w:rPr>
            <w:rStyle w:val="Hyperlink"/>
            <w:i/>
          </w:rPr>
          <w:t>7.5 D</w:t>
        </w:r>
        <w:r w:rsidR="0021567F" w:rsidRPr="0021567F">
          <w:rPr>
            <w:rStyle w:val="Hyperlink"/>
            <w:i/>
          </w:rPr>
          <w:t xml:space="preserve">ifferential </w:t>
        </w:r>
        <w:r w:rsidRPr="00C34C12">
          <w:rPr>
            <w:rStyle w:val="Hyperlink"/>
            <w:i/>
          </w:rPr>
          <w:t>I</w:t>
        </w:r>
        <w:r w:rsidR="0021567F">
          <w:rPr>
            <w:rStyle w:val="Hyperlink"/>
            <w:i/>
          </w:rPr>
          <w:t xml:space="preserve">tem </w:t>
        </w:r>
        <w:r w:rsidRPr="00C34C12">
          <w:rPr>
            <w:rStyle w:val="Hyperlink"/>
            <w:i/>
          </w:rPr>
          <w:t>F</w:t>
        </w:r>
        <w:r w:rsidR="0021567F">
          <w:rPr>
            <w:rStyle w:val="Hyperlink"/>
            <w:i/>
          </w:rPr>
          <w:t>unctioning</w:t>
        </w:r>
        <w:r w:rsidRPr="00C34C12">
          <w:rPr>
            <w:rStyle w:val="Hyperlink"/>
            <w:i/>
          </w:rPr>
          <w:t xml:space="preserve"> Analyses</w:t>
        </w:r>
      </w:hyperlink>
      <w:r w:rsidRPr="00C34C12">
        <w:t xml:space="preserve">. </w:t>
      </w:r>
    </w:p>
    <w:p w14:paraId="3A9EF4BE" w14:textId="3DEC5CA4" w:rsidR="00B42711" w:rsidRPr="00C34C12" w:rsidRDefault="00B42711" w:rsidP="00985D71">
      <w:pPr>
        <w:pStyle w:val="Numbered"/>
        <w:numPr>
          <w:ilvl w:val="0"/>
          <w:numId w:val="82"/>
        </w:numPr>
        <w:ind w:left="864" w:hanging="288"/>
      </w:pPr>
      <w:r w:rsidRPr="00C34C12">
        <w:rPr>
          <w:b/>
        </w:rPr>
        <w:t>IRT Analyses—</w:t>
      </w:r>
      <w:r w:rsidRPr="00C34C12">
        <w:t xml:space="preserve">IRT calibration analyses for the CAA for Science are described in section </w:t>
      </w:r>
      <w:hyperlink w:anchor="_Item_Response_Theory" w:history="1">
        <w:r w:rsidRPr="00C34C12">
          <w:rPr>
            <w:rStyle w:val="Hyperlink"/>
            <w:i/>
          </w:rPr>
          <w:t>7.6 Item Response Theory Analyses</w:t>
        </w:r>
      </w:hyperlink>
      <w:r w:rsidRPr="00C34C12">
        <w:t xml:space="preserve">. </w:t>
      </w:r>
    </w:p>
    <w:p w14:paraId="77D428D6" w14:textId="1C472C5C" w:rsidR="007C1023" w:rsidRPr="00C34C12" w:rsidRDefault="007C1023" w:rsidP="00985D71">
      <w:pPr>
        <w:pStyle w:val="Numbered"/>
        <w:numPr>
          <w:ilvl w:val="0"/>
          <w:numId w:val="82"/>
        </w:numPr>
        <w:ind w:left="864" w:hanging="288"/>
      </w:pPr>
      <w:r w:rsidRPr="2D85FA21">
        <w:rPr>
          <w:b/>
          <w:bCs/>
        </w:rPr>
        <w:t>Reliability Analyses—</w:t>
      </w:r>
      <w:r>
        <w:t xml:space="preserve">Reliability estimation for the CAA for Science is illustrated in section </w:t>
      </w:r>
      <w:hyperlink w:anchor="_Reliability_Analyses">
        <w:r w:rsidR="0591A2D2" w:rsidRPr="2D85FA21">
          <w:rPr>
            <w:rStyle w:val="Hyperlink"/>
            <w:i/>
            <w:iCs/>
          </w:rPr>
          <w:t>7.7 Reliability Analyses</w:t>
        </w:r>
      </w:hyperlink>
      <w:r w:rsidR="0591A2D2">
        <w:t>.</w:t>
      </w:r>
    </w:p>
    <w:p w14:paraId="212F9441" w14:textId="740E7AD9" w:rsidR="007C1023" w:rsidRPr="00C34C12" w:rsidRDefault="007C1023" w:rsidP="00985D71">
      <w:pPr>
        <w:pStyle w:val="Numbered"/>
        <w:keepLines/>
        <w:numPr>
          <w:ilvl w:val="0"/>
          <w:numId w:val="82"/>
        </w:numPr>
        <w:ind w:left="864" w:hanging="288"/>
      </w:pPr>
      <w:r w:rsidRPr="2D85FA21">
        <w:rPr>
          <w:b/>
          <w:bCs/>
        </w:rPr>
        <w:t>Validity Evidence—</w:t>
      </w:r>
      <w:r>
        <w:t xml:space="preserve">Validity evidence related to the CAA for Science is discussed in section </w:t>
      </w:r>
      <w:hyperlink w:anchor="_Validity_Evidence">
        <w:r w:rsidR="0591A2D2" w:rsidRPr="2D85FA21">
          <w:rPr>
            <w:rStyle w:val="Hyperlink"/>
            <w:i/>
            <w:iCs/>
          </w:rPr>
          <w:t>7.8 Validity Evidence</w:t>
        </w:r>
      </w:hyperlink>
      <w:r w:rsidR="0591A2D2">
        <w:t>.</w:t>
      </w:r>
    </w:p>
    <w:p w14:paraId="3957347E" w14:textId="7FA67AAA" w:rsidR="007C1023" w:rsidRPr="00C34C12" w:rsidRDefault="007C1023" w:rsidP="007C1023">
      <w:pPr>
        <w:pStyle w:val="Heading4"/>
        <w:ind w:left="792" w:hanging="792"/>
      </w:pPr>
      <w:bookmarkStart w:id="565" w:name="_Sample_for_the"/>
      <w:bookmarkStart w:id="566" w:name="_Toc38901291"/>
      <w:bookmarkStart w:id="567" w:name="_Toc182555210"/>
      <w:bookmarkEnd w:id="564"/>
      <w:bookmarkEnd w:id="565"/>
      <w:r w:rsidRPr="00C34C12">
        <w:t xml:space="preserve">Sample </w:t>
      </w:r>
      <w:r w:rsidR="00DB07FD">
        <w:t>Used</w:t>
      </w:r>
      <w:r w:rsidRPr="00C34C12">
        <w:t xml:space="preserve"> for the Analyses</w:t>
      </w:r>
      <w:bookmarkEnd w:id="566"/>
      <w:bookmarkEnd w:id="567"/>
    </w:p>
    <w:p w14:paraId="6185860F" w14:textId="5F28E9C3" w:rsidR="007C1023" w:rsidRPr="00C34C12" w:rsidRDefault="007C1023" w:rsidP="007C1023">
      <w:r w:rsidRPr="00C34C12">
        <w:t xml:space="preserve">In general, analyses included in </w:t>
      </w:r>
      <w:r w:rsidR="00F35972">
        <w:t>a CAA for Science</w:t>
      </w:r>
      <w:r w:rsidR="00F35972" w:rsidRPr="00C34C12">
        <w:t xml:space="preserve"> </w:t>
      </w:r>
      <w:r w:rsidRPr="00C34C12">
        <w:t xml:space="preserve">technical report are based on all students in the tested population with valid scores available at the time of </w:t>
      </w:r>
      <w:r w:rsidR="00C05F1D">
        <w:t xml:space="preserve">the </w:t>
      </w:r>
      <w:r w:rsidRPr="00C34C12">
        <w:t>analysis. The actual data sample used depends on both the time the data became available as well as the information (e.g., student demographic information, scores for each embedded performance task [PT], etc.) contained in that data at the time of the analyses.</w:t>
      </w:r>
    </w:p>
    <w:p w14:paraId="5A74E7CE" w14:textId="523CAB53" w:rsidR="00847B41" w:rsidRPr="00847B41" w:rsidRDefault="007C1023" w:rsidP="00847B41">
      <w:r w:rsidRPr="00C34C12">
        <w:t xml:space="preserve">For </w:t>
      </w:r>
      <w:r w:rsidR="00F35972">
        <w:t xml:space="preserve">a typical administration of the </w:t>
      </w:r>
      <w:r w:rsidRPr="00C34C12">
        <w:t xml:space="preserve">CAA for Science, a small number of student scores </w:t>
      </w:r>
      <w:r w:rsidR="00A20548">
        <w:t>are</w:t>
      </w:r>
      <w:r w:rsidR="00A20548" w:rsidRPr="00C34C12">
        <w:t xml:space="preserve"> </w:t>
      </w:r>
      <w:r w:rsidRPr="00C34C12">
        <w:t xml:space="preserve">excluded from the final production data as a result of the data validation process. Students who </w:t>
      </w:r>
      <w:r w:rsidR="00A20548">
        <w:t>do</w:t>
      </w:r>
      <w:r w:rsidR="00A20548" w:rsidRPr="00C34C12">
        <w:t xml:space="preserve"> </w:t>
      </w:r>
      <w:r w:rsidRPr="00C34C12">
        <w:t xml:space="preserve">not answer at least one item for each of the three </w:t>
      </w:r>
      <w:r w:rsidR="002A073E">
        <w:t xml:space="preserve">operational </w:t>
      </w:r>
      <w:r w:rsidRPr="00C34C12">
        <w:t xml:space="preserve">embedded PTs </w:t>
      </w:r>
      <w:r w:rsidR="00A20548">
        <w:t>are</w:t>
      </w:r>
      <w:r w:rsidR="00A20548" w:rsidRPr="00C34C12">
        <w:t xml:space="preserve"> </w:t>
      </w:r>
      <w:r w:rsidRPr="00C34C12">
        <w:t>excluded from the analysis sample for the classical item analysis, DIF analyses, and IRT calibrations.</w:t>
      </w:r>
    </w:p>
    <w:p w14:paraId="10A8E1CB" w14:textId="0D9386A9" w:rsidR="00026785" w:rsidRDefault="00D263E0" w:rsidP="003731BA">
      <w:r w:rsidRPr="00D263E0">
        <w:rPr>
          <w:rStyle w:val="Cross-Reference"/>
        </w:rPr>
        <w:lastRenderedPageBreak/>
        <w:fldChar w:fldCharType="begin"/>
      </w:r>
      <w:r w:rsidRPr="00D263E0">
        <w:rPr>
          <w:rStyle w:val="Cross-Reference"/>
        </w:rPr>
        <w:instrText xml:space="preserve"> REF _Ref182485715 \h </w:instrText>
      </w:r>
      <w:r>
        <w:rPr>
          <w:rStyle w:val="Cross-Reference"/>
        </w:rPr>
        <w:instrText xml:space="preserve"> \* MERGEFORMAT </w:instrText>
      </w:r>
      <w:r w:rsidRPr="00D263E0">
        <w:rPr>
          <w:rStyle w:val="Cross-Reference"/>
        </w:rPr>
      </w:r>
      <w:r w:rsidRPr="00D263E0">
        <w:rPr>
          <w:rStyle w:val="Cross-Reference"/>
        </w:rPr>
        <w:fldChar w:fldCharType="separate"/>
      </w:r>
      <w:r w:rsidR="00886908" w:rsidRPr="00886908">
        <w:rPr>
          <w:rStyle w:val="Cross-Reference"/>
        </w:rPr>
        <w:t>Table 2.1</w:t>
      </w:r>
      <w:r w:rsidRPr="00D263E0">
        <w:rPr>
          <w:rStyle w:val="Cross-Reference"/>
        </w:rPr>
        <w:fldChar w:fldCharType="end"/>
      </w:r>
      <w:r w:rsidR="008076E8">
        <w:t xml:space="preserve"> provides the number of students </w:t>
      </w:r>
      <w:r w:rsidR="00F35972">
        <w:t>assigned</w:t>
      </w:r>
      <w:r w:rsidR="008076E8">
        <w:t xml:space="preserve"> to take the CAA for Science and the number </w:t>
      </w:r>
      <w:r w:rsidR="00130AE2">
        <w:t>of students who started the tests and completed all four</w:t>
      </w:r>
      <w:r w:rsidR="00C1041D" w:rsidRPr="00C1041D">
        <w:t xml:space="preserve"> </w:t>
      </w:r>
      <w:r w:rsidR="00C1041D">
        <w:t>embedded</w:t>
      </w:r>
      <w:r w:rsidR="00130AE2">
        <w:t xml:space="preserve"> PTs. </w:t>
      </w:r>
      <w:r w:rsidR="00CB6BE9">
        <w:t xml:space="preserve">Except for grade ten, less than 20 percent of the registered students </w:t>
      </w:r>
      <w:r w:rsidR="00BE50E0">
        <w:t>started the CAA for Science</w:t>
      </w:r>
      <w:r w:rsidR="00E20F93">
        <w:t xml:space="preserve"> and even fewer students completed the assessment. </w:t>
      </w:r>
    </w:p>
    <w:p w14:paraId="283C2C86" w14:textId="27D92D2C" w:rsidR="007C1023" w:rsidRPr="00C34C12" w:rsidRDefault="00D119B7" w:rsidP="003731BA">
      <w:r>
        <w:t>Because of</w:t>
      </w:r>
      <w:r w:rsidR="00545A77">
        <w:t xml:space="preserve"> the extremely small number of students who completed the CAA for Science when testing was s</w:t>
      </w:r>
      <w:r w:rsidR="006A28B2">
        <w:t>uspended</w:t>
      </w:r>
      <w:r w:rsidR="00545A77">
        <w:t xml:space="preserve"> on March 18, 2020, no psychometric analyses were performed for the </w:t>
      </w:r>
      <w:r w:rsidR="00545A77" w:rsidRPr="004B2D24">
        <w:t>2019–2020 administration.</w:t>
      </w:r>
      <w:r w:rsidR="00132B13">
        <w:t xml:space="preserve"> Instead, the types of analyses</w:t>
      </w:r>
      <w:r w:rsidR="004F4ED5" w:rsidRPr="004F4ED5">
        <w:t xml:space="preserve"> </w:t>
      </w:r>
      <w:r w:rsidR="004F4ED5">
        <w:t>typically</w:t>
      </w:r>
      <w:r w:rsidR="00132B13">
        <w:t xml:space="preserve"> conducted are described here.</w:t>
      </w:r>
    </w:p>
    <w:p w14:paraId="6F7F4412" w14:textId="1DA8E785" w:rsidR="00621C8F" w:rsidRDefault="00621C8F" w:rsidP="00DB6635">
      <w:pPr>
        <w:pStyle w:val="Heading3"/>
        <w:rPr>
          <w:lang w:bidi="en-US"/>
        </w:rPr>
      </w:pPr>
      <w:bookmarkStart w:id="568" w:name="_Toc66787508"/>
      <w:bookmarkStart w:id="569" w:name="_Toc66787967"/>
      <w:bookmarkStart w:id="570" w:name="_Toc67035559"/>
      <w:bookmarkStart w:id="571" w:name="_Toc67319423"/>
      <w:bookmarkStart w:id="572" w:name="_Toc67382535"/>
      <w:bookmarkStart w:id="573" w:name="_Toc67466094"/>
      <w:bookmarkStart w:id="574" w:name="_Classical_Item_Analyses"/>
      <w:bookmarkStart w:id="575" w:name="_Toc182555211"/>
      <w:bookmarkEnd w:id="568"/>
      <w:bookmarkEnd w:id="569"/>
      <w:bookmarkEnd w:id="570"/>
      <w:bookmarkEnd w:id="571"/>
      <w:bookmarkEnd w:id="572"/>
      <w:bookmarkEnd w:id="573"/>
      <w:bookmarkEnd w:id="574"/>
      <w:r w:rsidRPr="004B2D24">
        <w:rPr>
          <w:lang w:bidi="en-US"/>
        </w:rPr>
        <w:t xml:space="preserve">Classical </w:t>
      </w:r>
      <w:r w:rsidR="005B13C5" w:rsidRPr="004B2D24">
        <w:rPr>
          <w:lang w:bidi="en-US"/>
        </w:rPr>
        <w:t>Item Analyses</w:t>
      </w:r>
      <w:bookmarkEnd w:id="575"/>
    </w:p>
    <w:p w14:paraId="26618474" w14:textId="249DE7B4" w:rsidR="007C1023" w:rsidRPr="00C34C12" w:rsidRDefault="007C1023" w:rsidP="007C1023">
      <w:r w:rsidRPr="00C34C12">
        <w:t xml:space="preserve">Classical item analyses </w:t>
      </w:r>
      <w:r w:rsidR="00776A4D">
        <w:t>are</w:t>
      </w:r>
      <w:r w:rsidR="00EF32E3">
        <w:t xml:space="preserve"> </w:t>
      </w:r>
      <w:r w:rsidR="00D119B7">
        <w:t>typically</w:t>
      </w:r>
      <w:r w:rsidR="00776A4D" w:rsidRPr="00C34C12">
        <w:t xml:space="preserve"> </w:t>
      </w:r>
      <w:r w:rsidRPr="00C34C12">
        <w:t>used to evaluate the items with respect to item difficulty, item discrimination, and student performance on the embedded PT items.</w:t>
      </w:r>
    </w:p>
    <w:p w14:paraId="06232E69" w14:textId="58CEA25B" w:rsidR="007C1023" w:rsidRDefault="007C1023" w:rsidP="007C1023">
      <w:r w:rsidRPr="00C34C12">
        <w:t>The classical item analyses include the computation of item difficulty indices and item-total correlations. The omit rate of each item and the distribution of scores on each polytomous item are also included in the classical item analyses.</w:t>
      </w:r>
      <w:r w:rsidR="00AF5B6D" w:rsidRPr="00AF5B6D">
        <w:t xml:space="preserve"> </w:t>
      </w:r>
      <w:r w:rsidR="00AF5B6D">
        <w:t>There are item f</w:t>
      </w:r>
      <w:r w:rsidR="00AF5B6D" w:rsidRPr="00C34C12">
        <w:t>lagging rules based on these statistics</w:t>
      </w:r>
      <w:r w:rsidR="007E0A9C">
        <w:t xml:space="preserve"> to</w:t>
      </w:r>
      <w:r w:rsidR="00AF5B6D" w:rsidRPr="00C34C12">
        <w:t xml:space="preserve"> identif</w:t>
      </w:r>
      <w:r w:rsidR="007E0A9C">
        <w:t>y</w:t>
      </w:r>
      <w:r w:rsidR="00AF5B6D" w:rsidRPr="00C34C12">
        <w:t xml:space="preserve"> items not performing as expected.</w:t>
      </w:r>
    </w:p>
    <w:p w14:paraId="2ED385B1" w14:textId="77777777" w:rsidR="007C1023" w:rsidRPr="00C34C12" w:rsidRDefault="007C1023" w:rsidP="007C1023">
      <w:pPr>
        <w:pStyle w:val="Heading4"/>
        <w:ind w:left="792" w:hanging="792"/>
      </w:pPr>
      <w:bookmarkStart w:id="576" w:name="_Classical_Item_Difficulty"/>
      <w:bookmarkStart w:id="577" w:name="_Toc38901293"/>
      <w:bookmarkStart w:id="578" w:name="_Toc182555212"/>
      <w:bookmarkEnd w:id="576"/>
      <w:r w:rsidRPr="00C34C12">
        <w:t>Classical Item Difficulty Indices (</w:t>
      </w:r>
      <w:r w:rsidRPr="00C34C12">
        <w:rPr>
          <w:i/>
        </w:rPr>
        <w:t>p</w:t>
      </w:r>
      <w:r w:rsidRPr="00C34C12">
        <w:t>-value and Average Item Score)</w:t>
      </w:r>
      <w:bookmarkEnd w:id="577"/>
      <w:bookmarkEnd w:id="578"/>
    </w:p>
    <w:p w14:paraId="03BC9C04" w14:textId="094C98E0" w:rsidR="007C1023" w:rsidRPr="00C34C12" w:rsidRDefault="007C1023" w:rsidP="007C1023">
      <w:r w:rsidRPr="00C34C12">
        <w:t xml:space="preserve">For dichotomous items, item difficulty is indicated by the </w:t>
      </w:r>
      <w:r w:rsidRPr="00C34C12">
        <w:rPr>
          <w:i/>
        </w:rPr>
        <w:t>p</w:t>
      </w:r>
      <w:r w:rsidRPr="00C34C12">
        <w:t xml:space="preserve">-value, which is the proportion of students who answer an item correctly. The range of possible </w:t>
      </w:r>
      <w:r w:rsidRPr="00C34C12">
        <w:rPr>
          <w:i/>
        </w:rPr>
        <w:t>p</w:t>
      </w:r>
      <w:r w:rsidRPr="00C34C12">
        <w:t xml:space="preserve">-values is from 0.00 to 1.00. Items with higher </w:t>
      </w:r>
      <w:r w:rsidRPr="00C34C12">
        <w:rPr>
          <w:i/>
        </w:rPr>
        <w:t>p</w:t>
      </w:r>
      <w:r w:rsidRPr="00C34C12">
        <w:t xml:space="preserve">-values are easier items; those with lower </w:t>
      </w:r>
      <w:r w:rsidRPr="00C34C12">
        <w:rPr>
          <w:i/>
        </w:rPr>
        <w:t>p</w:t>
      </w:r>
      <w:r w:rsidRPr="00C34C12">
        <w:t xml:space="preserve">-values are more difficult items. Dichotomous items are flagged for review if their </w:t>
      </w:r>
      <w:r w:rsidRPr="00C34C12">
        <w:rPr>
          <w:i/>
        </w:rPr>
        <w:t>p</w:t>
      </w:r>
      <w:r w:rsidRPr="00C34C12">
        <w:t>-values are above 0.95 (i.e., too easy)</w:t>
      </w:r>
      <w:r w:rsidR="00D461B1">
        <w:t xml:space="preserve">. Items with two response choices are </w:t>
      </w:r>
      <w:r w:rsidR="00A400FB">
        <w:t xml:space="preserve">flagged if their </w:t>
      </w:r>
      <w:r w:rsidR="00A400FB" w:rsidRPr="00C34C12">
        <w:rPr>
          <w:i/>
        </w:rPr>
        <w:t>p</w:t>
      </w:r>
      <w:r w:rsidR="00A400FB" w:rsidRPr="00C34C12">
        <w:t>-values</w:t>
      </w:r>
      <w:r w:rsidR="00A400FB">
        <w:t xml:space="preserve"> are below 0.50, three-choice items are flagged if their </w:t>
      </w:r>
      <w:r w:rsidR="00A400FB" w:rsidRPr="00C34C12">
        <w:rPr>
          <w:i/>
        </w:rPr>
        <w:t>p</w:t>
      </w:r>
      <w:r w:rsidR="00A400FB" w:rsidRPr="00C34C12">
        <w:t>-values</w:t>
      </w:r>
      <w:r w:rsidR="00A400FB">
        <w:t xml:space="preserve"> are below 0.3</w:t>
      </w:r>
      <w:r w:rsidR="00622E30">
        <w:t>0</w:t>
      </w:r>
      <w:r w:rsidR="00D119B7">
        <w:t>,</w:t>
      </w:r>
      <w:r w:rsidR="00A400FB">
        <w:t xml:space="preserve"> and four-choice items are flagged if their </w:t>
      </w:r>
      <w:r w:rsidR="00A400FB" w:rsidRPr="00C34C12">
        <w:rPr>
          <w:i/>
        </w:rPr>
        <w:t>p</w:t>
      </w:r>
      <w:r w:rsidR="00A400FB" w:rsidRPr="00C34C12">
        <w:t>-values</w:t>
      </w:r>
      <w:r w:rsidR="00A400FB">
        <w:t xml:space="preserve"> are</w:t>
      </w:r>
      <w:r w:rsidRPr="00C34C12">
        <w:t xml:space="preserve"> below 0.</w:t>
      </w:r>
      <w:r w:rsidR="00A400FB">
        <w:t>2</w:t>
      </w:r>
      <w:r w:rsidR="00622E30">
        <w:t>0</w:t>
      </w:r>
      <w:r w:rsidRPr="00C34C12">
        <w:t xml:space="preserve"> (i.e., too difficult).</w:t>
      </w:r>
    </w:p>
    <w:p w14:paraId="75B9E838" w14:textId="73B2988F" w:rsidR="007C1023" w:rsidRPr="00C34C12" w:rsidRDefault="007C1023" w:rsidP="007C1023">
      <w:r w:rsidRPr="00C34C12">
        <w:t xml:space="preserve">The formula for </w:t>
      </w:r>
      <w:r w:rsidRPr="00C34C12">
        <w:rPr>
          <w:i/>
        </w:rPr>
        <w:t>p</w:t>
      </w:r>
      <w:r w:rsidRPr="00C34C12">
        <w:t>-value for a dichotomous item is</w:t>
      </w:r>
      <w:r w:rsidR="00162FBB">
        <w:t xml:space="preserve"> presented in equation 7.1. </w:t>
      </w:r>
      <w:r w:rsidR="00162FBB" w:rsidRPr="00C34C12">
        <w:rPr>
          <w:i/>
          <w:iCs/>
        </w:rPr>
        <w:t>Refer to</w:t>
      </w:r>
      <w:r w:rsidR="00162FBB" w:rsidRPr="00C34C12">
        <w:rPr>
          <w:i/>
        </w:rPr>
        <w:t xml:space="preserve"> the </w:t>
      </w:r>
      <w:hyperlink w:anchor="_Alternative_Text_for" w:history="1">
        <w:r w:rsidR="00162FBB" w:rsidRPr="00C34C12">
          <w:rPr>
            <w:rStyle w:val="Hyperlink"/>
            <w:i/>
          </w:rPr>
          <w:t>Alternative Text for Equation 7.1</w:t>
        </w:r>
      </w:hyperlink>
      <w:r w:rsidR="00162FBB" w:rsidRPr="00C34C12">
        <w:rPr>
          <w:i/>
        </w:rPr>
        <w:t xml:space="preserve"> for a description of this equation.</w:t>
      </w:r>
    </w:p>
    <w:bookmarkStart w:id="579" w:name="_MON_1791276606"/>
    <w:bookmarkEnd w:id="579"/>
    <w:p w14:paraId="780E90F8" w14:textId="18D60E6A" w:rsidR="007C1023" w:rsidRPr="00C34C12" w:rsidRDefault="001C04FF" w:rsidP="007C1023">
      <w:pPr>
        <w:pStyle w:val="NormalIndent2"/>
        <w:tabs>
          <w:tab w:val="right" w:pos="9900"/>
        </w:tabs>
      </w:pPr>
      <w:r>
        <w:object w:dxaOrig="2310" w:dyaOrig="613" w14:anchorId="5BADBAEF">
          <v:shape id="_x0000_i1026" type="#_x0000_t75" alt="Equation 7.1; a link to the long description for this equation is found in the preceding paragraph." style="width:115.85pt;height:30.7pt" o:ole="">
            <v:imagedata r:id="rId37" o:title=""/>
          </v:shape>
          <o:OLEObject Type="Embed" ProgID="Word.Document.12" ShapeID="_x0000_i1026" DrawAspect="Content" ObjectID="_1835872852" r:id="rId38">
            <o:FieldCodes>\s</o:FieldCodes>
          </o:OLEObject>
        </w:object>
      </w:r>
      <w:r w:rsidR="007C1023" w:rsidRPr="00C34C12">
        <w:tab/>
      </w:r>
      <w:bookmarkStart w:id="580" w:name="EQ7_1"/>
      <w:r w:rsidR="007C1023" w:rsidRPr="00C34C12">
        <w:t>(7.1)</w:t>
      </w:r>
      <w:bookmarkEnd w:id="580"/>
    </w:p>
    <w:p w14:paraId="61FC0AFA" w14:textId="77777777" w:rsidR="007C1023" w:rsidRPr="00C34C12" w:rsidRDefault="007C1023" w:rsidP="007C1023">
      <w:pPr>
        <w:pStyle w:val="NormalIndent2"/>
      </w:pPr>
      <w:r w:rsidRPr="00C34C12">
        <w:t>where,</w:t>
      </w:r>
    </w:p>
    <w:p w14:paraId="1D3DF97B" w14:textId="77777777" w:rsidR="007C1023" w:rsidRPr="00C34C12" w:rsidRDefault="007C1023" w:rsidP="007C1023">
      <w:pPr>
        <w:pStyle w:val="equation"/>
        <w:rPr>
          <w:iCs/>
        </w:rPr>
      </w:pPr>
      <w:proofErr w:type="spellStart"/>
      <w:r w:rsidRPr="00C34C12">
        <w:rPr>
          <w:rFonts w:ascii="Times New Roman" w:hAnsi="Times New Roman" w:cs="Times New Roman"/>
          <w:i/>
          <w:sz w:val="28"/>
          <w:szCs w:val="28"/>
        </w:rPr>
        <w:t>X</w:t>
      </w:r>
      <w:r w:rsidRPr="00C34C12">
        <w:rPr>
          <w:rFonts w:ascii="Times New Roman" w:hAnsi="Times New Roman" w:cs="Times New Roman"/>
          <w:i/>
          <w:sz w:val="28"/>
          <w:szCs w:val="28"/>
          <w:vertAlign w:val="subscript"/>
        </w:rPr>
        <w:t>ij</w:t>
      </w:r>
      <w:proofErr w:type="spellEnd"/>
      <w:r w:rsidRPr="00C34C12">
        <w:t xml:space="preserve"> is the score (1 or 0) received for a given dichotomous item </w:t>
      </w:r>
      <w:r w:rsidRPr="00C34C12">
        <w:rPr>
          <w:rFonts w:ascii="Times New Roman" w:hAnsi="Times New Roman" w:cs="Times New Roman"/>
          <w:i/>
          <w:sz w:val="28"/>
        </w:rPr>
        <w:t>i</w:t>
      </w:r>
      <w:r w:rsidRPr="00C34C12">
        <w:t xml:space="preserve"> for student </w:t>
      </w:r>
      <w:r w:rsidRPr="00C34C12">
        <w:rPr>
          <w:rFonts w:ascii="Times New Roman" w:hAnsi="Times New Roman" w:cs="Times New Roman"/>
          <w:i/>
          <w:sz w:val="26"/>
          <w:szCs w:val="26"/>
        </w:rPr>
        <w:t>j</w:t>
      </w:r>
      <w:r w:rsidRPr="00C34C12">
        <w:t xml:space="preserve">, </w:t>
      </w:r>
      <w:r w:rsidRPr="00C34C12">
        <w:rPr>
          <w:iCs/>
        </w:rPr>
        <w:t>and</w:t>
      </w:r>
    </w:p>
    <w:p w14:paraId="6D98A34C" w14:textId="77777777" w:rsidR="007C1023" w:rsidRPr="00C34C12" w:rsidRDefault="007C1023" w:rsidP="007C1023">
      <w:pPr>
        <w:pStyle w:val="equation"/>
      </w:pPr>
      <w:r w:rsidRPr="00C34C12">
        <w:rPr>
          <w:rFonts w:ascii="Times New Roman" w:hAnsi="Times New Roman" w:cs="Times New Roman"/>
          <w:i/>
          <w:sz w:val="28"/>
          <w:szCs w:val="28"/>
        </w:rPr>
        <w:t>N</w:t>
      </w:r>
      <w:r w:rsidRPr="00C34C12">
        <w:rPr>
          <w:rFonts w:ascii="Times New Roman" w:hAnsi="Times New Roman" w:cs="Times New Roman"/>
          <w:i/>
          <w:sz w:val="28"/>
          <w:szCs w:val="28"/>
          <w:vertAlign w:val="subscript"/>
        </w:rPr>
        <w:t>i</w:t>
      </w:r>
      <w:r w:rsidRPr="00C34C12">
        <w:t xml:space="preserve"> is the total number of students who were presented with item</w:t>
      </w:r>
      <w:r w:rsidRPr="00C34C12">
        <w:rPr>
          <w:rFonts w:ascii="Times New Roman" w:hAnsi="Times New Roman" w:cs="Times New Roman"/>
          <w:i/>
          <w:sz w:val="28"/>
        </w:rPr>
        <w:t xml:space="preserve"> i</w:t>
      </w:r>
      <w:r w:rsidRPr="00C34C12">
        <w:t>.</w:t>
      </w:r>
    </w:p>
    <w:p w14:paraId="13BD7C9E" w14:textId="77777777" w:rsidR="007C1023" w:rsidRPr="00C34C12" w:rsidRDefault="007C1023" w:rsidP="007C1023">
      <w:r w:rsidRPr="00C34C12">
        <w:t xml:space="preserve">For polytomous items, </w:t>
      </w:r>
      <w:r w:rsidRPr="00C34C12">
        <w:rPr>
          <w:color w:val="auto"/>
        </w:rPr>
        <w:t xml:space="preserve">difficulty is indicated by the average </w:t>
      </w:r>
      <w:r w:rsidRPr="00C34C12">
        <w:t xml:space="preserve">item score (AIS). The AIS can range from 0.00 to the maximum total possible points for an item. Desired AIS values for polytomous items generally fall within the range of 30 percent to 80 percent of the maximum obtainable item score; items with values outside this range are flagged for review. To facilitate interpretation, the AIS values for polytomous items are often expressed as a proportion of the maximum possible score, which is analogous to the </w:t>
      </w:r>
      <w:r w:rsidRPr="00C34C12">
        <w:rPr>
          <w:i/>
        </w:rPr>
        <w:t>p-</w:t>
      </w:r>
      <w:r w:rsidRPr="00C34C12">
        <w:t>values of dichotomous items.</w:t>
      </w:r>
    </w:p>
    <w:p w14:paraId="6762835A" w14:textId="6E12035F" w:rsidR="007C1023" w:rsidRPr="00C34C12" w:rsidRDefault="007C1023" w:rsidP="00A251F9">
      <w:pPr>
        <w:keepNext/>
      </w:pPr>
      <w:r w:rsidRPr="00C34C12">
        <w:t xml:space="preserve">For polytomous items, the </w:t>
      </w:r>
      <w:r w:rsidRPr="00C34C12">
        <w:rPr>
          <w:i/>
        </w:rPr>
        <w:t>p-value</w:t>
      </w:r>
      <w:r w:rsidRPr="00C34C12">
        <w:t xml:space="preserve"> is defined as</w:t>
      </w:r>
      <w:r w:rsidR="00162FBB">
        <w:t xml:space="preserve"> presented in equation 7.2.</w:t>
      </w:r>
      <w:r w:rsidR="00162FBB" w:rsidRPr="00162FBB">
        <w:rPr>
          <w:i/>
          <w:iCs/>
        </w:rPr>
        <w:t xml:space="preserve"> </w:t>
      </w:r>
      <w:r w:rsidR="00162FBB" w:rsidRPr="00C34C12">
        <w:rPr>
          <w:i/>
          <w:iCs/>
        </w:rPr>
        <w:t>Refer to</w:t>
      </w:r>
      <w:r w:rsidR="00162FBB" w:rsidRPr="00C34C12">
        <w:rPr>
          <w:i/>
        </w:rPr>
        <w:t xml:space="preserve"> the </w:t>
      </w:r>
      <w:hyperlink w:anchor="_Alternative_Text_for_1" w:history="1">
        <w:r w:rsidR="00162FBB" w:rsidRPr="00C34C12">
          <w:rPr>
            <w:rStyle w:val="Hyperlink"/>
            <w:i/>
          </w:rPr>
          <w:t>Alternative Text for Equation 7.2</w:t>
        </w:r>
      </w:hyperlink>
      <w:r w:rsidR="00162FBB" w:rsidRPr="00C34C12">
        <w:rPr>
          <w:i/>
        </w:rPr>
        <w:t xml:space="preserve"> for a description of this equation.</w:t>
      </w:r>
    </w:p>
    <w:bookmarkStart w:id="581" w:name="_MON_1791276691"/>
    <w:bookmarkEnd w:id="581"/>
    <w:p w14:paraId="4955F840" w14:textId="6329FC7A" w:rsidR="007C1023" w:rsidRPr="00C34C12" w:rsidRDefault="001C04FF" w:rsidP="009C591E">
      <w:pPr>
        <w:pStyle w:val="NormalIndent2"/>
        <w:tabs>
          <w:tab w:val="right" w:pos="9900"/>
        </w:tabs>
      </w:pPr>
      <w:r>
        <w:object w:dxaOrig="3190" w:dyaOrig="620" w14:anchorId="71896B19">
          <v:shape id="_x0000_i1027" type="#_x0000_t75" alt="Equation 7.2; a link to the long description for this equation is found in the preceding paragraph." style="width:159.65pt;height:31.3pt" o:ole="">
            <v:imagedata r:id="rId39" o:title=""/>
          </v:shape>
          <o:OLEObject Type="Embed" ProgID="Word.Document.12" ShapeID="_x0000_i1027" DrawAspect="Content" ObjectID="_1835872853" r:id="rId40">
            <o:FieldCodes>\s</o:FieldCodes>
          </o:OLEObject>
        </w:object>
      </w:r>
      <w:r w:rsidR="007C1023" w:rsidRPr="00C34C12">
        <w:tab/>
      </w:r>
      <w:bookmarkStart w:id="582" w:name="EQ7_2"/>
      <w:r w:rsidR="007C1023" w:rsidRPr="00C34C12">
        <w:t>(7.2)</w:t>
      </w:r>
      <w:bookmarkEnd w:id="582"/>
    </w:p>
    <w:p w14:paraId="5A3658CE" w14:textId="77777777" w:rsidR="007C1023" w:rsidRPr="00C34C12" w:rsidRDefault="007C1023" w:rsidP="007C1023">
      <w:pPr>
        <w:pStyle w:val="NormalIndent2"/>
        <w:keepNext/>
      </w:pPr>
      <w:r w:rsidRPr="00C34C12">
        <w:lastRenderedPageBreak/>
        <w:t>where,</w:t>
      </w:r>
    </w:p>
    <w:p w14:paraId="71F9B445" w14:textId="6574EE68" w:rsidR="007C1023" w:rsidRPr="00C34C12" w:rsidRDefault="00184836" w:rsidP="007C1023">
      <w:pPr>
        <w:pStyle w:val="equation"/>
      </w:pPr>
      <w:proofErr w:type="spellStart"/>
      <w:r w:rsidRPr="00184836">
        <w:rPr>
          <w:rFonts w:ascii="Times New Roman" w:hAnsi="Times New Roman" w:cs="Times New Roman"/>
          <w:i/>
          <w:sz w:val="28"/>
          <w:szCs w:val="28"/>
        </w:rPr>
        <w:t>X</w:t>
      </w:r>
      <w:r w:rsidRPr="00184836">
        <w:rPr>
          <w:rFonts w:ascii="Times New Roman" w:hAnsi="Times New Roman" w:cs="Times New Roman"/>
          <w:i/>
          <w:sz w:val="28"/>
          <w:szCs w:val="28"/>
          <w:vertAlign w:val="subscript"/>
        </w:rPr>
        <w:t>ij</w:t>
      </w:r>
      <w:proofErr w:type="spellEnd"/>
      <w:r w:rsidRPr="00C34C12">
        <w:t xml:space="preserve"> </w:t>
      </w:r>
      <w:r w:rsidR="007C1023" w:rsidRPr="00C34C12">
        <w:t xml:space="preserve">is the score received for a given polytomous item </w:t>
      </w:r>
      <w:r w:rsidR="007C1023" w:rsidRPr="00C34C12">
        <w:rPr>
          <w:rFonts w:ascii="Times New Roman" w:hAnsi="Times New Roman" w:cs="Times New Roman"/>
          <w:i/>
          <w:sz w:val="28"/>
        </w:rPr>
        <w:t>i</w:t>
      </w:r>
      <w:r w:rsidR="007C1023" w:rsidRPr="00C34C12">
        <w:t xml:space="preserve"> for student </w:t>
      </w:r>
      <w:r w:rsidR="007C1023" w:rsidRPr="00C34C12">
        <w:rPr>
          <w:rFonts w:ascii="Times New Roman" w:hAnsi="Times New Roman" w:cs="Times New Roman"/>
          <w:i/>
          <w:sz w:val="26"/>
          <w:szCs w:val="26"/>
        </w:rPr>
        <w:t>j</w:t>
      </w:r>
      <w:r w:rsidR="007C1023" w:rsidRPr="00C34C12">
        <w:t>,</w:t>
      </w:r>
    </w:p>
    <w:p w14:paraId="1385BF51" w14:textId="28D8A5A3" w:rsidR="007C1023" w:rsidRPr="00C34C12" w:rsidRDefault="00184836" w:rsidP="007C1023">
      <w:pPr>
        <w:pStyle w:val="equation"/>
      </w:pPr>
      <w:r>
        <w:rPr>
          <w:rFonts w:ascii="Times New Roman" w:hAnsi="Times New Roman" w:cs="Times New Roman"/>
          <w:i/>
          <w:sz w:val="28"/>
          <w:szCs w:val="28"/>
        </w:rPr>
        <w:t>N</w:t>
      </w:r>
      <w:r w:rsidRPr="00184836">
        <w:rPr>
          <w:rFonts w:ascii="Times New Roman" w:hAnsi="Times New Roman" w:cs="Times New Roman"/>
          <w:i/>
          <w:sz w:val="28"/>
          <w:szCs w:val="28"/>
          <w:vertAlign w:val="subscript"/>
        </w:rPr>
        <w:t>i</w:t>
      </w:r>
      <w:r w:rsidRPr="00C34C12">
        <w:t xml:space="preserve"> </w:t>
      </w:r>
      <w:r w:rsidR="007C1023" w:rsidRPr="00C34C12">
        <w:t>is the total number of students who were presented with item</w:t>
      </w:r>
      <w:r w:rsidR="007C1023" w:rsidRPr="00C34C12">
        <w:rPr>
          <w:rFonts w:ascii="Times New Roman" w:hAnsi="Times New Roman" w:cs="Times New Roman"/>
          <w:i/>
          <w:sz w:val="28"/>
        </w:rPr>
        <w:t xml:space="preserve"> i</w:t>
      </w:r>
      <w:r w:rsidR="007C1023" w:rsidRPr="00C34C12">
        <w:t>, and</w:t>
      </w:r>
    </w:p>
    <w:p w14:paraId="0D0950D5" w14:textId="77777777" w:rsidR="007C1023" w:rsidRPr="00C34C12" w:rsidRDefault="007C1023" w:rsidP="007C1023">
      <w:pPr>
        <w:pStyle w:val="equation"/>
        <w:rPr>
          <w:iCs/>
        </w:rPr>
      </w:pPr>
      <w:r w:rsidRPr="00184836">
        <w:rPr>
          <w:rFonts w:ascii="Times New Roman" w:hAnsi="Times New Roman" w:cs="Times New Roman"/>
          <w:i/>
          <w:sz w:val="28"/>
          <w:szCs w:val="28"/>
        </w:rPr>
        <w:t>Max (X</w:t>
      </w:r>
      <w:r w:rsidRPr="00184836">
        <w:rPr>
          <w:rFonts w:ascii="Times New Roman" w:hAnsi="Times New Roman" w:cs="Times New Roman"/>
          <w:i/>
          <w:sz w:val="28"/>
          <w:szCs w:val="28"/>
          <w:vertAlign w:val="subscript"/>
        </w:rPr>
        <w:t>i</w:t>
      </w:r>
      <w:r w:rsidRPr="00184836">
        <w:rPr>
          <w:rFonts w:ascii="Times New Roman" w:hAnsi="Times New Roman" w:cs="Times New Roman"/>
          <w:i/>
          <w:sz w:val="28"/>
          <w:szCs w:val="28"/>
        </w:rPr>
        <w:t>)</w:t>
      </w:r>
      <w:r w:rsidRPr="00C34C12">
        <w:t xml:space="preserve"> is the maximum score on item </w:t>
      </w:r>
      <w:r w:rsidRPr="00C34C12">
        <w:rPr>
          <w:rFonts w:ascii="Times New Roman" w:hAnsi="Times New Roman" w:cs="Times New Roman"/>
          <w:i/>
          <w:sz w:val="28"/>
          <w:szCs w:val="28"/>
        </w:rPr>
        <w:t>i</w:t>
      </w:r>
      <w:r w:rsidRPr="00C34C12">
        <w:t>.</w:t>
      </w:r>
    </w:p>
    <w:p w14:paraId="396EBD04" w14:textId="77777777" w:rsidR="007C1023" w:rsidRPr="00C34C12" w:rsidRDefault="007C1023" w:rsidP="007C1023">
      <w:pPr>
        <w:pStyle w:val="Heading4"/>
        <w:ind w:left="792" w:hanging="792"/>
      </w:pPr>
      <w:bookmarkStart w:id="583" w:name="_Item_Discrimination_(Item-Total"/>
      <w:bookmarkStart w:id="584" w:name="_Toc38901294"/>
      <w:bookmarkStart w:id="585" w:name="_Toc182555213"/>
      <w:bookmarkEnd w:id="583"/>
      <w:r w:rsidRPr="00C34C12">
        <w:t>Item Discrimination (Item-Total Correlation)</w:t>
      </w:r>
      <w:bookmarkEnd w:id="584"/>
      <w:bookmarkEnd w:id="585"/>
    </w:p>
    <w:p w14:paraId="685620C9" w14:textId="77777777" w:rsidR="007C1023" w:rsidRPr="00C34C12" w:rsidRDefault="007C1023" w:rsidP="007C1023">
      <w:pPr>
        <w:rPr>
          <w:lang w:eastAsia="zh-CN"/>
        </w:rPr>
      </w:pPr>
      <w:r w:rsidRPr="00C34C12">
        <w:rPr>
          <w:lang w:eastAsia="zh-CN"/>
        </w:rPr>
        <w:t>An item-total correlation describes the relationship between students’ performance on a specific item and their performance on the total test.</w:t>
      </w:r>
    </w:p>
    <w:p w14:paraId="4B34B328" w14:textId="77777777" w:rsidR="007C1023" w:rsidRPr="00C34C12" w:rsidRDefault="007C1023" w:rsidP="007C1023">
      <w:pPr>
        <w:rPr>
          <w:lang w:eastAsia="zh-CN"/>
        </w:rPr>
      </w:pPr>
      <w:r w:rsidRPr="00C34C12">
        <w:rPr>
          <w:lang w:eastAsia="zh-CN"/>
        </w:rPr>
        <w:t>In general, the possible range of the item-total correlation is from -1.0 (for a perfect negative relationship) to 1.0 (for a perfect positive relationship). A relatively high positive item-total correlation is desired, as it indicates that students with higher scores on the assessment tended to perform better on the item than students with lower test scores. A negative item</w:t>
      </w:r>
      <w:r w:rsidRPr="00C34C12">
        <w:rPr>
          <w:lang w:eastAsia="zh-CN"/>
        </w:rPr>
        <w:noBreakHyphen/>
        <w:t>total correlation, which indicates that students with low scores on the assessment are more likely to get higher scores on the item than students with high scores on the assessment, typically signifies a problem with the item.</w:t>
      </w:r>
    </w:p>
    <w:p w14:paraId="3FC9F433" w14:textId="116E3DF7" w:rsidR="007C1023" w:rsidRPr="00C34C12" w:rsidRDefault="007C1023" w:rsidP="007C1023">
      <w:pPr>
        <w:rPr>
          <w:b/>
          <w:bCs/>
        </w:rPr>
      </w:pPr>
      <w:r w:rsidRPr="00C34C12">
        <w:t>Because the product-moment correlation is limited by the distributions of the variables being correlated, the item discrimination index used in these analyses is a variation of the biserial correlation for dichotomous items or the polyserial correlation for polytomous items. This statistic is an estimate of the correlation between the criterion and an unobservable continuous variable assumed to determine performance on the item. The criterion is, in this case, the student’s total raw score from the three</w:t>
      </w:r>
      <w:r w:rsidRPr="00C34C12">
        <w:rPr>
          <w:rFonts w:eastAsia="Calibri"/>
        </w:rPr>
        <w:t xml:space="preserve"> </w:t>
      </w:r>
      <w:r w:rsidR="007D0C4F">
        <w:rPr>
          <w:rFonts w:eastAsia="Calibri"/>
        </w:rPr>
        <w:t xml:space="preserve">operational </w:t>
      </w:r>
      <w:r w:rsidRPr="00C34C12">
        <w:rPr>
          <w:rFonts w:eastAsia="Calibri"/>
        </w:rPr>
        <w:t>embedded</w:t>
      </w:r>
      <w:r w:rsidRPr="00C34C12">
        <w:t xml:space="preserve"> PTs. The estimation formula is</w:t>
      </w:r>
      <w:r w:rsidR="00955E49">
        <w:t xml:space="preserve"> presented in equation 7.3.</w:t>
      </w:r>
      <w:r w:rsidR="00955E49" w:rsidRPr="00955E49">
        <w:rPr>
          <w:i/>
          <w:iCs/>
        </w:rPr>
        <w:t xml:space="preserve"> </w:t>
      </w:r>
      <w:r w:rsidR="00955E49" w:rsidRPr="00C34C12">
        <w:rPr>
          <w:i/>
          <w:iCs/>
        </w:rPr>
        <w:t>Refer to</w:t>
      </w:r>
      <w:r w:rsidR="00955E49" w:rsidRPr="00C34C12">
        <w:rPr>
          <w:i/>
        </w:rPr>
        <w:t xml:space="preserve"> the </w:t>
      </w:r>
      <w:hyperlink w:anchor="_Alternative_Text_for_2" w:history="1">
        <w:r w:rsidR="00955E49" w:rsidRPr="00C34C12">
          <w:rPr>
            <w:rStyle w:val="Hyperlink"/>
            <w:i/>
          </w:rPr>
          <w:t>Alternative Text for Equation</w:t>
        </w:r>
        <w:r w:rsidR="00955E49">
          <w:rPr>
            <w:rStyle w:val="Hyperlink"/>
            <w:i/>
          </w:rPr>
          <w:t> </w:t>
        </w:r>
        <w:r w:rsidR="00955E49" w:rsidRPr="00C34C12">
          <w:rPr>
            <w:rStyle w:val="Hyperlink"/>
            <w:i/>
          </w:rPr>
          <w:t>7.3</w:t>
        </w:r>
      </w:hyperlink>
      <w:r w:rsidR="00955E49" w:rsidRPr="00C34C12">
        <w:rPr>
          <w:i/>
        </w:rPr>
        <w:t xml:space="preserve"> for a description of this equation.</w:t>
      </w:r>
    </w:p>
    <w:bookmarkStart w:id="586" w:name="_MON_1750674568"/>
    <w:bookmarkEnd w:id="586"/>
    <w:p w14:paraId="41AA2D3B" w14:textId="6D729759" w:rsidR="007C1023" w:rsidRPr="00C34C12" w:rsidRDefault="00950A86" w:rsidP="007C1023">
      <w:pPr>
        <w:pStyle w:val="NormalIndent2"/>
        <w:tabs>
          <w:tab w:val="right" w:pos="9900"/>
        </w:tabs>
      </w:pPr>
      <w:r w:rsidRPr="00104A9A">
        <w:rPr>
          <w:noProof/>
          <w:position w:val="-6"/>
        </w:rPr>
        <w:object w:dxaOrig="2343" w:dyaOrig="1010" w14:anchorId="3B82CC5D">
          <v:shape id="_x0000_i1028" type="#_x0000_t75" alt="Equation 7.3; a link to the long description for this equation is found in the preceding paragraph." style="width:114.55pt;height:51.95pt" o:ole="">
            <v:imagedata r:id="rId41" o:title=""/>
          </v:shape>
          <o:OLEObject Type="Embed" ProgID="Word.Document.12" ShapeID="_x0000_i1028" DrawAspect="Content" ObjectID="_1835872854" r:id="rId42">
            <o:FieldCodes>\s</o:FieldCodes>
          </o:OLEObject>
        </w:object>
      </w:r>
      <w:r w:rsidR="5447921D">
        <w:tab/>
      </w:r>
      <w:bookmarkStart w:id="587" w:name="EQ7_3"/>
      <w:r w:rsidR="0DDC9BE7">
        <w:t>(7.3)</w:t>
      </w:r>
      <w:bookmarkEnd w:id="587"/>
    </w:p>
    <w:p w14:paraId="6FCCE8D2" w14:textId="77777777" w:rsidR="007C1023" w:rsidRPr="00C34C12" w:rsidRDefault="007C1023" w:rsidP="007C1023">
      <w:pPr>
        <w:pStyle w:val="NormalIndent2"/>
      </w:pPr>
      <w:r w:rsidRPr="00C34C12">
        <w:t>where,</w:t>
      </w:r>
    </w:p>
    <w:bookmarkStart w:id="588" w:name="_MON_1741017880"/>
    <w:bookmarkEnd w:id="588"/>
    <w:p w14:paraId="230CC4D7" w14:textId="5BDC6C24" w:rsidR="007C1023" w:rsidRPr="00C34C12" w:rsidRDefault="00950A86" w:rsidP="007F2B28">
      <w:pPr>
        <w:pStyle w:val="equation"/>
      </w:pPr>
      <w:r w:rsidRPr="00650790">
        <w:rPr>
          <w:noProof/>
          <w:position w:val="-12"/>
        </w:rPr>
        <w:object w:dxaOrig="255" w:dyaOrig="389" w14:anchorId="1B0E8330">
          <v:shape id="_x0000_i1029" type="#_x0000_t75" alt="beta-hat" style="width:11.25pt;height:20.05pt" o:ole="">
            <v:imagedata r:id="rId43" o:title=""/>
          </v:shape>
          <o:OLEObject Type="Embed" ProgID="Word.Document.12" ShapeID="_x0000_i1029" DrawAspect="Content" ObjectID="_1835872855" r:id="rId44">
            <o:FieldCodes>\s</o:FieldCodes>
          </o:OLEObject>
        </w:object>
      </w:r>
      <w:r>
        <w:rPr>
          <w:noProof/>
        </w:rPr>
        <w:t xml:space="preserve"> </w:t>
      </w:r>
      <w:r w:rsidR="007C1023" w:rsidRPr="00C34C12">
        <w:t>is the estimated slope of the linear regression of the unobservable continuous variable (assumed to account for the item response) on the criterion, and</w:t>
      </w:r>
    </w:p>
    <w:p w14:paraId="3BE82C05" w14:textId="7E60C638" w:rsidR="007C1023" w:rsidRPr="00C34C12" w:rsidRDefault="00950A86" w:rsidP="002838DE">
      <w:pPr>
        <w:pStyle w:val="equation"/>
      </w:pPr>
      <w:proofErr w:type="spellStart"/>
      <w:r w:rsidRPr="00152146">
        <w:rPr>
          <w:rFonts w:ascii="Times New Roman" w:hAnsi="Times New Roman" w:cs="Times New Roman"/>
          <w:i/>
          <w:sz w:val="28"/>
          <w:szCs w:val="28"/>
        </w:rPr>
        <w:t>s</w:t>
      </w:r>
      <w:r w:rsidRPr="00152146">
        <w:rPr>
          <w:rFonts w:ascii="Times New Roman" w:hAnsi="Times New Roman" w:cs="Times New Roman"/>
          <w:i/>
          <w:sz w:val="28"/>
          <w:szCs w:val="28"/>
          <w:vertAlign w:val="subscript"/>
        </w:rPr>
        <w:t>tot</w:t>
      </w:r>
      <w:proofErr w:type="spellEnd"/>
      <w:r w:rsidRPr="00C34C12">
        <w:t xml:space="preserve"> </w:t>
      </w:r>
      <w:r w:rsidR="007C1023" w:rsidRPr="00C34C12">
        <w:t>is the standard deviation (SD) of the criterion (the students’ total raw score).</w:t>
      </w:r>
    </w:p>
    <w:p w14:paraId="54ED9355" w14:textId="77777777" w:rsidR="007C1023" w:rsidRPr="00C34C12" w:rsidRDefault="007C1023" w:rsidP="007C1023">
      <w:r w:rsidRPr="00C34C12">
        <w:t xml:space="preserve">For a polytomous item, there is a regression for each boundary between item scores, with all regressions for the same item sharing a common slope, </w:t>
      </w:r>
      <w:r w:rsidRPr="004F4ED5">
        <w:rPr>
          <w:rFonts w:ascii="Times New Roman" w:hAnsi="Times New Roman" w:cs="Times New Roman"/>
          <w:i/>
          <w:sz w:val="28"/>
          <w:szCs w:val="28"/>
        </w:rPr>
        <w:t>β</w:t>
      </w:r>
      <w:r w:rsidRPr="00C34C12">
        <w:t xml:space="preserve">. For a polytomous item with </w:t>
      </w:r>
      <w:r w:rsidRPr="00C34C12">
        <w:rPr>
          <w:rFonts w:ascii="Times New Roman" w:hAnsi="Times New Roman"/>
          <w:i/>
          <w:sz w:val="28"/>
        </w:rPr>
        <w:t>k</w:t>
      </w:r>
      <w:r w:rsidRPr="00C34C12">
        <w:t xml:space="preserve"> possible score values, there are </w:t>
      </w:r>
      <w:r w:rsidRPr="00C34C12">
        <w:rPr>
          <w:rFonts w:ascii="Times New Roman" w:hAnsi="Times New Roman"/>
          <w:i/>
          <w:sz w:val="28"/>
        </w:rPr>
        <w:t>k</w:t>
      </w:r>
      <w:r w:rsidRPr="00C34C12">
        <w:rPr>
          <w:rFonts w:ascii="Times New Roman" w:hAnsi="Times New Roman"/>
          <w:iCs/>
          <w:sz w:val="28"/>
        </w:rPr>
        <w:t>-1</w:t>
      </w:r>
      <w:r w:rsidRPr="00C34C12">
        <w:t xml:space="preserve"> regressions. Beta (</w:t>
      </w:r>
      <w:r w:rsidRPr="004F4ED5">
        <w:rPr>
          <w:rFonts w:ascii="Times New Roman" w:hAnsi="Times New Roman" w:cs="Times New Roman"/>
          <w:i/>
          <w:sz w:val="28"/>
          <w:szCs w:val="28"/>
        </w:rPr>
        <w:t>β</w:t>
      </w:r>
      <w:r w:rsidRPr="00C34C12">
        <w:t xml:space="preserve">) is the common slope for all </w:t>
      </w:r>
      <w:r w:rsidRPr="00C34C12">
        <w:rPr>
          <w:rFonts w:ascii="Times New Roman" w:hAnsi="Times New Roman"/>
          <w:i/>
          <w:sz w:val="28"/>
        </w:rPr>
        <w:t>k</w:t>
      </w:r>
      <w:r w:rsidRPr="00C34C12">
        <w:rPr>
          <w:rFonts w:ascii="Times New Roman" w:hAnsi="Times New Roman"/>
          <w:iCs/>
          <w:sz w:val="28"/>
        </w:rPr>
        <w:t>-1</w:t>
      </w:r>
      <w:r w:rsidRPr="00C34C12">
        <w:t xml:space="preserve"> regressions.</w:t>
      </w:r>
    </w:p>
    <w:p w14:paraId="393A03B7" w14:textId="77777777" w:rsidR="007C1023" w:rsidRPr="00C34C12" w:rsidRDefault="007C1023" w:rsidP="007C1023">
      <w:r w:rsidRPr="00C34C12">
        <w:t>Desired values for this correlation are positive and larger than 0.20. Negative item-total correlations indicate that low-ability students tend to obtain higher scores on the item than high-ability students, an indication that the scoring key may be incorrect, or the item did not function as intended for the students taking the CAA for Science. Therefore, items with item-total correlations below 0.20 are flagged for review.</w:t>
      </w:r>
    </w:p>
    <w:p w14:paraId="01AD432C" w14:textId="77777777" w:rsidR="007C1023" w:rsidRPr="00C34C12" w:rsidRDefault="007C1023" w:rsidP="007C1023">
      <w:pPr>
        <w:pStyle w:val="Heading4"/>
        <w:ind w:left="792" w:hanging="792"/>
      </w:pPr>
      <w:bookmarkStart w:id="589" w:name="_Toc38901295"/>
      <w:bookmarkStart w:id="590" w:name="_Toc182555214"/>
      <w:r w:rsidRPr="00C34C12">
        <w:lastRenderedPageBreak/>
        <w:t>Distribution of Item Scores</w:t>
      </w:r>
      <w:bookmarkEnd w:id="589"/>
      <w:bookmarkEnd w:id="590"/>
    </w:p>
    <w:p w14:paraId="6EF6B198" w14:textId="77777777" w:rsidR="007C1023" w:rsidRPr="00C34C12" w:rsidRDefault="007C1023" w:rsidP="007C1023">
      <w:r w:rsidRPr="00C34C12">
        <w:rPr>
          <w:bCs/>
        </w:rPr>
        <w:t xml:space="preserve">For polytomous items, </w:t>
      </w:r>
      <w:r w:rsidRPr="00C34C12">
        <w:t>examination of the distribution of scores helps to show how well the items performed. If no students receive the highest possible score, the item may not be functioning as expected. The item may be confusing, poorly worded, or just unexpectedly difficult; the scoring rubric may be flawed; or students may not have had the opportunity to learn the content tested by the item. If all or most students score at the extreme ends of the distribution—that is, students receive either full credit or zero credit, but no partial credit—there may be problems with the item or the rubric.</w:t>
      </w:r>
    </w:p>
    <w:p w14:paraId="0908006C" w14:textId="77777777" w:rsidR="007C1023" w:rsidRPr="00C34C12" w:rsidRDefault="007C1023" w:rsidP="007C1023">
      <w:r w:rsidRPr="00C34C12">
        <w:t>Items with a low percentage (i.e., less than 3 percent) of students obtaining any possible item score are flagged for further review. Such items may pose problems during the IRT calibrations. They need to be carefully reviewed and may need to be excluded from the item calibration analyses.</w:t>
      </w:r>
    </w:p>
    <w:p w14:paraId="1304DE84" w14:textId="77777777" w:rsidR="007C1023" w:rsidRPr="00C34C12" w:rsidRDefault="007C1023" w:rsidP="007C1023">
      <w:pPr>
        <w:pStyle w:val="Heading4"/>
        <w:ind w:left="792" w:hanging="792"/>
      </w:pPr>
      <w:bookmarkStart w:id="591" w:name="_Toc38901296"/>
      <w:bookmarkStart w:id="592" w:name="_Toc182555215"/>
      <w:r w:rsidRPr="00C34C12">
        <w:t>Summary of Classical Item Analysis Flagging Criteria</w:t>
      </w:r>
      <w:bookmarkEnd w:id="591"/>
      <w:bookmarkEnd w:id="592"/>
    </w:p>
    <w:p w14:paraId="3CD93908" w14:textId="659B11B3" w:rsidR="007C1023" w:rsidRPr="00C34C12" w:rsidRDefault="007C1023" w:rsidP="007C1023">
      <w:r w:rsidRPr="00C34C12">
        <w:t xml:space="preserve">Items are flagged for review if the item analysis yields any of the </w:t>
      </w:r>
      <w:r w:rsidR="004026A5">
        <w:t xml:space="preserve">six </w:t>
      </w:r>
      <w:r w:rsidRPr="00C34C12">
        <w:t>following results:</w:t>
      </w:r>
    </w:p>
    <w:p w14:paraId="746DC1E4" w14:textId="49D4715C" w:rsidR="007C1023" w:rsidRPr="00C34C12" w:rsidRDefault="007C1023" w:rsidP="006C19AB">
      <w:pPr>
        <w:pStyle w:val="Numbered"/>
        <w:numPr>
          <w:ilvl w:val="0"/>
          <w:numId w:val="83"/>
        </w:numPr>
        <w:ind w:left="864" w:hanging="288"/>
      </w:pPr>
      <w:r w:rsidRPr="00C34C12">
        <w:rPr>
          <w:iCs/>
        </w:rPr>
        <w:t xml:space="preserve">The </w:t>
      </w:r>
      <w:r w:rsidRPr="00C34C12">
        <w:rPr>
          <w:i/>
          <w:iCs/>
        </w:rPr>
        <w:t>p-</w:t>
      </w:r>
      <w:r w:rsidRPr="00C34C12">
        <w:rPr>
          <w:iCs/>
        </w:rPr>
        <w:t>value</w:t>
      </w:r>
      <w:r w:rsidRPr="00C34C12">
        <w:t xml:space="preserve"> is above 0.95 for dichotomous items or above 0.80 for polytomous items.</w:t>
      </w:r>
    </w:p>
    <w:p w14:paraId="31B44DCD" w14:textId="1ACE649A" w:rsidR="007C1023" w:rsidRPr="00C34C12" w:rsidRDefault="007C1023" w:rsidP="006C19AB">
      <w:pPr>
        <w:pStyle w:val="Numbered"/>
        <w:numPr>
          <w:ilvl w:val="0"/>
          <w:numId w:val="83"/>
        </w:numPr>
        <w:ind w:left="864" w:hanging="288"/>
      </w:pPr>
      <w:r w:rsidRPr="00C34C12">
        <w:t xml:space="preserve">The </w:t>
      </w:r>
      <w:r w:rsidRPr="00C34C12">
        <w:rPr>
          <w:i/>
          <w:iCs/>
        </w:rPr>
        <w:t>p-</w:t>
      </w:r>
      <w:r w:rsidRPr="00C34C12">
        <w:t xml:space="preserve">value is below </w:t>
      </w:r>
      <w:r w:rsidR="007379D2">
        <w:t>0.50 for two-</w:t>
      </w:r>
      <w:r w:rsidR="003C49CF">
        <w:t>choice</w:t>
      </w:r>
      <w:r w:rsidR="007379D2">
        <w:t xml:space="preserve"> dichotomous items, 0.3</w:t>
      </w:r>
      <w:r w:rsidR="00B97003">
        <w:t>0</w:t>
      </w:r>
      <w:r w:rsidR="007379D2">
        <w:t xml:space="preserve"> for three-choice </w:t>
      </w:r>
      <w:r w:rsidR="003C49CF">
        <w:t>dichotomous items, 0.2</w:t>
      </w:r>
      <w:r w:rsidR="00B97003">
        <w:t>0</w:t>
      </w:r>
      <w:r w:rsidR="003C49CF">
        <w:t xml:space="preserve"> for four-choice dichotomous items,</w:t>
      </w:r>
      <w:r w:rsidRPr="00C34C12">
        <w:t xml:space="preserve"> or 0.30 for polytomous items.</w:t>
      </w:r>
    </w:p>
    <w:p w14:paraId="6D19829E" w14:textId="77777777" w:rsidR="007C1023" w:rsidRPr="00C34C12" w:rsidRDefault="007C1023" w:rsidP="006C19AB">
      <w:pPr>
        <w:pStyle w:val="Numbered"/>
        <w:numPr>
          <w:ilvl w:val="0"/>
          <w:numId w:val="83"/>
        </w:numPr>
        <w:ind w:left="864" w:hanging="288"/>
      </w:pPr>
      <w:r w:rsidRPr="00C34C12">
        <w:t>Item-total correlation (polyserial) is below 0.20.</w:t>
      </w:r>
    </w:p>
    <w:p w14:paraId="06B4DCBD" w14:textId="77777777" w:rsidR="007C1023" w:rsidRPr="00C34C12" w:rsidRDefault="007C1023" w:rsidP="006C19AB">
      <w:pPr>
        <w:pStyle w:val="Numbered"/>
        <w:numPr>
          <w:ilvl w:val="0"/>
          <w:numId w:val="83"/>
        </w:numPr>
        <w:ind w:left="864" w:hanging="288"/>
      </w:pPr>
      <w:r w:rsidRPr="00C34C12">
        <w:rPr>
          <w:rFonts w:eastAsia="Wingdings-Regular"/>
        </w:rPr>
        <w:t>Among the highest-performing students (the top 20 percent), the number of students choosing any distractor is greater than the number of those choosing the key.</w:t>
      </w:r>
    </w:p>
    <w:p w14:paraId="63850384" w14:textId="77777777" w:rsidR="007C1023" w:rsidRPr="00C34C12" w:rsidRDefault="007C1023" w:rsidP="006C19AB">
      <w:pPr>
        <w:pStyle w:val="Numbered"/>
        <w:numPr>
          <w:ilvl w:val="0"/>
          <w:numId w:val="83"/>
        </w:numPr>
        <w:ind w:left="864" w:hanging="288"/>
      </w:pPr>
      <w:r w:rsidRPr="00C34C12">
        <w:rPr>
          <w:rFonts w:eastAsia="Wingdings-Regular"/>
        </w:rPr>
        <w:t>The omit rate is above 5 percent for dichotomous items or above 15 percent for polytomous items.</w:t>
      </w:r>
    </w:p>
    <w:p w14:paraId="00E4DC63" w14:textId="77777777" w:rsidR="007C1023" w:rsidRPr="00C34C12" w:rsidRDefault="007C1023" w:rsidP="006C19AB">
      <w:pPr>
        <w:pStyle w:val="Numbered"/>
        <w:numPr>
          <w:ilvl w:val="0"/>
          <w:numId w:val="83"/>
        </w:numPr>
        <w:ind w:left="864" w:hanging="288"/>
      </w:pPr>
      <w:r w:rsidRPr="00C34C12">
        <w:rPr>
          <w:rFonts w:eastAsia="Wingdings-Regular"/>
        </w:rPr>
        <w:t>Any of the possible scores on a polytomous item is earned by less than 3 percent of the students.</w:t>
      </w:r>
    </w:p>
    <w:p w14:paraId="58F2FD53" w14:textId="3A2BD541" w:rsidR="007C1023" w:rsidRPr="00C34C12" w:rsidRDefault="00A23629" w:rsidP="007C1023">
      <w:r>
        <w:t xml:space="preserve">In a typical administration, </w:t>
      </w:r>
      <w:r w:rsidR="007C1023" w:rsidRPr="00C34C12">
        <w:t xml:space="preserve">ETS’ psychometric staff and content assessment development staff review each of the flagged items and summarize the classical item results for the California Department of Education (CDE), with recommendations for subsequent analyses of the items. </w:t>
      </w:r>
      <w:r w:rsidR="007C1023" w:rsidRPr="00C34C12">
        <w:rPr>
          <w:rFonts w:eastAsiaTheme="minorHAnsi"/>
          <w:color w:val="auto"/>
        </w:rPr>
        <w:t xml:space="preserve">The classical item statistics </w:t>
      </w:r>
      <w:r>
        <w:rPr>
          <w:rFonts w:eastAsiaTheme="minorHAnsi"/>
          <w:color w:val="auto"/>
        </w:rPr>
        <w:t>are</w:t>
      </w:r>
      <w:r w:rsidRPr="00C34C12">
        <w:rPr>
          <w:rFonts w:eastAsiaTheme="minorHAnsi"/>
          <w:color w:val="auto"/>
        </w:rPr>
        <w:t xml:space="preserve"> </w:t>
      </w:r>
      <w:r w:rsidR="007C1023" w:rsidRPr="00C34C12">
        <w:rPr>
          <w:rFonts w:eastAsiaTheme="minorHAnsi"/>
          <w:color w:val="auto"/>
        </w:rPr>
        <w:t>entered into the item bank for use by the assessment development team for test assembly for future operational administrations.</w:t>
      </w:r>
    </w:p>
    <w:p w14:paraId="16F1DF32" w14:textId="77777777" w:rsidR="004920DD" w:rsidRPr="00C34C12" w:rsidRDefault="004920DD" w:rsidP="004920DD">
      <w:pPr>
        <w:pStyle w:val="Heading3"/>
        <w:ind w:left="360" w:hanging="360"/>
      </w:pPr>
      <w:bookmarkStart w:id="593" w:name="_Toc66787514"/>
      <w:bookmarkStart w:id="594" w:name="_Toc66787973"/>
      <w:bookmarkStart w:id="595" w:name="_Toc67035565"/>
      <w:bookmarkStart w:id="596" w:name="_Toc67319429"/>
      <w:bookmarkStart w:id="597" w:name="_Toc67382541"/>
      <w:bookmarkStart w:id="598" w:name="_Toc67466100"/>
      <w:bookmarkStart w:id="599" w:name="_Toc68089031"/>
      <w:bookmarkStart w:id="600" w:name="_Toc68107880"/>
      <w:bookmarkStart w:id="601" w:name="_Toc66787515"/>
      <w:bookmarkStart w:id="602" w:name="_Toc66787974"/>
      <w:bookmarkStart w:id="603" w:name="_Toc67035566"/>
      <w:bookmarkStart w:id="604" w:name="_Toc67319430"/>
      <w:bookmarkStart w:id="605" w:name="_Toc67382542"/>
      <w:bookmarkStart w:id="606" w:name="_Toc67466101"/>
      <w:bookmarkStart w:id="607" w:name="_Toc68089032"/>
      <w:bookmarkStart w:id="608" w:name="_Toc68107881"/>
      <w:bookmarkStart w:id="609" w:name="_Toc66787516"/>
      <w:bookmarkStart w:id="610" w:name="_Toc66787975"/>
      <w:bookmarkStart w:id="611" w:name="_Toc67035567"/>
      <w:bookmarkStart w:id="612" w:name="_Toc67319431"/>
      <w:bookmarkStart w:id="613" w:name="_Toc67382543"/>
      <w:bookmarkStart w:id="614" w:name="_Toc67466102"/>
      <w:bookmarkStart w:id="615" w:name="_Toc68089033"/>
      <w:bookmarkStart w:id="616" w:name="_Toc68107882"/>
      <w:bookmarkStart w:id="617" w:name="_Toc62215074"/>
      <w:bookmarkStart w:id="618" w:name="_Toc66787517"/>
      <w:bookmarkStart w:id="619" w:name="_Toc66787976"/>
      <w:bookmarkStart w:id="620" w:name="_Toc67035568"/>
      <w:bookmarkStart w:id="621" w:name="_Toc67319432"/>
      <w:bookmarkStart w:id="622" w:name="_Toc67382544"/>
      <w:bookmarkStart w:id="623" w:name="_Toc67466103"/>
      <w:bookmarkStart w:id="624" w:name="_Toc62215083"/>
      <w:bookmarkStart w:id="625" w:name="_Toc66787526"/>
      <w:bookmarkStart w:id="626" w:name="_Toc66787985"/>
      <w:bookmarkStart w:id="627" w:name="_Toc67035577"/>
      <w:bookmarkStart w:id="628" w:name="_Toc67319441"/>
      <w:bookmarkStart w:id="629" w:name="_Toc67382553"/>
      <w:bookmarkStart w:id="630" w:name="_Toc67466112"/>
      <w:bookmarkStart w:id="631" w:name="_Toc62215092"/>
      <w:bookmarkStart w:id="632" w:name="_Toc66787535"/>
      <w:bookmarkStart w:id="633" w:name="_Toc66787994"/>
      <w:bookmarkStart w:id="634" w:name="_Toc67035586"/>
      <w:bookmarkStart w:id="635" w:name="_Toc67319450"/>
      <w:bookmarkStart w:id="636" w:name="_Toc67382562"/>
      <w:bookmarkStart w:id="637" w:name="_Toc67466121"/>
      <w:bookmarkStart w:id="638" w:name="_Toc62215101"/>
      <w:bookmarkStart w:id="639" w:name="_Toc66787544"/>
      <w:bookmarkStart w:id="640" w:name="_Toc66788003"/>
      <w:bookmarkStart w:id="641" w:name="_Toc67035595"/>
      <w:bookmarkStart w:id="642" w:name="_Toc67319459"/>
      <w:bookmarkStart w:id="643" w:name="_Toc67382571"/>
      <w:bookmarkStart w:id="644" w:name="_Toc67466130"/>
      <w:bookmarkStart w:id="645" w:name="_Toc62215110"/>
      <w:bookmarkStart w:id="646" w:name="_Toc66787553"/>
      <w:bookmarkStart w:id="647" w:name="_Toc66788012"/>
      <w:bookmarkStart w:id="648" w:name="_Toc67035604"/>
      <w:bookmarkStart w:id="649" w:name="_Toc67319468"/>
      <w:bookmarkStart w:id="650" w:name="_Toc67382580"/>
      <w:bookmarkStart w:id="651" w:name="_Toc67466139"/>
      <w:bookmarkStart w:id="652" w:name="_Toc62215119"/>
      <w:bookmarkStart w:id="653" w:name="_Toc66787562"/>
      <w:bookmarkStart w:id="654" w:name="_Toc66788021"/>
      <w:bookmarkStart w:id="655" w:name="_Toc67035613"/>
      <w:bookmarkStart w:id="656" w:name="_Toc67319477"/>
      <w:bookmarkStart w:id="657" w:name="_Toc67382589"/>
      <w:bookmarkStart w:id="658" w:name="_Toc67466148"/>
      <w:bookmarkStart w:id="659" w:name="_Toc62215128"/>
      <w:bookmarkStart w:id="660" w:name="_Toc66787571"/>
      <w:bookmarkStart w:id="661" w:name="_Toc66788030"/>
      <w:bookmarkStart w:id="662" w:name="_Toc67035622"/>
      <w:bookmarkStart w:id="663" w:name="_Toc67319486"/>
      <w:bookmarkStart w:id="664" w:name="_Toc67382598"/>
      <w:bookmarkStart w:id="665" w:name="_Toc67466157"/>
      <w:bookmarkStart w:id="666" w:name="_Omission_and_Completion"/>
      <w:bookmarkStart w:id="667" w:name="_Toc38901298"/>
      <w:bookmarkStart w:id="668" w:name="_Toc182555216"/>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r w:rsidRPr="00C34C12">
        <w:t>Omission and Completion Rates</w:t>
      </w:r>
      <w:bookmarkEnd w:id="667"/>
      <w:bookmarkEnd w:id="668"/>
    </w:p>
    <w:p w14:paraId="580C4174" w14:textId="77777777" w:rsidR="004920DD" w:rsidRPr="00C34C12" w:rsidRDefault="004920DD" w:rsidP="004920DD">
      <w:pPr>
        <w:pStyle w:val="Heading4"/>
        <w:ind w:left="792" w:hanging="792"/>
      </w:pPr>
      <w:bookmarkStart w:id="669" w:name="_Omit_Rates"/>
      <w:bookmarkStart w:id="670" w:name="_Toc38901299"/>
      <w:bookmarkStart w:id="671" w:name="_Toc182555217"/>
      <w:bookmarkEnd w:id="669"/>
      <w:r w:rsidRPr="00C34C12">
        <w:t>Omit Rates</w:t>
      </w:r>
      <w:bookmarkEnd w:id="670"/>
      <w:bookmarkEnd w:id="671"/>
    </w:p>
    <w:p w14:paraId="6937D322" w14:textId="1E7E56D9" w:rsidR="004920DD" w:rsidRDefault="004920DD" w:rsidP="00AD1473">
      <w:pPr>
        <w:keepLines/>
      </w:pPr>
      <w:r w:rsidRPr="00C34C12">
        <w:rPr>
          <w:bCs/>
        </w:rPr>
        <w:t>For both dichotomous and polytomous ite</w:t>
      </w:r>
      <w:r w:rsidRPr="00C34C12">
        <w:t>ms</w:t>
      </w:r>
      <w:r w:rsidRPr="001F2DE4">
        <w:t>, examining the omit rate is useful for identifying</w:t>
      </w:r>
      <w:r w:rsidRPr="00C34C12">
        <w:t xml:space="preserve"> potential problems with test features such as testing time and item or test layout. An item is considered “omitted” when the item has been presented to the student but has not been answered (i.e., left blank) in the middle of an administered assessment wherein the student has been presented with, and responded to, successive items.</w:t>
      </w:r>
    </w:p>
    <w:p w14:paraId="52A8EE05" w14:textId="71A5D844" w:rsidR="00B13A5E" w:rsidRPr="00C34C12" w:rsidRDefault="00B13A5E" w:rsidP="00AD1473">
      <w:pPr>
        <w:keepLines/>
      </w:pPr>
      <w:r>
        <w:lastRenderedPageBreak/>
        <w:t xml:space="preserve">The </w:t>
      </w:r>
      <w:r w:rsidR="00CC4382" w:rsidRPr="00E81285">
        <w:rPr>
          <w:i/>
          <w:iCs/>
        </w:rPr>
        <w:t xml:space="preserve">Mark as </w:t>
      </w:r>
      <w:r w:rsidRPr="00E81285">
        <w:rPr>
          <w:i/>
          <w:iCs/>
        </w:rPr>
        <w:t>No Response</w:t>
      </w:r>
      <w:r>
        <w:t xml:space="preserve"> option is a specific case of an omitted item. The </w:t>
      </w:r>
      <w:r w:rsidR="00CC4382" w:rsidRPr="00C3779B">
        <w:rPr>
          <w:i/>
        </w:rPr>
        <w:t xml:space="preserve">Mark as </w:t>
      </w:r>
      <w:r w:rsidRPr="00C3779B">
        <w:rPr>
          <w:i/>
        </w:rPr>
        <w:t>No Response</w:t>
      </w:r>
      <w:r>
        <w:t xml:space="preserve"> option should be used when the item was presented to the student and the student did not provide a response despite the test examiner’s best efforts to elicit a response. </w:t>
      </w:r>
      <w:r w:rsidR="00065AB7">
        <w:t>Similar to</w:t>
      </w:r>
      <w:r w:rsidR="00FA4FA9">
        <w:t xml:space="preserve"> the </w:t>
      </w:r>
      <w:r w:rsidR="00065AB7">
        <w:t xml:space="preserve">omit rate, the </w:t>
      </w:r>
      <w:r w:rsidR="00DC20FD" w:rsidRPr="00C3779B">
        <w:rPr>
          <w:i/>
        </w:rPr>
        <w:t xml:space="preserve">Mark as </w:t>
      </w:r>
      <w:r w:rsidR="00065AB7" w:rsidRPr="00C3779B">
        <w:rPr>
          <w:i/>
        </w:rPr>
        <w:t>No Response</w:t>
      </w:r>
      <w:r w:rsidR="00065AB7">
        <w:t xml:space="preserve"> information is useful for identifying potential problems with an item.</w:t>
      </w:r>
    </w:p>
    <w:p w14:paraId="1F6920B0" w14:textId="77777777" w:rsidR="004920DD" w:rsidRPr="00C34C12" w:rsidRDefault="004920DD" w:rsidP="004920DD">
      <w:pPr>
        <w:pStyle w:val="Heading4"/>
        <w:ind w:left="792" w:hanging="792"/>
      </w:pPr>
      <w:bookmarkStart w:id="672" w:name="_Toc38901300"/>
      <w:bookmarkStart w:id="673" w:name="_Toc182555218"/>
      <w:r w:rsidRPr="00C34C12">
        <w:t>Completion Rates</w:t>
      </w:r>
      <w:bookmarkEnd w:id="672"/>
      <w:bookmarkEnd w:id="673"/>
    </w:p>
    <w:p w14:paraId="1F17D1D6" w14:textId="06A4D647" w:rsidR="004920DD" w:rsidRPr="00C34C12" w:rsidRDefault="004920DD" w:rsidP="004920DD">
      <w:r w:rsidRPr="00C34C12">
        <w:t>Completion rates indicate the proportion of students who completed each of the three</w:t>
      </w:r>
      <w:r w:rsidRPr="00C34C12">
        <w:rPr>
          <w:rFonts w:eastAsia="Calibri"/>
        </w:rPr>
        <w:t xml:space="preserve"> embedded</w:t>
      </w:r>
      <w:r w:rsidRPr="00C34C12">
        <w:t xml:space="preserve"> PTs on the test. A student’s record for the CAA for Science is not considered complete unless the student answered at least one test question from each of the </w:t>
      </w:r>
      <w:r w:rsidR="004A3AB1">
        <w:t xml:space="preserve">four </w:t>
      </w:r>
      <w:r w:rsidRPr="00C34C12">
        <w:t>embedded PTs.</w:t>
      </w:r>
    </w:p>
    <w:p w14:paraId="7D4F6F9E" w14:textId="72D1059B" w:rsidR="000B66A1" w:rsidRPr="00C34C12" w:rsidRDefault="000B66A1" w:rsidP="000B66A1">
      <w:pPr>
        <w:pStyle w:val="Heading3"/>
        <w:keepLines/>
        <w:ind w:left="360" w:hanging="360"/>
      </w:pPr>
      <w:bookmarkStart w:id="674" w:name="_Toc62215137"/>
      <w:bookmarkStart w:id="675" w:name="_Toc66787583"/>
      <w:bookmarkStart w:id="676" w:name="_Toc66788042"/>
      <w:bookmarkStart w:id="677" w:name="_Toc67035634"/>
      <w:bookmarkStart w:id="678" w:name="_Toc67319498"/>
      <w:bookmarkStart w:id="679" w:name="_Toc67382610"/>
      <w:bookmarkStart w:id="680" w:name="_Toc67466169"/>
      <w:bookmarkStart w:id="681" w:name="_Toc68089037"/>
      <w:bookmarkStart w:id="682" w:name="_Toc68107886"/>
      <w:bookmarkStart w:id="683" w:name="_Toc62215138"/>
      <w:bookmarkStart w:id="684" w:name="_Toc66787584"/>
      <w:bookmarkStart w:id="685" w:name="_Toc66788043"/>
      <w:bookmarkStart w:id="686" w:name="_Toc67035635"/>
      <w:bookmarkStart w:id="687" w:name="_Toc67319499"/>
      <w:bookmarkStart w:id="688" w:name="_Toc67382611"/>
      <w:bookmarkStart w:id="689" w:name="_Toc67466170"/>
      <w:bookmarkStart w:id="690" w:name="_Toc68089038"/>
      <w:bookmarkStart w:id="691" w:name="_Toc68107887"/>
      <w:bookmarkStart w:id="692" w:name="_Toc10032403"/>
      <w:bookmarkStart w:id="693" w:name="_Toc38901301"/>
      <w:bookmarkStart w:id="694" w:name="_Toc182555219"/>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r w:rsidRPr="00C34C12">
        <w:t>Task Difficulty (Overall and by Embedded P</w:t>
      </w:r>
      <w:r w:rsidR="00C66744">
        <w:t xml:space="preserve">erformance </w:t>
      </w:r>
      <w:r w:rsidRPr="00C34C12">
        <w:t>T</w:t>
      </w:r>
      <w:r w:rsidR="00C66744">
        <w:t>ask</w:t>
      </w:r>
      <w:r w:rsidRPr="00C34C12">
        <w:t>)</w:t>
      </w:r>
      <w:bookmarkEnd w:id="692"/>
      <w:bookmarkEnd w:id="693"/>
      <w:bookmarkEnd w:id="694"/>
    </w:p>
    <w:p w14:paraId="5FEB1280" w14:textId="43F439C0" w:rsidR="000B66A1" w:rsidRDefault="000B66A1" w:rsidP="001452B1">
      <w:pPr>
        <w:keepLines/>
      </w:pPr>
      <w:r w:rsidRPr="00C34C12">
        <w:t xml:space="preserve">The mean raw score </w:t>
      </w:r>
      <w:r w:rsidR="005C1C91">
        <w:t xml:space="preserve">for each embedded PT </w:t>
      </w:r>
      <w:r w:rsidR="00474C53">
        <w:t>is</w:t>
      </w:r>
      <w:r w:rsidRPr="00C34C12">
        <w:t xml:space="preserve"> prov</w:t>
      </w:r>
      <w:r w:rsidRPr="0025505A">
        <w:t>ided in</w:t>
      </w:r>
      <w:r w:rsidR="00FC232E" w:rsidRPr="0025505A">
        <w:t xml:space="preserve"> </w:t>
      </w:r>
      <w:r w:rsidR="0025505A" w:rsidRPr="007C431E">
        <w:rPr>
          <w:rStyle w:val="Cross-Reference"/>
        </w:rPr>
        <w:fldChar w:fldCharType="begin"/>
      </w:r>
      <w:r w:rsidR="0025505A" w:rsidRPr="007C431E">
        <w:rPr>
          <w:rStyle w:val="Cross-Reference"/>
        </w:rPr>
        <w:instrText xml:space="preserve"> REF  _Ref67060771 \* Lower \h  \* MERGEFORMAT </w:instrText>
      </w:r>
      <w:r w:rsidR="0025505A" w:rsidRPr="007C431E">
        <w:rPr>
          <w:rStyle w:val="Cross-Reference"/>
        </w:rPr>
      </w:r>
      <w:r w:rsidR="0025505A" w:rsidRPr="007C431E">
        <w:rPr>
          <w:rStyle w:val="Cross-Reference"/>
        </w:rPr>
        <w:fldChar w:fldCharType="separate"/>
      </w:r>
      <w:r w:rsidR="00886908" w:rsidRPr="00886908">
        <w:rPr>
          <w:rStyle w:val="Cross-Reference"/>
        </w:rPr>
        <w:t>table 7.1</w:t>
      </w:r>
      <w:r w:rsidR="0025505A" w:rsidRPr="007C431E">
        <w:rPr>
          <w:rStyle w:val="Cross-Reference"/>
        </w:rPr>
        <w:fldChar w:fldCharType="end"/>
      </w:r>
      <w:r w:rsidR="0007391F" w:rsidRPr="0025505A">
        <w:t xml:space="preserve"> t</w:t>
      </w:r>
      <w:r w:rsidR="00FC232E" w:rsidRPr="0025505A">
        <w:t xml:space="preserve">hrough </w:t>
      </w:r>
      <w:r w:rsidR="0025505A" w:rsidRPr="007C431E">
        <w:rPr>
          <w:rStyle w:val="Cross-Reference"/>
        </w:rPr>
        <w:fldChar w:fldCharType="begin"/>
      </w:r>
      <w:r w:rsidR="0025505A" w:rsidRPr="007C431E">
        <w:rPr>
          <w:rStyle w:val="Cross-Reference"/>
        </w:rPr>
        <w:instrText xml:space="preserve"> REF  _Ref67060778 \* Lower \h  \* MERGEFORMAT </w:instrText>
      </w:r>
      <w:r w:rsidR="0025505A" w:rsidRPr="007C431E">
        <w:rPr>
          <w:rStyle w:val="Cross-Reference"/>
        </w:rPr>
      </w:r>
      <w:r w:rsidR="0025505A" w:rsidRPr="007C431E">
        <w:rPr>
          <w:rStyle w:val="Cross-Reference"/>
        </w:rPr>
        <w:fldChar w:fldCharType="separate"/>
      </w:r>
      <w:r w:rsidR="00886908" w:rsidRPr="00886908">
        <w:rPr>
          <w:rStyle w:val="Cross-Reference"/>
        </w:rPr>
        <w:t>table 7.3</w:t>
      </w:r>
      <w:r w:rsidR="0025505A" w:rsidRPr="007C431E">
        <w:rPr>
          <w:rStyle w:val="Cross-Reference"/>
        </w:rPr>
        <w:fldChar w:fldCharType="end"/>
      </w:r>
      <w:r w:rsidRPr="00C34C12">
        <w:t xml:space="preserve"> and </w:t>
      </w:r>
      <w:r w:rsidR="00CB582F">
        <w:t>is</w:t>
      </w:r>
      <w:r w:rsidRPr="00C34C12">
        <w:t xml:space="preserve"> based on the </w:t>
      </w:r>
      <w:r w:rsidR="00F54406">
        <w:t>students in the</w:t>
      </w:r>
      <w:r w:rsidR="00430E6B">
        <w:t xml:space="preserve"> </w:t>
      </w:r>
      <w:r w:rsidR="00474C53">
        <w:t>preliminary indicator</w:t>
      </w:r>
      <w:r w:rsidR="00430E6B">
        <w:t xml:space="preserve"> file that had a valid test score</w:t>
      </w:r>
      <w:r w:rsidRPr="00C34C12">
        <w:t>.</w:t>
      </w:r>
      <w:r w:rsidR="001452B1">
        <w:t xml:space="preserve"> Because </w:t>
      </w:r>
      <w:r w:rsidR="00367833">
        <w:t xml:space="preserve">testing </w:t>
      </w:r>
      <w:r w:rsidR="006A28B2">
        <w:t xml:space="preserve">was </w:t>
      </w:r>
      <w:r w:rsidR="00367833">
        <w:t>s</w:t>
      </w:r>
      <w:r w:rsidR="006A28B2">
        <w:t>uspended</w:t>
      </w:r>
      <w:r w:rsidR="00367833">
        <w:t xml:space="preserve"> on March 18, 2020</w:t>
      </w:r>
      <w:r w:rsidR="00291118">
        <w:t>,</w:t>
      </w:r>
      <w:r w:rsidR="00367833">
        <w:t xml:space="preserve"> and </w:t>
      </w:r>
      <w:r w:rsidR="00C0760B">
        <w:t xml:space="preserve">so few students completed the CAA for Science, no interpretation of the results </w:t>
      </w:r>
      <w:r w:rsidR="00CA6DD6">
        <w:t xml:space="preserve">is </w:t>
      </w:r>
      <w:r w:rsidR="00C0760B">
        <w:t>provided.</w:t>
      </w:r>
    </w:p>
    <w:p w14:paraId="7C20BA6F" w14:textId="7C297B7E" w:rsidR="00963E90" w:rsidRPr="004B2D24" w:rsidRDefault="00963E90" w:rsidP="00963E90">
      <w:pPr>
        <w:pStyle w:val="Caption"/>
      </w:pPr>
      <w:bookmarkStart w:id="695" w:name="_Ref67060771"/>
      <w:bookmarkStart w:id="696" w:name="_Toc67319707"/>
      <w:bookmarkStart w:id="697" w:name="_Toc220498711"/>
      <w:r w:rsidRPr="004B2D24">
        <w:t xml:space="preserve">Table </w:t>
      </w:r>
      <w:r>
        <w:fldChar w:fldCharType="begin"/>
      </w:r>
      <w:r>
        <w:instrText>STYLEREF 2 \s</w:instrText>
      </w:r>
      <w:r>
        <w:fldChar w:fldCharType="separate"/>
      </w:r>
      <w:r w:rsidR="00961502">
        <w:rPr>
          <w:noProof/>
        </w:rPr>
        <w:t>7</w:t>
      </w:r>
      <w:r>
        <w:fldChar w:fldCharType="end"/>
      </w:r>
      <w:r w:rsidR="00A40753">
        <w:t>.</w:t>
      </w:r>
      <w:r>
        <w:fldChar w:fldCharType="begin"/>
      </w:r>
      <w:r>
        <w:instrText>SEQ Table \* ARABIC \s 2</w:instrText>
      </w:r>
      <w:r>
        <w:fldChar w:fldCharType="separate"/>
      </w:r>
      <w:r w:rsidR="00961502">
        <w:rPr>
          <w:noProof/>
        </w:rPr>
        <w:t>1</w:t>
      </w:r>
      <w:r>
        <w:fldChar w:fldCharType="end"/>
      </w:r>
      <w:bookmarkEnd w:id="695"/>
      <w:r w:rsidRPr="004B2D24">
        <w:t xml:space="preserve">  Raw Score Summary for Each Embedded PT</w:t>
      </w:r>
      <w:r w:rsidRPr="004B2D24">
        <w:rPr>
          <w:rStyle w:val="CaptionChar"/>
          <w:b/>
        </w:rPr>
        <w:t xml:space="preserve">—Grade </w:t>
      </w:r>
      <w:r>
        <w:rPr>
          <w:rStyle w:val="CaptionChar"/>
          <w:b/>
        </w:rPr>
        <w:t>Five</w:t>
      </w:r>
      <w:bookmarkEnd w:id="696"/>
      <w:bookmarkEnd w:id="697"/>
    </w:p>
    <w:tbl>
      <w:tblPr>
        <w:tblStyle w:val="TRs"/>
        <w:tblW w:w="9999" w:type="dxa"/>
        <w:tblLook w:val="04A0" w:firstRow="1" w:lastRow="0" w:firstColumn="1" w:lastColumn="0" w:noHBand="0" w:noVBand="1"/>
        <w:tblDescription w:val="Raw Score Summary for Each Embedded PT—Grade Five"/>
      </w:tblPr>
      <w:tblGrid>
        <w:gridCol w:w="4896"/>
        <w:gridCol w:w="617"/>
        <w:gridCol w:w="576"/>
        <w:gridCol w:w="742"/>
        <w:gridCol w:w="576"/>
        <w:gridCol w:w="576"/>
        <w:gridCol w:w="576"/>
        <w:gridCol w:w="576"/>
        <w:gridCol w:w="864"/>
      </w:tblGrid>
      <w:tr w:rsidR="00BC3368" w:rsidRPr="004B2D24" w14:paraId="0B195412" w14:textId="77777777" w:rsidTr="003B3AA4">
        <w:trPr>
          <w:cnfStyle w:val="100000000000" w:firstRow="1" w:lastRow="0" w:firstColumn="0" w:lastColumn="0" w:oddVBand="0" w:evenVBand="0" w:oddHBand="0" w:evenHBand="0" w:firstRowFirstColumn="0" w:firstRowLastColumn="0" w:lastRowFirstColumn="0" w:lastRowLastColumn="0"/>
          <w:trHeight w:val="2592"/>
        </w:trPr>
        <w:tc>
          <w:tcPr>
            <w:tcW w:w="4896" w:type="dxa"/>
            <w:noWrap/>
            <w:hideMark/>
          </w:tcPr>
          <w:p w14:paraId="0E9D2731" w14:textId="77777777" w:rsidR="00963E90" w:rsidRPr="004B2D24" w:rsidRDefault="00963E90" w:rsidP="003B3AA4">
            <w:pPr>
              <w:pStyle w:val="TableHead"/>
              <w:rPr>
                <w:b w:val="0"/>
                <w:bCs w:val="0"/>
                <w:noProof w:val="0"/>
              </w:rPr>
            </w:pPr>
            <w:r w:rsidRPr="004B2D24">
              <w:rPr>
                <w:noProof w:val="0"/>
              </w:rPr>
              <w:t>Module</w:t>
            </w:r>
          </w:p>
        </w:tc>
        <w:tc>
          <w:tcPr>
            <w:tcW w:w="617" w:type="dxa"/>
            <w:textDirection w:val="btLr"/>
            <w:vAlign w:val="center"/>
          </w:tcPr>
          <w:p w14:paraId="3DF547CF" w14:textId="77777777" w:rsidR="00963E90" w:rsidRPr="004B2D24" w:rsidRDefault="00963E90" w:rsidP="0022713A">
            <w:pPr>
              <w:pStyle w:val="TableHead"/>
              <w:ind w:left="72"/>
              <w:jc w:val="left"/>
              <w:rPr>
                <w:b w:val="0"/>
                <w:bCs w:val="0"/>
                <w:noProof w:val="0"/>
              </w:rPr>
            </w:pPr>
            <w:r w:rsidRPr="004B2D24">
              <w:rPr>
                <w:noProof w:val="0"/>
              </w:rPr>
              <w:t>Number of Students</w:t>
            </w:r>
          </w:p>
        </w:tc>
        <w:tc>
          <w:tcPr>
            <w:tcW w:w="576" w:type="dxa"/>
            <w:noWrap/>
            <w:textDirection w:val="btLr"/>
            <w:vAlign w:val="center"/>
            <w:hideMark/>
          </w:tcPr>
          <w:p w14:paraId="05D0B535" w14:textId="77777777" w:rsidR="00963E90" w:rsidRPr="004B2D24" w:rsidRDefault="00963E90" w:rsidP="0022713A">
            <w:pPr>
              <w:pStyle w:val="TableHead"/>
              <w:ind w:left="72"/>
              <w:jc w:val="left"/>
              <w:rPr>
                <w:b w:val="0"/>
                <w:bCs w:val="0"/>
                <w:noProof w:val="0"/>
              </w:rPr>
            </w:pPr>
            <w:r w:rsidRPr="004B2D24">
              <w:rPr>
                <w:noProof w:val="0"/>
              </w:rPr>
              <w:t>Number of Items</w:t>
            </w:r>
          </w:p>
        </w:tc>
        <w:tc>
          <w:tcPr>
            <w:tcW w:w="742" w:type="dxa"/>
            <w:textDirection w:val="btLr"/>
            <w:vAlign w:val="center"/>
          </w:tcPr>
          <w:p w14:paraId="32C46009" w14:textId="77777777" w:rsidR="00963E90" w:rsidRPr="004B2D24" w:rsidRDefault="00963E90" w:rsidP="0022713A">
            <w:pPr>
              <w:pStyle w:val="TableHead"/>
              <w:ind w:left="72"/>
              <w:jc w:val="left"/>
              <w:rPr>
                <w:b w:val="0"/>
                <w:bCs w:val="0"/>
                <w:noProof w:val="0"/>
              </w:rPr>
            </w:pPr>
            <w:r w:rsidRPr="004B2D24">
              <w:rPr>
                <w:noProof w:val="0"/>
              </w:rPr>
              <w:t>Maximum Number of Points</w:t>
            </w:r>
          </w:p>
        </w:tc>
        <w:tc>
          <w:tcPr>
            <w:tcW w:w="576" w:type="dxa"/>
            <w:noWrap/>
            <w:textDirection w:val="btLr"/>
            <w:vAlign w:val="center"/>
            <w:hideMark/>
          </w:tcPr>
          <w:p w14:paraId="32A5126F" w14:textId="77777777" w:rsidR="00963E90" w:rsidRPr="004B2D24" w:rsidRDefault="00963E90" w:rsidP="0022713A">
            <w:pPr>
              <w:pStyle w:val="TableHead"/>
              <w:ind w:left="72"/>
              <w:jc w:val="left"/>
              <w:rPr>
                <w:b w:val="0"/>
                <w:bCs w:val="0"/>
                <w:noProof w:val="0"/>
              </w:rPr>
            </w:pPr>
            <w:r w:rsidRPr="004B2D24">
              <w:rPr>
                <w:noProof w:val="0"/>
              </w:rPr>
              <w:t>Mean Raw Score</w:t>
            </w:r>
          </w:p>
        </w:tc>
        <w:tc>
          <w:tcPr>
            <w:tcW w:w="576" w:type="dxa"/>
            <w:textDirection w:val="btLr"/>
            <w:vAlign w:val="center"/>
          </w:tcPr>
          <w:p w14:paraId="01C10C03" w14:textId="77777777" w:rsidR="00963E90" w:rsidRPr="004B2D24" w:rsidRDefault="00963E90" w:rsidP="0022713A">
            <w:pPr>
              <w:pStyle w:val="TableHead"/>
              <w:ind w:left="72"/>
              <w:jc w:val="left"/>
              <w:rPr>
                <w:b w:val="0"/>
                <w:bCs w:val="0"/>
                <w:noProof w:val="0"/>
              </w:rPr>
            </w:pPr>
            <w:r w:rsidRPr="004B2D24">
              <w:rPr>
                <w:noProof w:val="0"/>
              </w:rPr>
              <w:t>SD Raw Score</w:t>
            </w:r>
          </w:p>
        </w:tc>
        <w:tc>
          <w:tcPr>
            <w:tcW w:w="576" w:type="dxa"/>
            <w:noWrap/>
            <w:textDirection w:val="btLr"/>
            <w:vAlign w:val="center"/>
            <w:hideMark/>
          </w:tcPr>
          <w:p w14:paraId="65F680D7" w14:textId="77777777" w:rsidR="00963E90" w:rsidRPr="004B2D24" w:rsidRDefault="00963E90" w:rsidP="0022713A">
            <w:pPr>
              <w:pStyle w:val="TableHead"/>
              <w:ind w:left="72"/>
              <w:jc w:val="left"/>
              <w:rPr>
                <w:b w:val="0"/>
                <w:bCs w:val="0"/>
                <w:noProof w:val="0"/>
              </w:rPr>
            </w:pPr>
            <w:r w:rsidRPr="004B2D24">
              <w:rPr>
                <w:noProof w:val="0"/>
              </w:rPr>
              <w:t>Minimum Raw Score</w:t>
            </w:r>
          </w:p>
        </w:tc>
        <w:tc>
          <w:tcPr>
            <w:tcW w:w="576" w:type="dxa"/>
            <w:noWrap/>
            <w:textDirection w:val="btLr"/>
            <w:vAlign w:val="center"/>
            <w:hideMark/>
          </w:tcPr>
          <w:p w14:paraId="3CB9A953" w14:textId="77777777" w:rsidR="00963E90" w:rsidRPr="004B2D24" w:rsidRDefault="00963E90" w:rsidP="0022713A">
            <w:pPr>
              <w:pStyle w:val="TableHead"/>
              <w:ind w:left="72"/>
              <w:jc w:val="left"/>
              <w:rPr>
                <w:b w:val="0"/>
                <w:bCs w:val="0"/>
                <w:noProof w:val="0"/>
              </w:rPr>
            </w:pPr>
            <w:r w:rsidRPr="004B2D24">
              <w:rPr>
                <w:noProof w:val="0"/>
              </w:rPr>
              <w:t>Maximum Raw Score</w:t>
            </w:r>
          </w:p>
        </w:tc>
        <w:tc>
          <w:tcPr>
            <w:tcW w:w="864" w:type="dxa"/>
            <w:textDirection w:val="btLr"/>
            <w:vAlign w:val="center"/>
          </w:tcPr>
          <w:p w14:paraId="39A1B13D" w14:textId="77777777" w:rsidR="00963E90" w:rsidRPr="004B2D24" w:rsidRDefault="00963E90" w:rsidP="0022713A">
            <w:pPr>
              <w:pStyle w:val="TableHead"/>
              <w:ind w:left="72"/>
              <w:jc w:val="left"/>
              <w:rPr>
                <w:b w:val="0"/>
                <w:bCs w:val="0"/>
                <w:noProof w:val="0"/>
              </w:rPr>
            </w:pPr>
            <w:r w:rsidRPr="004B2D24">
              <w:rPr>
                <w:noProof w:val="0"/>
              </w:rPr>
              <w:t>Mean Raw Score as a Percentage</w:t>
            </w:r>
          </w:p>
        </w:tc>
      </w:tr>
      <w:tr w:rsidR="00963E90" w:rsidRPr="004B2D24" w14:paraId="69BF8978" w14:textId="77777777" w:rsidTr="003B3AA4">
        <w:tc>
          <w:tcPr>
            <w:tcW w:w="4896" w:type="dxa"/>
            <w:tcBorders>
              <w:top w:val="single" w:sz="4" w:space="0" w:color="auto"/>
            </w:tcBorders>
            <w:noWrap/>
            <w:hideMark/>
          </w:tcPr>
          <w:p w14:paraId="65BAE105" w14:textId="77777777" w:rsidR="00963E90" w:rsidRPr="004B2D24" w:rsidRDefault="00963E90" w:rsidP="00D114A9">
            <w:pPr>
              <w:pStyle w:val="TableText"/>
              <w:keepNext/>
              <w:rPr>
                <w:b/>
              </w:rPr>
            </w:pPr>
            <w:r w:rsidRPr="004B2D24">
              <w:t>PT 1 Version 1 (Life Sciences)</w:t>
            </w:r>
          </w:p>
        </w:tc>
        <w:tc>
          <w:tcPr>
            <w:tcW w:w="617" w:type="dxa"/>
            <w:tcBorders>
              <w:top w:val="single" w:sz="4" w:space="0" w:color="auto"/>
            </w:tcBorders>
          </w:tcPr>
          <w:p w14:paraId="4D577CA5" w14:textId="77777777" w:rsidR="00963E90" w:rsidRPr="002C7C4D" w:rsidRDefault="00963E90" w:rsidP="00D114A9">
            <w:pPr>
              <w:pStyle w:val="TableText"/>
              <w:keepNext/>
              <w:rPr>
                <w:szCs w:val="24"/>
              </w:rPr>
            </w:pPr>
            <w:r w:rsidRPr="00201CF5">
              <w:rPr>
                <w:color w:val="000000"/>
                <w:szCs w:val="24"/>
              </w:rPr>
              <w:t>97</w:t>
            </w:r>
          </w:p>
        </w:tc>
        <w:tc>
          <w:tcPr>
            <w:tcW w:w="576" w:type="dxa"/>
            <w:tcBorders>
              <w:top w:val="single" w:sz="4" w:space="0" w:color="auto"/>
            </w:tcBorders>
            <w:noWrap/>
          </w:tcPr>
          <w:p w14:paraId="30559B23" w14:textId="77777777" w:rsidR="00963E90" w:rsidRPr="002C7C4D" w:rsidRDefault="00963E90" w:rsidP="00D114A9">
            <w:pPr>
              <w:pStyle w:val="TableText"/>
              <w:keepNext/>
              <w:rPr>
                <w:szCs w:val="24"/>
              </w:rPr>
            </w:pPr>
            <w:r w:rsidRPr="00D5596F">
              <w:rPr>
                <w:color w:val="000000"/>
                <w:szCs w:val="24"/>
              </w:rPr>
              <w:t>10</w:t>
            </w:r>
          </w:p>
        </w:tc>
        <w:tc>
          <w:tcPr>
            <w:tcW w:w="742" w:type="dxa"/>
            <w:tcBorders>
              <w:top w:val="single" w:sz="4" w:space="0" w:color="auto"/>
            </w:tcBorders>
          </w:tcPr>
          <w:p w14:paraId="5F2D5558" w14:textId="77777777" w:rsidR="00963E90" w:rsidRPr="002C7C4D" w:rsidRDefault="00963E90" w:rsidP="00D114A9">
            <w:pPr>
              <w:pStyle w:val="TableText"/>
              <w:keepNext/>
              <w:rPr>
                <w:szCs w:val="24"/>
              </w:rPr>
            </w:pPr>
            <w:r w:rsidRPr="00D5596F">
              <w:rPr>
                <w:color w:val="000000"/>
                <w:szCs w:val="24"/>
              </w:rPr>
              <w:t>12</w:t>
            </w:r>
          </w:p>
        </w:tc>
        <w:tc>
          <w:tcPr>
            <w:tcW w:w="576" w:type="dxa"/>
            <w:tcBorders>
              <w:top w:val="single" w:sz="4" w:space="0" w:color="auto"/>
            </w:tcBorders>
            <w:noWrap/>
          </w:tcPr>
          <w:p w14:paraId="693003AF" w14:textId="77777777" w:rsidR="00963E90" w:rsidRPr="002C7C4D" w:rsidRDefault="00963E90" w:rsidP="00D114A9">
            <w:pPr>
              <w:pStyle w:val="TableText"/>
              <w:keepNext/>
              <w:rPr>
                <w:szCs w:val="24"/>
              </w:rPr>
            </w:pPr>
            <w:r w:rsidRPr="00D5596F">
              <w:rPr>
                <w:color w:val="000000"/>
                <w:szCs w:val="24"/>
              </w:rPr>
              <w:t>7.3</w:t>
            </w:r>
          </w:p>
        </w:tc>
        <w:tc>
          <w:tcPr>
            <w:tcW w:w="576" w:type="dxa"/>
            <w:tcBorders>
              <w:top w:val="single" w:sz="4" w:space="0" w:color="auto"/>
            </w:tcBorders>
          </w:tcPr>
          <w:p w14:paraId="720A2DEF" w14:textId="77777777" w:rsidR="00963E90" w:rsidRPr="002C7C4D" w:rsidRDefault="00963E90" w:rsidP="00D114A9">
            <w:pPr>
              <w:pStyle w:val="TableText"/>
              <w:keepNext/>
              <w:rPr>
                <w:szCs w:val="24"/>
              </w:rPr>
            </w:pPr>
            <w:r w:rsidRPr="00D5596F">
              <w:rPr>
                <w:color w:val="000000"/>
                <w:szCs w:val="24"/>
              </w:rPr>
              <w:t>3.9</w:t>
            </w:r>
          </w:p>
        </w:tc>
        <w:tc>
          <w:tcPr>
            <w:tcW w:w="576" w:type="dxa"/>
            <w:tcBorders>
              <w:top w:val="single" w:sz="4" w:space="0" w:color="auto"/>
            </w:tcBorders>
            <w:noWrap/>
          </w:tcPr>
          <w:p w14:paraId="0B91101B" w14:textId="77777777" w:rsidR="00963E90" w:rsidRPr="002C7C4D" w:rsidRDefault="00963E90" w:rsidP="00D114A9">
            <w:pPr>
              <w:pStyle w:val="TableText"/>
              <w:keepNext/>
              <w:rPr>
                <w:szCs w:val="24"/>
              </w:rPr>
            </w:pPr>
            <w:r w:rsidRPr="00D5596F">
              <w:rPr>
                <w:color w:val="000000"/>
                <w:szCs w:val="24"/>
              </w:rPr>
              <w:t>0</w:t>
            </w:r>
          </w:p>
        </w:tc>
        <w:tc>
          <w:tcPr>
            <w:tcW w:w="576" w:type="dxa"/>
            <w:tcBorders>
              <w:top w:val="single" w:sz="4" w:space="0" w:color="auto"/>
            </w:tcBorders>
            <w:noWrap/>
          </w:tcPr>
          <w:p w14:paraId="57238D09" w14:textId="77777777" w:rsidR="00963E90" w:rsidRPr="002C7C4D" w:rsidRDefault="00963E90" w:rsidP="00D114A9">
            <w:pPr>
              <w:pStyle w:val="TableText"/>
              <w:keepNext/>
              <w:rPr>
                <w:szCs w:val="24"/>
              </w:rPr>
            </w:pPr>
            <w:r w:rsidRPr="00201CF5">
              <w:rPr>
                <w:color w:val="000000"/>
                <w:szCs w:val="24"/>
              </w:rPr>
              <w:t>12</w:t>
            </w:r>
          </w:p>
        </w:tc>
        <w:tc>
          <w:tcPr>
            <w:tcW w:w="864" w:type="dxa"/>
            <w:tcBorders>
              <w:top w:val="single" w:sz="4" w:space="0" w:color="auto"/>
            </w:tcBorders>
          </w:tcPr>
          <w:p w14:paraId="09E67913" w14:textId="77777777" w:rsidR="00963E90" w:rsidRPr="004B2D24" w:rsidRDefault="00963E90" w:rsidP="00D114A9">
            <w:pPr>
              <w:pStyle w:val="TableText"/>
              <w:keepNext/>
              <w:rPr>
                <w:color w:val="000000"/>
                <w:szCs w:val="24"/>
              </w:rPr>
            </w:pPr>
            <w:r w:rsidRPr="00D5596F">
              <w:rPr>
                <w:color w:val="000000"/>
                <w:szCs w:val="24"/>
              </w:rPr>
              <w:t>60.8</w:t>
            </w:r>
          </w:p>
        </w:tc>
      </w:tr>
      <w:tr w:rsidR="00963E90" w:rsidRPr="004B2D24" w14:paraId="07E8489E" w14:textId="77777777" w:rsidTr="0022713A">
        <w:tc>
          <w:tcPr>
            <w:tcW w:w="4896" w:type="dxa"/>
            <w:noWrap/>
            <w:hideMark/>
          </w:tcPr>
          <w:p w14:paraId="7409A9F1" w14:textId="77777777" w:rsidR="00963E90" w:rsidRPr="004B2D24" w:rsidRDefault="00963E90" w:rsidP="00D114A9">
            <w:pPr>
              <w:pStyle w:val="TableText"/>
              <w:keepNext/>
              <w:rPr>
                <w:vertAlign w:val="superscript"/>
              </w:rPr>
            </w:pPr>
            <w:r w:rsidRPr="004B2D24">
              <w:t>PT 2 Version 1 (Physical Sciences)</w:t>
            </w:r>
          </w:p>
        </w:tc>
        <w:tc>
          <w:tcPr>
            <w:tcW w:w="617" w:type="dxa"/>
          </w:tcPr>
          <w:p w14:paraId="31C96B3A" w14:textId="77777777" w:rsidR="00963E90" w:rsidRPr="002C7C4D" w:rsidRDefault="00963E90" w:rsidP="00D114A9">
            <w:pPr>
              <w:pStyle w:val="TableText"/>
              <w:keepNext/>
              <w:rPr>
                <w:szCs w:val="24"/>
              </w:rPr>
            </w:pPr>
            <w:r w:rsidRPr="00D5596F">
              <w:rPr>
                <w:color w:val="000000"/>
                <w:szCs w:val="24"/>
              </w:rPr>
              <w:t>97</w:t>
            </w:r>
          </w:p>
        </w:tc>
        <w:tc>
          <w:tcPr>
            <w:tcW w:w="576" w:type="dxa"/>
            <w:noWrap/>
          </w:tcPr>
          <w:p w14:paraId="17236079" w14:textId="77777777" w:rsidR="00963E90" w:rsidRPr="002C7C4D" w:rsidRDefault="00963E90" w:rsidP="00D114A9">
            <w:pPr>
              <w:pStyle w:val="TableText"/>
              <w:keepNext/>
              <w:rPr>
                <w:szCs w:val="24"/>
              </w:rPr>
            </w:pPr>
            <w:r w:rsidRPr="00D5596F">
              <w:rPr>
                <w:color w:val="000000"/>
                <w:szCs w:val="24"/>
              </w:rPr>
              <w:t>10</w:t>
            </w:r>
          </w:p>
        </w:tc>
        <w:tc>
          <w:tcPr>
            <w:tcW w:w="742" w:type="dxa"/>
          </w:tcPr>
          <w:p w14:paraId="4338B19D" w14:textId="77777777" w:rsidR="00963E90" w:rsidRPr="002C7C4D" w:rsidRDefault="00963E90" w:rsidP="00D114A9">
            <w:pPr>
              <w:pStyle w:val="TableText"/>
              <w:keepNext/>
              <w:rPr>
                <w:szCs w:val="24"/>
              </w:rPr>
            </w:pPr>
            <w:r w:rsidRPr="00D5596F">
              <w:rPr>
                <w:color w:val="000000"/>
                <w:szCs w:val="24"/>
              </w:rPr>
              <w:t>12</w:t>
            </w:r>
          </w:p>
        </w:tc>
        <w:tc>
          <w:tcPr>
            <w:tcW w:w="576" w:type="dxa"/>
            <w:noWrap/>
          </w:tcPr>
          <w:p w14:paraId="71029B97" w14:textId="77777777" w:rsidR="00963E90" w:rsidRPr="002C7C4D" w:rsidRDefault="00963E90" w:rsidP="00D114A9">
            <w:pPr>
              <w:pStyle w:val="TableText"/>
              <w:keepNext/>
              <w:rPr>
                <w:szCs w:val="24"/>
              </w:rPr>
            </w:pPr>
            <w:r w:rsidRPr="00201CF5">
              <w:rPr>
                <w:color w:val="000000"/>
                <w:szCs w:val="24"/>
              </w:rPr>
              <w:t>7.1</w:t>
            </w:r>
          </w:p>
        </w:tc>
        <w:tc>
          <w:tcPr>
            <w:tcW w:w="576" w:type="dxa"/>
          </w:tcPr>
          <w:p w14:paraId="0C17DB9B" w14:textId="77777777" w:rsidR="00963E90" w:rsidRPr="002C7C4D" w:rsidRDefault="00963E90" w:rsidP="00D114A9">
            <w:pPr>
              <w:pStyle w:val="TableText"/>
              <w:keepNext/>
              <w:rPr>
                <w:szCs w:val="24"/>
              </w:rPr>
            </w:pPr>
            <w:r w:rsidRPr="00D5596F">
              <w:rPr>
                <w:color w:val="000000"/>
                <w:szCs w:val="24"/>
              </w:rPr>
              <w:t>3.8</w:t>
            </w:r>
          </w:p>
        </w:tc>
        <w:tc>
          <w:tcPr>
            <w:tcW w:w="576" w:type="dxa"/>
            <w:noWrap/>
          </w:tcPr>
          <w:p w14:paraId="0A508495" w14:textId="77777777" w:rsidR="00963E90" w:rsidRPr="002C7C4D" w:rsidRDefault="00963E90" w:rsidP="00D114A9">
            <w:pPr>
              <w:pStyle w:val="TableText"/>
              <w:keepNext/>
              <w:rPr>
                <w:szCs w:val="24"/>
              </w:rPr>
            </w:pPr>
            <w:r w:rsidRPr="00D5596F">
              <w:rPr>
                <w:color w:val="000000"/>
                <w:szCs w:val="24"/>
              </w:rPr>
              <w:t>0</w:t>
            </w:r>
          </w:p>
        </w:tc>
        <w:tc>
          <w:tcPr>
            <w:tcW w:w="576" w:type="dxa"/>
            <w:noWrap/>
          </w:tcPr>
          <w:p w14:paraId="4DFAEF3E" w14:textId="77777777" w:rsidR="00963E90" w:rsidRPr="002C7C4D" w:rsidRDefault="00963E90" w:rsidP="00D114A9">
            <w:pPr>
              <w:pStyle w:val="TableText"/>
              <w:keepNext/>
              <w:rPr>
                <w:szCs w:val="24"/>
              </w:rPr>
            </w:pPr>
            <w:r w:rsidRPr="00201CF5">
              <w:rPr>
                <w:color w:val="000000"/>
                <w:szCs w:val="24"/>
              </w:rPr>
              <w:t>12</w:t>
            </w:r>
          </w:p>
        </w:tc>
        <w:tc>
          <w:tcPr>
            <w:tcW w:w="864" w:type="dxa"/>
          </w:tcPr>
          <w:p w14:paraId="2EB8F052" w14:textId="77777777" w:rsidR="00963E90" w:rsidRPr="004B2D24" w:rsidRDefault="00963E90" w:rsidP="00D114A9">
            <w:pPr>
              <w:pStyle w:val="TableText"/>
              <w:keepNext/>
              <w:rPr>
                <w:color w:val="000000"/>
                <w:szCs w:val="24"/>
              </w:rPr>
            </w:pPr>
            <w:r w:rsidRPr="00201CF5">
              <w:rPr>
                <w:color w:val="000000"/>
                <w:szCs w:val="24"/>
              </w:rPr>
              <w:t>59.2</w:t>
            </w:r>
          </w:p>
        </w:tc>
      </w:tr>
      <w:tr w:rsidR="00963E90" w:rsidRPr="004B2D24" w14:paraId="748AA8D0" w14:textId="77777777" w:rsidTr="0022713A">
        <w:tc>
          <w:tcPr>
            <w:tcW w:w="4896" w:type="dxa"/>
            <w:noWrap/>
            <w:hideMark/>
          </w:tcPr>
          <w:p w14:paraId="75368C2B" w14:textId="77777777" w:rsidR="00963E90" w:rsidRPr="004B2D24" w:rsidRDefault="00963E90" w:rsidP="00D114A9">
            <w:pPr>
              <w:pStyle w:val="TableText"/>
              <w:keepNext/>
            </w:pPr>
            <w:r w:rsidRPr="004B2D24">
              <w:t>PT 3 Version 1 (Earth and Space Sciences)</w:t>
            </w:r>
          </w:p>
        </w:tc>
        <w:tc>
          <w:tcPr>
            <w:tcW w:w="617" w:type="dxa"/>
          </w:tcPr>
          <w:p w14:paraId="48AC455B" w14:textId="77777777" w:rsidR="00963E90" w:rsidRPr="002C7C4D" w:rsidRDefault="00963E90" w:rsidP="00D114A9">
            <w:pPr>
              <w:pStyle w:val="TableText"/>
              <w:keepNext/>
              <w:rPr>
                <w:szCs w:val="24"/>
              </w:rPr>
            </w:pPr>
            <w:r w:rsidRPr="00201CF5">
              <w:rPr>
                <w:color w:val="000000"/>
                <w:szCs w:val="24"/>
              </w:rPr>
              <w:t>97</w:t>
            </w:r>
          </w:p>
        </w:tc>
        <w:tc>
          <w:tcPr>
            <w:tcW w:w="576" w:type="dxa"/>
            <w:noWrap/>
          </w:tcPr>
          <w:p w14:paraId="13ED9817" w14:textId="77777777" w:rsidR="00963E90" w:rsidRPr="002C7C4D" w:rsidRDefault="00963E90" w:rsidP="00D114A9">
            <w:pPr>
              <w:pStyle w:val="TableText"/>
              <w:keepNext/>
              <w:rPr>
                <w:szCs w:val="24"/>
              </w:rPr>
            </w:pPr>
            <w:r w:rsidRPr="00201CF5">
              <w:rPr>
                <w:color w:val="000000"/>
                <w:szCs w:val="24"/>
              </w:rPr>
              <w:t>10</w:t>
            </w:r>
          </w:p>
        </w:tc>
        <w:tc>
          <w:tcPr>
            <w:tcW w:w="742" w:type="dxa"/>
          </w:tcPr>
          <w:p w14:paraId="1CF070A4" w14:textId="77777777" w:rsidR="00963E90" w:rsidRPr="002C7C4D" w:rsidRDefault="00963E90" w:rsidP="00D114A9">
            <w:pPr>
              <w:pStyle w:val="TableText"/>
              <w:keepNext/>
              <w:rPr>
                <w:szCs w:val="24"/>
              </w:rPr>
            </w:pPr>
            <w:r w:rsidRPr="00201CF5">
              <w:rPr>
                <w:color w:val="000000"/>
                <w:szCs w:val="24"/>
              </w:rPr>
              <w:t>12</w:t>
            </w:r>
          </w:p>
        </w:tc>
        <w:tc>
          <w:tcPr>
            <w:tcW w:w="576" w:type="dxa"/>
            <w:noWrap/>
          </w:tcPr>
          <w:p w14:paraId="4F1E0597" w14:textId="77777777" w:rsidR="00963E90" w:rsidRPr="002C7C4D" w:rsidRDefault="00963E90" w:rsidP="00D114A9">
            <w:pPr>
              <w:pStyle w:val="TableText"/>
              <w:keepNext/>
              <w:rPr>
                <w:szCs w:val="24"/>
              </w:rPr>
            </w:pPr>
            <w:r w:rsidRPr="00201CF5">
              <w:rPr>
                <w:color w:val="000000"/>
                <w:szCs w:val="24"/>
              </w:rPr>
              <w:t>6.2</w:t>
            </w:r>
          </w:p>
        </w:tc>
        <w:tc>
          <w:tcPr>
            <w:tcW w:w="576" w:type="dxa"/>
          </w:tcPr>
          <w:p w14:paraId="4DC94CAB" w14:textId="77777777" w:rsidR="00963E90" w:rsidRPr="002C7C4D" w:rsidRDefault="00963E90" w:rsidP="00D114A9">
            <w:pPr>
              <w:pStyle w:val="TableText"/>
              <w:keepNext/>
              <w:rPr>
                <w:szCs w:val="24"/>
              </w:rPr>
            </w:pPr>
            <w:r w:rsidRPr="00201CF5">
              <w:rPr>
                <w:color w:val="000000"/>
                <w:szCs w:val="24"/>
              </w:rPr>
              <w:t>3.5</w:t>
            </w:r>
          </w:p>
        </w:tc>
        <w:tc>
          <w:tcPr>
            <w:tcW w:w="576" w:type="dxa"/>
            <w:noWrap/>
          </w:tcPr>
          <w:p w14:paraId="3E8F1BA8" w14:textId="77777777" w:rsidR="00963E90" w:rsidRPr="002C7C4D" w:rsidRDefault="00963E90" w:rsidP="00D114A9">
            <w:pPr>
              <w:pStyle w:val="TableText"/>
              <w:keepNext/>
              <w:rPr>
                <w:szCs w:val="24"/>
              </w:rPr>
            </w:pPr>
            <w:r w:rsidRPr="00201CF5">
              <w:rPr>
                <w:color w:val="000000"/>
                <w:szCs w:val="24"/>
              </w:rPr>
              <w:t>0</w:t>
            </w:r>
          </w:p>
        </w:tc>
        <w:tc>
          <w:tcPr>
            <w:tcW w:w="576" w:type="dxa"/>
            <w:noWrap/>
          </w:tcPr>
          <w:p w14:paraId="1324C637" w14:textId="77777777" w:rsidR="00963E90" w:rsidRPr="002C7C4D" w:rsidRDefault="00963E90" w:rsidP="00D114A9">
            <w:pPr>
              <w:pStyle w:val="TableText"/>
              <w:keepNext/>
              <w:rPr>
                <w:szCs w:val="24"/>
              </w:rPr>
            </w:pPr>
            <w:r w:rsidRPr="00201CF5">
              <w:rPr>
                <w:color w:val="000000"/>
                <w:szCs w:val="24"/>
              </w:rPr>
              <w:t>12</w:t>
            </w:r>
          </w:p>
        </w:tc>
        <w:tc>
          <w:tcPr>
            <w:tcW w:w="864" w:type="dxa"/>
          </w:tcPr>
          <w:p w14:paraId="04D4D8B7" w14:textId="77777777" w:rsidR="00963E90" w:rsidRPr="004B2D24" w:rsidRDefault="00963E90" w:rsidP="00D114A9">
            <w:pPr>
              <w:pStyle w:val="TableText"/>
              <w:keepNext/>
              <w:rPr>
                <w:color w:val="000000"/>
                <w:szCs w:val="24"/>
              </w:rPr>
            </w:pPr>
            <w:r w:rsidRPr="00201CF5">
              <w:rPr>
                <w:color w:val="000000"/>
                <w:szCs w:val="24"/>
              </w:rPr>
              <w:t>51.7</w:t>
            </w:r>
          </w:p>
        </w:tc>
      </w:tr>
      <w:tr w:rsidR="00963E90" w:rsidRPr="004B2D24" w14:paraId="20AF4D82" w14:textId="77777777" w:rsidTr="0022713A">
        <w:tc>
          <w:tcPr>
            <w:tcW w:w="4896" w:type="dxa"/>
            <w:noWrap/>
          </w:tcPr>
          <w:p w14:paraId="067B2695" w14:textId="77777777" w:rsidR="00963E90" w:rsidRPr="004B2D24" w:rsidRDefault="00963E90" w:rsidP="00D114A9">
            <w:pPr>
              <w:pStyle w:val="TableText"/>
              <w:keepNext/>
            </w:pPr>
            <w:r w:rsidRPr="004B2D24">
              <w:t>PT 1 Version 2 (Life Sciences)</w:t>
            </w:r>
          </w:p>
        </w:tc>
        <w:tc>
          <w:tcPr>
            <w:tcW w:w="617" w:type="dxa"/>
          </w:tcPr>
          <w:p w14:paraId="3D83CEB6" w14:textId="77777777" w:rsidR="00963E90" w:rsidRPr="002C7C4D" w:rsidRDefault="00963E90" w:rsidP="00D114A9">
            <w:pPr>
              <w:pStyle w:val="TableText"/>
              <w:keepNext/>
              <w:rPr>
                <w:szCs w:val="24"/>
              </w:rPr>
            </w:pPr>
            <w:r w:rsidRPr="00201CF5">
              <w:rPr>
                <w:color w:val="000000"/>
                <w:szCs w:val="24"/>
              </w:rPr>
              <w:t>85</w:t>
            </w:r>
          </w:p>
        </w:tc>
        <w:tc>
          <w:tcPr>
            <w:tcW w:w="576" w:type="dxa"/>
            <w:noWrap/>
          </w:tcPr>
          <w:p w14:paraId="049DF8E2" w14:textId="77777777" w:rsidR="00963E90" w:rsidRPr="002C7C4D" w:rsidRDefault="00963E90" w:rsidP="00D114A9">
            <w:pPr>
              <w:pStyle w:val="TableText"/>
              <w:keepNext/>
              <w:rPr>
                <w:szCs w:val="24"/>
              </w:rPr>
            </w:pPr>
            <w:r w:rsidRPr="00201CF5">
              <w:rPr>
                <w:color w:val="000000"/>
                <w:szCs w:val="24"/>
              </w:rPr>
              <w:t>10</w:t>
            </w:r>
          </w:p>
        </w:tc>
        <w:tc>
          <w:tcPr>
            <w:tcW w:w="742" w:type="dxa"/>
          </w:tcPr>
          <w:p w14:paraId="3B61A4A2" w14:textId="77777777" w:rsidR="00963E90" w:rsidRPr="002C7C4D" w:rsidRDefault="00963E90" w:rsidP="00D114A9">
            <w:pPr>
              <w:pStyle w:val="TableText"/>
              <w:keepNext/>
              <w:rPr>
                <w:szCs w:val="24"/>
              </w:rPr>
            </w:pPr>
            <w:r w:rsidRPr="00201CF5">
              <w:rPr>
                <w:color w:val="000000"/>
                <w:szCs w:val="24"/>
              </w:rPr>
              <w:t>12</w:t>
            </w:r>
          </w:p>
        </w:tc>
        <w:tc>
          <w:tcPr>
            <w:tcW w:w="576" w:type="dxa"/>
            <w:noWrap/>
          </w:tcPr>
          <w:p w14:paraId="2BF5ACF9" w14:textId="77777777" w:rsidR="00963E90" w:rsidRPr="002C7C4D" w:rsidRDefault="00963E90" w:rsidP="00D114A9">
            <w:pPr>
              <w:pStyle w:val="TableText"/>
              <w:keepNext/>
              <w:rPr>
                <w:szCs w:val="24"/>
              </w:rPr>
            </w:pPr>
            <w:r w:rsidRPr="00201CF5">
              <w:rPr>
                <w:color w:val="000000"/>
                <w:szCs w:val="24"/>
              </w:rPr>
              <w:t>8.4</w:t>
            </w:r>
          </w:p>
        </w:tc>
        <w:tc>
          <w:tcPr>
            <w:tcW w:w="576" w:type="dxa"/>
          </w:tcPr>
          <w:p w14:paraId="0AF9A94C" w14:textId="77777777" w:rsidR="00963E90" w:rsidRPr="002C7C4D" w:rsidRDefault="00963E90" w:rsidP="00D114A9">
            <w:pPr>
              <w:pStyle w:val="TableText"/>
              <w:keepNext/>
              <w:rPr>
                <w:szCs w:val="24"/>
              </w:rPr>
            </w:pPr>
            <w:r w:rsidRPr="00201CF5">
              <w:rPr>
                <w:color w:val="000000"/>
                <w:szCs w:val="24"/>
              </w:rPr>
              <w:t>3.7</w:t>
            </w:r>
          </w:p>
        </w:tc>
        <w:tc>
          <w:tcPr>
            <w:tcW w:w="576" w:type="dxa"/>
            <w:noWrap/>
          </w:tcPr>
          <w:p w14:paraId="26E07E1C" w14:textId="77777777" w:rsidR="00963E90" w:rsidRPr="002C7C4D" w:rsidRDefault="00963E90" w:rsidP="00D114A9">
            <w:pPr>
              <w:pStyle w:val="TableText"/>
              <w:keepNext/>
              <w:rPr>
                <w:szCs w:val="24"/>
              </w:rPr>
            </w:pPr>
            <w:r w:rsidRPr="00201CF5">
              <w:rPr>
                <w:color w:val="000000"/>
                <w:szCs w:val="24"/>
              </w:rPr>
              <w:t>0</w:t>
            </w:r>
          </w:p>
        </w:tc>
        <w:tc>
          <w:tcPr>
            <w:tcW w:w="576" w:type="dxa"/>
            <w:noWrap/>
          </w:tcPr>
          <w:p w14:paraId="0D52C62D" w14:textId="77777777" w:rsidR="00963E90" w:rsidRPr="002C7C4D" w:rsidRDefault="00963E90" w:rsidP="00D114A9">
            <w:pPr>
              <w:pStyle w:val="TableText"/>
              <w:keepNext/>
              <w:rPr>
                <w:szCs w:val="24"/>
              </w:rPr>
            </w:pPr>
            <w:r w:rsidRPr="00201CF5">
              <w:rPr>
                <w:color w:val="000000"/>
                <w:szCs w:val="24"/>
              </w:rPr>
              <w:t>12</w:t>
            </w:r>
          </w:p>
        </w:tc>
        <w:tc>
          <w:tcPr>
            <w:tcW w:w="864" w:type="dxa"/>
          </w:tcPr>
          <w:p w14:paraId="3B896332" w14:textId="77777777" w:rsidR="00963E90" w:rsidRPr="004B2D24" w:rsidRDefault="00963E90" w:rsidP="00D114A9">
            <w:pPr>
              <w:pStyle w:val="TableText"/>
              <w:keepNext/>
              <w:rPr>
                <w:color w:val="000000"/>
                <w:szCs w:val="24"/>
              </w:rPr>
            </w:pPr>
            <w:r w:rsidRPr="00201CF5">
              <w:rPr>
                <w:color w:val="000000"/>
                <w:szCs w:val="24"/>
              </w:rPr>
              <w:t>70</w:t>
            </w:r>
            <w:r>
              <w:rPr>
                <w:color w:val="000000"/>
                <w:szCs w:val="24"/>
              </w:rPr>
              <w:t>.0</w:t>
            </w:r>
          </w:p>
        </w:tc>
      </w:tr>
      <w:tr w:rsidR="00963E90" w:rsidRPr="004B2D24" w14:paraId="0BADCEC8" w14:textId="77777777" w:rsidTr="0022713A">
        <w:tc>
          <w:tcPr>
            <w:tcW w:w="4896" w:type="dxa"/>
            <w:noWrap/>
          </w:tcPr>
          <w:p w14:paraId="003D2DA0" w14:textId="77777777" w:rsidR="00963E90" w:rsidRPr="004B2D24" w:rsidRDefault="00963E90" w:rsidP="00D114A9">
            <w:pPr>
              <w:pStyle w:val="TableText"/>
              <w:keepNext/>
            </w:pPr>
            <w:r w:rsidRPr="004B2D24">
              <w:t>PT 2 Version 2 (Physical Sciences)</w:t>
            </w:r>
          </w:p>
        </w:tc>
        <w:tc>
          <w:tcPr>
            <w:tcW w:w="617" w:type="dxa"/>
          </w:tcPr>
          <w:p w14:paraId="460C0BD8" w14:textId="77777777" w:rsidR="00963E90" w:rsidRPr="002C7C4D" w:rsidRDefault="00963E90" w:rsidP="00D114A9">
            <w:pPr>
              <w:pStyle w:val="TableText"/>
              <w:keepNext/>
              <w:rPr>
                <w:szCs w:val="24"/>
              </w:rPr>
            </w:pPr>
            <w:r w:rsidRPr="00201CF5">
              <w:rPr>
                <w:color w:val="000000"/>
                <w:szCs w:val="24"/>
              </w:rPr>
              <w:t>85</w:t>
            </w:r>
          </w:p>
        </w:tc>
        <w:tc>
          <w:tcPr>
            <w:tcW w:w="576" w:type="dxa"/>
            <w:noWrap/>
          </w:tcPr>
          <w:p w14:paraId="572F4A91" w14:textId="77777777" w:rsidR="00963E90" w:rsidRPr="002C7C4D" w:rsidRDefault="00963E90" w:rsidP="00D114A9">
            <w:pPr>
              <w:pStyle w:val="TableText"/>
              <w:keepNext/>
              <w:rPr>
                <w:szCs w:val="24"/>
              </w:rPr>
            </w:pPr>
            <w:r w:rsidRPr="00201CF5">
              <w:rPr>
                <w:color w:val="000000"/>
                <w:szCs w:val="24"/>
              </w:rPr>
              <w:t>10</w:t>
            </w:r>
          </w:p>
        </w:tc>
        <w:tc>
          <w:tcPr>
            <w:tcW w:w="742" w:type="dxa"/>
          </w:tcPr>
          <w:p w14:paraId="4C4C7085" w14:textId="77777777" w:rsidR="00963E90" w:rsidRPr="002C7C4D" w:rsidRDefault="00963E90" w:rsidP="00D114A9">
            <w:pPr>
              <w:pStyle w:val="TableText"/>
              <w:keepNext/>
              <w:rPr>
                <w:szCs w:val="24"/>
              </w:rPr>
            </w:pPr>
            <w:r w:rsidRPr="00201CF5">
              <w:rPr>
                <w:color w:val="000000"/>
                <w:szCs w:val="24"/>
              </w:rPr>
              <w:t>12</w:t>
            </w:r>
          </w:p>
        </w:tc>
        <w:tc>
          <w:tcPr>
            <w:tcW w:w="576" w:type="dxa"/>
            <w:noWrap/>
          </w:tcPr>
          <w:p w14:paraId="2B8581F9" w14:textId="77777777" w:rsidR="00963E90" w:rsidRPr="002C7C4D" w:rsidRDefault="00963E90" w:rsidP="00D114A9">
            <w:pPr>
              <w:pStyle w:val="TableText"/>
              <w:keepNext/>
              <w:rPr>
                <w:szCs w:val="24"/>
              </w:rPr>
            </w:pPr>
            <w:r w:rsidRPr="00201CF5">
              <w:rPr>
                <w:color w:val="000000"/>
                <w:szCs w:val="24"/>
              </w:rPr>
              <w:t>7.5</w:t>
            </w:r>
          </w:p>
        </w:tc>
        <w:tc>
          <w:tcPr>
            <w:tcW w:w="576" w:type="dxa"/>
          </w:tcPr>
          <w:p w14:paraId="3BD7F743" w14:textId="77777777" w:rsidR="00963E90" w:rsidRPr="002C7C4D" w:rsidRDefault="00963E90" w:rsidP="00D114A9">
            <w:pPr>
              <w:pStyle w:val="TableText"/>
              <w:keepNext/>
              <w:rPr>
                <w:szCs w:val="24"/>
              </w:rPr>
            </w:pPr>
            <w:r w:rsidRPr="00201CF5">
              <w:rPr>
                <w:color w:val="000000"/>
                <w:szCs w:val="24"/>
              </w:rPr>
              <w:t>3.7</w:t>
            </w:r>
          </w:p>
        </w:tc>
        <w:tc>
          <w:tcPr>
            <w:tcW w:w="576" w:type="dxa"/>
            <w:noWrap/>
          </w:tcPr>
          <w:p w14:paraId="67359BF4" w14:textId="77777777" w:rsidR="00963E90" w:rsidRPr="002C7C4D" w:rsidRDefault="00963E90" w:rsidP="00D114A9">
            <w:pPr>
              <w:pStyle w:val="TableText"/>
              <w:keepNext/>
              <w:rPr>
                <w:szCs w:val="24"/>
              </w:rPr>
            </w:pPr>
            <w:r w:rsidRPr="00201CF5">
              <w:rPr>
                <w:color w:val="000000"/>
                <w:szCs w:val="24"/>
              </w:rPr>
              <w:t>0</w:t>
            </w:r>
          </w:p>
        </w:tc>
        <w:tc>
          <w:tcPr>
            <w:tcW w:w="576" w:type="dxa"/>
            <w:noWrap/>
          </w:tcPr>
          <w:p w14:paraId="0EACDEF2" w14:textId="77777777" w:rsidR="00963E90" w:rsidRPr="002C7C4D" w:rsidRDefault="00963E90" w:rsidP="00D114A9">
            <w:pPr>
              <w:pStyle w:val="TableText"/>
              <w:keepNext/>
              <w:rPr>
                <w:szCs w:val="24"/>
              </w:rPr>
            </w:pPr>
            <w:r w:rsidRPr="00201CF5">
              <w:rPr>
                <w:color w:val="000000"/>
                <w:szCs w:val="24"/>
              </w:rPr>
              <w:t>12</w:t>
            </w:r>
          </w:p>
        </w:tc>
        <w:tc>
          <w:tcPr>
            <w:tcW w:w="864" w:type="dxa"/>
          </w:tcPr>
          <w:p w14:paraId="18F1B4B2" w14:textId="77777777" w:rsidR="00963E90" w:rsidRPr="004B2D24" w:rsidRDefault="00963E90" w:rsidP="00D114A9">
            <w:pPr>
              <w:pStyle w:val="TableText"/>
              <w:keepNext/>
              <w:rPr>
                <w:color w:val="000000"/>
                <w:szCs w:val="24"/>
              </w:rPr>
            </w:pPr>
            <w:r w:rsidRPr="00201CF5">
              <w:rPr>
                <w:color w:val="000000"/>
                <w:szCs w:val="24"/>
              </w:rPr>
              <w:t>62.5</w:t>
            </w:r>
          </w:p>
        </w:tc>
      </w:tr>
      <w:tr w:rsidR="00963E90" w:rsidRPr="004B2D24" w14:paraId="5DDCCB0C" w14:textId="77777777" w:rsidTr="0022713A">
        <w:tc>
          <w:tcPr>
            <w:tcW w:w="4896" w:type="dxa"/>
            <w:noWrap/>
          </w:tcPr>
          <w:p w14:paraId="25E29863" w14:textId="77777777" w:rsidR="00963E90" w:rsidRPr="004B2D24" w:rsidRDefault="00963E90" w:rsidP="00D114A9">
            <w:pPr>
              <w:pStyle w:val="TableText"/>
            </w:pPr>
            <w:r w:rsidRPr="004B2D24">
              <w:t>PT 3 Version 2 (Earth and Space Sciences)</w:t>
            </w:r>
          </w:p>
        </w:tc>
        <w:tc>
          <w:tcPr>
            <w:tcW w:w="617" w:type="dxa"/>
          </w:tcPr>
          <w:p w14:paraId="00FCDD9E" w14:textId="77777777" w:rsidR="00963E90" w:rsidRPr="002C7C4D" w:rsidRDefault="00963E90" w:rsidP="00D114A9">
            <w:pPr>
              <w:pStyle w:val="TableText"/>
              <w:rPr>
                <w:szCs w:val="24"/>
              </w:rPr>
            </w:pPr>
            <w:r w:rsidRPr="00201CF5">
              <w:rPr>
                <w:color w:val="000000"/>
                <w:szCs w:val="24"/>
              </w:rPr>
              <w:t>85</w:t>
            </w:r>
          </w:p>
        </w:tc>
        <w:tc>
          <w:tcPr>
            <w:tcW w:w="576" w:type="dxa"/>
            <w:noWrap/>
          </w:tcPr>
          <w:p w14:paraId="7FCEAD18" w14:textId="77777777" w:rsidR="00963E90" w:rsidRPr="002C7C4D" w:rsidRDefault="00963E90" w:rsidP="00D114A9">
            <w:pPr>
              <w:pStyle w:val="TableText"/>
              <w:rPr>
                <w:szCs w:val="24"/>
              </w:rPr>
            </w:pPr>
            <w:r w:rsidRPr="00201CF5">
              <w:rPr>
                <w:color w:val="000000"/>
                <w:szCs w:val="24"/>
              </w:rPr>
              <w:t>10</w:t>
            </w:r>
          </w:p>
        </w:tc>
        <w:tc>
          <w:tcPr>
            <w:tcW w:w="742" w:type="dxa"/>
          </w:tcPr>
          <w:p w14:paraId="36D3627D" w14:textId="77777777" w:rsidR="00963E90" w:rsidRPr="002C7C4D" w:rsidRDefault="00963E90" w:rsidP="00D114A9">
            <w:pPr>
              <w:pStyle w:val="TableText"/>
              <w:rPr>
                <w:szCs w:val="24"/>
              </w:rPr>
            </w:pPr>
            <w:r w:rsidRPr="00D5596F">
              <w:rPr>
                <w:color w:val="000000"/>
                <w:szCs w:val="24"/>
              </w:rPr>
              <w:t>12</w:t>
            </w:r>
          </w:p>
        </w:tc>
        <w:tc>
          <w:tcPr>
            <w:tcW w:w="576" w:type="dxa"/>
            <w:noWrap/>
          </w:tcPr>
          <w:p w14:paraId="667622A9" w14:textId="77777777" w:rsidR="00963E90" w:rsidRPr="002C7C4D" w:rsidRDefault="00963E90" w:rsidP="00D114A9">
            <w:pPr>
              <w:pStyle w:val="TableText"/>
              <w:rPr>
                <w:szCs w:val="24"/>
              </w:rPr>
            </w:pPr>
            <w:r w:rsidRPr="00201CF5">
              <w:rPr>
                <w:color w:val="000000"/>
                <w:szCs w:val="24"/>
              </w:rPr>
              <w:t>6.6</w:t>
            </w:r>
          </w:p>
        </w:tc>
        <w:tc>
          <w:tcPr>
            <w:tcW w:w="576" w:type="dxa"/>
          </w:tcPr>
          <w:p w14:paraId="5D1C91A6" w14:textId="77777777" w:rsidR="00963E90" w:rsidRPr="002C7C4D" w:rsidRDefault="00963E90" w:rsidP="00D114A9">
            <w:pPr>
              <w:pStyle w:val="TableText"/>
              <w:rPr>
                <w:szCs w:val="24"/>
              </w:rPr>
            </w:pPr>
            <w:r w:rsidRPr="00201CF5">
              <w:rPr>
                <w:color w:val="000000"/>
                <w:szCs w:val="24"/>
              </w:rPr>
              <w:t>3.1</w:t>
            </w:r>
          </w:p>
        </w:tc>
        <w:tc>
          <w:tcPr>
            <w:tcW w:w="576" w:type="dxa"/>
            <w:noWrap/>
          </w:tcPr>
          <w:p w14:paraId="2C0C687E" w14:textId="77777777" w:rsidR="00963E90" w:rsidRPr="002C7C4D" w:rsidRDefault="00963E90" w:rsidP="00D114A9">
            <w:pPr>
              <w:pStyle w:val="TableText"/>
              <w:rPr>
                <w:szCs w:val="24"/>
              </w:rPr>
            </w:pPr>
            <w:r w:rsidRPr="00201CF5">
              <w:rPr>
                <w:color w:val="000000"/>
                <w:szCs w:val="24"/>
              </w:rPr>
              <w:t>0</w:t>
            </w:r>
          </w:p>
        </w:tc>
        <w:tc>
          <w:tcPr>
            <w:tcW w:w="576" w:type="dxa"/>
            <w:noWrap/>
          </w:tcPr>
          <w:p w14:paraId="731185C8" w14:textId="77777777" w:rsidR="00963E90" w:rsidRPr="002C7C4D" w:rsidRDefault="00963E90" w:rsidP="00D114A9">
            <w:pPr>
              <w:pStyle w:val="TableText"/>
              <w:rPr>
                <w:szCs w:val="24"/>
              </w:rPr>
            </w:pPr>
            <w:r w:rsidRPr="00201CF5">
              <w:rPr>
                <w:color w:val="000000"/>
                <w:szCs w:val="24"/>
              </w:rPr>
              <w:t>12</w:t>
            </w:r>
          </w:p>
        </w:tc>
        <w:tc>
          <w:tcPr>
            <w:tcW w:w="864" w:type="dxa"/>
          </w:tcPr>
          <w:p w14:paraId="02464BF6" w14:textId="77777777" w:rsidR="00963E90" w:rsidRPr="004B2D24" w:rsidRDefault="00963E90" w:rsidP="00D114A9">
            <w:pPr>
              <w:pStyle w:val="TableText"/>
              <w:rPr>
                <w:color w:val="000000"/>
                <w:szCs w:val="24"/>
              </w:rPr>
            </w:pPr>
            <w:r w:rsidRPr="00D5596F">
              <w:rPr>
                <w:color w:val="000000"/>
                <w:szCs w:val="24"/>
              </w:rPr>
              <w:t>55</w:t>
            </w:r>
            <w:r>
              <w:rPr>
                <w:color w:val="000000"/>
                <w:szCs w:val="24"/>
              </w:rPr>
              <w:t>.0</w:t>
            </w:r>
          </w:p>
        </w:tc>
      </w:tr>
      <w:tr w:rsidR="003F570B" w:rsidRPr="004B2D24" w14:paraId="47DA35EB" w14:textId="77777777" w:rsidTr="003F570B">
        <w:tc>
          <w:tcPr>
            <w:tcW w:w="4896" w:type="dxa"/>
            <w:noWrap/>
            <w:hideMark/>
          </w:tcPr>
          <w:p w14:paraId="1AFA5165" w14:textId="77777777" w:rsidR="003F570B" w:rsidRPr="004B2D24" w:rsidRDefault="003F570B" w:rsidP="0000414C">
            <w:pPr>
              <w:pStyle w:val="TableText"/>
            </w:pPr>
            <w:r w:rsidRPr="004B2D24">
              <w:t>PT 1 Version 3 (Life Sciences)</w:t>
            </w:r>
          </w:p>
        </w:tc>
        <w:tc>
          <w:tcPr>
            <w:tcW w:w="617" w:type="dxa"/>
          </w:tcPr>
          <w:p w14:paraId="10114B6A" w14:textId="77777777" w:rsidR="003F570B" w:rsidRPr="002C7C4D" w:rsidRDefault="003F570B" w:rsidP="0000414C">
            <w:pPr>
              <w:pStyle w:val="TableText"/>
              <w:rPr>
                <w:szCs w:val="24"/>
              </w:rPr>
            </w:pPr>
            <w:r w:rsidRPr="00201CF5">
              <w:rPr>
                <w:color w:val="000000"/>
                <w:szCs w:val="24"/>
              </w:rPr>
              <w:t>120</w:t>
            </w:r>
          </w:p>
        </w:tc>
        <w:tc>
          <w:tcPr>
            <w:tcW w:w="576" w:type="dxa"/>
            <w:noWrap/>
          </w:tcPr>
          <w:p w14:paraId="0286CC12" w14:textId="77777777" w:rsidR="003F570B" w:rsidRPr="002C7C4D" w:rsidRDefault="003F570B" w:rsidP="0000414C">
            <w:pPr>
              <w:pStyle w:val="TableText"/>
              <w:rPr>
                <w:szCs w:val="24"/>
              </w:rPr>
            </w:pPr>
            <w:r w:rsidRPr="00201CF5">
              <w:rPr>
                <w:color w:val="000000"/>
                <w:szCs w:val="24"/>
              </w:rPr>
              <w:t>10</w:t>
            </w:r>
          </w:p>
        </w:tc>
        <w:tc>
          <w:tcPr>
            <w:tcW w:w="742" w:type="dxa"/>
          </w:tcPr>
          <w:p w14:paraId="084F889D" w14:textId="77777777" w:rsidR="003F570B" w:rsidRPr="002C7C4D" w:rsidRDefault="003F570B" w:rsidP="0000414C">
            <w:pPr>
              <w:pStyle w:val="TableText"/>
              <w:rPr>
                <w:szCs w:val="24"/>
              </w:rPr>
            </w:pPr>
            <w:r w:rsidRPr="00201CF5">
              <w:rPr>
                <w:color w:val="000000"/>
                <w:szCs w:val="24"/>
              </w:rPr>
              <w:t>12</w:t>
            </w:r>
          </w:p>
        </w:tc>
        <w:tc>
          <w:tcPr>
            <w:tcW w:w="576" w:type="dxa"/>
            <w:noWrap/>
          </w:tcPr>
          <w:p w14:paraId="6E3899BE" w14:textId="77777777" w:rsidR="003F570B" w:rsidRPr="002C7C4D" w:rsidRDefault="003F570B" w:rsidP="0000414C">
            <w:pPr>
              <w:pStyle w:val="TableText"/>
              <w:rPr>
                <w:szCs w:val="24"/>
              </w:rPr>
            </w:pPr>
            <w:r w:rsidRPr="00201CF5">
              <w:rPr>
                <w:color w:val="000000"/>
                <w:szCs w:val="24"/>
              </w:rPr>
              <w:t>7.8</w:t>
            </w:r>
          </w:p>
        </w:tc>
        <w:tc>
          <w:tcPr>
            <w:tcW w:w="576" w:type="dxa"/>
          </w:tcPr>
          <w:p w14:paraId="0C6F1364" w14:textId="77777777" w:rsidR="003F570B" w:rsidRPr="002C7C4D" w:rsidRDefault="003F570B" w:rsidP="0000414C">
            <w:pPr>
              <w:pStyle w:val="TableText"/>
              <w:rPr>
                <w:szCs w:val="24"/>
              </w:rPr>
            </w:pPr>
            <w:r w:rsidRPr="00201CF5">
              <w:rPr>
                <w:color w:val="000000"/>
                <w:szCs w:val="24"/>
              </w:rPr>
              <w:t>3.5</w:t>
            </w:r>
          </w:p>
        </w:tc>
        <w:tc>
          <w:tcPr>
            <w:tcW w:w="576" w:type="dxa"/>
            <w:noWrap/>
          </w:tcPr>
          <w:p w14:paraId="1C4793F6" w14:textId="77777777" w:rsidR="003F570B" w:rsidRPr="002C7C4D" w:rsidRDefault="003F570B" w:rsidP="0000414C">
            <w:pPr>
              <w:pStyle w:val="TableText"/>
              <w:rPr>
                <w:szCs w:val="24"/>
              </w:rPr>
            </w:pPr>
            <w:r w:rsidRPr="00D5596F">
              <w:rPr>
                <w:color w:val="000000"/>
                <w:szCs w:val="24"/>
              </w:rPr>
              <w:t>0</w:t>
            </w:r>
          </w:p>
        </w:tc>
        <w:tc>
          <w:tcPr>
            <w:tcW w:w="576" w:type="dxa"/>
            <w:noWrap/>
          </w:tcPr>
          <w:p w14:paraId="0103F36D" w14:textId="77777777" w:rsidR="003F570B" w:rsidRPr="002C7C4D" w:rsidRDefault="003F570B" w:rsidP="0000414C">
            <w:pPr>
              <w:pStyle w:val="TableText"/>
              <w:rPr>
                <w:szCs w:val="24"/>
              </w:rPr>
            </w:pPr>
            <w:r w:rsidRPr="00D5596F">
              <w:rPr>
                <w:color w:val="000000"/>
                <w:szCs w:val="24"/>
              </w:rPr>
              <w:t>12</w:t>
            </w:r>
          </w:p>
        </w:tc>
        <w:tc>
          <w:tcPr>
            <w:tcW w:w="864" w:type="dxa"/>
          </w:tcPr>
          <w:p w14:paraId="0F9E52C6" w14:textId="77777777" w:rsidR="003F570B" w:rsidRPr="004B2D24" w:rsidRDefault="003F570B" w:rsidP="0000414C">
            <w:pPr>
              <w:pStyle w:val="TableText"/>
              <w:rPr>
                <w:color w:val="000000"/>
                <w:szCs w:val="24"/>
              </w:rPr>
            </w:pPr>
            <w:r w:rsidRPr="00D5596F">
              <w:rPr>
                <w:color w:val="000000"/>
                <w:szCs w:val="24"/>
              </w:rPr>
              <w:t>65</w:t>
            </w:r>
            <w:r>
              <w:rPr>
                <w:color w:val="000000"/>
                <w:szCs w:val="24"/>
              </w:rPr>
              <w:t>.0</w:t>
            </w:r>
          </w:p>
        </w:tc>
      </w:tr>
      <w:tr w:rsidR="003F570B" w:rsidRPr="004B2D24" w14:paraId="4E91F993" w14:textId="77777777" w:rsidTr="003F570B">
        <w:tc>
          <w:tcPr>
            <w:tcW w:w="4896" w:type="dxa"/>
            <w:noWrap/>
          </w:tcPr>
          <w:p w14:paraId="1953625C" w14:textId="77777777" w:rsidR="003F570B" w:rsidRPr="004B2D24" w:rsidRDefault="003F570B" w:rsidP="0000414C">
            <w:pPr>
              <w:pStyle w:val="TableText"/>
            </w:pPr>
            <w:r w:rsidRPr="004B2D24">
              <w:t>PT 2 Version 3 (Physical Sciences)</w:t>
            </w:r>
          </w:p>
        </w:tc>
        <w:tc>
          <w:tcPr>
            <w:tcW w:w="617" w:type="dxa"/>
          </w:tcPr>
          <w:p w14:paraId="2EF12775" w14:textId="77777777" w:rsidR="003F570B" w:rsidRPr="004B2D24" w:rsidRDefault="003F570B" w:rsidP="0000414C">
            <w:pPr>
              <w:pStyle w:val="TableText"/>
              <w:rPr>
                <w:color w:val="000000"/>
                <w:szCs w:val="24"/>
              </w:rPr>
            </w:pPr>
            <w:r w:rsidRPr="00D5596F">
              <w:rPr>
                <w:color w:val="000000"/>
                <w:szCs w:val="24"/>
              </w:rPr>
              <w:t>120</w:t>
            </w:r>
          </w:p>
        </w:tc>
        <w:tc>
          <w:tcPr>
            <w:tcW w:w="576" w:type="dxa"/>
            <w:noWrap/>
          </w:tcPr>
          <w:p w14:paraId="74838AA5" w14:textId="77777777" w:rsidR="003F570B" w:rsidRPr="004B2D24" w:rsidRDefault="003F570B" w:rsidP="0000414C">
            <w:pPr>
              <w:pStyle w:val="TableText"/>
              <w:rPr>
                <w:color w:val="000000"/>
                <w:szCs w:val="24"/>
              </w:rPr>
            </w:pPr>
            <w:r w:rsidRPr="00201CF5">
              <w:rPr>
                <w:color w:val="000000"/>
                <w:szCs w:val="24"/>
              </w:rPr>
              <w:t>10</w:t>
            </w:r>
          </w:p>
        </w:tc>
        <w:tc>
          <w:tcPr>
            <w:tcW w:w="742" w:type="dxa"/>
          </w:tcPr>
          <w:p w14:paraId="756ABF4B" w14:textId="77777777" w:rsidR="003F570B" w:rsidRPr="004B2D24" w:rsidRDefault="003F570B" w:rsidP="0000414C">
            <w:pPr>
              <w:pStyle w:val="TableText"/>
              <w:rPr>
                <w:color w:val="000000"/>
                <w:szCs w:val="24"/>
              </w:rPr>
            </w:pPr>
            <w:r w:rsidRPr="00201CF5">
              <w:rPr>
                <w:color w:val="000000"/>
                <w:szCs w:val="24"/>
              </w:rPr>
              <w:t>12</w:t>
            </w:r>
          </w:p>
        </w:tc>
        <w:tc>
          <w:tcPr>
            <w:tcW w:w="576" w:type="dxa"/>
            <w:noWrap/>
          </w:tcPr>
          <w:p w14:paraId="1B399B0E" w14:textId="77777777" w:rsidR="003F570B" w:rsidRPr="004B2D24" w:rsidRDefault="003F570B" w:rsidP="0000414C">
            <w:pPr>
              <w:pStyle w:val="TableText"/>
              <w:rPr>
                <w:color w:val="000000"/>
                <w:szCs w:val="24"/>
              </w:rPr>
            </w:pPr>
            <w:r w:rsidRPr="00D5596F">
              <w:rPr>
                <w:color w:val="000000"/>
                <w:szCs w:val="24"/>
              </w:rPr>
              <w:t>7</w:t>
            </w:r>
            <w:r>
              <w:rPr>
                <w:color w:val="000000"/>
                <w:szCs w:val="24"/>
              </w:rPr>
              <w:t>.0</w:t>
            </w:r>
          </w:p>
        </w:tc>
        <w:tc>
          <w:tcPr>
            <w:tcW w:w="576" w:type="dxa"/>
          </w:tcPr>
          <w:p w14:paraId="0BFE36D7" w14:textId="77777777" w:rsidR="003F570B" w:rsidRPr="004B2D24" w:rsidRDefault="003F570B" w:rsidP="0000414C">
            <w:pPr>
              <w:pStyle w:val="TableText"/>
              <w:rPr>
                <w:color w:val="000000"/>
                <w:szCs w:val="24"/>
              </w:rPr>
            </w:pPr>
            <w:r w:rsidRPr="00D5596F">
              <w:rPr>
                <w:color w:val="000000"/>
                <w:szCs w:val="24"/>
              </w:rPr>
              <w:t>3.3</w:t>
            </w:r>
          </w:p>
        </w:tc>
        <w:tc>
          <w:tcPr>
            <w:tcW w:w="576" w:type="dxa"/>
            <w:noWrap/>
          </w:tcPr>
          <w:p w14:paraId="328A85E9" w14:textId="77777777" w:rsidR="003F570B" w:rsidRPr="004B2D24" w:rsidRDefault="003F570B" w:rsidP="0000414C">
            <w:pPr>
              <w:pStyle w:val="TableText"/>
              <w:rPr>
                <w:color w:val="000000"/>
                <w:szCs w:val="24"/>
              </w:rPr>
            </w:pPr>
            <w:r w:rsidRPr="00D5596F">
              <w:rPr>
                <w:color w:val="000000"/>
                <w:szCs w:val="24"/>
              </w:rPr>
              <w:t>0</w:t>
            </w:r>
          </w:p>
        </w:tc>
        <w:tc>
          <w:tcPr>
            <w:tcW w:w="576" w:type="dxa"/>
            <w:noWrap/>
          </w:tcPr>
          <w:p w14:paraId="07401124" w14:textId="77777777" w:rsidR="003F570B" w:rsidRPr="004B2D24" w:rsidRDefault="003F570B" w:rsidP="0000414C">
            <w:pPr>
              <w:pStyle w:val="TableText"/>
              <w:rPr>
                <w:color w:val="000000"/>
                <w:szCs w:val="24"/>
              </w:rPr>
            </w:pPr>
            <w:r w:rsidRPr="00D5596F">
              <w:rPr>
                <w:color w:val="000000"/>
                <w:szCs w:val="24"/>
              </w:rPr>
              <w:t>12</w:t>
            </w:r>
          </w:p>
        </w:tc>
        <w:tc>
          <w:tcPr>
            <w:tcW w:w="864" w:type="dxa"/>
          </w:tcPr>
          <w:p w14:paraId="3FDE4F38" w14:textId="77777777" w:rsidR="003F570B" w:rsidRPr="002C7C4D" w:rsidRDefault="003F570B" w:rsidP="0000414C">
            <w:pPr>
              <w:pStyle w:val="TableText"/>
              <w:rPr>
                <w:color w:val="000000"/>
                <w:szCs w:val="24"/>
              </w:rPr>
            </w:pPr>
            <w:r w:rsidRPr="00D5596F">
              <w:rPr>
                <w:color w:val="000000"/>
                <w:szCs w:val="24"/>
              </w:rPr>
              <w:t>58.3</w:t>
            </w:r>
          </w:p>
        </w:tc>
      </w:tr>
      <w:tr w:rsidR="003F570B" w:rsidRPr="004B2D24" w14:paraId="11CDC4CE" w14:textId="77777777" w:rsidTr="003F570B">
        <w:tc>
          <w:tcPr>
            <w:tcW w:w="4896" w:type="dxa"/>
            <w:noWrap/>
          </w:tcPr>
          <w:p w14:paraId="51205B43" w14:textId="77777777" w:rsidR="003F570B" w:rsidRPr="004B2D24" w:rsidRDefault="003F570B" w:rsidP="0000414C">
            <w:pPr>
              <w:pStyle w:val="TableText"/>
            </w:pPr>
            <w:r w:rsidRPr="004B2D24">
              <w:t>PT 3 Version 3 (Earth and Space Sciences)</w:t>
            </w:r>
          </w:p>
        </w:tc>
        <w:tc>
          <w:tcPr>
            <w:tcW w:w="617" w:type="dxa"/>
          </w:tcPr>
          <w:p w14:paraId="6159F187" w14:textId="77777777" w:rsidR="003F570B" w:rsidRPr="004B2D24" w:rsidRDefault="003F570B" w:rsidP="0000414C">
            <w:pPr>
              <w:pStyle w:val="TableText"/>
              <w:rPr>
                <w:color w:val="000000"/>
                <w:szCs w:val="24"/>
              </w:rPr>
            </w:pPr>
            <w:r w:rsidRPr="00D5596F">
              <w:rPr>
                <w:color w:val="000000"/>
                <w:szCs w:val="24"/>
              </w:rPr>
              <w:t>120</w:t>
            </w:r>
          </w:p>
        </w:tc>
        <w:tc>
          <w:tcPr>
            <w:tcW w:w="576" w:type="dxa"/>
            <w:noWrap/>
          </w:tcPr>
          <w:p w14:paraId="5293C03A" w14:textId="77777777" w:rsidR="003F570B" w:rsidRPr="004B2D24" w:rsidRDefault="003F570B" w:rsidP="0000414C">
            <w:pPr>
              <w:pStyle w:val="TableText"/>
              <w:rPr>
                <w:color w:val="000000"/>
                <w:szCs w:val="24"/>
              </w:rPr>
            </w:pPr>
            <w:r w:rsidRPr="00D5596F">
              <w:rPr>
                <w:color w:val="000000"/>
                <w:szCs w:val="24"/>
              </w:rPr>
              <w:t>10</w:t>
            </w:r>
          </w:p>
        </w:tc>
        <w:tc>
          <w:tcPr>
            <w:tcW w:w="742" w:type="dxa"/>
          </w:tcPr>
          <w:p w14:paraId="09425866" w14:textId="77777777" w:rsidR="003F570B" w:rsidRPr="004B2D24" w:rsidRDefault="003F570B" w:rsidP="0000414C">
            <w:pPr>
              <w:pStyle w:val="TableText"/>
              <w:rPr>
                <w:color w:val="000000"/>
                <w:szCs w:val="24"/>
              </w:rPr>
            </w:pPr>
            <w:r w:rsidRPr="00D5596F">
              <w:rPr>
                <w:color w:val="000000"/>
                <w:szCs w:val="24"/>
              </w:rPr>
              <w:t>12</w:t>
            </w:r>
          </w:p>
        </w:tc>
        <w:tc>
          <w:tcPr>
            <w:tcW w:w="576" w:type="dxa"/>
            <w:noWrap/>
          </w:tcPr>
          <w:p w14:paraId="51460709" w14:textId="77777777" w:rsidR="003F570B" w:rsidRPr="004B2D24" w:rsidRDefault="003F570B" w:rsidP="0000414C">
            <w:pPr>
              <w:pStyle w:val="TableText"/>
              <w:rPr>
                <w:color w:val="000000"/>
                <w:szCs w:val="24"/>
              </w:rPr>
            </w:pPr>
            <w:r w:rsidRPr="00D5596F">
              <w:rPr>
                <w:color w:val="000000"/>
                <w:szCs w:val="24"/>
              </w:rPr>
              <w:t>7.7</w:t>
            </w:r>
          </w:p>
        </w:tc>
        <w:tc>
          <w:tcPr>
            <w:tcW w:w="576" w:type="dxa"/>
          </w:tcPr>
          <w:p w14:paraId="0688D723" w14:textId="77777777" w:rsidR="003F570B" w:rsidRPr="004B2D24" w:rsidRDefault="003F570B" w:rsidP="0000414C">
            <w:pPr>
              <w:pStyle w:val="TableText"/>
              <w:rPr>
                <w:color w:val="000000"/>
                <w:szCs w:val="24"/>
              </w:rPr>
            </w:pPr>
            <w:r w:rsidRPr="00D5596F">
              <w:rPr>
                <w:color w:val="000000"/>
                <w:szCs w:val="24"/>
              </w:rPr>
              <w:t>3.6</w:t>
            </w:r>
          </w:p>
        </w:tc>
        <w:tc>
          <w:tcPr>
            <w:tcW w:w="576" w:type="dxa"/>
            <w:noWrap/>
          </w:tcPr>
          <w:p w14:paraId="4AB21EA6" w14:textId="77777777" w:rsidR="003F570B" w:rsidRPr="004B2D24" w:rsidRDefault="003F570B" w:rsidP="0000414C">
            <w:pPr>
              <w:pStyle w:val="TableText"/>
              <w:rPr>
                <w:color w:val="000000"/>
                <w:szCs w:val="24"/>
              </w:rPr>
            </w:pPr>
            <w:r w:rsidRPr="00D5596F">
              <w:rPr>
                <w:color w:val="000000"/>
                <w:szCs w:val="24"/>
              </w:rPr>
              <w:t>0</w:t>
            </w:r>
          </w:p>
        </w:tc>
        <w:tc>
          <w:tcPr>
            <w:tcW w:w="576" w:type="dxa"/>
            <w:noWrap/>
          </w:tcPr>
          <w:p w14:paraId="2E4EA457" w14:textId="77777777" w:rsidR="003F570B" w:rsidRPr="004B2D24" w:rsidRDefault="003F570B" w:rsidP="0000414C">
            <w:pPr>
              <w:pStyle w:val="TableText"/>
              <w:rPr>
                <w:color w:val="000000"/>
                <w:szCs w:val="24"/>
              </w:rPr>
            </w:pPr>
            <w:r w:rsidRPr="00D5596F">
              <w:rPr>
                <w:color w:val="000000"/>
                <w:szCs w:val="24"/>
              </w:rPr>
              <w:t>12</w:t>
            </w:r>
          </w:p>
        </w:tc>
        <w:tc>
          <w:tcPr>
            <w:tcW w:w="864" w:type="dxa"/>
          </w:tcPr>
          <w:p w14:paraId="1A0375E0" w14:textId="77777777" w:rsidR="003F570B" w:rsidRPr="002C7C4D" w:rsidRDefault="003F570B" w:rsidP="0000414C">
            <w:pPr>
              <w:pStyle w:val="TableText"/>
              <w:rPr>
                <w:color w:val="000000"/>
                <w:szCs w:val="24"/>
              </w:rPr>
            </w:pPr>
            <w:r w:rsidRPr="00D5596F">
              <w:rPr>
                <w:color w:val="000000"/>
                <w:szCs w:val="24"/>
              </w:rPr>
              <w:t>64.2</w:t>
            </w:r>
          </w:p>
        </w:tc>
      </w:tr>
      <w:tr w:rsidR="003F570B" w:rsidRPr="004B2D24" w14:paraId="2778812B" w14:textId="77777777" w:rsidTr="003F570B">
        <w:tc>
          <w:tcPr>
            <w:tcW w:w="4896" w:type="dxa"/>
            <w:noWrap/>
          </w:tcPr>
          <w:p w14:paraId="1E03CFAE" w14:textId="77777777" w:rsidR="003F570B" w:rsidRPr="004B2D24" w:rsidRDefault="003F570B" w:rsidP="0000414C">
            <w:pPr>
              <w:pStyle w:val="TableText"/>
            </w:pPr>
            <w:r w:rsidRPr="004B2D24">
              <w:t>PT 1 Version 4 (Life Sciences)</w:t>
            </w:r>
          </w:p>
        </w:tc>
        <w:tc>
          <w:tcPr>
            <w:tcW w:w="617" w:type="dxa"/>
          </w:tcPr>
          <w:p w14:paraId="13430C92" w14:textId="77777777" w:rsidR="003F570B" w:rsidRPr="004B2D24" w:rsidRDefault="003F570B" w:rsidP="0000414C">
            <w:pPr>
              <w:pStyle w:val="TableText"/>
              <w:rPr>
                <w:color w:val="000000"/>
                <w:szCs w:val="24"/>
              </w:rPr>
            </w:pPr>
            <w:r w:rsidRPr="00D5596F">
              <w:rPr>
                <w:color w:val="000000"/>
                <w:szCs w:val="24"/>
              </w:rPr>
              <w:t>65</w:t>
            </w:r>
          </w:p>
        </w:tc>
        <w:tc>
          <w:tcPr>
            <w:tcW w:w="576" w:type="dxa"/>
            <w:noWrap/>
          </w:tcPr>
          <w:p w14:paraId="0E460606" w14:textId="77777777" w:rsidR="003F570B" w:rsidRPr="004B2D24" w:rsidRDefault="003F570B" w:rsidP="0000414C">
            <w:pPr>
              <w:pStyle w:val="TableText"/>
              <w:rPr>
                <w:color w:val="000000"/>
                <w:szCs w:val="24"/>
              </w:rPr>
            </w:pPr>
            <w:r w:rsidRPr="00D5596F">
              <w:rPr>
                <w:color w:val="000000"/>
                <w:szCs w:val="24"/>
              </w:rPr>
              <w:t>10</w:t>
            </w:r>
          </w:p>
        </w:tc>
        <w:tc>
          <w:tcPr>
            <w:tcW w:w="742" w:type="dxa"/>
          </w:tcPr>
          <w:p w14:paraId="2F61C483" w14:textId="77777777" w:rsidR="003F570B" w:rsidRPr="004B2D24" w:rsidRDefault="003F570B" w:rsidP="0000414C">
            <w:pPr>
              <w:pStyle w:val="TableText"/>
              <w:rPr>
                <w:color w:val="000000"/>
                <w:szCs w:val="24"/>
              </w:rPr>
            </w:pPr>
            <w:r w:rsidRPr="00D5596F">
              <w:rPr>
                <w:color w:val="000000"/>
                <w:szCs w:val="24"/>
              </w:rPr>
              <w:t>12</w:t>
            </w:r>
          </w:p>
        </w:tc>
        <w:tc>
          <w:tcPr>
            <w:tcW w:w="576" w:type="dxa"/>
            <w:noWrap/>
          </w:tcPr>
          <w:p w14:paraId="54BC8F22" w14:textId="77777777" w:rsidR="003F570B" w:rsidRPr="004B2D24" w:rsidRDefault="003F570B" w:rsidP="0000414C">
            <w:pPr>
              <w:pStyle w:val="TableText"/>
              <w:rPr>
                <w:color w:val="000000"/>
                <w:szCs w:val="24"/>
              </w:rPr>
            </w:pPr>
            <w:r w:rsidRPr="00D5596F">
              <w:rPr>
                <w:color w:val="000000"/>
                <w:szCs w:val="24"/>
              </w:rPr>
              <w:t>7</w:t>
            </w:r>
            <w:r>
              <w:rPr>
                <w:color w:val="000000"/>
                <w:szCs w:val="24"/>
              </w:rPr>
              <w:t>.0</w:t>
            </w:r>
          </w:p>
        </w:tc>
        <w:tc>
          <w:tcPr>
            <w:tcW w:w="576" w:type="dxa"/>
          </w:tcPr>
          <w:p w14:paraId="60CBF85F" w14:textId="77777777" w:rsidR="003F570B" w:rsidRPr="004B2D24" w:rsidRDefault="003F570B" w:rsidP="0000414C">
            <w:pPr>
              <w:pStyle w:val="TableText"/>
              <w:rPr>
                <w:color w:val="000000"/>
                <w:szCs w:val="24"/>
              </w:rPr>
            </w:pPr>
            <w:r w:rsidRPr="00D5596F">
              <w:rPr>
                <w:color w:val="000000"/>
                <w:szCs w:val="24"/>
              </w:rPr>
              <w:t>3.6</w:t>
            </w:r>
          </w:p>
        </w:tc>
        <w:tc>
          <w:tcPr>
            <w:tcW w:w="576" w:type="dxa"/>
            <w:noWrap/>
          </w:tcPr>
          <w:p w14:paraId="0C04395E" w14:textId="77777777" w:rsidR="003F570B" w:rsidRPr="004B2D24" w:rsidRDefault="003F570B" w:rsidP="0000414C">
            <w:pPr>
              <w:pStyle w:val="TableText"/>
              <w:rPr>
                <w:color w:val="000000"/>
                <w:szCs w:val="24"/>
              </w:rPr>
            </w:pPr>
            <w:r w:rsidRPr="00D5596F">
              <w:rPr>
                <w:color w:val="000000"/>
                <w:szCs w:val="24"/>
              </w:rPr>
              <w:t>0</w:t>
            </w:r>
          </w:p>
        </w:tc>
        <w:tc>
          <w:tcPr>
            <w:tcW w:w="576" w:type="dxa"/>
            <w:noWrap/>
          </w:tcPr>
          <w:p w14:paraId="1919915C" w14:textId="77777777" w:rsidR="003F570B" w:rsidRPr="004B2D24" w:rsidRDefault="003F570B" w:rsidP="0000414C">
            <w:pPr>
              <w:pStyle w:val="TableText"/>
              <w:rPr>
                <w:color w:val="000000"/>
                <w:szCs w:val="24"/>
              </w:rPr>
            </w:pPr>
            <w:r w:rsidRPr="00D5596F">
              <w:rPr>
                <w:color w:val="000000"/>
                <w:szCs w:val="24"/>
              </w:rPr>
              <w:t>12</w:t>
            </w:r>
          </w:p>
        </w:tc>
        <w:tc>
          <w:tcPr>
            <w:tcW w:w="864" w:type="dxa"/>
          </w:tcPr>
          <w:p w14:paraId="04EA3178" w14:textId="77777777" w:rsidR="003F570B" w:rsidRPr="002C7C4D" w:rsidRDefault="003F570B" w:rsidP="0000414C">
            <w:pPr>
              <w:pStyle w:val="TableText"/>
              <w:rPr>
                <w:color w:val="000000"/>
                <w:szCs w:val="24"/>
              </w:rPr>
            </w:pPr>
            <w:r w:rsidRPr="00D5596F">
              <w:rPr>
                <w:color w:val="000000"/>
                <w:szCs w:val="24"/>
              </w:rPr>
              <w:t>58.3</w:t>
            </w:r>
          </w:p>
        </w:tc>
      </w:tr>
      <w:tr w:rsidR="003F570B" w:rsidRPr="004B2D24" w14:paraId="5D26E8A3" w14:textId="77777777" w:rsidTr="003F570B">
        <w:tc>
          <w:tcPr>
            <w:tcW w:w="4896" w:type="dxa"/>
            <w:noWrap/>
          </w:tcPr>
          <w:p w14:paraId="5500076A" w14:textId="77777777" w:rsidR="003F570B" w:rsidRPr="004B2D24" w:rsidRDefault="003F570B" w:rsidP="0000414C">
            <w:pPr>
              <w:pStyle w:val="TableText"/>
            </w:pPr>
            <w:r w:rsidRPr="004B2D24">
              <w:t>PT 2 Version 4 (Physical Sciences)</w:t>
            </w:r>
          </w:p>
        </w:tc>
        <w:tc>
          <w:tcPr>
            <w:tcW w:w="617" w:type="dxa"/>
          </w:tcPr>
          <w:p w14:paraId="7D296191" w14:textId="77777777" w:rsidR="003F570B" w:rsidRPr="004B2D24" w:rsidRDefault="003F570B" w:rsidP="0000414C">
            <w:pPr>
              <w:pStyle w:val="TableText"/>
              <w:rPr>
                <w:color w:val="000000"/>
                <w:szCs w:val="24"/>
              </w:rPr>
            </w:pPr>
            <w:r w:rsidRPr="00D5596F">
              <w:rPr>
                <w:color w:val="000000"/>
                <w:szCs w:val="24"/>
              </w:rPr>
              <w:t>65</w:t>
            </w:r>
          </w:p>
        </w:tc>
        <w:tc>
          <w:tcPr>
            <w:tcW w:w="576" w:type="dxa"/>
            <w:noWrap/>
          </w:tcPr>
          <w:p w14:paraId="379105BE" w14:textId="77777777" w:rsidR="003F570B" w:rsidRPr="004B2D24" w:rsidRDefault="003F570B" w:rsidP="0000414C">
            <w:pPr>
              <w:pStyle w:val="TableText"/>
              <w:rPr>
                <w:color w:val="000000"/>
                <w:szCs w:val="24"/>
              </w:rPr>
            </w:pPr>
            <w:r w:rsidRPr="00D5596F">
              <w:rPr>
                <w:color w:val="000000"/>
                <w:szCs w:val="24"/>
              </w:rPr>
              <w:t>10</w:t>
            </w:r>
          </w:p>
        </w:tc>
        <w:tc>
          <w:tcPr>
            <w:tcW w:w="742" w:type="dxa"/>
          </w:tcPr>
          <w:p w14:paraId="51960C7C" w14:textId="77777777" w:rsidR="003F570B" w:rsidRPr="004B2D24" w:rsidRDefault="003F570B" w:rsidP="0000414C">
            <w:pPr>
              <w:pStyle w:val="TableText"/>
              <w:rPr>
                <w:color w:val="000000"/>
                <w:szCs w:val="24"/>
              </w:rPr>
            </w:pPr>
            <w:r w:rsidRPr="00D5596F">
              <w:rPr>
                <w:color w:val="000000"/>
                <w:szCs w:val="24"/>
              </w:rPr>
              <w:t>12</w:t>
            </w:r>
          </w:p>
        </w:tc>
        <w:tc>
          <w:tcPr>
            <w:tcW w:w="576" w:type="dxa"/>
            <w:noWrap/>
          </w:tcPr>
          <w:p w14:paraId="0469CF50" w14:textId="77777777" w:rsidR="003F570B" w:rsidRPr="004B2D24" w:rsidRDefault="003F570B" w:rsidP="0000414C">
            <w:pPr>
              <w:pStyle w:val="TableText"/>
              <w:rPr>
                <w:color w:val="000000"/>
                <w:szCs w:val="24"/>
              </w:rPr>
            </w:pPr>
            <w:r w:rsidRPr="00D5596F">
              <w:rPr>
                <w:color w:val="000000"/>
                <w:szCs w:val="24"/>
              </w:rPr>
              <w:t>6.1</w:t>
            </w:r>
          </w:p>
        </w:tc>
        <w:tc>
          <w:tcPr>
            <w:tcW w:w="576" w:type="dxa"/>
          </w:tcPr>
          <w:p w14:paraId="6A42D081" w14:textId="77777777" w:rsidR="003F570B" w:rsidRPr="004B2D24" w:rsidRDefault="003F570B" w:rsidP="0000414C">
            <w:pPr>
              <w:pStyle w:val="TableText"/>
              <w:rPr>
                <w:color w:val="000000"/>
                <w:szCs w:val="24"/>
              </w:rPr>
            </w:pPr>
            <w:r w:rsidRPr="00D5596F">
              <w:rPr>
                <w:color w:val="000000"/>
                <w:szCs w:val="24"/>
              </w:rPr>
              <w:t>3.2</w:t>
            </w:r>
          </w:p>
        </w:tc>
        <w:tc>
          <w:tcPr>
            <w:tcW w:w="576" w:type="dxa"/>
            <w:noWrap/>
          </w:tcPr>
          <w:p w14:paraId="2045D7A8" w14:textId="77777777" w:rsidR="003F570B" w:rsidRPr="004B2D24" w:rsidRDefault="003F570B" w:rsidP="0000414C">
            <w:pPr>
              <w:pStyle w:val="TableText"/>
              <w:rPr>
                <w:color w:val="000000"/>
                <w:szCs w:val="24"/>
              </w:rPr>
            </w:pPr>
            <w:r w:rsidRPr="00D5596F">
              <w:rPr>
                <w:color w:val="000000"/>
                <w:szCs w:val="24"/>
              </w:rPr>
              <w:t>0</w:t>
            </w:r>
          </w:p>
        </w:tc>
        <w:tc>
          <w:tcPr>
            <w:tcW w:w="576" w:type="dxa"/>
            <w:noWrap/>
          </w:tcPr>
          <w:p w14:paraId="326F0600" w14:textId="77777777" w:rsidR="003F570B" w:rsidRPr="004B2D24" w:rsidRDefault="003F570B" w:rsidP="0000414C">
            <w:pPr>
              <w:pStyle w:val="TableText"/>
              <w:rPr>
                <w:color w:val="000000"/>
                <w:szCs w:val="24"/>
              </w:rPr>
            </w:pPr>
            <w:r w:rsidRPr="00D5596F">
              <w:rPr>
                <w:color w:val="000000"/>
                <w:szCs w:val="24"/>
              </w:rPr>
              <w:t>11</w:t>
            </w:r>
          </w:p>
        </w:tc>
        <w:tc>
          <w:tcPr>
            <w:tcW w:w="864" w:type="dxa"/>
          </w:tcPr>
          <w:p w14:paraId="6845E9CA" w14:textId="77777777" w:rsidR="003F570B" w:rsidRPr="002C7C4D" w:rsidRDefault="003F570B" w:rsidP="0000414C">
            <w:pPr>
              <w:pStyle w:val="TableText"/>
              <w:rPr>
                <w:color w:val="000000"/>
                <w:szCs w:val="24"/>
              </w:rPr>
            </w:pPr>
            <w:r w:rsidRPr="00D5596F">
              <w:rPr>
                <w:color w:val="000000"/>
                <w:szCs w:val="24"/>
              </w:rPr>
              <w:t>50.8</w:t>
            </w:r>
          </w:p>
        </w:tc>
      </w:tr>
      <w:tr w:rsidR="003F570B" w:rsidRPr="00C34C12" w14:paraId="00485A83" w14:textId="77777777" w:rsidTr="003F570B">
        <w:tc>
          <w:tcPr>
            <w:tcW w:w="4896" w:type="dxa"/>
            <w:noWrap/>
          </w:tcPr>
          <w:p w14:paraId="38B79187" w14:textId="77777777" w:rsidR="003F570B" w:rsidRPr="004B2D24" w:rsidRDefault="003F570B" w:rsidP="0000414C">
            <w:pPr>
              <w:pStyle w:val="TableText"/>
            </w:pPr>
            <w:r w:rsidRPr="004B2D24">
              <w:t>PT 3 Version 4 (Earth and Space Sciences)</w:t>
            </w:r>
          </w:p>
        </w:tc>
        <w:tc>
          <w:tcPr>
            <w:tcW w:w="617" w:type="dxa"/>
          </w:tcPr>
          <w:p w14:paraId="7556B97D" w14:textId="77777777" w:rsidR="003F570B" w:rsidRPr="004B2D24" w:rsidRDefault="003F570B" w:rsidP="0000414C">
            <w:pPr>
              <w:pStyle w:val="TableText"/>
              <w:rPr>
                <w:color w:val="000000"/>
                <w:szCs w:val="24"/>
              </w:rPr>
            </w:pPr>
            <w:r w:rsidRPr="00D5596F">
              <w:rPr>
                <w:color w:val="000000"/>
                <w:szCs w:val="24"/>
              </w:rPr>
              <w:t>65</w:t>
            </w:r>
          </w:p>
        </w:tc>
        <w:tc>
          <w:tcPr>
            <w:tcW w:w="576" w:type="dxa"/>
            <w:noWrap/>
          </w:tcPr>
          <w:p w14:paraId="1B16DB43" w14:textId="77777777" w:rsidR="003F570B" w:rsidRPr="004B2D24" w:rsidRDefault="003F570B" w:rsidP="0000414C">
            <w:pPr>
              <w:pStyle w:val="TableText"/>
              <w:rPr>
                <w:color w:val="000000"/>
                <w:szCs w:val="24"/>
              </w:rPr>
            </w:pPr>
            <w:r w:rsidRPr="00D5596F">
              <w:rPr>
                <w:color w:val="000000"/>
                <w:szCs w:val="24"/>
              </w:rPr>
              <w:t>10</w:t>
            </w:r>
          </w:p>
        </w:tc>
        <w:tc>
          <w:tcPr>
            <w:tcW w:w="742" w:type="dxa"/>
          </w:tcPr>
          <w:p w14:paraId="56E64DB7" w14:textId="77777777" w:rsidR="003F570B" w:rsidRPr="004B2D24" w:rsidRDefault="003F570B" w:rsidP="0000414C">
            <w:pPr>
              <w:pStyle w:val="TableText"/>
              <w:rPr>
                <w:color w:val="000000"/>
                <w:szCs w:val="24"/>
              </w:rPr>
            </w:pPr>
            <w:r w:rsidRPr="00D5596F">
              <w:rPr>
                <w:color w:val="000000"/>
                <w:szCs w:val="24"/>
              </w:rPr>
              <w:t>12</w:t>
            </w:r>
          </w:p>
        </w:tc>
        <w:tc>
          <w:tcPr>
            <w:tcW w:w="576" w:type="dxa"/>
            <w:noWrap/>
          </w:tcPr>
          <w:p w14:paraId="5C403E0B" w14:textId="77777777" w:rsidR="003F570B" w:rsidRPr="004B2D24" w:rsidRDefault="003F570B" w:rsidP="0000414C">
            <w:pPr>
              <w:pStyle w:val="TableText"/>
              <w:rPr>
                <w:color w:val="000000"/>
                <w:szCs w:val="24"/>
              </w:rPr>
            </w:pPr>
            <w:r w:rsidRPr="00D5596F">
              <w:rPr>
                <w:color w:val="000000"/>
                <w:szCs w:val="24"/>
              </w:rPr>
              <w:t>6.7</w:t>
            </w:r>
          </w:p>
        </w:tc>
        <w:tc>
          <w:tcPr>
            <w:tcW w:w="576" w:type="dxa"/>
          </w:tcPr>
          <w:p w14:paraId="279920A9" w14:textId="77777777" w:rsidR="003F570B" w:rsidRPr="004B2D24" w:rsidRDefault="003F570B" w:rsidP="0000414C">
            <w:pPr>
              <w:pStyle w:val="TableText"/>
              <w:rPr>
                <w:color w:val="000000"/>
                <w:szCs w:val="24"/>
              </w:rPr>
            </w:pPr>
            <w:r w:rsidRPr="00D5596F">
              <w:rPr>
                <w:color w:val="000000"/>
                <w:szCs w:val="24"/>
              </w:rPr>
              <w:t>3.6</w:t>
            </w:r>
          </w:p>
        </w:tc>
        <w:tc>
          <w:tcPr>
            <w:tcW w:w="576" w:type="dxa"/>
            <w:noWrap/>
          </w:tcPr>
          <w:p w14:paraId="3886C61E" w14:textId="77777777" w:rsidR="003F570B" w:rsidRPr="004B2D24" w:rsidRDefault="003F570B" w:rsidP="0000414C">
            <w:pPr>
              <w:pStyle w:val="TableText"/>
              <w:rPr>
                <w:color w:val="000000"/>
                <w:szCs w:val="24"/>
              </w:rPr>
            </w:pPr>
            <w:r w:rsidRPr="00D5596F">
              <w:rPr>
                <w:color w:val="000000"/>
                <w:szCs w:val="24"/>
              </w:rPr>
              <w:t>0</w:t>
            </w:r>
          </w:p>
        </w:tc>
        <w:tc>
          <w:tcPr>
            <w:tcW w:w="576" w:type="dxa"/>
            <w:noWrap/>
          </w:tcPr>
          <w:p w14:paraId="256B34C2" w14:textId="77777777" w:rsidR="003F570B" w:rsidRPr="004B2D24" w:rsidRDefault="003F570B" w:rsidP="0000414C">
            <w:pPr>
              <w:pStyle w:val="TableText"/>
              <w:rPr>
                <w:color w:val="000000"/>
                <w:szCs w:val="24"/>
              </w:rPr>
            </w:pPr>
            <w:r w:rsidRPr="00D5596F">
              <w:rPr>
                <w:color w:val="000000"/>
                <w:szCs w:val="24"/>
              </w:rPr>
              <w:t>12</w:t>
            </w:r>
          </w:p>
        </w:tc>
        <w:tc>
          <w:tcPr>
            <w:tcW w:w="864" w:type="dxa"/>
          </w:tcPr>
          <w:p w14:paraId="1CD3B15F" w14:textId="77777777" w:rsidR="003F570B" w:rsidRPr="00C34C12" w:rsidRDefault="003F570B" w:rsidP="0000414C">
            <w:pPr>
              <w:pStyle w:val="TableText"/>
              <w:rPr>
                <w:color w:val="000000"/>
              </w:rPr>
            </w:pPr>
            <w:r w:rsidRPr="00D5596F">
              <w:rPr>
                <w:color w:val="000000"/>
                <w:szCs w:val="24"/>
              </w:rPr>
              <w:t>55.8</w:t>
            </w:r>
          </w:p>
        </w:tc>
      </w:tr>
    </w:tbl>
    <w:p w14:paraId="432D6C46" w14:textId="4DD26F9C" w:rsidR="00963E90" w:rsidRPr="004B2D24" w:rsidRDefault="00963E90" w:rsidP="003B3AA4">
      <w:pPr>
        <w:pStyle w:val="Caption"/>
        <w:keepLines/>
      </w:pPr>
      <w:bookmarkStart w:id="698" w:name="_Toc67319708"/>
      <w:bookmarkStart w:id="699" w:name="_Toc220498712"/>
      <w:r w:rsidRPr="004B2D24">
        <w:lastRenderedPageBreak/>
        <w:t xml:space="preserve">Table </w:t>
      </w:r>
      <w:r>
        <w:fldChar w:fldCharType="begin"/>
      </w:r>
      <w:r>
        <w:instrText>STYLEREF 2 \s</w:instrText>
      </w:r>
      <w:r>
        <w:fldChar w:fldCharType="separate"/>
      </w:r>
      <w:r w:rsidR="00961502">
        <w:rPr>
          <w:noProof/>
        </w:rPr>
        <w:t>7</w:t>
      </w:r>
      <w:r>
        <w:fldChar w:fldCharType="end"/>
      </w:r>
      <w:r w:rsidR="00A40753">
        <w:t>.</w:t>
      </w:r>
      <w:r>
        <w:fldChar w:fldCharType="begin"/>
      </w:r>
      <w:r>
        <w:instrText>SEQ Table \* ARABIC \s 2</w:instrText>
      </w:r>
      <w:r>
        <w:fldChar w:fldCharType="separate"/>
      </w:r>
      <w:r w:rsidR="00961502">
        <w:rPr>
          <w:noProof/>
        </w:rPr>
        <w:t>2</w:t>
      </w:r>
      <w:r>
        <w:fldChar w:fldCharType="end"/>
      </w:r>
      <w:r w:rsidRPr="004B2D24">
        <w:t xml:space="preserve">  Raw Score Summary for Each Embedded PT</w:t>
      </w:r>
      <w:r w:rsidRPr="004B2D24">
        <w:rPr>
          <w:rStyle w:val="CaptionChar"/>
          <w:b/>
        </w:rPr>
        <w:t xml:space="preserve">—Grade </w:t>
      </w:r>
      <w:r>
        <w:rPr>
          <w:rStyle w:val="CaptionChar"/>
          <w:b/>
        </w:rPr>
        <w:t>Eight</w:t>
      </w:r>
      <w:bookmarkEnd w:id="698"/>
      <w:bookmarkEnd w:id="699"/>
    </w:p>
    <w:tbl>
      <w:tblPr>
        <w:tblStyle w:val="TRs"/>
        <w:tblW w:w="10006" w:type="dxa"/>
        <w:tblLook w:val="04A0" w:firstRow="1" w:lastRow="0" w:firstColumn="1" w:lastColumn="0" w:noHBand="0" w:noVBand="1"/>
        <w:tblDescription w:val="Raw Score Summary for Each Embedded PT—Grade Eight"/>
      </w:tblPr>
      <w:tblGrid>
        <w:gridCol w:w="4896"/>
        <w:gridCol w:w="617"/>
        <w:gridCol w:w="576"/>
        <w:gridCol w:w="749"/>
        <w:gridCol w:w="576"/>
        <w:gridCol w:w="576"/>
        <w:gridCol w:w="576"/>
        <w:gridCol w:w="576"/>
        <w:gridCol w:w="864"/>
      </w:tblGrid>
      <w:tr w:rsidR="00BC3368" w:rsidRPr="004B2D24" w14:paraId="327A7DF1" w14:textId="77777777" w:rsidTr="003F570B">
        <w:trPr>
          <w:cnfStyle w:val="100000000000" w:firstRow="1" w:lastRow="0" w:firstColumn="0" w:lastColumn="0" w:oddVBand="0" w:evenVBand="0" w:oddHBand="0" w:evenHBand="0" w:firstRowFirstColumn="0" w:firstRowLastColumn="0" w:lastRowFirstColumn="0" w:lastRowLastColumn="0"/>
          <w:trHeight w:val="2592"/>
        </w:trPr>
        <w:tc>
          <w:tcPr>
            <w:tcW w:w="4896" w:type="dxa"/>
            <w:noWrap/>
            <w:hideMark/>
          </w:tcPr>
          <w:p w14:paraId="409F9FDB" w14:textId="77777777" w:rsidR="00963E90" w:rsidRPr="004B2D24" w:rsidRDefault="00963E90" w:rsidP="00D114A9">
            <w:pPr>
              <w:pStyle w:val="TableHead"/>
              <w:rPr>
                <w:b w:val="0"/>
                <w:bCs w:val="0"/>
                <w:noProof w:val="0"/>
              </w:rPr>
            </w:pPr>
            <w:r w:rsidRPr="004B2D24">
              <w:rPr>
                <w:noProof w:val="0"/>
              </w:rPr>
              <w:t>Module</w:t>
            </w:r>
          </w:p>
        </w:tc>
        <w:tc>
          <w:tcPr>
            <w:tcW w:w="617" w:type="dxa"/>
            <w:textDirection w:val="btLr"/>
            <w:vAlign w:val="center"/>
          </w:tcPr>
          <w:p w14:paraId="46C47A03" w14:textId="77777777" w:rsidR="00963E90" w:rsidRPr="004B2D24" w:rsidRDefault="00963E90" w:rsidP="0022713A">
            <w:pPr>
              <w:pStyle w:val="TableHead"/>
              <w:ind w:left="72"/>
              <w:jc w:val="left"/>
              <w:rPr>
                <w:b w:val="0"/>
                <w:bCs w:val="0"/>
                <w:noProof w:val="0"/>
              </w:rPr>
            </w:pPr>
            <w:r w:rsidRPr="004B2D24">
              <w:rPr>
                <w:noProof w:val="0"/>
              </w:rPr>
              <w:t>Number of Students</w:t>
            </w:r>
          </w:p>
        </w:tc>
        <w:tc>
          <w:tcPr>
            <w:tcW w:w="576" w:type="dxa"/>
            <w:noWrap/>
            <w:textDirection w:val="btLr"/>
            <w:vAlign w:val="center"/>
            <w:hideMark/>
          </w:tcPr>
          <w:p w14:paraId="7A899CAE" w14:textId="77777777" w:rsidR="00963E90" w:rsidRPr="004B2D24" w:rsidRDefault="00963E90" w:rsidP="0022713A">
            <w:pPr>
              <w:pStyle w:val="TableHead"/>
              <w:ind w:left="72"/>
              <w:jc w:val="left"/>
              <w:rPr>
                <w:b w:val="0"/>
                <w:bCs w:val="0"/>
                <w:noProof w:val="0"/>
              </w:rPr>
            </w:pPr>
            <w:r w:rsidRPr="004B2D24">
              <w:rPr>
                <w:noProof w:val="0"/>
              </w:rPr>
              <w:t>Number of Items</w:t>
            </w:r>
          </w:p>
        </w:tc>
        <w:tc>
          <w:tcPr>
            <w:tcW w:w="749" w:type="dxa"/>
            <w:textDirection w:val="btLr"/>
            <w:vAlign w:val="center"/>
          </w:tcPr>
          <w:p w14:paraId="0C4CA604" w14:textId="77777777" w:rsidR="00963E90" w:rsidRPr="004B2D24" w:rsidRDefault="00963E90" w:rsidP="0022713A">
            <w:pPr>
              <w:pStyle w:val="TableHead"/>
              <w:ind w:left="72"/>
              <w:jc w:val="left"/>
              <w:rPr>
                <w:b w:val="0"/>
                <w:bCs w:val="0"/>
                <w:noProof w:val="0"/>
              </w:rPr>
            </w:pPr>
            <w:r w:rsidRPr="004B2D24">
              <w:rPr>
                <w:noProof w:val="0"/>
              </w:rPr>
              <w:t>Maximum Number of Points</w:t>
            </w:r>
          </w:p>
        </w:tc>
        <w:tc>
          <w:tcPr>
            <w:tcW w:w="576" w:type="dxa"/>
            <w:noWrap/>
            <w:textDirection w:val="btLr"/>
            <w:vAlign w:val="center"/>
            <w:hideMark/>
          </w:tcPr>
          <w:p w14:paraId="7389A305" w14:textId="77777777" w:rsidR="00963E90" w:rsidRPr="004B2D24" w:rsidRDefault="00963E90" w:rsidP="0022713A">
            <w:pPr>
              <w:pStyle w:val="TableHead"/>
              <w:ind w:left="72"/>
              <w:jc w:val="left"/>
              <w:rPr>
                <w:b w:val="0"/>
                <w:bCs w:val="0"/>
                <w:noProof w:val="0"/>
              </w:rPr>
            </w:pPr>
            <w:r w:rsidRPr="004B2D24">
              <w:rPr>
                <w:noProof w:val="0"/>
              </w:rPr>
              <w:t>Mean Raw Score</w:t>
            </w:r>
          </w:p>
        </w:tc>
        <w:tc>
          <w:tcPr>
            <w:tcW w:w="576" w:type="dxa"/>
            <w:textDirection w:val="btLr"/>
            <w:vAlign w:val="center"/>
          </w:tcPr>
          <w:p w14:paraId="023FE02B" w14:textId="77777777" w:rsidR="00963E90" w:rsidRPr="004B2D24" w:rsidRDefault="00963E90" w:rsidP="0022713A">
            <w:pPr>
              <w:pStyle w:val="TableHead"/>
              <w:ind w:left="72"/>
              <w:jc w:val="left"/>
              <w:rPr>
                <w:b w:val="0"/>
                <w:bCs w:val="0"/>
                <w:noProof w:val="0"/>
              </w:rPr>
            </w:pPr>
            <w:r w:rsidRPr="004B2D24">
              <w:rPr>
                <w:noProof w:val="0"/>
              </w:rPr>
              <w:t>SD Raw Score</w:t>
            </w:r>
          </w:p>
        </w:tc>
        <w:tc>
          <w:tcPr>
            <w:tcW w:w="576" w:type="dxa"/>
            <w:noWrap/>
            <w:textDirection w:val="btLr"/>
            <w:vAlign w:val="center"/>
            <w:hideMark/>
          </w:tcPr>
          <w:p w14:paraId="67879415" w14:textId="77777777" w:rsidR="00963E90" w:rsidRPr="004B2D24" w:rsidRDefault="00963E90" w:rsidP="0022713A">
            <w:pPr>
              <w:pStyle w:val="TableHead"/>
              <w:ind w:left="72"/>
              <w:jc w:val="left"/>
              <w:rPr>
                <w:b w:val="0"/>
                <w:bCs w:val="0"/>
                <w:noProof w:val="0"/>
              </w:rPr>
            </w:pPr>
            <w:r w:rsidRPr="004B2D24">
              <w:rPr>
                <w:noProof w:val="0"/>
              </w:rPr>
              <w:t>Minimum Raw Score</w:t>
            </w:r>
          </w:p>
        </w:tc>
        <w:tc>
          <w:tcPr>
            <w:tcW w:w="576" w:type="dxa"/>
            <w:noWrap/>
            <w:textDirection w:val="btLr"/>
            <w:vAlign w:val="center"/>
            <w:hideMark/>
          </w:tcPr>
          <w:p w14:paraId="5748C7E4" w14:textId="77777777" w:rsidR="00963E90" w:rsidRPr="004B2D24" w:rsidRDefault="00963E90" w:rsidP="0022713A">
            <w:pPr>
              <w:pStyle w:val="TableHead"/>
              <w:ind w:left="72"/>
              <w:jc w:val="left"/>
              <w:rPr>
                <w:b w:val="0"/>
                <w:bCs w:val="0"/>
                <w:noProof w:val="0"/>
              </w:rPr>
            </w:pPr>
            <w:r w:rsidRPr="004B2D24">
              <w:rPr>
                <w:noProof w:val="0"/>
              </w:rPr>
              <w:t>Maximum Raw Score</w:t>
            </w:r>
          </w:p>
        </w:tc>
        <w:tc>
          <w:tcPr>
            <w:tcW w:w="864" w:type="dxa"/>
            <w:textDirection w:val="btLr"/>
            <w:vAlign w:val="center"/>
          </w:tcPr>
          <w:p w14:paraId="1E2953A4" w14:textId="77777777" w:rsidR="00963E90" w:rsidRPr="004B2D24" w:rsidRDefault="00963E90" w:rsidP="0022713A">
            <w:pPr>
              <w:pStyle w:val="TableHead"/>
              <w:ind w:left="72"/>
              <w:jc w:val="left"/>
              <w:rPr>
                <w:b w:val="0"/>
                <w:bCs w:val="0"/>
                <w:noProof w:val="0"/>
              </w:rPr>
            </w:pPr>
            <w:r w:rsidRPr="004B2D24">
              <w:rPr>
                <w:noProof w:val="0"/>
              </w:rPr>
              <w:t>Mean Raw Score as a Percentage</w:t>
            </w:r>
          </w:p>
        </w:tc>
      </w:tr>
      <w:tr w:rsidR="00963E90" w:rsidRPr="004B2D24" w14:paraId="18276DE2" w14:textId="77777777" w:rsidTr="003F570B">
        <w:tc>
          <w:tcPr>
            <w:tcW w:w="4896" w:type="dxa"/>
            <w:tcBorders>
              <w:top w:val="single" w:sz="4" w:space="0" w:color="auto"/>
            </w:tcBorders>
            <w:noWrap/>
            <w:hideMark/>
          </w:tcPr>
          <w:p w14:paraId="203E4558" w14:textId="77777777" w:rsidR="00963E90" w:rsidRPr="004B2D24" w:rsidRDefault="00963E90" w:rsidP="00D114A9">
            <w:pPr>
              <w:pStyle w:val="TableText"/>
              <w:keepNext/>
              <w:rPr>
                <w:b/>
              </w:rPr>
            </w:pPr>
            <w:r w:rsidRPr="004B2D24">
              <w:t>PT 1 Version 1 (Life Sciences)</w:t>
            </w:r>
          </w:p>
        </w:tc>
        <w:tc>
          <w:tcPr>
            <w:tcW w:w="617" w:type="dxa"/>
            <w:tcBorders>
              <w:top w:val="single" w:sz="4" w:space="0" w:color="auto"/>
            </w:tcBorders>
          </w:tcPr>
          <w:p w14:paraId="0FF6FCB1" w14:textId="77777777" w:rsidR="00963E90" w:rsidRPr="006A72CD" w:rsidRDefault="00963E90" w:rsidP="00D114A9">
            <w:pPr>
              <w:pStyle w:val="TableText"/>
              <w:keepNext/>
              <w:rPr>
                <w:szCs w:val="24"/>
              </w:rPr>
            </w:pPr>
            <w:r w:rsidRPr="0019760B">
              <w:rPr>
                <w:color w:val="000000"/>
                <w:szCs w:val="24"/>
              </w:rPr>
              <w:t>111</w:t>
            </w:r>
          </w:p>
        </w:tc>
        <w:tc>
          <w:tcPr>
            <w:tcW w:w="576" w:type="dxa"/>
            <w:tcBorders>
              <w:top w:val="single" w:sz="4" w:space="0" w:color="auto"/>
            </w:tcBorders>
            <w:noWrap/>
          </w:tcPr>
          <w:p w14:paraId="1148BCDD" w14:textId="77777777" w:rsidR="00963E90" w:rsidRPr="006A72CD" w:rsidRDefault="00963E90" w:rsidP="00D114A9">
            <w:pPr>
              <w:pStyle w:val="TableText"/>
              <w:keepNext/>
              <w:rPr>
                <w:szCs w:val="24"/>
              </w:rPr>
            </w:pPr>
            <w:r w:rsidRPr="00C75558">
              <w:rPr>
                <w:color w:val="000000"/>
                <w:szCs w:val="24"/>
              </w:rPr>
              <w:t>10</w:t>
            </w:r>
          </w:p>
        </w:tc>
        <w:tc>
          <w:tcPr>
            <w:tcW w:w="749" w:type="dxa"/>
            <w:tcBorders>
              <w:top w:val="single" w:sz="4" w:space="0" w:color="auto"/>
            </w:tcBorders>
          </w:tcPr>
          <w:p w14:paraId="2E82245B" w14:textId="77777777" w:rsidR="00963E90" w:rsidRPr="006A72CD" w:rsidRDefault="00963E90" w:rsidP="00D114A9">
            <w:pPr>
              <w:pStyle w:val="TableText"/>
              <w:keepNext/>
              <w:rPr>
                <w:szCs w:val="24"/>
              </w:rPr>
            </w:pPr>
            <w:r w:rsidRPr="00C75558">
              <w:rPr>
                <w:color w:val="000000"/>
                <w:szCs w:val="24"/>
              </w:rPr>
              <w:t>12</w:t>
            </w:r>
          </w:p>
        </w:tc>
        <w:tc>
          <w:tcPr>
            <w:tcW w:w="576" w:type="dxa"/>
            <w:tcBorders>
              <w:top w:val="single" w:sz="4" w:space="0" w:color="auto"/>
            </w:tcBorders>
            <w:noWrap/>
          </w:tcPr>
          <w:p w14:paraId="51B98821" w14:textId="77777777" w:rsidR="00963E90" w:rsidRPr="006A72CD" w:rsidRDefault="00963E90" w:rsidP="00D114A9">
            <w:pPr>
              <w:pStyle w:val="TableText"/>
              <w:keepNext/>
              <w:rPr>
                <w:szCs w:val="24"/>
              </w:rPr>
            </w:pPr>
            <w:r w:rsidRPr="00C75558">
              <w:rPr>
                <w:color w:val="000000"/>
                <w:szCs w:val="24"/>
              </w:rPr>
              <w:t>7</w:t>
            </w:r>
            <w:r>
              <w:rPr>
                <w:color w:val="000000"/>
                <w:szCs w:val="24"/>
              </w:rPr>
              <w:t>.0</w:t>
            </w:r>
          </w:p>
        </w:tc>
        <w:tc>
          <w:tcPr>
            <w:tcW w:w="576" w:type="dxa"/>
            <w:tcBorders>
              <w:top w:val="single" w:sz="4" w:space="0" w:color="auto"/>
            </w:tcBorders>
          </w:tcPr>
          <w:p w14:paraId="55A8485B" w14:textId="77777777" w:rsidR="00963E90" w:rsidRPr="006A72CD" w:rsidRDefault="00963E90" w:rsidP="00D114A9">
            <w:pPr>
              <w:pStyle w:val="TableText"/>
              <w:keepNext/>
              <w:rPr>
                <w:szCs w:val="24"/>
              </w:rPr>
            </w:pPr>
            <w:r w:rsidRPr="00C75558">
              <w:rPr>
                <w:color w:val="000000"/>
                <w:szCs w:val="24"/>
              </w:rPr>
              <w:t>3.3</w:t>
            </w:r>
          </w:p>
        </w:tc>
        <w:tc>
          <w:tcPr>
            <w:tcW w:w="576" w:type="dxa"/>
            <w:tcBorders>
              <w:top w:val="single" w:sz="4" w:space="0" w:color="auto"/>
            </w:tcBorders>
            <w:noWrap/>
          </w:tcPr>
          <w:p w14:paraId="33ECBA41" w14:textId="77777777" w:rsidR="00963E90" w:rsidRPr="006A72CD" w:rsidRDefault="00963E90" w:rsidP="00D114A9">
            <w:pPr>
              <w:pStyle w:val="TableText"/>
              <w:keepNext/>
              <w:rPr>
                <w:szCs w:val="24"/>
              </w:rPr>
            </w:pPr>
            <w:r w:rsidRPr="0019760B">
              <w:rPr>
                <w:color w:val="000000"/>
                <w:szCs w:val="24"/>
              </w:rPr>
              <w:t>0</w:t>
            </w:r>
          </w:p>
        </w:tc>
        <w:tc>
          <w:tcPr>
            <w:tcW w:w="576" w:type="dxa"/>
            <w:tcBorders>
              <w:top w:val="single" w:sz="4" w:space="0" w:color="auto"/>
            </w:tcBorders>
            <w:noWrap/>
          </w:tcPr>
          <w:p w14:paraId="1BB2185F" w14:textId="77777777" w:rsidR="00963E90" w:rsidRPr="006A72CD" w:rsidRDefault="00963E90" w:rsidP="00D114A9">
            <w:pPr>
              <w:pStyle w:val="TableText"/>
              <w:keepNext/>
              <w:rPr>
                <w:szCs w:val="24"/>
              </w:rPr>
            </w:pPr>
            <w:r w:rsidRPr="00C75558">
              <w:rPr>
                <w:color w:val="000000"/>
                <w:szCs w:val="24"/>
              </w:rPr>
              <w:t>12</w:t>
            </w:r>
          </w:p>
        </w:tc>
        <w:tc>
          <w:tcPr>
            <w:tcW w:w="864" w:type="dxa"/>
            <w:tcBorders>
              <w:top w:val="single" w:sz="4" w:space="0" w:color="auto"/>
            </w:tcBorders>
          </w:tcPr>
          <w:p w14:paraId="1A5DB64D" w14:textId="77777777" w:rsidR="00963E90" w:rsidRPr="004B2D24" w:rsidRDefault="00963E90" w:rsidP="00D114A9">
            <w:pPr>
              <w:pStyle w:val="TableText"/>
              <w:keepNext/>
              <w:rPr>
                <w:color w:val="000000"/>
                <w:szCs w:val="24"/>
              </w:rPr>
            </w:pPr>
            <w:r w:rsidRPr="00C75558">
              <w:rPr>
                <w:color w:val="000000"/>
                <w:szCs w:val="24"/>
              </w:rPr>
              <w:t>58.3</w:t>
            </w:r>
          </w:p>
        </w:tc>
      </w:tr>
      <w:tr w:rsidR="00963E90" w:rsidRPr="004B2D24" w14:paraId="1C3C97CB" w14:textId="77777777" w:rsidTr="003F570B">
        <w:tc>
          <w:tcPr>
            <w:tcW w:w="4896" w:type="dxa"/>
            <w:noWrap/>
            <w:hideMark/>
          </w:tcPr>
          <w:p w14:paraId="3BAF3CA3" w14:textId="77777777" w:rsidR="00963E90" w:rsidRPr="004B2D24" w:rsidRDefault="00963E90" w:rsidP="00D114A9">
            <w:pPr>
              <w:pStyle w:val="TableText"/>
              <w:keepNext/>
              <w:rPr>
                <w:vertAlign w:val="superscript"/>
              </w:rPr>
            </w:pPr>
            <w:r w:rsidRPr="004B2D24">
              <w:t>PT 2 Version 1 (Physical Sciences)</w:t>
            </w:r>
          </w:p>
        </w:tc>
        <w:tc>
          <w:tcPr>
            <w:tcW w:w="617" w:type="dxa"/>
          </w:tcPr>
          <w:p w14:paraId="4CB60245" w14:textId="77777777" w:rsidR="00963E90" w:rsidRPr="006A72CD" w:rsidRDefault="00963E90" w:rsidP="00D114A9">
            <w:pPr>
              <w:pStyle w:val="TableText"/>
              <w:keepNext/>
              <w:rPr>
                <w:szCs w:val="24"/>
              </w:rPr>
            </w:pPr>
            <w:r w:rsidRPr="00C75558">
              <w:rPr>
                <w:color w:val="000000"/>
                <w:szCs w:val="24"/>
              </w:rPr>
              <w:t>111</w:t>
            </w:r>
          </w:p>
        </w:tc>
        <w:tc>
          <w:tcPr>
            <w:tcW w:w="576" w:type="dxa"/>
            <w:noWrap/>
          </w:tcPr>
          <w:p w14:paraId="7D81EEB9" w14:textId="77777777" w:rsidR="00963E90" w:rsidRPr="006A72CD" w:rsidRDefault="00963E90" w:rsidP="00D114A9">
            <w:pPr>
              <w:pStyle w:val="TableText"/>
              <w:keepNext/>
              <w:rPr>
                <w:szCs w:val="24"/>
              </w:rPr>
            </w:pPr>
            <w:r w:rsidRPr="00C75558">
              <w:rPr>
                <w:color w:val="000000"/>
                <w:szCs w:val="24"/>
              </w:rPr>
              <w:t>10</w:t>
            </w:r>
          </w:p>
        </w:tc>
        <w:tc>
          <w:tcPr>
            <w:tcW w:w="749" w:type="dxa"/>
          </w:tcPr>
          <w:p w14:paraId="7CB0315B" w14:textId="77777777" w:rsidR="00963E90" w:rsidRPr="006A72CD" w:rsidRDefault="00963E90" w:rsidP="00D114A9">
            <w:pPr>
              <w:pStyle w:val="TableText"/>
              <w:keepNext/>
              <w:rPr>
                <w:szCs w:val="24"/>
              </w:rPr>
            </w:pPr>
            <w:r w:rsidRPr="0019760B">
              <w:rPr>
                <w:color w:val="000000"/>
                <w:szCs w:val="24"/>
              </w:rPr>
              <w:t>12</w:t>
            </w:r>
          </w:p>
        </w:tc>
        <w:tc>
          <w:tcPr>
            <w:tcW w:w="576" w:type="dxa"/>
            <w:noWrap/>
          </w:tcPr>
          <w:p w14:paraId="0E625D88" w14:textId="77777777" w:rsidR="00963E90" w:rsidRPr="006A72CD" w:rsidRDefault="00963E90" w:rsidP="00D114A9">
            <w:pPr>
              <w:pStyle w:val="TableText"/>
              <w:keepNext/>
              <w:rPr>
                <w:szCs w:val="24"/>
              </w:rPr>
            </w:pPr>
            <w:r w:rsidRPr="00C75558">
              <w:rPr>
                <w:color w:val="000000"/>
                <w:szCs w:val="24"/>
              </w:rPr>
              <w:t>7.4</w:t>
            </w:r>
          </w:p>
        </w:tc>
        <w:tc>
          <w:tcPr>
            <w:tcW w:w="576" w:type="dxa"/>
          </w:tcPr>
          <w:p w14:paraId="6EAAEC6A" w14:textId="77777777" w:rsidR="00963E90" w:rsidRPr="006A72CD" w:rsidRDefault="00963E90" w:rsidP="00D114A9">
            <w:pPr>
              <w:pStyle w:val="TableText"/>
              <w:keepNext/>
              <w:rPr>
                <w:szCs w:val="24"/>
              </w:rPr>
            </w:pPr>
            <w:r w:rsidRPr="00C75558">
              <w:rPr>
                <w:color w:val="000000"/>
                <w:szCs w:val="24"/>
              </w:rPr>
              <w:t>3.7</w:t>
            </w:r>
          </w:p>
        </w:tc>
        <w:tc>
          <w:tcPr>
            <w:tcW w:w="576" w:type="dxa"/>
            <w:noWrap/>
          </w:tcPr>
          <w:p w14:paraId="2E3C9FB0" w14:textId="77777777" w:rsidR="00963E90" w:rsidRPr="006A72CD" w:rsidRDefault="00963E90" w:rsidP="00D114A9">
            <w:pPr>
              <w:pStyle w:val="TableText"/>
              <w:keepNext/>
              <w:rPr>
                <w:szCs w:val="24"/>
              </w:rPr>
            </w:pPr>
            <w:r w:rsidRPr="00C75558">
              <w:rPr>
                <w:color w:val="000000"/>
                <w:szCs w:val="24"/>
              </w:rPr>
              <w:t>0</w:t>
            </w:r>
          </w:p>
        </w:tc>
        <w:tc>
          <w:tcPr>
            <w:tcW w:w="576" w:type="dxa"/>
            <w:noWrap/>
          </w:tcPr>
          <w:p w14:paraId="66C6DC1B" w14:textId="77777777" w:rsidR="00963E90" w:rsidRPr="006A72CD" w:rsidRDefault="00963E90" w:rsidP="00D114A9">
            <w:pPr>
              <w:pStyle w:val="TableText"/>
              <w:keepNext/>
              <w:rPr>
                <w:szCs w:val="24"/>
              </w:rPr>
            </w:pPr>
            <w:r w:rsidRPr="00C75558">
              <w:rPr>
                <w:color w:val="000000"/>
                <w:szCs w:val="24"/>
              </w:rPr>
              <w:t>12</w:t>
            </w:r>
          </w:p>
        </w:tc>
        <w:tc>
          <w:tcPr>
            <w:tcW w:w="864" w:type="dxa"/>
          </w:tcPr>
          <w:p w14:paraId="75F6E859" w14:textId="77777777" w:rsidR="00963E90" w:rsidRPr="004B2D24" w:rsidRDefault="00963E90" w:rsidP="00D114A9">
            <w:pPr>
              <w:pStyle w:val="TableText"/>
              <w:keepNext/>
              <w:rPr>
                <w:color w:val="000000"/>
                <w:szCs w:val="24"/>
              </w:rPr>
            </w:pPr>
            <w:r w:rsidRPr="0019760B">
              <w:rPr>
                <w:color w:val="000000"/>
                <w:szCs w:val="24"/>
              </w:rPr>
              <w:t>61.7</w:t>
            </w:r>
          </w:p>
        </w:tc>
      </w:tr>
      <w:tr w:rsidR="00963E90" w:rsidRPr="004B2D24" w14:paraId="63379E1A" w14:textId="77777777" w:rsidTr="003F570B">
        <w:tc>
          <w:tcPr>
            <w:tcW w:w="4896" w:type="dxa"/>
            <w:noWrap/>
            <w:hideMark/>
          </w:tcPr>
          <w:p w14:paraId="5B980B27" w14:textId="77777777" w:rsidR="00963E90" w:rsidRPr="004B2D24" w:rsidRDefault="00963E90" w:rsidP="00D114A9">
            <w:pPr>
              <w:pStyle w:val="TableText"/>
              <w:keepNext/>
            </w:pPr>
            <w:r w:rsidRPr="004B2D24">
              <w:t>PT 3 Version 1 (Earth and Space Sciences)</w:t>
            </w:r>
          </w:p>
        </w:tc>
        <w:tc>
          <w:tcPr>
            <w:tcW w:w="617" w:type="dxa"/>
          </w:tcPr>
          <w:p w14:paraId="72F0D126" w14:textId="77777777" w:rsidR="00963E90" w:rsidRPr="006A72CD" w:rsidRDefault="00963E90" w:rsidP="00D114A9">
            <w:pPr>
              <w:pStyle w:val="TableText"/>
              <w:keepNext/>
              <w:rPr>
                <w:szCs w:val="24"/>
              </w:rPr>
            </w:pPr>
            <w:r w:rsidRPr="00C75558">
              <w:rPr>
                <w:color w:val="000000"/>
                <w:szCs w:val="24"/>
              </w:rPr>
              <w:t>111</w:t>
            </w:r>
          </w:p>
        </w:tc>
        <w:tc>
          <w:tcPr>
            <w:tcW w:w="576" w:type="dxa"/>
            <w:noWrap/>
          </w:tcPr>
          <w:p w14:paraId="1B9493EC" w14:textId="77777777" w:rsidR="00963E90" w:rsidRPr="006A72CD" w:rsidRDefault="00963E90" w:rsidP="00D114A9">
            <w:pPr>
              <w:pStyle w:val="TableText"/>
              <w:keepNext/>
              <w:rPr>
                <w:szCs w:val="24"/>
              </w:rPr>
            </w:pPr>
            <w:r w:rsidRPr="00C75558">
              <w:rPr>
                <w:color w:val="000000"/>
                <w:szCs w:val="24"/>
              </w:rPr>
              <w:t>10</w:t>
            </w:r>
          </w:p>
        </w:tc>
        <w:tc>
          <w:tcPr>
            <w:tcW w:w="749" w:type="dxa"/>
          </w:tcPr>
          <w:p w14:paraId="2DFB749D" w14:textId="77777777" w:rsidR="00963E90" w:rsidRPr="006A72CD" w:rsidRDefault="00963E90" w:rsidP="00D114A9">
            <w:pPr>
              <w:pStyle w:val="TableText"/>
              <w:keepNext/>
              <w:rPr>
                <w:szCs w:val="24"/>
              </w:rPr>
            </w:pPr>
            <w:r w:rsidRPr="0019760B">
              <w:rPr>
                <w:color w:val="000000"/>
                <w:szCs w:val="24"/>
              </w:rPr>
              <w:t>12</w:t>
            </w:r>
          </w:p>
        </w:tc>
        <w:tc>
          <w:tcPr>
            <w:tcW w:w="576" w:type="dxa"/>
            <w:noWrap/>
          </w:tcPr>
          <w:p w14:paraId="22B58780" w14:textId="77777777" w:rsidR="00963E90" w:rsidRPr="006A72CD" w:rsidRDefault="00963E90" w:rsidP="00D114A9">
            <w:pPr>
              <w:pStyle w:val="TableText"/>
              <w:keepNext/>
              <w:rPr>
                <w:szCs w:val="24"/>
              </w:rPr>
            </w:pPr>
            <w:r w:rsidRPr="0019760B">
              <w:rPr>
                <w:color w:val="000000"/>
                <w:szCs w:val="24"/>
              </w:rPr>
              <w:t>6.9</w:t>
            </w:r>
          </w:p>
        </w:tc>
        <w:tc>
          <w:tcPr>
            <w:tcW w:w="576" w:type="dxa"/>
          </w:tcPr>
          <w:p w14:paraId="291BF286" w14:textId="77777777" w:rsidR="00963E90" w:rsidRPr="006A72CD" w:rsidRDefault="00963E90" w:rsidP="00D114A9">
            <w:pPr>
              <w:pStyle w:val="TableText"/>
              <w:keepNext/>
              <w:rPr>
                <w:szCs w:val="24"/>
              </w:rPr>
            </w:pPr>
            <w:r w:rsidRPr="0019760B">
              <w:rPr>
                <w:color w:val="000000"/>
                <w:szCs w:val="24"/>
              </w:rPr>
              <w:t>3.7</w:t>
            </w:r>
          </w:p>
        </w:tc>
        <w:tc>
          <w:tcPr>
            <w:tcW w:w="576" w:type="dxa"/>
            <w:noWrap/>
          </w:tcPr>
          <w:p w14:paraId="3033BAEC" w14:textId="77777777" w:rsidR="00963E90" w:rsidRPr="006A72CD" w:rsidRDefault="00963E90" w:rsidP="00D114A9">
            <w:pPr>
              <w:pStyle w:val="TableText"/>
              <w:keepNext/>
              <w:rPr>
                <w:szCs w:val="24"/>
              </w:rPr>
            </w:pPr>
            <w:r w:rsidRPr="00C75558">
              <w:rPr>
                <w:color w:val="000000"/>
                <w:szCs w:val="24"/>
              </w:rPr>
              <w:t>0</w:t>
            </w:r>
          </w:p>
        </w:tc>
        <w:tc>
          <w:tcPr>
            <w:tcW w:w="576" w:type="dxa"/>
            <w:noWrap/>
          </w:tcPr>
          <w:p w14:paraId="4B96CB12" w14:textId="77777777" w:rsidR="00963E90" w:rsidRPr="006A72CD" w:rsidRDefault="00963E90" w:rsidP="00D114A9">
            <w:pPr>
              <w:pStyle w:val="TableText"/>
              <w:keepNext/>
              <w:rPr>
                <w:szCs w:val="24"/>
              </w:rPr>
            </w:pPr>
            <w:r w:rsidRPr="00C75558">
              <w:rPr>
                <w:color w:val="000000"/>
                <w:szCs w:val="24"/>
              </w:rPr>
              <w:t>12</w:t>
            </w:r>
          </w:p>
        </w:tc>
        <w:tc>
          <w:tcPr>
            <w:tcW w:w="864" w:type="dxa"/>
          </w:tcPr>
          <w:p w14:paraId="72F95B7C" w14:textId="77777777" w:rsidR="00963E90" w:rsidRPr="004B2D24" w:rsidRDefault="00963E90" w:rsidP="00D114A9">
            <w:pPr>
              <w:pStyle w:val="TableText"/>
              <w:keepNext/>
              <w:rPr>
                <w:color w:val="000000"/>
                <w:szCs w:val="24"/>
              </w:rPr>
            </w:pPr>
            <w:r w:rsidRPr="00C75558">
              <w:rPr>
                <w:color w:val="000000"/>
                <w:szCs w:val="24"/>
              </w:rPr>
              <w:t>57.5</w:t>
            </w:r>
          </w:p>
        </w:tc>
      </w:tr>
      <w:tr w:rsidR="00963E90" w:rsidRPr="004B2D24" w14:paraId="4B9438DF" w14:textId="77777777" w:rsidTr="003F570B">
        <w:tc>
          <w:tcPr>
            <w:tcW w:w="4896" w:type="dxa"/>
            <w:noWrap/>
          </w:tcPr>
          <w:p w14:paraId="67B94799" w14:textId="77777777" w:rsidR="00963E90" w:rsidRPr="004B2D24" w:rsidRDefault="00963E90" w:rsidP="00D114A9">
            <w:pPr>
              <w:pStyle w:val="TableText"/>
              <w:keepNext/>
            </w:pPr>
            <w:r w:rsidRPr="004B2D24">
              <w:t>PT 1 Version 2 (Life Sciences)</w:t>
            </w:r>
          </w:p>
        </w:tc>
        <w:tc>
          <w:tcPr>
            <w:tcW w:w="617" w:type="dxa"/>
          </w:tcPr>
          <w:p w14:paraId="49FCB7F6" w14:textId="77777777" w:rsidR="00963E90" w:rsidRPr="006A72CD" w:rsidRDefault="00963E90" w:rsidP="00D114A9">
            <w:pPr>
              <w:pStyle w:val="TableText"/>
              <w:keepNext/>
              <w:rPr>
                <w:szCs w:val="24"/>
              </w:rPr>
            </w:pPr>
            <w:r w:rsidRPr="0019760B">
              <w:rPr>
                <w:color w:val="000000"/>
                <w:szCs w:val="24"/>
              </w:rPr>
              <w:t>95</w:t>
            </w:r>
          </w:p>
        </w:tc>
        <w:tc>
          <w:tcPr>
            <w:tcW w:w="576" w:type="dxa"/>
            <w:noWrap/>
          </w:tcPr>
          <w:p w14:paraId="7F2A2A1C" w14:textId="77777777" w:rsidR="00963E90" w:rsidRPr="006A72CD" w:rsidRDefault="00963E90" w:rsidP="00D114A9">
            <w:pPr>
              <w:pStyle w:val="TableText"/>
              <w:keepNext/>
              <w:rPr>
                <w:szCs w:val="24"/>
              </w:rPr>
            </w:pPr>
            <w:r w:rsidRPr="0019760B">
              <w:rPr>
                <w:color w:val="000000"/>
                <w:szCs w:val="24"/>
              </w:rPr>
              <w:t>10</w:t>
            </w:r>
          </w:p>
        </w:tc>
        <w:tc>
          <w:tcPr>
            <w:tcW w:w="749" w:type="dxa"/>
          </w:tcPr>
          <w:p w14:paraId="0F9E7AE5" w14:textId="77777777" w:rsidR="00963E90" w:rsidRPr="006A72CD" w:rsidRDefault="00963E90" w:rsidP="00D114A9">
            <w:pPr>
              <w:pStyle w:val="TableText"/>
              <w:keepNext/>
              <w:rPr>
                <w:szCs w:val="24"/>
              </w:rPr>
            </w:pPr>
            <w:r w:rsidRPr="0019760B">
              <w:rPr>
                <w:color w:val="000000"/>
                <w:szCs w:val="24"/>
              </w:rPr>
              <w:t>12</w:t>
            </w:r>
          </w:p>
        </w:tc>
        <w:tc>
          <w:tcPr>
            <w:tcW w:w="576" w:type="dxa"/>
            <w:noWrap/>
          </w:tcPr>
          <w:p w14:paraId="4DDD6D72" w14:textId="77777777" w:rsidR="00963E90" w:rsidRPr="006A72CD" w:rsidRDefault="00963E90" w:rsidP="00D114A9">
            <w:pPr>
              <w:pStyle w:val="TableText"/>
              <w:keepNext/>
              <w:rPr>
                <w:szCs w:val="24"/>
              </w:rPr>
            </w:pPr>
            <w:r w:rsidRPr="0019760B">
              <w:rPr>
                <w:color w:val="000000"/>
                <w:szCs w:val="24"/>
              </w:rPr>
              <w:t>6.2</w:t>
            </w:r>
          </w:p>
        </w:tc>
        <w:tc>
          <w:tcPr>
            <w:tcW w:w="576" w:type="dxa"/>
          </w:tcPr>
          <w:p w14:paraId="42BC887A" w14:textId="77777777" w:rsidR="00963E90" w:rsidRPr="006A72CD" w:rsidRDefault="00963E90" w:rsidP="00D114A9">
            <w:pPr>
              <w:pStyle w:val="TableText"/>
              <w:keepNext/>
              <w:rPr>
                <w:szCs w:val="24"/>
              </w:rPr>
            </w:pPr>
            <w:r w:rsidRPr="0019760B">
              <w:rPr>
                <w:color w:val="000000"/>
                <w:szCs w:val="24"/>
              </w:rPr>
              <w:t>2.9</w:t>
            </w:r>
          </w:p>
        </w:tc>
        <w:tc>
          <w:tcPr>
            <w:tcW w:w="576" w:type="dxa"/>
            <w:noWrap/>
          </w:tcPr>
          <w:p w14:paraId="55CC96E5" w14:textId="77777777" w:rsidR="00963E90" w:rsidRPr="006A72CD" w:rsidRDefault="00963E90" w:rsidP="00D114A9">
            <w:pPr>
              <w:pStyle w:val="TableText"/>
              <w:keepNext/>
              <w:rPr>
                <w:szCs w:val="24"/>
              </w:rPr>
            </w:pPr>
            <w:r w:rsidRPr="00C75558">
              <w:rPr>
                <w:color w:val="000000"/>
                <w:szCs w:val="24"/>
              </w:rPr>
              <w:t>0</w:t>
            </w:r>
          </w:p>
        </w:tc>
        <w:tc>
          <w:tcPr>
            <w:tcW w:w="576" w:type="dxa"/>
            <w:noWrap/>
          </w:tcPr>
          <w:p w14:paraId="24C5C295" w14:textId="77777777" w:rsidR="00963E90" w:rsidRPr="006A72CD" w:rsidRDefault="00963E90" w:rsidP="00D114A9">
            <w:pPr>
              <w:pStyle w:val="TableText"/>
              <w:keepNext/>
              <w:rPr>
                <w:szCs w:val="24"/>
              </w:rPr>
            </w:pPr>
            <w:r w:rsidRPr="00C75558">
              <w:rPr>
                <w:color w:val="000000"/>
                <w:szCs w:val="24"/>
              </w:rPr>
              <w:t>12</w:t>
            </w:r>
          </w:p>
        </w:tc>
        <w:tc>
          <w:tcPr>
            <w:tcW w:w="864" w:type="dxa"/>
          </w:tcPr>
          <w:p w14:paraId="51C69D7A" w14:textId="77777777" w:rsidR="00963E90" w:rsidRPr="004B2D24" w:rsidRDefault="00963E90" w:rsidP="00D114A9">
            <w:pPr>
              <w:pStyle w:val="TableText"/>
              <w:keepNext/>
              <w:rPr>
                <w:color w:val="000000"/>
                <w:szCs w:val="24"/>
              </w:rPr>
            </w:pPr>
            <w:r w:rsidRPr="00C75558">
              <w:rPr>
                <w:color w:val="000000"/>
                <w:szCs w:val="24"/>
              </w:rPr>
              <w:t>51.7</w:t>
            </w:r>
          </w:p>
        </w:tc>
      </w:tr>
      <w:tr w:rsidR="00963E90" w:rsidRPr="004B2D24" w14:paraId="00763686" w14:textId="77777777" w:rsidTr="003F570B">
        <w:tc>
          <w:tcPr>
            <w:tcW w:w="4896" w:type="dxa"/>
            <w:noWrap/>
          </w:tcPr>
          <w:p w14:paraId="10569DE7" w14:textId="77777777" w:rsidR="00963E90" w:rsidRPr="004B2D24" w:rsidRDefault="00963E90" w:rsidP="00D114A9">
            <w:pPr>
              <w:pStyle w:val="TableText"/>
              <w:keepNext/>
            </w:pPr>
            <w:r w:rsidRPr="004B2D24">
              <w:t>PT 2 Version 2 (Physical Sciences)</w:t>
            </w:r>
          </w:p>
        </w:tc>
        <w:tc>
          <w:tcPr>
            <w:tcW w:w="617" w:type="dxa"/>
          </w:tcPr>
          <w:p w14:paraId="65F4670E" w14:textId="77777777" w:rsidR="00963E90" w:rsidRPr="006A72CD" w:rsidRDefault="00963E90" w:rsidP="00D114A9">
            <w:pPr>
              <w:pStyle w:val="TableText"/>
              <w:keepNext/>
              <w:rPr>
                <w:szCs w:val="24"/>
              </w:rPr>
            </w:pPr>
            <w:r w:rsidRPr="0019760B">
              <w:rPr>
                <w:color w:val="000000"/>
                <w:szCs w:val="24"/>
              </w:rPr>
              <w:t>95</w:t>
            </w:r>
          </w:p>
        </w:tc>
        <w:tc>
          <w:tcPr>
            <w:tcW w:w="576" w:type="dxa"/>
            <w:noWrap/>
          </w:tcPr>
          <w:p w14:paraId="6C227081" w14:textId="77777777" w:rsidR="00963E90" w:rsidRPr="006A72CD" w:rsidRDefault="00963E90" w:rsidP="00D114A9">
            <w:pPr>
              <w:pStyle w:val="TableText"/>
              <w:keepNext/>
              <w:rPr>
                <w:szCs w:val="24"/>
              </w:rPr>
            </w:pPr>
            <w:r w:rsidRPr="0019760B">
              <w:rPr>
                <w:color w:val="000000"/>
                <w:szCs w:val="24"/>
              </w:rPr>
              <w:t>10</w:t>
            </w:r>
          </w:p>
        </w:tc>
        <w:tc>
          <w:tcPr>
            <w:tcW w:w="749" w:type="dxa"/>
          </w:tcPr>
          <w:p w14:paraId="0042FEB3" w14:textId="77777777" w:rsidR="00963E90" w:rsidRPr="006A72CD" w:rsidRDefault="00963E90" w:rsidP="00D114A9">
            <w:pPr>
              <w:pStyle w:val="TableText"/>
              <w:keepNext/>
              <w:rPr>
                <w:szCs w:val="24"/>
              </w:rPr>
            </w:pPr>
            <w:r w:rsidRPr="00C75558">
              <w:rPr>
                <w:color w:val="000000"/>
                <w:szCs w:val="24"/>
              </w:rPr>
              <w:t>12</w:t>
            </w:r>
          </w:p>
        </w:tc>
        <w:tc>
          <w:tcPr>
            <w:tcW w:w="576" w:type="dxa"/>
            <w:noWrap/>
          </w:tcPr>
          <w:p w14:paraId="2531D9FE" w14:textId="77777777" w:rsidR="00963E90" w:rsidRPr="006A72CD" w:rsidRDefault="00963E90" w:rsidP="00D114A9">
            <w:pPr>
              <w:pStyle w:val="TableText"/>
              <w:keepNext/>
              <w:rPr>
                <w:szCs w:val="24"/>
              </w:rPr>
            </w:pPr>
            <w:r w:rsidRPr="00C75558">
              <w:rPr>
                <w:color w:val="000000"/>
                <w:szCs w:val="24"/>
              </w:rPr>
              <w:t>7</w:t>
            </w:r>
            <w:r>
              <w:rPr>
                <w:color w:val="000000"/>
                <w:szCs w:val="24"/>
              </w:rPr>
              <w:t>.0</w:t>
            </w:r>
          </w:p>
        </w:tc>
        <w:tc>
          <w:tcPr>
            <w:tcW w:w="576" w:type="dxa"/>
          </w:tcPr>
          <w:p w14:paraId="0484AB43" w14:textId="77777777" w:rsidR="00963E90" w:rsidRPr="006A72CD" w:rsidRDefault="00963E90" w:rsidP="00D114A9">
            <w:pPr>
              <w:pStyle w:val="TableText"/>
              <w:keepNext/>
              <w:rPr>
                <w:szCs w:val="24"/>
              </w:rPr>
            </w:pPr>
            <w:r w:rsidRPr="00C75558">
              <w:rPr>
                <w:color w:val="000000"/>
                <w:szCs w:val="24"/>
              </w:rPr>
              <w:t>3.3</w:t>
            </w:r>
          </w:p>
        </w:tc>
        <w:tc>
          <w:tcPr>
            <w:tcW w:w="576" w:type="dxa"/>
            <w:noWrap/>
          </w:tcPr>
          <w:p w14:paraId="70AADDDD" w14:textId="77777777" w:rsidR="00963E90" w:rsidRPr="006A72CD" w:rsidRDefault="00963E90" w:rsidP="00D114A9">
            <w:pPr>
              <w:pStyle w:val="TableText"/>
              <w:keepNext/>
              <w:rPr>
                <w:szCs w:val="24"/>
              </w:rPr>
            </w:pPr>
            <w:r w:rsidRPr="00C75558">
              <w:rPr>
                <w:color w:val="000000"/>
                <w:szCs w:val="24"/>
              </w:rPr>
              <w:t>0</w:t>
            </w:r>
          </w:p>
        </w:tc>
        <w:tc>
          <w:tcPr>
            <w:tcW w:w="576" w:type="dxa"/>
            <w:noWrap/>
          </w:tcPr>
          <w:p w14:paraId="660E4DC9" w14:textId="77777777" w:rsidR="00963E90" w:rsidRPr="006A72CD" w:rsidRDefault="00963E90" w:rsidP="00D114A9">
            <w:pPr>
              <w:pStyle w:val="TableText"/>
              <w:keepNext/>
              <w:rPr>
                <w:szCs w:val="24"/>
              </w:rPr>
            </w:pPr>
            <w:r w:rsidRPr="00C75558">
              <w:rPr>
                <w:color w:val="000000"/>
                <w:szCs w:val="24"/>
              </w:rPr>
              <w:t>12</w:t>
            </w:r>
          </w:p>
        </w:tc>
        <w:tc>
          <w:tcPr>
            <w:tcW w:w="864" w:type="dxa"/>
          </w:tcPr>
          <w:p w14:paraId="4DCB0471" w14:textId="77777777" w:rsidR="00963E90" w:rsidRPr="004B2D24" w:rsidRDefault="00963E90" w:rsidP="00D114A9">
            <w:pPr>
              <w:pStyle w:val="TableText"/>
              <w:keepNext/>
              <w:rPr>
                <w:color w:val="000000"/>
                <w:szCs w:val="24"/>
              </w:rPr>
            </w:pPr>
            <w:r w:rsidRPr="00C75558">
              <w:rPr>
                <w:color w:val="000000"/>
                <w:szCs w:val="24"/>
              </w:rPr>
              <w:t>58.3</w:t>
            </w:r>
          </w:p>
        </w:tc>
      </w:tr>
      <w:tr w:rsidR="00963E90" w:rsidRPr="004B2D24" w14:paraId="0D06BF0D" w14:textId="77777777" w:rsidTr="003F570B">
        <w:tc>
          <w:tcPr>
            <w:tcW w:w="4896" w:type="dxa"/>
            <w:noWrap/>
          </w:tcPr>
          <w:p w14:paraId="5216737E" w14:textId="77777777" w:rsidR="00963E90" w:rsidRPr="004B2D24" w:rsidRDefault="00963E90" w:rsidP="00D114A9">
            <w:pPr>
              <w:pStyle w:val="TableText"/>
            </w:pPr>
            <w:r w:rsidRPr="004B2D24">
              <w:t>PT 3 Version 2 (Earth and Space Sciences)</w:t>
            </w:r>
          </w:p>
        </w:tc>
        <w:tc>
          <w:tcPr>
            <w:tcW w:w="617" w:type="dxa"/>
          </w:tcPr>
          <w:p w14:paraId="4259872F" w14:textId="77777777" w:rsidR="00963E90" w:rsidRPr="006A72CD" w:rsidRDefault="00963E90" w:rsidP="00D114A9">
            <w:pPr>
              <w:pStyle w:val="TableText"/>
              <w:rPr>
                <w:szCs w:val="24"/>
              </w:rPr>
            </w:pPr>
            <w:r w:rsidRPr="00C75558">
              <w:rPr>
                <w:color w:val="000000"/>
                <w:szCs w:val="24"/>
              </w:rPr>
              <w:t>95</w:t>
            </w:r>
          </w:p>
        </w:tc>
        <w:tc>
          <w:tcPr>
            <w:tcW w:w="576" w:type="dxa"/>
            <w:noWrap/>
          </w:tcPr>
          <w:p w14:paraId="7FA3F647" w14:textId="77777777" w:rsidR="00963E90" w:rsidRPr="006A72CD" w:rsidRDefault="00963E90" w:rsidP="00D114A9">
            <w:pPr>
              <w:pStyle w:val="TableText"/>
              <w:rPr>
                <w:szCs w:val="24"/>
              </w:rPr>
            </w:pPr>
            <w:r w:rsidRPr="00C75558">
              <w:rPr>
                <w:color w:val="000000"/>
                <w:szCs w:val="24"/>
              </w:rPr>
              <w:t>10</w:t>
            </w:r>
          </w:p>
        </w:tc>
        <w:tc>
          <w:tcPr>
            <w:tcW w:w="749" w:type="dxa"/>
          </w:tcPr>
          <w:p w14:paraId="502C0AB0" w14:textId="77777777" w:rsidR="00963E90" w:rsidRPr="006A72CD" w:rsidRDefault="00963E90" w:rsidP="00D114A9">
            <w:pPr>
              <w:pStyle w:val="TableText"/>
              <w:rPr>
                <w:szCs w:val="24"/>
              </w:rPr>
            </w:pPr>
            <w:r w:rsidRPr="00C75558">
              <w:rPr>
                <w:color w:val="000000"/>
                <w:szCs w:val="24"/>
              </w:rPr>
              <w:t>12</w:t>
            </w:r>
          </w:p>
        </w:tc>
        <w:tc>
          <w:tcPr>
            <w:tcW w:w="576" w:type="dxa"/>
            <w:noWrap/>
          </w:tcPr>
          <w:p w14:paraId="44A2D662" w14:textId="77777777" w:rsidR="00963E90" w:rsidRPr="006A72CD" w:rsidRDefault="00963E90" w:rsidP="00D114A9">
            <w:pPr>
              <w:pStyle w:val="TableText"/>
              <w:rPr>
                <w:szCs w:val="24"/>
              </w:rPr>
            </w:pPr>
            <w:r w:rsidRPr="00C75558">
              <w:rPr>
                <w:color w:val="000000"/>
                <w:szCs w:val="24"/>
              </w:rPr>
              <w:t>6.6</w:t>
            </w:r>
          </w:p>
        </w:tc>
        <w:tc>
          <w:tcPr>
            <w:tcW w:w="576" w:type="dxa"/>
          </w:tcPr>
          <w:p w14:paraId="36073C47" w14:textId="77777777" w:rsidR="00963E90" w:rsidRPr="006A72CD" w:rsidRDefault="00963E90" w:rsidP="00D114A9">
            <w:pPr>
              <w:pStyle w:val="TableText"/>
              <w:rPr>
                <w:szCs w:val="24"/>
              </w:rPr>
            </w:pPr>
            <w:r w:rsidRPr="00C75558">
              <w:rPr>
                <w:color w:val="000000"/>
                <w:szCs w:val="24"/>
              </w:rPr>
              <w:t>3.4</w:t>
            </w:r>
          </w:p>
        </w:tc>
        <w:tc>
          <w:tcPr>
            <w:tcW w:w="576" w:type="dxa"/>
            <w:noWrap/>
          </w:tcPr>
          <w:p w14:paraId="4EA03EFE" w14:textId="77777777" w:rsidR="00963E90" w:rsidRPr="006A72CD" w:rsidRDefault="00963E90" w:rsidP="00D114A9">
            <w:pPr>
              <w:pStyle w:val="TableText"/>
              <w:rPr>
                <w:szCs w:val="24"/>
              </w:rPr>
            </w:pPr>
            <w:r w:rsidRPr="00C75558">
              <w:rPr>
                <w:color w:val="000000"/>
                <w:szCs w:val="24"/>
              </w:rPr>
              <w:t>0</w:t>
            </w:r>
          </w:p>
        </w:tc>
        <w:tc>
          <w:tcPr>
            <w:tcW w:w="576" w:type="dxa"/>
            <w:noWrap/>
          </w:tcPr>
          <w:p w14:paraId="749D6FE3" w14:textId="77777777" w:rsidR="00963E90" w:rsidRPr="006A72CD" w:rsidRDefault="00963E90" w:rsidP="00D114A9">
            <w:pPr>
              <w:pStyle w:val="TableText"/>
              <w:rPr>
                <w:szCs w:val="24"/>
              </w:rPr>
            </w:pPr>
            <w:r w:rsidRPr="00C75558">
              <w:rPr>
                <w:color w:val="000000"/>
                <w:szCs w:val="24"/>
              </w:rPr>
              <w:t>12</w:t>
            </w:r>
          </w:p>
        </w:tc>
        <w:tc>
          <w:tcPr>
            <w:tcW w:w="864" w:type="dxa"/>
          </w:tcPr>
          <w:p w14:paraId="56DA3A98" w14:textId="77777777" w:rsidR="00963E90" w:rsidRPr="004B2D24" w:rsidRDefault="00963E90" w:rsidP="00D114A9">
            <w:pPr>
              <w:pStyle w:val="TableText"/>
              <w:rPr>
                <w:color w:val="000000"/>
                <w:szCs w:val="24"/>
              </w:rPr>
            </w:pPr>
            <w:r w:rsidRPr="00C75558">
              <w:rPr>
                <w:color w:val="000000"/>
                <w:szCs w:val="24"/>
              </w:rPr>
              <w:t>55</w:t>
            </w:r>
            <w:r>
              <w:rPr>
                <w:color w:val="000000"/>
                <w:szCs w:val="24"/>
              </w:rPr>
              <w:t>.0</w:t>
            </w:r>
          </w:p>
        </w:tc>
      </w:tr>
      <w:tr w:rsidR="00963E90" w:rsidRPr="004B2D24" w14:paraId="1A5999F9" w14:textId="77777777" w:rsidTr="003F570B">
        <w:tc>
          <w:tcPr>
            <w:tcW w:w="4896" w:type="dxa"/>
            <w:noWrap/>
            <w:hideMark/>
          </w:tcPr>
          <w:p w14:paraId="56DC036E" w14:textId="77777777" w:rsidR="00963E90" w:rsidRPr="004B2D24" w:rsidRDefault="00963E90" w:rsidP="00D114A9">
            <w:pPr>
              <w:pStyle w:val="TableText"/>
            </w:pPr>
            <w:r w:rsidRPr="004B2D24">
              <w:t>PT 1 Version 3 (Life Sciences)</w:t>
            </w:r>
          </w:p>
        </w:tc>
        <w:tc>
          <w:tcPr>
            <w:tcW w:w="617" w:type="dxa"/>
          </w:tcPr>
          <w:p w14:paraId="517C6528" w14:textId="77777777" w:rsidR="00963E90" w:rsidRPr="006A72CD" w:rsidRDefault="00963E90" w:rsidP="00D114A9">
            <w:pPr>
              <w:pStyle w:val="TableText"/>
              <w:rPr>
                <w:szCs w:val="24"/>
              </w:rPr>
            </w:pPr>
            <w:r w:rsidRPr="00C75558">
              <w:rPr>
                <w:color w:val="000000"/>
                <w:szCs w:val="24"/>
              </w:rPr>
              <w:t>147</w:t>
            </w:r>
          </w:p>
        </w:tc>
        <w:tc>
          <w:tcPr>
            <w:tcW w:w="576" w:type="dxa"/>
            <w:noWrap/>
          </w:tcPr>
          <w:p w14:paraId="2C419356" w14:textId="77777777" w:rsidR="00963E90" w:rsidRPr="006A72CD" w:rsidRDefault="00963E90" w:rsidP="00D114A9">
            <w:pPr>
              <w:pStyle w:val="TableText"/>
              <w:rPr>
                <w:szCs w:val="24"/>
              </w:rPr>
            </w:pPr>
            <w:r w:rsidRPr="00C75558">
              <w:rPr>
                <w:color w:val="000000"/>
                <w:szCs w:val="24"/>
              </w:rPr>
              <w:t>10</w:t>
            </w:r>
          </w:p>
        </w:tc>
        <w:tc>
          <w:tcPr>
            <w:tcW w:w="749" w:type="dxa"/>
          </w:tcPr>
          <w:p w14:paraId="6ABE21FB" w14:textId="77777777" w:rsidR="00963E90" w:rsidRPr="006A72CD" w:rsidRDefault="00963E90" w:rsidP="00D114A9">
            <w:pPr>
              <w:pStyle w:val="TableText"/>
              <w:rPr>
                <w:szCs w:val="24"/>
              </w:rPr>
            </w:pPr>
            <w:r w:rsidRPr="000C4759">
              <w:rPr>
                <w:color w:val="000000"/>
                <w:szCs w:val="24"/>
              </w:rPr>
              <w:t>12</w:t>
            </w:r>
          </w:p>
        </w:tc>
        <w:tc>
          <w:tcPr>
            <w:tcW w:w="576" w:type="dxa"/>
            <w:noWrap/>
          </w:tcPr>
          <w:p w14:paraId="1B2A8EED" w14:textId="77777777" w:rsidR="00963E90" w:rsidRPr="006A72CD" w:rsidRDefault="00963E90" w:rsidP="00D114A9">
            <w:pPr>
              <w:pStyle w:val="TableText"/>
              <w:rPr>
                <w:szCs w:val="24"/>
              </w:rPr>
            </w:pPr>
            <w:r w:rsidRPr="00C75558">
              <w:rPr>
                <w:color w:val="000000"/>
                <w:szCs w:val="24"/>
              </w:rPr>
              <w:t>7.2</w:t>
            </w:r>
          </w:p>
        </w:tc>
        <w:tc>
          <w:tcPr>
            <w:tcW w:w="576" w:type="dxa"/>
          </w:tcPr>
          <w:p w14:paraId="4AB9CD6C" w14:textId="77777777" w:rsidR="00963E90" w:rsidRPr="006A72CD" w:rsidRDefault="00963E90" w:rsidP="00D114A9">
            <w:pPr>
              <w:pStyle w:val="TableText"/>
              <w:rPr>
                <w:szCs w:val="24"/>
              </w:rPr>
            </w:pPr>
            <w:r w:rsidRPr="00C75558">
              <w:rPr>
                <w:color w:val="000000"/>
                <w:szCs w:val="24"/>
              </w:rPr>
              <w:t>2.9</w:t>
            </w:r>
          </w:p>
        </w:tc>
        <w:tc>
          <w:tcPr>
            <w:tcW w:w="576" w:type="dxa"/>
            <w:noWrap/>
          </w:tcPr>
          <w:p w14:paraId="550A9255" w14:textId="77777777" w:rsidR="00963E90" w:rsidRPr="006A72CD" w:rsidRDefault="00963E90" w:rsidP="00D114A9">
            <w:pPr>
              <w:pStyle w:val="TableText"/>
              <w:rPr>
                <w:szCs w:val="24"/>
              </w:rPr>
            </w:pPr>
            <w:r w:rsidRPr="00C75558">
              <w:rPr>
                <w:color w:val="000000"/>
                <w:szCs w:val="24"/>
              </w:rPr>
              <w:t>0</w:t>
            </w:r>
          </w:p>
        </w:tc>
        <w:tc>
          <w:tcPr>
            <w:tcW w:w="576" w:type="dxa"/>
            <w:noWrap/>
          </w:tcPr>
          <w:p w14:paraId="119CA883" w14:textId="77777777" w:rsidR="00963E90" w:rsidRPr="006A72CD" w:rsidRDefault="00963E90" w:rsidP="00D114A9">
            <w:pPr>
              <w:pStyle w:val="TableText"/>
              <w:rPr>
                <w:szCs w:val="24"/>
              </w:rPr>
            </w:pPr>
            <w:r w:rsidRPr="00903F8C">
              <w:rPr>
                <w:color w:val="000000"/>
                <w:szCs w:val="24"/>
              </w:rPr>
              <w:t>12</w:t>
            </w:r>
          </w:p>
        </w:tc>
        <w:tc>
          <w:tcPr>
            <w:tcW w:w="864" w:type="dxa"/>
          </w:tcPr>
          <w:p w14:paraId="41F97711" w14:textId="77777777" w:rsidR="00963E90" w:rsidRPr="004B2D24" w:rsidRDefault="00963E90" w:rsidP="00D114A9">
            <w:pPr>
              <w:pStyle w:val="TableText"/>
              <w:rPr>
                <w:color w:val="000000"/>
                <w:szCs w:val="24"/>
              </w:rPr>
            </w:pPr>
            <w:r w:rsidRPr="00903F8C">
              <w:rPr>
                <w:color w:val="000000"/>
                <w:szCs w:val="24"/>
              </w:rPr>
              <w:t>60</w:t>
            </w:r>
            <w:r>
              <w:rPr>
                <w:color w:val="000000"/>
                <w:szCs w:val="24"/>
              </w:rPr>
              <w:t>.0</w:t>
            </w:r>
          </w:p>
        </w:tc>
      </w:tr>
      <w:tr w:rsidR="00963E90" w:rsidRPr="004B2D24" w14:paraId="1BD21FE7" w14:textId="77777777" w:rsidTr="003F570B">
        <w:tc>
          <w:tcPr>
            <w:tcW w:w="4896" w:type="dxa"/>
            <w:noWrap/>
          </w:tcPr>
          <w:p w14:paraId="7A74B447" w14:textId="77777777" w:rsidR="00963E90" w:rsidRPr="004B2D24" w:rsidRDefault="00963E90" w:rsidP="00D114A9">
            <w:pPr>
              <w:pStyle w:val="TableText"/>
            </w:pPr>
            <w:r w:rsidRPr="004B2D24">
              <w:t>PT 2 Version 3 (Physical Sciences)</w:t>
            </w:r>
          </w:p>
        </w:tc>
        <w:tc>
          <w:tcPr>
            <w:tcW w:w="617" w:type="dxa"/>
          </w:tcPr>
          <w:p w14:paraId="6A350B4A" w14:textId="77777777" w:rsidR="00963E90" w:rsidRPr="004B2D24" w:rsidRDefault="00963E90" w:rsidP="00D114A9">
            <w:pPr>
              <w:pStyle w:val="TableText"/>
              <w:rPr>
                <w:color w:val="000000"/>
                <w:szCs w:val="24"/>
              </w:rPr>
            </w:pPr>
            <w:r w:rsidRPr="00C75558">
              <w:rPr>
                <w:color w:val="000000"/>
                <w:szCs w:val="24"/>
              </w:rPr>
              <w:t>147</w:t>
            </w:r>
          </w:p>
        </w:tc>
        <w:tc>
          <w:tcPr>
            <w:tcW w:w="576" w:type="dxa"/>
            <w:noWrap/>
          </w:tcPr>
          <w:p w14:paraId="0FFF0DB2" w14:textId="77777777" w:rsidR="00963E90" w:rsidRPr="004B2D24" w:rsidRDefault="00963E90" w:rsidP="00D114A9">
            <w:pPr>
              <w:pStyle w:val="TableText"/>
              <w:rPr>
                <w:color w:val="000000"/>
                <w:szCs w:val="24"/>
              </w:rPr>
            </w:pPr>
            <w:r w:rsidRPr="00C75558">
              <w:rPr>
                <w:color w:val="000000"/>
                <w:szCs w:val="24"/>
              </w:rPr>
              <w:t>10</w:t>
            </w:r>
          </w:p>
        </w:tc>
        <w:tc>
          <w:tcPr>
            <w:tcW w:w="749" w:type="dxa"/>
          </w:tcPr>
          <w:p w14:paraId="46BD2A26" w14:textId="77777777" w:rsidR="00963E90" w:rsidRPr="004B2D24" w:rsidRDefault="00963E90" w:rsidP="00D114A9">
            <w:pPr>
              <w:pStyle w:val="TableText"/>
              <w:rPr>
                <w:color w:val="000000"/>
                <w:szCs w:val="24"/>
              </w:rPr>
            </w:pPr>
            <w:r w:rsidRPr="00C75558">
              <w:rPr>
                <w:color w:val="000000"/>
                <w:szCs w:val="24"/>
              </w:rPr>
              <w:t>12</w:t>
            </w:r>
          </w:p>
        </w:tc>
        <w:tc>
          <w:tcPr>
            <w:tcW w:w="576" w:type="dxa"/>
            <w:noWrap/>
          </w:tcPr>
          <w:p w14:paraId="6206CE64" w14:textId="77777777" w:rsidR="00963E90" w:rsidRPr="004B2D24" w:rsidRDefault="00963E90" w:rsidP="00D114A9">
            <w:pPr>
              <w:pStyle w:val="TableText"/>
              <w:rPr>
                <w:color w:val="000000"/>
                <w:szCs w:val="24"/>
              </w:rPr>
            </w:pPr>
            <w:r w:rsidRPr="00C75558">
              <w:rPr>
                <w:color w:val="000000"/>
                <w:szCs w:val="24"/>
              </w:rPr>
              <w:t>7.6</w:t>
            </w:r>
          </w:p>
        </w:tc>
        <w:tc>
          <w:tcPr>
            <w:tcW w:w="576" w:type="dxa"/>
          </w:tcPr>
          <w:p w14:paraId="3A28C352" w14:textId="77777777" w:rsidR="00963E90" w:rsidRPr="004B2D24" w:rsidRDefault="00963E90" w:rsidP="00D114A9">
            <w:pPr>
              <w:pStyle w:val="TableText"/>
              <w:rPr>
                <w:color w:val="000000"/>
                <w:szCs w:val="24"/>
              </w:rPr>
            </w:pPr>
            <w:r w:rsidRPr="00903F8C">
              <w:rPr>
                <w:color w:val="000000"/>
                <w:szCs w:val="24"/>
              </w:rPr>
              <w:t>3.3</w:t>
            </w:r>
          </w:p>
        </w:tc>
        <w:tc>
          <w:tcPr>
            <w:tcW w:w="576" w:type="dxa"/>
            <w:noWrap/>
          </w:tcPr>
          <w:p w14:paraId="48D9F755" w14:textId="77777777" w:rsidR="00963E90" w:rsidRPr="004B2D24" w:rsidRDefault="00963E90" w:rsidP="00D114A9">
            <w:pPr>
              <w:pStyle w:val="TableText"/>
              <w:rPr>
                <w:color w:val="000000"/>
                <w:szCs w:val="24"/>
              </w:rPr>
            </w:pPr>
            <w:r w:rsidRPr="000C4759">
              <w:rPr>
                <w:color w:val="000000"/>
                <w:szCs w:val="24"/>
              </w:rPr>
              <w:t>0</w:t>
            </w:r>
          </w:p>
        </w:tc>
        <w:tc>
          <w:tcPr>
            <w:tcW w:w="576" w:type="dxa"/>
            <w:noWrap/>
          </w:tcPr>
          <w:p w14:paraId="6CF249D9" w14:textId="77777777" w:rsidR="00963E90" w:rsidRPr="004B2D24" w:rsidRDefault="00963E90" w:rsidP="00D114A9">
            <w:pPr>
              <w:pStyle w:val="TableText"/>
              <w:rPr>
                <w:color w:val="000000"/>
                <w:szCs w:val="24"/>
              </w:rPr>
            </w:pPr>
            <w:r w:rsidRPr="00903F8C">
              <w:rPr>
                <w:color w:val="000000"/>
                <w:szCs w:val="24"/>
              </w:rPr>
              <w:t>12</w:t>
            </w:r>
          </w:p>
        </w:tc>
        <w:tc>
          <w:tcPr>
            <w:tcW w:w="864" w:type="dxa"/>
          </w:tcPr>
          <w:p w14:paraId="2607FF19" w14:textId="77777777" w:rsidR="00963E90" w:rsidRPr="006A72CD" w:rsidRDefault="00963E90" w:rsidP="00D114A9">
            <w:pPr>
              <w:pStyle w:val="TableText"/>
              <w:rPr>
                <w:color w:val="000000"/>
                <w:szCs w:val="24"/>
              </w:rPr>
            </w:pPr>
            <w:r w:rsidRPr="00C75558">
              <w:rPr>
                <w:color w:val="000000"/>
                <w:szCs w:val="24"/>
              </w:rPr>
              <w:t>63.3</w:t>
            </w:r>
          </w:p>
        </w:tc>
      </w:tr>
      <w:tr w:rsidR="00963E90" w:rsidRPr="004B2D24" w14:paraId="57DADA56" w14:textId="77777777" w:rsidTr="003F570B">
        <w:tc>
          <w:tcPr>
            <w:tcW w:w="4896" w:type="dxa"/>
            <w:noWrap/>
          </w:tcPr>
          <w:p w14:paraId="671E8EC6" w14:textId="77777777" w:rsidR="00963E90" w:rsidRPr="004B2D24" w:rsidRDefault="00963E90" w:rsidP="00D114A9">
            <w:pPr>
              <w:pStyle w:val="TableText"/>
            </w:pPr>
            <w:r w:rsidRPr="004B2D24">
              <w:t>PT 3 Version 3 (Earth and Space Sciences)</w:t>
            </w:r>
          </w:p>
        </w:tc>
        <w:tc>
          <w:tcPr>
            <w:tcW w:w="617" w:type="dxa"/>
          </w:tcPr>
          <w:p w14:paraId="1A582211" w14:textId="77777777" w:rsidR="00963E90" w:rsidRPr="004B2D24" w:rsidRDefault="00963E90" w:rsidP="00D114A9">
            <w:pPr>
              <w:pStyle w:val="TableText"/>
              <w:rPr>
                <w:color w:val="000000"/>
                <w:szCs w:val="24"/>
              </w:rPr>
            </w:pPr>
            <w:r w:rsidRPr="000C4759">
              <w:rPr>
                <w:color w:val="000000"/>
                <w:szCs w:val="24"/>
              </w:rPr>
              <w:t>147</w:t>
            </w:r>
          </w:p>
        </w:tc>
        <w:tc>
          <w:tcPr>
            <w:tcW w:w="576" w:type="dxa"/>
            <w:noWrap/>
          </w:tcPr>
          <w:p w14:paraId="421F9B60" w14:textId="77777777" w:rsidR="00963E90" w:rsidRPr="004B2D24" w:rsidRDefault="00963E90" w:rsidP="00D114A9">
            <w:pPr>
              <w:pStyle w:val="TableText"/>
              <w:rPr>
                <w:color w:val="000000"/>
                <w:szCs w:val="24"/>
              </w:rPr>
            </w:pPr>
            <w:r w:rsidRPr="00C75558">
              <w:rPr>
                <w:color w:val="000000"/>
                <w:szCs w:val="24"/>
              </w:rPr>
              <w:t>10</w:t>
            </w:r>
          </w:p>
        </w:tc>
        <w:tc>
          <w:tcPr>
            <w:tcW w:w="749" w:type="dxa"/>
          </w:tcPr>
          <w:p w14:paraId="51988A5D" w14:textId="77777777" w:rsidR="00963E90" w:rsidRPr="004B2D24" w:rsidRDefault="00963E90" w:rsidP="00D114A9">
            <w:pPr>
              <w:pStyle w:val="TableText"/>
              <w:rPr>
                <w:color w:val="000000"/>
                <w:szCs w:val="24"/>
              </w:rPr>
            </w:pPr>
            <w:r w:rsidRPr="00903F8C">
              <w:rPr>
                <w:color w:val="000000"/>
                <w:szCs w:val="24"/>
              </w:rPr>
              <w:t>12</w:t>
            </w:r>
          </w:p>
        </w:tc>
        <w:tc>
          <w:tcPr>
            <w:tcW w:w="576" w:type="dxa"/>
            <w:noWrap/>
          </w:tcPr>
          <w:p w14:paraId="6400FF7A" w14:textId="77777777" w:rsidR="00963E90" w:rsidRPr="004B2D24" w:rsidRDefault="00963E90" w:rsidP="00D114A9">
            <w:pPr>
              <w:pStyle w:val="TableText"/>
              <w:rPr>
                <w:color w:val="000000"/>
                <w:szCs w:val="24"/>
              </w:rPr>
            </w:pPr>
            <w:r w:rsidRPr="00C75558">
              <w:rPr>
                <w:color w:val="000000"/>
                <w:szCs w:val="24"/>
              </w:rPr>
              <w:t>7.2</w:t>
            </w:r>
          </w:p>
        </w:tc>
        <w:tc>
          <w:tcPr>
            <w:tcW w:w="576" w:type="dxa"/>
          </w:tcPr>
          <w:p w14:paraId="1555E887" w14:textId="77777777" w:rsidR="00963E90" w:rsidRPr="004B2D24" w:rsidRDefault="00963E90" w:rsidP="00D114A9">
            <w:pPr>
              <w:pStyle w:val="TableText"/>
              <w:rPr>
                <w:color w:val="000000"/>
                <w:szCs w:val="24"/>
              </w:rPr>
            </w:pPr>
            <w:r w:rsidRPr="00903F8C">
              <w:rPr>
                <w:color w:val="000000"/>
                <w:szCs w:val="24"/>
              </w:rPr>
              <w:t>3.3</w:t>
            </w:r>
          </w:p>
        </w:tc>
        <w:tc>
          <w:tcPr>
            <w:tcW w:w="576" w:type="dxa"/>
            <w:noWrap/>
          </w:tcPr>
          <w:p w14:paraId="1BC64A87" w14:textId="77777777" w:rsidR="00963E90" w:rsidRPr="004B2D24" w:rsidRDefault="00963E90" w:rsidP="00D114A9">
            <w:pPr>
              <w:pStyle w:val="TableText"/>
              <w:rPr>
                <w:color w:val="000000"/>
                <w:szCs w:val="24"/>
              </w:rPr>
            </w:pPr>
            <w:r w:rsidRPr="00903F8C">
              <w:rPr>
                <w:color w:val="000000"/>
                <w:szCs w:val="24"/>
              </w:rPr>
              <w:t>0</w:t>
            </w:r>
          </w:p>
        </w:tc>
        <w:tc>
          <w:tcPr>
            <w:tcW w:w="576" w:type="dxa"/>
            <w:noWrap/>
          </w:tcPr>
          <w:p w14:paraId="2125DB76" w14:textId="77777777" w:rsidR="00963E90" w:rsidRPr="004B2D24" w:rsidRDefault="00963E90" w:rsidP="00D114A9">
            <w:pPr>
              <w:pStyle w:val="TableText"/>
              <w:rPr>
                <w:color w:val="000000"/>
                <w:szCs w:val="24"/>
              </w:rPr>
            </w:pPr>
            <w:r w:rsidRPr="00C75558">
              <w:rPr>
                <w:color w:val="000000"/>
                <w:szCs w:val="24"/>
              </w:rPr>
              <w:t>12</w:t>
            </w:r>
          </w:p>
        </w:tc>
        <w:tc>
          <w:tcPr>
            <w:tcW w:w="864" w:type="dxa"/>
          </w:tcPr>
          <w:p w14:paraId="4460FD1B" w14:textId="77777777" w:rsidR="00963E90" w:rsidRPr="006A72CD" w:rsidRDefault="00963E90" w:rsidP="00D114A9">
            <w:pPr>
              <w:pStyle w:val="TableText"/>
              <w:rPr>
                <w:color w:val="000000"/>
                <w:szCs w:val="24"/>
              </w:rPr>
            </w:pPr>
            <w:r w:rsidRPr="000C4759">
              <w:rPr>
                <w:color w:val="000000"/>
                <w:szCs w:val="24"/>
              </w:rPr>
              <w:t>60</w:t>
            </w:r>
            <w:r>
              <w:rPr>
                <w:color w:val="000000"/>
                <w:szCs w:val="24"/>
              </w:rPr>
              <w:t>.0</w:t>
            </w:r>
          </w:p>
        </w:tc>
      </w:tr>
      <w:tr w:rsidR="00963E90" w:rsidRPr="004B2D24" w14:paraId="6C5B0B73" w14:textId="77777777" w:rsidTr="003F570B">
        <w:tc>
          <w:tcPr>
            <w:tcW w:w="4896" w:type="dxa"/>
            <w:noWrap/>
          </w:tcPr>
          <w:p w14:paraId="01F6F3CE" w14:textId="77777777" w:rsidR="00963E90" w:rsidRPr="004B2D24" w:rsidRDefault="00963E90" w:rsidP="00D114A9">
            <w:pPr>
              <w:pStyle w:val="TableText"/>
            </w:pPr>
            <w:r w:rsidRPr="004B2D24">
              <w:t>PT 1 Version 4 (Life Sciences)</w:t>
            </w:r>
          </w:p>
        </w:tc>
        <w:tc>
          <w:tcPr>
            <w:tcW w:w="617" w:type="dxa"/>
          </w:tcPr>
          <w:p w14:paraId="79F3E226" w14:textId="77777777" w:rsidR="00963E90" w:rsidRPr="004B2D24" w:rsidRDefault="00963E90" w:rsidP="00D114A9">
            <w:pPr>
              <w:pStyle w:val="TableText"/>
              <w:rPr>
                <w:color w:val="000000"/>
                <w:szCs w:val="24"/>
              </w:rPr>
            </w:pPr>
            <w:r w:rsidRPr="000C4759">
              <w:rPr>
                <w:color w:val="000000"/>
                <w:szCs w:val="24"/>
              </w:rPr>
              <w:t>82</w:t>
            </w:r>
          </w:p>
        </w:tc>
        <w:tc>
          <w:tcPr>
            <w:tcW w:w="576" w:type="dxa"/>
            <w:noWrap/>
          </w:tcPr>
          <w:p w14:paraId="1C37D47B" w14:textId="77777777" w:rsidR="00963E90" w:rsidRPr="004B2D24" w:rsidRDefault="00963E90" w:rsidP="00D114A9">
            <w:pPr>
              <w:pStyle w:val="TableText"/>
              <w:rPr>
                <w:color w:val="000000"/>
                <w:szCs w:val="24"/>
              </w:rPr>
            </w:pPr>
            <w:r w:rsidRPr="00903F8C">
              <w:rPr>
                <w:color w:val="000000"/>
                <w:szCs w:val="24"/>
              </w:rPr>
              <w:t>10</w:t>
            </w:r>
          </w:p>
        </w:tc>
        <w:tc>
          <w:tcPr>
            <w:tcW w:w="749" w:type="dxa"/>
          </w:tcPr>
          <w:p w14:paraId="24DF22DD" w14:textId="77777777" w:rsidR="00963E90" w:rsidRPr="004B2D24" w:rsidRDefault="00963E90" w:rsidP="00D114A9">
            <w:pPr>
              <w:pStyle w:val="TableText"/>
              <w:rPr>
                <w:color w:val="000000"/>
                <w:szCs w:val="24"/>
              </w:rPr>
            </w:pPr>
            <w:r w:rsidRPr="00903F8C">
              <w:rPr>
                <w:color w:val="000000"/>
                <w:szCs w:val="24"/>
              </w:rPr>
              <w:t>12</w:t>
            </w:r>
          </w:p>
        </w:tc>
        <w:tc>
          <w:tcPr>
            <w:tcW w:w="576" w:type="dxa"/>
            <w:noWrap/>
          </w:tcPr>
          <w:p w14:paraId="1F494A42" w14:textId="77777777" w:rsidR="00963E90" w:rsidRPr="004B2D24" w:rsidRDefault="00963E90" w:rsidP="00D114A9">
            <w:pPr>
              <w:pStyle w:val="TableText"/>
              <w:rPr>
                <w:color w:val="000000"/>
                <w:szCs w:val="24"/>
              </w:rPr>
            </w:pPr>
            <w:r w:rsidRPr="00C75558">
              <w:rPr>
                <w:color w:val="000000"/>
                <w:szCs w:val="24"/>
              </w:rPr>
              <w:t>6.6</w:t>
            </w:r>
          </w:p>
        </w:tc>
        <w:tc>
          <w:tcPr>
            <w:tcW w:w="576" w:type="dxa"/>
          </w:tcPr>
          <w:p w14:paraId="59B294E0" w14:textId="77777777" w:rsidR="00963E90" w:rsidRPr="004B2D24" w:rsidRDefault="00963E90" w:rsidP="00D114A9">
            <w:pPr>
              <w:pStyle w:val="TableText"/>
              <w:rPr>
                <w:color w:val="000000"/>
                <w:szCs w:val="24"/>
              </w:rPr>
            </w:pPr>
            <w:r w:rsidRPr="00903F8C">
              <w:rPr>
                <w:color w:val="000000"/>
                <w:szCs w:val="24"/>
              </w:rPr>
              <w:t>3.2</w:t>
            </w:r>
          </w:p>
        </w:tc>
        <w:tc>
          <w:tcPr>
            <w:tcW w:w="576" w:type="dxa"/>
            <w:noWrap/>
          </w:tcPr>
          <w:p w14:paraId="3306397B" w14:textId="77777777" w:rsidR="00963E90" w:rsidRPr="004B2D24" w:rsidRDefault="00963E90" w:rsidP="00D114A9">
            <w:pPr>
              <w:pStyle w:val="TableText"/>
              <w:rPr>
                <w:color w:val="000000"/>
                <w:szCs w:val="24"/>
              </w:rPr>
            </w:pPr>
            <w:r w:rsidRPr="000C4759">
              <w:rPr>
                <w:color w:val="000000"/>
                <w:szCs w:val="24"/>
              </w:rPr>
              <w:t>0</w:t>
            </w:r>
          </w:p>
        </w:tc>
        <w:tc>
          <w:tcPr>
            <w:tcW w:w="576" w:type="dxa"/>
            <w:noWrap/>
          </w:tcPr>
          <w:p w14:paraId="10D7F0F0" w14:textId="77777777" w:rsidR="00963E90" w:rsidRPr="004B2D24" w:rsidRDefault="00963E90" w:rsidP="00D114A9">
            <w:pPr>
              <w:pStyle w:val="TableText"/>
              <w:rPr>
                <w:color w:val="000000"/>
                <w:szCs w:val="24"/>
              </w:rPr>
            </w:pPr>
            <w:r w:rsidRPr="00C75558">
              <w:rPr>
                <w:color w:val="000000"/>
                <w:szCs w:val="24"/>
              </w:rPr>
              <w:t>12</w:t>
            </w:r>
          </w:p>
        </w:tc>
        <w:tc>
          <w:tcPr>
            <w:tcW w:w="864" w:type="dxa"/>
          </w:tcPr>
          <w:p w14:paraId="4742E514" w14:textId="77777777" w:rsidR="00963E90" w:rsidRPr="006A72CD" w:rsidRDefault="00963E90" w:rsidP="00D114A9">
            <w:pPr>
              <w:pStyle w:val="TableText"/>
              <w:rPr>
                <w:color w:val="000000"/>
                <w:szCs w:val="24"/>
              </w:rPr>
            </w:pPr>
            <w:r w:rsidRPr="00903F8C">
              <w:rPr>
                <w:color w:val="000000"/>
                <w:szCs w:val="24"/>
              </w:rPr>
              <w:t>55</w:t>
            </w:r>
            <w:r>
              <w:rPr>
                <w:color w:val="000000"/>
                <w:szCs w:val="24"/>
              </w:rPr>
              <w:t>.0</w:t>
            </w:r>
          </w:p>
        </w:tc>
      </w:tr>
      <w:tr w:rsidR="00963E90" w:rsidRPr="004B2D24" w14:paraId="0D5AC01A" w14:textId="77777777" w:rsidTr="003F570B">
        <w:tc>
          <w:tcPr>
            <w:tcW w:w="4896" w:type="dxa"/>
            <w:noWrap/>
          </w:tcPr>
          <w:p w14:paraId="7BD33D26" w14:textId="77777777" w:rsidR="00963E90" w:rsidRPr="004B2D24" w:rsidRDefault="00963E90" w:rsidP="00D114A9">
            <w:pPr>
              <w:pStyle w:val="TableText"/>
            </w:pPr>
            <w:r w:rsidRPr="004B2D24">
              <w:t>PT 2 Version 4 (Physical Sciences)</w:t>
            </w:r>
          </w:p>
        </w:tc>
        <w:tc>
          <w:tcPr>
            <w:tcW w:w="617" w:type="dxa"/>
          </w:tcPr>
          <w:p w14:paraId="71DDDD1A" w14:textId="77777777" w:rsidR="00963E90" w:rsidRPr="004B2D24" w:rsidRDefault="00963E90" w:rsidP="00D114A9">
            <w:pPr>
              <w:pStyle w:val="TableText"/>
              <w:rPr>
                <w:color w:val="000000"/>
                <w:szCs w:val="24"/>
              </w:rPr>
            </w:pPr>
            <w:r w:rsidRPr="00C75558">
              <w:rPr>
                <w:color w:val="000000"/>
                <w:szCs w:val="24"/>
              </w:rPr>
              <w:t>82</w:t>
            </w:r>
          </w:p>
        </w:tc>
        <w:tc>
          <w:tcPr>
            <w:tcW w:w="576" w:type="dxa"/>
            <w:noWrap/>
          </w:tcPr>
          <w:p w14:paraId="677829DA" w14:textId="77777777" w:rsidR="00963E90" w:rsidRPr="004B2D24" w:rsidRDefault="00963E90" w:rsidP="00D114A9">
            <w:pPr>
              <w:pStyle w:val="TableText"/>
              <w:rPr>
                <w:color w:val="000000"/>
                <w:szCs w:val="24"/>
              </w:rPr>
            </w:pPr>
            <w:r w:rsidRPr="00903F8C">
              <w:rPr>
                <w:color w:val="000000"/>
                <w:szCs w:val="24"/>
              </w:rPr>
              <w:t>10</w:t>
            </w:r>
          </w:p>
        </w:tc>
        <w:tc>
          <w:tcPr>
            <w:tcW w:w="749" w:type="dxa"/>
          </w:tcPr>
          <w:p w14:paraId="07EA7055" w14:textId="77777777" w:rsidR="00963E90" w:rsidRPr="004B2D24" w:rsidRDefault="00963E90" w:rsidP="00D114A9">
            <w:pPr>
              <w:pStyle w:val="TableText"/>
              <w:rPr>
                <w:color w:val="000000"/>
                <w:szCs w:val="24"/>
              </w:rPr>
            </w:pPr>
            <w:r w:rsidRPr="00903F8C">
              <w:rPr>
                <w:color w:val="000000"/>
                <w:szCs w:val="24"/>
              </w:rPr>
              <w:t>12</w:t>
            </w:r>
          </w:p>
        </w:tc>
        <w:tc>
          <w:tcPr>
            <w:tcW w:w="576" w:type="dxa"/>
            <w:noWrap/>
          </w:tcPr>
          <w:p w14:paraId="47E42214" w14:textId="77777777" w:rsidR="00963E90" w:rsidRPr="004B2D24" w:rsidRDefault="00963E90" w:rsidP="00D114A9">
            <w:pPr>
              <w:pStyle w:val="TableText"/>
              <w:rPr>
                <w:color w:val="000000"/>
                <w:szCs w:val="24"/>
              </w:rPr>
            </w:pPr>
            <w:r w:rsidRPr="00C75558">
              <w:rPr>
                <w:color w:val="000000"/>
                <w:szCs w:val="24"/>
              </w:rPr>
              <w:t>7.1</w:t>
            </w:r>
          </w:p>
        </w:tc>
        <w:tc>
          <w:tcPr>
            <w:tcW w:w="576" w:type="dxa"/>
          </w:tcPr>
          <w:p w14:paraId="15FC31C2" w14:textId="77777777" w:rsidR="00963E90" w:rsidRPr="004B2D24" w:rsidRDefault="00963E90" w:rsidP="00D114A9">
            <w:pPr>
              <w:pStyle w:val="TableText"/>
              <w:rPr>
                <w:color w:val="000000"/>
                <w:szCs w:val="24"/>
              </w:rPr>
            </w:pPr>
            <w:r w:rsidRPr="000C4759">
              <w:rPr>
                <w:color w:val="000000"/>
                <w:szCs w:val="24"/>
              </w:rPr>
              <w:t>3.6</w:t>
            </w:r>
          </w:p>
        </w:tc>
        <w:tc>
          <w:tcPr>
            <w:tcW w:w="576" w:type="dxa"/>
            <w:noWrap/>
          </w:tcPr>
          <w:p w14:paraId="070DA6D0" w14:textId="77777777" w:rsidR="00963E90" w:rsidRPr="004B2D24" w:rsidRDefault="00963E90" w:rsidP="00D114A9">
            <w:pPr>
              <w:pStyle w:val="TableText"/>
              <w:rPr>
                <w:color w:val="000000"/>
                <w:szCs w:val="24"/>
              </w:rPr>
            </w:pPr>
            <w:r w:rsidRPr="00903F8C">
              <w:rPr>
                <w:color w:val="000000"/>
                <w:szCs w:val="24"/>
              </w:rPr>
              <w:t>0</w:t>
            </w:r>
          </w:p>
        </w:tc>
        <w:tc>
          <w:tcPr>
            <w:tcW w:w="576" w:type="dxa"/>
            <w:noWrap/>
          </w:tcPr>
          <w:p w14:paraId="31C52A0B" w14:textId="77777777" w:rsidR="00963E90" w:rsidRPr="004B2D24" w:rsidRDefault="00963E90" w:rsidP="00D114A9">
            <w:pPr>
              <w:pStyle w:val="TableText"/>
              <w:rPr>
                <w:color w:val="000000"/>
                <w:szCs w:val="24"/>
              </w:rPr>
            </w:pPr>
            <w:r w:rsidRPr="00903F8C">
              <w:rPr>
                <w:color w:val="000000"/>
                <w:szCs w:val="24"/>
              </w:rPr>
              <w:t>12</w:t>
            </w:r>
          </w:p>
        </w:tc>
        <w:tc>
          <w:tcPr>
            <w:tcW w:w="864" w:type="dxa"/>
          </w:tcPr>
          <w:p w14:paraId="73EAAF7A" w14:textId="77777777" w:rsidR="00963E90" w:rsidRPr="006A72CD" w:rsidRDefault="00963E90" w:rsidP="00D114A9">
            <w:pPr>
              <w:pStyle w:val="TableText"/>
              <w:rPr>
                <w:color w:val="000000"/>
                <w:szCs w:val="24"/>
              </w:rPr>
            </w:pPr>
            <w:r w:rsidRPr="00903F8C">
              <w:rPr>
                <w:color w:val="000000"/>
                <w:szCs w:val="24"/>
              </w:rPr>
              <w:t>59.2</w:t>
            </w:r>
          </w:p>
        </w:tc>
      </w:tr>
      <w:tr w:rsidR="00963E90" w:rsidRPr="00C34C12" w14:paraId="1EB92D17" w14:textId="77777777" w:rsidTr="003F570B">
        <w:tc>
          <w:tcPr>
            <w:tcW w:w="4896" w:type="dxa"/>
            <w:noWrap/>
          </w:tcPr>
          <w:p w14:paraId="6D8864C2" w14:textId="77777777" w:rsidR="00963E90" w:rsidRPr="004B2D24" w:rsidRDefault="00963E90" w:rsidP="00D114A9">
            <w:pPr>
              <w:pStyle w:val="TableText"/>
            </w:pPr>
            <w:r w:rsidRPr="004B2D24">
              <w:t>PT 3 Version 4 (Earth and Space Sciences)</w:t>
            </w:r>
          </w:p>
        </w:tc>
        <w:tc>
          <w:tcPr>
            <w:tcW w:w="617" w:type="dxa"/>
          </w:tcPr>
          <w:p w14:paraId="248E52FA" w14:textId="77777777" w:rsidR="00963E90" w:rsidRPr="004B2D24" w:rsidRDefault="00963E90" w:rsidP="00D114A9">
            <w:pPr>
              <w:pStyle w:val="TableText"/>
              <w:rPr>
                <w:color w:val="000000"/>
                <w:szCs w:val="24"/>
              </w:rPr>
            </w:pPr>
            <w:r w:rsidRPr="000C4759">
              <w:rPr>
                <w:color w:val="000000"/>
                <w:szCs w:val="24"/>
              </w:rPr>
              <w:t>82</w:t>
            </w:r>
          </w:p>
        </w:tc>
        <w:tc>
          <w:tcPr>
            <w:tcW w:w="576" w:type="dxa"/>
            <w:noWrap/>
          </w:tcPr>
          <w:p w14:paraId="0311F4E6" w14:textId="77777777" w:rsidR="00963E90" w:rsidRPr="004B2D24" w:rsidRDefault="00963E90" w:rsidP="00D114A9">
            <w:pPr>
              <w:pStyle w:val="TableText"/>
              <w:rPr>
                <w:color w:val="000000"/>
                <w:szCs w:val="24"/>
              </w:rPr>
            </w:pPr>
            <w:r w:rsidRPr="00903F8C">
              <w:rPr>
                <w:color w:val="000000"/>
                <w:szCs w:val="24"/>
              </w:rPr>
              <w:t>10</w:t>
            </w:r>
          </w:p>
        </w:tc>
        <w:tc>
          <w:tcPr>
            <w:tcW w:w="749" w:type="dxa"/>
          </w:tcPr>
          <w:p w14:paraId="62ECD83F" w14:textId="77777777" w:rsidR="00963E90" w:rsidRPr="004B2D24" w:rsidRDefault="00963E90" w:rsidP="00D114A9">
            <w:pPr>
              <w:pStyle w:val="TableText"/>
              <w:rPr>
                <w:color w:val="000000"/>
                <w:szCs w:val="24"/>
              </w:rPr>
            </w:pPr>
            <w:r w:rsidRPr="00903F8C">
              <w:rPr>
                <w:color w:val="000000"/>
                <w:szCs w:val="24"/>
              </w:rPr>
              <w:t>12</w:t>
            </w:r>
          </w:p>
        </w:tc>
        <w:tc>
          <w:tcPr>
            <w:tcW w:w="576" w:type="dxa"/>
            <w:noWrap/>
          </w:tcPr>
          <w:p w14:paraId="3330C7AD" w14:textId="77777777" w:rsidR="00963E90" w:rsidRPr="004B2D24" w:rsidRDefault="00963E90" w:rsidP="00D114A9">
            <w:pPr>
              <w:pStyle w:val="TableText"/>
              <w:rPr>
                <w:color w:val="000000"/>
                <w:szCs w:val="24"/>
              </w:rPr>
            </w:pPr>
            <w:r w:rsidRPr="00903F8C">
              <w:rPr>
                <w:color w:val="000000"/>
                <w:szCs w:val="24"/>
              </w:rPr>
              <w:t>6.9</w:t>
            </w:r>
          </w:p>
        </w:tc>
        <w:tc>
          <w:tcPr>
            <w:tcW w:w="576" w:type="dxa"/>
          </w:tcPr>
          <w:p w14:paraId="7168F9B5" w14:textId="77777777" w:rsidR="00963E90" w:rsidRPr="004B2D24" w:rsidRDefault="00963E90" w:rsidP="00D114A9">
            <w:pPr>
              <w:pStyle w:val="TableText"/>
              <w:rPr>
                <w:color w:val="000000"/>
                <w:szCs w:val="24"/>
              </w:rPr>
            </w:pPr>
            <w:r w:rsidRPr="00903F8C">
              <w:rPr>
                <w:color w:val="000000"/>
                <w:szCs w:val="24"/>
              </w:rPr>
              <w:t>3.8</w:t>
            </w:r>
          </w:p>
        </w:tc>
        <w:tc>
          <w:tcPr>
            <w:tcW w:w="576" w:type="dxa"/>
            <w:noWrap/>
          </w:tcPr>
          <w:p w14:paraId="634087FE" w14:textId="77777777" w:rsidR="00963E90" w:rsidRPr="004B2D24" w:rsidRDefault="00963E90" w:rsidP="00D114A9">
            <w:pPr>
              <w:pStyle w:val="TableText"/>
              <w:rPr>
                <w:color w:val="000000"/>
                <w:szCs w:val="24"/>
              </w:rPr>
            </w:pPr>
            <w:r w:rsidRPr="00903F8C">
              <w:rPr>
                <w:color w:val="000000"/>
                <w:szCs w:val="24"/>
              </w:rPr>
              <w:t>0</w:t>
            </w:r>
          </w:p>
        </w:tc>
        <w:tc>
          <w:tcPr>
            <w:tcW w:w="576" w:type="dxa"/>
            <w:noWrap/>
          </w:tcPr>
          <w:p w14:paraId="3DAE0333" w14:textId="77777777" w:rsidR="00963E90" w:rsidRPr="004B2D24" w:rsidRDefault="00963E90" w:rsidP="00D114A9">
            <w:pPr>
              <w:pStyle w:val="TableText"/>
              <w:rPr>
                <w:color w:val="000000"/>
                <w:szCs w:val="24"/>
              </w:rPr>
            </w:pPr>
            <w:r w:rsidRPr="00903F8C">
              <w:rPr>
                <w:color w:val="000000"/>
                <w:szCs w:val="24"/>
              </w:rPr>
              <w:t>12</w:t>
            </w:r>
          </w:p>
        </w:tc>
        <w:tc>
          <w:tcPr>
            <w:tcW w:w="864" w:type="dxa"/>
          </w:tcPr>
          <w:p w14:paraId="57BD92E5" w14:textId="77777777" w:rsidR="00963E90" w:rsidRPr="006A72CD" w:rsidRDefault="00963E90" w:rsidP="00D114A9">
            <w:pPr>
              <w:pStyle w:val="TableText"/>
              <w:rPr>
                <w:color w:val="000000"/>
                <w:szCs w:val="24"/>
              </w:rPr>
            </w:pPr>
            <w:r w:rsidRPr="00903F8C">
              <w:rPr>
                <w:color w:val="000000"/>
                <w:szCs w:val="24"/>
              </w:rPr>
              <w:t>57.5</w:t>
            </w:r>
          </w:p>
        </w:tc>
      </w:tr>
    </w:tbl>
    <w:p w14:paraId="59384F43" w14:textId="05C2B8B9" w:rsidR="00963E90" w:rsidRPr="004B2D24" w:rsidRDefault="00963E90" w:rsidP="003F570B">
      <w:pPr>
        <w:pStyle w:val="Caption"/>
      </w:pPr>
      <w:bookmarkStart w:id="700" w:name="_Ref67060778"/>
      <w:bookmarkStart w:id="701" w:name="_Toc67319709"/>
      <w:bookmarkStart w:id="702" w:name="_Toc220498713"/>
      <w:r w:rsidRPr="004B2D24">
        <w:t xml:space="preserve">Table </w:t>
      </w:r>
      <w:r>
        <w:fldChar w:fldCharType="begin"/>
      </w:r>
      <w:r>
        <w:instrText>STYLEREF 2 \s</w:instrText>
      </w:r>
      <w:r>
        <w:fldChar w:fldCharType="separate"/>
      </w:r>
      <w:r w:rsidR="00961502">
        <w:rPr>
          <w:noProof/>
        </w:rPr>
        <w:t>7</w:t>
      </w:r>
      <w:r>
        <w:fldChar w:fldCharType="end"/>
      </w:r>
      <w:r w:rsidR="00A40753">
        <w:t>.</w:t>
      </w:r>
      <w:r>
        <w:fldChar w:fldCharType="begin"/>
      </w:r>
      <w:r>
        <w:instrText>SEQ Table \* ARABIC \s 2</w:instrText>
      </w:r>
      <w:r>
        <w:fldChar w:fldCharType="separate"/>
      </w:r>
      <w:r w:rsidR="00961502">
        <w:rPr>
          <w:noProof/>
        </w:rPr>
        <w:t>3</w:t>
      </w:r>
      <w:r>
        <w:fldChar w:fldCharType="end"/>
      </w:r>
      <w:bookmarkEnd w:id="700"/>
      <w:r w:rsidRPr="004B2D24">
        <w:t xml:space="preserve">  Raw Score Summary for Each Embedded PT</w:t>
      </w:r>
      <w:r w:rsidRPr="004B2D24">
        <w:rPr>
          <w:rStyle w:val="CaptionChar"/>
          <w:b/>
        </w:rPr>
        <w:t>—</w:t>
      </w:r>
      <w:r>
        <w:rPr>
          <w:rStyle w:val="CaptionChar"/>
          <w:b/>
        </w:rPr>
        <w:t>High School</w:t>
      </w:r>
      <w:bookmarkEnd w:id="701"/>
      <w:bookmarkEnd w:id="702"/>
    </w:p>
    <w:tbl>
      <w:tblPr>
        <w:tblStyle w:val="TRs"/>
        <w:tblW w:w="10006" w:type="dxa"/>
        <w:tblLook w:val="04A0" w:firstRow="1" w:lastRow="0" w:firstColumn="1" w:lastColumn="0" w:noHBand="0" w:noVBand="1"/>
        <w:tblDescription w:val="Raw Score Summary for Each Embedded PT—High School"/>
      </w:tblPr>
      <w:tblGrid>
        <w:gridCol w:w="4896"/>
        <w:gridCol w:w="617"/>
        <w:gridCol w:w="576"/>
        <w:gridCol w:w="749"/>
        <w:gridCol w:w="576"/>
        <w:gridCol w:w="576"/>
        <w:gridCol w:w="576"/>
        <w:gridCol w:w="576"/>
        <w:gridCol w:w="864"/>
      </w:tblGrid>
      <w:tr w:rsidR="00BC3368" w:rsidRPr="004B2D24" w14:paraId="514245A3" w14:textId="77777777" w:rsidTr="003F570B">
        <w:trPr>
          <w:cnfStyle w:val="100000000000" w:firstRow="1" w:lastRow="0" w:firstColumn="0" w:lastColumn="0" w:oddVBand="0" w:evenVBand="0" w:oddHBand="0" w:evenHBand="0" w:firstRowFirstColumn="0" w:firstRowLastColumn="0" w:lastRowFirstColumn="0" w:lastRowLastColumn="0"/>
          <w:trHeight w:val="2592"/>
        </w:trPr>
        <w:tc>
          <w:tcPr>
            <w:tcW w:w="4896" w:type="dxa"/>
            <w:noWrap/>
            <w:hideMark/>
          </w:tcPr>
          <w:p w14:paraId="6ED8BDD0" w14:textId="77777777" w:rsidR="00D60F5E" w:rsidRPr="004B2D24" w:rsidRDefault="00D60F5E" w:rsidP="00D114A9">
            <w:pPr>
              <w:pStyle w:val="TableHead"/>
              <w:rPr>
                <w:b w:val="0"/>
                <w:bCs w:val="0"/>
                <w:noProof w:val="0"/>
              </w:rPr>
            </w:pPr>
            <w:r w:rsidRPr="004B2D24">
              <w:rPr>
                <w:noProof w:val="0"/>
              </w:rPr>
              <w:t>Module</w:t>
            </w:r>
          </w:p>
        </w:tc>
        <w:tc>
          <w:tcPr>
            <w:tcW w:w="617" w:type="dxa"/>
            <w:textDirection w:val="btLr"/>
            <w:vAlign w:val="center"/>
          </w:tcPr>
          <w:p w14:paraId="0BF6CCFA" w14:textId="77777777" w:rsidR="00D60F5E" w:rsidRPr="004B2D24" w:rsidRDefault="00D60F5E" w:rsidP="0022713A">
            <w:pPr>
              <w:pStyle w:val="TableHead"/>
              <w:ind w:left="72"/>
              <w:jc w:val="left"/>
              <w:rPr>
                <w:b w:val="0"/>
                <w:bCs w:val="0"/>
                <w:noProof w:val="0"/>
              </w:rPr>
            </w:pPr>
            <w:r w:rsidRPr="004B2D24">
              <w:rPr>
                <w:noProof w:val="0"/>
              </w:rPr>
              <w:t>Number of Students</w:t>
            </w:r>
          </w:p>
        </w:tc>
        <w:tc>
          <w:tcPr>
            <w:tcW w:w="576" w:type="dxa"/>
            <w:noWrap/>
            <w:textDirection w:val="btLr"/>
            <w:vAlign w:val="center"/>
            <w:hideMark/>
          </w:tcPr>
          <w:p w14:paraId="16224267" w14:textId="77777777" w:rsidR="00D60F5E" w:rsidRPr="004B2D24" w:rsidRDefault="00D60F5E" w:rsidP="0022713A">
            <w:pPr>
              <w:pStyle w:val="TableHead"/>
              <w:ind w:left="72"/>
              <w:jc w:val="left"/>
              <w:rPr>
                <w:b w:val="0"/>
                <w:bCs w:val="0"/>
                <w:noProof w:val="0"/>
              </w:rPr>
            </w:pPr>
            <w:r w:rsidRPr="004B2D24">
              <w:rPr>
                <w:noProof w:val="0"/>
              </w:rPr>
              <w:t>Number of Items</w:t>
            </w:r>
          </w:p>
        </w:tc>
        <w:tc>
          <w:tcPr>
            <w:tcW w:w="749" w:type="dxa"/>
            <w:textDirection w:val="btLr"/>
            <w:vAlign w:val="center"/>
          </w:tcPr>
          <w:p w14:paraId="3B5A2A02" w14:textId="77777777" w:rsidR="00D60F5E" w:rsidRPr="004B2D24" w:rsidRDefault="00D60F5E" w:rsidP="0022713A">
            <w:pPr>
              <w:pStyle w:val="TableHead"/>
              <w:ind w:left="72"/>
              <w:jc w:val="left"/>
              <w:rPr>
                <w:b w:val="0"/>
                <w:bCs w:val="0"/>
                <w:noProof w:val="0"/>
              </w:rPr>
            </w:pPr>
            <w:r w:rsidRPr="004B2D24">
              <w:rPr>
                <w:noProof w:val="0"/>
              </w:rPr>
              <w:t>Maximum Number of Points</w:t>
            </w:r>
          </w:p>
        </w:tc>
        <w:tc>
          <w:tcPr>
            <w:tcW w:w="576" w:type="dxa"/>
            <w:noWrap/>
            <w:textDirection w:val="btLr"/>
            <w:vAlign w:val="center"/>
            <w:hideMark/>
          </w:tcPr>
          <w:p w14:paraId="0D0A583C" w14:textId="77777777" w:rsidR="00D60F5E" w:rsidRPr="004B2D24" w:rsidRDefault="00D60F5E" w:rsidP="0022713A">
            <w:pPr>
              <w:pStyle w:val="TableHead"/>
              <w:ind w:left="72"/>
              <w:jc w:val="left"/>
              <w:rPr>
                <w:b w:val="0"/>
                <w:bCs w:val="0"/>
                <w:noProof w:val="0"/>
              </w:rPr>
            </w:pPr>
            <w:r w:rsidRPr="004B2D24">
              <w:rPr>
                <w:noProof w:val="0"/>
              </w:rPr>
              <w:t>Mean Raw Score</w:t>
            </w:r>
          </w:p>
        </w:tc>
        <w:tc>
          <w:tcPr>
            <w:tcW w:w="576" w:type="dxa"/>
            <w:textDirection w:val="btLr"/>
            <w:vAlign w:val="center"/>
          </w:tcPr>
          <w:p w14:paraId="60E7B08A" w14:textId="77777777" w:rsidR="00D60F5E" w:rsidRPr="004B2D24" w:rsidRDefault="00D60F5E" w:rsidP="0022713A">
            <w:pPr>
              <w:pStyle w:val="TableHead"/>
              <w:ind w:left="72"/>
              <w:jc w:val="left"/>
              <w:rPr>
                <w:b w:val="0"/>
                <w:bCs w:val="0"/>
                <w:noProof w:val="0"/>
              </w:rPr>
            </w:pPr>
            <w:r w:rsidRPr="004B2D24">
              <w:rPr>
                <w:noProof w:val="0"/>
              </w:rPr>
              <w:t>SD Raw Score</w:t>
            </w:r>
          </w:p>
        </w:tc>
        <w:tc>
          <w:tcPr>
            <w:tcW w:w="576" w:type="dxa"/>
            <w:noWrap/>
            <w:textDirection w:val="btLr"/>
            <w:vAlign w:val="center"/>
            <w:hideMark/>
          </w:tcPr>
          <w:p w14:paraId="336C878F" w14:textId="77777777" w:rsidR="00D60F5E" w:rsidRPr="004B2D24" w:rsidRDefault="00D60F5E" w:rsidP="0022713A">
            <w:pPr>
              <w:pStyle w:val="TableHead"/>
              <w:ind w:left="72"/>
              <w:jc w:val="left"/>
              <w:rPr>
                <w:b w:val="0"/>
                <w:bCs w:val="0"/>
                <w:noProof w:val="0"/>
              </w:rPr>
            </w:pPr>
            <w:r w:rsidRPr="004B2D24">
              <w:rPr>
                <w:noProof w:val="0"/>
              </w:rPr>
              <w:t>Minimum Raw Score</w:t>
            </w:r>
          </w:p>
        </w:tc>
        <w:tc>
          <w:tcPr>
            <w:tcW w:w="576" w:type="dxa"/>
            <w:noWrap/>
            <w:textDirection w:val="btLr"/>
            <w:vAlign w:val="center"/>
            <w:hideMark/>
          </w:tcPr>
          <w:p w14:paraId="6599423A" w14:textId="77777777" w:rsidR="00D60F5E" w:rsidRPr="004B2D24" w:rsidRDefault="00D60F5E" w:rsidP="0022713A">
            <w:pPr>
              <w:pStyle w:val="TableHead"/>
              <w:ind w:left="72"/>
              <w:jc w:val="left"/>
              <w:rPr>
                <w:b w:val="0"/>
                <w:bCs w:val="0"/>
                <w:noProof w:val="0"/>
              </w:rPr>
            </w:pPr>
            <w:r w:rsidRPr="004B2D24">
              <w:rPr>
                <w:noProof w:val="0"/>
              </w:rPr>
              <w:t>Maximum Raw Score</w:t>
            </w:r>
          </w:p>
        </w:tc>
        <w:tc>
          <w:tcPr>
            <w:tcW w:w="864" w:type="dxa"/>
            <w:textDirection w:val="btLr"/>
            <w:vAlign w:val="center"/>
          </w:tcPr>
          <w:p w14:paraId="438E9DA3" w14:textId="77777777" w:rsidR="00D60F5E" w:rsidRPr="004B2D24" w:rsidRDefault="00D60F5E" w:rsidP="0022713A">
            <w:pPr>
              <w:pStyle w:val="TableHead"/>
              <w:ind w:left="72"/>
              <w:jc w:val="left"/>
              <w:rPr>
                <w:b w:val="0"/>
                <w:bCs w:val="0"/>
                <w:noProof w:val="0"/>
              </w:rPr>
            </w:pPr>
            <w:r w:rsidRPr="004B2D24">
              <w:rPr>
                <w:noProof w:val="0"/>
              </w:rPr>
              <w:t>Mean Raw Score as a Percentage</w:t>
            </w:r>
          </w:p>
        </w:tc>
      </w:tr>
      <w:tr w:rsidR="00D60F5E" w:rsidRPr="004B2D24" w14:paraId="68A7DA76" w14:textId="77777777" w:rsidTr="003F570B">
        <w:tc>
          <w:tcPr>
            <w:tcW w:w="4896" w:type="dxa"/>
            <w:tcBorders>
              <w:top w:val="single" w:sz="4" w:space="0" w:color="auto"/>
            </w:tcBorders>
            <w:noWrap/>
            <w:hideMark/>
          </w:tcPr>
          <w:p w14:paraId="76766CBB" w14:textId="77777777" w:rsidR="00D60F5E" w:rsidRPr="004B2D24" w:rsidRDefault="00D60F5E" w:rsidP="00D60F5E">
            <w:pPr>
              <w:pStyle w:val="TableText"/>
              <w:keepNext/>
              <w:rPr>
                <w:b/>
              </w:rPr>
            </w:pPr>
            <w:r w:rsidRPr="004B2D24">
              <w:t>PT 1 Version 1 (Life Sciences)</w:t>
            </w:r>
          </w:p>
        </w:tc>
        <w:tc>
          <w:tcPr>
            <w:tcW w:w="617" w:type="dxa"/>
            <w:tcBorders>
              <w:top w:val="single" w:sz="4" w:space="0" w:color="auto"/>
            </w:tcBorders>
          </w:tcPr>
          <w:p w14:paraId="38363F11" w14:textId="4A36AD0C" w:rsidR="00D60F5E" w:rsidRPr="006A72CD" w:rsidRDefault="00D60F5E" w:rsidP="00D60F5E">
            <w:pPr>
              <w:pStyle w:val="TableText"/>
              <w:keepNext/>
              <w:rPr>
                <w:szCs w:val="24"/>
              </w:rPr>
            </w:pPr>
            <w:r w:rsidRPr="004E6574">
              <w:rPr>
                <w:color w:val="000000"/>
                <w:szCs w:val="24"/>
              </w:rPr>
              <w:t>142</w:t>
            </w:r>
          </w:p>
        </w:tc>
        <w:tc>
          <w:tcPr>
            <w:tcW w:w="576" w:type="dxa"/>
            <w:tcBorders>
              <w:top w:val="single" w:sz="4" w:space="0" w:color="auto"/>
            </w:tcBorders>
            <w:noWrap/>
          </w:tcPr>
          <w:p w14:paraId="141E2FD8" w14:textId="2E9993CE" w:rsidR="00D60F5E" w:rsidRPr="006A72CD" w:rsidRDefault="00D60F5E" w:rsidP="00D60F5E">
            <w:pPr>
              <w:pStyle w:val="TableText"/>
              <w:keepNext/>
              <w:rPr>
                <w:szCs w:val="24"/>
              </w:rPr>
            </w:pPr>
            <w:r w:rsidRPr="004E6574">
              <w:rPr>
                <w:color w:val="000000"/>
                <w:szCs w:val="24"/>
              </w:rPr>
              <w:t>10</w:t>
            </w:r>
          </w:p>
        </w:tc>
        <w:tc>
          <w:tcPr>
            <w:tcW w:w="749" w:type="dxa"/>
            <w:tcBorders>
              <w:top w:val="single" w:sz="4" w:space="0" w:color="auto"/>
            </w:tcBorders>
          </w:tcPr>
          <w:p w14:paraId="651E1B94" w14:textId="54C815A2" w:rsidR="00D60F5E" w:rsidRPr="006A72CD" w:rsidRDefault="00D60F5E" w:rsidP="00D60F5E">
            <w:pPr>
              <w:pStyle w:val="TableText"/>
              <w:keepNext/>
              <w:rPr>
                <w:szCs w:val="24"/>
              </w:rPr>
            </w:pPr>
            <w:r w:rsidRPr="004E6574">
              <w:rPr>
                <w:color w:val="000000"/>
                <w:szCs w:val="24"/>
              </w:rPr>
              <w:t>12</w:t>
            </w:r>
          </w:p>
        </w:tc>
        <w:tc>
          <w:tcPr>
            <w:tcW w:w="576" w:type="dxa"/>
            <w:tcBorders>
              <w:top w:val="single" w:sz="4" w:space="0" w:color="auto"/>
            </w:tcBorders>
            <w:noWrap/>
          </w:tcPr>
          <w:p w14:paraId="4F14D9C0" w14:textId="1AF2D2DA" w:rsidR="00D60F5E" w:rsidRPr="006A72CD" w:rsidRDefault="00D60F5E" w:rsidP="00D60F5E">
            <w:pPr>
              <w:pStyle w:val="TableText"/>
              <w:keepNext/>
              <w:rPr>
                <w:szCs w:val="24"/>
              </w:rPr>
            </w:pPr>
            <w:r w:rsidRPr="004E6574">
              <w:rPr>
                <w:color w:val="000000"/>
                <w:szCs w:val="24"/>
              </w:rPr>
              <w:t>7.6</w:t>
            </w:r>
          </w:p>
        </w:tc>
        <w:tc>
          <w:tcPr>
            <w:tcW w:w="576" w:type="dxa"/>
            <w:tcBorders>
              <w:top w:val="single" w:sz="4" w:space="0" w:color="auto"/>
            </w:tcBorders>
          </w:tcPr>
          <w:p w14:paraId="6DF2848C" w14:textId="44447482" w:rsidR="00D60F5E" w:rsidRPr="006A72CD" w:rsidRDefault="00D60F5E" w:rsidP="00D60F5E">
            <w:pPr>
              <w:pStyle w:val="TableText"/>
              <w:keepNext/>
              <w:rPr>
                <w:szCs w:val="24"/>
              </w:rPr>
            </w:pPr>
            <w:r w:rsidRPr="004E6574">
              <w:rPr>
                <w:color w:val="000000"/>
                <w:szCs w:val="24"/>
              </w:rPr>
              <w:t>2.7</w:t>
            </w:r>
          </w:p>
        </w:tc>
        <w:tc>
          <w:tcPr>
            <w:tcW w:w="576" w:type="dxa"/>
            <w:tcBorders>
              <w:top w:val="single" w:sz="4" w:space="0" w:color="auto"/>
            </w:tcBorders>
            <w:noWrap/>
          </w:tcPr>
          <w:p w14:paraId="0BD3DAFC" w14:textId="11367EC3" w:rsidR="00D60F5E" w:rsidRPr="006A72CD" w:rsidRDefault="00D60F5E" w:rsidP="00D60F5E">
            <w:pPr>
              <w:pStyle w:val="TableText"/>
              <w:keepNext/>
              <w:rPr>
                <w:szCs w:val="24"/>
              </w:rPr>
            </w:pPr>
            <w:r w:rsidRPr="004E6574">
              <w:rPr>
                <w:color w:val="000000"/>
                <w:szCs w:val="24"/>
              </w:rPr>
              <w:t>0</w:t>
            </w:r>
          </w:p>
        </w:tc>
        <w:tc>
          <w:tcPr>
            <w:tcW w:w="576" w:type="dxa"/>
            <w:tcBorders>
              <w:top w:val="single" w:sz="4" w:space="0" w:color="auto"/>
            </w:tcBorders>
            <w:noWrap/>
          </w:tcPr>
          <w:p w14:paraId="5984AD38" w14:textId="72A9C904" w:rsidR="00D60F5E" w:rsidRPr="006A72CD" w:rsidRDefault="00D60F5E" w:rsidP="00D60F5E">
            <w:pPr>
              <w:pStyle w:val="TableText"/>
              <w:keepNext/>
              <w:rPr>
                <w:szCs w:val="24"/>
              </w:rPr>
            </w:pPr>
            <w:r w:rsidRPr="004E6574">
              <w:rPr>
                <w:color w:val="000000"/>
                <w:szCs w:val="24"/>
              </w:rPr>
              <w:t>12</w:t>
            </w:r>
          </w:p>
        </w:tc>
        <w:tc>
          <w:tcPr>
            <w:tcW w:w="864" w:type="dxa"/>
            <w:tcBorders>
              <w:top w:val="single" w:sz="4" w:space="0" w:color="auto"/>
            </w:tcBorders>
          </w:tcPr>
          <w:p w14:paraId="51F6159C" w14:textId="769197E9" w:rsidR="00D60F5E" w:rsidRPr="004B2D24" w:rsidRDefault="00D60F5E" w:rsidP="00D60F5E">
            <w:pPr>
              <w:pStyle w:val="TableText"/>
              <w:keepNext/>
              <w:rPr>
                <w:color w:val="000000"/>
                <w:szCs w:val="24"/>
              </w:rPr>
            </w:pPr>
            <w:r w:rsidRPr="004E6574">
              <w:rPr>
                <w:color w:val="000000"/>
                <w:szCs w:val="24"/>
              </w:rPr>
              <w:t>63.3</w:t>
            </w:r>
          </w:p>
        </w:tc>
      </w:tr>
      <w:tr w:rsidR="00D60F5E" w:rsidRPr="004B2D24" w14:paraId="515FA243" w14:textId="77777777" w:rsidTr="003F570B">
        <w:tc>
          <w:tcPr>
            <w:tcW w:w="4896" w:type="dxa"/>
            <w:noWrap/>
            <w:hideMark/>
          </w:tcPr>
          <w:p w14:paraId="0A74C413" w14:textId="77777777" w:rsidR="00D60F5E" w:rsidRPr="004B2D24" w:rsidRDefault="00D60F5E" w:rsidP="00D60F5E">
            <w:pPr>
              <w:pStyle w:val="TableText"/>
              <w:keepNext/>
              <w:rPr>
                <w:vertAlign w:val="superscript"/>
              </w:rPr>
            </w:pPr>
            <w:r w:rsidRPr="004B2D24">
              <w:t>PT 2 Version 1 (Physical Sciences)</w:t>
            </w:r>
          </w:p>
        </w:tc>
        <w:tc>
          <w:tcPr>
            <w:tcW w:w="617" w:type="dxa"/>
          </w:tcPr>
          <w:p w14:paraId="3C92D343" w14:textId="708FB75B" w:rsidR="00D60F5E" w:rsidRPr="006A72CD" w:rsidRDefault="00D60F5E" w:rsidP="00D60F5E">
            <w:pPr>
              <w:pStyle w:val="TableText"/>
              <w:keepNext/>
              <w:rPr>
                <w:szCs w:val="24"/>
              </w:rPr>
            </w:pPr>
            <w:r w:rsidRPr="004E6574">
              <w:rPr>
                <w:color w:val="000000"/>
                <w:szCs w:val="24"/>
              </w:rPr>
              <w:t>142</w:t>
            </w:r>
          </w:p>
        </w:tc>
        <w:tc>
          <w:tcPr>
            <w:tcW w:w="576" w:type="dxa"/>
            <w:noWrap/>
          </w:tcPr>
          <w:p w14:paraId="67BF7A51" w14:textId="547A06CF" w:rsidR="00D60F5E" w:rsidRPr="006A72CD" w:rsidRDefault="00D60F5E" w:rsidP="00D60F5E">
            <w:pPr>
              <w:pStyle w:val="TableText"/>
              <w:keepNext/>
              <w:rPr>
                <w:szCs w:val="24"/>
              </w:rPr>
            </w:pPr>
            <w:r w:rsidRPr="004E6574">
              <w:rPr>
                <w:color w:val="000000"/>
                <w:szCs w:val="24"/>
              </w:rPr>
              <w:t>10</w:t>
            </w:r>
          </w:p>
        </w:tc>
        <w:tc>
          <w:tcPr>
            <w:tcW w:w="749" w:type="dxa"/>
          </w:tcPr>
          <w:p w14:paraId="37C4727B" w14:textId="68640AA3" w:rsidR="00D60F5E" w:rsidRPr="006A72CD" w:rsidRDefault="00D60F5E" w:rsidP="00D60F5E">
            <w:pPr>
              <w:pStyle w:val="TableText"/>
              <w:keepNext/>
              <w:rPr>
                <w:szCs w:val="24"/>
              </w:rPr>
            </w:pPr>
            <w:r w:rsidRPr="004E6574">
              <w:rPr>
                <w:color w:val="000000"/>
                <w:szCs w:val="24"/>
              </w:rPr>
              <w:t>12</w:t>
            </w:r>
          </w:p>
        </w:tc>
        <w:tc>
          <w:tcPr>
            <w:tcW w:w="576" w:type="dxa"/>
            <w:noWrap/>
          </w:tcPr>
          <w:p w14:paraId="0668B898" w14:textId="60F90E71" w:rsidR="00D60F5E" w:rsidRPr="006A72CD" w:rsidRDefault="00D60F5E" w:rsidP="00D60F5E">
            <w:pPr>
              <w:pStyle w:val="TableText"/>
              <w:keepNext/>
              <w:rPr>
                <w:szCs w:val="24"/>
              </w:rPr>
            </w:pPr>
            <w:r w:rsidRPr="004E6574">
              <w:rPr>
                <w:color w:val="000000"/>
                <w:szCs w:val="24"/>
              </w:rPr>
              <w:t>8.2</w:t>
            </w:r>
          </w:p>
        </w:tc>
        <w:tc>
          <w:tcPr>
            <w:tcW w:w="576" w:type="dxa"/>
          </w:tcPr>
          <w:p w14:paraId="7A7E65DF" w14:textId="2BA93EC2" w:rsidR="00D60F5E" w:rsidRPr="006A72CD" w:rsidRDefault="00D60F5E" w:rsidP="00D60F5E">
            <w:pPr>
              <w:pStyle w:val="TableText"/>
              <w:keepNext/>
              <w:rPr>
                <w:szCs w:val="24"/>
              </w:rPr>
            </w:pPr>
            <w:r w:rsidRPr="004E6574">
              <w:rPr>
                <w:color w:val="000000"/>
                <w:szCs w:val="24"/>
              </w:rPr>
              <w:t>3.1</w:t>
            </w:r>
          </w:p>
        </w:tc>
        <w:tc>
          <w:tcPr>
            <w:tcW w:w="576" w:type="dxa"/>
            <w:noWrap/>
          </w:tcPr>
          <w:p w14:paraId="5E17273A" w14:textId="16D95732" w:rsidR="00D60F5E" w:rsidRPr="006A72CD" w:rsidRDefault="00D60F5E" w:rsidP="00D60F5E">
            <w:pPr>
              <w:pStyle w:val="TableText"/>
              <w:keepNext/>
              <w:rPr>
                <w:szCs w:val="24"/>
              </w:rPr>
            </w:pPr>
            <w:r w:rsidRPr="004E6574">
              <w:rPr>
                <w:color w:val="000000"/>
                <w:szCs w:val="24"/>
              </w:rPr>
              <w:t>0</w:t>
            </w:r>
          </w:p>
        </w:tc>
        <w:tc>
          <w:tcPr>
            <w:tcW w:w="576" w:type="dxa"/>
            <w:noWrap/>
          </w:tcPr>
          <w:p w14:paraId="3948C8CB" w14:textId="2AF2CDEA" w:rsidR="00D60F5E" w:rsidRPr="006A72CD" w:rsidRDefault="00D60F5E" w:rsidP="00D60F5E">
            <w:pPr>
              <w:pStyle w:val="TableText"/>
              <w:keepNext/>
              <w:rPr>
                <w:szCs w:val="24"/>
              </w:rPr>
            </w:pPr>
            <w:r w:rsidRPr="004E6574">
              <w:rPr>
                <w:color w:val="000000"/>
                <w:szCs w:val="24"/>
              </w:rPr>
              <w:t>12</w:t>
            </w:r>
          </w:p>
        </w:tc>
        <w:tc>
          <w:tcPr>
            <w:tcW w:w="864" w:type="dxa"/>
          </w:tcPr>
          <w:p w14:paraId="384BDCBA" w14:textId="3FD25F0D" w:rsidR="00D60F5E" w:rsidRPr="004B2D24" w:rsidRDefault="00D60F5E" w:rsidP="00D60F5E">
            <w:pPr>
              <w:pStyle w:val="TableText"/>
              <w:keepNext/>
              <w:rPr>
                <w:color w:val="000000"/>
                <w:szCs w:val="24"/>
              </w:rPr>
            </w:pPr>
            <w:r w:rsidRPr="004E6574">
              <w:rPr>
                <w:color w:val="000000"/>
                <w:szCs w:val="24"/>
              </w:rPr>
              <w:t>68.3</w:t>
            </w:r>
          </w:p>
        </w:tc>
      </w:tr>
      <w:tr w:rsidR="00D60F5E" w:rsidRPr="004B2D24" w14:paraId="5DCC33A5" w14:textId="77777777" w:rsidTr="003F570B">
        <w:tc>
          <w:tcPr>
            <w:tcW w:w="4896" w:type="dxa"/>
            <w:noWrap/>
            <w:hideMark/>
          </w:tcPr>
          <w:p w14:paraId="5CE0C43F" w14:textId="77777777" w:rsidR="00D60F5E" w:rsidRPr="004B2D24" w:rsidRDefault="00D60F5E" w:rsidP="00D60F5E">
            <w:pPr>
              <w:pStyle w:val="TableText"/>
              <w:keepNext/>
            </w:pPr>
            <w:r w:rsidRPr="004B2D24">
              <w:t>PT 3 Version 1 (Earth and Space Sciences)</w:t>
            </w:r>
          </w:p>
        </w:tc>
        <w:tc>
          <w:tcPr>
            <w:tcW w:w="617" w:type="dxa"/>
          </w:tcPr>
          <w:p w14:paraId="35D591E9" w14:textId="4DABEF39" w:rsidR="00D60F5E" w:rsidRPr="006A72CD" w:rsidRDefault="00D60F5E" w:rsidP="00D60F5E">
            <w:pPr>
              <w:pStyle w:val="TableText"/>
              <w:keepNext/>
              <w:rPr>
                <w:szCs w:val="24"/>
              </w:rPr>
            </w:pPr>
            <w:r w:rsidRPr="004E6574">
              <w:rPr>
                <w:color w:val="000000"/>
                <w:szCs w:val="24"/>
              </w:rPr>
              <w:t>142</w:t>
            </w:r>
          </w:p>
        </w:tc>
        <w:tc>
          <w:tcPr>
            <w:tcW w:w="576" w:type="dxa"/>
            <w:noWrap/>
          </w:tcPr>
          <w:p w14:paraId="5D4B5622" w14:textId="5805464E" w:rsidR="00D60F5E" w:rsidRPr="006A72CD" w:rsidRDefault="00D60F5E" w:rsidP="00D60F5E">
            <w:pPr>
              <w:pStyle w:val="TableText"/>
              <w:keepNext/>
              <w:rPr>
                <w:szCs w:val="24"/>
              </w:rPr>
            </w:pPr>
            <w:r w:rsidRPr="004E6574">
              <w:rPr>
                <w:color w:val="000000"/>
                <w:szCs w:val="24"/>
              </w:rPr>
              <w:t>10</w:t>
            </w:r>
          </w:p>
        </w:tc>
        <w:tc>
          <w:tcPr>
            <w:tcW w:w="749" w:type="dxa"/>
          </w:tcPr>
          <w:p w14:paraId="2E3442ED" w14:textId="5D670E0D" w:rsidR="00D60F5E" w:rsidRPr="006A72CD" w:rsidRDefault="00D60F5E" w:rsidP="00D60F5E">
            <w:pPr>
              <w:pStyle w:val="TableText"/>
              <w:keepNext/>
              <w:rPr>
                <w:szCs w:val="24"/>
              </w:rPr>
            </w:pPr>
            <w:r w:rsidRPr="004E6574">
              <w:rPr>
                <w:color w:val="000000"/>
                <w:szCs w:val="24"/>
              </w:rPr>
              <w:t>12</w:t>
            </w:r>
          </w:p>
        </w:tc>
        <w:tc>
          <w:tcPr>
            <w:tcW w:w="576" w:type="dxa"/>
            <w:noWrap/>
          </w:tcPr>
          <w:p w14:paraId="25F83925" w14:textId="55930241" w:rsidR="00D60F5E" w:rsidRPr="006A72CD" w:rsidRDefault="00D60F5E" w:rsidP="00D60F5E">
            <w:pPr>
              <w:pStyle w:val="TableText"/>
              <w:keepNext/>
              <w:rPr>
                <w:szCs w:val="24"/>
              </w:rPr>
            </w:pPr>
            <w:r w:rsidRPr="004E6574">
              <w:rPr>
                <w:color w:val="000000"/>
                <w:szCs w:val="24"/>
              </w:rPr>
              <w:t>7.3</w:t>
            </w:r>
          </w:p>
        </w:tc>
        <w:tc>
          <w:tcPr>
            <w:tcW w:w="576" w:type="dxa"/>
          </w:tcPr>
          <w:p w14:paraId="3EB4F903" w14:textId="049555C9" w:rsidR="00D60F5E" w:rsidRPr="006A72CD" w:rsidRDefault="00D60F5E" w:rsidP="00D60F5E">
            <w:pPr>
              <w:pStyle w:val="TableText"/>
              <w:keepNext/>
              <w:rPr>
                <w:szCs w:val="24"/>
              </w:rPr>
            </w:pPr>
            <w:r w:rsidRPr="004E6574">
              <w:rPr>
                <w:color w:val="000000"/>
                <w:szCs w:val="24"/>
              </w:rPr>
              <w:t>2.7</w:t>
            </w:r>
          </w:p>
        </w:tc>
        <w:tc>
          <w:tcPr>
            <w:tcW w:w="576" w:type="dxa"/>
            <w:noWrap/>
          </w:tcPr>
          <w:p w14:paraId="3FC1C740" w14:textId="7008AE3F" w:rsidR="00D60F5E" w:rsidRPr="006A72CD" w:rsidRDefault="00D60F5E" w:rsidP="00D60F5E">
            <w:pPr>
              <w:pStyle w:val="TableText"/>
              <w:keepNext/>
              <w:rPr>
                <w:szCs w:val="24"/>
              </w:rPr>
            </w:pPr>
            <w:r w:rsidRPr="004E6574">
              <w:rPr>
                <w:color w:val="000000"/>
                <w:szCs w:val="24"/>
              </w:rPr>
              <w:t>0</w:t>
            </w:r>
          </w:p>
        </w:tc>
        <w:tc>
          <w:tcPr>
            <w:tcW w:w="576" w:type="dxa"/>
            <w:noWrap/>
          </w:tcPr>
          <w:p w14:paraId="0805AFF4" w14:textId="1811A9DD" w:rsidR="00D60F5E" w:rsidRPr="006A72CD" w:rsidRDefault="00D60F5E" w:rsidP="00D60F5E">
            <w:pPr>
              <w:pStyle w:val="TableText"/>
              <w:keepNext/>
              <w:rPr>
                <w:szCs w:val="24"/>
              </w:rPr>
            </w:pPr>
            <w:r w:rsidRPr="004E6574">
              <w:rPr>
                <w:color w:val="000000"/>
                <w:szCs w:val="24"/>
              </w:rPr>
              <w:t>12</w:t>
            </w:r>
          </w:p>
        </w:tc>
        <w:tc>
          <w:tcPr>
            <w:tcW w:w="864" w:type="dxa"/>
          </w:tcPr>
          <w:p w14:paraId="5D3BE4FA" w14:textId="78AE4A3D" w:rsidR="00D60F5E" w:rsidRPr="004B2D24" w:rsidRDefault="00D60F5E" w:rsidP="00D60F5E">
            <w:pPr>
              <w:pStyle w:val="TableText"/>
              <w:keepNext/>
              <w:rPr>
                <w:color w:val="000000"/>
                <w:szCs w:val="24"/>
              </w:rPr>
            </w:pPr>
            <w:r w:rsidRPr="004E6574">
              <w:rPr>
                <w:color w:val="000000"/>
                <w:szCs w:val="24"/>
              </w:rPr>
              <w:t>60.8</w:t>
            </w:r>
          </w:p>
        </w:tc>
      </w:tr>
      <w:tr w:rsidR="00D60F5E" w:rsidRPr="004B2D24" w14:paraId="6DFAC3BE" w14:textId="77777777" w:rsidTr="003F570B">
        <w:tc>
          <w:tcPr>
            <w:tcW w:w="4896" w:type="dxa"/>
            <w:noWrap/>
          </w:tcPr>
          <w:p w14:paraId="7DE61F33" w14:textId="77777777" w:rsidR="00D60F5E" w:rsidRPr="004B2D24" w:rsidRDefault="00D60F5E" w:rsidP="00D60F5E">
            <w:pPr>
              <w:pStyle w:val="TableText"/>
              <w:keepNext/>
            </w:pPr>
            <w:r w:rsidRPr="004B2D24">
              <w:t>PT 1 Version 2 (Life Sciences)</w:t>
            </w:r>
          </w:p>
        </w:tc>
        <w:tc>
          <w:tcPr>
            <w:tcW w:w="617" w:type="dxa"/>
          </w:tcPr>
          <w:p w14:paraId="0047D4B4" w14:textId="03CA6949" w:rsidR="00D60F5E" w:rsidRPr="006A72CD" w:rsidRDefault="00D60F5E" w:rsidP="00D60F5E">
            <w:pPr>
              <w:pStyle w:val="TableText"/>
              <w:keepNext/>
              <w:rPr>
                <w:szCs w:val="24"/>
              </w:rPr>
            </w:pPr>
            <w:r w:rsidRPr="004E6574">
              <w:rPr>
                <w:color w:val="000000"/>
                <w:szCs w:val="24"/>
              </w:rPr>
              <w:t>131</w:t>
            </w:r>
          </w:p>
        </w:tc>
        <w:tc>
          <w:tcPr>
            <w:tcW w:w="576" w:type="dxa"/>
            <w:noWrap/>
          </w:tcPr>
          <w:p w14:paraId="5EB7A387" w14:textId="0735B7B1" w:rsidR="00D60F5E" w:rsidRPr="006A72CD" w:rsidRDefault="00D60F5E" w:rsidP="00D60F5E">
            <w:pPr>
              <w:pStyle w:val="TableText"/>
              <w:keepNext/>
              <w:rPr>
                <w:szCs w:val="24"/>
              </w:rPr>
            </w:pPr>
            <w:r w:rsidRPr="004E6574">
              <w:rPr>
                <w:color w:val="000000"/>
                <w:szCs w:val="24"/>
              </w:rPr>
              <w:t>10</w:t>
            </w:r>
          </w:p>
        </w:tc>
        <w:tc>
          <w:tcPr>
            <w:tcW w:w="749" w:type="dxa"/>
          </w:tcPr>
          <w:p w14:paraId="46095D57" w14:textId="32D4AE2F" w:rsidR="00D60F5E" w:rsidRPr="006A72CD" w:rsidRDefault="00D60F5E" w:rsidP="00D60F5E">
            <w:pPr>
              <w:pStyle w:val="TableText"/>
              <w:keepNext/>
              <w:rPr>
                <w:szCs w:val="24"/>
              </w:rPr>
            </w:pPr>
            <w:r w:rsidRPr="004E6574">
              <w:rPr>
                <w:color w:val="000000"/>
                <w:szCs w:val="24"/>
              </w:rPr>
              <w:t>12</w:t>
            </w:r>
          </w:p>
        </w:tc>
        <w:tc>
          <w:tcPr>
            <w:tcW w:w="576" w:type="dxa"/>
            <w:noWrap/>
          </w:tcPr>
          <w:p w14:paraId="704EBF06" w14:textId="242B1359" w:rsidR="00D60F5E" w:rsidRPr="006A72CD" w:rsidRDefault="00D60F5E" w:rsidP="00D60F5E">
            <w:pPr>
              <w:pStyle w:val="TableText"/>
              <w:keepNext/>
              <w:rPr>
                <w:szCs w:val="24"/>
              </w:rPr>
            </w:pPr>
            <w:r w:rsidRPr="00B65169">
              <w:rPr>
                <w:color w:val="000000"/>
                <w:szCs w:val="24"/>
              </w:rPr>
              <w:t>7.1</w:t>
            </w:r>
          </w:p>
        </w:tc>
        <w:tc>
          <w:tcPr>
            <w:tcW w:w="576" w:type="dxa"/>
          </w:tcPr>
          <w:p w14:paraId="18034304" w14:textId="516306E3" w:rsidR="00D60F5E" w:rsidRPr="006A72CD" w:rsidRDefault="00D60F5E" w:rsidP="00D60F5E">
            <w:pPr>
              <w:pStyle w:val="TableText"/>
              <w:keepNext/>
              <w:rPr>
                <w:szCs w:val="24"/>
              </w:rPr>
            </w:pPr>
            <w:r w:rsidRPr="004E6574">
              <w:rPr>
                <w:color w:val="000000"/>
                <w:szCs w:val="24"/>
              </w:rPr>
              <w:t>3.3</w:t>
            </w:r>
          </w:p>
        </w:tc>
        <w:tc>
          <w:tcPr>
            <w:tcW w:w="576" w:type="dxa"/>
            <w:noWrap/>
          </w:tcPr>
          <w:p w14:paraId="502EB16A" w14:textId="5F0C0EB3" w:rsidR="00D60F5E" w:rsidRPr="006A72CD" w:rsidRDefault="00D60F5E" w:rsidP="00D60F5E">
            <w:pPr>
              <w:pStyle w:val="TableText"/>
              <w:keepNext/>
              <w:rPr>
                <w:szCs w:val="24"/>
              </w:rPr>
            </w:pPr>
            <w:r w:rsidRPr="004E6574">
              <w:rPr>
                <w:color w:val="000000"/>
                <w:szCs w:val="24"/>
              </w:rPr>
              <w:t>0</w:t>
            </w:r>
          </w:p>
        </w:tc>
        <w:tc>
          <w:tcPr>
            <w:tcW w:w="576" w:type="dxa"/>
            <w:noWrap/>
          </w:tcPr>
          <w:p w14:paraId="2A591BDB" w14:textId="6C9CD9DE" w:rsidR="00D60F5E" w:rsidRPr="006A72CD" w:rsidRDefault="00D60F5E" w:rsidP="00D60F5E">
            <w:pPr>
              <w:pStyle w:val="TableText"/>
              <w:keepNext/>
              <w:rPr>
                <w:szCs w:val="24"/>
              </w:rPr>
            </w:pPr>
            <w:r w:rsidRPr="004E6574">
              <w:rPr>
                <w:color w:val="000000"/>
                <w:szCs w:val="24"/>
              </w:rPr>
              <w:t>12</w:t>
            </w:r>
          </w:p>
        </w:tc>
        <w:tc>
          <w:tcPr>
            <w:tcW w:w="864" w:type="dxa"/>
          </w:tcPr>
          <w:p w14:paraId="378E6D10" w14:textId="585F089E" w:rsidR="00D60F5E" w:rsidRPr="004B2D24" w:rsidRDefault="00D60F5E" w:rsidP="00D60F5E">
            <w:pPr>
              <w:pStyle w:val="TableText"/>
              <w:keepNext/>
              <w:rPr>
                <w:color w:val="000000"/>
                <w:szCs w:val="24"/>
              </w:rPr>
            </w:pPr>
            <w:r w:rsidRPr="004E6574">
              <w:rPr>
                <w:color w:val="000000"/>
                <w:szCs w:val="24"/>
              </w:rPr>
              <w:t>59.2</w:t>
            </w:r>
          </w:p>
        </w:tc>
      </w:tr>
      <w:tr w:rsidR="00D60F5E" w:rsidRPr="004B2D24" w14:paraId="77BB916A" w14:textId="77777777" w:rsidTr="003F570B">
        <w:tc>
          <w:tcPr>
            <w:tcW w:w="4896" w:type="dxa"/>
            <w:noWrap/>
          </w:tcPr>
          <w:p w14:paraId="4834546C" w14:textId="77777777" w:rsidR="00D60F5E" w:rsidRPr="004B2D24" w:rsidRDefault="00D60F5E" w:rsidP="00D60F5E">
            <w:pPr>
              <w:pStyle w:val="TableText"/>
              <w:keepNext/>
            </w:pPr>
            <w:r w:rsidRPr="004B2D24">
              <w:t>PT 2 Version 2 (Physical Sciences)</w:t>
            </w:r>
          </w:p>
        </w:tc>
        <w:tc>
          <w:tcPr>
            <w:tcW w:w="617" w:type="dxa"/>
          </w:tcPr>
          <w:p w14:paraId="1A978B94" w14:textId="239201BE" w:rsidR="00D60F5E" w:rsidRPr="006A72CD" w:rsidRDefault="00D60F5E" w:rsidP="00D60F5E">
            <w:pPr>
              <w:pStyle w:val="TableText"/>
              <w:keepNext/>
              <w:rPr>
                <w:szCs w:val="24"/>
              </w:rPr>
            </w:pPr>
            <w:r w:rsidRPr="004E6574">
              <w:rPr>
                <w:color w:val="000000"/>
                <w:szCs w:val="24"/>
              </w:rPr>
              <w:t>131</w:t>
            </w:r>
          </w:p>
        </w:tc>
        <w:tc>
          <w:tcPr>
            <w:tcW w:w="576" w:type="dxa"/>
            <w:noWrap/>
          </w:tcPr>
          <w:p w14:paraId="42D26629" w14:textId="3359A9A5" w:rsidR="00D60F5E" w:rsidRPr="006A72CD" w:rsidRDefault="00D60F5E" w:rsidP="00D60F5E">
            <w:pPr>
              <w:pStyle w:val="TableText"/>
              <w:keepNext/>
              <w:rPr>
                <w:szCs w:val="24"/>
              </w:rPr>
            </w:pPr>
            <w:r w:rsidRPr="004E6574">
              <w:rPr>
                <w:color w:val="000000"/>
                <w:szCs w:val="24"/>
              </w:rPr>
              <w:t>10</w:t>
            </w:r>
          </w:p>
        </w:tc>
        <w:tc>
          <w:tcPr>
            <w:tcW w:w="749" w:type="dxa"/>
          </w:tcPr>
          <w:p w14:paraId="1CA611FB" w14:textId="11CDEDB2" w:rsidR="00D60F5E" w:rsidRPr="006A72CD" w:rsidRDefault="00D60F5E" w:rsidP="00D60F5E">
            <w:pPr>
              <w:pStyle w:val="TableText"/>
              <w:keepNext/>
              <w:rPr>
                <w:szCs w:val="24"/>
              </w:rPr>
            </w:pPr>
            <w:r w:rsidRPr="00B65169">
              <w:rPr>
                <w:color w:val="000000"/>
                <w:szCs w:val="24"/>
              </w:rPr>
              <w:t>12</w:t>
            </w:r>
          </w:p>
        </w:tc>
        <w:tc>
          <w:tcPr>
            <w:tcW w:w="576" w:type="dxa"/>
            <w:noWrap/>
          </w:tcPr>
          <w:p w14:paraId="2A0C90EB" w14:textId="24247578" w:rsidR="00D60F5E" w:rsidRPr="006A72CD" w:rsidRDefault="00D60F5E" w:rsidP="00D60F5E">
            <w:pPr>
              <w:pStyle w:val="TableText"/>
              <w:keepNext/>
              <w:rPr>
                <w:szCs w:val="24"/>
              </w:rPr>
            </w:pPr>
            <w:r w:rsidRPr="004E6574">
              <w:rPr>
                <w:color w:val="000000"/>
                <w:szCs w:val="24"/>
              </w:rPr>
              <w:t>7.6</w:t>
            </w:r>
          </w:p>
        </w:tc>
        <w:tc>
          <w:tcPr>
            <w:tcW w:w="576" w:type="dxa"/>
          </w:tcPr>
          <w:p w14:paraId="3F204CD4" w14:textId="50DA6FB0" w:rsidR="00D60F5E" w:rsidRPr="006A72CD" w:rsidRDefault="00D60F5E" w:rsidP="00D60F5E">
            <w:pPr>
              <w:pStyle w:val="TableText"/>
              <w:keepNext/>
              <w:rPr>
                <w:szCs w:val="24"/>
              </w:rPr>
            </w:pPr>
            <w:r w:rsidRPr="004E6574">
              <w:rPr>
                <w:color w:val="000000"/>
                <w:szCs w:val="24"/>
              </w:rPr>
              <w:t>3.6</w:t>
            </w:r>
          </w:p>
        </w:tc>
        <w:tc>
          <w:tcPr>
            <w:tcW w:w="576" w:type="dxa"/>
            <w:noWrap/>
          </w:tcPr>
          <w:p w14:paraId="55304977" w14:textId="66FB880E" w:rsidR="00D60F5E" w:rsidRPr="006A72CD" w:rsidRDefault="00D60F5E" w:rsidP="00D60F5E">
            <w:pPr>
              <w:pStyle w:val="TableText"/>
              <w:keepNext/>
              <w:rPr>
                <w:szCs w:val="24"/>
              </w:rPr>
            </w:pPr>
            <w:r w:rsidRPr="004E6574">
              <w:rPr>
                <w:color w:val="000000"/>
                <w:szCs w:val="24"/>
              </w:rPr>
              <w:t>0</w:t>
            </w:r>
          </w:p>
        </w:tc>
        <w:tc>
          <w:tcPr>
            <w:tcW w:w="576" w:type="dxa"/>
            <w:noWrap/>
          </w:tcPr>
          <w:p w14:paraId="387F3C03" w14:textId="5A9F681C" w:rsidR="00D60F5E" w:rsidRPr="006A72CD" w:rsidRDefault="00D60F5E" w:rsidP="00D60F5E">
            <w:pPr>
              <w:pStyle w:val="TableText"/>
              <w:keepNext/>
              <w:rPr>
                <w:szCs w:val="24"/>
              </w:rPr>
            </w:pPr>
            <w:r w:rsidRPr="00B65169">
              <w:rPr>
                <w:color w:val="000000"/>
                <w:szCs w:val="24"/>
              </w:rPr>
              <w:t>12</w:t>
            </w:r>
          </w:p>
        </w:tc>
        <w:tc>
          <w:tcPr>
            <w:tcW w:w="864" w:type="dxa"/>
          </w:tcPr>
          <w:p w14:paraId="042E1A82" w14:textId="3069F102" w:rsidR="00D60F5E" w:rsidRPr="004B2D24" w:rsidRDefault="00D60F5E" w:rsidP="00D60F5E">
            <w:pPr>
              <w:pStyle w:val="TableText"/>
              <w:keepNext/>
              <w:rPr>
                <w:color w:val="000000"/>
                <w:szCs w:val="24"/>
              </w:rPr>
            </w:pPr>
            <w:r w:rsidRPr="004E6574">
              <w:rPr>
                <w:color w:val="000000"/>
                <w:szCs w:val="24"/>
              </w:rPr>
              <w:t>63.3</w:t>
            </w:r>
          </w:p>
        </w:tc>
      </w:tr>
      <w:tr w:rsidR="00D60F5E" w:rsidRPr="004B2D24" w14:paraId="67E19BEE" w14:textId="77777777" w:rsidTr="003F570B">
        <w:tc>
          <w:tcPr>
            <w:tcW w:w="4896" w:type="dxa"/>
            <w:noWrap/>
          </w:tcPr>
          <w:p w14:paraId="71C68571" w14:textId="77777777" w:rsidR="00D60F5E" w:rsidRPr="004B2D24" w:rsidRDefault="00D60F5E" w:rsidP="00D60F5E">
            <w:pPr>
              <w:pStyle w:val="TableText"/>
            </w:pPr>
            <w:r w:rsidRPr="004B2D24">
              <w:t>PT 3 Version 2 (Earth and Space Sciences)</w:t>
            </w:r>
          </w:p>
        </w:tc>
        <w:tc>
          <w:tcPr>
            <w:tcW w:w="617" w:type="dxa"/>
          </w:tcPr>
          <w:p w14:paraId="67FA3CA8" w14:textId="25BB5217" w:rsidR="00D60F5E" w:rsidRPr="006A72CD" w:rsidRDefault="00D60F5E" w:rsidP="00D60F5E">
            <w:pPr>
              <w:pStyle w:val="TableText"/>
              <w:rPr>
                <w:szCs w:val="24"/>
              </w:rPr>
            </w:pPr>
            <w:r w:rsidRPr="004E6574">
              <w:rPr>
                <w:color w:val="000000"/>
                <w:szCs w:val="24"/>
              </w:rPr>
              <w:t>131</w:t>
            </w:r>
          </w:p>
        </w:tc>
        <w:tc>
          <w:tcPr>
            <w:tcW w:w="576" w:type="dxa"/>
            <w:noWrap/>
          </w:tcPr>
          <w:p w14:paraId="05F5D592" w14:textId="1E48F980" w:rsidR="00D60F5E" w:rsidRPr="006A72CD" w:rsidRDefault="00D60F5E" w:rsidP="00D60F5E">
            <w:pPr>
              <w:pStyle w:val="TableText"/>
              <w:rPr>
                <w:szCs w:val="24"/>
              </w:rPr>
            </w:pPr>
            <w:r w:rsidRPr="004E6574">
              <w:rPr>
                <w:color w:val="000000"/>
                <w:szCs w:val="24"/>
              </w:rPr>
              <w:t>10</w:t>
            </w:r>
          </w:p>
        </w:tc>
        <w:tc>
          <w:tcPr>
            <w:tcW w:w="749" w:type="dxa"/>
          </w:tcPr>
          <w:p w14:paraId="430F0207" w14:textId="70985F5D" w:rsidR="00D60F5E" w:rsidRPr="006A72CD" w:rsidRDefault="00D60F5E" w:rsidP="00D60F5E">
            <w:pPr>
              <w:pStyle w:val="TableText"/>
              <w:rPr>
                <w:szCs w:val="24"/>
              </w:rPr>
            </w:pPr>
            <w:r w:rsidRPr="004E6574">
              <w:rPr>
                <w:color w:val="000000"/>
                <w:szCs w:val="24"/>
              </w:rPr>
              <w:t>12</w:t>
            </w:r>
          </w:p>
        </w:tc>
        <w:tc>
          <w:tcPr>
            <w:tcW w:w="576" w:type="dxa"/>
            <w:noWrap/>
          </w:tcPr>
          <w:p w14:paraId="31CDA507" w14:textId="208F7803" w:rsidR="00D60F5E" w:rsidRPr="006A72CD" w:rsidRDefault="00D60F5E" w:rsidP="00D60F5E">
            <w:pPr>
              <w:pStyle w:val="TableText"/>
              <w:rPr>
                <w:szCs w:val="24"/>
              </w:rPr>
            </w:pPr>
            <w:r w:rsidRPr="004E6574">
              <w:rPr>
                <w:color w:val="000000"/>
                <w:szCs w:val="24"/>
              </w:rPr>
              <w:t>6.4</w:t>
            </w:r>
          </w:p>
        </w:tc>
        <w:tc>
          <w:tcPr>
            <w:tcW w:w="576" w:type="dxa"/>
          </w:tcPr>
          <w:p w14:paraId="3940D942" w14:textId="6B4FB6B6" w:rsidR="00D60F5E" w:rsidRPr="006A72CD" w:rsidRDefault="00D60F5E" w:rsidP="00D60F5E">
            <w:pPr>
              <w:pStyle w:val="TableText"/>
              <w:rPr>
                <w:szCs w:val="24"/>
              </w:rPr>
            </w:pPr>
            <w:r w:rsidRPr="004E6574">
              <w:rPr>
                <w:color w:val="000000"/>
                <w:szCs w:val="24"/>
              </w:rPr>
              <w:t>3.4</w:t>
            </w:r>
          </w:p>
        </w:tc>
        <w:tc>
          <w:tcPr>
            <w:tcW w:w="576" w:type="dxa"/>
            <w:noWrap/>
          </w:tcPr>
          <w:p w14:paraId="07DB790B" w14:textId="6C214DEA" w:rsidR="00D60F5E" w:rsidRPr="006A72CD" w:rsidRDefault="00D60F5E" w:rsidP="00D60F5E">
            <w:pPr>
              <w:pStyle w:val="TableText"/>
              <w:rPr>
                <w:szCs w:val="24"/>
              </w:rPr>
            </w:pPr>
            <w:r w:rsidRPr="00B65169">
              <w:rPr>
                <w:color w:val="000000"/>
                <w:szCs w:val="24"/>
              </w:rPr>
              <w:t>0</w:t>
            </w:r>
          </w:p>
        </w:tc>
        <w:tc>
          <w:tcPr>
            <w:tcW w:w="576" w:type="dxa"/>
            <w:noWrap/>
          </w:tcPr>
          <w:p w14:paraId="09BF5A17" w14:textId="54B6F621" w:rsidR="00D60F5E" w:rsidRPr="006A72CD" w:rsidRDefault="00D60F5E" w:rsidP="00D60F5E">
            <w:pPr>
              <w:pStyle w:val="TableText"/>
              <w:rPr>
                <w:szCs w:val="24"/>
              </w:rPr>
            </w:pPr>
            <w:r w:rsidRPr="004E6574">
              <w:rPr>
                <w:color w:val="000000"/>
                <w:szCs w:val="24"/>
              </w:rPr>
              <w:t>12</w:t>
            </w:r>
          </w:p>
        </w:tc>
        <w:tc>
          <w:tcPr>
            <w:tcW w:w="864" w:type="dxa"/>
          </w:tcPr>
          <w:p w14:paraId="0CEFD596" w14:textId="0A0D2E07" w:rsidR="00D60F5E" w:rsidRPr="004B2D24" w:rsidRDefault="00D60F5E" w:rsidP="00D60F5E">
            <w:pPr>
              <w:pStyle w:val="TableText"/>
              <w:rPr>
                <w:color w:val="000000"/>
                <w:szCs w:val="24"/>
              </w:rPr>
            </w:pPr>
            <w:r w:rsidRPr="004E6574">
              <w:rPr>
                <w:color w:val="000000"/>
                <w:szCs w:val="24"/>
              </w:rPr>
              <w:t>53.3</w:t>
            </w:r>
          </w:p>
        </w:tc>
      </w:tr>
      <w:tr w:rsidR="00D60F5E" w:rsidRPr="004B2D24" w14:paraId="36E71CA5" w14:textId="77777777" w:rsidTr="003F570B">
        <w:tc>
          <w:tcPr>
            <w:tcW w:w="4896" w:type="dxa"/>
            <w:noWrap/>
            <w:hideMark/>
          </w:tcPr>
          <w:p w14:paraId="5527DB64" w14:textId="3FF92EE8" w:rsidR="003F570B" w:rsidRPr="004B2D24" w:rsidRDefault="00D60F5E" w:rsidP="003F570B">
            <w:pPr>
              <w:pStyle w:val="TableText"/>
              <w:keepNext/>
            </w:pPr>
            <w:r w:rsidRPr="004B2D24">
              <w:lastRenderedPageBreak/>
              <w:t>PT 1 Version 3 (Life Sciences)</w:t>
            </w:r>
          </w:p>
        </w:tc>
        <w:tc>
          <w:tcPr>
            <w:tcW w:w="617" w:type="dxa"/>
          </w:tcPr>
          <w:p w14:paraId="751874AD" w14:textId="3AFBBD11" w:rsidR="00D60F5E" w:rsidRPr="006A72CD" w:rsidRDefault="00D60F5E" w:rsidP="003F570B">
            <w:pPr>
              <w:pStyle w:val="TableText"/>
              <w:keepNext/>
              <w:rPr>
                <w:szCs w:val="24"/>
              </w:rPr>
            </w:pPr>
            <w:r w:rsidRPr="004E6574">
              <w:rPr>
                <w:color w:val="000000"/>
                <w:szCs w:val="24"/>
              </w:rPr>
              <w:t>142</w:t>
            </w:r>
          </w:p>
        </w:tc>
        <w:tc>
          <w:tcPr>
            <w:tcW w:w="576" w:type="dxa"/>
            <w:noWrap/>
          </w:tcPr>
          <w:p w14:paraId="4640F986" w14:textId="669114EF" w:rsidR="00D60F5E" w:rsidRPr="006A72CD" w:rsidRDefault="00D60F5E" w:rsidP="003F570B">
            <w:pPr>
              <w:pStyle w:val="TableText"/>
              <w:keepNext/>
              <w:rPr>
                <w:szCs w:val="24"/>
              </w:rPr>
            </w:pPr>
            <w:r w:rsidRPr="00B65169">
              <w:rPr>
                <w:color w:val="000000"/>
                <w:szCs w:val="24"/>
              </w:rPr>
              <w:t>10</w:t>
            </w:r>
          </w:p>
        </w:tc>
        <w:tc>
          <w:tcPr>
            <w:tcW w:w="749" w:type="dxa"/>
          </w:tcPr>
          <w:p w14:paraId="45B15A14" w14:textId="66DCF3E8" w:rsidR="00D60F5E" w:rsidRPr="006A72CD" w:rsidRDefault="00D60F5E" w:rsidP="003F570B">
            <w:pPr>
              <w:pStyle w:val="TableText"/>
              <w:keepNext/>
              <w:rPr>
                <w:szCs w:val="24"/>
              </w:rPr>
            </w:pPr>
            <w:r w:rsidRPr="004E6574">
              <w:rPr>
                <w:color w:val="000000"/>
                <w:szCs w:val="24"/>
              </w:rPr>
              <w:t>12</w:t>
            </w:r>
          </w:p>
        </w:tc>
        <w:tc>
          <w:tcPr>
            <w:tcW w:w="576" w:type="dxa"/>
            <w:noWrap/>
          </w:tcPr>
          <w:p w14:paraId="3FD98749" w14:textId="4585F860" w:rsidR="00D60F5E" w:rsidRPr="006A72CD" w:rsidRDefault="00D60F5E" w:rsidP="003F570B">
            <w:pPr>
              <w:pStyle w:val="TableText"/>
              <w:keepNext/>
              <w:rPr>
                <w:szCs w:val="24"/>
              </w:rPr>
            </w:pPr>
            <w:r w:rsidRPr="00B65169">
              <w:rPr>
                <w:color w:val="000000"/>
                <w:szCs w:val="24"/>
              </w:rPr>
              <w:t>7.5</w:t>
            </w:r>
          </w:p>
        </w:tc>
        <w:tc>
          <w:tcPr>
            <w:tcW w:w="576" w:type="dxa"/>
          </w:tcPr>
          <w:p w14:paraId="1727C314" w14:textId="36AB7472" w:rsidR="00D60F5E" w:rsidRPr="006A72CD" w:rsidRDefault="00D60F5E" w:rsidP="003F570B">
            <w:pPr>
              <w:pStyle w:val="TableText"/>
              <w:keepNext/>
              <w:rPr>
                <w:szCs w:val="24"/>
              </w:rPr>
            </w:pPr>
            <w:r w:rsidRPr="00B65169">
              <w:rPr>
                <w:color w:val="000000"/>
                <w:szCs w:val="24"/>
              </w:rPr>
              <w:t>3.6</w:t>
            </w:r>
          </w:p>
        </w:tc>
        <w:tc>
          <w:tcPr>
            <w:tcW w:w="576" w:type="dxa"/>
            <w:noWrap/>
          </w:tcPr>
          <w:p w14:paraId="6B739BA6" w14:textId="6A9F1234" w:rsidR="00D60F5E" w:rsidRPr="006A72CD" w:rsidRDefault="00D60F5E" w:rsidP="003F570B">
            <w:pPr>
              <w:pStyle w:val="TableText"/>
              <w:keepNext/>
              <w:rPr>
                <w:szCs w:val="24"/>
              </w:rPr>
            </w:pPr>
            <w:r w:rsidRPr="004E6574">
              <w:rPr>
                <w:color w:val="000000"/>
                <w:szCs w:val="24"/>
              </w:rPr>
              <w:t>0</w:t>
            </w:r>
          </w:p>
        </w:tc>
        <w:tc>
          <w:tcPr>
            <w:tcW w:w="576" w:type="dxa"/>
            <w:noWrap/>
          </w:tcPr>
          <w:p w14:paraId="4D2710C9" w14:textId="738A3818" w:rsidR="00D60F5E" w:rsidRPr="006A72CD" w:rsidRDefault="00D60F5E" w:rsidP="003F570B">
            <w:pPr>
              <w:pStyle w:val="TableText"/>
              <w:keepNext/>
              <w:rPr>
                <w:szCs w:val="24"/>
              </w:rPr>
            </w:pPr>
            <w:r w:rsidRPr="004E6574">
              <w:rPr>
                <w:color w:val="000000"/>
                <w:szCs w:val="24"/>
              </w:rPr>
              <w:t>12</w:t>
            </w:r>
          </w:p>
        </w:tc>
        <w:tc>
          <w:tcPr>
            <w:tcW w:w="864" w:type="dxa"/>
          </w:tcPr>
          <w:p w14:paraId="6EBBD4FF" w14:textId="1896DD71" w:rsidR="00D60F5E" w:rsidRPr="004B2D24" w:rsidRDefault="00D60F5E" w:rsidP="003F570B">
            <w:pPr>
              <w:pStyle w:val="TableText"/>
              <w:keepNext/>
              <w:rPr>
                <w:color w:val="000000"/>
                <w:szCs w:val="24"/>
              </w:rPr>
            </w:pPr>
            <w:r w:rsidRPr="004E6574">
              <w:rPr>
                <w:color w:val="000000"/>
                <w:szCs w:val="24"/>
              </w:rPr>
              <w:t>62.5</w:t>
            </w:r>
          </w:p>
        </w:tc>
      </w:tr>
      <w:tr w:rsidR="00D60F5E" w:rsidRPr="004B2D24" w14:paraId="4FC83BEA" w14:textId="77777777" w:rsidTr="003F570B">
        <w:tc>
          <w:tcPr>
            <w:tcW w:w="4896" w:type="dxa"/>
            <w:noWrap/>
          </w:tcPr>
          <w:p w14:paraId="5B42AFE5" w14:textId="77777777" w:rsidR="00D60F5E" w:rsidRPr="004B2D24" w:rsidRDefault="00D60F5E" w:rsidP="003F570B">
            <w:pPr>
              <w:pStyle w:val="TableText"/>
              <w:keepNext/>
            </w:pPr>
            <w:r w:rsidRPr="004B2D24">
              <w:t>PT 2 Version 3 (Physical Sciences)</w:t>
            </w:r>
          </w:p>
        </w:tc>
        <w:tc>
          <w:tcPr>
            <w:tcW w:w="617" w:type="dxa"/>
          </w:tcPr>
          <w:p w14:paraId="2862C8BF" w14:textId="3F9666B2" w:rsidR="00D60F5E" w:rsidRPr="004B2D24" w:rsidRDefault="00D60F5E" w:rsidP="003F570B">
            <w:pPr>
              <w:pStyle w:val="TableText"/>
              <w:keepNext/>
              <w:rPr>
                <w:color w:val="000000"/>
                <w:szCs w:val="24"/>
              </w:rPr>
            </w:pPr>
            <w:r w:rsidRPr="004E6574">
              <w:rPr>
                <w:color w:val="000000"/>
                <w:szCs w:val="24"/>
              </w:rPr>
              <w:t>142</w:t>
            </w:r>
          </w:p>
        </w:tc>
        <w:tc>
          <w:tcPr>
            <w:tcW w:w="576" w:type="dxa"/>
            <w:noWrap/>
          </w:tcPr>
          <w:p w14:paraId="70BC1815" w14:textId="07EEA31E" w:rsidR="00D60F5E" w:rsidRPr="004B2D24" w:rsidRDefault="00D60F5E" w:rsidP="003F570B">
            <w:pPr>
              <w:pStyle w:val="TableText"/>
              <w:keepNext/>
              <w:rPr>
                <w:color w:val="000000"/>
                <w:szCs w:val="24"/>
              </w:rPr>
            </w:pPr>
            <w:r w:rsidRPr="004E6574">
              <w:rPr>
                <w:color w:val="000000"/>
                <w:szCs w:val="24"/>
              </w:rPr>
              <w:t>10</w:t>
            </w:r>
          </w:p>
        </w:tc>
        <w:tc>
          <w:tcPr>
            <w:tcW w:w="749" w:type="dxa"/>
          </w:tcPr>
          <w:p w14:paraId="7AF4CF84" w14:textId="68F47150" w:rsidR="00D60F5E" w:rsidRPr="004B2D24" w:rsidRDefault="00D60F5E" w:rsidP="003F570B">
            <w:pPr>
              <w:pStyle w:val="TableText"/>
              <w:keepNext/>
              <w:rPr>
                <w:color w:val="000000"/>
                <w:szCs w:val="24"/>
              </w:rPr>
            </w:pPr>
            <w:r w:rsidRPr="00B65169">
              <w:rPr>
                <w:color w:val="000000"/>
                <w:szCs w:val="24"/>
              </w:rPr>
              <w:t>12</w:t>
            </w:r>
          </w:p>
        </w:tc>
        <w:tc>
          <w:tcPr>
            <w:tcW w:w="576" w:type="dxa"/>
            <w:noWrap/>
          </w:tcPr>
          <w:p w14:paraId="1CC9FEC1" w14:textId="04AC0BD8" w:rsidR="00D60F5E" w:rsidRPr="004B2D24" w:rsidRDefault="00D60F5E" w:rsidP="003F570B">
            <w:pPr>
              <w:pStyle w:val="TableText"/>
              <w:keepNext/>
              <w:rPr>
                <w:color w:val="000000"/>
                <w:szCs w:val="24"/>
              </w:rPr>
            </w:pPr>
            <w:r w:rsidRPr="00B65169">
              <w:rPr>
                <w:color w:val="000000"/>
                <w:szCs w:val="24"/>
              </w:rPr>
              <w:t>6.9</w:t>
            </w:r>
          </w:p>
        </w:tc>
        <w:tc>
          <w:tcPr>
            <w:tcW w:w="576" w:type="dxa"/>
          </w:tcPr>
          <w:p w14:paraId="0C3EF913" w14:textId="6EBA011A" w:rsidR="00D60F5E" w:rsidRPr="004B2D24" w:rsidRDefault="00D60F5E" w:rsidP="003F570B">
            <w:pPr>
              <w:pStyle w:val="TableText"/>
              <w:keepNext/>
              <w:rPr>
                <w:color w:val="000000"/>
                <w:szCs w:val="24"/>
              </w:rPr>
            </w:pPr>
            <w:r w:rsidRPr="00B65169">
              <w:rPr>
                <w:color w:val="000000"/>
                <w:szCs w:val="24"/>
              </w:rPr>
              <w:t>3.2</w:t>
            </w:r>
          </w:p>
        </w:tc>
        <w:tc>
          <w:tcPr>
            <w:tcW w:w="576" w:type="dxa"/>
            <w:noWrap/>
          </w:tcPr>
          <w:p w14:paraId="66E601E7" w14:textId="70C94677" w:rsidR="00D60F5E" w:rsidRPr="004B2D24" w:rsidRDefault="00D60F5E" w:rsidP="003F570B">
            <w:pPr>
              <w:pStyle w:val="TableText"/>
              <w:keepNext/>
              <w:rPr>
                <w:color w:val="000000"/>
                <w:szCs w:val="24"/>
              </w:rPr>
            </w:pPr>
            <w:r w:rsidRPr="004E6574">
              <w:rPr>
                <w:color w:val="000000"/>
                <w:szCs w:val="24"/>
              </w:rPr>
              <w:t>0</w:t>
            </w:r>
          </w:p>
        </w:tc>
        <w:tc>
          <w:tcPr>
            <w:tcW w:w="576" w:type="dxa"/>
            <w:noWrap/>
          </w:tcPr>
          <w:p w14:paraId="20E3D702" w14:textId="74A14587" w:rsidR="00D60F5E" w:rsidRPr="004B2D24" w:rsidRDefault="00D60F5E" w:rsidP="003F570B">
            <w:pPr>
              <w:pStyle w:val="TableText"/>
              <w:keepNext/>
              <w:rPr>
                <w:color w:val="000000"/>
                <w:szCs w:val="24"/>
              </w:rPr>
            </w:pPr>
            <w:r w:rsidRPr="00B65169">
              <w:rPr>
                <w:color w:val="000000"/>
                <w:szCs w:val="24"/>
              </w:rPr>
              <w:t>12</w:t>
            </w:r>
          </w:p>
        </w:tc>
        <w:tc>
          <w:tcPr>
            <w:tcW w:w="864" w:type="dxa"/>
          </w:tcPr>
          <w:p w14:paraId="5FBC2444" w14:textId="69F54773" w:rsidR="00D60F5E" w:rsidRPr="006A72CD" w:rsidRDefault="00D60F5E" w:rsidP="003F570B">
            <w:pPr>
              <w:pStyle w:val="TableText"/>
              <w:keepNext/>
              <w:rPr>
                <w:color w:val="000000"/>
                <w:szCs w:val="24"/>
              </w:rPr>
            </w:pPr>
            <w:r w:rsidRPr="004E6574">
              <w:rPr>
                <w:color w:val="000000"/>
                <w:szCs w:val="24"/>
              </w:rPr>
              <w:t>57.5</w:t>
            </w:r>
          </w:p>
        </w:tc>
      </w:tr>
      <w:tr w:rsidR="00D60F5E" w:rsidRPr="004B2D24" w14:paraId="59445029" w14:textId="77777777" w:rsidTr="003F570B">
        <w:tc>
          <w:tcPr>
            <w:tcW w:w="4896" w:type="dxa"/>
            <w:noWrap/>
          </w:tcPr>
          <w:p w14:paraId="4FAF5979" w14:textId="77777777" w:rsidR="00D60F5E" w:rsidRPr="004B2D24" w:rsidRDefault="00D60F5E" w:rsidP="003F570B">
            <w:pPr>
              <w:pStyle w:val="TableText"/>
              <w:keepNext/>
            </w:pPr>
            <w:r w:rsidRPr="004B2D24">
              <w:t>PT 3 Version 3 (Earth and Space Sciences)</w:t>
            </w:r>
          </w:p>
        </w:tc>
        <w:tc>
          <w:tcPr>
            <w:tcW w:w="617" w:type="dxa"/>
          </w:tcPr>
          <w:p w14:paraId="15084C27" w14:textId="574F01A8" w:rsidR="00D60F5E" w:rsidRPr="004B2D24" w:rsidRDefault="00D60F5E" w:rsidP="003F570B">
            <w:pPr>
              <w:pStyle w:val="TableText"/>
              <w:keepNext/>
              <w:rPr>
                <w:color w:val="000000"/>
                <w:szCs w:val="24"/>
              </w:rPr>
            </w:pPr>
            <w:r w:rsidRPr="004E6574">
              <w:rPr>
                <w:color w:val="000000"/>
                <w:szCs w:val="24"/>
              </w:rPr>
              <w:t>142</w:t>
            </w:r>
          </w:p>
        </w:tc>
        <w:tc>
          <w:tcPr>
            <w:tcW w:w="576" w:type="dxa"/>
            <w:noWrap/>
          </w:tcPr>
          <w:p w14:paraId="7A5E3BCC" w14:textId="0CFF7FF9" w:rsidR="00D60F5E" w:rsidRPr="004B2D24" w:rsidRDefault="00D60F5E" w:rsidP="003F570B">
            <w:pPr>
              <w:pStyle w:val="TableText"/>
              <w:keepNext/>
              <w:rPr>
                <w:color w:val="000000"/>
                <w:szCs w:val="24"/>
              </w:rPr>
            </w:pPr>
            <w:r w:rsidRPr="00B65169">
              <w:rPr>
                <w:color w:val="000000"/>
                <w:szCs w:val="24"/>
              </w:rPr>
              <w:t>10</w:t>
            </w:r>
          </w:p>
        </w:tc>
        <w:tc>
          <w:tcPr>
            <w:tcW w:w="749" w:type="dxa"/>
          </w:tcPr>
          <w:p w14:paraId="0C28F3D4" w14:textId="40DD2330" w:rsidR="00D60F5E" w:rsidRPr="004B2D24" w:rsidRDefault="00D60F5E" w:rsidP="003F570B">
            <w:pPr>
              <w:pStyle w:val="TableText"/>
              <w:keepNext/>
              <w:rPr>
                <w:color w:val="000000"/>
                <w:szCs w:val="24"/>
              </w:rPr>
            </w:pPr>
            <w:r w:rsidRPr="004E6574">
              <w:rPr>
                <w:color w:val="000000"/>
                <w:szCs w:val="24"/>
              </w:rPr>
              <w:t>12</w:t>
            </w:r>
          </w:p>
        </w:tc>
        <w:tc>
          <w:tcPr>
            <w:tcW w:w="576" w:type="dxa"/>
            <w:noWrap/>
          </w:tcPr>
          <w:p w14:paraId="1A1EC317" w14:textId="7E9BB6F5" w:rsidR="00D60F5E" w:rsidRPr="004B2D24" w:rsidRDefault="00D60F5E" w:rsidP="003F570B">
            <w:pPr>
              <w:pStyle w:val="TableText"/>
              <w:keepNext/>
              <w:rPr>
                <w:color w:val="000000"/>
                <w:szCs w:val="24"/>
              </w:rPr>
            </w:pPr>
            <w:r w:rsidRPr="00B65169">
              <w:rPr>
                <w:color w:val="000000"/>
                <w:szCs w:val="24"/>
              </w:rPr>
              <w:t>6.9</w:t>
            </w:r>
          </w:p>
        </w:tc>
        <w:tc>
          <w:tcPr>
            <w:tcW w:w="576" w:type="dxa"/>
          </w:tcPr>
          <w:p w14:paraId="292F103D" w14:textId="01C2E6EA" w:rsidR="00D60F5E" w:rsidRPr="004B2D24" w:rsidRDefault="00D60F5E" w:rsidP="003F570B">
            <w:pPr>
              <w:pStyle w:val="TableText"/>
              <w:keepNext/>
              <w:rPr>
                <w:color w:val="000000"/>
                <w:szCs w:val="24"/>
              </w:rPr>
            </w:pPr>
            <w:r w:rsidRPr="00B65169">
              <w:rPr>
                <w:color w:val="000000"/>
                <w:szCs w:val="24"/>
              </w:rPr>
              <w:t>3.3</w:t>
            </w:r>
          </w:p>
        </w:tc>
        <w:tc>
          <w:tcPr>
            <w:tcW w:w="576" w:type="dxa"/>
            <w:noWrap/>
          </w:tcPr>
          <w:p w14:paraId="0D8EC78F" w14:textId="2D215435" w:rsidR="00D60F5E" w:rsidRPr="004B2D24" w:rsidRDefault="00D60F5E" w:rsidP="003F570B">
            <w:pPr>
              <w:pStyle w:val="TableText"/>
              <w:keepNext/>
              <w:rPr>
                <w:color w:val="000000"/>
                <w:szCs w:val="24"/>
              </w:rPr>
            </w:pPr>
            <w:r w:rsidRPr="004E6574">
              <w:rPr>
                <w:color w:val="000000"/>
                <w:szCs w:val="24"/>
              </w:rPr>
              <w:t>0</w:t>
            </w:r>
          </w:p>
        </w:tc>
        <w:tc>
          <w:tcPr>
            <w:tcW w:w="576" w:type="dxa"/>
            <w:noWrap/>
          </w:tcPr>
          <w:p w14:paraId="398A72CB" w14:textId="72A84DBE" w:rsidR="00D60F5E" w:rsidRPr="004B2D24" w:rsidRDefault="00D60F5E" w:rsidP="003F570B">
            <w:pPr>
              <w:pStyle w:val="TableText"/>
              <w:keepNext/>
              <w:rPr>
                <w:color w:val="000000"/>
                <w:szCs w:val="24"/>
              </w:rPr>
            </w:pPr>
            <w:r w:rsidRPr="00B65169">
              <w:rPr>
                <w:color w:val="000000"/>
                <w:szCs w:val="24"/>
              </w:rPr>
              <w:t>12</w:t>
            </w:r>
          </w:p>
        </w:tc>
        <w:tc>
          <w:tcPr>
            <w:tcW w:w="864" w:type="dxa"/>
          </w:tcPr>
          <w:p w14:paraId="0F62B848" w14:textId="3DBB76B9" w:rsidR="00D60F5E" w:rsidRPr="006A72CD" w:rsidRDefault="00D60F5E" w:rsidP="003F570B">
            <w:pPr>
              <w:pStyle w:val="TableText"/>
              <w:keepNext/>
              <w:rPr>
                <w:color w:val="000000"/>
                <w:szCs w:val="24"/>
              </w:rPr>
            </w:pPr>
            <w:r w:rsidRPr="004E6574">
              <w:rPr>
                <w:color w:val="000000"/>
                <w:szCs w:val="24"/>
              </w:rPr>
              <w:t>57.5</w:t>
            </w:r>
          </w:p>
        </w:tc>
      </w:tr>
      <w:tr w:rsidR="00D60F5E" w:rsidRPr="004B2D24" w14:paraId="4A938EFD" w14:textId="77777777" w:rsidTr="003F570B">
        <w:tc>
          <w:tcPr>
            <w:tcW w:w="4896" w:type="dxa"/>
            <w:noWrap/>
          </w:tcPr>
          <w:p w14:paraId="2CC422F7" w14:textId="77777777" w:rsidR="00D60F5E" w:rsidRPr="004B2D24" w:rsidRDefault="00D60F5E" w:rsidP="003F570B">
            <w:pPr>
              <w:pStyle w:val="TableText"/>
              <w:keepNext/>
            </w:pPr>
            <w:r w:rsidRPr="004B2D24">
              <w:t>PT 1 Version 4 (Life Sciences)</w:t>
            </w:r>
          </w:p>
        </w:tc>
        <w:tc>
          <w:tcPr>
            <w:tcW w:w="617" w:type="dxa"/>
          </w:tcPr>
          <w:p w14:paraId="7B7E310C" w14:textId="36C6E2FE" w:rsidR="00D60F5E" w:rsidRPr="004B2D24" w:rsidRDefault="00D60F5E" w:rsidP="003F570B">
            <w:pPr>
              <w:pStyle w:val="TableText"/>
              <w:keepNext/>
              <w:rPr>
                <w:color w:val="000000"/>
                <w:szCs w:val="24"/>
              </w:rPr>
            </w:pPr>
            <w:r w:rsidRPr="00B65169">
              <w:rPr>
                <w:color w:val="000000"/>
                <w:szCs w:val="24"/>
              </w:rPr>
              <w:t>97</w:t>
            </w:r>
          </w:p>
        </w:tc>
        <w:tc>
          <w:tcPr>
            <w:tcW w:w="576" w:type="dxa"/>
            <w:noWrap/>
          </w:tcPr>
          <w:p w14:paraId="332C98F7" w14:textId="06FF0C35" w:rsidR="00D60F5E" w:rsidRPr="004B2D24" w:rsidRDefault="00D60F5E" w:rsidP="003F570B">
            <w:pPr>
              <w:pStyle w:val="TableText"/>
              <w:keepNext/>
              <w:rPr>
                <w:color w:val="000000"/>
                <w:szCs w:val="24"/>
              </w:rPr>
            </w:pPr>
            <w:r w:rsidRPr="00B65169">
              <w:rPr>
                <w:color w:val="000000"/>
                <w:szCs w:val="24"/>
              </w:rPr>
              <w:t>10</w:t>
            </w:r>
          </w:p>
        </w:tc>
        <w:tc>
          <w:tcPr>
            <w:tcW w:w="749" w:type="dxa"/>
          </w:tcPr>
          <w:p w14:paraId="50F4FC18" w14:textId="0184103E" w:rsidR="00D60F5E" w:rsidRPr="004B2D24" w:rsidRDefault="00D60F5E" w:rsidP="003F570B">
            <w:pPr>
              <w:pStyle w:val="TableText"/>
              <w:keepNext/>
              <w:rPr>
                <w:color w:val="000000"/>
                <w:szCs w:val="24"/>
              </w:rPr>
            </w:pPr>
            <w:r w:rsidRPr="00B65169">
              <w:rPr>
                <w:color w:val="000000"/>
                <w:szCs w:val="24"/>
              </w:rPr>
              <w:t>12</w:t>
            </w:r>
          </w:p>
        </w:tc>
        <w:tc>
          <w:tcPr>
            <w:tcW w:w="576" w:type="dxa"/>
            <w:noWrap/>
          </w:tcPr>
          <w:p w14:paraId="6177FFAE" w14:textId="426FDCD6" w:rsidR="00D60F5E" w:rsidRPr="004B2D24" w:rsidRDefault="00D60F5E" w:rsidP="003F570B">
            <w:pPr>
              <w:pStyle w:val="TableText"/>
              <w:keepNext/>
              <w:rPr>
                <w:color w:val="000000"/>
                <w:szCs w:val="24"/>
              </w:rPr>
            </w:pPr>
            <w:r w:rsidRPr="00B65169">
              <w:rPr>
                <w:color w:val="000000"/>
                <w:szCs w:val="24"/>
              </w:rPr>
              <w:t>8.2</w:t>
            </w:r>
          </w:p>
        </w:tc>
        <w:tc>
          <w:tcPr>
            <w:tcW w:w="576" w:type="dxa"/>
          </w:tcPr>
          <w:p w14:paraId="5398A3AE" w14:textId="5BC6650E" w:rsidR="00D60F5E" w:rsidRPr="004B2D24" w:rsidRDefault="00D60F5E" w:rsidP="003F570B">
            <w:pPr>
              <w:pStyle w:val="TableText"/>
              <w:keepNext/>
              <w:rPr>
                <w:color w:val="000000"/>
                <w:szCs w:val="24"/>
              </w:rPr>
            </w:pPr>
            <w:r w:rsidRPr="004E6574">
              <w:rPr>
                <w:color w:val="000000"/>
                <w:szCs w:val="24"/>
              </w:rPr>
              <w:t>3.6</w:t>
            </w:r>
          </w:p>
        </w:tc>
        <w:tc>
          <w:tcPr>
            <w:tcW w:w="576" w:type="dxa"/>
            <w:noWrap/>
          </w:tcPr>
          <w:p w14:paraId="21CC3283" w14:textId="651FBFB9" w:rsidR="00D60F5E" w:rsidRPr="004B2D24" w:rsidRDefault="00D60F5E" w:rsidP="003F570B">
            <w:pPr>
              <w:pStyle w:val="TableText"/>
              <w:keepNext/>
              <w:rPr>
                <w:color w:val="000000"/>
                <w:szCs w:val="24"/>
              </w:rPr>
            </w:pPr>
            <w:r w:rsidRPr="00B65169">
              <w:rPr>
                <w:color w:val="000000"/>
                <w:szCs w:val="24"/>
              </w:rPr>
              <w:t>0</w:t>
            </w:r>
          </w:p>
        </w:tc>
        <w:tc>
          <w:tcPr>
            <w:tcW w:w="576" w:type="dxa"/>
            <w:noWrap/>
          </w:tcPr>
          <w:p w14:paraId="31BA9F70" w14:textId="0E0AFCCB" w:rsidR="00D60F5E" w:rsidRPr="004B2D24" w:rsidRDefault="00D60F5E" w:rsidP="003F570B">
            <w:pPr>
              <w:pStyle w:val="TableText"/>
              <w:keepNext/>
              <w:rPr>
                <w:color w:val="000000"/>
                <w:szCs w:val="24"/>
              </w:rPr>
            </w:pPr>
            <w:r w:rsidRPr="00B65169">
              <w:rPr>
                <w:color w:val="000000"/>
                <w:szCs w:val="24"/>
              </w:rPr>
              <w:t>12</w:t>
            </w:r>
          </w:p>
        </w:tc>
        <w:tc>
          <w:tcPr>
            <w:tcW w:w="864" w:type="dxa"/>
          </w:tcPr>
          <w:p w14:paraId="5F8348FA" w14:textId="5690B064" w:rsidR="00D60F5E" w:rsidRPr="006A72CD" w:rsidRDefault="00D60F5E" w:rsidP="003F570B">
            <w:pPr>
              <w:pStyle w:val="TableText"/>
              <w:keepNext/>
              <w:rPr>
                <w:color w:val="000000"/>
                <w:szCs w:val="24"/>
              </w:rPr>
            </w:pPr>
            <w:r w:rsidRPr="00B65169">
              <w:rPr>
                <w:color w:val="000000"/>
                <w:szCs w:val="24"/>
              </w:rPr>
              <w:t>68.3</w:t>
            </w:r>
          </w:p>
        </w:tc>
      </w:tr>
      <w:tr w:rsidR="00D60F5E" w:rsidRPr="004B2D24" w14:paraId="79EF4F4A" w14:textId="77777777" w:rsidTr="003F570B">
        <w:tc>
          <w:tcPr>
            <w:tcW w:w="4896" w:type="dxa"/>
            <w:noWrap/>
          </w:tcPr>
          <w:p w14:paraId="19E15688" w14:textId="77777777" w:rsidR="00D60F5E" w:rsidRPr="004B2D24" w:rsidRDefault="00D60F5E" w:rsidP="003F570B">
            <w:pPr>
              <w:pStyle w:val="TableText"/>
              <w:keepNext/>
            </w:pPr>
            <w:r w:rsidRPr="004B2D24">
              <w:t>PT 2 Version 4 (Physical Sciences)</w:t>
            </w:r>
          </w:p>
        </w:tc>
        <w:tc>
          <w:tcPr>
            <w:tcW w:w="617" w:type="dxa"/>
          </w:tcPr>
          <w:p w14:paraId="74C151FB" w14:textId="5877CE11" w:rsidR="00D60F5E" w:rsidRPr="004B2D24" w:rsidRDefault="00D60F5E" w:rsidP="003F570B">
            <w:pPr>
              <w:pStyle w:val="TableText"/>
              <w:keepNext/>
              <w:rPr>
                <w:color w:val="000000"/>
                <w:szCs w:val="24"/>
              </w:rPr>
            </w:pPr>
            <w:r w:rsidRPr="00B65169">
              <w:rPr>
                <w:color w:val="000000"/>
                <w:szCs w:val="24"/>
              </w:rPr>
              <w:t>97</w:t>
            </w:r>
          </w:p>
        </w:tc>
        <w:tc>
          <w:tcPr>
            <w:tcW w:w="576" w:type="dxa"/>
            <w:noWrap/>
          </w:tcPr>
          <w:p w14:paraId="3772FB54" w14:textId="07293CB1" w:rsidR="00D60F5E" w:rsidRPr="004B2D24" w:rsidRDefault="00D60F5E" w:rsidP="003F570B">
            <w:pPr>
              <w:pStyle w:val="TableText"/>
              <w:keepNext/>
              <w:rPr>
                <w:color w:val="000000"/>
                <w:szCs w:val="24"/>
              </w:rPr>
            </w:pPr>
            <w:r w:rsidRPr="00B65169">
              <w:rPr>
                <w:color w:val="000000"/>
                <w:szCs w:val="24"/>
              </w:rPr>
              <w:t>10</w:t>
            </w:r>
          </w:p>
        </w:tc>
        <w:tc>
          <w:tcPr>
            <w:tcW w:w="749" w:type="dxa"/>
          </w:tcPr>
          <w:p w14:paraId="512083C8" w14:textId="540A15F6" w:rsidR="00D60F5E" w:rsidRPr="004B2D24" w:rsidRDefault="00D60F5E" w:rsidP="003F570B">
            <w:pPr>
              <w:pStyle w:val="TableText"/>
              <w:keepNext/>
              <w:rPr>
                <w:color w:val="000000"/>
                <w:szCs w:val="24"/>
              </w:rPr>
            </w:pPr>
            <w:r w:rsidRPr="00B65169">
              <w:rPr>
                <w:color w:val="000000"/>
                <w:szCs w:val="24"/>
              </w:rPr>
              <w:t>12</w:t>
            </w:r>
          </w:p>
        </w:tc>
        <w:tc>
          <w:tcPr>
            <w:tcW w:w="576" w:type="dxa"/>
            <w:noWrap/>
          </w:tcPr>
          <w:p w14:paraId="676C6752" w14:textId="21F95908" w:rsidR="00D60F5E" w:rsidRPr="004B2D24" w:rsidRDefault="00D60F5E" w:rsidP="003F570B">
            <w:pPr>
              <w:pStyle w:val="TableText"/>
              <w:keepNext/>
              <w:rPr>
                <w:color w:val="000000"/>
                <w:szCs w:val="24"/>
              </w:rPr>
            </w:pPr>
            <w:r w:rsidRPr="00B65169">
              <w:rPr>
                <w:color w:val="000000"/>
                <w:szCs w:val="24"/>
              </w:rPr>
              <w:t>7</w:t>
            </w:r>
            <w:r>
              <w:rPr>
                <w:color w:val="000000"/>
                <w:szCs w:val="24"/>
              </w:rPr>
              <w:t>.0</w:t>
            </w:r>
          </w:p>
        </w:tc>
        <w:tc>
          <w:tcPr>
            <w:tcW w:w="576" w:type="dxa"/>
          </w:tcPr>
          <w:p w14:paraId="44C4A28F" w14:textId="07CBD276" w:rsidR="00D60F5E" w:rsidRPr="004B2D24" w:rsidRDefault="00D60F5E" w:rsidP="003F570B">
            <w:pPr>
              <w:pStyle w:val="TableText"/>
              <w:keepNext/>
              <w:rPr>
                <w:color w:val="000000"/>
                <w:szCs w:val="24"/>
              </w:rPr>
            </w:pPr>
            <w:r w:rsidRPr="00B65169">
              <w:rPr>
                <w:color w:val="000000"/>
                <w:szCs w:val="24"/>
              </w:rPr>
              <w:t>3.3</w:t>
            </w:r>
          </w:p>
        </w:tc>
        <w:tc>
          <w:tcPr>
            <w:tcW w:w="576" w:type="dxa"/>
            <w:noWrap/>
          </w:tcPr>
          <w:p w14:paraId="469D25C2" w14:textId="31559C16" w:rsidR="00D60F5E" w:rsidRPr="004B2D24" w:rsidRDefault="00D60F5E" w:rsidP="003F570B">
            <w:pPr>
              <w:pStyle w:val="TableText"/>
              <w:keepNext/>
              <w:rPr>
                <w:color w:val="000000"/>
                <w:szCs w:val="24"/>
              </w:rPr>
            </w:pPr>
            <w:r w:rsidRPr="00B65169">
              <w:rPr>
                <w:color w:val="000000"/>
                <w:szCs w:val="24"/>
              </w:rPr>
              <w:t>0</w:t>
            </w:r>
          </w:p>
        </w:tc>
        <w:tc>
          <w:tcPr>
            <w:tcW w:w="576" w:type="dxa"/>
            <w:noWrap/>
          </w:tcPr>
          <w:p w14:paraId="15BE6D34" w14:textId="3C51B9B4" w:rsidR="00D60F5E" w:rsidRPr="004B2D24" w:rsidRDefault="00D60F5E" w:rsidP="003F570B">
            <w:pPr>
              <w:pStyle w:val="TableText"/>
              <w:keepNext/>
              <w:rPr>
                <w:color w:val="000000"/>
                <w:szCs w:val="24"/>
              </w:rPr>
            </w:pPr>
            <w:r w:rsidRPr="00B65169">
              <w:rPr>
                <w:color w:val="000000"/>
                <w:szCs w:val="24"/>
              </w:rPr>
              <w:t>12</w:t>
            </w:r>
          </w:p>
        </w:tc>
        <w:tc>
          <w:tcPr>
            <w:tcW w:w="864" w:type="dxa"/>
          </w:tcPr>
          <w:p w14:paraId="457022AE" w14:textId="264E13B2" w:rsidR="00D60F5E" w:rsidRPr="006A72CD" w:rsidRDefault="00D60F5E" w:rsidP="003F570B">
            <w:pPr>
              <w:pStyle w:val="TableText"/>
              <w:keepNext/>
              <w:rPr>
                <w:color w:val="000000"/>
                <w:szCs w:val="24"/>
              </w:rPr>
            </w:pPr>
            <w:r w:rsidRPr="00B65169">
              <w:rPr>
                <w:color w:val="000000"/>
                <w:szCs w:val="24"/>
              </w:rPr>
              <w:t>58.3</w:t>
            </w:r>
          </w:p>
        </w:tc>
      </w:tr>
      <w:tr w:rsidR="00D60F5E" w:rsidRPr="00C34C12" w14:paraId="24B1894A" w14:textId="77777777" w:rsidTr="003F570B">
        <w:tc>
          <w:tcPr>
            <w:tcW w:w="4896" w:type="dxa"/>
            <w:noWrap/>
          </w:tcPr>
          <w:p w14:paraId="6CC1C12B" w14:textId="77777777" w:rsidR="00D60F5E" w:rsidRPr="004B2D24" w:rsidRDefault="00D60F5E" w:rsidP="00D60F5E">
            <w:pPr>
              <w:pStyle w:val="TableText"/>
            </w:pPr>
            <w:r w:rsidRPr="004B2D24">
              <w:t>PT 3 Version 4 (Earth and Space Sciences)</w:t>
            </w:r>
          </w:p>
        </w:tc>
        <w:tc>
          <w:tcPr>
            <w:tcW w:w="617" w:type="dxa"/>
          </w:tcPr>
          <w:p w14:paraId="601C6F0D" w14:textId="75D95980" w:rsidR="00D60F5E" w:rsidRPr="004B2D24" w:rsidRDefault="00D60F5E" w:rsidP="00D60F5E">
            <w:pPr>
              <w:pStyle w:val="TableText"/>
              <w:rPr>
                <w:color w:val="000000"/>
                <w:szCs w:val="24"/>
              </w:rPr>
            </w:pPr>
            <w:r w:rsidRPr="00B65169">
              <w:rPr>
                <w:color w:val="000000"/>
                <w:szCs w:val="24"/>
              </w:rPr>
              <w:t>97</w:t>
            </w:r>
          </w:p>
        </w:tc>
        <w:tc>
          <w:tcPr>
            <w:tcW w:w="576" w:type="dxa"/>
            <w:noWrap/>
          </w:tcPr>
          <w:p w14:paraId="3DDD3D3C" w14:textId="2E4B7C49" w:rsidR="00D60F5E" w:rsidRPr="004B2D24" w:rsidRDefault="00D60F5E" w:rsidP="00D60F5E">
            <w:pPr>
              <w:pStyle w:val="TableText"/>
              <w:rPr>
                <w:color w:val="000000"/>
                <w:szCs w:val="24"/>
              </w:rPr>
            </w:pPr>
            <w:r w:rsidRPr="00B65169">
              <w:rPr>
                <w:color w:val="000000"/>
                <w:szCs w:val="24"/>
              </w:rPr>
              <w:t>10</w:t>
            </w:r>
          </w:p>
        </w:tc>
        <w:tc>
          <w:tcPr>
            <w:tcW w:w="749" w:type="dxa"/>
          </w:tcPr>
          <w:p w14:paraId="6B82F5C5" w14:textId="20EBCEDE" w:rsidR="00D60F5E" w:rsidRPr="004B2D24" w:rsidRDefault="00D60F5E" w:rsidP="00D60F5E">
            <w:pPr>
              <w:pStyle w:val="TableText"/>
              <w:rPr>
                <w:color w:val="000000"/>
                <w:szCs w:val="24"/>
              </w:rPr>
            </w:pPr>
            <w:r w:rsidRPr="00B65169">
              <w:rPr>
                <w:color w:val="000000"/>
                <w:szCs w:val="24"/>
              </w:rPr>
              <w:t>12</w:t>
            </w:r>
          </w:p>
        </w:tc>
        <w:tc>
          <w:tcPr>
            <w:tcW w:w="576" w:type="dxa"/>
            <w:noWrap/>
          </w:tcPr>
          <w:p w14:paraId="1A1B71A4" w14:textId="116BE608" w:rsidR="00D60F5E" w:rsidRPr="004B2D24" w:rsidRDefault="00D60F5E" w:rsidP="00D60F5E">
            <w:pPr>
              <w:pStyle w:val="TableText"/>
              <w:rPr>
                <w:color w:val="000000"/>
                <w:szCs w:val="24"/>
              </w:rPr>
            </w:pPr>
            <w:r w:rsidRPr="00B65169">
              <w:rPr>
                <w:color w:val="000000"/>
                <w:szCs w:val="24"/>
              </w:rPr>
              <w:t>7.6</w:t>
            </w:r>
          </w:p>
        </w:tc>
        <w:tc>
          <w:tcPr>
            <w:tcW w:w="576" w:type="dxa"/>
          </w:tcPr>
          <w:p w14:paraId="29E369C9" w14:textId="1C565D52" w:rsidR="00D60F5E" w:rsidRPr="004B2D24" w:rsidRDefault="00D60F5E" w:rsidP="00D60F5E">
            <w:pPr>
              <w:pStyle w:val="TableText"/>
              <w:rPr>
                <w:color w:val="000000"/>
                <w:szCs w:val="24"/>
              </w:rPr>
            </w:pPr>
            <w:r w:rsidRPr="00B65169">
              <w:rPr>
                <w:color w:val="000000"/>
                <w:szCs w:val="24"/>
              </w:rPr>
              <w:t>3.5</w:t>
            </w:r>
          </w:p>
        </w:tc>
        <w:tc>
          <w:tcPr>
            <w:tcW w:w="576" w:type="dxa"/>
            <w:noWrap/>
          </w:tcPr>
          <w:p w14:paraId="145E0942" w14:textId="3846DB78" w:rsidR="00D60F5E" w:rsidRPr="004B2D24" w:rsidRDefault="00D60F5E" w:rsidP="00D60F5E">
            <w:pPr>
              <w:pStyle w:val="TableText"/>
              <w:rPr>
                <w:color w:val="000000"/>
                <w:szCs w:val="24"/>
              </w:rPr>
            </w:pPr>
            <w:r w:rsidRPr="00B65169">
              <w:rPr>
                <w:color w:val="000000"/>
                <w:szCs w:val="24"/>
              </w:rPr>
              <w:t>0</w:t>
            </w:r>
          </w:p>
        </w:tc>
        <w:tc>
          <w:tcPr>
            <w:tcW w:w="576" w:type="dxa"/>
            <w:noWrap/>
          </w:tcPr>
          <w:p w14:paraId="7695D628" w14:textId="115E6BC7" w:rsidR="00D60F5E" w:rsidRPr="004B2D24" w:rsidRDefault="00D60F5E" w:rsidP="00D60F5E">
            <w:pPr>
              <w:pStyle w:val="TableText"/>
              <w:rPr>
                <w:color w:val="000000"/>
                <w:szCs w:val="24"/>
              </w:rPr>
            </w:pPr>
            <w:r w:rsidRPr="00B65169">
              <w:rPr>
                <w:color w:val="000000"/>
                <w:szCs w:val="24"/>
              </w:rPr>
              <w:t>12</w:t>
            </w:r>
          </w:p>
        </w:tc>
        <w:tc>
          <w:tcPr>
            <w:tcW w:w="864" w:type="dxa"/>
          </w:tcPr>
          <w:p w14:paraId="6D45AAAC" w14:textId="6E597B52" w:rsidR="00D60F5E" w:rsidRPr="006A72CD" w:rsidRDefault="00D60F5E" w:rsidP="00D60F5E">
            <w:pPr>
              <w:pStyle w:val="TableText"/>
              <w:rPr>
                <w:color w:val="000000"/>
                <w:szCs w:val="24"/>
              </w:rPr>
            </w:pPr>
            <w:r w:rsidRPr="00B65169">
              <w:rPr>
                <w:color w:val="000000"/>
                <w:szCs w:val="24"/>
              </w:rPr>
              <w:t>63.3</w:t>
            </w:r>
          </w:p>
        </w:tc>
      </w:tr>
    </w:tbl>
    <w:p w14:paraId="5BBCA29C" w14:textId="347CE189" w:rsidR="005B13C5" w:rsidRDefault="009E7756" w:rsidP="00DB6635">
      <w:pPr>
        <w:pStyle w:val="Heading3"/>
        <w:rPr>
          <w:lang w:bidi="en-US"/>
        </w:rPr>
      </w:pPr>
      <w:bookmarkStart w:id="703" w:name="_Differential_Item_Functioning"/>
      <w:bookmarkStart w:id="704" w:name="_Toc182555220"/>
      <w:bookmarkEnd w:id="703"/>
      <w:r w:rsidRPr="2D85FA21">
        <w:rPr>
          <w:lang w:bidi="en-US"/>
        </w:rPr>
        <w:t>Differential Item Functioning</w:t>
      </w:r>
      <w:r w:rsidR="005B13C5" w:rsidRPr="2D85FA21">
        <w:rPr>
          <w:lang w:bidi="en-US"/>
        </w:rPr>
        <w:t xml:space="preserve"> Analyses</w:t>
      </w:r>
      <w:bookmarkEnd w:id="704"/>
    </w:p>
    <w:p w14:paraId="4F0551C1" w14:textId="66CD9055" w:rsidR="007C1023" w:rsidRPr="00C34C12" w:rsidRDefault="00893A53" w:rsidP="007C1023">
      <w:r>
        <w:t xml:space="preserve">In a typical CAA for Science administration, </w:t>
      </w:r>
      <w:r w:rsidR="007C1023" w:rsidRPr="00C34C12">
        <w:t xml:space="preserve">DIF analyses </w:t>
      </w:r>
      <w:r w:rsidR="0034277B">
        <w:t>are</w:t>
      </w:r>
      <w:r w:rsidR="0034277B" w:rsidRPr="00C34C12">
        <w:t xml:space="preserve"> </w:t>
      </w:r>
      <w:r w:rsidR="007C1023" w:rsidRPr="00C34C12">
        <w:t xml:space="preserve">conducted </w:t>
      </w:r>
      <w:r w:rsidR="004421CB">
        <w:t xml:space="preserve">on the </w:t>
      </w:r>
      <w:r w:rsidR="007C1023" w:rsidRPr="00C34C12">
        <w:t xml:space="preserve">CAA for Science items with sufficient sample sizes. The minimum sample size requirements for the DIF analyses </w:t>
      </w:r>
      <w:r w:rsidR="00571DC8">
        <w:t>are</w:t>
      </w:r>
      <w:r w:rsidR="00571DC8" w:rsidRPr="00C34C12">
        <w:t xml:space="preserve"> </w:t>
      </w:r>
      <w:r w:rsidR="007C1023" w:rsidRPr="00C34C12">
        <w:t>400 in the combined focal and reference groups and 100 in the smaller of the two groups. These sample sizes are based on standard operating procedures for DIF analyses at ETS.</w:t>
      </w:r>
    </w:p>
    <w:p w14:paraId="1A1E2B3D" w14:textId="0797638E" w:rsidR="007C1023" w:rsidRDefault="007C1023" w:rsidP="007C1023">
      <w:r w:rsidRPr="00C34C12">
        <w:t>If an item performs differentially across identifiable student groups (e.g., gender or ethnicity) when students are matched on ability, the</w:t>
      </w:r>
      <w:r w:rsidR="00383A8B">
        <w:t xml:space="preserve">n </w:t>
      </w:r>
      <w:r w:rsidRPr="00C34C12">
        <w:t xml:space="preserve">the item may be measuring something other than the intended construct. It is important, however, to recognize that item performance differences flagged for DIF might be related to actual differences in relevant knowledge or skills between student groups (i.e., impact) or statistical Type I error, which might falsely find DIF in an item. As a result, DIF analysis is used mainly as a statistical tool to identify </w:t>
      </w:r>
      <w:r w:rsidRPr="00C34C12">
        <w:rPr>
          <w:i/>
          <w:iCs/>
        </w:rPr>
        <w:t xml:space="preserve">potential </w:t>
      </w:r>
      <w:r w:rsidRPr="00C34C12">
        <w:t>item bias. Subsequent reviews by content experts and bias and sensitivity experts are required to determine the source and meaning of performance differences.</w:t>
      </w:r>
    </w:p>
    <w:p w14:paraId="188846FE" w14:textId="03B41C73" w:rsidR="007C1023" w:rsidRPr="00C34C12" w:rsidRDefault="0090559B" w:rsidP="007C1023">
      <w:pPr>
        <w:pStyle w:val="Heading4"/>
        <w:ind w:left="792" w:hanging="792"/>
      </w:pPr>
      <w:bookmarkStart w:id="705" w:name="_Toc38901303"/>
      <w:bookmarkStart w:id="706" w:name="_Toc182555221"/>
      <w:r>
        <w:t xml:space="preserve">Differential Item Functioning Procedure for </w:t>
      </w:r>
      <w:r w:rsidR="007C1023">
        <w:t>Dichotomous Items</w:t>
      </w:r>
      <w:bookmarkEnd w:id="705"/>
      <w:bookmarkEnd w:id="706"/>
    </w:p>
    <w:p w14:paraId="3F18320D" w14:textId="26ACE9C6" w:rsidR="007C1023" w:rsidRPr="00C34C12" w:rsidRDefault="007C1023" w:rsidP="007C1023">
      <w:r w:rsidRPr="00C34C12">
        <w:t xml:space="preserve">The Mantel-Haenszel (MH) DIF statistic </w:t>
      </w:r>
      <w:r w:rsidR="0090559B">
        <w:t>is</w:t>
      </w:r>
      <w:r w:rsidRPr="00C34C12">
        <w:t xml:space="preserve"> calculated for dichotomous items (Mantel &amp; Haenszel, 1959; Holland &amp; Thayer, 1985). Using the total raw score as the criterion score, students at each raw score level in the focal group (e.g., Hispanic students) are compared with examinees at the same raw score level in the reference group (e.g., non-Hispanic White students). The common odds ratio is estimated across the total raw score using the formula in </w:t>
      </w:r>
      <w:r w:rsidR="008C4608">
        <w:t>e</w:t>
      </w:r>
      <w:r w:rsidRPr="00C34C12">
        <w:t>quation 7.4 (Dorans &amp; Holland, 1993). The resulting estimate is interpreted as the relative likelihood of success on a particular item for members of two groups when matched on ability.</w:t>
      </w:r>
      <w:r w:rsidR="008C4608" w:rsidRPr="008C4608">
        <w:rPr>
          <w:i/>
        </w:rPr>
        <w:t xml:space="preserve"> </w:t>
      </w:r>
      <w:r w:rsidR="008C4608" w:rsidRPr="00C34C12">
        <w:rPr>
          <w:i/>
        </w:rPr>
        <w:t xml:space="preserve">Refer to the </w:t>
      </w:r>
      <w:hyperlink w:anchor="_Alternative_Text_for_3" w:history="1">
        <w:r w:rsidR="008C4608" w:rsidRPr="00C34C12">
          <w:rPr>
            <w:rStyle w:val="Hyperlink"/>
            <w:i/>
          </w:rPr>
          <w:t>Alternative Text for Equation 7.4</w:t>
        </w:r>
      </w:hyperlink>
      <w:r w:rsidR="008C4608" w:rsidRPr="00C34C12">
        <w:rPr>
          <w:i/>
        </w:rPr>
        <w:t xml:space="preserve"> for a description of this equation.</w:t>
      </w:r>
    </w:p>
    <w:p w14:paraId="1E44E3E8" w14:textId="77777777" w:rsidR="007C1023" w:rsidRPr="00C34C12" w:rsidRDefault="007C1023" w:rsidP="007C1023">
      <w:pPr>
        <w:pStyle w:val="NormalIndent2"/>
        <w:tabs>
          <w:tab w:val="right" w:pos="9900"/>
        </w:tabs>
      </w:pPr>
      <w:r w:rsidRPr="00C34C12">
        <w:rPr>
          <w:noProof/>
        </w:rPr>
        <w:lastRenderedPageBreak/>
        <w:drawing>
          <wp:inline distT="0" distB="0" distL="0" distR="0" wp14:anchorId="20A4965E" wp14:editId="49A063BD">
            <wp:extent cx="1514475" cy="1000125"/>
            <wp:effectExtent l="0" t="0" r="0" b="9525"/>
            <wp:docPr id="88" name="Picture 40" descr="Equation 7.4; a link to the long description for this equation is found in the preceding para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40" descr="Equation 7.4; a link to the long description for this equation is found in the preceding paragraph."/>
                    <pic:cNvPicPr>
                      <a:picLocks noChangeAspect="1" noChangeArrowheads="1"/>
                    </pic:cNvPicPr>
                  </pic:nvPicPr>
                  <pic:blipFill>
                    <a:blip r:embed="rId45" cstate="print"/>
                    <a:srcRect/>
                    <a:stretch>
                      <a:fillRect/>
                    </a:stretch>
                  </pic:blipFill>
                  <pic:spPr bwMode="auto">
                    <a:xfrm>
                      <a:off x="0" y="0"/>
                      <a:ext cx="1514475" cy="1000125"/>
                    </a:xfrm>
                    <a:prstGeom prst="rect">
                      <a:avLst/>
                    </a:prstGeom>
                    <a:noFill/>
                    <a:ln w="9525">
                      <a:noFill/>
                      <a:miter lim="800000"/>
                      <a:headEnd/>
                      <a:tailEnd/>
                    </a:ln>
                  </pic:spPr>
                </pic:pic>
              </a:graphicData>
            </a:graphic>
          </wp:inline>
        </w:drawing>
      </w:r>
      <w:r w:rsidRPr="00C34C12">
        <w:tab/>
      </w:r>
      <w:bookmarkStart w:id="707" w:name="EQ7_4"/>
      <w:r w:rsidR="0DDC9BE7" w:rsidRPr="00C34C12">
        <w:t>(7.4)</w:t>
      </w:r>
      <w:bookmarkEnd w:id="707"/>
    </w:p>
    <w:p w14:paraId="06F5752A" w14:textId="77777777" w:rsidR="007C1023" w:rsidRPr="00C34C12" w:rsidRDefault="007C1023" w:rsidP="007C1023">
      <w:pPr>
        <w:pStyle w:val="NormalIndent2"/>
      </w:pPr>
      <w:r w:rsidRPr="00C34C12">
        <w:t>where,</w:t>
      </w:r>
    </w:p>
    <w:p w14:paraId="119C89ED" w14:textId="77777777" w:rsidR="007C1023" w:rsidRPr="00C34C12" w:rsidRDefault="007C1023" w:rsidP="007C1023">
      <w:pPr>
        <w:pStyle w:val="equation"/>
      </w:pPr>
      <w:r w:rsidRPr="00C34C12">
        <w:rPr>
          <w:rFonts w:ascii="Times New Roman" w:hAnsi="Times New Roman"/>
          <w:i/>
          <w:iCs/>
          <w:sz w:val="28"/>
        </w:rPr>
        <w:t>m</w:t>
      </w:r>
      <w:r w:rsidRPr="00C34C12">
        <w:rPr>
          <w:iCs/>
        </w:rPr>
        <w:t xml:space="preserve"> indexes the</w:t>
      </w:r>
      <w:r w:rsidRPr="00C34C12">
        <w:t xml:space="preserve"> score categories,</w:t>
      </w:r>
    </w:p>
    <w:p w14:paraId="3D640F62" w14:textId="77777777" w:rsidR="007C1023" w:rsidRPr="00C34C12" w:rsidRDefault="007C1023" w:rsidP="007C1023">
      <w:pPr>
        <w:pStyle w:val="equation"/>
      </w:pPr>
      <w:proofErr w:type="spellStart"/>
      <w:r w:rsidRPr="00C34C12">
        <w:rPr>
          <w:rFonts w:ascii="Times New Roman" w:hAnsi="Times New Roman"/>
          <w:i/>
          <w:iCs/>
          <w:sz w:val="28"/>
        </w:rPr>
        <w:t>R</w:t>
      </w:r>
      <w:r w:rsidRPr="00C34C12">
        <w:rPr>
          <w:rFonts w:ascii="Times New Roman" w:hAnsi="Times New Roman" w:cs="Times New Roman"/>
          <w:i/>
          <w:iCs/>
          <w:vertAlign w:val="subscript"/>
        </w:rPr>
        <w:t>rm</w:t>
      </w:r>
      <w:proofErr w:type="spellEnd"/>
      <w:r w:rsidRPr="00C34C12">
        <w:rPr>
          <w:iCs/>
        </w:rPr>
        <w:t xml:space="preserve"> is</w:t>
      </w:r>
      <w:r w:rsidRPr="00C34C12">
        <w:t xml:space="preserve"> the number of students in the reference group who answer the item correctly,</w:t>
      </w:r>
    </w:p>
    <w:p w14:paraId="42AEE49D" w14:textId="77777777" w:rsidR="007C1023" w:rsidRPr="00C34C12" w:rsidRDefault="007C1023" w:rsidP="007C1023">
      <w:pPr>
        <w:pStyle w:val="equation"/>
      </w:pPr>
      <w:proofErr w:type="spellStart"/>
      <w:r w:rsidRPr="00C34C12">
        <w:rPr>
          <w:rFonts w:ascii="Times New Roman" w:hAnsi="Times New Roman"/>
          <w:i/>
          <w:iCs/>
          <w:sz w:val="28"/>
        </w:rPr>
        <w:t>W</w:t>
      </w:r>
      <w:r w:rsidRPr="00C34C12">
        <w:rPr>
          <w:rFonts w:ascii="Times New Roman" w:hAnsi="Times New Roman" w:cs="Times New Roman"/>
          <w:i/>
          <w:iCs/>
          <w:vertAlign w:val="subscript"/>
        </w:rPr>
        <w:t>rm</w:t>
      </w:r>
      <w:proofErr w:type="spellEnd"/>
      <w:r w:rsidRPr="00C34C12">
        <w:rPr>
          <w:i/>
          <w:iCs/>
        </w:rPr>
        <w:t xml:space="preserve"> </w:t>
      </w:r>
      <w:r w:rsidRPr="00C34C12">
        <w:t>is the number of students in the reference group who answer the item incorrectly,</w:t>
      </w:r>
    </w:p>
    <w:p w14:paraId="4A8535D9" w14:textId="77777777" w:rsidR="007C1023" w:rsidRPr="00C34C12" w:rsidRDefault="007C1023" w:rsidP="007C1023">
      <w:pPr>
        <w:pStyle w:val="equation"/>
      </w:pPr>
      <w:proofErr w:type="spellStart"/>
      <w:r w:rsidRPr="00C34C12">
        <w:rPr>
          <w:rFonts w:ascii="Times New Roman" w:hAnsi="Times New Roman"/>
          <w:i/>
          <w:iCs/>
          <w:sz w:val="28"/>
        </w:rPr>
        <w:t>N</w:t>
      </w:r>
      <w:r w:rsidRPr="00C34C12">
        <w:rPr>
          <w:rFonts w:ascii="Times New Roman" w:hAnsi="Times New Roman" w:cs="Times New Roman"/>
          <w:i/>
          <w:iCs/>
          <w:vertAlign w:val="subscript"/>
        </w:rPr>
        <w:t>tm</w:t>
      </w:r>
      <w:proofErr w:type="spellEnd"/>
      <w:r w:rsidRPr="00C34C12">
        <w:rPr>
          <w:i/>
          <w:iCs/>
        </w:rPr>
        <w:t xml:space="preserve"> </w:t>
      </w:r>
      <w:r w:rsidRPr="00C34C12">
        <w:t>is the total number of students,</w:t>
      </w:r>
    </w:p>
    <w:p w14:paraId="736FA55D" w14:textId="77777777" w:rsidR="007C1023" w:rsidRPr="00C34C12" w:rsidRDefault="007C1023" w:rsidP="007C1023">
      <w:pPr>
        <w:pStyle w:val="equation"/>
      </w:pPr>
      <w:proofErr w:type="spellStart"/>
      <w:r w:rsidRPr="00C34C12">
        <w:rPr>
          <w:rFonts w:ascii="Times New Roman" w:hAnsi="Times New Roman"/>
          <w:i/>
          <w:iCs/>
          <w:sz w:val="28"/>
        </w:rPr>
        <w:t>R</w:t>
      </w:r>
      <w:r w:rsidRPr="00C34C12">
        <w:rPr>
          <w:rFonts w:ascii="Times New Roman" w:hAnsi="Times New Roman" w:cs="Times New Roman"/>
          <w:i/>
          <w:iCs/>
          <w:vertAlign w:val="subscript"/>
        </w:rPr>
        <w:t>fm</w:t>
      </w:r>
      <w:proofErr w:type="spellEnd"/>
      <w:r w:rsidRPr="00C34C12">
        <w:rPr>
          <w:i/>
          <w:iCs/>
        </w:rPr>
        <w:t xml:space="preserve"> </w:t>
      </w:r>
      <w:r w:rsidRPr="00C34C12">
        <w:t>is the number of students in the focal group who answer the item correctly, and</w:t>
      </w:r>
    </w:p>
    <w:p w14:paraId="1D27D154" w14:textId="77777777" w:rsidR="007C1023" w:rsidRPr="00C34C12" w:rsidRDefault="007C1023" w:rsidP="007C1023">
      <w:pPr>
        <w:pStyle w:val="equation"/>
      </w:pPr>
      <w:proofErr w:type="spellStart"/>
      <w:r w:rsidRPr="00C34C12">
        <w:rPr>
          <w:rFonts w:ascii="Times New Roman" w:hAnsi="Times New Roman"/>
          <w:i/>
          <w:iCs/>
          <w:sz w:val="28"/>
        </w:rPr>
        <w:t>W</w:t>
      </w:r>
      <w:r w:rsidRPr="00C34C12">
        <w:rPr>
          <w:rFonts w:ascii="Times New Roman" w:hAnsi="Times New Roman" w:cs="Times New Roman"/>
          <w:i/>
          <w:iCs/>
          <w:vertAlign w:val="subscript"/>
        </w:rPr>
        <w:t>fm</w:t>
      </w:r>
      <w:proofErr w:type="spellEnd"/>
      <w:r w:rsidRPr="00C34C12">
        <w:rPr>
          <w:i/>
          <w:iCs/>
        </w:rPr>
        <w:t xml:space="preserve"> </w:t>
      </w:r>
      <w:r w:rsidRPr="00C34C12">
        <w:t>is the number of students in the focal group who answer the item incorrectly.</w:t>
      </w:r>
    </w:p>
    <w:p w14:paraId="1B9656C3" w14:textId="45F3D3EC" w:rsidR="007C1023" w:rsidRPr="00C34C12" w:rsidRDefault="007C1023" w:rsidP="007C1023">
      <w:r w:rsidRPr="00C34C12">
        <w:t xml:space="preserve">To facilitate the interpretation of MH results, the common odds ratio is transformed to the delta scale using </w:t>
      </w:r>
      <w:r w:rsidR="00565999">
        <w:t>equation 7.5</w:t>
      </w:r>
      <w:r w:rsidRPr="00C34C12">
        <w:t xml:space="preserve"> (Holland &amp; Thayer, 1988)</w:t>
      </w:r>
      <w:r w:rsidR="00565999">
        <w:t>.</w:t>
      </w:r>
      <w:r w:rsidR="00565999" w:rsidRPr="00565999">
        <w:rPr>
          <w:i/>
          <w:iCs/>
        </w:rPr>
        <w:t xml:space="preserve"> </w:t>
      </w:r>
      <w:r w:rsidR="00565999" w:rsidRPr="00C34C12">
        <w:rPr>
          <w:i/>
          <w:iCs/>
        </w:rPr>
        <w:t>Refer to</w:t>
      </w:r>
      <w:r w:rsidR="00565999" w:rsidRPr="00C34C12">
        <w:rPr>
          <w:i/>
        </w:rPr>
        <w:t xml:space="preserve"> the </w:t>
      </w:r>
      <w:hyperlink w:anchor="_Alternative_Text_for_4" w:history="1">
        <w:r w:rsidR="00565999" w:rsidRPr="00C34C12">
          <w:rPr>
            <w:rStyle w:val="Hyperlink"/>
            <w:i/>
          </w:rPr>
          <w:t>Alternative Text for Equation 7.5</w:t>
        </w:r>
      </w:hyperlink>
      <w:r w:rsidR="00565999" w:rsidRPr="00C34C12">
        <w:rPr>
          <w:i/>
        </w:rPr>
        <w:t xml:space="preserve"> for a description of this equation.</w:t>
      </w:r>
      <w:bookmarkStart w:id="708" w:name="_Toc435796568"/>
      <w:bookmarkStart w:id="709" w:name="_Toc435796519"/>
      <w:bookmarkStart w:id="710" w:name="_Toc447013798"/>
      <w:bookmarkStart w:id="711" w:name="_Toc457036634"/>
    </w:p>
    <w:bookmarkEnd w:id="708"/>
    <w:bookmarkEnd w:id="709"/>
    <w:bookmarkEnd w:id="710"/>
    <w:bookmarkEnd w:id="711"/>
    <w:bookmarkStart w:id="712" w:name="_MON_1791276968"/>
    <w:bookmarkEnd w:id="712"/>
    <w:p w14:paraId="718B491C" w14:textId="70769986" w:rsidR="007C1023" w:rsidRPr="00C34C12" w:rsidRDefault="001C04FF" w:rsidP="00C91E69">
      <w:pPr>
        <w:pStyle w:val="NormalIndent2"/>
        <w:tabs>
          <w:tab w:val="right" w:pos="9900"/>
        </w:tabs>
      </w:pPr>
      <w:r>
        <w:object w:dxaOrig="2550" w:dyaOrig="281" w14:anchorId="01B84782">
          <v:shape id="_x0000_i1030" type="#_x0000_t75" alt="Equation 7.5; a link to the long description for this equation is found in the preceding paragraph." style="width:126.45pt;height:13.75pt" o:ole="">
            <v:imagedata r:id="rId46" o:title=""/>
          </v:shape>
          <o:OLEObject Type="Embed" ProgID="Word.Document.12" ShapeID="_x0000_i1030" DrawAspect="Content" ObjectID="_1835872856" r:id="rId47">
            <o:FieldCodes>\s</o:FieldCodes>
          </o:OLEObject>
        </w:object>
      </w:r>
      <w:r w:rsidR="007C1023" w:rsidRPr="00C34C12">
        <w:tab/>
      </w:r>
      <w:bookmarkStart w:id="713" w:name="EQ7_5"/>
      <w:r w:rsidR="007C1023" w:rsidRPr="00C34C12">
        <w:t>(7.5)</w:t>
      </w:r>
      <w:bookmarkEnd w:id="713"/>
    </w:p>
    <w:p w14:paraId="6CD1949B" w14:textId="77777777" w:rsidR="007C1023" w:rsidRPr="00C34C12" w:rsidRDefault="007C1023" w:rsidP="007C1023">
      <w:r w:rsidRPr="00C34C12">
        <w:t>Positive values indicate DIF in favor of the focal group (i.e., positive DIF items are differentially easier for the focal group) whereas negative values indicate DIF in favor of the reference group (i.e., negative DIF items are differentially easier for the reference group).</w:t>
      </w:r>
    </w:p>
    <w:p w14:paraId="3F3EFA64" w14:textId="0EDE8707" w:rsidR="007C1023" w:rsidRPr="00C34C12" w:rsidRDefault="0090559B" w:rsidP="007C1023">
      <w:pPr>
        <w:pStyle w:val="Heading4"/>
        <w:ind w:left="792" w:hanging="792"/>
      </w:pPr>
      <w:bookmarkStart w:id="714" w:name="_Toc38901304"/>
      <w:bookmarkStart w:id="715" w:name="_Toc182555222"/>
      <w:r>
        <w:t xml:space="preserve">Differential Item Functioning Procedure for </w:t>
      </w:r>
      <w:r w:rsidR="007C1023">
        <w:t>Polytomous Items</w:t>
      </w:r>
      <w:bookmarkEnd w:id="714"/>
      <w:bookmarkEnd w:id="715"/>
    </w:p>
    <w:p w14:paraId="6E18A05F" w14:textId="5830AD44" w:rsidR="007C1023" w:rsidRPr="00C34C12" w:rsidRDefault="007C1023" w:rsidP="007C1023">
      <w:r w:rsidRPr="00C34C12">
        <w:t xml:space="preserve">The standardization DIF (Dorans &amp; Schmitt, 1993; Zwick, Thayer, &amp; Mazzeo, 1997; Dorans, 2013) is used in conjunction with the Mantel chi-square statistic (Mantel, 1963; Mantel &amp; Haenszel, 1959) to identify polytomous items with DIF; the former measures the size of the DIF while the latter indicates the significance level of the DIF. The standardized mean difference (SMD) compares the item means of the two groups after adjusting for differences in the distribution of students across the values of the matching variable. SMD is calculated using </w:t>
      </w:r>
      <w:r w:rsidR="00565999">
        <w:t xml:space="preserve">equation 7.6. </w:t>
      </w:r>
      <w:r w:rsidR="00565999" w:rsidRPr="00C34C12">
        <w:rPr>
          <w:i/>
          <w:iCs/>
        </w:rPr>
        <w:t>Refer to</w:t>
      </w:r>
      <w:r w:rsidR="00565999" w:rsidRPr="00C34C12">
        <w:rPr>
          <w:i/>
        </w:rPr>
        <w:t xml:space="preserve"> the </w:t>
      </w:r>
      <w:hyperlink w:anchor="_Alternative_Text_for_5" w:history="1">
        <w:r w:rsidR="00565999" w:rsidRPr="00C34C12">
          <w:rPr>
            <w:rStyle w:val="Hyperlink"/>
            <w:i/>
          </w:rPr>
          <w:t>Alternative Text for Equation 7.6</w:t>
        </w:r>
      </w:hyperlink>
      <w:r w:rsidR="00565999" w:rsidRPr="00C34C12">
        <w:rPr>
          <w:i/>
        </w:rPr>
        <w:t xml:space="preserve"> for a description of this equation.</w:t>
      </w:r>
    </w:p>
    <w:bookmarkStart w:id="716" w:name="_MON_1791277067"/>
    <w:bookmarkEnd w:id="716"/>
    <w:p w14:paraId="41CD58BE" w14:textId="1A1285F5" w:rsidR="007C1023" w:rsidRPr="00C34C12" w:rsidRDefault="001C04FF" w:rsidP="00B531C2">
      <w:pPr>
        <w:pStyle w:val="NormalIndent2"/>
        <w:tabs>
          <w:tab w:val="right" w:pos="9900"/>
        </w:tabs>
      </w:pPr>
      <w:r w:rsidRPr="003D39F2">
        <w:rPr>
          <w:color w:val="auto"/>
        </w:rPr>
        <w:object w:dxaOrig="5350" w:dyaOrig="671" w14:anchorId="3B34D1EE">
          <v:shape id="_x0000_i1031" type="#_x0000_t75" alt="Equation 7.6; a link to the long description for this equation is found in the preceding paragraph." style="width:266.7pt;height:33.2pt" o:ole="">
            <v:imagedata r:id="rId48" o:title=""/>
          </v:shape>
          <o:OLEObject Type="Embed" ProgID="Word.Document.12" ShapeID="_x0000_i1031" DrawAspect="Content" ObjectID="_1835872857" r:id="rId49">
            <o:FieldCodes>\s</o:FieldCodes>
          </o:OLEObject>
        </w:object>
      </w:r>
      <w:r w:rsidR="007C1023" w:rsidRPr="00C34C12">
        <w:tab/>
      </w:r>
      <w:bookmarkStart w:id="717" w:name="EQ7_6"/>
      <w:r w:rsidR="007C1023" w:rsidRPr="00C34C12">
        <w:t>(7.6)</w:t>
      </w:r>
      <w:bookmarkEnd w:id="717"/>
    </w:p>
    <w:p w14:paraId="08804719" w14:textId="77777777" w:rsidR="007C1023" w:rsidRPr="00C34C12" w:rsidRDefault="007C1023" w:rsidP="00CB0AA6">
      <w:pPr>
        <w:pStyle w:val="NormalIndent2"/>
        <w:keepNext/>
        <w:keepLines/>
      </w:pPr>
      <w:r w:rsidRPr="00C34C12">
        <w:t>where,</w:t>
      </w:r>
    </w:p>
    <w:p w14:paraId="3C343C5C" w14:textId="77777777" w:rsidR="007C1023" w:rsidRPr="00C34C12" w:rsidRDefault="007C1023" w:rsidP="007C1023">
      <w:pPr>
        <w:pStyle w:val="equation"/>
      </w:pPr>
      <w:r w:rsidRPr="00C34C12">
        <w:rPr>
          <w:rFonts w:ascii="Times New Roman" w:hAnsi="Times New Roman"/>
          <w:i/>
          <w:iCs/>
          <w:sz w:val="28"/>
        </w:rPr>
        <w:t>X</w:t>
      </w:r>
      <w:r w:rsidRPr="00C34C12">
        <w:rPr>
          <w:i/>
          <w:iCs/>
        </w:rPr>
        <w:t xml:space="preserve"> </w:t>
      </w:r>
      <w:r w:rsidRPr="00C34C12">
        <w:rPr>
          <w:iCs/>
        </w:rPr>
        <w:t>is</w:t>
      </w:r>
      <w:r w:rsidRPr="00C34C12">
        <w:rPr>
          <w:i/>
          <w:iCs/>
        </w:rPr>
        <w:t xml:space="preserve"> </w:t>
      </w:r>
      <w:r w:rsidRPr="00C34C12">
        <w:t>the criterion score,</w:t>
      </w:r>
    </w:p>
    <w:p w14:paraId="3AFC6AB1" w14:textId="77777777" w:rsidR="007C1023" w:rsidRPr="00C34C12" w:rsidRDefault="007C1023" w:rsidP="007C1023">
      <w:pPr>
        <w:pStyle w:val="equation"/>
      </w:pPr>
      <w:r w:rsidRPr="00C34C12">
        <w:rPr>
          <w:rFonts w:ascii="Times New Roman" w:hAnsi="Times New Roman"/>
          <w:i/>
          <w:iCs/>
          <w:sz w:val="28"/>
        </w:rPr>
        <w:t>Y</w:t>
      </w:r>
      <w:r w:rsidRPr="00C34C12">
        <w:rPr>
          <w:i/>
          <w:iCs/>
        </w:rPr>
        <w:t xml:space="preserve"> </w:t>
      </w:r>
      <w:r w:rsidRPr="00C34C12">
        <w:rPr>
          <w:iCs/>
        </w:rPr>
        <w:t>is</w:t>
      </w:r>
      <w:r w:rsidRPr="00C34C12">
        <w:rPr>
          <w:i/>
          <w:iCs/>
        </w:rPr>
        <w:t xml:space="preserve"> </w:t>
      </w:r>
      <w:r w:rsidRPr="00C34C12">
        <w:t>the item score,</w:t>
      </w:r>
    </w:p>
    <w:p w14:paraId="0095D6E8" w14:textId="77777777" w:rsidR="007C1023" w:rsidRPr="00C34C12" w:rsidRDefault="007C1023" w:rsidP="007C1023">
      <w:pPr>
        <w:pStyle w:val="equation"/>
      </w:pPr>
      <w:r w:rsidRPr="00C34C12">
        <w:rPr>
          <w:rFonts w:ascii="Times New Roman" w:hAnsi="Times New Roman"/>
          <w:i/>
          <w:iCs/>
          <w:sz w:val="28"/>
        </w:rPr>
        <w:t>M</w:t>
      </w:r>
      <w:r w:rsidRPr="00C34C12">
        <w:rPr>
          <w:i/>
          <w:iCs/>
        </w:rPr>
        <w:t xml:space="preserve"> </w:t>
      </w:r>
      <w:r w:rsidRPr="00C34C12">
        <w:t xml:space="preserve">is the number of score categories on </w:t>
      </w:r>
      <w:r w:rsidRPr="00C34C12">
        <w:rPr>
          <w:rFonts w:ascii="Times New Roman" w:hAnsi="Times New Roman" w:cs="Times New Roman"/>
          <w:i/>
          <w:sz w:val="26"/>
          <w:szCs w:val="26"/>
        </w:rPr>
        <w:t>X</w:t>
      </w:r>
      <w:r w:rsidRPr="00C34C12">
        <w:t>,</w:t>
      </w:r>
    </w:p>
    <w:p w14:paraId="0F622427" w14:textId="77777777" w:rsidR="007C1023" w:rsidRPr="00C34C12" w:rsidRDefault="007C1023" w:rsidP="007C1023">
      <w:pPr>
        <w:pStyle w:val="equation"/>
      </w:pPr>
      <w:proofErr w:type="spellStart"/>
      <w:r w:rsidRPr="00C34C12">
        <w:rPr>
          <w:rFonts w:ascii="Times New Roman" w:hAnsi="Times New Roman"/>
          <w:i/>
          <w:iCs/>
          <w:sz w:val="28"/>
        </w:rPr>
        <w:t>N</w:t>
      </w:r>
      <w:r w:rsidRPr="00C34C12">
        <w:rPr>
          <w:rFonts w:ascii="Times New Roman" w:hAnsi="Times New Roman"/>
          <w:i/>
          <w:iCs/>
          <w:vertAlign w:val="subscript"/>
        </w:rPr>
        <w:t>rm</w:t>
      </w:r>
      <w:proofErr w:type="spellEnd"/>
      <w:r w:rsidRPr="00C34C12">
        <w:rPr>
          <w:i/>
          <w:iCs/>
        </w:rPr>
        <w:t xml:space="preserve"> </w:t>
      </w:r>
      <w:r w:rsidRPr="00C34C12">
        <w:rPr>
          <w:iCs/>
        </w:rPr>
        <w:t>is</w:t>
      </w:r>
      <w:r w:rsidRPr="00C34C12">
        <w:t xml:space="preserve"> the number of students in the reference group in score category </w:t>
      </w:r>
      <w:r w:rsidRPr="00C34C12">
        <w:rPr>
          <w:rFonts w:ascii="Times New Roman" w:hAnsi="Times New Roman" w:cs="Times New Roman"/>
          <w:i/>
          <w:sz w:val="26"/>
          <w:szCs w:val="26"/>
        </w:rPr>
        <w:t>m</w:t>
      </w:r>
      <w:r w:rsidRPr="00C34C12">
        <w:t>,</w:t>
      </w:r>
    </w:p>
    <w:p w14:paraId="4311A38B" w14:textId="77777777" w:rsidR="007C1023" w:rsidRPr="00C34C12" w:rsidRDefault="007C1023" w:rsidP="007C1023">
      <w:pPr>
        <w:pStyle w:val="equation"/>
      </w:pPr>
      <w:proofErr w:type="spellStart"/>
      <w:r w:rsidRPr="00C34C12">
        <w:rPr>
          <w:rFonts w:ascii="Times New Roman" w:hAnsi="Times New Roman"/>
          <w:i/>
          <w:iCs/>
          <w:sz w:val="28"/>
        </w:rPr>
        <w:t>N</w:t>
      </w:r>
      <w:r w:rsidRPr="00C34C12">
        <w:rPr>
          <w:rFonts w:ascii="Times New Roman" w:hAnsi="Times New Roman"/>
          <w:i/>
          <w:iCs/>
          <w:vertAlign w:val="subscript"/>
        </w:rPr>
        <w:t>fm</w:t>
      </w:r>
      <w:proofErr w:type="spellEnd"/>
      <w:r w:rsidRPr="00C34C12">
        <w:rPr>
          <w:iCs/>
        </w:rPr>
        <w:t xml:space="preserve"> is</w:t>
      </w:r>
      <w:r w:rsidRPr="00C34C12">
        <w:t xml:space="preserve"> the number of students in the focal group in score category </w:t>
      </w:r>
      <w:r w:rsidRPr="00C34C12">
        <w:rPr>
          <w:rFonts w:ascii="Times New Roman" w:hAnsi="Times New Roman" w:cs="Times New Roman"/>
          <w:i/>
          <w:sz w:val="26"/>
          <w:szCs w:val="26"/>
        </w:rPr>
        <w:t>m</w:t>
      </w:r>
      <w:r w:rsidRPr="00C34C12">
        <w:t>,</w:t>
      </w:r>
    </w:p>
    <w:p w14:paraId="16BBD365" w14:textId="77777777" w:rsidR="007C1023" w:rsidRPr="00C34C12" w:rsidRDefault="007C1023" w:rsidP="007C1023">
      <w:pPr>
        <w:pStyle w:val="equation"/>
        <w:keepNext/>
      </w:pPr>
      <w:r w:rsidRPr="00C34C12">
        <w:rPr>
          <w:rFonts w:ascii="Times New Roman" w:hAnsi="Times New Roman"/>
          <w:i/>
          <w:iCs/>
          <w:sz w:val="28"/>
        </w:rPr>
        <w:lastRenderedPageBreak/>
        <w:t>E</w:t>
      </w:r>
      <w:r w:rsidRPr="00C34C12">
        <w:rPr>
          <w:rFonts w:ascii="Times New Roman" w:hAnsi="Times New Roman"/>
          <w:i/>
          <w:iCs/>
          <w:vertAlign w:val="subscript"/>
        </w:rPr>
        <w:t>r</w:t>
      </w:r>
      <w:r w:rsidRPr="00C34C12">
        <w:rPr>
          <w:i/>
          <w:iCs/>
        </w:rPr>
        <w:t xml:space="preserve"> </w:t>
      </w:r>
      <w:r w:rsidRPr="00C34C12">
        <w:t>is the expected item score in the reference group, and</w:t>
      </w:r>
    </w:p>
    <w:p w14:paraId="3EA974DA" w14:textId="77777777" w:rsidR="007C1023" w:rsidRPr="00C34C12" w:rsidRDefault="007C1023" w:rsidP="007C1023">
      <w:pPr>
        <w:pStyle w:val="equation"/>
        <w:spacing w:after="120"/>
      </w:pPr>
      <w:r w:rsidRPr="00C34C12">
        <w:rPr>
          <w:rFonts w:ascii="Times New Roman" w:hAnsi="Times New Roman"/>
          <w:i/>
          <w:iCs/>
          <w:sz w:val="28"/>
        </w:rPr>
        <w:t>E</w:t>
      </w:r>
      <w:r w:rsidRPr="00C34C12">
        <w:rPr>
          <w:i/>
          <w:iCs/>
          <w:vertAlign w:val="subscript"/>
        </w:rPr>
        <w:t>f</w:t>
      </w:r>
      <w:r w:rsidRPr="00C34C12">
        <w:rPr>
          <w:i/>
          <w:iCs/>
        </w:rPr>
        <w:t xml:space="preserve"> </w:t>
      </w:r>
      <w:r w:rsidRPr="00C34C12">
        <w:t>is the expected item score in the focal group.</w:t>
      </w:r>
    </w:p>
    <w:p w14:paraId="05F49AA7" w14:textId="77777777" w:rsidR="007C1023" w:rsidRPr="00C34C12" w:rsidRDefault="007C1023" w:rsidP="007C1023">
      <w:r w:rsidRPr="00C34C12">
        <w:t>A positive SMD</w:t>
      </w:r>
      <w:r w:rsidRPr="00C34C12">
        <w:rPr>
          <w:i/>
          <w:iCs/>
        </w:rPr>
        <w:t xml:space="preserve"> </w:t>
      </w:r>
      <w:r w:rsidRPr="00C34C12">
        <w:t>value means that after statistically matching on the criterion score, the focal group has a higher mean item score than the reference group. A negative SMD value means that after statistically matching on the criterion score, the focal group has a lower mean item score than the reference group.</w:t>
      </w:r>
    </w:p>
    <w:p w14:paraId="13DDA8C6" w14:textId="09BFD5BB" w:rsidR="007C1023" w:rsidRPr="00C34C12" w:rsidRDefault="007C1023" w:rsidP="007C1023">
      <w:pPr>
        <w:pStyle w:val="Heading4"/>
        <w:ind w:left="792" w:hanging="792"/>
      </w:pPr>
      <w:bookmarkStart w:id="718" w:name="_Toc38901305"/>
      <w:bookmarkStart w:id="719" w:name="_Toc182555223"/>
      <w:r>
        <w:t>D</w:t>
      </w:r>
      <w:r w:rsidR="00C66744">
        <w:t xml:space="preserve">ifferential </w:t>
      </w:r>
      <w:r>
        <w:t>I</w:t>
      </w:r>
      <w:r w:rsidR="00C66744">
        <w:t xml:space="preserve">tem </w:t>
      </w:r>
      <w:r>
        <w:t>F</w:t>
      </w:r>
      <w:r w:rsidR="00C66744">
        <w:t>unctioning</w:t>
      </w:r>
      <w:r>
        <w:t xml:space="preserve"> Categories and Definitions</w:t>
      </w:r>
      <w:bookmarkEnd w:id="718"/>
      <w:bookmarkEnd w:id="719"/>
    </w:p>
    <w:p w14:paraId="39A07EEF" w14:textId="77777777" w:rsidR="007C1023" w:rsidRPr="00C34C12" w:rsidRDefault="007C1023" w:rsidP="007C1023">
      <w:r w:rsidRPr="00C34C12">
        <w:t>Based on the DIF statistics and significance tests, items are classified into three categories, labeled A, B, and C. Category A items contain negligible DIF, Category B items exhibit slight to moderate DIF, and Category C items possess moderate to large DIF values.</w:t>
      </w:r>
    </w:p>
    <w:p w14:paraId="5D3269D8" w14:textId="0ADF809A" w:rsidR="007C1023" w:rsidRPr="00C34C12" w:rsidRDefault="007C1023" w:rsidP="007C1023">
      <w:r w:rsidRPr="00C34C12">
        <w:t xml:space="preserve">The categorization rules for dichotomous items are presented in </w:t>
      </w:r>
      <w:r w:rsidRPr="00C34C12">
        <w:rPr>
          <w:rStyle w:val="Cross-Reference"/>
        </w:rPr>
        <w:fldChar w:fldCharType="begin"/>
      </w:r>
      <w:r w:rsidRPr="00C34C12">
        <w:rPr>
          <w:rStyle w:val="Cross-Reference"/>
        </w:rPr>
        <w:instrText xml:space="preserve"> REF  _Ref22227241 \* Lower \h  \* MERGEFORMAT </w:instrText>
      </w:r>
      <w:r w:rsidRPr="00C34C12">
        <w:rPr>
          <w:rStyle w:val="Cross-Reference"/>
        </w:rPr>
      </w:r>
      <w:r w:rsidRPr="00C34C12">
        <w:rPr>
          <w:rStyle w:val="Cross-Reference"/>
        </w:rPr>
        <w:fldChar w:fldCharType="separate"/>
      </w:r>
      <w:r w:rsidR="00F4384C" w:rsidRPr="00F4384C">
        <w:rPr>
          <w:rStyle w:val="Cross-Reference"/>
        </w:rPr>
        <w:t>table 7.4</w:t>
      </w:r>
      <w:r w:rsidRPr="00C34C12">
        <w:rPr>
          <w:rStyle w:val="Cross-Reference"/>
        </w:rPr>
        <w:fldChar w:fldCharType="end"/>
      </w:r>
      <w:r w:rsidRPr="00C34C12">
        <w:t xml:space="preserve">; the categorization rules for polytomous items are presented in </w:t>
      </w:r>
      <w:r w:rsidRPr="00C34C12">
        <w:rPr>
          <w:rStyle w:val="Cross-Reference"/>
        </w:rPr>
        <w:fldChar w:fldCharType="begin"/>
      </w:r>
      <w:r w:rsidRPr="00C34C12">
        <w:rPr>
          <w:rStyle w:val="Cross-Reference"/>
        </w:rPr>
        <w:instrText xml:space="preserve"> REF  _Ref22227249 \* Lower \h  \* MERGEFORMAT </w:instrText>
      </w:r>
      <w:r w:rsidRPr="00C34C12">
        <w:rPr>
          <w:rStyle w:val="Cross-Reference"/>
        </w:rPr>
      </w:r>
      <w:r w:rsidRPr="00C34C12">
        <w:rPr>
          <w:rStyle w:val="Cross-Reference"/>
        </w:rPr>
        <w:fldChar w:fldCharType="separate"/>
      </w:r>
      <w:r w:rsidR="00F4384C" w:rsidRPr="00F4384C">
        <w:rPr>
          <w:rStyle w:val="Cross-Reference"/>
        </w:rPr>
        <w:t>table 7.5</w:t>
      </w:r>
      <w:r w:rsidRPr="00C34C12">
        <w:rPr>
          <w:rStyle w:val="Cross-Reference"/>
        </w:rPr>
        <w:fldChar w:fldCharType="end"/>
      </w:r>
      <w:r w:rsidRPr="00C34C12">
        <w:t>.</w:t>
      </w:r>
    </w:p>
    <w:p w14:paraId="72136732" w14:textId="577E3EE2" w:rsidR="007C1023" w:rsidRPr="00C34C12" w:rsidRDefault="007C1023" w:rsidP="007C1023">
      <w:pPr>
        <w:pStyle w:val="Caption"/>
      </w:pPr>
      <w:bookmarkStart w:id="720" w:name="_Ref22227241"/>
      <w:bookmarkStart w:id="721" w:name="_Toc30414280"/>
      <w:bookmarkStart w:id="722" w:name="_Toc38901387"/>
      <w:bookmarkStart w:id="723" w:name="_Toc67319710"/>
      <w:bookmarkStart w:id="724" w:name="_Toc220498714"/>
      <w:r w:rsidRPr="00C34C12">
        <w:t xml:space="preserve">Table </w:t>
      </w:r>
      <w:r>
        <w:fldChar w:fldCharType="begin"/>
      </w:r>
      <w:r>
        <w:instrText>STYLEREF 2 \s</w:instrText>
      </w:r>
      <w:r>
        <w:fldChar w:fldCharType="separate"/>
      </w:r>
      <w:r w:rsidR="00961502">
        <w:rPr>
          <w:noProof/>
        </w:rPr>
        <w:t>7</w:t>
      </w:r>
      <w:r>
        <w:fldChar w:fldCharType="end"/>
      </w:r>
      <w:r w:rsidR="00A40753">
        <w:t>.</w:t>
      </w:r>
      <w:r>
        <w:fldChar w:fldCharType="begin"/>
      </w:r>
      <w:r>
        <w:instrText>SEQ Table \* ARABIC \s 2</w:instrText>
      </w:r>
      <w:r>
        <w:fldChar w:fldCharType="separate"/>
      </w:r>
      <w:r w:rsidR="00961502">
        <w:rPr>
          <w:noProof/>
        </w:rPr>
        <w:t>4</w:t>
      </w:r>
      <w:r>
        <w:fldChar w:fldCharType="end"/>
      </w:r>
      <w:bookmarkEnd w:id="720"/>
      <w:r w:rsidRPr="00C34C12">
        <w:t xml:space="preserve">  DIF Categories for Dichotomous Items</w:t>
      </w:r>
      <w:bookmarkEnd w:id="721"/>
      <w:bookmarkEnd w:id="722"/>
      <w:bookmarkEnd w:id="723"/>
      <w:bookmarkEnd w:id="724"/>
    </w:p>
    <w:tbl>
      <w:tblPr>
        <w:tblStyle w:val="TRsBorders"/>
        <w:tblW w:w="9792" w:type="dxa"/>
        <w:tblLook w:val="01E0" w:firstRow="1" w:lastRow="1" w:firstColumn="1" w:lastColumn="1" w:noHBand="0" w:noVBand="0"/>
        <w:tblDescription w:val="DIF Categories for Dichotomous Items"/>
      </w:tblPr>
      <w:tblGrid>
        <w:gridCol w:w="1728"/>
        <w:gridCol w:w="8064"/>
      </w:tblGrid>
      <w:tr w:rsidR="007C1023" w:rsidRPr="00C34C12" w14:paraId="00EFE0BB" w14:textId="77777777" w:rsidTr="00BA1018">
        <w:trPr>
          <w:cnfStyle w:val="100000000000" w:firstRow="1" w:lastRow="0" w:firstColumn="0" w:lastColumn="0" w:oddVBand="0" w:evenVBand="0" w:oddHBand="0" w:evenHBand="0" w:firstRowFirstColumn="0" w:firstRowLastColumn="0" w:lastRowFirstColumn="0" w:lastRowLastColumn="0"/>
          <w:cantSplit/>
        </w:trPr>
        <w:tc>
          <w:tcPr>
            <w:tcW w:w="1728" w:type="dxa"/>
          </w:tcPr>
          <w:p w14:paraId="6D6AE04C" w14:textId="77777777" w:rsidR="007C1023" w:rsidRPr="00C34C12" w:rsidRDefault="007C1023" w:rsidP="007C1023">
            <w:pPr>
              <w:pStyle w:val="TableHead"/>
              <w:rPr>
                <w:b w:val="0"/>
                <w:bCs w:val="0"/>
                <w:noProof w:val="0"/>
              </w:rPr>
            </w:pPr>
            <w:r w:rsidRPr="00C34C12">
              <w:rPr>
                <w:bCs w:val="0"/>
                <w:noProof w:val="0"/>
              </w:rPr>
              <w:t>DIF Category</w:t>
            </w:r>
          </w:p>
        </w:tc>
        <w:tc>
          <w:tcPr>
            <w:tcW w:w="8064" w:type="dxa"/>
          </w:tcPr>
          <w:p w14:paraId="382BBC9F" w14:textId="77777777" w:rsidR="007C1023" w:rsidRPr="00C34C12" w:rsidRDefault="007C1023" w:rsidP="007C1023">
            <w:pPr>
              <w:pStyle w:val="TableHead"/>
              <w:rPr>
                <w:b w:val="0"/>
                <w:bCs w:val="0"/>
                <w:noProof w:val="0"/>
              </w:rPr>
            </w:pPr>
            <w:r w:rsidRPr="00C34C12">
              <w:rPr>
                <w:bCs w:val="0"/>
                <w:noProof w:val="0"/>
              </w:rPr>
              <w:t>Criteria</w:t>
            </w:r>
          </w:p>
        </w:tc>
      </w:tr>
      <w:tr w:rsidR="007C1023" w:rsidRPr="00C34C12" w14:paraId="4B0DF91A" w14:textId="77777777" w:rsidTr="00BA1018">
        <w:tc>
          <w:tcPr>
            <w:tcW w:w="1728" w:type="dxa"/>
          </w:tcPr>
          <w:p w14:paraId="0D8D058F" w14:textId="77777777" w:rsidR="007C1023" w:rsidRPr="00C34C12" w:rsidRDefault="007C1023" w:rsidP="007C1023">
            <w:pPr>
              <w:pStyle w:val="TableText"/>
              <w:rPr>
                <w:noProof w:val="0"/>
              </w:rPr>
            </w:pPr>
            <w:r w:rsidRPr="00C34C12">
              <w:rPr>
                <w:noProof w:val="0"/>
              </w:rPr>
              <w:t>A (negligible)</w:t>
            </w:r>
          </w:p>
        </w:tc>
        <w:tc>
          <w:tcPr>
            <w:tcW w:w="8064" w:type="dxa"/>
          </w:tcPr>
          <w:p w14:paraId="761AE516" w14:textId="77777777" w:rsidR="007C1023" w:rsidRPr="00C34C12" w:rsidRDefault="007C1023" w:rsidP="007C1023">
            <w:pPr>
              <w:pStyle w:val="tablebullet"/>
              <w:spacing w:after="20"/>
              <w:ind w:left="432" w:hanging="288"/>
            </w:pPr>
            <w:r w:rsidRPr="00C34C12">
              <w:t>Absolute value of MH D-DIF is not significantly different from zero or is less than one.</w:t>
            </w:r>
          </w:p>
          <w:p w14:paraId="00D373CC" w14:textId="77777777" w:rsidR="007C1023" w:rsidRPr="00C34C12" w:rsidRDefault="007C1023" w:rsidP="00CB0AA6">
            <w:pPr>
              <w:pStyle w:val="tablebullet"/>
              <w:spacing w:before="120" w:after="20"/>
              <w:ind w:left="432" w:hanging="288"/>
            </w:pPr>
            <w:r w:rsidRPr="00C34C12">
              <w:t>Positive values are classified as “A+” and negative values as “A-.”</w:t>
            </w:r>
          </w:p>
        </w:tc>
      </w:tr>
      <w:tr w:rsidR="007C1023" w:rsidRPr="00C34C12" w14:paraId="1BDF72E0" w14:textId="77777777" w:rsidTr="00BA1018">
        <w:tc>
          <w:tcPr>
            <w:tcW w:w="1728" w:type="dxa"/>
          </w:tcPr>
          <w:p w14:paraId="721A49CA" w14:textId="77777777" w:rsidR="007C1023" w:rsidRPr="00C34C12" w:rsidRDefault="007C1023" w:rsidP="007C1023">
            <w:pPr>
              <w:pStyle w:val="TableText"/>
              <w:rPr>
                <w:noProof w:val="0"/>
              </w:rPr>
            </w:pPr>
            <w:r w:rsidRPr="00C34C12">
              <w:rPr>
                <w:noProof w:val="0"/>
              </w:rPr>
              <w:t>B (moderate)</w:t>
            </w:r>
          </w:p>
        </w:tc>
        <w:tc>
          <w:tcPr>
            <w:tcW w:w="8064" w:type="dxa"/>
          </w:tcPr>
          <w:p w14:paraId="758DAC89" w14:textId="2BA7D59F" w:rsidR="007C1023" w:rsidRPr="00C34C12" w:rsidRDefault="007C1023" w:rsidP="007C1023">
            <w:pPr>
              <w:pStyle w:val="tablebullet"/>
              <w:spacing w:after="20"/>
              <w:ind w:left="432" w:hanging="288"/>
            </w:pPr>
            <w:r w:rsidRPr="00C34C12">
              <w:t xml:space="preserve">Absolute value of MH D-DIF is significantly different from zero but not from one and is at least one; </w:t>
            </w:r>
            <w:r w:rsidR="0090559B">
              <w:rPr>
                <w:i/>
                <w:iCs/>
              </w:rPr>
              <w:t>or</w:t>
            </w:r>
          </w:p>
          <w:p w14:paraId="5721022C" w14:textId="77777777" w:rsidR="007C1023" w:rsidRPr="00C34C12" w:rsidRDefault="007C1023" w:rsidP="00CB0AA6">
            <w:pPr>
              <w:pStyle w:val="tablebullet"/>
              <w:spacing w:before="120" w:after="20"/>
              <w:ind w:left="432" w:hanging="288"/>
            </w:pPr>
            <w:r w:rsidRPr="00C34C12">
              <w:t>Absolute value of MH D-DIF is significantly different from one but is less than 1.5.</w:t>
            </w:r>
          </w:p>
          <w:p w14:paraId="285D3C4F" w14:textId="77777777" w:rsidR="007C1023" w:rsidRPr="00C34C12" w:rsidRDefault="007C1023" w:rsidP="00CB0AA6">
            <w:pPr>
              <w:pStyle w:val="tablebullet"/>
              <w:spacing w:before="120" w:after="20"/>
              <w:ind w:left="432" w:hanging="288"/>
            </w:pPr>
            <w:r w:rsidRPr="00C34C12">
              <w:t>Positive values are classified as “B+” and negative values as “B-.”</w:t>
            </w:r>
          </w:p>
        </w:tc>
      </w:tr>
      <w:tr w:rsidR="007C1023" w:rsidRPr="00C34C12" w14:paraId="3C17FAC3" w14:textId="77777777" w:rsidTr="00BA1018">
        <w:tc>
          <w:tcPr>
            <w:tcW w:w="1728" w:type="dxa"/>
          </w:tcPr>
          <w:p w14:paraId="6646BC7C" w14:textId="77777777" w:rsidR="007C1023" w:rsidRPr="00C34C12" w:rsidRDefault="007C1023" w:rsidP="007C1023">
            <w:pPr>
              <w:pStyle w:val="TableText"/>
              <w:rPr>
                <w:noProof w:val="0"/>
              </w:rPr>
            </w:pPr>
            <w:r w:rsidRPr="00C34C12">
              <w:rPr>
                <w:noProof w:val="0"/>
              </w:rPr>
              <w:t>C (large)</w:t>
            </w:r>
          </w:p>
        </w:tc>
        <w:tc>
          <w:tcPr>
            <w:tcW w:w="8064" w:type="dxa"/>
          </w:tcPr>
          <w:p w14:paraId="42B9DB54" w14:textId="77777777" w:rsidR="007C1023" w:rsidRPr="00C34C12" w:rsidRDefault="007C1023" w:rsidP="007C1023">
            <w:pPr>
              <w:pStyle w:val="tablebullet"/>
              <w:spacing w:after="20"/>
              <w:ind w:left="432" w:hanging="288"/>
            </w:pPr>
            <w:r w:rsidRPr="00C34C12">
              <w:t>Absolute value of MH D-DIF is significantly different from one and is at least 1.5.</w:t>
            </w:r>
          </w:p>
          <w:p w14:paraId="6F201023" w14:textId="77777777" w:rsidR="007C1023" w:rsidRPr="00C34C12" w:rsidRDefault="007C1023" w:rsidP="00CB0AA6">
            <w:pPr>
              <w:pStyle w:val="tablebullet"/>
              <w:spacing w:before="120" w:after="20"/>
              <w:ind w:left="432" w:hanging="288"/>
            </w:pPr>
            <w:r w:rsidRPr="00C34C12">
              <w:t>Positive values are classified as “C+” and negative values as “C-.”</w:t>
            </w:r>
          </w:p>
        </w:tc>
      </w:tr>
    </w:tbl>
    <w:p w14:paraId="7EFBE1FA" w14:textId="70256AC6" w:rsidR="007C1023" w:rsidRPr="00C34C12" w:rsidRDefault="007C1023" w:rsidP="00BA1018">
      <w:pPr>
        <w:pStyle w:val="Caption"/>
        <w:keepNext w:val="0"/>
      </w:pPr>
      <w:bookmarkStart w:id="725" w:name="_Ref22227249"/>
      <w:bookmarkStart w:id="726" w:name="_Toc30414281"/>
      <w:bookmarkStart w:id="727" w:name="_Toc38901388"/>
      <w:bookmarkStart w:id="728" w:name="_Toc67319711"/>
      <w:bookmarkStart w:id="729" w:name="_Toc220498715"/>
      <w:r w:rsidRPr="00C34C12">
        <w:t xml:space="preserve">Table </w:t>
      </w:r>
      <w:r>
        <w:fldChar w:fldCharType="begin"/>
      </w:r>
      <w:r>
        <w:instrText>STYLEREF 2 \s</w:instrText>
      </w:r>
      <w:r>
        <w:fldChar w:fldCharType="separate"/>
      </w:r>
      <w:r w:rsidR="00961502">
        <w:rPr>
          <w:noProof/>
        </w:rPr>
        <w:t>7</w:t>
      </w:r>
      <w:r>
        <w:fldChar w:fldCharType="end"/>
      </w:r>
      <w:r w:rsidR="00A40753">
        <w:t>.</w:t>
      </w:r>
      <w:r>
        <w:fldChar w:fldCharType="begin"/>
      </w:r>
      <w:r>
        <w:instrText>SEQ Table \* ARABIC \s 2</w:instrText>
      </w:r>
      <w:r>
        <w:fldChar w:fldCharType="separate"/>
      </w:r>
      <w:r w:rsidR="00961502">
        <w:rPr>
          <w:noProof/>
        </w:rPr>
        <w:t>5</w:t>
      </w:r>
      <w:r>
        <w:fldChar w:fldCharType="end"/>
      </w:r>
      <w:bookmarkEnd w:id="725"/>
      <w:r w:rsidRPr="00C34C12">
        <w:t xml:space="preserve">  DIF Categories for Polytomous Items</w:t>
      </w:r>
      <w:bookmarkEnd w:id="726"/>
      <w:bookmarkEnd w:id="727"/>
      <w:bookmarkEnd w:id="728"/>
      <w:bookmarkEnd w:id="729"/>
    </w:p>
    <w:tbl>
      <w:tblPr>
        <w:tblStyle w:val="TRsBorders"/>
        <w:tblW w:w="9090" w:type="dxa"/>
        <w:tblLook w:val="01E0" w:firstRow="1" w:lastRow="1" w:firstColumn="1" w:lastColumn="1" w:noHBand="0" w:noVBand="0"/>
        <w:tblDescription w:val="DIF Categories for Polytomous Items"/>
      </w:tblPr>
      <w:tblGrid>
        <w:gridCol w:w="1746"/>
        <w:gridCol w:w="7344"/>
      </w:tblGrid>
      <w:tr w:rsidR="007C1023" w:rsidRPr="00C34C12" w14:paraId="48751B71" w14:textId="77777777" w:rsidTr="00BA1018">
        <w:trPr>
          <w:cnfStyle w:val="100000000000" w:firstRow="1" w:lastRow="0" w:firstColumn="0" w:lastColumn="0" w:oddVBand="0" w:evenVBand="0" w:oddHBand="0" w:evenHBand="0" w:firstRowFirstColumn="0" w:firstRowLastColumn="0" w:lastRowFirstColumn="0" w:lastRowLastColumn="0"/>
          <w:cantSplit/>
        </w:trPr>
        <w:tc>
          <w:tcPr>
            <w:tcW w:w="1746" w:type="dxa"/>
          </w:tcPr>
          <w:p w14:paraId="20193D8A" w14:textId="77777777" w:rsidR="007C1023" w:rsidRPr="00C34C12" w:rsidRDefault="007C1023" w:rsidP="00BA1018">
            <w:pPr>
              <w:pStyle w:val="TableHead"/>
              <w:rPr>
                <w:b w:val="0"/>
                <w:bCs w:val="0"/>
                <w:noProof w:val="0"/>
              </w:rPr>
            </w:pPr>
            <w:r w:rsidRPr="00C34C12">
              <w:rPr>
                <w:bCs w:val="0"/>
                <w:noProof w:val="0"/>
              </w:rPr>
              <w:t>DIF Category</w:t>
            </w:r>
          </w:p>
        </w:tc>
        <w:tc>
          <w:tcPr>
            <w:tcW w:w="7344" w:type="dxa"/>
          </w:tcPr>
          <w:p w14:paraId="035AAB95" w14:textId="77777777" w:rsidR="007C1023" w:rsidRPr="00C34C12" w:rsidRDefault="007C1023" w:rsidP="00BA1018">
            <w:pPr>
              <w:pStyle w:val="TableHead"/>
              <w:rPr>
                <w:b w:val="0"/>
                <w:bCs w:val="0"/>
                <w:noProof w:val="0"/>
              </w:rPr>
            </w:pPr>
            <w:r w:rsidRPr="00C34C12">
              <w:rPr>
                <w:bCs w:val="0"/>
                <w:noProof w:val="0"/>
              </w:rPr>
              <w:t>Criteria</w:t>
            </w:r>
          </w:p>
        </w:tc>
      </w:tr>
      <w:tr w:rsidR="007C1023" w:rsidRPr="00C34C12" w14:paraId="70F6666A" w14:textId="77777777" w:rsidTr="00BA1018">
        <w:tc>
          <w:tcPr>
            <w:tcW w:w="1746" w:type="dxa"/>
          </w:tcPr>
          <w:p w14:paraId="4FAA8D40" w14:textId="77777777" w:rsidR="007C1023" w:rsidRPr="00C34C12" w:rsidRDefault="007C1023" w:rsidP="00BA1018">
            <w:pPr>
              <w:pStyle w:val="TableText"/>
              <w:rPr>
                <w:noProof w:val="0"/>
              </w:rPr>
            </w:pPr>
            <w:r w:rsidRPr="00C34C12">
              <w:rPr>
                <w:noProof w:val="0"/>
              </w:rPr>
              <w:t>A (negligible)</w:t>
            </w:r>
          </w:p>
        </w:tc>
        <w:tc>
          <w:tcPr>
            <w:tcW w:w="7344" w:type="dxa"/>
          </w:tcPr>
          <w:p w14:paraId="5CF9A9DD" w14:textId="77777777" w:rsidR="007C1023" w:rsidRPr="00C34C12" w:rsidRDefault="007C1023" w:rsidP="00BA1018">
            <w:pPr>
              <w:pStyle w:val="tablebullet"/>
              <w:spacing w:after="20"/>
              <w:ind w:left="432" w:hanging="288"/>
            </w:pPr>
            <w:r w:rsidRPr="00C34C12">
              <w:rPr>
                <w:lang w:eastAsia="ko-KR"/>
              </w:rPr>
              <w:t xml:space="preserve">Mantel Chi-square </w:t>
            </w:r>
            <w:r w:rsidRPr="00C34C12">
              <w:rPr>
                <w:i/>
                <w:iCs/>
                <w:lang w:eastAsia="ko-KR"/>
              </w:rPr>
              <w:t xml:space="preserve">p-value </w:t>
            </w:r>
            <w:r w:rsidRPr="00C34C12">
              <w:rPr>
                <w:lang w:eastAsia="ko-KR"/>
              </w:rPr>
              <w:t>&gt; 0.05 or |</w:t>
            </w:r>
            <w:r w:rsidRPr="00C34C12">
              <w:rPr>
                <w:iCs/>
                <w:lang w:eastAsia="ko-KR"/>
              </w:rPr>
              <w:t>SMD/SD</w:t>
            </w:r>
            <w:r w:rsidRPr="00C34C12">
              <w:rPr>
                <w:lang w:eastAsia="ko-KR"/>
              </w:rPr>
              <w:t xml:space="preserve">| </w:t>
            </w:r>
            <w:r w:rsidRPr="00C34C12">
              <w:t>≤</w:t>
            </w:r>
            <w:r w:rsidRPr="00C34C12">
              <w:rPr>
                <w:lang w:eastAsia="ko-KR"/>
              </w:rPr>
              <w:t xml:space="preserve"> 0.17</w:t>
            </w:r>
          </w:p>
        </w:tc>
      </w:tr>
      <w:tr w:rsidR="007C1023" w:rsidRPr="00C34C12" w14:paraId="5E1AA61C" w14:textId="77777777" w:rsidTr="00BA1018">
        <w:tc>
          <w:tcPr>
            <w:tcW w:w="1746" w:type="dxa"/>
          </w:tcPr>
          <w:p w14:paraId="37C3D643" w14:textId="77777777" w:rsidR="007C1023" w:rsidRPr="00C34C12" w:rsidRDefault="007C1023" w:rsidP="00BA1018">
            <w:pPr>
              <w:pStyle w:val="TableText"/>
              <w:rPr>
                <w:noProof w:val="0"/>
              </w:rPr>
            </w:pPr>
            <w:r w:rsidRPr="00C34C12">
              <w:rPr>
                <w:noProof w:val="0"/>
              </w:rPr>
              <w:t>B (moderate)</w:t>
            </w:r>
          </w:p>
        </w:tc>
        <w:tc>
          <w:tcPr>
            <w:tcW w:w="7344" w:type="dxa"/>
          </w:tcPr>
          <w:p w14:paraId="6EFF9597" w14:textId="77777777" w:rsidR="007C1023" w:rsidRPr="00C34C12" w:rsidRDefault="007C1023" w:rsidP="00BA1018">
            <w:pPr>
              <w:pStyle w:val="tablebullet"/>
              <w:spacing w:after="20"/>
              <w:ind w:left="432" w:hanging="288"/>
            </w:pPr>
            <w:r w:rsidRPr="00C34C12">
              <w:rPr>
                <w:lang w:eastAsia="ko-KR"/>
              </w:rPr>
              <w:t xml:space="preserve">Mantel Chi-square </w:t>
            </w:r>
            <w:r w:rsidRPr="00C34C12">
              <w:rPr>
                <w:i/>
                <w:iCs/>
                <w:lang w:eastAsia="ko-KR"/>
              </w:rPr>
              <w:t xml:space="preserve">p-value </w:t>
            </w:r>
            <w:r w:rsidRPr="00C34C12">
              <w:rPr>
                <w:lang w:eastAsia="ko-KR"/>
              </w:rPr>
              <w:t xml:space="preserve">&lt; 0.05 and </w:t>
            </w:r>
            <w:r w:rsidRPr="00C34C12">
              <w:t>0.17 &lt; |SMD/SD| ≤ 0.25</w:t>
            </w:r>
          </w:p>
        </w:tc>
      </w:tr>
      <w:tr w:rsidR="007C1023" w:rsidRPr="00C34C12" w14:paraId="4907B60B" w14:textId="77777777" w:rsidTr="00BA1018">
        <w:tc>
          <w:tcPr>
            <w:tcW w:w="1746" w:type="dxa"/>
          </w:tcPr>
          <w:p w14:paraId="3F635B83" w14:textId="77777777" w:rsidR="007C1023" w:rsidRPr="00C34C12" w:rsidRDefault="007C1023" w:rsidP="00BA1018">
            <w:pPr>
              <w:pStyle w:val="TableText"/>
              <w:rPr>
                <w:noProof w:val="0"/>
              </w:rPr>
            </w:pPr>
            <w:r w:rsidRPr="00C34C12">
              <w:rPr>
                <w:noProof w:val="0"/>
              </w:rPr>
              <w:t>C (large)</w:t>
            </w:r>
          </w:p>
        </w:tc>
        <w:tc>
          <w:tcPr>
            <w:tcW w:w="7344" w:type="dxa"/>
          </w:tcPr>
          <w:p w14:paraId="61BA742C" w14:textId="77777777" w:rsidR="007C1023" w:rsidRPr="00C34C12" w:rsidRDefault="007C1023" w:rsidP="00BA1018">
            <w:pPr>
              <w:pStyle w:val="tablebullet"/>
              <w:spacing w:after="20"/>
              <w:ind w:left="432" w:hanging="288"/>
            </w:pPr>
            <w:r w:rsidRPr="00C34C12">
              <w:rPr>
                <w:lang w:eastAsia="ko-KR"/>
              </w:rPr>
              <w:t xml:space="preserve">Mantel Chi-square </w:t>
            </w:r>
            <w:r w:rsidRPr="00C34C12">
              <w:rPr>
                <w:i/>
                <w:iCs/>
                <w:lang w:eastAsia="ko-KR"/>
              </w:rPr>
              <w:t xml:space="preserve">p-value </w:t>
            </w:r>
            <w:r w:rsidRPr="00C34C12">
              <w:rPr>
                <w:lang w:eastAsia="ko-KR"/>
              </w:rPr>
              <w:t>&lt; 0.05 and |SMD</w:t>
            </w:r>
            <w:r w:rsidRPr="00C34C12">
              <w:rPr>
                <w:i/>
                <w:iCs/>
                <w:lang w:eastAsia="ko-KR"/>
              </w:rPr>
              <w:t>/SD</w:t>
            </w:r>
            <w:r w:rsidRPr="00C34C12">
              <w:rPr>
                <w:lang w:eastAsia="ko-KR"/>
              </w:rPr>
              <w:t>| &gt; 0.25</w:t>
            </w:r>
          </w:p>
        </w:tc>
      </w:tr>
    </w:tbl>
    <w:p w14:paraId="0785DE37" w14:textId="67AEB917" w:rsidR="0032727F" w:rsidRPr="00C34C12" w:rsidRDefault="00354F29" w:rsidP="0032727F">
      <w:pPr>
        <w:keepNext/>
        <w:keepLines/>
        <w:spacing w:before="120"/>
      </w:pPr>
      <w:r w:rsidRPr="00354F29">
        <w:lastRenderedPageBreak/>
        <w:t xml:space="preserve">After a </w:t>
      </w:r>
      <w:r>
        <w:t>typical test administration</w:t>
      </w:r>
      <w:r w:rsidR="00E15F96">
        <w:t xml:space="preserve">, </w:t>
      </w:r>
      <w:r w:rsidR="007C1023" w:rsidRPr="00C34C12">
        <w:t xml:space="preserve">DIF analyses </w:t>
      </w:r>
      <w:r w:rsidR="00E15F96">
        <w:t>are</w:t>
      </w:r>
      <w:r w:rsidR="00E15F96" w:rsidRPr="00C34C12">
        <w:t xml:space="preserve"> </w:t>
      </w:r>
      <w:r w:rsidR="007C1023" w:rsidRPr="00C34C12">
        <w:t xml:space="preserve">conducted on each item for designated comparison groups, if the number of students in the group </w:t>
      </w:r>
      <w:r w:rsidR="00E15F96">
        <w:t>is</w:t>
      </w:r>
      <w:r w:rsidR="00E15F96" w:rsidRPr="00C34C12">
        <w:t xml:space="preserve"> </w:t>
      </w:r>
      <w:r w:rsidR="007C1023" w:rsidRPr="00C34C12">
        <w:t xml:space="preserve">sufficient. Groups </w:t>
      </w:r>
      <w:r w:rsidR="00E15F96">
        <w:t>are</w:t>
      </w:r>
      <w:r w:rsidR="00E15F96" w:rsidRPr="00C34C12">
        <w:t xml:space="preserve"> </w:t>
      </w:r>
      <w:r w:rsidR="007C1023" w:rsidRPr="00C34C12">
        <w:t xml:space="preserve">defined on the basis of demographic variables, including gender, race or ethnicity, and primary disabilities. These comparison groups are specified in </w:t>
      </w:r>
      <w:r w:rsidR="007C1023" w:rsidRPr="00C34C12">
        <w:rPr>
          <w:rStyle w:val="Cross-Reference"/>
        </w:rPr>
        <w:fldChar w:fldCharType="begin"/>
      </w:r>
      <w:r w:rsidR="007C1023" w:rsidRPr="00C34C12">
        <w:rPr>
          <w:rStyle w:val="Cross-Reference"/>
        </w:rPr>
        <w:instrText xml:space="preserve"> REF  _Ref22227286 \* Lower \h  \* MERGEFORMAT </w:instrText>
      </w:r>
      <w:r w:rsidR="007C1023" w:rsidRPr="00C34C12">
        <w:rPr>
          <w:rStyle w:val="Cross-Reference"/>
        </w:rPr>
      </w:r>
      <w:r w:rsidR="007C1023" w:rsidRPr="00C34C12">
        <w:rPr>
          <w:rStyle w:val="Cross-Reference"/>
        </w:rPr>
        <w:fldChar w:fldCharType="separate"/>
      </w:r>
      <w:r w:rsidR="00F4384C" w:rsidRPr="00F4384C">
        <w:rPr>
          <w:rStyle w:val="Cross-Reference"/>
        </w:rPr>
        <w:t>table 7.6</w:t>
      </w:r>
      <w:r w:rsidR="007C1023" w:rsidRPr="00C34C12">
        <w:rPr>
          <w:rStyle w:val="Cross-Reference"/>
        </w:rPr>
        <w:fldChar w:fldCharType="end"/>
      </w:r>
      <w:r w:rsidR="007C1023" w:rsidRPr="00C34C12">
        <w:t>.</w:t>
      </w:r>
      <w:r w:rsidR="0032727F">
        <w:t xml:space="preserve"> Note that an asterisk (</w:t>
      </w:r>
      <w:r w:rsidR="0032727F" w:rsidRPr="00C34C12">
        <w:t>*</w:t>
      </w:r>
      <w:r w:rsidR="0032727F">
        <w:t>) indicates that</w:t>
      </w:r>
      <w:r w:rsidR="0032727F" w:rsidRPr="00C34C12">
        <w:t xml:space="preserve"> DIF analysis </w:t>
      </w:r>
      <w:r w:rsidR="0032727F">
        <w:t>is not typically</w:t>
      </w:r>
      <w:r w:rsidR="0032727F" w:rsidRPr="00C34C12">
        <w:t xml:space="preserve"> performed </w:t>
      </w:r>
      <w:r w:rsidR="0032727F">
        <w:t>on these student groups because of</w:t>
      </w:r>
      <w:r w:rsidR="0032727F" w:rsidRPr="00C34C12">
        <w:t xml:space="preserve"> insufficient sample sizes for the CAA for Science.</w:t>
      </w:r>
    </w:p>
    <w:p w14:paraId="1B77B7EA" w14:textId="66C6455F" w:rsidR="007C1023" w:rsidRPr="00C34C12" w:rsidRDefault="007C1023" w:rsidP="007C1023">
      <w:pPr>
        <w:pStyle w:val="Caption"/>
        <w:keepLines/>
      </w:pPr>
      <w:bookmarkStart w:id="730" w:name="_Ref22227286"/>
      <w:bookmarkStart w:id="731" w:name="_Toc30414282"/>
      <w:bookmarkStart w:id="732" w:name="_Toc38901389"/>
      <w:bookmarkStart w:id="733" w:name="_Toc67319712"/>
      <w:bookmarkStart w:id="734" w:name="_Toc220498716"/>
      <w:r w:rsidRPr="00C34C12">
        <w:t xml:space="preserve">Table </w:t>
      </w:r>
      <w:r>
        <w:fldChar w:fldCharType="begin"/>
      </w:r>
      <w:r>
        <w:instrText>STYLEREF 2 \s</w:instrText>
      </w:r>
      <w:r>
        <w:fldChar w:fldCharType="separate"/>
      </w:r>
      <w:r w:rsidR="00961502">
        <w:rPr>
          <w:noProof/>
        </w:rPr>
        <w:t>7</w:t>
      </w:r>
      <w:r>
        <w:fldChar w:fldCharType="end"/>
      </w:r>
      <w:r w:rsidR="00A40753">
        <w:t>.</w:t>
      </w:r>
      <w:r>
        <w:fldChar w:fldCharType="begin"/>
      </w:r>
      <w:r>
        <w:instrText>SEQ Table \* ARABIC \s 2</w:instrText>
      </w:r>
      <w:r>
        <w:fldChar w:fldCharType="separate"/>
      </w:r>
      <w:r w:rsidR="00961502">
        <w:rPr>
          <w:noProof/>
        </w:rPr>
        <w:t>6</w:t>
      </w:r>
      <w:r>
        <w:fldChar w:fldCharType="end"/>
      </w:r>
      <w:bookmarkEnd w:id="730"/>
      <w:r w:rsidRPr="00C34C12">
        <w:t xml:space="preserve">  Student Groups for DIF Comparison</w:t>
      </w:r>
      <w:bookmarkEnd w:id="731"/>
      <w:bookmarkEnd w:id="732"/>
      <w:bookmarkEnd w:id="733"/>
      <w:bookmarkEnd w:id="734"/>
    </w:p>
    <w:tbl>
      <w:tblPr>
        <w:tblStyle w:val="TRsBorders"/>
        <w:tblW w:w="10078" w:type="dxa"/>
        <w:tblLook w:val="04A0" w:firstRow="1" w:lastRow="0" w:firstColumn="1" w:lastColumn="0" w:noHBand="0" w:noVBand="1"/>
        <w:tblDescription w:val="Student Groups for DIF Comparison"/>
      </w:tblPr>
      <w:tblGrid>
        <w:gridCol w:w="1870"/>
        <w:gridCol w:w="3168"/>
        <w:gridCol w:w="5040"/>
      </w:tblGrid>
      <w:tr w:rsidR="007C1023" w:rsidRPr="00C34C12" w14:paraId="77A009A5" w14:textId="77777777" w:rsidTr="00BA1018">
        <w:trPr>
          <w:cnfStyle w:val="100000000000" w:firstRow="1" w:lastRow="0" w:firstColumn="0" w:lastColumn="0" w:oddVBand="0" w:evenVBand="0" w:oddHBand="0" w:evenHBand="0" w:firstRowFirstColumn="0" w:firstRowLastColumn="0" w:lastRowFirstColumn="0" w:lastRowLastColumn="0"/>
          <w:cantSplit/>
        </w:trPr>
        <w:tc>
          <w:tcPr>
            <w:tcW w:w="1870" w:type="dxa"/>
            <w:noWrap/>
          </w:tcPr>
          <w:p w14:paraId="5AD745A0" w14:textId="77777777" w:rsidR="007C1023" w:rsidRPr="00C34C12" w:rsidRDefault="007C1023" w:rsidP="007C1023">
            <w:pPr>
              <w:pStyle w:val="TableHead"/>
              <w:keepNext/>
              <w:keepLines/>
              <w:rPr>
                <w:b w:val="0"/>
                <w:bCs w:val="0"/>
                <w:noProof w:val="0"/>
              </w:rPr>
            </w:pPr>
            <w:r w:rsidRPr="00C34C12">
              <w:rPr>
                <w:bCs w:val="0"/>
                <w:noProof w:val="0"/>
              </w:rPr>
              <w:t>DIF Type</w:t>
            </w:r>
          </w:p>
        </w:tc>
        <w:tc>
          <w:tcPr>
            <w:tcW w:w="3168" w:type="dxa"/>
            <w:noWrap/>
          </w:tcPr>
          <w:p w14:paraId="0F96FF1E" w14:textId="77777777" w:rsidR="007C1023" w:rsidRPr="00C34C12" w:rsidRDefault="007C1023" w:rsidP="007C1023">
            <w:pPr>
              <w:pStyle w:val="TableHead"/>
              <w:keepNext/>
              <w:keepLines/>
              <w:rPr>
                <w:b w:val="0"/>
                <w:bCs w:val="0"/>
                <w:noProof w:val="0"/>
              </w:rPr>
            </w:pPr>
            <w:r w:rsidRPr="00C34C12">
              <w:rPr>
                <w:bCs w:val="0"/>
                <w:noProof w:val="0"/>
              </w:rPr>
              <w:t>Reference Group</w:t>
            </w:r>
          </w:p>
        </w:tc>
        <w:tc>
          <w:tcPr>
            <w:tcW w:w="5040" w:type="dxa"/>
            <w:noWrap/>
          </w:tcPr>
          <w:p w14:paraId="2EC5DC45" w14:textId="77777777" w:rsidR="007C1023" w:rsidRPr="00C34C12" w:rsidRDefault="007C1023" w:rsidP="007C1023">
            <w:pPr>
              <w:pStyle w:val="TableHead"/>
              <w:keepNext/>
              <w:keepLines/>
              <w:rPr>
                <w:b w:val="0"/>
                <w:bCs w:val="0"/>
                <w:noProof w:val="0"/>
              </w:rPr>
            </w:pPr>
            <w:r w:rsidRPr="00C34C12">
              <w:rPr>
                <w:bCs w:val="0"/>
                <w:noProof w:val="0"/>
              </w:rPr>
              <w:t>Focal Group</w:t>
            </w:r>
          </w:p>
        </w:tc>
      </w:tr>
      <w:tr w:rsidR="007C1023" w:rsidRPr="00C34C12" w14:paraId="4D7B742A" w14:textId="77777777" w:rsidTr="00BA1018">
        <w:tc>
          <w:tcPr>
            <w:tcW w:w="1870" w:type="dxa"/>
            <w:noWrap/>
          </w:tcPr>
          <w:p w14:paraId="519F0330" w14:textId="77777777" w:rsidR="007C1023" w:rsidRPr="00C34C12" w:rsidRDefault="007C1023" w:rsidP="00B679BB">
            <w:pPr>
              <w:pStyle w:val="TableText"/>
              <w:keepNext/>
              <w:keepLines/>
              <w:jc w:val="left"/>
              <w:rPr>
                <w:b/>
                <w:noProof w:val="0"/>
              </w:rPr>
            </w:pPr>
            <w:r w:rsidRPr="00C34C12">
              <w:rPr>
                <w:b/>
                <w:noProof w:val="0"/>
              </w:rPr>
              <w:t>Gender</w:t>
            </w:r>
          </w:p>
        </w:tc>
        <w:tc>
          <w:tcPr>
            <w:tcW w:w="3168" w:type="dxa"/>
            <w:noWrap/>
          </w:tcPr>
          <w:p w14:paraId="5C4A3934" w14:textId="77777777" w:rsidR="007C1023" w:rsidRPr="00C34C12" w:rsidRDefault="007C1023" w:rsidP="006B01E9">
            <w:pPr>
              <w:pStyle w:val="TableText"/>
              <w:keepNext/>
              <w:keepLines/>
              <w:jc w:val="left"/>
              <w:rPr>
                <w:noProof w:val="0"/>
              </w:rPr>
            </w:pPr>
            <w:r w:rsidRPr="00C34C12">
              <w:rPr>
                <w:noProof w:val="0"/>
              </w:rPr>
              <w:t>Male</w:t>
            </w:r>
          </w:p>
        </w:tc>
        <w:tc>
          <w:tcPr>
            <w:tcW w:w="5040" w:type="dxa"/>
            <w:noWrap/>
          </w:tcPr>
          <w:p w14:paraId="268167E5" w14:textId="77777777" w:rsidR="007C1023" w:rsidRPr="00C34C12" w:rsidRDefault="007C1023" w:rsidP="007C1023">
            <w:pPr>
              <w:pStyle w:val="tablebullet"/>
              <w:keepNext/>
              <w:keepLines/>
              <w:spacing w:before="15" w:after="15"/>
              <w:ind w:left="216" w:hanging="216"/>
            </w:pPr>
            <w:r w:rsidRPr="00C34C12">
              <w:t>Female</w:t>
            </w:r>
          </w:p>
        </w:tc>
      </w:tr>
      <w:tr w:rsidR="007C1023" w:rsidRPr="00C34C12" w14:paraId="5B66F01A" w14:textId="77777777" w:rsidTr="00BA1018">
        <w:tc>
          <w:tcPr>
            <w:tcW w:w="1870" w:type="dxa"/>
            <w:noWrap/>
          </w:tcPr>
          <w:p w14:paraId="14243D09" w14:textId="3FBEB8B0" w:rsidR="007C1023" w:rsidRPr="00C34C12" w:rsidRDefault="007C1023" w:rsidP="00B679BB">
            <w:pPr>
              <w:pStyle w:val="TableText"/>
              <w:keepNext/>
              <w:keepLines/>
              <w:jc w:val="left"/>
              <w:rPr>
                <w:b/>
                <w:noProof w:val="0"/>
              </w:rPr>
            </w:pPr>
            <w:r w:rsidRPr="00C34C12">
              <w:rPr>
                <w:b/>
                <w:noProof w:val="0"/>
              </w:rPr>
              <w:t>Race</w:t>
            </w:r>
            <w:r w:rsidR="00592E74">
              <w:rPr>
                <w:b/>
                <w:noProof w:val="0"/>
              </w:rPr>
              <w:t xml:space="preserve"> or </w:t>
            </w:r>
            <w:r w:rsidRPr="00C34C12">
              <w:rPr>
                <w:b/>
                <w:noProof w:val="0"/>
              </w:rPr>
              <w:t>Ethnicity</w:t>
            </w:r>
          </w:p>
        </w:tc>
        <w:tc>
          <w:tcPr>
            <w:tcW w:w="3168" w:type="dxa"/>
            <w:noWrap/>
          </w:tcPr>
          <w:p w14:paraId="4D464A93" w14:textId="77777777" w:rsidR="007C1023" w:rsidRPr="00C34C12" w:rsidRDefault="007C1023" w:rsidP="006B01E9">
            <w:pPr>
              <w:pStyle w:val="TableText"/>
              <w:keepNext/>
              <w:keepLines/>
              <w:jc w:val="left"/>
              <w:rPr>
                <w:noProof w:val="0"/>
              </w:rPr>
            </w:pPr>
            <w:r w:rsidRPr="00C34C12">
              <w:rPr>
                <w:noProof w:val="0"/>
              </w:rPr>
              <w:t>White</w:t>
            </w:r>
          </w:p>
        </w:tc>
        <w:tc>
          <w:tcPr>
            <w:tcW w:w="5040" w:type="dxa"/>
            <w:noWrap/>
          </w:tcPr>
          <w:p w14:paraId="1CA7CE1C" w14:textId="3017B7D2" w:rsidR="007C1023" w:rsidRPr="00C34C12" w:rsidRDefault="007C1023" w:rsidP="007C1023">
            <w:pPr>
              <w:pStyle w:val="tablebullet"/>
              <w:keepNext/>
              <w:keepLines/>
              <w:spacing w:before="15" w:after="15"/>
              <w:ind w:left="216" w:hanging="216"/>
            </w:pPr>
            <w:r w:rsidRPr="00C34C12">
              <w:t>American Indian or Alaska Native*</w:t>
            </w:r>
          </w:p>
          <w:p w14:paraId="6C9AC071" w14:textId="77777777" w:rsidR="007C1023" w:rsidRPr="00C34C12" w:rsidRDefault="007C1023" w:rsidP="007C1023">
            <w:pPr>
              <w:pStyle w:val="tablebullet"/>
              <w:keepNext/>
              <w:keepLines/>
              <w:spacing w:before="15" w:after="15"/>
              <w:ind w:left="216" w:hanging="216"/>
            </w:pPr>
            <w:r w:rsidRPr="00C34C12">
              <w:t>Asian</w:t>
            </w:r>
          </w:p>
          <w:p w14:paraId="07D598B4" w14:textId="77777777" w:rsidR="007C1023" w:rsidRPr="00C34C12" w:rsidRDefault="007C1023" w:rsidP="007C1023">
            <w:pPr>
              <w:pStyle w:val="tablebullet"/>
              <w:keepNext/>
              <w:keepLines/>
              <w:spacing w:before="15" w:after="15"/>
              <w:ind w:left="216" w:hanging="216"/>
            </w:pPr>
            <w:r w:rsidRPr="00C34C12">
              <w:t>Black or African American</w:t>
            </w:r>
          </w:p>
          <w:p w14:paraId="284FE95D" w14:textId="77777777" w:rsidR="007C1023" w:rsidRPr="00C34C12" w:rsidRDefault="007C1023" w:rsidP="007C1023">
            <w:pPr>
              <w:pStyle w:val="tablebullet"/>
              <w:keepNext/>
              <w:keepLines/>
              <w:spacing w:before="15" w:after="15"/>
              <w:ind w:left="216" w:hanging="216"/>
            </w:pPr>
            <w:r w:rsidRPr="00C34C12">
              <w:t>Filipino</w:t>
            </w:r>
          </w:p>
          <w:p w14:paraId="1CB86290" w14:textId="77777777" w:rsidR="007C1023" w:rsidRPr="00C34C12" w:rsidRDefault="007C1023" w:rsidP="007C1023">
            <w:pPr>
              <w:pStyle w:val="tablebullet"/>
              <w:keepNext/>
              <w:keepLines/>
              <w:spacing w:before="15" w:after="15"/>
              <w:ind w:left="216" w:hanging="216"/>
            </w:pPr>
            <w:r w:rsidRPr="00C34C12">
              <w:t>Hispanic or Latino</w:t>
            </w:r>
          </w:p>
          <w:p w14:paraId="68A9F69E" w14:textId="6A2486C4" w:rsidR="007C1023" w:rsidRPr="00C34C12" w:rsidRDefault="007C1023" w:rsidP="007C1023">
            <w:pPr>
              <w:pStyle w:val="tablebullet"/>
              <w:keepNext/>
              <w:keepLines/>
              <w:spacing w:before="15" w:after="15"/>
              <w:ind w:left="216" w:hanging="216"/>
            </w:pPr>
            <w:r w:rsidRPr="00C34C12">
              <w:t>Native Hawaiian or Other Pacific Islander*</w:t>
            </w:r>
          </w:p>
        </w:tc>
      </w:tr>
      <w:tr w:rsidR="007C1023" w:rsidRPr="00C34C12" w14:paraId="569ECA17" w14:textId="77777777" w:rsidTr="00BA1018">
        <w:tc>
          <w:tcPr>
            <w:tcW w:w="1870" w:type="dxa"/>
            <w:noWrap/>
          </w:tcPr>
          <w:p w14:paraId="1715F415" w14:textId="77777777" w:rsidR="007C1023" w:rsidRPr="00C34C12" w:rsidRDefault="007C1023" w:rsidP="00B679BB">
            <w:pPr>
              <w:pStyle w:val="TableText"/>
              <w:jc w:val="left"/>
              <w:rPr>
                <w:b/>
                <w:noProof w:val="0"/>
              </w:rPr>
            </w:pPr>
            <w:r w:rsidRPr="00C34C12">
              <w:rPr>
                <w:b/>
                <w:noProof w:val="0"/>
              </w:rPr>
              <w:t>Disability</w:t>
            </w:r>
          </w:p>
        </w:tc>
        <w:tc>
          <w:tcPr>
            <w:tcW w:w="3168" w:type="dxa"/>
            <w:noWrap/>
          </w:tcPr>
          <w:p w14:paraId="40418CEA" w14:textId="77777777" w:rsidR="007C1023" w:rsidRPr="00C34C12" w:rsidRDefault="007C1023" w:rsidP="006B01E9">
            <w:pPr>
              <w:pStyle w:val="TableText"/>
              <w:jc w:val="left"/>
              <w:rPr>
                <w:noProof w:val="0"/>
              </w:rPr>
            </w:pPr>
            <w:r w:rsidRPr="00C34C12">
              <w:rPr>
                <w:noProof w:val="0"/>
              </w:rPr>
              <w:t>Intellectual Disability</w:t>
            </w:r>
          </w:p>
        </w:tc>
        <w:tc>
          <w:tcPr>
            <w:tcW w:w="5040" w:type="dxa"/>
            <w:noWrap/>
          </w:tcPr>
          <w:p w14:paraId="2DC7CB32" w14:textId="77777777" w:rsidR="007C1023" w:rsidRPr="00C34C12" w:rsidRDefault="007C1023" w:rsidP="007C1023">
            <w:pPr>
              <w:pStyle w:val="tablebullet"/>
              <w:spacing w:before="15" w:after="15"/>
              <w:ind w:left="216" w:hanging="216"/>
            </w:pPr>
            <w:r w:rsidRPr="00C34C12">
              <w:t>Autism</w:t>
            </w:r>
          </w:p>
          <w:p w14:paraId="64CAFD00" w14:textId="7469F192" w:rsidR="007C1023" w:rsidRPr="00C34C12" w:rsidRDefault="007C1023" w:rsidP="007C1023">
            <w:pPr>
              <w:pStyle w:val="tablebullet"/>
              <w:spacing w:before="15" w:after="15"/>
              <w:ind w:left="216" w:hanging="216"/>
            </w:pPr>
            <w:r w:rsidRPr="00C34C12">
              <w:t>Deaf-blindness*</w:t>
            </w:r>
          </w:p>
          <w:p w14:paraId="5A58DFE9" w14:textId="16AF7DBB" w:rsidR="007C1023" w:rsidRPr="00C34C12" w:rsidRDefault="007C1023" w:rsidP="007C1023">
            <w:pPr>
              <w:pStyle w:val="tablebullet"/>
              <w:spacing w:before="15" w:after="15"/>
              <w:ind w:left="216" w:hanging="216"/>
            </w:pPr>
            <w:r w:rsidRPr="00C34C12">
              <w:t>Emotional disturbance*</w:t>
            </w:r>
          </w:p>
          <w:p w14:paraId="1E92D19A" w14:textId="14117EDF" w:rsidR="007C1023" w:rsidRPr="00C34C12" w:rsidRDefault="007C1023" w:rsidP="007C1023">
            <w:pPr>
              <w:pStyle w:val="tablebullet"/>
              <w:spacing w:before="15" w:after="15"/>
              <w:ind w:left="216" w:hanging="216"/>
            </w:pPr>
            <w:r w:rsidRPr="00C34C12">
              <w:t>Hearing impairment*</w:t>
            </w:r>
          </w:p>
          <w:p w14:paraId="017FC044" w14:textId="77777777" w:rsidR="007C1023" w:rsidRPr="00C34C12" w:rsidRDefault="007C1023" w:rsidP="007C1023">
            <w:pPr>
              <w:pStyle w:val="tablebullet"/>
              <w:spacing w:before="15" w:after="15"/>
              <w:ind w:left="216" w:hanging="216"/>
            </w:pPr>
            <w:r w:rsidRPr="00C34C12">
              <w:t>Multiple disabilities</w:t>
            </w:r>
          </w:p>
          <w:p w14:paraId="1CFF907A" w14:textId="77777777" w:rsidR="007C1023" w:rsidRPr="00C34C12" w:rsidRDefault="007C1023" w:rsidP="007C1023">
            <w:pPr>
              <w:pStyle w:val="tablebullet"/>
              <w:spacing w:before="15" w:after="15"/>
              <w:ind w:left="216" w:hanging="216"/>
            </w:pPr>
            <w:r w:rsidRPr="00C34C12">
              <w:t>Orthopedic impairment</w:t>
            </w:r>
          </w:p>
          <w:p w14:paraId="13564C66" w14:textId="77777777" w:rsidR="007C1023" w:rsidRPr="00C34C12" w:rsidRDefault="007C1023" w:rsidP="007C1023">
            <w:pPr>
              <w:pStyle w:val="tablebullet"/>
              <w:spacing w:before="15" w:after="15"/>
              <w:ind w:left="216" w:hanging="216"/>
            </w:pPr>
            <w:r w:rsidRPr="00C34C12">
              <w:t>Other health impairment</w:t>
            </w:r>
          </w:p>
          <w:p w14:paraId="70BDAD3F" w14:textId="77777777" w:rsidR="007C1023" w:rsidRPr="00C34C12" w:rsidRDefault="007C1023" w:rsidP="007C1023">
            <w:pPr>
              <w:pStyle w:val="tablebullet"/>
              <w:spacing w:before="15" w:after="15"/>
              <w:ind w:left="216" w:hanging="216"/>
            </w:pPr>
            <w:r w:rsidRPr="00C34C12">
              <w:t>Specific learning disability</w:t>
            </w:r>
          </w:p>
          <w:p w14:paraId="37AC3752" w14:textId="77777777" w:rsidR="007C1023" w:rsidRPr="00C34C12" w:rsidRDefault="007C1023" w:rsidP="007C1023">
            <w:pPr>
              <w:pStyle w:val="tablebullet"/>
              <w:spacing w:before="15" w:after="15"/>
              <w:ind w:left="216" w:hanging="216"/>
            </w:pPr>
            <w:r w:rsidRPr="00C34C12">
              <w:t>Speech or language impairment</w:t>
            </w:r>
          </w:p>
          <w:p w14:paraId="64D31689" w14:textId="1D9A18BC" w:rsidR="007C1023" w:rsidRPr="00C34C12" w:rsidRDefault="007C1023" w:rsidP="007C1023">
            <w:pPr>
              <w:pStyle w:val="tablebullet"/>
              <w:spacing w:before="15" w:after="15"/>
              <w:ind w:left="216" w:hanging="216"/>
            </w:pPr>
            <w:r w:rsidRPr="00C34C12">
              <w:t>Traumatic brain injury*</w:t>
            </w:r>
          </w:p>
          <w:p w14:paraId="11146621" w14:textId="7A60E68A" w:rsidR="007C1023" w:rsidRPr="00C34C12" w:rsidRDefault="007C1023" w:rsidP="007C1023">
            <w:pPr>
              <w:pStyle w:val="tablebullet"/>
              <w:spacing w:before="15" w:after="15"/>
              <w:ind w:left="216" w:hanging="216"/>
            </w:pPr>
            <w:r w:rsidRPr="00C34C12">
              <w:t>Visual impairment*</w:t>
            </w:r>
          </w:p>
        </w:tc>
      </w:tr>
      <w:tr w:rsidR="007C1023" w:rsidRPr="00C34C12" w14:paraId="34986BEB" w14:textId="77777777" w:rsidTr="00BA1018">
        <w:tc>
          <w:tcPr>
            <w:tcW w:w="1870" w:type="dxa"/>
            <w:noWrap/>
          </w:tcPr>
          <w:p w14:paraId="24BBC6D9" w14:textId="77777777" w:rsidR="007C1023" w:rsidRPr="00C34C12" w:rsidRDefault="007C1023" w:rsidP="00B679BB">
            <w:pPr>
              <w:pStyle w:val="TableText"/>
              <w:jc w:val="left"/>
              <w:rPr>
                <w:b/>
                <w:noProof w:val="0"/>
              </w:rPr>
            </w:pPr>
            <w:r w:rsidRPr="00C34C12">
              <w:rPr>
                <w:b/>
                <w:noProof w:val="0"/>
              </w:rPr>
              <w:t>High School Grade Level</w:t>
            </w:r>
          </w:p>
        </w:tc>
        <w:tc>
          <w:tcPr>
            <w:tcW w:w="3168" w:type="dxa"/>
            <w:noWrap/>
          </w:tcPr>
          <w:p w14:paraId="52C83B49" w14:textId="77777777" w:rsidR="007C1023" w:rsidRPr="00C34C12" w:rsidRDefault="007C1023" w:rsidP="006B01E9">
            <w:pPr>
              <w:pStyle w:val="TableText"/>
              <w:jc w:val="left"/>
              <w:rPr>
                <w:noProof w:val="0"/>
              </w:rPr>
            </w:pPr>
            <w:r w:rsidRPr="00C34C12">
              <w:rPr>
                <w:noProof w:val="0"/>
              </w:rPr>
              <w:t>Grade Eleven</w:t>
            </w:r>
          </w:p>
        </w:tc>
        <w:tc>
          <w:tcPr>
            <w:tcW w:w="5040" w:type="dxa"/>
            <w:noWrap/>
          </w:tcPr>
          <w:p w14:paraId="66975228" w14:textId="77777777" w:rsidR="007C1023" w:rsidRPr="00C34C12" w:rsidRDefault="007C1023" w:rsidP="007C1023">
            <w:pPr>
              <w:pStyle w:val="tablebullet"/>
              <w:spacing w:before="15" w:after="15"/>
              <w:ind w:left="216" w:hanging="216"/>
            </w:pPr>
            <w:r w:rsidRPr="00C34C12">
              <w:t>Grade ten</w:t>
            </w:r>
          </w:p>
          <w:p w14:paraId="5637C549" w14:textId="77777777" w:rsidR="007C1023" w:rsidRPr="00C34C12" w:rsidRDefault="007C1023" w:rsidP="007C1023">
            <w:pPr>
              <w:pStyle w:val="tablebullet"/>
              <w:spacing w:before="15" w:after="15"/>
              <w:ind w:left="216" w:hanging="216"/>
            </w:pPr>
            <w:r w:rsidRPr="00C34C12">
              <w:t>Grade twelve</w:t>
            </w:r>
          </w:p>
        </w:tc>
      </w:tr>
      <w:tr w:rsidR="006B01E9" w:rsidRPr="005F0429" w14:paraId="76F384DE" w14:textId="77777777" w:rsidTr="00BA1018">
        <w:tc>
          <w:tcPr>
            <w:tcW w:w="1870" w:type="dxa"/>
            <w:noWrap/>
          </w:tcPr>
          <w:p w14:paraId="4F0F0C90" w14:textId="1BDEFFE0" w:rsidR="006B01E9" w:rsidRPr="005F0429" w:rsidRDefault="006B01E9" w:rsidP="00B679BB">
            <w:pPr>
              <w:pStyle w:val="TableText"/>
              <w:keepNext/>
              <w:keepLines/>
              <w:jc w:val="left"/>
              <w:rPr>
                <w:b/>
                <w:noProof w:val="0"/>
              </w:rPr>
            </w:pPr>
            <w:r>
              <w:rPr>
                <w:b/>
              </w:rPr>
              <w:t>Intellectual Disability Versus Autism</w:t>
            </w:r>
          </w:p>
        </w:tc>
        <w:tc>
          <w:tcPr>
            <w:tcW w:w="3168" w:type="dxa"/>
            <w:noWrap/>
          </w:tcPr>
          <w:p w14:paraId="0F23E570" w14:textId="3B767902" w:rsidR="006B01E9" w:rsidRDefault="006B01E9" w:rsidP="0088388A">
            <w:pPr>
              <w:pStyle w:val="TableText"/>
              <w:keepNext/>
              <w:keepLines/>
              <w:jc w:val="left"/>
            </w:pPr>
            <w:r>
              <w:t>Intellectual Disability Group, which includes the following:</w:t>
            </w:r>
          </w:p>
          <w:p w14:paraId="6F25C18B" w14:textId="77777777" w:rsidR="006B01E9" w:rsidRDefault="006B01E9" w:rsidP="0088388A">
            <w:pPr>
              <w:pStyle w:val="tablebullet"/>
              <w:keepNext/>
              <w:keepLines/>
              <w:spacing w:before="15" w:after="15"/>
              <w:ind w:left="576" w:hanging="288"/>
            </w:pPr>
            <w:r>
              <w:t>Intellectual disability</w:t>
            </w:r>
          </w:p>
          <w:p w14:paraId="167ED2C2" w14:textId="77777777" w:rsidR="006B01E9" w:rsidRDefault="006B01E9" w:rsidP="0088388A">
            <w:pPr>
              <w:pStyle w:val="tablebullet"/>
              <w:keepNext/>
              <w:keepLines/>
              <w:spacing w:before="15" w:after="15"/>
              <w:ind w:left="576" w:hanging="288"/>
            </w:pPr>
            <w:r>
              <w:t>Multiple disabilities</w:t>
            </w:r>
          </w:p>
          <w:p w14:paraId="0F61C728" w14:textId="1A680743" w:rsidR="006B01E9" w:rsidRPr="005F0429" w:rsidRDefault="006B01E9" w:rsidP="0088388A">
            <w:pPr>
              <w:pStyle w:val="tablebullet"/>
              <w:keepNext/>
              <w:keepLines/>
              <w:spacing w:before="15" w:after="15"/>
              <w:ind w:left="576" w:hanging="288"/>
            </w:pPr>
            <w:r>
              <w:t>Traumatic brain injury</w:t>
            </w:r>
          </w:p>
        </w:tc>
        <w:tc>
          <w:tcPr>
            <w:tcW w:w="5040" w:type="dxa"/>
            <w:noWrap/>
          </w:tcPr>
          <w:p w14:paraId="35221104" w14:textId="47974A3B" w:rsidR="006B01E9" w:rsidRPr="005F0429" w:rsidRDefault="006B01E9" w:rsidP="0088388A">
            <w:pPr>
              <w:pStyle w:val="tablebullet"/>
              <w:keepNext/>
              <w:keepLines/>
              <w:spacing w:before="15" w:after="15"/>
              <w:ind w:left="216" w:hanging="216"/>
            </w:pPr>
            <w:r w:rsidRPr="001C4676">
              <w:t>Autism</w:t>
            </w:r>
          </w:p>
        </w:tc>
      </w:tr>
      <w:tr w:rsidR="006B01E9" w:rsidRPr="005F0429" w14:paraId="09AECD4C" w14:textId="77777777" w:rsidTr="00BA1018">
        <w:tc>
          <w:tcPr>
            <w:tcW w:w="1870" w:type="dxa"/>
            <w:noWrap/>
          </w:tcPr>
          <w:p w14:paraId="121FC2EB" w14:textId="0BE34018" w:rsidR="006B01E9" w:rsidRDefault="006B01E9" w:rsidP="00B679BB">
            <w:pPr>
              <w:pStyle w:val="TableText"/>
              <w:tabs>
                <w:tab w:val="left" w:pos="1422"/>
              </w:tabs>
              <w:jc w:val="left"/>
              <w:rPr>
                <w:b/>
              </w:rPr>
            </w:pPr>
            <w:r>
              <w:rPr>
                <w:b/>
              </w:rPr>
              <w:t>Intellectual Disability Versus Learning Disability</w:t>
            </w:r>
          </w:p>
        </w:tc>
        <w:tc>
          <w:tcPr>
            <w:tcW w:w="3168" w:type="dxa"/>
            <w:noWrap/>
          </w:tcPr>
          <w:p w14:paraId="503A40A0" w14:textId="77777777" w:rsidR="006B01E9" w:rsidRDefault="006B01E9" w:rsidP="006B01E9">
            <w:pPr>
              <w:pStyle w:val="TableText"/>
              <w:jc w:val="left"/>
            </w:pPr>
            <w:r>
              <w:t>Intellectual Disability Group, which includes the following:</w:t>
            </w:r>
          </w:p>
          <w:p w14:paraId="65CE07F9" w14:textId="77777777" w:rsidR="006B01E9" w:rsidRDefault="006B01E9" w:rsidP="006B01E9">
            <w:pPr>
              <w:pStyle w:val="tablebullet"/>
              <w:spacing w:before="15" w:after="15"/>
              <w:ind w:left="576" w:hanging="288"/>
            </w:pPr>
            <w:r>
              <w:t>Intellectual disability</w:t>
            </w:r>
          </w:p>
          <w:p w14:paraId="2C14D119" w14:textId="77777777" w:rsidR="006B01E9" w:rsidRDefault="006B01E9" w:rsidP="006B01E9">
            <w:pPr>
              <w:pStyle w:val="tablebullet"/>
              <w:spacing w:before="15" w:after="15"/>
              <w:ind w:left="576" w:hanging="288"/>
            </w:pPr>
            <w:r>
              <w:t>Multiple disabilities</w:t>
            </w:r>
          </w:p>
          <w:p w14:paraId="67857494" w14:textId="35A6664D" w:rsidR="006B01E9" w:rsidRDefault="006B01E9" w:rsidP="006B01E9">
            <w:pPr>
              <w:pStyle w:val="tablebullet"/>
              <w:spacing w:before="15" w:after="15"/>
              <w:ind w:left="576" w:hanging="288"/>
            </w:pPr>
            <w:r>
              <w:t xml:space="preserve">Traumatic brain injury </w:t>
            </w:r>
          </w:p>
        </w:tc>
        <w:tc>
          <w:tcPr>
            <w:tcW w:w="5040" w:type="dxa"/>
            <w:noWrap/>
          </w:tcPr>
          <w:p w14:paraId="2E6B37CB" w14:textId="77777777" w:rsidR="006B01E9" w:rsidRDefault="006B01E9" w:rsidP="006B01E9">
            <w:pPr>
              <w:pStyle w:val="TableText"/>
              <w:jc w:val="left"/>
            </w:pPr>
            <w:r>
              <w:t>Learning Disability Group, which includes the following:</w:t>
            </w:r>
          </w:p>
          <w:p w14:paraId="62482622" w14:textId="25086E9B" w:rsidR="006B01E9" w:rsidRPr="00496D4D" w:rsidRDefault="006B01E9" w:rsidP="006B01E9">
            <w:pPr>
              <w:pStyle w:val="tablebullet"/>
              <w:spacing w:after="20"/>
              <w:ind w:left="576" w:hanging="288"/>
            </w:pPr>
            <w:r w:rsidRPr="00496D4D">
              <w:t>Emotional disturbance</w:t>
            </w:r>
          </w:p>
          <w:p w14:paraId="04EBD9D2" w14:textId="77777777" w:rsidR="006B01E9" w:rsidRPr="00ED1319" w:rsidRDefault="006B01E9" w:rsidP="006B01E9">
            <w:pPr>
              <w:pStyle w:val="tablebullet"/>
              <w:spacing w:after="20"/>
              <w:ind w:left="576" w:hanging="288"/>
            </w:pPr>
            <w:r w:rsidRPr="00ED1319">
              <w:t>Orthopedic impairment</w:t>
            </w:r>
          </w:p>
          <w:p w14:paraId="670FFD3E" w14:textId="77777777" w:rsidR="006B01E9" w:rsidRPr="006402FF" w:rsidRDefault="006B01E9" w:rsidP="006B01E9">
            <w:pPr>
              <w:pStyle w:val="tablebullet"/>
              <w:spacing w:after="20"/>
              <w:ind w:left="576" w:hanging="288"/>
            </w:pPr>
            <w:r w:rsidRPr="006402FF">
              <w:t>Other health impairment</w:t>
            </w:r>
          </w:p>
          <w:p w14:paraId="6B7316F3" w14:textId="77777777" w:rsidR="006B01E9" w:rsidRPr="00132AD7" w:rsidRDefault="006B01E9" w:rsidP="006B01E9">
            <w:pPr>
              <w:pStyle w:val="tablebullet"/>
              <w:spacing w:after="20"/>
              <w:ind w:left="576" w:hanging="288"/>
            </w:pPr>
            <w:r w:rsidRPr="00132AD7">
              <w:t>Specific learning disability</w:t>
            </w:r>
          </w:p>
          <w:p w14:paraId="05D64F59" w14:textId="394469E7" w:rsidR="006B01E9" w:rsidRPr="001C4676" w:rsidRDefault="006B01E9" w:rsidP="006B01E9">
            <w:pPr>
              <w:pStyle w:val="tablebullet"/>
              <w:spacing w:after="20"/>
              <w:ind w:left="576" w:hanging="288"/>
            </w:pPr>
            <w:r w:rsidRPr="00775972">
              <w:t>Speech or language impairment</w:t>
            </w:r>
          </w:p>
        </w:tc>
      </w:tr>
    </w:tbl>
    <w:p w14:paraId="17A9C8C4" w14:textId="358AEE41" w:rsidR="005B13C5" w:rsidRDefault="005B13C5" w:rsidP="00DB6635">
      <w:pPr>
        <w:pStyle w:val="Heading3"/>
        <w:rPr>
          <w:lang w:bidi="en-US"/>
        </w:rPr>
      </w:pPr>
      <w:bookmarkStart w:id="735" w:name="_Toc182555224"/>
      <w:bookmarkStart w:id="736" w:name="_Toc30139098"/>
      <w:bookmarkStart w:id="737" w:name="_Toc30139500"/>
      <w:bookmarkStart w:id="738" w:name="_Toc30139900"/>
      <w:bookmarkStart w:id="739" w:name="_Toc30422083"/>
      <w:bookmarkStart w:id="740" w:name="_Toc30745650"/>
      <w:bookmarkStart w:id="741" w:name="_Toc30746018"/>
      <w:bookmarkStart w:id="742" w:name="_Toc30746412"/>
      <w:bookmarkStart w:id="743" w:name="_Toc34806323"/>
      <w:bookmarkStart w:id="744" w:name="_Toc34989997"/>
      <w:bookmarkStart w:id="745" w:name="_Toc30139099"/>
      <w:bookmarkStart w:id="746" w:name="_Toc30139501"/>
      <w:bookmarkStart w:id="747" w:name="_Toc30139901"/>
      <w:bookmarkStart w:id="748" w:name="_Toc30422084"/>
      <w:bookmarkStart w:id="749" w:name="_Toc30745651"/>
      <w:bookmarkStart w:id="750" w:name="_Toc30746019"/>
      <w:bookmarkStart w:id="751" w:name="_Toc30746413"/>
      <w:bookmarkStart w:id="752" w:name="_Toc34806324"/>
      <w:bookmarkStart w:id="753" w:name="_Toc34989998"/>
      <w:bookmarkStart w:id="754" w:name="_Toc30139100"/>
      <w:bookmarkStart w:id="755" w:name="_Toc30139502"/>
      <w:bookmarkStart w:id="756" w:name="_Toc30139902"/>
      <w:bookmarkStart w:id="757" w:name="_Toc30422085"/>
      <w:bookmarkStart w:id="758" w:name="_Toc30745652"/>
      <w:bookmarkStart w:id="759" w:name="_Toc30746020"/>
      <w:bookmarkStart w:id="760" w:name="_Toc30746414"/>
      <w:bookmarkStart w:id="761" w:name="_Toc34806325"/>
      <w:bookmarkStart w:id="762" w:name="_Toc34989999"/>
      <w:bookmarkStart w:id="763" w:name="_Toc30139101"/>
      <w:bookmarkStart w:id="764" w:name="_Toc30139503"/>
      <w:bookmarkStart w:id="765" w:name="_Toc30139903"/>
      <w:bookmarkStart w:id="766" w:name="_Toc30422086"/>
      <w:bookmarkStart w:id="767" w:name="_Toc30745653"/>
      <w:bookmarkStart w:id="768" w:name="_Toc30746021"/>
      <w:bookmarkStart w:id="769" w:name="_Toc30746415"/>
      <w:bookmarkStart w:id="770" w:name="_Toc34806326"/>
      <w:bookmarkStart w:id="771" w:name="_Toc34990000"/>
      <w:bookmarkStart w:id="772" w:name="_Toc62215143"/>
      <w:bookmarkStart w:id="773" w:name="_Toc66787590"/>
      <w:bookmarkStart w:id="774" w:name="_Toc66788049"/>
      <w:bookmarkStart w:id="775" w:name="_Toc67035641"/>
      <w:bookmarkStart w:id="776" w:name="_Toc67319505"/>
      <w:bookmarkStart w:id="777" w:name="_Toc67382617"/>
      <w:bookmarkStart w:id="778" w:name="_Toc67466176"/>
      <w:bookmarkStart w:id="779" w:name="_Toc68089044"/>
      <w:bookmarkStart w:id="780" w:name="_Toc68107893"/>
      <w:bookmarkStart w:id="781" w:name="_Toc62215144"/>
      <w:bookmarkStart w:id="782" w:name="_Toc66787591"/>
      <w:bookmarkStart w:id="783" w:name="_Toc66788050"/>
      <w:bookmarkStart w:id="784" w:name="_Toc67035642"/>
      <w:bookmarkStart w:id="785" w:name="_Toc67319506"/>
      <w:bookmarkStart w:id="786" w:name="_Toc67382618"/>
      <w:bookmarkStart w:id="787" w:name="_Toc67466177"/>
      <w:bookmarkStart w:id="788" w:name="_Toc68089045"/>
      <w:bookmarkStart w:id="789" w:name="_Toc68107894"/>
      <w:bookmarkStart w:id="790" w:name="_Toc62215145"/>
      <w:bookmarkStart w:id="791" w:name="_Toc66787592"/>
      <w:bookmarkStart w:id="792" w:name="_Toc66788051"/>
      <w:bookmarkStart w:id="793" w:name="_Toc67035643"/>
      <w:bookmarkStart w:id="794" w:name="_Toc67319507"/>
      <w:bookmarkStart w:id="795" w:name="_Toc67382619"/>
      <w:bookmarkStart w:id="796" w:name="_Toc67466178"/>
      <w:bookmarkStart w:id="797" w:name="_Toc68089046"/>
      <w:bookmarkStart w:id="798" w:name="_Toc68107895"/>
      <w:bookmarkStart w:id="799" w:name="_Toc62215146"/>
      <w:bookmarkStart w:id="800" w:name="_Toc66787593"/>
      <w:bookmarkStart w:id="801" w:name="_Toc66788052"/>
      <w:bookmarkStart w:id="802" w:name="_Toc67035644"/>
      <w:bookmarkStart w:id="803" w:name="_Toc67319508"/>
      <w:bookmarkStart w:id="804" w:name="_Toc67382620"/>
      <w:bookmarkStart w:id="805" w:name="_Toc67466179"/>
      <w:bookmarkStart w:id="806" w:name="_Toc68089047"/>
      <w:bookmarkStart w:id="807" w:name="_Toc68107896"/>
      <w:bookmarkStart w:id="808" w:name="_Item_Response_Theory"/>
      <w:bookmarkStart w:id="809" w:name="_Toc182555225"/>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r w:rsidRPr="2D85FA21">
        <w:rPr>
          <w:lang w:bidi="en-US"/>
        </w:rPr>
        <w:lastRenderedPageBreak/>
        <w:t>Item Response Theory Analyses</w:t>
      </w:r>
      <w:bookmarkEnd w:id="809"/>
    </w:p>
    <w:p w14:paraId="0CFAC93D" w14:textId="77777777" w:rsidR="007C1023" w:rsidRPr="00C34C12" w:rsidRDefault="007C1023" w:rsidP="007C1023">
      <w:r w:rsidRPr="00C34C12">
        <w:t>IRT is built upon the item response function, which describes the probability of a given response as a function of a person’s true ability. IRT can be used to implement item calibrations, link item parameters, scale test scores across different forms or test administrations, evaluate item performance, build an item bank, and assemble test forms.</w:t>
      </w:r>
    </w:p>
    <w:p w14:paraId="0C06F032" w14:textId="77777777" w:rsidR="007C1023" w:rsidRPr="00C34C12" w:rsidRDefault="007C1023" w:rsidP="007C1023">
      <w:r w:rsidRPr="00C34C12">
        <w:t>This section describes how IRT models are used in CAA tests for calibrating items. IRT data file preparation and IRT models</w:t>
      </w:r>
      <w:r w:rsidRPr="00C34C12" w:rsidDel="00FB375C">
        <w:t xml:space="preserve"> </w:t>
      </w:r>
      <w:r w:rsidRPr="00C34C12">
        <w:t>are also covered in this section.</w:t>
      </w:r>
    </w:p>
    <w:p w14:paraId="01396923" w14:textId="54EDFBB1" w:rsidR="007C1023" w:rsidRPr="00C34C12" w:rsidRDefault="007C1023" w:rsidP="007C1023">
      <w:pPr>
        <w:pStyle w:val="Heading4"/>
        <w:ind w:left="792" w:hanging="792"/>
      </w:pPr>
      <w:bookmarkStart w:id="810" w:name="_IRT_Models"/>
      <w:bookmarkStart w:id="811" w:name="_Toc38901308"/>
      <w:bookmarkStart w:id="812" w:name="_Toc182555226"/>
      <w:bookmarkEnd w:id="810"/>
      <w:r>
        <w:t>I</w:t>
      </w:r>
      <w:r w:rsidR="00C66744">
        <w:t xml:space="preserve">tem </w:t>
      </w:r>
      <w:r>
        <w:t>R</w:t>
      </w:r>
      <w:r w:rsidR="00C66744">
        <w:t xml:space="preserve">esponse </w:t>
      </w:r>
      <w:r>
        <w:t>T</w:t>
      </w:r>
      <w:r w:rsidR="00C66744">
        <w:t>heory</w:t>
      </w:r>
      <w:r>
        <w:t xml:space="preserve"> Models</w:t>
      </w:r>
      <w:bookmarkEnd w:id="811"/>
      <w:bookmarkEnd w:id="812"/>
    </w:p>
    <w:p w14:paraId="12831552" w14:textId="2A57FCCE" w:rsidR="007C1023" w:rsidRPr="00C34C12" w:rsidRDefault="007C1023" w:rsidP="007C1023">
      <w:r w:rsidRPr="00C34C12">
        <w:t xml:space="preserve">The one-parameter logistic (1PL) IRT model (1PL-IRT) is used for the CAA for Science item calibration and was selected after consultation with the CDE. The generalized partial credit model (GPCM) (Muraki, 1992) restricted for 1PL-IRT, which is essentially the partial credit model (PCM) (Masters, 1982), is applied to both dichotomous and polytomous items. The mathematical form of the GPCM is </w:t>
      </w:r>
      <w:r w:rsidR="005D5E74">
        <w:t xml:space="preserve">presented in equation 7.7. </w:t>
      </w:r>
      <w:r w:rsidR="005D5E74" w:rsidRPr="00C34C12">
        <w:rPr>
          <w:i/>
        </w:rPr>
        <w:t xml:space="preserve">Refer to the </w:t>
      </w:r>
      <w:hyperlink w:anchor="_Alternative_Text_for_6" w:history="1">
        <w:r w:rsidR="005D5E74" w:rsidRPr="00C34C12">
          <w:rPr>
            <w:rStyle w:val="Hyperlink"/>
            <w:i/>
          </w:rPr>
          <w:t>Alternative Text for Equation 7.7</w:t>
        </w:r>
      </w:hyperlink>
      <w:r w:rsidR="005D5E74" w:rsidRPr="00C34C12">
        <w:rPr>
          <w:i/>
        </w:rPr>
        <w:t xml:space="preserve"> for a description of this equation.</w:t>
      </w:r>
    </w:p>
    <w:bookmarkStart w:id="813" w:name="_MON_1791277208"/>
    <w:bookmarkEnd w:id="813"/>
    <w:p w14:paraId="49D5A7B5" w14:textId="3EBD6344" w:rsidR="007C1023" w:rsidRPr="00C34C12" w:rsidRDefault="001C04FF" w:rsidP="00642B90">
      <w:pPr>
        <w:pStyle w:val="NormalIndent2"/>
        <w:tabs>
          <w:tab w:val="right" w:pos="9936"/>
        </w:tabs>
      </w:pPr>
      <w:r>
        <w:object w:dxaOrig="7880" w:dyaOrig="1899" w14:anchorId="681E17F8">
          <v:shape id="_x0000_i1032" type="#_x0000_t75" alt="Equation 7.7; a link to the long description for this equation is found in the preceding paragraph." style="width:393.8pt;height:95.15pt" o:ole="">
            <v:imagedata r:id="rId50" o:title=""/>
          </v:shape>
          <o:OLEObject Type="Embed" ProgID="Word.Document.12" ShapeID="_x0000_i1032" DrawAspect="Content" ObjectID="_1835872858" r:id="rId51">
            <o:FieldCodes>\s</o:FieldCodes>
          </o:OLEObject>
        </w:object>
      </w:r>
      <w:r w:rsidR="007C1023" w:rsidRPr="00C34C12">
        <w:tab/>
      </w:r>
      <w:bookmarkStart w:id="814" w:name="EQ84"/>
      <w:bookmarkStart w:id="815" w:name="EQ7_7"/>
      <w:bookmarkEnd w:id="814"/>
      <w:r w:rsidR="007C1023" w:rsidRPr="00C34C12">
        <w:t>(7.7)</w:t>
      </w:r>
      <w:bookmarkEnd w:id="815"/>
    </w:p>
    <w:p w14:paraId="35835E9A" w14:textId="77777777" w:rsidR="007C1023" w:rsidRPr="00C34C12" w:rsidRDefault="007C1023" w:rsidP="007C1023">
      <w:pPr>
        <w:pStyle w:val="NormalIndent2"/>
        <w:keepNext/>
      </w:pPr>
      <w:r w:rsidRPr="00C34C12">
        <w:t>where,</w:t>
      </w:r>
    </w:p>
    <w:p w14:paraId="0BD0FAC3" w14:textId="33BB8D5E" w:rsidR="007C1023" w:rsidRPr="00C34C12" w:rsidRDefault="002451F7" w:rsidP="007C1023">
      <w:pPr>
        <w:pStyle w:val="equation"/>
      </w:pPr>
      <w:r w:rsidRPr="00D3131B">
        <w:rPr>
          <w:rFonts w:ascii="Times New Roman" w:hAnsi="Times New Roman" w:cs="Times New Roman"/>
          <w:i/>
          <w:iCs/>
          <w:sz w:val="28"/>
          <w:szCs w:val="28"/>
        </w:rPr>
        <w:t>P</w:t>
      </w:r>
      <w:r w:rsidRPr="00D3131B">
        <w:rPr>
          <w:rFonts w:ascii="Times New Roman" w:hAnsi="Times New Roman" w:cs="Times New Roman"/>
          <w:i/>
          <w:iCs/>
          <w:sz w:val="28"/>
          <w:szCs w:val="28"/>
          <w:vertAlign w:val="subscript"/>
        </w:rPr>
        <w:t>ih</w:t>
      </w:r>
      <w:r w:rsidRPr="00D3131B">
        <w:rPr>
          <w:rFonts w:ascii="Times New Roman" w:hAnsi="Times New Roman" w:cs="Times New Roman"/>
          <w:i/>
          <w:iCs/>
          <w:sz w:val="28"/>
          <w:szCs w:val="28"/>
        </w:rPr>
        <w:t>(</w:t>
      </w:r>
      <w:r w:rsidRPr="00977ACE">
        <w:rPr>
          <w:rFonts w:ascii="Times New Roman" w:hAnsi="Times New Roman" w:cs="Times New Roman"/>
          <w:i/>
          <w:sz w:val="28"/>
          <w:szCs w:val="28"/>
        </w:rPr>
        <w:t>θ</w:t>
      </w:r>
      <w:r w:rsidRPr="00977ACE">
        <w:rPr>
          <w:rFonts w:ascii="Times New Roman" w:hAnsi="Times New Roman" w:cs="Times New Roman"/>
          <w:i/>
          <w:sz w:val="28"/>
          <w:szCs w:val="28"/>
          <w:vertAlign w:val="subscript"/>
        </w:rPr>
        <w:t>j</w:t>
      </w:r>
      <w:r w:rsidRPr="00D3131B">
        <w:rPr>
          <w:rFonts w:ascii="Times New Roman" w:hAnsi="Times New Roman" w:cs="Times New Roman"/>
          <w:i/>
          <w:iCs/>
          <w:sz w:val="28"/>
          <w:szCs w:val="28"/>
        </w:rPr>
        <w:t>)</w:t>
      </w:r>
      <w:r w:rsidR="007C1023" w:rsidRPr="00C34C12">
        <w:t xml:space="preserve"> is the probability of student with proficiency </w:t>
      </w:r>
      <w:r w:rsidRPr="00D3131B">
        <w:rPr>
          <w:rFonts w:ascii="Times New Roman" w:hAnsi="Times New Roman" w:cs="Times New Roman"/>
          <w:i/>
          <w:sz w:val="28"/>
          <w:szCs w:val="28"/>
        </w:rPr>
        <w:t>θ</w:t>
      </w:r>
      <w:r w:rsidRPr="00D3131B">
        <w:rPr>
          <w:rFonts w:ascii="Times New Roman" w:hAnsi="Times New Roman" w:cs="Times New Roman"/>
          <w:i/>
          <w:sz w:val="28"/>
          <w:szCs w:val="28"/>
          <w:vertAlign w:val="subscript"/>
        </w:rPr>
        <w:t>j</w:t>
      </w:r>
      <w:r w:rsidR="007C1023" w:rsidRPr="00C34C12">
        <w:t xml:space="preserve"> obtaining score </w:t>
      </w:r>
      <w:r w:rsidR="007C1023" w:rsidRPr="00C34C12">
        <w:rPr>
          <w:rFonts w:ascii="Times New Roman" w:hAnsi="Times New Roman" w:cs="Times New Roman"/>
          <w:i/>
          <w:sz w:val="28"/>
          <w:szCs w:val="28"/>
        </w:rPr>
        <w:t>h</w:t>
      </w:r>
      <w:r w:rsidR="007C1023" w:rsidRPr="00C34C12">
        <w:t xml:space="preserve"> on item </w:t>
      </w:r>
      <w:r w:rsidR="007C1023" w:rsidRPr="00C34C12">
        <w:rPr>
          <w:rFonts w:ascii="Times New Roman" w:hAnsi="Times New Roman"/>
          <w:i/>
          <w:sz w:val="28"/>
        </w:rPr>
        <w:t>i</w:t>
      </w:r>
      <w:r w:rsidR="007C1023" w:rsidRPr="00C34C12">
        <w:t>,</w:t>
      </w:r>
    </w:p>
    <w:p w14:paraId="6B30C2E2" w14:textId="57BBD0A6" w:rsidR="007C1023" w:rsidRPr="00C34C12" w:rsidRDefault="002451F7" w:rsidP="007C1023">
      <w:pPr>
        <w:pStyle w:val="equation"/>
      </w:pPr>
      <w:proofErr w:type="spellStart"/>
      <w:r w:rsidRPr="00AC238A">
        <w:rPr>
          <w:rFonts w:ascii="Times New Roman" w:hAnsi="Times New Roman" w:cs="Times New Roman"/>
          <w:i/>
          <w:sz w:val="28"/>
          <w:szCs w:val="28"/>
        </w:rPr>
        <w:t>n</w:t>
      </w:r>
      <w:r w:rsidRPr="00AC238A">
        <w:rPr>
          <w:rFonts w:ascii="Times New Roman" w:hAnsi="Times New Roman" w:cs="Times New Roman"/>
          <w:i/>
          <w:sz w:val="28"/>
          <w:szCs w:val="28"/>
          <w:vertAlign w:val="subscript"/>
        </w:rPr>
        <w:t>i</w:t>
      </w:r>
      <w:proofErr w:type="spellEnd"/>
      <w:r w:rsidR="007C1023" w:rsidRPr="00C34C12">
        <w:t xml:space="preserve"> is the maximum number of score points for item </w:t>
      </w:r>
      <w:r w:rsidR="007C1023" w:rsidRPr="00C34C12">
        <w:rPr>
          <w:rFonts w:ascii="Times New Roman" w:hAnsi="Times New Roman"/>
          <w:i/>
          <w:sz w:val="28"/>
        </w:rPr>
        <w:t>i</w:t>
      </w:r>
      <w:r w:rsidR="007C1023" w:rsidRPr="00C34C12">
        <w:t>,</w:t>
      </w:r>
    </w:p>
    <w:p w14:paraId="48B15335" w14:textId="2FC36775" w:rsidR="007C1023" w:rsidRPr="00C34C12" w:rsidRDefault="002451F7" w:rsidP="007C1023">
      <w:pPr>
        <w:pStyle w:val="equation"/>
      </w:pPr>
      <w:r w:rsidRPr="00D3131B">
        <w:rPr>
          <w:rFonts w:ascii="Times New Roman" w:hAnsi="Times New Roman" w:cs="Times New Roman"/>
          <w:i/>
          <w:sz w:val="28"/>
          <w:szCs w:val="28"/>
        </w:rPr>
        <w:t>a</w:t>
      </w:r>
      <w:r w:rsidRPr="00D3131B">
        <w:rPr>
          <w:rFonts w:ascii="Times New Roman" w:hAnsi="Times New Roman" w:cs="Times New Roman"/>
          <w:i/>
          <w:sz w:val="28"/>
          <w:szCs w:val="28"/>
          <w:vertAlign w:val="subscript"/>
        </w:rPr>
        <w:t>i</w:t>
      </w:r>
      <w:r w:rsidR="007C1023" w:rsidRPr="00C34C12">
        <w:t xml:space="preserve"> is the discrimination parameter and is fixed to 0.588 for every item,</w:t>
      </w:r>
    </w:p>
    <w:p w14:paraId="55D202E0" w14:textId="7AC7E59D" w:rsidR="007C1023" w:rsidRPr="00C34C12" w:rsidRDefault="002451F7" w:rsidP="007C1023">
      <w:pPr>
        <w:pStyle w:val="equation"/>
      </w:pPr>
      <w:r w:rsidRPr="00D3131B">
        <w:rPr>
          <w:rFonts w:ascii="Times New Roman" w:hAnsi="Times New Roman" w:cs="Times New Roman"/>
          <w:i/>
          <w:sz w:val="28"/>
          <w:szCs w:val="28"/>
        </w:rPr>
        <w:t>b</w:t>
      </w:r>
      <w:r w:rsidRPr="00D3131B">
        <w:rPr>
          <w:rFonts w:ascii="Times New Roman" w:hAnsi="Times New Roman" w:cs="Times New Roman"/>
          <w:i/>
          <w:sz w:val="28"/>
          <w:szCs w:val="28"/>
          <w:vertAlign w:val="subscript"/>
        </w:rPr>
        <w:t>i</w:t>
      </w:r>
      <w:r w:rsidR="007C1023" w:rsidRPr="00C34C12">
        <w:t xml:space="preserve"> is the location (difficulty) parameter for item </w:t>
      </w:r>
      <w:r w:rsidR="007C1023" w:rsidRPr="00C34C12">
        <w:rPr>
          <w:rFonts w:ascii="Times New Roman" w:hAnsi="Times New Roman"/>
          <w:i/>
          <w:sz w:val="28"/>
        </w:rPr>
        <w:t>i</w:t>
      </w:r>
      <w:r w:rsidR="007C1023" w:rsidRPr="00C34C12">
        <w:t>,</w:t>
      </w:r>
    </w:p>
    <w:p w14:paraId="74C5376B" w14:textId="1219E550" w:rsidR="007C1023" w:rsidRPr="00C34C12" w:rsidRDefault="002451F7" w:rsidP="007C1023">
      <w:pPr>
        <w:pStyle w:val="equation"/>
      </w:pPr>
      <w:r w:rsidRPr="00D3131B">
        <w:rPr>
          <w:rFonts w:ascii="Times New Roman" w:hAnsi="Times New Roman" w:cs="Times New Roman"/>
          <w:i/>
          <w:sz w:val="28"/>
          <w:szCs w:val="28"/>
        </w:rPr>
        <w:t>d</w:t>
      </w:r>
      <w:r w:rsidRPr="00D3131B">
        <w:rPr>
          <w:rFonts w:ascii="Times New Roman" w:hAnsi="Times New Roman" w:cs="Times New Roman"/>
          <w:i/>
          <w:sz w:val="28"/>
          <w:szCs w:val="28"/>
          <w:vertAlign w:val="subscript"/>
        </w:rPr>
        <w:t>iv</w:t>
      </w:r>
      <w:r w:rsidR="007C1023" w:rsidRPr="00C34C12">
        <w:t xml:space="preserve"> is the category difficulty parameter for item </w:t>
      </w:r>
      <w:r w:rsidR="007C1023" w:rsidRPr="008C5CA6">
        <w:rPr>
          <w:rFonts w:ascii="Times New Roman" w:hAnsi="Times New Roman" w:cs="Times New Roman"/>
          <w:i/>
          <w:sz w:val="28"/>
          <w:szCs w:val="28"/>
        </w:rPr>
        <w:t>i</w:t>
      </w:r>
      <w:r w:rsidR="007C1023" w:rsidRPr="00C34C12">
        <w:t xml:space="preserve"> on score </w:t>
      </w:r>
      <w:r w:rsidR="007C1023" w:rsidRPr="00C34C12">
        <w:rPr>
          <w:rFonts w:ascii="Times New Roman" w:hAnsi="Times New Roman"/>
          <w:i/>
          <w:sz w:val="28"/>
        </w:rPr>
        <w:t>v</w:t>
      </w:r>
      <w:r w:rsidR="007C1023" w:rsidRPr="00C34C12">
        <w:t>, and</w:t>
      </w:r>
    </w:p>
    <w:p w14:paraId="4CEC013A" w14:textId="77777777" w:rsidR="007C1023" w:rsidRPr="00C34C12" w:rsidRDefault="007C1023" w:rsidP="007C1023">
      <w:pPr>
        <w:pStyle w:val="equation"/>
      </w:pPr>
      <w:r w:rsidRPr="008C5CA6">
        <w:rPr>
          <w:rFonts w:ascii="Times New Roman" w:hAnsi="Times New Roman" w:cs="Times New Roman"/>
          <w:i/>
          <w:sz w:val="28"/>
          <w:szCs w:val="28"/>
        </w:rPr>
        <w:t>D</w:t>
      </w:r>
      <w:r w:rsidRPr="00C34C12">
        <w:t xml:space="preserve"> is a scaling constant of 1.7 that makes the logistic model approximate the normal ogive model.</w:t>
      </w:r>
    </w:p>
    <w:p w14:paraId="14F7E391" w14:textId="5B68CB7B" w:rsidR="007C1023" w:rsidRPr="00C34C12" w:rsidRDefault="007C1023" w:rsidP="007C1023">
      <w:r w:rsidRPr="00C34C12">
        <w:t>When</w:t>
      </w:r>
      <w:r w:rsidR="002451F7">
        <w:rPr>
          <w:color w:val="2B579A"/>
        </w:rPr>
        <w:t xml:space="preserve"> </w:t>
      </w:r>
      <w:proofErr w:type="spellStart"/>
      <w:r w:rsidR="002451F7" w:rsidRPr="00D3131B">
        <w:rPr>
          <w:rFonts w:ascii="Times New Roman" w:hAnsi="Times New Roman" w:cs="Times New Roman"/>
          <w:i/>
          <w:sz w:val="28"/>
          <w:szCs w:val="28"/>
        </w:rPr>
        <w:t>n</w:t>
      </w:r>
      <w:r w:rsidR="002451F7" w:rsidRPr="00D3131B">
        <w:rPr>
          <w:rFonts w:ascii="Times New Roman" w:hAnsi="Times New Roman" w:cs="Times New Roman"/>
          <w:i/>
          <w:sz w:val="28"/>
          <w:szCs w:val="28"/>
          <w:vertAlign w:val="subscript"/>
        </w:rPr>
        <w:t>i</w:t>
      </w:r>
      <w:proofErr w:type="spellEnd"/>
      <w:r w:rsidR="002451F7" w:rsidRPr="00D3131B">
        <w:rPr>
          <w:rFonts w:ascii="Times New Roman" w:hAnsi="Times New Roman" w:cs="Times New Roman"/>
          <w:sz w:val="28"/>
          <w:szCs w:val="28"/>
        </w:rPr>
        <w:t xml:space="preserve"> = 1</w:t>
      </w:r>
      <w:r w:rsidRPr="00C34C12">
        <w:t>, equation 7.7 becomes an expression of the 1PL model for dichotomous items. Essentially, the 1PL model (Hambleton, Swaminathan, &amp; Rogers, 1991) and the PCM (Masters, 1982) were used for dichotomous items and polytomous items, respectively.</w:t>
      </w:r>
    </w:p>
    <w:p w14:paraId="04E1EED2" w14:textId="77777777" w:rsidR="007C1023" w:rsidRPr="00C34C12" w:rsidRDefault="007C1023" w:rsidP="007C1023">
      <w:pPr>
        <w:pStyle w:val="Heading4"/>
        <w:ind w:left="792" w:hanging="792"/>
      </w:pPr>
      <w:bookmarkStart w:id="816" w:name="_Item_Calibration"/>
      <w:bookmarkStart w:id="817" w:name="_Toc38901309"/>
      <w:bookmarkStart w:id="818" w:name="_Toc182555227"/>
      <w:bookmarkEnd w:id="816"/>
      <w:r>
        <w:t>Item Calibration</w:t>
      </w:r>
      <w:bookmarkEnd w:id="817"/>
      <w:bookmarkEnd w:id="818"/>
    </w:p>
    <w:p w14:paraId="6A93AA28" w14:textId="16173B27" w:rsidR="007C1023" w:rsidRPr="00C34C12" w:rsidRDefault="007C1023" w:rsidP="007C1023">
      <w:r w:rsidRPr="00C34C12">
        <w:t xml:space="preserve">After </w:t>
      </w:r>
      <w:r w:rsidR="00005A20">
        <w:t>a</w:t>
      </w:r>
      <w:r w:rsidRPr="00C34C12">
        <w:t xml:space="preserve"> CAA for Science administration, all the items within each grade-level assessment were calibrated concurrently, using all available data. </w:t>
      </w:r>
      <w:r w:rsidRPr="00C34C12">
        <w:rPr>
          <w:lang w:eastAsia="zh-CN"/>
        </w:rPr>
        <w:t xml:space="preserve">Previous studies show that compared with separate calibration, concurrent calibration is more accurate when the data fits the IRT model (Kim &amp; Cohen, 1998; Hanson &amp; </w:t>
      </w:r>
      <w:proofErr w:type="spellStart"/>
      <w:r w:rsidRPr="00C34C12">
        <w:rPr>
          <w:lang w:eastAsia="zh-CN"/>
        </w:rPr>
        <w:t>Béguin</w:t>
      </w:r>
      <w:proofErr w:type="spellEnd"/>
      <w:r w:rsidRPr="00C34C12">
        <w:rPr>
          <w:lang w:eastAsia="zh-CN"/>
        </w:rPr>
        <w:t>, 2002). After consultation with the CDE, a single</w:t>
      </w:r>
      <w:r w:rsidRPr="00C34C12">
        <w:t xml:space="preserve">-group concurrent calibration approach was used for item calibration of the CAA for Science. As stated in subsection </w:t>
      </w:r>
      <w:hyperlink w:anchor="_IRT_Models" w:history="1">
        <w:r w:rsidRPr="0054188C">
          <w:rPr>
            <w:rStyle w:val="Hyperlink"/>
            <w:i/>
          </w:rPr>
          <w:t>7.6.1 I</w:t>
        </w:r>
        <w:r w:rsidR="0054188C">
          <w:rPr>
            <w:rStyle w:val="Hyperlink"/>
            <w:i/>
          </w:rPr>
          <w:t xml:space="preserve">tem </w:t>
        </w:r>
        <w:r w:rsidRPr="0054188C">
          <w:rPr>
            <w:rStyle w:val="Hyperlink"/>
            <w:i/>
          </w:rPr>
          <w:t>R</w:t>
        </w:r>
        <w:r w:rsidR="0054188C">
          <w:rPr>
            <w:rStyle w:val="Hyperlink"/>
            <w:i/>
          </w:rPr>
          <w:t xml:space="preserve">esponse </w:t>
        </w:r>
        <w:r w:rsidRPr="0054188C">
          <w:rPr>
            <w:rStyle w:val="Hyperlink"/>
            <w:i/>
          </w:rPr>
          <w:t>T</w:t>
        </w:r>
        <w:r w:rsidR="0054188C">
          <w:rPr>
            <w:rStyle w:val="Hyperlink"/>
            <w:i/>
          </w:rPr>
          <w:t>heory</w:t>
        </w:r>
        <w:r w:rsidRPr="0054188C">
          <w:rPr>
            <w:rStyle w:val="Hyperlink"/>
            <w:i/>
          </w:rPr>
          <w:t xml:space="preserve"> Models</w:t>
        </w:r>
      </w:hyperlink>
      <w:r w:rsidRPr="00C34C12">
        <w:rPr>
          <w:i/>
        </w:rPr>
        <w:t xml:space="preserve">, </w:t>
      </w:r>
      <w:r w:rsidRPr="00C34C12">
        <w:t>the 1PL model (Hambleton, Swaminathan, &amp; Rogers, 1991) and the corresponding PCM were jointly used to concurrently calibrate dichotomously and polytomously scored items</w:t>
      </w:r>
      <w:r w:rsidRPr="00C34C12">
        <w:rPr>
          <w:i/>
        </w:rPr>
        <w:t xml:space="preserve">. </w:t>
      </w:r>
      <w:r w:rsidRPr="00C34C12">
        <w:t>The software flexMIRT® (Cai, 2016) version 3.5 was used for calibration.</w:t>
      </w:r>
    </w:p>
    <w:p w14:paraId="3DF39F64" w14:textId="77777777" w:rsidR="007C1023" w:rsidRPr="00C34C12" w:rsidRDefault="007C1023" w:rsidP="007C1023">
      <w:pPr>
        <w:pStyle w:val="Heading5"/>
        <w:spacing w:after="10"/>
        <w:ind w:left="936" w:hanging="792"/>
      </w:pPr>
      <w:r w:rsidRPr="00C34C12">
        <w:lastRenderedPageBreak/>
        <w:t>Data Preparation</w:t>
      </w:r>
    </w:p>
    <w:p w14:paraId="46369785" w14:textId="744FD5F8" w:rsidR="007C1023" w:rsidRPr="00C34C12" w:rsidRDefault="007C1023" w:rsidP="007C1023">
      <w:pPr>
        <w:keepLines/>
      </w:pPr>
      <w:r w:rsidRPr="00C34C12">
        <w:t xml:space="preserve">Prior to IRT calibration analyses, ETS psychometricians review the results of the classical item analyses to decide whether any items </w:t>
      </w:r>
      <w:r w:rsidR="0054188C">
        <w:t>a</w:t>
      </w:r>
      <w:r w:rsidRPr="00C34C12">
        <w:t xml:space="preserve">re of poor quality and need to be removed from calibration. The results </w:t>
      </w:r>
      <w:r w:rsidR="0054188C">
        <w:t>are</w:t>
      </w:r>
      <w:r w:rsidRPr="00C34C12">
        <w:t xml:space="preserve"> </w:t>
      </w:r>
      <w:r w:rsidR="0054188C">
        <w:t xml:space="preserve">also </w:t>
      </w:r>
      <w:r w:rsidRPr="00C34C12">
        <w:t xml:space="preserve">reviewed by ETS content experts and the CDE. </w:t>
      </w:r>
      <w:r w:rsidR="0091567A">
        <w:t>D</w:t>
      </w:r>
      <w:r w:rsidRPr="00C34C12">
        <w:t>ecision</w:t>
      </w:r>
      <w:r w:rsidR="0054188C">
        <w:t>s</w:t>
      </w:r>
      <w:r w:rsidRPr="00C34C12">
        <w:t xml:space="preserve"> to remove items from calibration </w:t>
      </w:r>
      <w:r w:rsidR="0091567A">
        <w:t>are</w:t>
      </w:r>
      <w:r w:rsidR="0091567A" w:rsidRPr="00C34C12">
        <w:t xml:space="preserve"> </w:t>
      </w:r>
      <w:r w:rsidRPr="00C34C12">
        <w:t>made in consultation with the CDE.</w:t>
      </w:r>
    </w:p>
    <w:p w14:paraId="375F9B24" w14:textId="446A681B" w:rsidR="007C1023" w:rsidRPr="00C34C12" w:rsidRDefault="007C1023" w:rsidP="007C1023">
      <w:r w:rsidRPr="00C34C12">
        <w:t xml:space="preserve">For IRT calibration, scored item response data </w:t>
      </w:r>
      <w:r w:rsidR="0054188C">
        <w:t>is</w:t>
      </w:r>
      <w:r w:rsidR="005B21E6" w:rsidRPr="00C34C12">
        <w:t xml:space="preserve"> </w:t>
      </w:r>
      <w:r w:rsidRPr="00C34C12">
        <w:t xml:space="preserve">used to create the IRT analysis input data files for each grade and content area, including responses to items for </w:t>
      </w:r>
      <w:r w:rsidR="00255330">
        <w:t>all</w:t>
      </w:r>
      <w:r w:rsidR="00255330" w:rsidRPr="00C34C12">
        <w:t xml:space="preserve"> </w:t>
      </w:r>
      <w:r w:rsidRPr="00C34C12">
        <w:t>versions of the CAA for Science</w:t>
      </w:r>
      <w:r w:rsidR="00F70DEB">
        <w:t xml:space="preserve"> grade-level </w:t>
      </w:r>
      <w:r w:rsidR="0054188C">
        <w:t>assessments</w:t>
      </w:r>
      <w:r w:rsidRPr="00C34C12">
        <w:t>. The IRT analysis input data file is a sparse matrix because each student completed only one of the versions. Similar to the classical item analyses, “omit” items are treated as incorrect and “not-presented” items are treated as blank.</w:t>
      </w:r>
    </w:p>
    <w:p w14:paraId="69CF750A" w14:textId="77777777" w:rsidR="007C1023" w:rsidRPr="00C34C12" w:rsidRDefault="007C1023" w:rsidP="007C1023">
      <w:pPr>
        <w:pStyle w:val="Heading5"/>
        <w:spacing w:after="10"/>
        <w:ind w:left="936" w:hanging="792"/>
      </w:pPr>
      <w:r w:rsidRPr="00C34C12">
        <w:t>Description of the Calibration Procedure</w:t>
      </w:r>
    </w:p>
    <w:p w14:paraId="56C9ECFA" w14:textId="77777777" w:rsidR="007C1023" w:rsidRPr="00C34C12" w:rsidRDefault="007C1023" w:rsidP="007C1023">
      <w:r w:rsidRPr="00C34C12" w:rsidDel="0054073A">
        <w:t>FlexMIRT (Cai, 201</w:t>
      </w:r>
      <w:r w:rsidRPr="00C34C12">
        <w:t>6</w:t>
      </w:r>
      <w:r w:rsidRPr="00C34C12" w:rsidDel="0054073A">
        <w:t xml:space="preserve">), a multilevel and multiple-group IRT software package for item analysis and test scoring, </w:t>
      </w:r>
      <w:r w:rsidRPr="00C34C12">
        <w:t>is</w:t>
      </w:r>
      <w:r w:rsidRPr="00C34C12" w:rsidDel="0054073A">
        <w:t xml:space="preserve"> used for CAA</w:t>
      </w:r>
      <w:r w:rsidRPr="00C34C12">
        <w:t xml:space="preserve"> for Science</w:t>
      </w:r>
      <w:r w:rsidRPr="00C34C12" w:rsidDel="0054073A">
        <w:t xml:space="preserve"> item calibration analysis. </w:t>
      </w:r>
      <w:r w:rsidRPr="00C34C12">
        <w:t>This software</w:t>
      </w:r>
      <w:r w:rsidRPr="00C34C12" w:rsidDel="0054073A">
        <w:t xml:space="preserve"> can fit a variety of IRT models to both single-level and multilevel data</w:t>
      </w:r>
      <w:r w:rsidRPr="00C34C12">
        <w:t xml:space="preserve"> that are dichotomous, polytomous, or both</w:t>
      </w:r>
      <w:r w:rsidRPr="00C34C12" w:rsidDel="0054073A">
        <w:t>.</w:t>
      </w:r>
    </w:p>
    <w:p w14:paraId="1B9525B0" w14:textId="77777777" w:rsidR="007C1023" w:rsidRPr="00C34C12" w:rsidRDefault="007C1023" w:rsidP="007C1023">
      <w:r w:rsidRPr="00C34C12">
        <w:t>The calibration procedure is as follows:</w:t>
      </w:r>
    </w:p>
    <w:p w14:paraId="43D395DF" w14:textId="77777777" w:rsidR="007C1023" w:rsidRPr="00C34C12" w:rsidRDefault="007C1023" w:rsidP="00B33B75">
      <w:pPr>
        <w:numPr>
          <w:ilvl w:val="0"/>
          <w:numId w:val="76"/>
        </w:numPr>
        <w:spacing w:before="0"/>
        <w:ind w:left="864" w:hanging="288"/>
      </w:pPr>
      <w:r w:rsidRPr="00C34C12">
        <w:t>Receive test form planners and create the item mapping files</w:t>
      </w:r>
    </w:p>
    <w:p w14:paraId="27296A0C" w14:textId="77777777" w:rsidR="007C1023" w:rsidRPr="00C34C12" w:rsidRDefault="007C1023" w:rsidP="00B33B75">
      <w:pPr>
        <w:pStyle w:val="Numbered"/>
        <w:numPr>
          <w:ilvl w:val="0"/>
          <w:numId w:val="70"/>
        </w:numPr>
        <w:spacing w:before="0"/>
        <w:ind w:left="864" w:hanging="288"/>
      </w:pPr>
      <w:r w:rsidRPr="00C34C12">
        <w:t>Receive data</w:t>
      </w:r>
    </w:p>
    <w:p w14:paraId="7AD6269F" w14:textId="4FFC7217" w:rsidR="007C1023" w:rsidRPr="00C34C12" w:rsidRDefault="007C1023" w:rsidP="00B33B75">
      <w:pPr>
        <w:pStyle w:val="Numbered"/>
        <w:numPr>
          <w:ilvl w:val="0"/>
          <w:numId w:val="70"/>
        </w:numPr>
        <w:spacing w:before="0"/>
        <w:ind w:left="864" w:hanging="288"/>
      </w:pPr>
      <w:r w:rsidRPr="00C34C12">
        <w:t xml:space="preserve">Run </w:t>
      </w:r>
      <w:r w:rsidR="00B835DD">
        <w:t xml:space="preserve">the </w:t>
      </w:r>
      <w:r w:rsidRPr="00C34C12">
        <w:t>complete classical item analys</w:t>
      </w:r>
      <w:r w:rsidR="00B835DD">
        <w:t>e</w:t>
      </w:r>
      <w:r w:rsidRPr="00C34C12">
        <w:t>s</w:t>
      </w:r>
    </w:p>
    <w:p w14:paraId="5E4C647A" w14:textId="2C407CF4" w:rsidR="007C1023" w:rsidRPr="00C34C12" w:rsidRDefault="007C1023" w:rsidP="00B33B75">
      <w:pPr>
        <w:pStyle w:val="Numbered"/>
        <w:numPr>
          <w:ilvl w:val="0"/>
          <w:numId w:val="71"/>
        </w:numPr>
        <w:ind w:left="864" w:hanging="288"/>
      </w:pPr>
      <w:r w:rsidRPr="00C34C12">
        <w:t xml:space="preserve">Prepare and format the </w:t>
      </w:r>
      <w:r w:rsidR="00D973A9">
        <w:t xml:space="preserve">sparse matrix </w:t>
      </w:r>
      <w:r w:rsidRPr="00C34C12">
        <w:t>input data files as required by flexMIRT</w:t>
      </w:r>
    </w:p>
    <w:p w14:paraId="33B77363" w14:textId="11A6400B" w:rsidR="007C1023" w:rsidRPr="00C34C12" w:rsidRDefault="007C1023" w:rsidP="00B33B75">
      <w:pPr>
        <w:pStyle w:val="Numbered"/>
        <w:numPr>
          <w:ilvl w:val="0"/>
          <w:numId w:val="70"/>
        </w:numPr>
        <w:ind w:left="864" w:hanging="288"/>
      </w:pPr>
      <w:r w:rsidRPr="00C34C12">
        <w:t>Prepare flexMIRT control files</w:t>
      </w:r>
    </w:p>
    <w:p w14:paraId="1FD2795B" w14:textId="77777777" w:rsidR="007C1023" w:rsidRPr="00C34C12" w:rsidRDefault="007C1023" w:rsidP="00B33B75">
      <w:pPr>
        <w:pStyle w:val="Numbered"/>
        <w:numPr>
          <w:ilvl w:val="0"/>
          <w:numId w:val="70"/>
        </w:numPr>
        <w:ind w:left="864" w:hanging="288"/>
      </w:pPr>
      <w:r w:rsidRPr="00C34C12">
        <w:t>Evaluate the flexMIRT output to examine whether every execution of flexMIRT analysis reached satisfactory convergence</w:t>
      </w:r>
    </w:p>
    <w:p w14:paraId="68864A1C" w14:textId="63952695" w:rsidR="007C1023" w:rsidRPr="00C34C12" w:rsidRDefault="007C1023" w:rsidP="00B33B75">
      <w:pPr>
        <w:pStyle w:val="Numbered"/>
        <w:numPr>
          <w:ilvl w:val="0"/>
          <w:numId w:val="70"/>
        </w:numPr>
        <w:ind w:left="864" w:hanging="288"/>
      </w:pPr>
      <w:r w:rsidRPr="00C34C12">
        <w:t>Review the item parameter estimates</w:t>
      </w:r>
      <w:r w:rsidR="009B5CA9">
        <w:t>:</w:t>
      </w:r>
    </w:p>
    <w:p w14:paraId="02D5FAE7" w14:textId="29F6B4D2" w:rsidR="007C1023" w:rsidRPr="00C34C12" w:rsidRDefault="007C1023" w:rsidP="003C7B3E">
      <w:pPr>
        <w:pStyle w:val="Numbered"/>
        <w:numPr>
          <w:ilvl w:val="1"/>
          <w:numId w:val="70"/>
        </w:numPr>
        <w:tabs>
          <w:tab w:val="clear" w:pos="1440"/>
        </w:tabs>
        <w:ind w:left="1224"/>
      </w:pPr>
      <w:r w:rsidRPr="00C34C12">
        <w:t xml:space="preserve">At the </w:t>
      </w:r>
      <w:r w:rsidR="002D1C76">
        <w:t>test</w:t>
      </w:r>
      <w:r w:rsidRPr="00C34C12">
        <w:t xml:space="preserve"> level, the summary statistics for the </w:t>
      </w:r>
      <w:r w:rsidRPr="00C34C12">
        <w:rPr>
          <w:i/>
        </w:rPr>
        <w:t>b</w:t>
      </w:r>
      <w:r w:rsidRPr="00C34C12">
        <w:t xml:space="preserve">-parameter estimates (location difficulty) and </w:t>
      </w:r>
      <w:r w:rsidRPr="00C34C12">
        <w:rPr>
          <w:i/>
        </w:rPr>
        <w:t>d</w:t>
      </w:r>
      <w:r w:rsidRPr="00C34C12">
        <w:t xml:space="preserve">-parameter estimates (step difficulty) were examined, including the mean, SD, median, minimum, maximum, and model-fit. The model-fit was evaluated using the root mean square error of approximation (RMSEA). RMSEA values less than 0.05 indicate good fit while RMSEA values greater than 0.10 indicate poor fit (Browne &amp; Cudeck, 1993). The </w:t>
      </w:r>
      <w:r w:rsidRPr="00C34C12">
        <w:rPr>
          <w:i/>
        </w:rPr>
        <w:t>b</w:t>
      </w:r>
      <w:r w:rsidRPr="00C34C12">
        <w:t xml:space="preserve">-parameters were correlated with the </w:t>
      </w:r>
      <w:r w:rsidRPr="00C34C12">
        <w:rPr>
          <w:i/>
        </w:rPr>
        <w:t>p</w:t>
      </w:r>
      <w:r w:rsidRPr="00C34C12">
        <w:t>-values.</w:t>
      </w:r>
    </w:p>
    <w:p w14:paraId="66072484" w14:textId="7883B740" w:rsidR="007C1023" w:rsidRPr="00C34C12" w:rsidRDefault="007C1023" w:rsidP="003C7B3E">
      <w:pPr>
        <w:pStyle w:val="Numbered"/>
        <w:numPr>
          <w:ilvl w:val="1"/>
          <w:numId w:val="70"/>
        </w:numPr>
        <w:tabs>
          <w:tab w:val="clear" w:pos="1440"/>
        </w:tabs>
        <w:ind w:left="1224"/>
      </w:pPr>
      <w:bookmarkStart w:id="819" w:name="_Hlk32234166"/>
      <w:r w:rsidRPr="00C34C12">
        <w:t>At the item level, statistics of individual items were examined, including item difficulty estimates (</w:t>
      </w:r>
      <w:r w:rsidRPr="00C34C12">
        <w:rPr>
          <w:i/>
        </w:rPr>
        <w:t>b</w:t>
      </w:r>
      <w:r w:rsidRPr="00C34C12">
        <w:t xml:space="preserve">-parameters and </w:t>
      </w:r>
      <w:r w:rsidRPr="00C34C12">
        <w:rPr>
          <w:i/>
        </w:rPr>
        <w:t>d</w:t>
      </w:r>
      <w:r w:rsidRPr="00C34C12">
        <w:t>-parameters)</w:t>
      </w:r>
      <w:r w:rsidR="00621FE7">
        <w:t xml:space="preserve"> and</w:t>
      </w:r>
      <w:r w:rsidRPr="00C34C12">
        <w:t xml:space="preserve"> item-fit statistics using the marginal chi-square statistic</w:t>
      </w:r>
      <w:bookmarkEnd w:id="819"/>
      <w:r w:rsidRPr="00C34C12">
        <w:t>. The</w:t>
      </w:r>
      <w:r w:rsidRPr="00C34C12">
        <w:rPr>
          <w:i/>
        </w:rPr>
        <w:t xml:space="preserve"> b</w:t>
      </w:r>
      <w:r w:rsidRPr="00C34C12">
        <w:t xml:space="preserve">-parameters and the </w:t>
      </w:r>
      <w:r w:rsidRPr="00C34C12">
        <w:rPr>
          <w:i/>
        </w:rPr>
        <w:t>d</w:t>
      </w:r>
      <w:r w:rsidRPr="00C34C12">
        <w:t>-parameters should be in the range of -4.0 to +4.0 with a standard error of 0.10 or less.</w:t>
      </w:r>
    </w:p>
    <w:p w14:paraId="3B10C96D" w14:textId="0B09E0F9" w:rsidR="007C1023" w:rsidRPr="00C34C12" w:rsidRDefault="007C1023" w:rsidP="007B1A17">
      <w:pPr>
        <w:pStyle w:val="Numbered"/>
        <w:keepNext/>
        <w:keepLines/>
        <w:numPr>
          <w:ilvl w:val="0"/>
          <w:numId w:val="70"/>
        </w:numPr>
        <w:ind w:left="864" w:hanging="288"/>
      </w:pPr>
      <w:r w:rsidRPr="00C34C12">
        <w:t>Flag items that did not perform as expected</w:t>
      </w:r>
      <w:r w:rsidR="009B5CA9">
        <w:t>:</w:t>
      </w:r>
    </w:p>
    <w:p w14:paraId="0E0C338A" w14:textId="77777777" w:rsidR="007C1023" w:rsidRPr="00C34C12" w:rsidRDefault="007C1023" w:rsidP="009B5CA9">
      <w:pPr>
        <w:pStyle w:val="Numbered"/>
        <w:numPr>
          <w:ilvl w:val="1"/>
          <w:numId w:val="70"/>
        </w:numPr>
        <w:tabs>
          <w:tab w:val="clear" w:pos="1440"/>
        </w:tabs>
        <w:spacing w:before="0"/>
        <w:ind w:left="1224"/>
      </w:pPr>
      <w:r w:rsidRPr="00C34C12">
        <w:t>All flagged items were discussed thoroughly with the CDE to decide whether those items should be removed from calibration or whether the scoring categories need to be collapsed.</w:t>
      </w:r>
    </w:p>
    <w:p w14:paraId="0521FFEA" w14:textId="1E89CEAA" w:rsidR="007C1023" w:rsidRPr="00C34C12" w:rsidRDefault="007C1023" w:rsidP="007C1023">
      <w:r w:rsidRPr="00C34C12">
        <w:t xml:space="preserve">The calibration process </w:t>
      </w:r>
      <w:r w:rsidR="0072342B">
        <w:t>is</w:t>
      </w:r>
      <w:r w:rsidR="0072342B" w:rsidRPr="00C34C12">
        <w:t xml:space="preserve"> </w:t>
      </w:r>
      <w:r w:rsidRPr="00C34C12">
        <w:t xml:space="preserve">conducted independently by two ETS psychometricians to ensure quality and accuracy of results. The two psychometricians independently create flexMIRT </w:t>
      </w:r>
      <w:r w:rsidRPr="00C34C12">
        <w:lastRenderedPageBreak/>
        <w:t>control files and r</w:t>
      </w:r>
      <w:r w:rsidR="0072342B">
        <w:t>u</w:t>
      </w:r>
      <w:r w:rsidRPr="00C34C12">
        <w:t xml:space="preserve">n the same input data files and then compare the calibration results. Any differences in the output </w:t>
      </w:r>
      <w:r w:rsidR="0072342B">
        <w:t>are</w:t>
      </w:r>
      <w:r w:rsidR="0072342B" w:rsidRPr="00C34C12">
        <w:t xml:space="preserve"> </w:t>
      </w:r>
      <w:r w:rsidRPr="00C34C12">
        <w:t>investigated. Refer to sect</w:t>
      </w:r>
      <w:r w:rsidRPr="009B5CA9">
        <w:t xml:space="preserve">ion </w:t>
      </w:r>
      <w:hyperlink w:anchor="_Quality_Control_of_2" w:history="1">
        <w:r w:rsidR="003A0C03" w:rsidRPr="009B5CA9">
          <w:rPr>
            <w:rStyle w:val="Hyperlink"/>
            <w:i/>
          </w:rPr>
          <w:t>9</w:t>
        </w:r>
        <w:r w:rsidRPr="009B5CA9">
          <w:rPr>
            <w:rStyle w:val="Hyperlink"/>
            <w:i/>
          </w:rPr>
          <w:t>.4 Quality Control of Psychometric Processes</w:t>
        </w:r>
      </w:hyperlink>
      <w:r w:rsidRPr="00C34C12">
        <w:rPr>
          <w:i/>
        </w:rPr>
        <w:t xml:space="preserve"> </w:t>
      </w:r>
      <w:r w:rsidRPr="00C34C12">
        <w:t>for more details of this procedure.</w:t>
      </w:r>
    </w:p>
    <w:p w14:paraId="2EF89630" w14:textId="734996F6" w:rsidR="005B13C5" w:rsidRDefault="005B13C5" w:rsidP="00DB6635">
      <w:pPr>
        <w:pStyle w:val="Heading3"/>
        <w:rPr>
          <w:lang w:bidi="en-US"/>
        </w:rPr>
      </w:pPr>
      <w:bookmarkStart w:id="820" w:name="_Toc62215150"/>
      <w:bookmarkStart w:id="821" w:name="_Toc66787597"/>
      <w:bookmarkStart w:id="822" w:name="_Toc66788056"/>
      <w:bookmarkStart w:id="823" w:name="_Toc67035648"/>
      <w:bookmarkStart w:id="824" w:name="_Toc67319512"/>
      <w:bookmarkStart w:id="825" w:name="_Toc67382624"/>
      <w:bookmarkStart w:id="826" w:name="_Toc67466183"/>
      <w:bookmarkStart w:id="827" w:name="_Toc68089051"/>
      <w:bookmarkStart w:id="828" w:name="_Toc68107900"/>
      <w:bookmarkStart w:id="829" w:name="_Toc62215151"/>
      <w:bookmarkStart w:id="830" w:name="_Toc66787598"/>
      <w:bookmarkStart w:id="831" w:name="_Toc66788057"/>
      <w:bookmarkStart w:id="832" w:name="_Toc67035649"/>
      <w:bookmarkStart w:id="833" w:name="_Toc67319513"/>
      <w:bookmarkStart w:id="834" w:name="_Toc67382625"/>
      <w:bookmarkStart w:id="835" w:name="_Toc67466184"/>
      <w:bookmarkStart w:id="836" w:name="_Toc68089052"/>
      <w:bookmarkStart w:id="837" w:name="_Toc68107901"/>
      <w:bookmarkStart w:id="838" w:name="_Toc62215152"/>
      <w:bookmarkStart w:id="839" w:name="_Toc66787599"/>
      <w:bookmarkStart w:id="840" w:name="_Toc66788058"/>
      <w:bookmarkStart w:id="841" w:name="_Toc67035650"/>
      <w:bookmarkStart w:id="842" w:name="_Toc67319514"/>
      <w:bookmarkStart w:id="843" w:name="_Toc67382626"/>
      <w:bookmarkStart w:id="844" w:name="_Toc67466185"/>
      <w:bookmarkStart w:id="845" w:name="_Toc68089053"/>
      <w:bookmarkStart w:id="846" w:name="_Toc68107902"/>
      <w:bookmarkStart w:id="847" w:name="_Toc62215153"/>
      <w:bookmarkStart w:id="848" w:name="_Toc66787600"/>
      <w:bookmarkStart w:id="849" w:name="_Toc66788059"/>
      <w:bookmarkStart w:id="850" w:name="_Toc67035651"/>
      <w:bookmarkStart w:id="851" w:name="_Toc67319515"/>
      <w:bookmarkStart w:id="852" w:name="_Toc67382627"/>
      <w:bookmarkStart w:id="853" w:name="_Toc67466186"/>
      <w:bookmarkStart w:id="854" w:name="_Toc68089054"/>
      <w:bookmarkStart w:id="855" w:name="_Toc68107903"/>
      <w:bookmarkStart w:id="856" w:name="_Reliability_Analyses"/>
      <w:bookmarkStart w:id="857" w:name="_Toc182555228"/>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r w:rsidRPr="2D85FA21">
        <w:rPr>
          <w:lang w:bidi="en-US"/>
        </w:rPr>
        <w:t>Reliability</w:t>
      </w:r>
      <w:r w:rsidR="00EA0687" w:rsidRPr="2D85FA21">
        <w:rPr>
          <w:lang w:bidi="en-US"/>
        </w:rPr>
        <w:t xml:space="preserve"> Analyses</w:t>
      </w:r>
      <w:bookmarkEnd w:id="857"/>
    </w:p>
    <w:p w14:paraId="4B410D12" w14:textId="77777777" w:rsidR="007C1023" w:rsidRPr="00C34C12" w:rsidRDefault="007C1023" w:rsidP="007C1023">
      <w:r w:rsidRPr="00C34C12">
        <w:t>Reliability is the extent to which differences in test scores reflect true differences in the knowledge, ability, or skill being tested rather than fluctuations due to measurement error. Thus, reliability is the consistency of scores across conditions that do not differ systematically and only contain random measurement errors. In statistical terms, the variance in the distributions of test scores—essentially, the differences among individuals—is due partly to real differences in the knowledge, skill, or ability being tested (true variance) and due partly to measurement error inherent in the measurement process (error variance). The reliability coefficient is an estimate of the proportion of the total variance that is true variance.</w:t>
      </w:r>
    </w:p>
    <w:p w14:paraId="199F405C" w14:textId="55000FE2" w:rsidR="007C1023" w:rsidRPr="00C34C12" w:rsidRDefault="007C1023" w:rsidP="007C1023">
      <w:r w:rsidRPr="00C34C12">
        <w:t xml:space="preserve">Reliability coefficients can possibly range from </w:t>
      </w:r>
      <w:r w:rsidRPr="00C34C12" w:rsidDel="0037005F">
        <w:t>0</w:t>
      </w:r>
      <w:r w:rsidRPr="00C34C12">
        <w:t xml:space="preserve"> to</w:t>
      </w:r>
      <w:r w:rsidR="00920CAF">
        <w:t xml:space="preserve"> </w:t>
      </w:r>
      <w:r w:rsidRPr="00C34C12">
        <w:t>1. The higher the reliability coefficient for a set of scores, the more likely that the students would obtain very similar scores upon repeated testing occasions (assuming there is no memory or practice effect) if the students did not change in their level of the knowledge or skills measured by the test.</w:t>
      </w:r>
    </w:p>
    <w:p w14:paraId="0D74D494" w14:textId="0C1FC754" w:rsidR="007C1023" w:rsidRPr="00C34C12" w:rsidRDefault="007C1023" w:rsidP="007C1023">
      <w:r w:rsidRPr="00C34C12">
        <w:t xml:space="preserve">There are several different ways of estimating reliability. Stratified Alpha </w:t>
      </w:r>
      <w:r w:rsidR="00354F29">
        <w:t>is</w:t>
      </w:r>
      <w:r w:rsidR="00354F29" w:rsidRPr="00C34C12">
        <w:t xml:space="preserve"> </w:t>
      </w:r>
      <w:r w:rsidRPr="00C34C12">
        <w:t>computed for the reliability estimates for each version of the CAA for Science for the student groups</w:t>
      </w:r>
      <w:r w:rsidR="00354F29">
        <w:t xml:space="preserve"> after a typical CAA administration</w:t>
      </w:r>
      <w:r w:rsidRPr="00C34C12">
        <w:t xml:space="preserve">. More details can be found in the next subsection, </w:t>
      </w:r>
      <w:hyperlink w:anchor="_Internal_Consistency_Reliability" w:history="1">
        <w:r w:rsidRPr="009F6B43">
          <w:rPr>
            <w:rStyle w:val="Cross-Reference"/>
          </w:rPr>
          <w:fldChar w:fldCharType="begin"/>
        </w:r>
        <w:r w:rsidRPr="009F6B43">
          <w:rPr>
            <w:rStyle w:val="Cross-Reference"/>
          </w:rPr>
          <w:instrText xml:space="preserve"> REF _Ref22229143 \r \h  \* MERGEFORMAT </w:instrText>
        </w:r>
        <w:r w:rsidRPr="009F6B43">
          <w:rPr>
            <w:rStyle w:val="Cross-Reference"/>
          </w:rPr>
        </w:r>
        <w:r w:rsidRPr="009F6B43">
          <w:rPr>
            <w:rStyle w:val="Cross-Reference"/>
          </w:rPr>
          <w:fldChar w:fldCharType="separate"/>
        </w:r>
        <w:r w:rsidR="00961502">
          <w:rPr>
            <w:rStyle w:val="Cross-Reference"/>
          </w:rPr>
          <w:t>7.7.1</w:t>
        </w:r>
        <w:r w:rsidRPr="009F6B43">
          <w:rPr>
            <w:rStyle w:val="Cross-Reference"/>
          </w:rPr>
          <w:fldChar w:fldCharType="end"/>
        </w:r>
      </w:hyperlink>
      <w:r w:rsidRPr="00C34C12">
        <w:t>.</w:t>
      </w:r>
    </w:p>
    <w:p w14:paraId="560BEC5C" w14:textId="77777777" w:rsidR="007C1023" w:rsidRPr="00C34C12" w:rsidRDefault="007C1023" w:rsidP="007C1023">
      <w:r w:rsidRPr="00C34C12">
        <w:t>The standard error of measurement (SEM) is a measure of the extent to which students’ scores tend to differ from their true scores. A student’s true score can be thought of as the mean observed scores a student would earn over an infinite number of independent administrations of the test. The larger the SEM, the more the variability of a student’s observed scores across repeated testing. Observed scores with large SEMs pose a challenge to the valid interpretation of test scores.</w:t>
      </w:r>
    </w:p>
    <w:p w14:paraId="227760E9" w14:textId="77777777" w:rsidR="007C1023" w:rsidRPr="00C34C12" w:rsidRDefault="007C1023" w:rsidP="007C1023">
      <w:pPr>
        <w:pStyle w:val="Heading4"/>
      </w:pPr>
      <w:bookmarkStart w:id="858" w:name="_Toc30139107"/>
      <w:bookmarkStart w:id="859" w:name="_Toc30139509"/>
      <w:bookmarkStart w:id="860" w:name="_Toc30139909"/>
      <w:bookmarkStart w:id="861" w:name="_Toc30422092"/>
      <w:bookmarkStart w:id="862" w:name="_Toc30745659"/>
      <w:bookmarkStart w:id="863" w:name="_Toc30746027"/>
      <w:bookmarkStart w:id="864" w:name="_Toc30746421"/>
      <w:bookmarkStart w:id="865" w:name="_Toc34806332"/>
      <w:bookmarkStart w:id="866" w:name="_Toc34990006"/>
      <w:bookmarkStart w:id="867" w:name="_Ref22229143"/>
      <w:bookmarkStart w:id="868" w:name="_Toc38901311"/>
      <w:bookmarkStart w:id="869" w:name="_Toc182555229"/>
      <w:bookmarkEnd w:id="858"/>
      <w:bookmarkEnd w:id="859"/>
      <w:bookmarkEnd w:id="860"/>
      <w:bookmarkEnd w:id="861"/>
      <w:bookmarkEnd w:id="862"/>
      <w:bookmarkEnd w:id="863"/>
      <w:bookmarkEnd w:id="864"/>
      <w:bookmarkEnd w:id="865"/>
      <w:bookmarkEnd w:id="866"/>
      <w:r>
        <w:t>Internal Consistency Reliability</w:t>
      </w:r>
      <w:bookmarkEnd w:id="867"/>
      <w:bookmarkEnd w:id="868"/>
      <w:bookmarkEnd w:id="869"/>
    </w:p>
    <w:p w14:paraId="58CD9C2A" w14:textId="77777777" w:rsidR="007C1023" w:rsidRPr="00C34C12" w:rsidRDefault="007C1023" w:rsidP="007C1023">
      <w:r w:rsidRPr="00C34C12">
        <w:t xml:space="preserve">In classical test theory, the reliability coefficient can be defined as the squared correlation </w:t>
      </w:r>
      <w:bookmarkStart w:id="870" w:name="_Hlk67463769"/>
      <w:r w:rsidRPr="00C34C12">
        <w:t xml:space="preserve">between the observed score and the true score, which is equal to the correlation between parallel observed scores (Lord and Novick, 1968, p.61). In applied settings, the requirement </w:t>
      </w:r>
      <w:bookmarkEnd w:id="870"/>
      <w:r w:rsidRPr="00C34C12">
        <w:t xml:space="preserve">of repeated administrations is impractical, and methodologies estimating reliability from </w:t>
      </w:r>
      <w:bookmarkStart w:id="871" w:name="_Hlk67463776"/>
      <w:r w:rsidRPr="00C34C12">
        <w:t>relationships among student performances on items within a single test form are often used. Coefficient alpha (Cronbach, 1951) is among the most common of these methodologies.</w:t>
      </w:r>
    </w:p>
    <w:p w14:paraId="62ECE912" w14:textId="3F65CACA" w:rsidR="007C1023" w:rsidRPr="00C34C12" w:rsidRDefault="007C1023" w:rsidP="0037005F">
      <w:pPr>
        <w:keepNext/>
        <w:keepLines/>
      </w:pPr>
      <w:bookmarkStart w:id="872" w:name="_Hlk67463785"/>
      <w:bookmarkEnd w:id="871"/>
      <w:r w:rsidRPr="00C34C12">
        <w:t>The formula for the internal consistency reliability as measured by Cronbach’s Alpha (Cronbach, 1951) is</w:t>
      </w:r>
      <w:r w:rsidR="005D5E74">
        <w:t xml:space="preserve"> presented in equation 7.8.</w:t>
      </w:r>
      <w:r w:rsidR="005D5E74" w:rsidRPr="005D5E74">
        <w:rPr>
          <w:i/>
          <w:iCs/>
        </w:rPr>
        <w:t xml:space="preserve"> </w:t>
      </w:r>
      <w:r w:rsidR="005D5E74" w:rsidRPr="00C34C12">
        <w:rPr>
          <w:i/>
          <w:iCs/>
        </w:rPr>
        <w:t>Refer to</w:t>
      </w:r>
      <w:r w:rsidR="005D5E74" w:rsidRPr="00C34C12">
        <w:rPr>
          <w:i/>
        </w:rPr>
        <w:t xml:space="preserve"> the </w:t>
      </w:r>
      <w:hyperlink w:anchor="_Alternative_Text_for_7" w:history="1">
        <w:r w:rsidR="005D5E74" w:rsidRPr="00C34C12">
          <w:rPr>
            <w:rStyle w:val="Hyperlink"/>
            <w:i/>
          </w:rPr>
          <w:t>Alternative Text for Equation 7.8</w:t>
        </w:r>
      </w:hyperlink>
      <w:r w:rsidR="005D5E74" w:rsidRPr="00C34C12">
        <w:rPr>
          <w:i/>
        </w:rPr>
        <w:t xml:space="preserve"> for a description of this equation.</w:t>
      </w:r>
    </w:p>
    <w:bookmarkEnd w:id="872"/>
    <w:p w14:paraId="35B6545F" w14:textId="77777777" w:rsidR="007C1023" w:rsidRPr="00C34C12" w:rsidRDefault="007C1023" w:rsidP="007C1023">
      <w:pPr>
        <w:pStyle w:val="NormalIndent2"/>
        <w:tabs>
          <w:tab w:val="right" w:pos="9936"/>
        </w:tabs>
      </w:pPr>
      <w:r w:rsidRPr="00C34C12">
        <w:rPr>
          <w:noProof/>
        </w:rPr>
        <w:drawing>
          <wp:inline distT="0" distB="0" distL="0" distR="0" wp14:anchorId="6C31763C" wp14:editId="32E0E90A">
            <wp:extent cx="1457325" cy="542925"/>
            <wp:effectExtent l="0" t="0" r="0" b="0"/>
            <wp:docPr id="672947101" name="Picture 1769590526" descr="Equation 7.8; a link to the long description for this equation is found in the preceding paragra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2947101" name="Picture 1769590526" descr="Equation 7.8; a link to the long description for this equation is found in the preceding paragraph."/>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457325" cy="542925"/>
                    </a:xfrm>
                    <a:prstGeom prst="rect">
                      <a:avLst/>
                    </a:prstGeom>
                  </pic:spPr>
                </pic:pic>
              </a:graphicData>
            </a:graphic>
          </wp:inline>
        </w:drawing>
      </w:r>
      <w:r w:rsidRPr="00C34C12">
        <w:tab/>
      </w:r>
      <w:bookmarkStart w:id="873" w:name="EQ7_8"/>
      <w:r w:rsidR="0DDC9BE7" w:rsidRPr="00C34C12">
        <w:t>(7.8)</w:t>
      </w:r>
      <w:bookmarkEnd w:id="873"/>
    </w:p>
    <w:p w14:paraId="6B2819F9" w14:textId="77777777" w:rsidR="007C1023" w:rsidRPr="00C34C12" w:rsidRDefault="007C1023" w:rsidP="007C1023">
      <w:pPr>
        <w:pStyle w:val="NormalIndent2"/>
      </w:pPr>
      <w:r w:rsidRPr="00C34C12">
        <w:t>where,</w:t>
      </w:r>
    </w:p>
    <w:p w14:paraId="7C79492F" w14:textId="77777777" w:rsidR="007C1023" w:rsidRPr="00C34C12" w:rsidRDefault="007C1023" w:rsidP="007C1023">
      <w:pPr>
        <w:ind w:firstLine="720"/>
      </w:pPr>
      <w:r w:rsidRPr="009F6B43">
        <w:rPr>
          <w:rFonts w:ascii="Times New Roman" w:hAnsi="Times New Roman" w:cs="Times New Roman"/>
          <w:i/>
          <w:iCs/>
          <w:sz w:val="28"/>
          <w:szCs w:val="28"/>
        </w:rPr>
        <w:t>n</w:t>
      </w:r>
      <w:r>
        <w:t xml:space="preserve"> </w:t>
      </w:r>
      <w:r w:rsidRPr="00C34C12">
        <w:t>is the number of items,</w:t>
      </w:r>
    </w:p>
    <w:p w14:paraId="53F98749" w14:textId="77777777" w:rsidR="007C1023" w:rsidRPr="00C34C12" w:rsidRDefault="007C1023" w:rsidP="007C1023">
      <w:pPr>
        <w:ind w:firstLine="720"/>
      </w:pPr>
      <w:r w:rsidRPr="009F6B43">
        <w:rPr>
          <w:noProof/>
          <w:position w:val="-6"/>
        </w:rPr>
        <w:drawing>
          <wp:inline distT="0" distB="0" distL="0" distR="0" wp14:anchorId="338CE1F6" wp14:editId="3EC5575C">
            <wp:extent cx="276225" cy="276225"/>
            <wp:effectExtent l="0" t="0" r="0" b="0"/>
            <wp:docPr id="1037256907" name="Picture 1620732986" title="sigma sub i, squar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0732986"/>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76225" cy="276225"/>
                    </a:xfrm>
                    <a:prstGeom prst="rect">
                      <a:avLst/>
                    </a:prstGeom>
                  </pic:spPr>
                </pic:pic>
              </a:graphicData>
            </a:graphic>
          </wp:inline>
        </w:drawing>
      </w:r>
      <w:r w:rsidR="0DDC9BE7" w:rsidRPr="00C34C12">
        <w:t xml:space="preserve"> is the variance of scores on the </w:t>
      </w:r>
      <w:proofErr w:type="spellStart"/>
      <w:r w:rsidR="0DDC9BE7" w:rsidRPr="166BDD47">
        <w:rPr>
          <w:rFonts w:ascii="Times New Roman" w:hAnsi="Times New Roman"/>
          <w:i/>
          <w:iCs/>
          <w:sz w:val="28"/>
          <w:szCs w:val="28"/>
        </w:rPr>
        <w:t>i</w:t>
      </w:r>
      <w:r w:rsidR="0DDC9BE7" w:rsidRPr="00C34C12">
        <w:rPr>
          <w:rFonts w:ascii="Times New Roman" w:hAnsi="Times New Roman"/>
          <w:sz w:val="28"/>
          <w:szCs w:val="28"/>
        </w:rPr>
        <w:t>-th</w:t>
      </w:r>
      <w:proofErr w:type="spellEnd"/>
      <w:r w:rsidR="0DDC9BE7" w:rsidRPr="00C34C12">
        <w:t xml:space="preserve"> item, and</w:t>
      </w:r>
    </w:p>
    <w:p w14:paraId="26C7D510" w14:textId="77777777" w:rsidR="007C1023" w:rsidRPr="00C34C12" w:rsidRDefault="007C1023" w:rsidP="007C1023">
      <w:pPr>
        <w:ind w:firstLine="720"/>
      </w:pPr>
      <w:r w:rsidRPr="009F6B43">
        <w:rPr>
          <w:noProof/>
          <w:position w:val="-6"/>
        </w:rPr>
        <w:lastRenderedPageBreak/>
        <w:drawing>
          <wp:inline distT="0" distB="0" distL="0" distR="0" wp14:anchorId="33B538B8" wp14:editId="4A4DAB95">
            <wp:extent cx="276225" cy="248285"/>
            <wp:effectExtent l="0" t="0" r="0" b="0"/>
            <wp:docPr id="390052228" name="Picture 886457272" title="sigma sub x, squar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6457272"/>
                    <pic:cNvPicPr/>
                  </pic:nvPicPr>
                  <pic:blipFill rotWithShape="1">
                    <a:blip r:embed="rId54" cstate="print">
                      <a:extLst>
                        <a:ext uri="{28A0092B-C50C-407E-A947-70E740481C1C}">
                          <a14:useLocalDpi xmlns:a14="http://schemas.microsoft.com/office/drawing/2010/main" val="0"/>
                        </a:ext>
                      </a:extLst>
                    </a:blip>
                    <a:srcRect t="10115"/>
                    <a:stretch/>
                  </pic:blipFill>
                  <pic:spPr bwMode="auto">
                    <a:xfrm>
                      <a:off x="0" y="0"/>
                      <a:ext cx="276225" cy="248285"/>
                    </a:xfrm>
                    <a:prstGeom prst="rect">
                      <a:avLst/>
                    </a:prstGeom>
                    <a:ln>
                      <a:noFill/>
                    </a:ln>
                    <a:extLst>
                      <a:ext uri="{53640926-AAD7-44D8-BBD7-CCE9431645EC}">
                        <a14:shadowObscured xmlns:a14="http://schemas.microsoft.com/office/drawing/2010/main"/>
                      </a:ext>
                    </a:extLst>
                  </pic:spPr>
                </pic:pic>
              </a:graphicData>
            </a:graphic>
          </wp:inline>
        </w:drawing>
      </w:r>
      <w:r w:rsidR="0DDC9BE7" w:rsidRPr="00C34C12">
        <w:t xml:space="preserve"> is the variance of the total score (sum of scores on the individual items).</w:t>
      </w:r>
    </w:p>
    <w:p w14:paraId="5B457C9C" w14:textId="30CE2228" w:rsidR="007C1023" w:rsidRPr="00C34C12" w:rsidRDefault="007C1023" w:rsidP="007C1023">
      <w:bookmarkStart w:id="874" w:name="_Hlk67463797"/>
      <w:r w:rsidRPr="00C34C12">
        <w:t>Since the CAA for Science ha</w:t>
      </w:r>
      <w:r w:rsidR="000344F0">
        <w:t>s</w:t>
      </w:r>
      <w:r w:rsidRPr="00C34C12">
        <w:t xml:space="preserve"> a mix of item types (both dichotomous and polytomous items), it is more appropriate to report stratified Alpha (Feldt &amp; Brennan, 1989). The </w:t>
      </w:r>
      <w:bookmarkEnd w:id="874"/>
      <w:r w:rsidRPr="00C34C12">
        <w:t>stratified Alpha is a weighted average of Cronbach’s Alpha for item sets with different maximum score points or “strata.” The item sets used when calculating the stratified Alpha are dichotomous and polytomous items for each of the three tests.</w:t>
      </w:r>
    </w:p>
    <w:p w14:paraId="13CA568C" w14:textId="13EE6ABD" w:rsidR="007C1023" w:rsidRPr="00C34C12" w:rsidRDefault="007C1023" w:rsidP="007C1023">
      <w:r w:rsidRPr="00C34C12">
        <w:t>The formula for calculating the stratified Alpha is</w:t>
      </w:r>
      <w:r w:rsidR="00347548">
        <w:t xml:space="preserve"> presented in equation 7.9.</w:t>
      </w:r>
      <w:r w:rsidR="00347548" w:rsidRPr="00347548">
        <w:rPr>
          <w:i/>
          <w:iCs/>
        </w:rPr>
        <w:t xml:space="preserve"> </w:t>
      </w:r>
      <w:r w:rsidR="00347548" w:rsidRPr="00C34C12">
        <w:rPr>
          <w:i/>
          <w:iCs/>
        </w:rPr>
        <w:t>Refer to</w:t>
      </w:r>
      <w:r w:rsidR="00347548" w:rsidRPr="00C34C12">
        <w:rPr>
          <w:i/>
        </w:rPr>
        <w:t xml:space="preserve"> the </w:t>
      </w:r>
      <w:hyperlink w:anchor="_Alternative_Text_for_8" w:history="1">
        <w:r w:rsidR="00347548" w:rsidRPr="00C34C12">
          <w:rPr>
            <w:rStyle w:val="Hyperlink"/>
            <w:i/>
          </w:rPr>
          <w:t>Alternative Text for Equation 7.9</w:t>
        </w:r>
      </w:hyperlink>
      <w:r w:rsidR="00347548" w:rsidRPr="00C34C12">
        <w:rPr>
          <w:i/>
        </w:rPr>
        <w:t xml:space="preserve"> for a description of this equation.</w:t>
      </w:r>
    </w:p>
    <w:p w14:paraId="54670596" w14:textId="77777777" w:rsidR="007C1023" w:rsidRPr="00C34C12" w:rsidRDefault="007C1023" w:rsidP="007C1023">
      <w:pPr>
        <w:pStyle w:val="NormalIndent2"/>
        <w:tabs>
          <w:tab w:val="right" w:pos="9936"/>
        </w:tabs>
      </w:pPr>
      <w:r w:rsidRPr="00C34C12">
        <w:rPr>
          <w:noProof/>
        </w:rPr>
        <w:drawing>
          <wp:inline distT="0" distB="0" distL="0" distR="0" wp14:anchorId="20BC4A93" wp14:editId="0D728381">
            <wp:extent cx="2371725" cy="542925"/>
            <wp:effectExtent l="0" t="0" r="0" b="0"/>
            <wp:docPr id="864680187" name="Picture 501571078" descr="Equation 7.9; a link to the long description for this equation is found in the preceding paragra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4680187" name="Picture 501571078" descr="Equation 7.9; a link to the long description for this equation is found in the preceding paragraph."/>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371725" cy="542925"/>
                    </a:xfrm>
                    <a:prstGeom prst="rect">
                      <a:avLst/>
                    </a:prstGeom>
                  </pic:spPr>
                </pic:pic>
              </a:graphicData>
            </a:graphic>
          </wp:inline>
        </w:drawing>
      </w:r>
      <w:r w:rsidRPr="00C34C12">
        <w:tab/>
      </w:r>
      <w:bookmarkStart w:id="875" w:name="EQ7_9"/>
      <w:r w:rsidR="0DDC9BE7" w:rsidRPr="00C34C12">
        <w:t>(7.9)</w:t>
      </w:r>
      <w:bookmarkEnd w:id="875"/>
    </w:p>
    <w:p w14:paraId="43FAFF8D" w14:textId="77777777" w:rsidR="007C1023" w:rsidRPr="00C34C12" w:rsidRDefault="007C1023" w:rsidP="007C1023">
      <w:pPr>
        <w:pStyle w:val="NormalIndent2"/>
      </w:pPr>
      <w:r w:rsidRPr="00C34C12">
        <w:t>where,</w:t>
      </w:r>
    </w:p>
    <w:bookmarkStart w:id="876" w:name="_MON_1791277403"/>
    <w:bookmarkEnd w:id="876"/>
    <w:p w14:paraId="0F2A9D9E" w14:textId="638A6DBD" w:rsidR="007C1023" w:rsidRPr="00C34C12" w:rsidRDefault="009115AE" w:rsidP="00233D0D">
      <w:pPr>
        <w:ind w:firstLine="720"/>
      </w:pPr>
      <w:r>
        <w:object w:dxaOrig="323" w:dyaOrig="351" w14:anchorId="530E3869">
          <v:shape id="_x0000_i1033" type="#_x0000_t75" alt="sigma sub x sub j, squared" style="width:16.3pt;height:17.55pt" o:ole="">
            <v:imagedata r:id="rId56" o:title=""/>
          </v:shape>
          <o:OLEObject Type="Embed" ProgID="Word.Document.12" ShapeID="_x0000_i1033" DrawAspect="Content" ObjectID="_1835872859" r:id="rId57">
            <o:FieldCodes>\s</o:FieldCodes>
          </o:OLEObject>
        </w:object>
      </w:r>
      <w:r w:rsidR="00233D0D">
        <w:t xml:space="preserve"> </w:t>
      </w:r>
      <w:r w:rsidR="007C1023" w:rsidRPr="00C34C12">
        <w:t xml:space="preserve">is the variance for stratum </w:t>
      </w:r>
      <w:r w:rsidR="007C1023" w:rsidRPr="00C34C12">
        <w:rPr>
          <w:rFonts w:ascii="Times New Roman" w:hAnsi="Times New Roman"/>
          <w:i/>
          <w:sz w:val="28"/>
        </w:rPr>
        <w:t>j</w:t>
      </w:r>
      <w:r w:rsidR="007C1023" w:rsidRPr="00C34C12">
        <w:t xml:space="preserve"> of the test,</w:t>
      </w:r>
    </w:p>
    <w:bookmarkStart w:id="877" w:name="_MON_1791277387"/>
    <w:bookmarkEnd w:id="877"/>
    <w:p w14:paraId="70ED5E42" w14:textId="41372ECA" w:rsidR="007C1023" w:rsidRPr="00C34C12" w:rsidRDefault="009115AE" w:rsidP="00233D0D">
      <w:pPr>
        <w:ind w:firstLine="720"/>
      </w:pPr>
      <w:r>
        <w:object w:dxaOrig="263" w:dyaOrig="287" w14:anchorId="4EB6CAAC">
          <v:shape id="_x0000_i1034" type="#_x0000_t75" alt="sigma sub x, squared" style="width:13.15pt;height:14.4pt" o:ole="">
            <v:imagedata r:id="rId58" o:title=""/>
          </v:shape>
          <o:OLEObject Type="Embed" ProgID="Word.Document.12" ShapeID="_x0000_i1034" DrawAspect="Content" ObjectID="_1835872860" r:id="rId59">
            <o:FieldCodes>\s</o:FieldCodes>
          </o:OLEObject>
        </w:object>
      </w:r>
      <w:r w:rsidR="00233D0D">
        <w:t xml:space="preserve"> </w:t>
      </w:r>
      <w:r w:rsidR="007C1023" w:rsidRPr="00C34C12">
        <w:t>is the total variance of the test, and</w:t>
      </w:r>
    </w:p>
    <w:bookmarkStart w:id="878" w:name="_MON_1791277367"/>
    <w:bookmarkEnd w:id="878"/>
    <w:p w14:paraId="5D45FC17" w14:textId="77781364" w:rsidR="007C1023" w:rsidRPr="00C34C12" w:rsidRDefault="009115AE" w:rsidP="00233D0D">
      <w:pPr>
        <w:ind w:firstLine="720"/>
      </w:pPr>
      <w:r>
        <w:object w:dxaOrig="219" w:dyaOrig="310" w14:anchorId="615A16AF">
          <v:shape id="_x0000_i1035" type="#_x0000_t75" alt="alpha sub j" style="width:10.65pt;height:15.65pt" o:ole="">
            <v:imagedata r:id="rId60" o:title=""/>
          </v:shape>
          <o:OLEObject Type="Embed" ProgID="Word.Document.12" ShapeID="_x0000_i1035" DrawAspect="Content" ObjectID="_1835872861" r:id="rId61">
            <o:FieldCodes>\s</o:FieldCodes>
          </o:OLEObject>
        </w:object>
      </w:r>
      <w:r w:rsidR="00233D0D">
        <w:t xml:space="preserve"> </w:t>
      </w:r>
      <w:r w:rsidR="007C1023" w:rsidRPr="00C34C12">
        <w:t xml:space="preserve">is the Cronbach’s Alpha for stratum </w:t>
      </w:r>
      <w:r w:rsidR="007C1023" w:rsidRPr="00C34C12">
        <w:rPr>
          <w:rFonts w:ascii="Times New Roman" w:hAnsi="Times New Roman"/>
          <w:i/>
          <w:sz w:val="28"/>
        </w:rPr>
        <w:t>j</w:t>
      </w:r>
      <w:r w:rsidR="007C1023" w:rsidRPr="00C34C12">
        <w:rPr>
          <w:i/>
        </w:rPr>
        <w:t xml:space="preserve"> </w:t>
      </w:r>
      <w:r w:rsidR="007C1023" w:rsidRPr="00C34C12">
        <w:t>of the test.</w:t>
      </w:r>
    </w:p>
    <w:p w14:paraId="60E4F0C5" w14:textId="77777777" w:rsidR="007C1023" w:rsidRPr="00C34C12" w:rsidRDefault="007C1023" w:rsidP="007C1023">
      <w:pPr>
        <w:pStyle w:val="Heading4"/>
      </w:pPr>
      <w:bookmarkStart w:id="879" w:name="_Toc38901312"/>
      <w:bookmarkStart w:id="880" w:name="_Toc182555230"/>
      <w:r>
        <w:t>Standard Error of Measurement</w:t>
      </w:r>
      <w:bookmarkEnd w:id="879"/>
      <w:bookmarkEnd w:id="880"/>
    </w:p>
    <w:p w14:paraId="49F59D6B" w14:textId="58CDC7B6" w:rsidR="007C1023" w:rsidRPr="00C34C12" w:rsidRDefault="007C1023" w:rsidP="007C1023">
      <w:pPr>
        <w:keepLines/>
      </w:pPr>
      <w:r w:rsidRPr="00C34C12">
        <w:t xml:space="preserve">The SEM provides a measure of score instability on the raw score metric. The SEM is the square root of the error variance in the scores (i.e., the SD of the distribution of the differences between students’ observed scores and their true scores). The SEM is calculated </w:t>
      </w:r>
      <w:r w:rsidR="00347548">
        <w:t>using equation 7.10.</w:t>
      </w:r>
      <w:r w:rsidR="00347548" w:rsidRPr="00347548">
        <w:rPr>
          <w:i/>
        </w:rPr>
        <w:t xml:space="preserve"> </w:t>
      </w:r>
      <w:r w:rsidR="00347548" w:rsidRPr="00C34C12">
        <w:rPr>
          <w:i/>
        </w:rPr>
        <w:t xml:space="preserve">Refer to the </w:t>
      </w:r>
      <w:hyperlink w:anchor="_Alternative_Text_for_9" w:history="1">
        <w:r w:rsidR="00347548" w:rsidRPr="00C34C12">
          <w:rPr>
            <w:rStyle w:val="Hyperlink"/>
            <w:i/>
          </w:rPr>
          <w:t>Alternative Text for Equation 7.10</w:t>
        </w:r>
      </w:hyperlink>
      <w:r w:rsidR="00347548" w:rsidRPr="00C34C12">
        <w:rPr>
          <w:i/>
        </w:rPr>
        <w:t xml:space="preserve"> for a description of this equation.</w:t>
      </w:r>
    </w:p>
    <w:bookmarkStart w:id="881" w:name="_MON_1791277627"/>
    <w:bookmarkEnd w:id="881"/>
    <w:p w14:paraId="6EA4E244" w14:textId="05D4B4AB" w:rsidR="007C1023" w:rsidRPr="00C34C12" w:rsidRDefault="000B2C7A" w:rsidP="00491A0E">
      <w:pPr>
        <w:pStyle w:val="NormalIndent2"/>
        <w:tabs>
          <w:tab w:val="right" w:pos="9900"/>
        </w:tabs>
      </w:pPr>
      <w:r>
        <w:object w:dxaOrig="2250" w:dyaOrig="586" w14:anchorId="4DE8C86A">
          <v:shape id="_x0000_i1036" type="#_x0000_t75" alt="Equation 7.10; a link to the long description for this equation is found in the preceding paragraph." style="width:112.05pt;height:29.45pt" o:ole="">
            <v:imagedata r:id="rId62" o:title=""/>
          </v:shape>
          <o:OLEObject Type="Embed" ProgID="Word.Document.12" ShapeID="_x0000_i1036" DrawAspect="Content" ObjectID="_1835872862" r:id="rId63">
            <o:FieldCodes>\s</o:FieldCodes>
          </o:OLEObject>
        </w:object>
      </w:r>
      <w:r w:rsidR="007C1023" w:rsidRPr="00C34C12">
        <w:tab/>
      </w:r>
      <w:bookmarkStart w:id="882" w:name="EQ7_10"/>
      <w:r w:rsidR="007C1023" w:rsidRPr="00C34C12">
        <w:t>(7.10)</w:t>
      </w:r>
      <w:bookmarkEnd w:id="882"/>
    </w:p>
    <w:p w14:paraId="1B78DE8D" w14:textId="77777777" w:rsidR="007C1023" w:rsidRPr="00C34C12" w:rsidRDefault="007C1023" w:rsidP="007C1023">
      <w:pPr>
        <w:pStyle w:val="NormalIndent2"/>
      </w:pPr>
      <w:r w:rsidRPr="00C34C12">
        <w:t>where,</w:t>
      </w:r>
    </w:p>
    <w:bookmarkStart w:id="883" w:name="_MON_1831111153"/>
    <w:bookmarkEnd w:id="883"/>
    <w:p w14:paraId="06FE8C9C" w14:textId="51AFEA4B" w:rsidR="007C1023" w:rsidRPr="00C34C12" w:rsidRDefault="00862F9E" w:rsidP="002A25C8">
      <w:pPr>
        <w:pStyle w:val="equation"/>
        <w:spacing w:after="0"/>
      </w:pPr>
      <w:r w:rsidRPr="002A25C8">
        <w:rPr>
          <w:position w:val="-6"/>
        </w:rPr>
        <w:object w:dxaOrig="456" w:dyaOrig="331" w14:anchorId="6EF8E3EF">
          <v:shape id="_x0000_i1037" type="#_x0000_t75" alt="rho sub theta hat theta hat prime" style="width:23.15pt;height:16.9pt" o:ole="">
            <v:imagedata r:id="rId64" o:title=""/>
          </v:shape>
          <o:OLEObject Type="Embed" ProgID="Word.Document.12" ShapeID="_x0000_i1037" DrawAspect="Content" ObjectID="_1835872863" r:id="rId65">
            <o:FieldCodes>\s</o:FieldCodes>
          </o:OLEObject>
        </w:object>
      </w:r>
      <w:r w:rsidR="007C1023" w:rsidRPr="00C34C12">
        <w:t>is the reliability estimated in equation 7.9, and</w:t>
      </w:r>
    </w:p>
    <w:p w14:paraId="6E64F7CA" w14:textId="2156EC85" w:rsidR="007C1023" w:rsidRPr="00C34C12" w:rsidRDefault="00B304B9" w:rsidP="007C1023">
      <w:pPr>
        <w:pStyle w:val="equation"/>
        <w:spacing w:after="120"/>
      </w:pPr>
      <w:proofErr w:type="spellStart"/>
      <w:r w:rsidRPr="00391C8D">
        <w:rPr>
          <w:rFonts w:ascii="Times New Roman" w:hAnsi="Times New Roman" w:cs="Times New Roman"/>
          <w:i/>
          <w:iCs/>
          <w:sz w:val="28"/>
          <w:szCs w:val="28"/>
        </w:rPr>
        <w:t>s</w:t>
      </w:r>
      <w:r w:rsidRPr="00450E40">
        <w:rPr>
          <w:rFonts w:ascii="Times New Roman" w:hAnsi="Times New Roman" w:cs="Times New Roman"/>
          <w:i/>
          <w:iCs/>
          <w:sz w:val="28"/>
          <w:szCs w:val="28"/>
          <w:vertAlign w:val="subscript"/>
        </w:rPr>
        <w:t>t</w:t>
      </w:r>
      <w:proofErr w:type="spellEnd"/>
      <w:r w:rsidRPr="00C34C12">
        <w:t xml:space="preserve"> </w:t>
      </w:r>
      <w:r w:rsidR="007C1023" w:rsidRPr="00C34C12">
        <w:t>is the SD of the total score (raw score).</w:t>
      </w:r>
    </w:p>
    <w:p w14:paraId="617D9106" w14:textId="3ED4AB9A" w:rsidR="007C1023" w:rsidRPr="00C34C12" w:rsidRDefault="007C1023" w:rsidP="00DB3C10">
      <w:r w:rsidRPr="00C34C12">
        <w:t xml:space="preserve">The SEM is useful in determining the confidence interval that likely captures a student’s true score. A student’s true score can be thought of as the mean of observed scores a student would earn over an infinite number of independent administrations of the assessment. </w:t>
      </w:r>
      <w:bookmarkStart w:id="884" w:name="_Hlk67463816"/>
      <w:r w:rsidRPr="00C34C12">
        <w:t xml:space="preserve">Approximately 95 percent of the students will have scores within the range of their true scores: -1.96 SEMs to their true scores +1.96 SEMs (Crocker &amp; Algina, 1986). For example, </w:t>
      </w:r>
      <w:bookmarkEnd w:id="884"/>
      <w:r w:rsidRPr="00C34C12">
        <w:t>if a student’s observed score on a given test equals 345 points, and the SEM equals five, one can be 95 percent confident that the student’s true score lies between 335 and 355 points (i.e., 345 ± 10).</w:t>
      </w:r>
    </w:p>
    <w:p w14:paraId="0E805FFA" w14:textId="2C9729FF" w:rsidR="00621C8F" w:rsidRDefault="005B13C5" w:rsidP="00DB6635">
      <w:pPr>
        <w:pStyle w:val="Heading3"/>
        <w:rPr>
          <w:lang w:bidi="en-US"/>
        </w:rPr>
      </w:pPr>
      <w:bookmarkStart w:id="885" w:name="_Toc62215261"/>
      <w:bookmarkStart w:id="886" w:name="_Toc66787708"/>
      <w:bookmarkStart w:id="887" w:name="_Toc66788167"/>
      <w:bookmarkStart w:id="888" w:name="_Toc67035759"/>
      <w:bookmarkStart w:id="889" w:name="_Toc67319623"/>
      <w:bookmarkStart w:id="890" w:name="_Toc67382735"/>
      <w:bookmarkStart w:id="891" w:name="_Toc67466294"/>
      <w:bookmarkStart w:id="892" w:name="_Toc62215262"/>
      <w:bookmarkStart w:id="893" w:name="_Toc66787709"/>
      <w:bookmarkStart w:id="894" w:name="_Toc66788168"/>
      <w:bookmarkStart w:id="895" w:name="_Toc67035760"/>
      <w:bookmarkStart w:id="896" w:name="_Toc67319624"/>
      <w:bookmarkStart w:id="897" w:name="_Toc67382736"/>
      <w:bookmarkStart w:id="898" w:name="_Toc67466295"/>
      <w:bookmarkStart w:id="899" w:name="_Validity_Evidence"/>
      <w:bookmarkStart w:id="900" w:name="_Toc182555231"/>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r w:rsidRPr="2D85FA21">
        <w:rPr>
          <w:lang w:bidi="en-US"/>
        </w:rPr>
        <w:lastRenderedPageBreak/>
        <w:t>Validity Evidence</w:t>
      </w:r>
      <w:bookmarkEnd w:id="900"/>
    </w:p>
    <w:p w14:paraId="275C1BD1" w14:textId="62FA2DD6" w:rsidR="007C1023" w:rsidRPr="00C34C12" w:rsidRDefault="007C1023" w:rsidP="00A95E50">
      <w:pPr>
        <w:keepLines/>
        <w:rPr>
          <w:lang w:eastAsia="ko-KR"/>
        </w:rPr>
      </w:pPr>
      <w:bookmarkStart w:id="901" w:name="_Hlk67463828"/>
      <w:r w:rsidRPr="00C34C12">
        <w:rPr>
          <w:lang w:eastAsia="ko-KR"/>
        </w:rPr>
        <w:t xml:space="preserve">Validity refers to the degree to which each interpretation or use of a test score is supported by the accumulated evidence (American Educational Research Association [AERA], American Psychological Association [APA], &amp; National Council on Measurement in Education [NCME], 2014; ETS, 2014). It constitutes the central notion underlying the </w:t>
      </w:r>
      <w:bookmarkEnd w:id="901"/>
      <w:r w:rsidRPr="00C34C12">
        <w:rPr>
          <w:lang w:eastAsia="ko-KR"/>
        </w:rPr>
        <w:t>development, administration, and scoring of tests and the uses and interpretations of test scores.</w:t>
      </w:r>
    </w:p>
    <w:p w14:paraId="13A3DD9F" w14:textId="77777777" w:rsidR="007C1023" w:rsidRPr="00C34C12" w:rsidRDefault="007C1023" w:rsidP="007C1023">
      <w:pPr>
        <w:rPr>
          <w:lang w:eastAsia="ko-KR"/>
        </w:rPr>
      </w:pPr>
      <w:r w:rsidRPr="00C34C12">
        <w:rPr>
          <w:lang w:eastAsia="ko-KR"/>
        </w:rPr>
        <w:t xml:space="preserve">The validation process does not rely on a single study or gathering only one type of </w:t>
      </w:r>
      <w:bookmarkStart w:id="902" w:name="_Hlk67463839"/>
      <w:r w:rsidRPr="00C34C12">
        <w:rPr>
          <w:lang w:eastAsia="ko-KR"/>
        </w:rPr>
        <w:t xml:space="preserve">evidence. Rather, validation involves multiple investigations and different kinds of supporting evidence (AERA, APA, &amp; NCME, 2014; Cronbach, 1971; ETS, 2014; Kane, 2006). It begins with the test design and is implicit throughout the entire assessment </w:t>
      </w:r>
      <w:bookmarkEnd w:id="902"/>
      <w:r w:rsidRPr="00C34C12">
        <w:rPr>
          <w:lang w:eastAsia="ko-KR"/>
        </w:rPr>
        <w:t>process, which includes item development and field testing, analyses of items, test scaling and linking, scoring, reporting, and score usage.</w:t>
      </w:r>
    </w:p>
    <w:p w14:paraId="1079D530" w14:textId="2A057285" w:rsidR="007C1023" w:rsidRPr="00C34C12" w:rsidRDefault="007C1023" w:rsidP="007C1023">
      <w:r w:rsidRPr="00C34C12">
        <w:t xml:space="preserve">In this section, the evidence gathered is presented to support the intended uses and interpretations of scores for the CAA for Science. This section is organized primarily around </w:t>
      </w:r>
      <w:bookmarkStart w:id="903" w:name="_Hlk67463851"/>
      <w:r w:rsidRPr="00C34C12">
        <w:t xml:space="preserve">the principles prescribed by AERA, APA, and NCME’s </w:t>
      </w:r>
      <w:r w:rsidRPr="00C34C12">
        <w:rPr>
          <w:i/>
          <w:iCs/>
        </w:rPr>
        <w:t xml:space="preserve">Standards for Educational and Psychological Testing </w:t>
      </w:r>
      <w:r w:rsidRPr="00C34C12">
        <w:t xml:space="preserve">(2014). These </w:t>
      </w:r>
      <w:r w:rsidRPr="00C34C12">
        <w:rPr>
          <w:i/>
          <w:iCs/>
        </w:rPr>
        <w:t xml:space="preserve">Standards </w:t>
      </w:r>
      <w:r w:rsidRPr="00C34C12">
        <w:t xml:space="preserve">require a clear definition of the purpose of </w:t>
      </w:r>
      <w:bookmarkEnd w:id="903"/>
      <w:r w:rsidRPr="00C34C12">
        <w:t>the test, a description of the constructs to be assessed, and the population to be assessed, as well as how the scores are to be interpreted and used.</w:t>
      </w:r>
    </w:p>
    <w:p w14:paraId="2CF43D4C" w14:textId="77777777" w:rsidR="007C1023" w:rsidRPr="00C34C12" w:rsidRDefault="007C1023" w:rsidP="007C1023">
      <w:r w:rsidRPr="00C34C12">
        <w:t xml:space="preserve">The </w:t>
      </w:r>
      <w:r w:rsidRPr="00C34C12">
        <w:rPr>
          <w:i/>
          <w:iCs/>
        </w:rPr>
        <w:t xml:space="preserve">Standards </w:t>
      </w:r>
      <w:r w:rsidRPr="00C34C12">
        <w:t>identify five kinds of evidence that can provide support for score interpretations and uses:</w:t>
      </w:r>
    </w:p>
    <w:p w14:paraId="30E0628E" w14:textId="77777777" w:rsidR="007C1023" w:rsidRPr="00C34C12" w:rsidRDefault="007C1023" w:rsidP="004B3D04">
      <w:pPr>
        <w:pStyle w:val="Numbered"/>
        <w:numPr>
          <w:ilvl w:val="0"/>
          <w:numId w:val="80"/>
        </w:numPr>
        <w:ind w:left="864" w:hanging="288"/>
        <w:contextualSpacing/>
      </w:pPr>
      <w:r w:rsidRPr="00C34C12">
        <w:t>Evidence based on test content</w:t>
      </w:r>
    </w:p>
    <w:p w14:paraId="2B31A22D" w14:textId="77777777" w:rsidR="007C1023" w:rsidRPr="00C34C12" w:rsidRDefault="007C1023" w:rsidP="004B3D04">
      <w:pPr>
        <w:pStyle w:val="Numbered"/>
        <w:numPr>
          <w:ilvl w:val="0"/>
          <w:numId w:val="80"/>
        </w:numPr>
        <w:ind w:left="864" w:hanging="288"/>
        <w:contextualSpacing/>
      </w:pPr>
      <w:r w:rsidRPr="00C34C12">
        <w:t>Evidence based on relations to other variables</w:t>
      </w:r>
    </w:p>
    <w:p w14:paraId="2A2761DB" w14:textId="77777777" w:rsidR="007C1023" w:rsidRPr="00C34C12" w:rsidRDefault="007C1023" w:rsidP="004B3D04">
      <w:pPr>
        <w:pStyle w:val="Numbered"/>
        <w:numPr>
          <w:ilvl w:val="0"/>
          <w:numId w:val="80"/>
        </w:numPr>
        <w:ind w:left="864" w:hanging="288"/>
        <w:contextualSpacing/>
      </w:pPr>
      <w:r w:rsidRPr="00C34C12">
        <w:t>Evidence based on response processes</w:t>
      </w:r>
    </w:p>
    <w:p w14:paraId="43E1C94D" w14:textId="77777777" w:rsidR="007C1023" w:rsidRPr="00C34C12" w:rsidRDefault="007C1023" w:rsidP="004B3D04">
      <w:pPr>
        <w:pStyle w:val="Numbered"/>
        <w:numPr>
          <w:ilvl w:val="0"/>
          <w:numId w:val="80"/>
        </w:numPr>
        <w:ind w:left="864" w:hanging="288"/>
        <w:contextualSpacing/>
      </w:pPr>
      <w:r w:rsidRPr="00C34C12">
        <w:t>Evidence based on internal structure</w:t>
      </w:r>
    </w:p>
    <w:p w14:paraId="47F47866" w14:textId="77777777" w:rsidR="007C1023" w:rsidRPr="00C34C12" w:rsidRDefault="007C1023" w:rsidP="004B3D04">
      <w:pPr>
        <w:pStyle w:val="Numbered"/>
        <w:numPr>
          <w:ilvl w:val="0"/>
          <w:numId w:val="80"/>
        </w:numPr>
        <w:ind w:left="864" w:hanging="288"/>
        <w:contextualSpacing/>
      </w:pPr>
      <w:r w:rsidRPr="00C34C12">
        <w:t>Evidence based on the consequences of testing</w:t>
      </w:r>
    </w:p>
    <w:p w14:paraId="08BBAA57" w14:textId="2E0723B2" w:rsidR="007C1023" w:rsidRPr="00C34C12" w:rsidRDefault="007C1023" w:rsidP="007C1023">
      <w:pPr>
        <w:rPr>
          <w:b/>
          <w:bCs/>
        </w:rPr>
      </w:pPr>
      <w:r w:rsidRPr="00C34C12">
        <w:t xml:space="preserve">The next subsection defines the purpose of the CAA for Science, followed by a description and discussion of different kinds of validity evidence that </w:t>
      </w:r>
      <w:r w:rsidR="002A07D1">
        <w:t xml:space="preserve">are typically </w:t>
      </w:r>
      <w:r w:rsidRPr="00C34C12">
        <w:t>gathered.</w:t>
      </w:r>
    </w:p>
    <w:p w14:paraId="22827172" w14:textId="5E337151" w:rsidR="007C1023" w:rsidRPr="00C34C12" w:rsidRDefault="007C1023" w:rsidP="007C1023">
      <w:pPr>
        <w:pStyle w:val="Heading4"/>
        <w:ind w:left="792" w:hanging="792"/>
      </w:pPr>
      <w:bookmarkStart w:id="904" w:name="_Toc38901314"/>
      <w:bookmarkStart w:id="905" w:name="_Toc182555232"/>
      <w:r>
        <w:t>Evidence in the Design of the CAA for Science</w:t>
      </w:r>
      <w:bookmarkEnd w:id="904"/>
      <w:bookmarkEnd w:id="905"/>
    </w:p>
    <w:p w14:paraId="0146F1D8" w14:textId="77777777" w:rsidR="007C1023" w:rsidRPr="00C34C12" w:rsidRDefault="007C1023" w:rsidP="007C1023">
      <w:pPr>
        <w:pStyle w:val="Heading5"/>
        <w:spacing w:after="10"/>
        <w:ind w:left="936" w:hanging="792"/>
      </w:pPr>
      <w:r w:rsidRPr="00C34C12">
        <w:t>Purpose</w:t>
      </w:r>
    </w:p>
    <w:p w14:paraId="19B88D44" w14:textId="387C4E3E" w:rsidR="007C1023" w:rsidRPr="00C34C12" w:rsidRDefault="007C1023" w:rsidP="007C1023">
      <w:r w:rsidRPr="00C34C12">
        <w:t>The CAA for Science is designed to assess students with the most significant cognitive disabilities whose individualized education program (IEP) teams have designated the use of an alternate assessment on the statewide summative assessments.</w:t>
      </w:r>
    </w:p>
    <w:p w14:paraId="58101A1B" w14:textId="77777777" w:rsidR="007C1023" w:rsidRPr="00C34C12" w:rsidRDefault="007C1023" w:rsidP="007C1023">
      <w:r w:rsidRPr="00C34C12">
        <w:t>The CAA for Science is designed to show how well students perform relative to the California Next Generation Science Standards (CA NGSS) Core Content Connectors (Science Connectors), which were developed by the National Center and State Collaborative. These Science Connectors are content targets linked to the CA NGSS and yet are less complex than the CA NGSS, while focusing on the main academic content at each subject and grade level.</w:t>
      </w:r>
    </w:p>
    <w:p w14:paraId="7CC6702F" w14:textId="77777777" w:rsidR="007C1023" w:rsidRPr="00C34C12" w:rsidRDefault="007C1023" w:rsidP="007C1023">
      <w:pPr>
        <w:pStyle w:val="Heading5"/>
        <w:spacing w:after="10"/>
        <w:ind w:left="936" w:hanging="792"/>
      </w:pPr>
      <w:r w:rsidRPr="00C34C12">
        <w:t>The Constructs to Be Measured</w:t>
      </w:r>
    </w:p>
    <w:p w14:paraId="63CAB2A8" w14:textId="77777777" w:rsidR="007C1023" w:rsidRPr="00C34C12" w:rsidRDefault="007C1023" w:rsidP="007C1023">
      <w:pPr>
        <w:keepLines/>
      </w:pPr>
      <w:r w:rsidRPr="00C34C12">
        <w:t>The Science Connectors illustrate the necessary knowledge and skills needed to reach the learning targets within the CA NGSS and the knowledge and skills needed at each grade level. The Science Connectors identify priorities in each content area to guide instruction for students in this population and for the alternate assessment.</w:t>
      </w:r>
    </w:p>
    <w:p w14:paraId="7234D356" w14:textId="77777777" w:rsidR="007C1023" w:rsidRPr="00C34C12" w:rsidRDefault="007C1023" w:rsidP="007C1023">
      <w:pPr>
        <w:keepNext/>
        <w:keepLines/>
      </w:pPr>
      <w:bookmarkStart w:id="906" w:name="_Hlk67463865"/>
      <w:r w:rsidRPr="00C34C12">
        <w:lastRenderedPageBreak/>
        <w:t xml:space="preserve">Test blueprints are used to measure the Science Connectors (CDE, 2018a). They also </w:t>
      </w:r>
      <w:bookmarkEnd w:id="906"/>
      <w:r w:rsidRPr="00C34C12">
        <w:t>provide an operational definition of the construct to which each set of standards refers and define the following for each content area:</w:t>
      </w:r>
    </w:p>
    <w:p w14:paraId="6F9C7131" w14:textId="77777777" w:rsidR="007C1023" w:rsidRPr="00C34C12" w:rsidRDefault="007C1023" w:rsidP="007C1023">
      <w:pPr>
        <w:pStyle w:val="bullets-one"/>
      </w:pPr>
      <w:r w:rsidRPr="00C34C12">
        <w:t>Subject to be assessed</w:t>
      </w:r>
    </w:p>
    <w:p w14:paraId="5FAF54D1" w14:textId="77777777" w:rsidR="007C1023" w:rsidRPr="00C34C12" w:rsidRDefault="007C1023" w:rsidP="007C1023">
      <w:pPr>
        <w:pStyle w:val="bullets-one"/>
      </w:pPr>
      <w:r w:rsidRPr="00C34C12">
        <w:t>Tasks to be presented</w:t>
      </w:r>
    </w:p>
    <w:p w14:paraId="6455C50B" w14:textId="77777777" w:rsidR="007C1023" w:rsidRPr="00C34C12" w:rsidRDefault="007C1023" w:rsidP="007C1023">
      <w:pPr>
        <w:pStyle w:val="bullets-one"/>
      </w:pPr>
      <w:r w:rsidRPr="00C34C12">
        <w:t>Administration instructions to be given</w:t>
      </w:r>
    </w:p>
    <w:p w14:paraId="49751F25" w14:textId="77777777" w:rsidR="007C1023" w:rsidRPr="00C34C12" w:rsidRDefault="007C1023" w:rsidP="007C1023">
      <w:pPr>
        <w:pStyle w:val="bullets-one"/>
      </w:pPr>
      <w:r w:rsidRPr="00C34C12">
        <w:t>Rules used to score student responses</w:t>
      </w:r>
    </w:p>
    <w:p w14:paraId="2D38BAB7" w14:textId="62F13EAA" w:rsidR="007C1023" w:rsidRPr="00C34C12" w:rsidRDefault="007C1023" w:rsidP="007C1023">
      <w:bookmarkStart w:id="907" w:name="_Hlk67463875"/>
      <w:r w:rsidRPr="00C34C12">
        <w:t>The test blueprints control as many aspects of the measurement procedure as possible so that the testing conditions will remain the same over test administrations (Cronbach, 1971) to minimize construct-irrelevant score variance (Messick, 1989).</w:t>
      </w:r>
    </w:p>
    <w:bookmarkEnd w:id="907"/>
    <w:p w14:paraId="745FC403" w14:textId="2A043B90" w:rsidR="007C1023" w:rsidRPr="00C34C12" w:rsidRDefault="007C1023" w:rsidP="007C1023">
      <w:r w:rsidRPr="00C34C12">
        <w:t xml:space="preserve">ETS developed all CAA for Science test items to conform to the </w:t>
      </w:r>
      <w:r w:rsidR="00E16E96">
        <w:t>State Board of Education</w:t>
      </w:r>
      <w:r w:rsidR="001C7769">
        <w:t>–</w:t>
      </w:r>
      <w:r w:rsidRPr="00C34C12">
        <w:t>approved Science Connectors and test blueprints.</w:t>
      </w:r>
    </w:p>
    <w:p w14:paraId="18EF9683" w14:textId="77777777" w:rsidR="007C1023" w:rsidRPr="00C34C12" w:rsidRDefault="007C1023" w:rsidP="007C1023">
      <w:pPr>
        <w:pStyle w:val="Heading5"/>
        <w:spacing w:after="10"/>
        <w:ind w:left="936" w:hanging="792"/>
      </w:pPr>
      <w:r w:rsidRPr="00C34C12">
        <w:t>Intended Test Population</w:t>
      </w:r>
    </w:p>
    <w:p w14:paraId="3A6DD6F6" w14:textId="14896AD8" w:rsidR="007C1023" w:rsidRPr="00C34C12" w:rsidRDefault="007C1023" w:rsidP="007C1023">
      <w:r w:rsidRPr="00C34C12">
        <w:t>Only eligible students may participate in the administration of the CAA for Science. Any student identified for alternate testing in grades five and eight and</w:t>
      </w:r>
      <w:r w:rsidR="003D0182">
        <w:t xml:space="preserve"> in</w:t>
      </w:r>
      <w:r w:rsidRPr="00C34C12">
        <w:t xml:space="preserve"> high school (grade ten, eleven, or twelve) takes the CAA for Science. IEP teams “shall determine when a child with a significant cognitive disability shall participate in an alternate assessment aligned with the alternate academic achievement standards.”</w:t>
      </w:r>
      <w:r w:rsidRPr="00C34C12">
        <w:rPr>
          <w:rStyle w:val="FootnoteReference"/>
        </w:rPr>
        <w:footnoteReference w:id="9"/>
      </w:r>
    </w:p>
    <w:p w14:paraId="22DC7E20" w14:textId="77777777" w:rsidR="007C1023" w:rsidRPr="00C34C12" w:rsidRDefault="007C1023" w:rsidP="007C1023">
      <w:pPr>
        <w:pStyle w:val="Heading4"/>
        <w:ind w:left="792" w:hanging="792"/>
      </w:pPr>
      <w:bookmarkStart w:id="908" w:name="_Toc38901315"/>
      <w:bookmarkStart w:id="909" w:name="_Toc182555233"/>
      <w:r>
        <w:t>Evidence Based on Test Content</w:t>
      </w:r>
      <w:bookmarkEnd w:id="908"/>
      <w:bookmarkEnd w:id="909"/>
    </w:p>
    <w:p w14:paraId="7FDF5488" w14:textId="77777777" w:rsidR="007C1023" w:rsidRPr="00C34C12" w:rsidRDefault="007C1023" w:rsidP="007C1023">
      <w:bookmarkStart w:id="910" w:name="_Hlk67463893"/>
      <w:r w:rsidRPr="00C34C12">
        <w:t xml:space="preserve">Evidence based on test content refers to traditional forms of content validity evidence, such as the rating of test specifications and test items (Crocker, Miller, &amp; Franks, 1989; Sireci, 1998), as well as alignment methods for educational tests that evaluate the interactions </w:t>
      </w:r>
      <w:bookmarkStart w:id="911" w:name="_Hlk67463901"/>
      <w:bookmarkEnd w:id="910"/>
      <w:r w:rsidRPr="00C34C12">
        <w:t>between curriculum frameworks, testing, and instruction (Rothman, Slattery, Vranek, &amp; Resnick, 2002; Bhola, Impara, &amp; Buckendahl, 2003; Martone &amp; Sireci, 2009).</w:t>
      </w:r>
    </w:p>
    <w:bookmarkEnd w:id="911"/>
    <w:p w14:paraId="35BAED7A" w14:textId="31297C9D" w:rsidR="007C1023" w:rsidRPr="00C34C12" w:rsidRDefault="00AE20B4" w:rsidP="007C1023">
      <w:r>
        <w:fldChar w:fldCharType="begin"/>
      </w:r>
      <w:r>
        <w:instrText xml:space="preserve"> HYPERLINK \l "_Test_Assembly_1" </w:instrText>
      </w:r>
      <w:r>
        <w:fldChar w:fldCharType="separate"/>
      </w:r>
      <w:r w:rsidR="007C1023" w:rsidRPr="00C34C12">
        <w:rPr>
          <w:rStyle w:val="Hyperlink"/>
          <w:i/>
          <w:iCs/>
        </w:rPr>
        <w:t>Chapter 4: Test Assembly</w:t>
      </w:r>
      <w:r>
        <w:rPr>
          <w:rStyle w:val="Hyperlink"/>
          <w:i/>
          <w:iCs/>
        </w:rPr>
        <w:fldChar w:fldCharType="end"/>
      </w:r>
      <w:r w:rsidR="007C1023" w:rsidRPr="00C34C12">
        <w:t xml:space="preserve"> contains information on which the test forms administered in 20</w:t>
      </w:r>
      <w:r w:rsidR="00C27EA3">
        <w:t>19</w:t>
      </w:r>
      <w:r w:rsidR="007C1023" w:rsidRPr="00C34C12">
        <w:t>–20</w:t>
      </w:r>
      <w:r w:rsidR="00C27EA3">
        <w:t>20</w:t>
      </w:r>
      <w:r w:rsidR="007C1023" w:rsidRPr="00C34C12">
        <w:t xml:space="preserve"> were built.</w:t>
      </w:r>
    </w:p>
    <w:p w14:paraId="5F3535C3" w14:textId="77777777" w:rsidR="007C1023" w:rsidRPr="00C34C12" w:rsidRDefault="007C1023" w:rsidP="007C1023">
      <w:pPr>
        <w:pStyle w:val="Heading5"/>
        <w:spacing w:after="10"/>
        <w:ind w:left="936" w:hanging="792"/>
      </w:pPr>
      <w:r w:rsidRPr="00C34C12">
        <w:t>Description of the State Standards</w:t>
      </w:r>
    </w:p>
    <w:p w14:paraId="175C6EE1" w14:textId="4B0FD8C9" w:rsidR="007C1023" w:rsidRPr="00C34C12" w:rsidRDefault="007C1023" w:rsidP="007C1023">
      <w:bookmarkStart w:id="912" w:name="_Hlk67463917"/>
      <w:r w:rsidRPr="00C34C12">
        <w:t xml:space="preserve">The CAA for Science is aligned with the </w:t>
      </w:r>
      <w:r w:rsidR="00EA4D16">
        <w:t xml:space="preserve">CA </w:t>
      </w:r>
      <w:r w:rsidRPr="00C34C12">
        <w:t>NGSS Science Connectors. The Science Connectors illustrate the necessary knowledge and skills needed to reach the learning targets within the CA NGSS and the knowledge and skills needed in each grade. They also identify priorities in each content area to guide the instruction for students in this population and for the alternate assessment (</w:t>
      </w:r>
      <w:r w:rsidR="007C7EEF">
        <w:t xml:space="preserve">CDE, </w:t>
      </w:r>
      <w:r w:rsidRPr="00C34C12">
        <w:rPr>
          <w:rFonts w:cstheme="minorBidi"/>
        </w:rPr>
        <w:t>2018b</w:t>
      </w:r>
      <w:r w:rsidRPr="00C34C12">
        <w:t>).</w:t>
      </w:r>
    </w:p>
    <w:bookmarkEnd w:id="912"/>
    <w:p w14:paraId="50167CF0" w14:textId="42EEDC07" w:rsidR="007C1023" w:rsidRPr="00C34C12" w:rsidRDefault="007C1023" w:rsidP="007C1023">
      <w:pPr>
        <w:pStyle w:val="Heading5"/>
        <w:spacing w:after="10"/>
        <w:ind w:left="936" w:hanging="792"/>
      </w:pPr>
      <w:r w:rsidRPr="00C34C12">
        <w:t>Embedded P</w:t>
      </w:r>
      <w:r w:rsidR="00C66744">
        <w:t xml:space="preserve">erformance </w:t>
      </w:r>
      <w:r w:rsidRPr="00C34C12">
        <w:t>T</w:t>
      </w:r>
      <w:r w:rsidR="00C66744">
        <w:t>ask</w:t>
      </w:r>
      <w:r w:rsidRPr="00C34C12">
        <w:t xml:space="preserve"> and Item Specifications</w:t>
      </w:r>
    </w:p>
    <w:p w14:paraId="09C3DCCE" w14:textId="7F635C1D" w:rsidR="007C1023" w:rsidRDefault="007C1023" w:rsidP="007C1023">
      <w:r w:rsidRPr="00C34C12">
        <w:t xml:space="preserve">Item specifications describe the characteristics of items that are written to measure each content standard. The specifications for science are described in </w:t>
      </w:r>
      <w:hyperlink w:anchor="_Embedded_PT_and_1" w:history="1">
        <w:r w:rsidRPr="00C34C12">
          <w:rPr>
            <w:rStyle w:val="Hyperlink"/>
            <w:i/>
          </w:rPr>
          <w:t>Chapter 3: Embedded P</w:t>
        </w:r>
        <w:r w:rsidR="00BF7CC0">
          <w:rPr>
            <w:rStyle w:val="Hyperlink"/>
            <w:i/>
          </w:rPr>
          <w:t xml:space="preserve">erformance </w:t>
        </w:r>
        <w:r w:rsidRPr="00C34C12">
          <w:rPr>
            <w:rStyle w:val="Hyperlink"/>
            <w:i/>
          </w:rPr>
          <w:t>T</w:t>
        </w:r>
        <w:r w:rsidR="00BF7CC0">
          <w:rPr>
            <w:rStyle w:val="Hyperlink"/>
            <w:i/>
          </w:rPr>
          <w:t>ask and Item</w:t>
        </w:r>
        <w:r w:rsidRPr="00C34C12">
          <w:rPr>
            <w:rStyle w:val="Hyperlink"/>
            <w:i/>
          </w:rPr>
          <w:t xml:space="preserve"> Development and Review</w:t>
        </w:r>
      </w:hyperlink>
      <w:r w:rsidRPr="00C34C12">
        <w:t>.</w:t>
      </w:r>
    </w:p>
    <w:p w14:paraId="39FA879A" w14:textId="77777777" w:rsidR="007C1023" w:rsidRPr="00C34C12" w:rsidRDefault="007C1023" w:rsidP="007C1023">
      <w:pPr>
        <w:pStyle w:val="Heading5"/>
        <w:spacing w:after="10"/>
        <w:ind w:left="936" w:hanging="792"/>
      </w:pPr>
      <w:r w:rsidRPr="00C34C12">
        <w:t>Assessment Blueprints</w:t>
      </w:r>
    </w:p>
    <w:p w14:paraId="5B3104B2" w14:textId="06EEF1BA" w:rsidR="007C1023" w:rsidRPr="00C34C12" w:rsidRDefault="007C1023" w:rsidP="007C1023">
      <w:pPr>
        <w:tabs>
          <w:tab w:val="left" w:pos="3240"/>
        </w:tabs>
      </w:pPr>
      <w:bookmarkStart w:id="913" w:name="_Hlk67463926"/>
      <w:r w:rsidRPr="00C34C12">
        <w:t xml:space="preserve">The CAA for Science test blueprints describe the content of the CAA for Science for all grades tested and how that content is assessed (CDE, 2018a). The test blueprints address </w:t>
      </w:r>
      <w:bookmarkEnd w:id="913"/>
      <w:r w:rsidRPr="00C34C12">
        <w:t xml:space="preserve">the basic core content domains, the CA NGSS, the Science Connectors, and the essential </w:t>
      </w:r>
      <w:r w:rsidRPr="00C34C12">
        <w:lastRenderedPageBreak/>
        <w:t xml:space="preserve">understanding for each standard. Each test is described by a single blueprint. A description of the test blueprint is provided in </w:t>
      </w:r>
      <w:hyperlink w:anchor="_Test_Assembly_1" w:history="1">
        <w:r w:rsidRPr="00C34C12">
          <w:rPr>
            <w:rStyle w:val="Hyperlink"/>
            <w:i/>
            <w:iCs/>
          </w:rPr>
          <w:t>Chapter 4: Test Assembly</w:t>
        </w:r>
      </w:hyperlink>
      <w:r w:rsidRPr="00C34C12">
        <w:t>.</w:t>
      </w:r>
    </w:p>
    <w:p w14:paraId="028E1422" w14:textId="77777777" w:rsidR="007C1023" w:rsidRPr="00C34C12" w:rsidRDefault="007C1023" w:rsidP="007C1023">
      <w:pPr>
        <w:pStyle w:val="Heading5"/>
        <w:spacing w:after="10"/>
        <w:ind w:left="936" w:hanging="792"/>
      </w:pPr>
      <w:r w:rsidRPr="00C34C12">
        <w:t>Form Assembly Process</w:t>
      </w:r>
    </w:p>
    <w:p w14:paraId="1FA70C4F" w14:textId="7480BB40" w:rsidR="007C1023" w:rsidRPr="00C34C12" w:rsidRDefault="007C1023" w:rsidP="007C1023">
      <w:pPr>
        <w:rPr>
          <w:b/>
          <w:bCs/>
        </w:rPr>
      </w:pPr>
      <w:r w:rsidRPr="00C34C12">
        <w:t xml:space="preserve">The content standards and blueprints are the basis for choosing items for each assessment. Additionally, item difficulty and the content complexity of items are provided to evaluate the statistical characteristics of test forms. Refer to </w:t>
      </w:r>
      <w:hyperlink w:anchor="_Test_Assembly_1" w:history="1">
        <w:r w:rsidRPr="00C34C12">
          <w:rPr>
            <w:rStyle w:val="Hyperlink"/>
            <w:i/>
          </w:rPr>
          <w:t>Chapter 4</w:t>
        </w:r>
        <w:r w:rsidRPr="00C34C12">
          <w:rPr>
            <w:rStyle w:val="Hyperlink"/>
            <w:i/>
            <w:iCs/>
          </w:rPr>
          <w:t>: Test Assembly</w:t>
        </w:r>
      </w:hyperlink>
      <w:r w:rsidRPr="00C34C12">
        <w:t xml:space="preserve"> for information on the test assembly process.</w:t>
      </w:r>
    </w:p>
    <w:p w14:paraId="668FEFC4" w14:textId="77777777" w:rsidR="007C1023" w:rsidRPr="00C34C12" w:rsidRDefault="007C1023" w:rsidP="007C1023">
      <w:pPr>
        <w:pStyle w:val="Heading4"/>
        <w:ind w:left="792" w:hanging="792"/>
      </w:pPr>
      <w:bookmarkStart w:id="914" w:name="_Toc38901316"/>
      <w:bookmarkStart w:id="915" w:name="_Toc182555234"/>
      <w:r>
        <w:t>Evidence Based on Response Processes</w:t>
      </w:r>
      <w:bookmarkEnd w:id="914"/>
      <w:bookmarkEnd w:id="915"/>
    </w:p>
    <w:p w14:paraId="3AEE2478" w14:textId="77777777" w:rsidR="007C1023" w:rsidRPr="00C34C12" w:rsidRDefault="007C1023" w:rsidP="007C1023">
      <w:pPr>
        <w:keepLines/>
      </w:pPr>
      <w:bookmarkStart w:id="916" w:name="_Hlk67463938"/>
      <w:r w:rsidRPr="00C34C12">
        <w:t xml:space="preserve">Validity evidence based on response processes refers to “evidence concerning the fit between the construct and the detailed nature of performance or response actually engaged in by students” (AERA et al., 2014, p. 12). This type of evidence generally includes </w:t>
      </w:r>
      <w:bookmarkEnd w:id="916"/>
      <w:r w:rsidRPr="00C34C12">
        <w:t>documentation of activities such as</w:t>
      </w:r>
    </w:p>
    <w:p w14:paraId="5CF9E982" w14:textId="77777777" w:rsidR="007C1023" w:rsidRPr="00C34C12" w:rsidRDefault="007C1023" w:rsidP="00B33B75">
      <w:pPr>
        <w:pStyle w:val="bullets"/>
        <w:numPr>
          <w:ilvl w:val="0"/>
          <w:numId w:val="69"/>
        </w:numPr>
        <w:tabs>
          <w:tab w:val="clear" w:pos="727"/>
        </w:tabs>
        <w:ind w:left="864" w:hanging="288"/>
      </w:pPr>
      <w:r w:rsidRPr="00C34C12">
        <w:t>systematic observations of test response behavior;</w:t>
      </w:r>
    </w:p>
    <w:p w14:paraId="7A7FF8DD" w14:textId="77777777" w:rsidR="007C1023" w:rsidRPr="00C34C12" w:rsidRDefault="007C1023" w:rsidP="00B33B75">
      <w:pPr>
        <w:pStyle w:val="bullets"/>
        <w:numPr>
          <w:ilvl w:val="0"/>
          <w:numId w:val="69"/>
        </w:numPr>
        <w:tabs>
          <w:tab w:val="clear" w:pos="727"/>
        </w:tabs>
        <w:ind w:left="864" w:hanging="288"/>
      </w:pPr>
      <w:r w:rsidRPr="00C34C12">
        <w:t>showing the relationships of items intended to require demonstrations or applications of knowledge and skills to other measures that require similar levels of cognitive complexity in the content (i.e., teacher ratings of student performance); and</w:t>
      </w:r>
    </w:p>
    <w:p w14:paraId="1A7B31EB" w14:textId="77777777" w:rsidR="007C1023" w:rsidRPr="00C34C12" w:rsidRDefault="007C1023" w:rsidP="00B33B75">
      <w:pPr>
        <w:pStyle w:val="bullets"/>
        <w:numPr>
          <w:ilvl w:val="0"/>
          <w:numId w:val="69"/>
        </w:numPr>
        <w:tabs>
          <w:tab w:val="clear" w:pos="727"/>
        </w:tabs>
        <w:ind w:left="864" w:hanging="288"/>
      </w:pPr>
      <w:bookmarkStart w:id="917" w:name="_Hlk67463947"/>
      <w:r w:rsidRPr="00C34C12">
        <w:t>evaluation of the reasoning processes students employ when solving test items (Embretson, 1983; Messick, 1989).</w:t>
      </w:r>
    </w:p>
    <w:bookmarkEnd w:id="917"/>
    <w:p w14:paraId="0336D320" w14:textId="7D9F5952" w:rsidR="007C1023" w:rsidRDefault="007C1023" w:rsidP="007C1023">
      <w:r w:rsidRPr="00C34C12">
        <w:t>This type of evidence is used to confirm that the CAA for Science is measuring the cognitive skills that are intended as the objects of measurement and are used by students to respond to the items. For example, the survey questions administered after each</w:t>
      </w:r>
      <w:r w:rsidRPr="00C34C12">
        <w:rPr>
          <w:rFonts w:eastAsia="Calibri"/>
        </w:rPr>
        <w:t xml:space="preserve"> embedded</w:t>
      </w:r>
      <w:r w:rsidRPr="00C34C12">
        <w:t xml:space="preserve"> PT </w:t>
      </w:r>
      <w:r w:rsidR="004D235F">
        <w:t xml:space="preserve">are </w:t>
      </w:r>
      <w:r w:rsidR="00F0483E">
        <w:t>typically</w:t>
      </w:r>
      <w:r w:rsidR="004D235F" w:rsidRPr="00C34C12">
        <w:t xml:space="preserve"> </w:t>
      </w:r>
      <w:r w:rsidRPr="00C34C12">
        <w:t>analyzed as part of the research agenda</w:t>
      </w:r>
      <w:r w:rsidR="00F0483E">
        <w:t>,</w:t>
      </w:r>
      <w:r w:rsidRPr="00C34C12">
        <w:t xml:space="preserve"> with the goal of understanding the CAA for Science </w:t>
      </w:r>
      <w:r w:rsidRPr="00C34C12">
        <w:rPr>
          <w:rFonts w:eastAsia="Calibri"/>
        </w:rPr>
        <w:t>embedded</w:t>
      </w:r>
      <w:r w:rsidRPr="00C34C12">
        <w:t xml:space="preserve"> PTs.</w:t>
      </w:r>
    </w:p>
    <w:p w14:paraId="06FF5E5D" w14:textId="3F9C094C" w:rsidR="004F5035" w:rsidRPr="00C34C12" w:rsidRDefault="004F5035" w:rsidP="007C1023">
      <w:pPr>
        <w:rPr>
          <w:lang w:eastAsia="x-none"/>
        </w:rPr>
      </w:pPr>
      <w:r>
        <w:t>This subsection describes analyses performed after typical CAA for Science administrations.</w:t>
      </w:r>
    </w:p>
    <w:p w14:paraId="694E226D" w14:textId="77777777" w:rsidR="007C1023" w:rsidRPr="00C34C12" w:rsidRDefault="007C1023" w:rsidP="007C1023">
      <w:pPr>
        <w:pStyle w:val="Heading5"/>
        <w:spacing w:after="10"/>
        <w:ind w:left="936" w:hanging="792"/>
      </w:pPr>
      <w:r w:rsidRPr="00C34C12">
        <w:t>Analysis of Testing Time</w:t>
      </w:r>
    </w:p>
    <w:p w14:paraId="758BAB74" w14:textId="6418506D" w:rsidR="007C1023" w:rsidRPr="00C34C12" w:rsidRDefault="007C1023" w:rsidP="007C1023">
      <w:pPr>
        <w:rPr>
          <w:lang w:eastAsia="ko-KR"/>
        </w:rPr>
      </w:pPr>
      <w:r w:rsidRPr="00C34C12">
        <w:t xml:space="preserve">Testing time for each administration can be evaluated for consistency by examining the expected response processes for the items presented to students. The length of time it takes students to complete a test is collected and analyzed to build a profile describing what a typical testing event looks like for each content area and grade. In addition, variability in testing time is investigated to determine whether a student’s testing time should be viewed as unusual or irregular. It should be noted that the CAA for Science </w:t>
      </w:r>
      <w:r w:rsidR="00FA17A5">
        <w:t>is an</w:t>
      </w:r>
      <w:r w:rsidRPr="00C34C12">
        <w:t xml:space="preserve"> untimed test.</w:t>
      </w:r>
    </w:p>
    <w:p w14:paraId="0A3D7BA7" w14:textId="0EF2E300" w:rsidR="007C1023" w:rsidRPr="00C34C12" w:rsidRDefault="00AE3697" w:rsidP="007C1023">
      <w:pPr>
        <w:rPr>
          <w:lang w:eastAsia="ko-KR"/>
        </w:rPr>
      </w:pPr>
      <w:r>
        <w:t xml:space="preserve">When </w:t>
      </w:r>
      <w:r w:rsidR="00D2119D">
        <w:t>analyzing the testing time, t</w:t>
      </w:r>
      <w:r w:rsidR="007C1023" w:rsidRPr="00C34C12">
        <w:t xml:space="preserve">he students with no item response and students who did not answer at least one item from each of the three </w:t>
      </w:r>
      <w:r w:rsidR="007C1023" w:rsidRPr="00C34C12">
        <w:rPr>
          <w:rFonts w:eastAsia="Calibri"/>
        </w:rPr>
        <w:t>embedded</w:t>
      </w:r>
      <w:r w:rsidR="007C1023" w:rsidRPr="00C34C12">
        <w:t xml:space="preserve"> PTs </w:t>
      </w:r>
      <w:r w:rsidR="00840B2C">
        <w:t>are</w:t>
      </w:r>
      <w:r w:rsidR="00840B2C" w:rsidRPr="00C34C12">
        <w:t xml:space="preserve"> </w:t>
      </w:r>
      <w:r w:rsidR="007C1023" w:rsidRPr="00C34C12">
        <w:t>removed from these analyses.</w:t>
      </w:r>
      <w:r w:rsidR="007C1023" w:rsidRPr="00C34C12">
        <w:rPr>
          <w:lang w:eastAsia="ko-KR"/>
        </w:rPr>
        <w:t xml:space="preserve"> The remaining testing population is partitioned into quartiles based on raw scores. These quartile groupings are not the same as achievement levels.</w:t>
      </w:r>
    </w:p>
    <w:p w14:paraId="7A48A966" w14:textId="1185B77B" w:rsidR="00ED1AD8" w:rsidRDefault="007C1023" w:rsidP="007C1023">
      <w:r w:rsidRPr="001F2DE4">
        <w:t xml:space="preserve">Descriptive statistics of the time required to complete the total test are </w:t>
      </w:r>
      <w:r w:rsidR="000A2363">
        <w:t xml:space="preserve">typically </w:t>
      </w:r>
      <w:r w:rsidRPr="001F2DE4">
        <w:t>computed for each of the four quartile groups for each assessment.</w:t>
      </w:r>
      <w:r w:rsidRPr="00823E7A">
        <w:t xml:space="preserve"> </w:t>
      </w:r>
      <w:r w:rsidRPr="001F2DE4">
        <w:t>Because some cases of extremely long testing time may be attributed to taking longer to complete the assessment or the assessment not</w:t>
      </w:r>
      <w:r w:rsidR="00FA17A5">
        <w:t xml:space="preserve"> being</w:t>
      </w:r>
      <w:r w:rsidRPr="001F2DE4">
        <w:t xml:space="preserve"> closed down properly, the results should be interpreted with caution. The medians (50th percentile) are more meaningful in the interpretation of the time comparisons because medians are less impacted by extreme values than means.</w:t>
      </w:r>
      <w:r w:rsidR="000A2363">
        <w:t xml:space="preserve"> </w:t>
      </w:r>
    </w:p>
    <w:p w14:paraId="73BD688B" w14:textId="4BD443A6" w:rsidR="007C1023" w:rsidRPr="00C34C12" w:rsidRDefault="00374A36" w:rsidP="007C1023">
      <w:r>
        <w:lastRenderedPageBreak/>
        <w:t>Testing t</w:t>
      </w:r>
      <w:r w:rsidR="00B262A5">
        <w:t>im</w:t>
      </w:r>
      <w:r>
        <w:t>e</w:t>
      </w:r>
      <w:r w:rsidR="00B262A5">
        <w:t xml:space="preserve"> analys</w:t>
      </w:r>
      <w:r>
        <w:t>i</w:t>
      </w:r>
      <w:r w:rsidR="00B262A5">
        <w:t>s</w:t>
      </w:r>
      <w:r>
        <w:t xml:space="preserve"> was not conducted following</w:t>
      </w:r>
      <w:r w:rsidR="00ED1AD8">
        <w:t xml:space="preserve"> the 2019–2020 administration </w:t>
      </w:r>
      <w:r>
        <w:t xml:space="preserve">because of small sample sizes. </w:t>
      </w:r>
    </w:p>
    <w:p w14:paraId="2F950A5D" w14:textId="31F3A097" w:rsidR="007C1023" w:rsidRPr="00C34C12" w:rsidRDefault="007C1023" w:rsidP="007C1023">
      <w:pPr>
        <w:pStyle w:val="Heading4"/>
        <w:ind w:left="792" w:hanging="792"/>
      </w:pPr>
      <w:bookmarkStart w:id="918" w:name="_Toc62215267"/>
      <w:bookmarkStart w:id="919" w:name="_Toc66787714"/>
      <w:bookmarkStart w:id="920" w:name="_Toc66788173"/>
      <w:bookmarkStart w:id="921" w:name="_Toc67035765"/>
      <w:bookmarkStart w:id="922" w:name="_Toc67319629"/>
      <w:bookmarkStart w:id="923" w:name="_Toc67382741"/>
      <w:bookmarkStart w:id="924" w:name="_Toc67466300"/>
      <w:bookmarkStart w:id="925" w:name="_Toc68089062"/>
      <w:bookmarkStart w:id="926" w:name="_Toc68107911"/>
      <w:bookmarkStart w:id="927" w:name="_Toc62215268"/>
      <w:bookmarkStart w:id="928" w:name="_Toc66787715"/>
      <w:bookmarkStart w:id="929" w:name="_Toc66788174"/>
      <w:bookmarkStart w:id="930" w:name="_Toc67035766"/>
      <w:bookmarkStart w:id="931" w:name="_Toc67319630"/>
      <w:bookmarkStart w:id="932" w:name="_Toc67382742"/>
      <w:bookmarkStart w:id="933" w:name="_Toc67466301"/>
      <w:bookmarkStart w:id="934" w:name="_Toc68089063"/>
      <w:bookmarkStart w:id="935" w:name="_Toc68107912"/>
      <w:bookmarkStart w:id="936" w:name="_Toc62215269"/>
      <w:bookmarkStart w:id="937" w:name="_Toc66787716"/>
      <w:bookmarkStart w:id="938" w:name="_Toc66788175"/>
      <w:bookmarkStart w:id="939" w:name="_Toc67035767"/>
      <w:bookmarkStart w:id="940" w:name="_Toc67319631"/>
      <w:bookmarkStart w:id="941" w:name="_Toc67382743"/>
      <w:bookmarkStart w:id="942" w:name="_Toc67466302"/>
      <w:bookmarkStart w:id="943" w:name="_Toc68089064"/>
      <w:bookmarkStart w:id="944" w:name="_Toc68107913"/>
      <w:bookmarkStart w:id="945" w:name="_Toc62215270"/>
      <w:bookmarkStart w:id="946" w:name="_Toc66787717"/>
      <w:bookmarkStart w:id="947" w:name="_Toc66788176"/>
      <w:bookmarkStart w:id="948" w:name="_Toc67035768"/>
      <w:bookmarkStart w:id="949" w:name="_Toc67319632"/>
      <w:bookmarkStart w:id="950" w:name="_Toc67382744"/>
      <w:bookmarkStart w:id="951" w:name="_Toc67466303"/>
      <w:bookmarkStart w:id="952" w:name="_Toc68089065"/>
      <w:bookmarkStart w:id="953" w:name="_Toc68107914"/>
      <w:bookmarkStart w:id="954" w:name="_Toc62215271"/>
      <w:bookmarkStart w:id="955" w:name="_Toc66787718"/>
      <w:bookmarkStart w:id="956" w:name="_Toc66788177"/>
      <w:bookmarkStart w:id="957" w:name="_Toc67035769"/>
      <w:bookmarkStart w:id="958" w:name="_Toc67319633"/>
      <w:bookmarkStart w:id="959" w:name="_Toc67382745"/>
      <w:bookmarkStart w:id="960" w:name="_Toc67466304"/>
      <w:bookmarkStart w:id="961" w:name="_Toc68089066"/>
      <w:bookmarkStart w:id="962" w:name="_Toc68107915"/>
      <w:bookmarkStart w:id="963" w:name="_Toc34806372"/>
      <w:bookmarkStart w:id="964" w:name="_Toc34990046"/>
      <w:bookmarkStart w:id="965" w:name="_Toc38901317"/>
      <w:bookmarkStart w:id="966" w:name="_Toc182555235"/>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r>
        <w:t>Evidence Based on Internal Structure</w:t>
      </w:r>
      <w:bookmarkEnd w:id="965"/>
      <w:bookmarkEnd w:id="966"/>
    </w:p>
    <w:p w14:paraId="03BB56E0" w14:textId="77777777" w:rsidR="007C1023" w:rsidRPr="00C34C12" w:rsidRDefault="007C1023" w:rsidP="007C1023">
      <w:pPr>
        <w:keepLines/>
      </w:pPr>
      <w:r w:rsidRPr="00C34C12">
        <w:t>Internal structure evidence evaluates the strength or salience of the major dimensions underlying an assessment using indices of measurement precision such as DIF analysis, test reliability, and SEMs.</w:t>
      </w:r>
    </w:p>
    <w:p w14:paraId="45006E9F" w14:textId="5CDB56C8" w:rsidR="007C1023" w:rsidRPr="00C34C12" w:rsidRDefault="007C1023" w:rsidP="007C1023">
      <w:pPr>
        <w:pStyle w:val="Heading5"/>
        <w:spacing w:after="10"/>
        <w:ind w:left="936" w:hanging="792"/>
      </w:pPr>
      <w:r w:rsidRPr="00C34C12">
        <w:t>D</w:t>
      </w:r>
      <w:r w:rsidR="00C66744">
        <w:t xml:space="preserve">ifferential </w:t>
      </w:r>
      <w:r w:rsidRPr="00C34C12">
        <w:t>I</w:t>
      </w:r>
      <w:r w:rsidR="00C66744">
        <w:t xml:space="preserve">tem </w:t>
      </w:r>
      <w:r w:rsidRPr="00C34C12">
        <w:t>F</w:t>
      </w:r>
      <w:r w:rsidR="00C66744">
        <w:t>unctioning</w:t>
      </w:r>
    </w:p>
    <w:p w14:paraId="3CA099C9" w14:textId="2486A349" w:rsidR="007C1023" w:rsidRPr="00C34C12" w:rsidRDefault="007C1023" w:rsidP="007C1023">
      <w:r w:rsidRPr="00C34C12">
        <w:t xml:space="preserve">DIF analyses </w:t>
      </w:r>
      <w:r w:rsidR="00ED1AD8">
        <w:t>are</w:t>
      </w:r>
      <w:r w:rsidRPr="00C34C12">
        <w:t xml:space="preserve"> conducted to assess differences in the item performance of groups of students who differ in their demographic characteristics. </w:t>
      </w:r>
      <w:r w:rsidRPr="005F0429">
        <w:t xml:space="preserve">Refer to section </w:t>
      </w:r>
      <w:hyperlink w:anchor="_Differential_Item_Functioning" w:history="1">
        <w:r w:rsidRPr="005F0429">
          <w:rPr>
            <w:rStyle w:val="Hyperlink"/>
            <w:i/>
          </w:rPr>
          <w:t>7.5 D</w:t>
        </w:r>
        <w:r w:rsidR="001E0C66" w:rsidRPr="005F0429">
          <w:rPr>
            <w:rStyle w:val="Hyperlink"/>
            <w:i/>
          </w:rPr>
          <w:t xml:space="preserve">ifferential </w:t>
        </w:r>
        <w:r w:rsidRPr="005F0429">
          <w:rPr>
            <w:rStyle w:val="Hyperlink"/>
            <w:i/>
          </w:rPr>
          <w:t>I</w:t>
        </w:r>
        <w:r w:rsidR="001E0C66" w:rsidRPr="005F0429">
          <w:rPr>
            <w:rStyle w:val="Hyperlink"/>
            <w:i/>
          </w:rPr>
          <w:t xml:space="preserve">tem </w:t>
        </w:r>
        <w:r w:rsidRPr="005F0429">
          <w:rPr>
            <w:rStyle w:val="Hyperlink"/>
            <w:i/>
          </w:rPr>
          <w:t>F</w:t>
        </w:r>
        <w:r w:rsidR="001E0C66" w:rsidRPr="005F0429">
          <w:rPr>
            <w:rStyle w:val="Hyperlink"/>
            <w:i/>
          </w:rPr>
          <w:t>unctioning</w:t>
        </w:r>
        <w:r w:rsidRPr="005F0429">
          <w:rPr>
            <w:rStyle w:val="Hyperlink"/>
            <w:i/>
          </w:rPr>
          <w:t xml:space="preserve"> Analyses</w:t>
        </w:r>
      </w:hyperlink>
      <w:r w:rsidRPr="00C34C12">
        <w:t xml:space="preserve"> for a description</w:t>
      </w:r>
      <w:r w:rsidR="001E0C66">
        <w:t xml:space="preserve"> of</w:t>
      </w:r>
      <w:r w:rsidRPr="00C34C12">
        <w:t xml:space="preserve"> the DIF analyses.</w:t>
      </w:r>
    </w:p>
    <w:p w14:paraId="78388D8E" w14:textId="77777777" w:rsidR="007C1023" w:rsidRPr="00C34C12" w:rsidRDefault="007C1023" w:rsidP="007C1023">
      <w:pPr>
        <w:pStyle w:val="Heading5"/>
        <w:spacing w:after="10"/>
        <w:ind w:left="936" w:hanging="792"/>
      </w:pPr>
      <w:r w:rsidRPr="00C34C12">
        <w:t>Overall Reliability Estimates</w:t>
      </w:r>
    </w:p>
    <w:p w14:paraId="2C9B831D" w14:textId="6D0FD0A7" w:rsidR="007C1023" w:rsidRPr="00C34C12" w:rsidRDefault="007C1023" w:rsidP="007C1023">
      <w:r w:rsidRPr="00C34C12">
        <w:t xml:space="preserve">The </w:t>
      </w:r>
      <w:r w:rsidR="00DF26CC">
        <w:t>description</w:t>
      </w:r>
      <w:r w:rsidR="00DF26CC" w:rsidRPr="00C34C12">
        <w:t xml:space="preserve"> </w:t>
      </w:r>
      <w:r w:rsidRPr="00C34C12">
        <w:t xml:space="preserve">of reliability analyses </w:t>
      </w:r>
      <w:r w:rsidR="00DF26CC">
        <w:t>is provided</w:t>
      </w:r>
      <w:r w:rsidRPr="00C34C12">
        <w:t xml:space="preserve"> in section </w:t>
      </w:r>
      <w:hyperlink w:anchor="_Reliability_Analyses" w:history="1">
        <w:r w:rsidRPr="00C34C12">
          <w:rPr>
            <w:rStyle w:val="Hyperlink"/>
            <w:i/>
            <w:iCs/>
          </w:rPr>
          <w:t>7.7 Reliability Analyses</w:t>
        </w:r>
      </w:hyperlink>
      <w:r w:rsidRPr="00C34C12">
        <w:t>.</w:t>
      </w:r>
      <w:r w:rsidRPr="00C34C12" w:rsidDel="00A36BEC">
        <w:t xml:space="preserve"> </w:t>
      </w:r>
      <w:r w:rsidR="00ED1AD8">
        <w:t>However, b</w:t>
      </w:r>
      <w:r w:rsidR="00A36BEC">
        <w:t xml:space="preserve">ecause of the </w:t>
      </w:r>
      <w:r w:rsidR="0010496D">
        <w:t>COVID-19</w:t>
      </w:r>
      <w:r w:rsidR="00A36BEC">
        <w:t xml:space="preserve"> pandemic</w:t>
      </w:r>
      <w:r w:rsidR="0010496D">
        <w:t xml:space="preserve"> and the </w:t>
      </w:r>
      <w:r w:rsidR="00974EC3">
        <w:t>g</w:t>
      </w:r>
      <w:r w:rsidR="00C6463D">
        <w:t>overnor’s order to s</w:t>
      </w:r>
      <w:r w:rsidR="006A28B2">
        <w:t>uspend</w:t>
      </w:r>
      <w:r w:rsidR="00C6463D">
        <w:t xml:space="preserve"> testing on March 18, 2020, no reliability analyses were conducted for the </w:t>
      </w:r>
      <w:r w:rsidR="00C6463D" w:rsidRPr="00C34C12">
        <w:t>201</w:t>
      </w:r>
      <w:r w:rsidR="00C6463D">
        <w:t>9</w:t>
      </w:r>
      <w:r w:rsidR="00C6463D" w:rsidRPr="00C34C12">
        <w:t>–20</w:t>
      </w:r>
      <w:r w:rsidR="00C6463D">
        <w:t xml:space="preserve">20 CAA for Science </w:t>
      </w:r>
      <w:r w:rsidR="00A36BEC">
        <w:t>a</w:t>
      </w:r>
      <w:r w:rsidR="00C6463D">
        <w:t>dministration.</w:t>
      </w:r>
    </w:p>
    <w:p w14:paraId="6501B332" w14:textId="1577F2B9" w:rsidR="007C1023" w:rsidRPr="00C34C12" w:rsidRDefault="007C1023" w:rsidP="007C1023">
      <w:pPr>
        <w:pStyle w:val="Heading5"/>
        <w:spacing w:after="10"/>
        <w:ind w:left="936" w:hanging="792"/>
      </w:pPr>
      <w:r w:rsidRPr="00C34C12">
        <w:t>Student Group</w:t>
      </w:r>
      <w:r w:rsidR="006D487E">
        <w:t>s</w:t>
      </w:r>
      <w:r w:rsidRPr="00C34C12">
        <w:t xml:space="preserve"> Reliability Estimates</w:t>
      </w:r>
    </w:p>
    <w:p w14:paraId="0D445FD5" w14:textId="2E933C4D" w:rsidR="007C1023" w:rsidRPr="00C34C12" w:rsidRDefault="00974EC3" w:rsidP="007C1023">
      <w:r>
        <w:t>Because of the</w:t>
      </w:r>
      <w:r w:rsidR="00537A94">
        <w:t xml:space="preserve"> COVID-19</w:t>
      </w:r>
      <w:r>
        <w:t xml:space="preserve"> pandemic</w:t>
      </w:r>
      <w:r w:rsidR="00537A94">
        <w:t xml:space="preserve"> and the </w:t>
      </w:r>
      <w:r>
        <w:t>g</w:t>
      </w:r>
      <w:r w:rsidR="00537A94">
        <w:t>overnor’s order to s</w:t>
      </w:r>
      <w:r w:rsidR="006A28B2">
        <w:t>uspend</w:t>
      </w:r>
      <w:r w:rsidR="00537A94">
        <w:t xml:space="preserve"> testing on March</w:t>
      </w:r>
      <w:r w:rsidR="006B7850">
        <w:t> </w:t>
      </w:r>
      <w:r w:rsidR="00537A94">
        <w:t>18, 2020, no student group</w:t>
      </w:r>
      <w:r w:rsidR="006D487E">
        <w:t>s</w:t>
      </w:r>
      <w:r w:rsidR="00537A94">
        <w:t xml:space="preserve"> reliability analyses were conducted for the </w:t>
      </w:r>
      <w:r w:rsidR="00537A94" w:rsidRPr="00C34C12">
        <w:t>201</w:t>
      </w:r>
      <w:r w:rsidR="00537A94">
        <w:t>9</w:t>
      </w:r>
      <w:r w:rsidR="00537A94" w:rsidRPr="00C34C12">
        <w:t>–20</w:t>
      </w:r>
      <w:r w:rsidR="00537A94">
        <w:t xml:space="preserve">20 CAA for Science </w:t>
      </w:r>
      <w:r w:rsidR="00915C54">
        <w:t>a</w:t>
      </w:r>
      <w:r w:rsidR="00537A94">
        <w:t>dministration.</w:t>
      </w:r>
    </w:p>
    <w:p w14:paraId="131D199E" w14:textId="20EA87A4" w:rsidR="007C1023" w:rsidRPr="00C34C12" w:rsidRDefault="007C1023" w:rsidP="007C1023">
      <w:pPr>
        <w:pStyle w:val="Heading4"/>
        <w:ind w:left="792" w:hanging="792"/>
      </w:pPr>
      <w:bookmarkStart w:id="967" w:name="_Toc38901318"/>
      <w:bookmarkStart w:id="968" w:name="_Toc182555236"/>
      <w:r>
        <w:t>Evidence Based on Relations to Other Variables</w:t>
      </w:r>
      <w:bookmarkEnd w:id="967"/>
      <w:bookmarkEnd w:id="968"/>
    </w:p>
    <w:p w14:paraId="5E6C6E74" w14:textId="698017B3" w:rsidR="007C1023" w:rsidRPr="00C34C12" w:rsidRDefault="007C1023" w:rsidP="007C1023">
      <w:r w:rsidRPr="00C34C12">
        <w:t xml:space="preserve">Evidence based on </w:t>
      </w:r>
      <w:r w:rsidRPr="00C34C12">
        <w:rPr>
          <w:i/>
          <w:iCs/>
        </w:rPr>
        <w:t xml:space="preserve">relations to other variables </w:t>
      </w:r>
      <w:r w:rsidRPr="00C34C12">
        <w:t>can be evaluated using the correlation between the CAA for Science assessment results and variables related to students. Two variables</w:t>
      </w:r>
      <w:r w:rsidR="00545A6E">
        <w:t xml:space="preserve"> often</w:t>
      </w:r>
      <w:r w:rsidRPr="00C34C12">
        <w:t xml:space="preserve"> analyzed related to the students’ results include the CAAs for E</w:t>
      </w:r>
      <w:r w:rsidR="00805272">
        <w:t>nglish language arts/literacy</w:t>
      </w:r>
      <w:r w:rsidRPr="00C34C12">
        <w:t xml:space="preserve"> and mathematics and the level of student engagement while taking the embedded PTs.</w:t>
      </w:r>
      <w:r w:rsidR="009A75B9">
        <w:t xml:space="preserve"> </w:t>
      </w:r>
      <w:r w:rsidR="00D81C4F">
        <w:t>However, b</w:t>
      </w:r>
      <w:r w:rsidR="00805272">
        <w:t>ecause of</w:t>
      </w:r>
      <w:r w:rsidR="005C49B6">
        <w:t xml:space="preserve"> the small number of students who were able to complete the CAA for</w:t>
      </w:r>
      <w:r w:rsidR="009A75B9">
        <w:t xml:space="preserve"> </w:t>
      </w:r>
      <w:r w:rsidR="005C49B6">
        <w:t xml:space="preserve">Science before testing was stopped in </w:t>
      </w:r>
      <w:r w:rsidR="00805272">
        <w:t>M</w:t>
      </w:r>
      <w:r w:rsidR="005C49B6">
        <w:t xml:space="preserve">arch 2020, </w:t>
      </w:r>
      <w:r w:rsidR="00B87857">
        <w:t>the</w:t>
      </w:r>
      <w:r w:rsidR="005C49B6">
        <w:t xml:space="preserve"> analyses </w:t>
      </w:r>
      <w:r w:rsidR="009A75B9">
        <w:t xml:space="preserve">with other variables </w:t>
      </w:r>
      <w:r w:rsidR="005C49B6">
        <w:t xml:space="preserve">were </w:t>
      </w:r>
      <w:r w:rsidR="009A75B9">
        <w:t xml:space="preserve">not </w:t>
      </w:r>
      <w:r w:rsidR="005C49B6">
        <w:t>conducted</w:t>
      </w:r>
      <w:r w:rsidR="00D81C4F">
        <w:t xml:space="preserve"> after the 2019–2020 administration</w:t>
      </w:r>
      <w:r w:rsidR="00B919DE">
        <w:t>.</w:t>
      </w:r>
    </w:p>
    <w:p w14:paraId="3A6A9FF2" w14:textId="2222C86C" w:rsidR="007C1023" w:rsidRPr="00C34C12" w:rsidRDefault="003F36BD" w:rsidP="00504191">
      <w:pPr>
        <w:keepLines/>
      </w:pPr>
      <w:r>
        <w:t xml:space="preserve">The relationship between </w:t>
      </w:r>
      <w:r w:rsidR="00147684">
        <w:t xml:space="preserve">test engagement and </w:t>
      </w:r>
      <w:r w:rsidR="00FA7F6C">
        <w:t>student’s performance on the CAA for Science can provide</w:t>
      </w:r>
      <w:r w:rsidR="00E31C5B">
        <w:t xml:space="preserve"> additional</w:t>
      </w:r>
      <w:r w:rsidR="00FA7F6C">
        <w:t xml:space="preserve"> information </w:t>
      </w:r>
      <w:r w:rsidR="00110DE8">
        <w:t>on the student’s testing experience</w:t>
      </w:r>
      <w:r w:rsidR="00942EBD">
        <w:t>.</w:t>
      </w:r>
      <w:r w:rsidR="00110DE8">
        <w:t xml:space="preserve"> </w:t>
      </w:r>
      <w:r w:rsidR="007C1023" w:rsidRPr="00C34C12">
        <w:t>The minimal levels of engagement for some students could be related to whether students could access the test content while testing or whether the student had the opportunity to learn the content prior to testing. The student’s familiarity with the content or tasks would also impact the student’s level of engagement. Some students might be more engaged with familiar content, while other students might be more engaged when the content or task is unique (i.e., a novel experience).</w:t>
      </w:r>
    </w:p>
    <w:p w14:paraId="14B6B62C" w14:textId="77777777" w:rsidR="007C1023" w:rsidRPr="00C34C12" w:rsidRDefault="007C1023" w:rsidP="007C1023">
      <w:pPr>
        <w:pStyle w:val="Heading3"/>
        <w:pageBreakBefore/>
        <w:numPr>
          <w:ilvl w:val="0"/>
          <w:numId w:val="0"/>
        </w:numPr>
        <w:ind w:left="360" w:hanging="360"/>
      </w:pPr>
      <w:bookmarkStart w:id="969" w:name="_Toc38901319"/>
      <w:bookmarkStart w:id="970" w:name="_Toc182555237"/>
      <w:bookmarkStart w:id="971" w:name="_Hlk35010478"/>
      <w:r w:rsidRPr="00C34C12">
        <w:lastRenderedPageBreak/>
        <w:t>References</w:t>
      </w:r>
      <w:bookmarkEnd w:id="969"/>
      <w:bookmarkEnd w:id="970"/>
    </w:p>
    <w:p w14:paraId="40776F9B" w14:textId="77777777" w:rsidR="007C1023" w:rsidRPr="00C34C12" w:rsidRDefault="007C1023" w:rsidP="007C1023">
      <w:pPr>
        <w:pStyle w:val="References"/>
      </w:pPr>
      <w:r w:rsidRPr="00C34C12">
        <w:t xml:space="preserve">American Educational Research Association, American Psychological Association, &amp; National Council on Measurement in Education. (2014). </w:t>
      </w:r>
      <w:r w:rsidRPr="00C34C12">
        <w:rPr>
          <w:i/>
          <w:iCs/>
        </w:rPr>
        <w:t xml:space="preserve">Standards for educational and psychological testing. </w:t>
      </w:r>
      <w:r w:rsidRPr="00C34C12">
        <w:t>Washington, DC: American Educational Research Association.</w:t>
      </w:r>
    </w:p>
    <w:p w14:paraId="41015AEF" w14:textId="77777777" w:rsidR="007C1023" w:rsidRPr="00C34C12" w:rsidRDefault="007C1023" w:rsidP="007C1023">
      <w:pPr>
        <w:pStyle w:val="References"/>
      </w:pPr>
      <w:r w:rsidRPr="00CE5B67">
        <w:rPr>
          <w:lang w:val="es-MX"/>
        </w:rPr>
        <w:t xml:space="preserve">Bhola, D. S., Impara, J. C., &amp; Buckendahl, C. W. (2003). </w:t>
      </w:r>
      <w:r w:rsidRPr="00C34C12">
        <w:t xml:space="preserve">Aligning tests with states’ content standards: Methods and issues. </w:t>
      </w:r>
      <w:r w:rsidRPr="00C34C12">
        <w:rPr>
          <w:i/>
          <w:iCs/>
        </w:rPr>
        <w:t>Educational Measurement: Issues and Practice</w:t>
      </w:r>
      <w:r w:rsidRPr="00C34C12">
        <w:rPr>
          <w:i/>
        </w:rPr>
        <w:t>, 22</w:t>
      </w:r>
      <w:r w:rsidRPr="00C34C12">
        <w:t>, 21–‍29.</w:t>
      </w:r>
    </w:p>
    <w:p w14:paraId="6C0A638E" w14:textId="77777777" w:rsidR="007C1023" w:rsidRPr="00C34C12" w:rsidRDefault="007C1023" w:rsidP="007C1023">
      <w:pPr>
        <w:pStyle w:val="References"/>
      </w:pPr>
      <w:r w:rsidRPr="00C34C12">
        <w:t xml:space="preserve">Browne, M. W., &amp; Cudek, R. (1993). Alternative ways of assessing model fit. In K. Bollen &amp; J.S. Long (Eds.) </w:t>
      </w:r>
      <w:r w:rsidRPr="00C34C12">
        <w:rPr>
          <w:i/>
        </w:rPr>
        <w:t xml:space="preserve">Testing structural equation models </w:t>
      </w:r>
      <w:r w:rsidRPr="00C34C12">
        <w:t>(pp. 136-62)</w:t>
      </w:r>
      <w:r w:rsidRPr="00C34C12">
        <w:rPr>
          <w:i/>
        </w:rPr>
        <w:t>.</w:t>
      </w:r>
      <w:r w:rsidRPr="00C34C12">
        <w:t xml:space="preserve"> Newbury Park, CA: Sage Publications.</w:t>
      </w:r>
    </w:p>
    <w:p w14:paraId="659A2B88" w14:textId="77777777" w:rsidR="007C1023" w:rsidRPr="00C34C12" w:rsidRDefault="007C1023" w:rsidP="007C1023">
      <w:pPr>
        <w:pStyle w:val="References"/>
      </w:pPr>
      <w:r w:rsidRPr="00C34C12">
        <w:t xml:space="preserve">Cai, L. (2016). FlexMIRT®: </w:t>
      </w:r>
      <w:r w:rsidRPr="00C34C12">
        <w:rPr>
          <w:i/>
        </w:rPr>
        <w:t xml:space="preserve">Flexible multilevel, multidimensional item analysis and test scoring </w:t>
      </w:r>
      <w:r w:rsidRPr="00C34C12">
        <w:t xml:space="preserve">(Version 3.5) [computer software]. Chapel Hill, NC: Vector Psychometric Group. </w:t>
      </w:r>
    </w:p>
    <w:p w14:paraId="6684DE70" w14:textId="413FA5BF" w:rsidR="007C1023" w:rsidRPr="00C34C12" w:rsidRDefault="007C1023" w:rsidP="007C1023">
      <w:pPr>
        <w:pStyle w:val="References"/>
      </w:pPr>
      <w:r w:rsidRPr="00C34C12">
        <w:t xml:space="preserve">California Department of Education. (2018a). </w:t>
      </w:r>
      <w:r w:rsidRPr="00C34C12">
        <w:rPr>
          <w:i/>
        </w:rPr>
        <w:t>California Alternate Assessment for Science blueprint</w:t>
      </w:r>
      <w:r w:rsidRPr="00C34C12">
        <w:t xml:space="preserve">. Sacramento, CA: California Department of Education. </w:t>
      </w:r>
    </w:p>
    <w:p w14:paraId="12566D52" w14:textId="1F08B586" w:rsidR="007C1023" w:rsidRPr="00C34C12" w:rsidRDefault="007C1023" w:rsidP="007C1023">
      <w:pPr>
        <w:pStyle w:val="References"/>
      </w:pPr>
      <w:r w:rsidRPr="00C34C12">
        <w:t xml:space="preserve">California Department of Education. (2018b). </w:t>
      </w:r>
      <w:r w:rsidRPr="00C34C12">
        <w:rPr>
          <w:i/>
          <w:iCs/>
        </w:rPr>
        <w:t>California Next Generation Science Standards Core Content Connectors for Alternate Assessments.</w:t>
      </w:r>
      <w:r w:rsidRPr="00C34C12">
        <w:t xml:space="preserve"> Sacramento, CA: California Department of Education. </w:t>
      </w:r>
    </w:p>
    <w:p w14:paraId="18AC9538" w14:textId="77777777" w:rsidR="007C1023" w:rsidRPr="00C34C12" w:rsidRDefault="007C1023" w:rsidP="007C1023">
      <w:pPr>
        <w:pStyle w:val="References"/>
      </w:pPr>
      <w:r w:rsidRPr="00C34C12">
        <w:t xml:space="preserve">Crocker, L. &amp; Algina, J. (1986). </w:t>
      </w:r>
      <w:r w:rsidRPr="00C34C12">
        <w:rPr>
          <w:i/>
        </w:rPr>
        <w:t>Introduction to classical and modern test theory</w:t>
      </w:r>
      <w:r w:rsidRPr="00C34C12">
        <w:t>. New York, NY: Holt.</w:t>
      </w:r>
    </w:p>
    <w:p w14:paraId="2FE54230" w14:textId="77777777" w:rsidR="007C1023" w:rsidRPr="00C34C12" w:rsidRDefault="007C1023" w:rsidP="007C1023">
      <w:pPr>
        <w:pStyle w:val="References"/>
      </w:pPr>
      <w:r w:rsidRPr="00C34C12">
        <w:t xml:space="preserve">Crocker, L. M., Miller, D., &amp; Franks, E. A. (1989). Quantitative methods for assessing the fit between test and curriculum. </w:t>
      </w:r>
      <w:r w:rsidRPr="00C34C12">
        <w:rPr>
          <w:i/>
        </w:rPr>
        <w:t>Applied Measurement in Education, 2</w:t>
      </w:r>
      <w:r w:rsidRPr="00C34C12">
        <w:t>, 179–94.</w:t>
      </w:r>
    </w:p>
    <w:p w14:paraId="0928F1CD" w14:textId="77777777" w:rsidR="007C1023" w:rsidRPr="00C34C12" w:rsidRDefault="007C1023" w:rsidP="007C1023">
      <w:pPr>
        <w:pStyle w:val="References"/>
      </w:pPr>
      <w:r w:rsidRPr="00C34C12">
        <w:t xml:space="preserve">Cronbach, L. J. (1951). Coefficient alpha and the internal structure of tests. </w:t>
      </w:r>
      <w:r w:rsidRPr="00C34C12">
        <w:rPr>
          <w:i/>
        </w:rPr>
        <w:t>Psychometrika, 16</w:t>
      </w:r>
      <w:r w:rsidRPr="00C34C12">
        <w:t>(3), 297–334.</w:t>
      </w:r>
    </w:p>
    <w:p w14:paraId="02D0E818" w14:textId="77777777" w:rsidR="007C1023" w:rsidRPr="00C34C12" w:rsidRDefault="007C1023" w:rsidP="007C1023">
      <w:pPr>
        <w:pStyle w:val="References"/>
        <w:rPr>
          <w:rFonts w:eastAsiaTheme="minorEastAsia"/>
          <w:lang w:eastAsia="ko-KR"/>
        </w:rPr>
      </w:pPr>
      <w:r w:rsidRPr="00C34C12">
        <w:rPr>
          <w:rFonts w:eastAsiaTheme="minorEastAsia"/>
          <w:lang w:eastAsia="ko-KR"/>
        </w:rPr>
        <w:t xml:space="preserve">Cronbach, L. J. (1971). Test validation. In R. L. Thorndike (Ed.), </w:t>
      </w:r>
      <w:r w:rsidRPr="00C34C12">
        <w:rPr>
          <w:rFonts w:eastAsiaTheme="minorEastAsia"/>
          <w:i/>
          <w:lang w:eastAsia="ko-KR"/>
        </w:rPr>
        <w:t xml:space="preserve">Educational measurement </w:t>
      </w:r>
      <w:r w:rsidRPr="00C34C12">
        <w:rPr>
          <w:rFonts w:eastAsiaTheme="minorEastAsia"/>
          <w:lang w:eastAsia="ko-KR"/>
        </w:rPr>
        <w:t>(2nd ed.). Washington, DC: American Council on Education.</w:t>
      </w:r>
    </w:p>
    <w:p w14:paraId="2364910D" w14:textId="77777777" w:rsidR="007C1023" w:rsidRPr="00C34C12" w:rsidRDefault="007C1023" w:rsidP="007C1023">
      <w:pPr>
        <w:pStyle w:val="References"/>
        <w:rPr>
          <w:color w:val="333333"/>
        </w:rPr>
      </w:pPr>
      <w:r w:rsidRPr="00C34C12">
        <w:rPr>
          <w:color w:val="auto"/>
        </w:rPr>
        <w:t xml:space="preserve">Dorans, N. J. (2013). ETS contributions to the quantitative assessment of item, test, and score fairness. </w:t>
      </w:r>
      <w:r w:rsidRPr="00C34C12">
        <w:rPr>
          <w:i/>
          <w:iCs/>
          <w:color w:val="auto"/>
        </w:rPr>
        <w:t>ETS Research Report Series</w:t>
      </w:r>
      <w:r w:rsidRPr="00C34C12">
        <w:rPr>
          <w:color w:val="auto"/>
        </w:rPr>
        <w:t>, i–38.</w:t>
      </w:r>
    </w:p>
    <w:p w14:paraId="641D5945" w14:textId="77777777" w:rsidR="007C1023" w:rsidRPr="00C34C12" w:rsidRDefault="007C1023" w:rsidP="007C1023">
      <w:pPr>
        <w:pStyle w:val="References"/>
      </w:pPr>
      <w:r w:rsidRPr="00C34C12">
        <w:t xml:space="preserve">Dorans, N. J., &amp; Holland, P. W. (1993). DIF detection and description: Mantel-Haenszel and standardization. In P. W. Holland &amp; H. Wainer (Eds.), </w:t>
      </w:r>
      <w:r w:rsidRPr="00C34C12">
        <w:rPr>
          <w:i/>
        </w:rPr>
        <w:t xml:space="preserve">Differential item functioning </w:t>
      </w:r>
      <w:r w:rsidRPr="00C34C12">
        <w:t>(pp. 35–66). Hillsdale, NJ: Lawrence Erlbaum Associates, Inc.</w:t>
      </w:r>
    </w:p>
    <w:p w14:paraId="54F689BA" w14:textId="77777777" w:rsidR="007C1023" w:rsidRPr="00C34C12" w:rsidRDefault="007C1023" w:rsidP="007C1023">
      <w:pPr>
        <w:pStyle w:val="References"/>
      </w:pPr>
      <w:r w:rsidRPr="00C34C12">
        <w:t xml:space="preserve">Dorans, N. J., &amp; Schmitt, A. P. (1993). Constructed response and differential item functioning: A pragmatic approach. In R. E. Bennett &amp; W. C. Ward (Eds.), </w:t>
      </w:r>
      <w:r w:rsidRPr="00C34C12">
        <w:rPr>
          <w:i/>
        </w:rPr>
        <w:t>Construction versus choice in cognitive measurement</w:t>
      </w:r>
      <w:r w:rsidRPr="00C34C12">
        <w:t xml:space="preserve"> (pp. 135–65). Hillsdale, NH: Lawrence Erlbaum Associates, Inc.</w:t>
      </w:r>
    </w:p>
    <w:p w14:paraId="110E805C" w14:textId="77777777" w:rsidR="007C1023" w:rsidRPr="00C34C12" w:rsidRDefault="007C1023" w:rsidP="007C1023">
      <w:pPr>
        <w:pStyle w:val="References"/>
      </w:pPr>
      <w:r w:rsidRPr="00C34C12">
        <w:t xml:space="preserve">Educational Testing Service. (2014). </w:t>
      </w:r>
      <w:r w:rsidRPr="00C34C12">
        <w:rPr>
          <w:i/>
          <w:iCs/>
        </w:rPr>
        <w:t xml:space="preserve">ETS standards for quality and fairness. </w:t>
      </w:r>
      <w:r w:rsidRPr="00C34C12">
        <w:t>Princeton, NJ: Educational Testing Service.</w:t>
      </w:r>
    </w:p>
    <w:p w14:paraId="745F1073" w14:textId="77777777" w:rsidR="007C1023" w:rsidRPr="00C34C12" w:rsidRDefault="007C1023" w:rsidP="007C1023">
      <w:pPr>
        <w:pStyle w:val="References"/>
      </w:pPr>
      <w:r w:rsidRPr="00C34C12">
        <w:t>Embretson (Whitley), S. (1983). Construct validity: construct representation versus nomothetic span. Psychological Bulletin, 93, 179–97.</w:t>
      </w:r>
    </w:p>
    <w:p w14:paraId="7E071378" w14:textId="77777777" w:rsidR="007C1023" w:rsidRPr="00C34C12" w:rsidRDefault="007C1023" w:rsidP="007C1023">
      <w:pPr>
        <w:pStyle w:val="References"/>
      </w:pPr>
      <w:r w:rsidRPr="00C34C12">
        <w:lastRenderedPageBreak/>
        <w:t xml:space="preserve">Feldt, L.S., &amp; Brennan, R. L. (1989). Reliability. In R. L. Linn (Ed). </w:t>
      </w:r>
      <w:r w:rsidRPr="00C34C12">
        <w:rPr>
          <w:i/>
          <w:iCs/>
        </w:rPr>
        <w:t>Educational Measurement</w:t>
      </w:r>
      <w:r w:rsidRPr="00C34C12">
        <w:t xml:space="preserve"> (3rd Edition), (pp 105–46). Phoenix, AZ: Oryx Press.</w:t>
      </w:r>
    </w:p>
    <w:p w14:paraId="67FE80F5" w14:textId="77777777" w:rsidR="007C1023" w:rsidRPr="00C34C12" w:rsidRDefault="007C1023" w:rsidP="007C1023">
      <w:pPr>
        <w:pStyle w:val="References"/>
      </w:pPr>
      <w:r w:rsidRPr="00C34C12">
        <w:t>Hambleton, R. K., Swaminathan, H., &amp; Rogers, H. J. (1991). </w:t>
      </w:r>
      <w:r w:rsidRPr="00C34C12">
        <w:rPr>
          <w:i/>
          <w:iCs/>
        </w:rPr>
        <w:t>Fundamentals of item response theory</w:t>
      </w:r>
      <w:r w:rsidRPr="00C34C12">
        <w:t>. Newbury Park, CA: Sage Publications.</w:t>
      </w:r>
    </w:p>
    <w:p w14:paraId="29A62D9E" w14:textId="77777777" w:rsidR="007C1023" w:rsidRPr="00C34C12" w:rsidRDefault="007C1023" w:rsidP="007C1023">
      <w:pPr>
        <w:pStyle w:val="References"/>
      </w:pPr>
      <w:r w:rsidRPr="00C34C12">
        <w:t xml:space="preserve">Hanson, B. A., &amp; </w:t>
      </w:r>
      <w:proofErr w:type="spellStart"/>
      <w:r w:rsidRPr="00C34C12">
        <w:t>Béguin</w:t>
      </w:r>
      <w:proofErr w:type="spellEnd"/>
      <w:r w:rsidRPr="00C34C12">
        <w:t xml:space="preserve">, A. A. (2002). Obtaining a common scale for item response theory item parameters using separate versus concurrent estimation in the common item equating design. </w:t>
      </w:r>
      <w:r w:rsidRPr="00C34C12">
        <w:rPr>
          <w:i/>
        </w:rPr>
        <w:t>Applied Psychological Measurement, 26</w:t>
      </w:r>
      <w:r w:rsidRPr="00C34C12">
        <w:t>, 3–24.</w:t>
      </w:r>
    </w:p>
    <w:p w14:paraId="6730CE7A" w14:textId="77777777" w:rsidR="007C1023" w:rsidRPr="00C34C12" w:rsidRDefault="007C1023" w:rsidP="007C1023">
      <w:pPr>
        <w:pStyle w:val="References"/>
      </w:pPr>
      <w:r w:rsidRPr="00C34C12">
        <w:t xml:space="preserve">Holland, P., &amp; Thayer, D. T. (1988). Differential item performance and the Mantel-Haenszel procedure. In H. Wainer &amp; H. Braun (Eds.), </w:t>
      </w:r>
      <w:r w:rsidRPr="00C34C12">
        <w:rPr>
          <w:i/>
        </w:rPr>
        <w:t>Test validity</w:t>
      </w:r>
      <w:r w:rsidRPr="00C34C12">
        <w:t xml:space="preserve"> (pp. 129–145). Hillsdale, NJ: Lawrence Erlbaum Associates.</w:t>
      </w:r>
    </w:p>
    <w:p w14:paraId="566E147B" w14:textId="77777777" w:rsidR="007C1023" w:rsidRPr="00C34C12" w:rsidRDefault="007C1023" w:rsidP="007C1023">
      <w:pPr>
        <w:pStyle w:val="References"/>
      </w:pPr>
      <w:r w:rsidRPr="00C34C12">
        <w:t xml:space="preserve">Holland, P. W., &amp; Thayer, D. T. (1985). </w:t>
      </w:r>
      <w:r w:rsidRPr="00C34C12">
        <w:rPr>
          <w:i/>
        </w:rPr>
        <w:t xml:space="preserve">An alternative definition of the ETS delta scale of item difficulty </w:t>
      </w:r>
      <w:r w:rsidRPr="00C34C12">
        <w:t>(Research Report 85–43). Princeton, NJ: Educational Testing Service.</w:t>
      </w:r>
    </w:p>
    <w:p w14:paraId="58149DAE" w14:textId="77777777" w:rsidR="007C1023" w:rsidRPr="00C34C12" w:rsidRDefault="007C1023" w:rsidP="007C1023">
      <w:pPr>
        <w:pStyle w:val="References"/>
      </w:pPr>
      <w:r w:rsidRPr="00C34C12">
        <w:t xml:space="preserve">Kane, M. (2006). Validation. In R. L. Brennan (Ed.), </w:t>
      </w:r>
      <w:r w:rsidRPr="00C34C12">
        <w:rPr>
          <w:i/>
          <w:iCs/>
        </w:rPr>
        <w:t xml:space="preserve">Educational measurement </w:t>
      </w:r>
      <w:r w:rsidRPr="00C34C12">
        <w:t>(4th ed., pp. 17–64). Washington, DC: American Council on Education and Praeger.</w:t>
      </w:r>
    </w:p>
    <w:p w14:paraId="44AC890C" w14:textId="77777777" w:rsidR="007C1023" w:rsidRPr="00C34C12" w:rsidRDefault="007C1023" w:rsidP="007C1023">
      <w:pPr>
        <w:pStyle w:val="References"/>
      </w:pPr>
      <w:r w:rsidRPr="00C34C12">
        <w:t xml:space="preserve">Kim, S. H., &amp; Cohen, A. S. (1998). A comparison of linking and concurrent calibration under item response theory. </w:t>
      </w:r>
      <w:r w:rsidRPr="00C34C12">
        <w:rPr>
          <w:i/>
        </w:rPr>
        <w:t>Applied Psychological Measurement, 22</w:t>
      </w:r>
      <w:r w:rsidRPr="00C34C12">
        <w:t>, 131–143.</w:t>
      </w:r>
    </w:p>
    <w:p w14:paraId="2A1268A7" w14:textId="77777777" w:rsidR="007C1023" w:rsidRPr="00C34C12" w:rsidRDefault="007C1023" w:rsidP="007C1023">
      <w:pPr>
        <w:pStyle w:val="References"/>
      </w:pPr>
      <w:r w:rsidRPr="00C34C12">
        <w:t xml:space="preserve">Lord, F. M. &amp; Novick, M. R. (1968). </w:t>
      </w:r>
      <w:r w:rsidRPr="00C34C12">
        <w:rPr>
          <w:i/>
          <w:iCs/>
        </w:rPr>
        <w:t>Statistical theories of mental test scores.</w:t>
      </w:r>
      <w:r w:rsidRPr="00C34C12">
        <w:t xml:space="preserve"> Reading, MA: Addison-Wesley Publishing Company.</w:t>
      </w:r>
    </w:p>
    <w:p w14:paraId="1F459999" w14:textId="77777777" w:rsidR="007C1023" w:rsidRPr="00C34C12" w:rsidRDefault="007C1023" w:rsidP="007C1023">
      <w:pPr>
        <w:pStyle w:val="References"/>
        <w:rPr>
          <w:color w:val="1F497D"/>
        </w:rPr>
      </w:pPr>
      <w:r w:rsidRPr="00C34C12">
        <w:t xml:space="preserve">Mantel, N. (1963). Chi-square tests with one degree of freedom: Extensions of the Mantel-Haenszel procedure. </w:t>
      </w:r>
      <w:r w:rsidRPr="00C34C12">
        <w:rPr>
          <w:i/>
          <w:iCs/>
        </w:rPr>
        <w:t>Journal of the American Statistical Association</w:t>
      </w:r>
      <w:r w:rsidRPr="00C34C12">
        <w:t xml:space="preserve">, </w:t>
      </w:r>
      <w:r w:rsidRPr="00C34C12">
        <w:rPr>
          <w:i/>
        </w:rPr>
        <w:t>58</w:t>
      </w:r>
      <w:r w:rsidRPr="00C34C12">
        <w:t>, 690–700.</w:t>
      </w:r>
    </w:p>
    <w:p w14:paraId="4C224EA2" w14:textId="77777777" w:rsidR="007C1023" w:rsidRPr="00C34C12" w:rsidRDefault="007C1023" w:rsidP="007C1023">
      <w:pPr>
        <w:pStyle w:val="References"/>
      </w:pPr>
      <w:r w:rsidRPr="00C34C12">
        <w:t xml:space="preserve">Mantel, N. &amp; Haenszel, W. (1959). Statistical aspects of the analyses of data from retrospective studies of disease. </w:t>
      </w:r>
      <w:r w:rsidRPr="00C34C12">
        <w:rPr>
          <w:i/>
        </w:rPr>
        <w:t>Journal of the National Cancer Institute,</w:t>
      </w:r>
      <w:r w:rsidRPr="00C34C12">
        <w:t xml:space="preserve"> </w:t>
      </w:r>
      <w:r w:rsidRPr="00C34C12">
        <w:rPr>
          <w:i/>
        </w:rPr>
        <w:t>22</w:t>
      </w:r>
      <w:r w:rsidRPr="00C34C12">
        <w:t>, 719–48.</w:t>
      </w:r>
    </w:p>
    <w:p w14:paraId="5B2F84B3" w14:textId="77777777" w:rsidR="007C1023" w:rsidRPr="00C34C12" w:rsidRDefault="007C1023" w:rsidP="007C1023">
      <w:pPr>
        <w:pStyle w:val="References"/>
      </w:pPr>
      <w:r w:rsidRPr="00C34C12">
        <w:t xml:space="preserve">Martone, A., &amp; Sireci, S. G. (2009). Evaluating alignment between curriculum, assessments, and instruction. </w:t>
      </w:r>
      <w:r w:rsidRPr="00C34C12">
        <w:rPr>
          <w:i/>
          <w:iCs/>
        </w:rPr>
        <w:t>Review of Educational Research, 4</w:t>
      </w:r>
      <w:r w:rsidRPr="00C34C12">
        <w:t>, 1332–61.</w:t>
      </w:r>
    </w:p>
    <w:p w14:paraId="4902BDCA" w14:textId="77777777" w:rsidR="007C1023" w:rsidRPr="00C34C12" w:rsidRDefault="007C1023" w:rsidP="007C1023">
      <w:pPr>
        <w:pStyle w:val="References"/>
      </w:pPr>
      <w:r w:rsidRPr="00C34C12">
        <w:t>Masters, G. N. (1982). A Rasch model for partial credit scoring. </w:t>
      </w:r>
      <w:r w:rsidRPr="00C34C12">
        <w:rPr>
          <w:i/>
        </w:rPr>
        <w:t>Psychometrika, 47</w:t>
      </w:r>
      <w:r w:rsidRPr="00C34C12">
        <w:t>(2), 149–‍174.</w:t>
      </w:r>
    </w:p>
    <w:p w14:paraId="0937C467" w14:textId="77777777" w:rsidR="007C1023" w:rsidRPr="00C34C12" w:rsidRDefault="007C1023" w:rsidP="007C1023">
      <w:pPr>
        <w:pStyle w:val="References"/>
      </w:pPr>
      <w:r w:rsidRPr="00C34C12">
        <w:t xml:space="preserve">Messick, S. (1989). Validity. In R. Linn (Ed.), </w:t>
      </w:r>
      <w:r w:rsidRPr="00C34C12">
        <w:rPr>
          <w:i/>
        </w:rPr>
        <w:t>Educational measurement</w:t>
      </w:r>
      <w:r w:rsidRPr="00C34C12">
        <w:t xml:space="preserve"> (3rd ed.). Washington, DC: American Council on Education.</w:t>
      </w:r>
    </w:p>
    <w:p w14:paraId="3B766AFA" w14:textId="77777777" w:rsidR="007C1023" w:rsidRPr="00C34C12" w:rsidRDefault="007C1023" w:rsidP="007C1023">
      <w:pPr>
        <w:pStyle w:val="References"/>
      </w:pPr>
      <w:r w:rsidRPr="00C34C12">
        <w:t xml:space="preserve">Muraki, E. (1992). A generalized partial credit model: Application of an EM algorithm. </w:t>
      </w:r>
      <w:r w:rsidRPr="00C34C12">
        <w:rPr>
          <w:i/>
        </w:rPr>
        <w:t>Applied Psychological Measurement, 16</w:t>
      </w:r>
      <w:r w:rsidRPr="00C34C12">
        <w:t>(2): 159–76.</w:t>
      </w:r>
    </w:p>
    <w:p w14:paraId="2377B260" w14:textId="77777777" w:rsidR="007C1023" w:rsidRPr="00C34C12" w:rsidRDefault="007C1023" w:rsidP="007C1023">
      <w:pPr>
        <w:pStyle w:val="References"/>
      </w:pPr>
      <w:r w:rsidRPr="00C34C12">
        <w:t xml:space="preserve">Rothman, R., Slattery, J. B., Vranek, J. L., &amp; Resnick, L. B. (2002). </w:t>
      </w:r>
      <w:r w:rsidRPr="00C34C12">
        <w:rPr>
          <w:i/>
          <w:iCs/>
        </w:rPr>
        <w:t xml:space="preserve">Benchmarking and alignment of standards and testing </w:t>
      </w:r>
      <w:r w:rsidRPr="00C34C12">
        <w:t>[Technical Report 566]. Washington, DC: Center for the Study of Evaluation.</w:t>
      </w:r>
    </w:p>
    <w:p w14:paraId="4202CC6A" w14:textId="77777777" w:rsidR="007C1023" w:rsidRPr="00C34C12" w:rsidRDefault="007C1023" w:rsidP="007C1023">
      <w:pPr>
        <w:pStyle w:val="References"/>
      </w:pPr>
      <w:r w:rsidRPr="00C34C12">
        <w:t xml:space="preserve">Sireci, S. G. (1998). Gathering and analyzing content validity data. </w:t>
      </w:r>
      <w:r w:rsidRPr="00C34C12">
        <w:rPr>
          <w:i/>
          <w:iCs/>
        </w:rPr>
        <w:t>Educational Assessment</w:t>
      </w:r>
      <w:r w:rsidRPr="00C34C12">
        <w:rPr>
          <w:i/>
        </w:rPr>
        <w:t>, 5</w:t>
      </w:r>
      <w:r w:rsidRPr="00C34C12">
        <w:t>, 299–321.</w:t>
      </w:r>
    </w:p>
    <w:p w14:paraId="0068D98D" w14:textId="77777777" w:rsidR="007C1023" w:rsidRPr="00C34C12" w:rsidRDefault="007C1023" w:rsidP="007C1023">
      <w:pPr>
        <w:pStyle w:val="References"/>
      </w:pPr>
      <w:r w:rsidRPr="00C34C12">
        <w:t xml:space="preserve">Zwick, R., Thayer, D. T., &amp; Mazzeo, J. (1997). Descriptive and inferential procedures for assessing differential item functioning in polytomous items. </w:t>
      </w:r>
      <w:r w:rsidRPr="00C34C12">
        <w:rPr>
          <w:i/>
        </w:rPr>
        <w:t>Applied Measurement in Education, 10</w:t>
      </w:r>
      <w:r w:rsidRPr="00C34C12">
        <w:t>(4), 321–44.</w:t>
      </w:r>
    </w:p>
    <w:p w14:paraId="60139E18" w14:textId="77777777" w:rsidR="007C1023" w:rsidRPr="00C34C12" w:rsidRDefault="007C1023" w:rsidP="007C1023">
      <w:pPr>
        <w:pStyle w:val="Heading3"/>
        <w:pageBreakBefore/>
        <w:numPr>
          <w:ilvl w:val="0"/>
          <w:numId w:val="0"/>
        </w:numPr>
        <w:ind w:left="360" w:hanging="360"/>
      </w:pPr>
      <w:bookmarkStart w:id="972" w:name="_Toc511570788"/>
      <w:bookmarkStart w:id="973" w:name="_Toc38901320"/>
      <w:bookmarkStart w:id="974" w:name="_Toc182555238"/>
      <w:bookmarkEnd w:id="971"/>
      <w:r w:rsidRPr="00C34C12">
        <w:lastRenderedPageBreak/>
        <w:t>Accessibility Information</w:t>
      </w:r>
      <w:bookmarkEnd w:id="972"/>
      <w:bookmarkEnd w:id="973"/>
      <w:bookmarkEnd w:id="974"/>
    </w:p>
    <w:p w14:paraId="6BA4E418" w14:textId="77777777" w:rsidR="007C1023" w:rsidRPr="00C34C12" w:rsidRDefault="007C1023" w:rsidP="007C1023">
      <w:pPr>
        <w:pStyle w:val="Heading4"/>
        <w:numPr>
          <w:ilvl w:val="0"/>
          <w:numId w:val="0"/>
        </w:numPr>
        <w:ind w:left="792" w:hanging="792"/>
      </w:pPr>
      <w:bookmarkStart w:id="975" w:name="_Alternative_Text_for"/>
      <w:bookmarkStart w:id="976" w:name="_Toc511570789"/>
      <w:bookmarkStart w:id="977" w:name="_Toc38901321"/>
      <w:bookmarkStart w:id="978" w:name="_Toc182555239"/>
      <w:bookmarkEnd w:id="975"/>
      <w:r w:rsidRPr="00C34C12">
        <w:t>Alternative Text for Equation 7.1</w:t>
      </w:r>
      <w:bookmarkEnd w:id="976"/>
      <w:bookmarkEnd w:id="977"/>
      <w:bookmarkEnd w:id="978"/>
    </w:p>
    <w:p w14:paraId="2FCF63B5" w14:textId="781CABEF" w:rsidR="007C1023" w:rsidRPr="00C34C12" w:rsidRDefault="007C1023" w:rsidP="007C1023">
      <w:r w:rsidRPr="00C34C12">
        <w:t xml:space="preserve">P value sub dich equals the fraction with the numerator the sum of X sub </w:t>
      </w:r>
      <w:proofErr w:type="spellStart"/>
      <w:r w:rsidRPr="00C34C12">
        <w:t>ij</w:t>
      </w:r>
      <w:proofErr w:type="spellEnd"/>
      <w:r w:rsidRPr="00C34C12">
        <w:t xml:space="preserve"> and the denominator N sub I end fraction.</w:t>
      </w:r>
      <w:r w:rsidR="000909AF" w:rsidRPr="000909AF">
        <w:t xml:space="preserve"> </w:t>
      </w:r>
      <w:r w:rsidR="000909AF" w:rsidRPr="00042E7A">
        <w:rPr>
          <w:i/>
          <w:iCs/>
        </w:rPr>
        <w:t xml:space="preserve">(Return to </w:t>
      </w:r>
      <w:hyperlink w:anchor="EQ7_1" w:history="1">
        <w:r w:rsidR="000909AF" w:rsidRPr="00807C6E">
          <w:rPr>
            <w:rStyle w:val="Hyperlink"/>
            <w:i/>
            <w:iCs/>
          </w:rPr>
          <w:t xml:space="preserve">equation </w:t>
        </w:r>
        <w:r w:rsidR="00042E7A" w:rsidRPr="00807C6E">
          <w:rPr>
            <w:rStyle w:val="Hyperlink"/>
            <w:i/>
            <w:iCs/>
          </w:rPr>
          <w:t>7.1</w:t>
        </w:r>
      </w:hyperlink>
      <w:r w:rsidR="000909AF" w:rsidRPr="00042E7A">
        <w:rPr>
          <w:i/>
          <w:iCs/>
        </w:rPr>
        <w:t>.)</w:t>
      </w:r>
    </w:p>
    <w:p w14:paraId="4230DB50" w14:textId="77777777" w:rsidR="007C1023" w:rsidRPr="00C34C12" w:rsidRDefault="007C1023" w:rsidP="007C1023">
      <w:pPr>
        <w:pStyle w:val="Heading4"/>
        <w:numPr>
          <w:ilvl w:val="0"/>
          <w:numId w:val="0"/>
        </w:numPr>
        <w:ind w:left="792" w:hanging="792"/>
      </w:pPr>
      <w:bookmarkStart w:id="979" w:name="_Alternative_Text_for_1"/>
      <w:bookmarkStart w:id="980" w:name="_Toc511570790"/>
      <w:bookmarkStart w:id="981" w:name="_Toc38901322"/>
      <w:bookmarkStart w:id="982" w:name="_Toc182555240"/>
      <w:bookmarkEnd w:id="979"/>
      <w:r w:rsidRPr="00C34C12">
        <w:t>Alternative Text for Equation 7.2</w:t>
      </w:r>
      <w:bookmarkEnd w:id="980"/>
      <w:bookmarkEnd w:id="981"/>
      <w:bookmarkEnd w:id="982"/>
    </w:p>
    <w:p w14:paraId="675A6D9E" w14:textId="2DD4F901" w:rsidR="007C1023" w:rsidRPr="00C34C12" w:rsidRDefault="007C1023" w:rsidP="007C1023">
      <w:r w:rsidRPr="00C34C12">
        <w:t xml:space="preserve">P value sub poly equals the fraction with the numerator X sub </w:t>
      </w:r>
      <w:proofErr w:type="spellStart"/>
      <w:r w:rsidRPr="00C34C12">
        <w:t>ij</w:t>
      </w:r>
      <w:proofErr w:type="spellEnd"/>
      <w:r w:rsidRPr="00C34C12">
        <w:t xml:space="preserve"> and the denominator N sub i times Max of X sub I end fraction.</w:t>
      </w:r>
      <w:r w:rsidR="00D26E0B" w:rsidRPr="000909AF">
        <w:t xml:space="preserve"> </w:t>
      </w:r>
      <w:r w:rsidR="00D26E0B" w:rsidRPr="00042E7A">
        <w:rPr>
          <w:i/>
          <w:iCs/>
        </w:rPr>
        <w:t xml:space="preserve">(Return to </w:t>
      </w:r>
      <w:hyperlink w:anchor="EQ7_2" w:history="1">
        <w:r w:rsidR="00D26E0B" w:rsidRPr="00807C6E">
          <w:rPr>
            <w:rStyle w:val="Hyperlink"/>
            <w:i/>
            <w:iCs/>
          </w:rPr>
          <w:t>equation 7.2</w:t>
        </w:r>
      </w:hyperlink>
      <w:r w:rsidR="00D26E0B" w:rsidRPr="00042E7A">
        <w:rPr>
          <w:i/>
          <w:iCs/>
        </w:rPr>
        <w:t>.)</w:t>
      </w:r>
    </w:p>
    <w:p w14:paraId="132C3346" w14:textId="77777777" w:rsidR="007C1023" w:rsidRPr="00C34C12" w:rsidRDefault="007C1023" w:rsidP="007C1023">
      <w:pPr>
        <w:pStyle w:val="Heading4"/>
        <w:numPr>
          <w:ilvl w:val="0"/>
          <w:numId w:val="0"/>
        </w:numPr>
        <w:ind w:left="792" w:hanging="792"/>
      </w:pPr>
      <w:bookmarkStart w:id="983" w:name="_Alternative_Text_for_2"/>
      <w:bookmarkStart w:id="984" w:name="_Toc511570791"/>
      <w:bookmarkStart w:id="985" w:name="_Toc38901323"/>
      <w:bookmarkStart w:id="986" w:name="_Toc182555241"/>
      <w:bookmarkEnd w:id="983"/>
      <w:r w:rsidRPr="00C34C12">
        <w:t>Alternative Text for Equation 7.3</w:t>
      </w:r>
      <w:bookmarkEnd w:id="984"/>
      <w:bookmarkEnd w:id="985"/>
      <w:bookmarkEnd w:id="986"/>
    </w:p>
    <w:p w14:paraId="21B7B4FC" w14:textId="5758B5A1" w:rsidR="007C1023" w:rsidRPr="00C34C12" w:rsidRDefault="007C1023" w:rsidP="007C1023">
      <w:r w:rsidRPr="00C34C12">
        <w:t xml:space="preserve">r sub </w:t>
      </w:r>
      <w:proofErr w:type="spellStart"/>
      <w:r w:rsidRPr="00C34C12">
        <w:t>polyreg</w:t>
      </w:r>
      <w:proofErr w:type="spellEnd"/>
      <w:r w:rsidRPr="00C34C12">
        <w:t xml:space="preserve"> equals the fraction beta sub hat times S tot divided by the square root of Beta sub hat squared times s sub tot squared plus 1.</w:t>
      </w:r>
      <w:r w:rsidR="00D26E0B" w:rsidRPr="000909AF">
        <w:t xml:space="preserve"> </w:t>
      </w:r>
      <w:r w:rsidR="00D26E0B" w:rsidRPr="00042E7A">
        <w:rPr>
          <w:i/>
          <w:iCs/>
        </w:rPr>
        <w:t xml:space="preserve">(Return to </w:t>
      </w:r>
      <w:hyperlink w:anchor="EQ7_3" w:history="1">
        <w:r w:rsidR="00D26E0B" w:rsidRPr="00807C6E">
          <w:rPr>
            <w:rStyle w:val="Hyperlink"/>
            <w:i/>
            <w:iCs/>
          </w:rPr>
          <w:t>equation 7.3</w:t>
        </w:r>
      </w:hyperlink>
      <w:r w:rsidR="00D26E0B" w:rsidRPr="00042E7A">
        <w:rPr>
          <w:i/>
          <w:iCs/>
        </w:rPr>
        <w:t>.)</w:t>
      </w:r>
    </w:p>
    <w:p w14:paraId="1FA6F600" w14:textId="77777777" w:rsidR="007C1023" w:rsidRPr="00C34C12" w:rsidRDefault="007C1023" w:rsidP="007C1023">
      <w:pPr>
        <w:pStyle w:val="Heading4"/>
        <w:numPr>
          <w:ilvl w:val="0"/>
          <w:numId w:val="0"/>
        </w:numPr>
        <w:ind w:left="792" w:hanging="792"/>
      </w:pPr>
      <w:bookmarkStart w:id="987" w:name="_Alternative_Text_for_3"/>
      <w:bookmarkStart w:id="988" w:name="_Toc511570792"/>
      <w:bookmarkStart w:id="989" w:name="_Toc38901324"/>
      <w:bookmarkStart w:id="990" w:name="_Toc182555242"/>
      <w:bookmarkEnd w:id="987"/>
      <w:r w:rsidRPr="00C34C12">
        <w:t>Alternative Text for Equation 7.4</w:t>
      </w:r>
      <w:bookmarkEnd w:id="988"/>
      <w:bookmarkEnd w:id="989"/>
      <w:bookmarkEnd w:id="990"/>
    </w:p>
    <w:p w14:paraId="6338184B" w14:textId="655AD6D9" w:rsidR="007C1023" w:rsidRPr="00C34C12" w:rsidRDefault="007C1023" w:rsidP="007C1023">
      <w:r w:rsidRPr="00C34C12">
        <w:t xml:space="preserve">Alpha sub MH equals the numerator open parenthesis the sum sub m of R sub rm times W sub </w:t>
      </w:r>
      <w:proofErr w:type="spellStart"/>
      <w:r w:rsidRPr="00C34C12">
        <w:t>fm</w:t>
      </w:r>
      <w:proofErr w:type="spellEnd"/>
      <w:r w:rsidRPr="00C34C12">
        <w:t xml:space="preserve"> divided by N sub tm close parenthesis divided by the denominator open parenthesis the sum sub m of R sub </w:t>
      </w:r>
      <w:proofErr w:type="spellStart"/>
      <w:r w:rsidRPr="00C34C12">
        <w:t>fm</w:t>
      </w:r>
      <w:proofErr w:type="spellEnd"/>
      <w:r w:rsidRPr="00C34C12">
        <w:t xml:space="preserve"> times W sub rm divided by N sub tm closed parenthesis.</w:t>
      </w:r>
      <w:r w:rsidR="00D26E0B" w:rsidRPr="000909AF">
        <w:t xml:space="preserve"> </w:t>
      </w:r>
      <w:r w:rsidR="00D26E0B" w:rsidRPr="00042E7A">
        <w:rPr>
          <w:i/>
          <w:iCs/>
        </w:rPr>
        <w:t xml:space="preserve">(Return to </w:t>
      </w:r>
      <w:hyperlink w:anchor="EQ7_4" w:history="1">
        <w:r w:rsidR="00D26E0B" w:rsidRPr="00807C6E">
          <w:rPr>
            <w:rStyle w:val="Hyperlink"/>
            <w:i/>
            <w:iCs/>
          </w:rPr>
          <w:t>equation 7.4</w:t>
        </w:r>
      </w:hyperlink>
      <w:r w:rsidR="00D26E0B" w:rsidRPr="00042E7A">
        <w:rPr>
          <w:i/>
          <w:iCs/>
        </w:rPr>
        <w:t>.)</w:t>
      </w:r>
    </w:p>
    <w:p w14:paraId="7A08DB38" w14:textId="77777777" w:rsidR="007C1023" w:rsidRPr="00C34C12" w:rsidRDefault="007C1023" w:rsidP="007C1023">
      <w:pPr>
        <w:pStyle w:val="Heading4"/>
        <w:numPr>
          <w:ilvl w:val="0"/>
          <w:numId w:val="0"/>
        </w:numPr>
        <w:ind w:left="792" w:hanging="792"/>
      </w:pPr>
      <w:bookmarkStart w:id="991" w:name="_Alternative_Text_for_4"/>
      <w:bookmarkStart w:id="992" w:name="_Toc511570793"/>
      <w:bookmarkStart w:id="993" w:name="_Toc38901325"/>
      <w:bookmarkStart w:id="994" w:name="_Toc182555243"/>
      <w:bookmarkEnd w:id="991"/>
      <w:r w:rsidRPr="00C34C12">
        <w:t>Alternative Text for Equation 7.5</w:t>
      </w:r>
      <w:bookmarkEnd w:id="992"/>
      <w:bookmarkEnd w:id="993"/>
      <w:bookmarkEnd w:id="994"/>
    </w:p>
    <w:p w14:paraId="40CEFBB7" w14:textId="64808558" w:rsidR="007C1023" w:rsidRPr="00C34C12" w:rsidRDefault="007C1023" w:rsidP="007C1023">
      <w:r w:rsidRPr="00C34C12">
        <w:t>MH D-DIF equals negative 2.35 times the natural logarithm open bracket alpha sub MH close bracket.</w:t>
      </w:r>
      <w:r w:rsidR="00D26E0B" w:rsidRPr="000909AF">
        <w:t xml:space="preserve"> </w:t>
      </w:r>
      <w:r w:rsidR="00D26E0B" w:rsidRPr="00042E7A">
        <w:rPr>
          <w:i/>
          <w:iCs/>
        </w:rPr>
        <w:t xml:space="preserve">(Return to </w:t>
      </w:r>
      <w:hyperlink w:anchor="EQ7_5" w:history="1">
        <w:r w:rsidR="00D26E0B" w:rsidRPr="00807C6E">
          <w:rPr>
            <w:rStyle w:val="Hyperlink"/>
            <w:i/>
            <w:iCs/>
          </w:rPr>
          <w:t>equation 7.5</w:t>
        </w:r>
      </w:hyperlink>
      <w:r w:rsidR="00D26E0B" w:rsidRPr="00042E7A">
        <w:rPr>
          <w:i/>
          <w:iCs/>
        </w:rPr>
        <w:t>.)</w:t>
      </w:r>
    </w:p>
    <w:p w14:paraId="5F9B656F" w14:textId="77777777" w:rsidR="007C1023" w:rsidRPr="00C34C12" w:rsidRDefault="007C1023" w:rsidP="007C1023">
      <w:pPr>
        <w:pStyle w:val="Heading4"/>
        <w:numPr>
          <w:ilvl w:val="0"/>
          <w:numId w:val="0"/>
        </w:numPr>
        <w:ind w:left="792" w:hanging="792"/>
      </w:pPr>
      <w:bookmarkStart w:id="995" w:name="_Alternative_Text_for_5"/>
      <w:bookmarkStart w:id="996" w:name="_Toc511570794"/>
      <w:bookmarkStart w:id="997" w:name="_Toc38901326"/>
      <w:bookmarkStart w:id="998" w:name="_Toc182555244"/>
      <w:bookmarkEnd w:id="995"/>
      <w:r w:rsidRPr="00C34C12">
        <w:t>Alternative Text for Equation 7.6</w:t>
      </w:r>
      <w:bookmarkEnd w:id="996"/>
      <w:bookmarkEnd w:id="997"/>
      <w:bookmarkEnd w:id="998"/>
    </w:p>
    <w:p w14:paraId="678F37E0" w14:textId="390DEFE1" w:rsidR="007C1023" w:rsidRPr="00C34C12" w:rsidRDefault="007C1023" w:rsidP="007C1023">
      <w:r w:rsidRPr="00C34C12">
        <w:t xml:space="preserve">SMD equals the fraction with numerator the sum from m equals 1 to M of N sub </w:t>
      </w:r>
      <w:proofErr w:type="spellStart"/>
      <w:r w:rsidRPr="00C34C12">
        <w:t>fm</w:t>
      </w:r>
      <w:proofErr w:type="spellEnd"/>
      <w:r w:rsidRPr="00C34C12">
        <w:t xml:space="preserve"> times E sub f of Y from X equals m and denominator the sum from m equals 1 to M of N sub </w:t>
      </w:r>
      <w:proofErr w:type="spellStart"/>
      <w:r w:rsidRPr="00C34C12">
        <w:t>fm</w:t>
      </w:r>
      <w:proofErr w:type="spellEnd"/>
      <w:r w:rsidRPr="00C34C12">
        <w:t xml:space="preserve"> end fraction minus the fraction with numerator the sum from m equals 1 to M of N sub </w:t>
      </w:r>
      <w:proofErr w:type="spellStart"/>
      <w:r w:rsidRPr="00C34C12">
        <w:t>fm</w:t>
      </w:r>
      <w:proofErr w:type="spellEnd"/>
      <w:r w:rsidRPr="00C34C12">
        <w:t xml:space="preserve"> times E sub r of Y from X equals m and denominator the sum from m equals 1 to M of N sub </w:t>
      </w:r>
      <w:proofErr w:type="spellStart"/>
      <w:r w:rsidRPr="00C34C12">
        <w:t>fm</w:t>
      </w:r>
      <w:proofErr w:type="spellEnd"/>
      <w:r w:rsidRPr="00C34C12">
        <w:t xml:space="preserve"> end fraction equals the fraction with the numerator the sum from m equals 1 to M of D sub </w:t>
      </w:r>
      <w:proofErr w:type="spellStart"/>
      <w:r w:rsidRPr="00C34C12">
        <w:t>fm</w:t>
      </w:r>
      <w:proofErr w:type="spellEnd"/>
      <w:r w:rsidRPr="00C34C12">
        <w:t xml:space="preserve"> and the denominator m equals1 to M of N </w:t>
      </w:r>
      <w:proofErr w:type="spellStart"/>
      <w:r w:rsidRPr="00C34C12">
        <w:t>suf</w:t>
      </w:r>
      <w:proofErr w:type="spellEnd"/>
      <w:r w:rsidRPr="00C34C12">
        <w:t xml:space="preserve"> </w:t>
      </w:r>
      <w:proofErr w:type="spellStart"/>
      <w:r w:rsidRPr="00C34C12">
        <w:t>fm</w:t>
      </w:r>
      <w:proofErr w:type="spellEnd"/>
      <w:r w:rsidRPr="00C34C12">
        <w:t xml:space="preserve"> end fraction.</w:t>
      </w:r>
      <w:r w:rsidR="00D26E0B" w:rsidRPr="000909AF">
        <w:t xml:space="preserve"> </w:t>
      </w:r>
      <w:r w:rsidR="00D26E0B" w:rsidRPr="00042E7A">
        <w:rPr>
          <w:i/>
          <w:iCs/>
        </w:rPr>
        <w:t xml:space="preserve">(Return to </w:t>
      </w:r>
      <w:hyperlink w:anchor="EQ7_6" w:history="1">
        <w:r w:rsidR="00D26E0B" w:rsidRPr="00807C6E">
          <w:rPr>
            <w:rStyle w:val="Hyperlink"/>
            <w:i/>
            <w:iCs/>
          </w:rPr>
          <w:t>equation 7.6</w:t>
        </w:r>
      </w:hyperlink>
      <w:r w:rsidR="00D26E0B" w:rsidRPr="00042E7A">
        <w:rPr>
          <w:i/>
          <w:iCs/>
        </w:rPr>
        <w:t>.)</w:t>
      </w:r>
    </w:p>
    <w:p w14:paraId="7C5F836F" w14:textId="77777777" w:rsidR="007C1023" w:rsidRPr="00C34C12" w:rsidRDefault="007C1023" w:rsidP="007C1023">
      <w:pPr>
        <w:pStyle w:val="Heading4"/>
        <w:numPr>
          <w:ilvl w:val="0"/>
          <w:numId w:val="0"/>
        </w:numPr>
        <w:ind w:left="792" w:hanging="792"/>
      </w:pPr>
      <w:bookmarkStart w:id="999" w:name="_Alternative_Text_for_6"/>
      <w:bookmarkStart w:id="1000" w:name="_Toc511570795"/>
      <w:bookmarkStart w:id="1001" w:name="_Toc38901327"/>
      <w:bookmarkStart w:id="1002" w:name="_Toc182555245"/>
      <w:bookmarkEnd w:id="999"/>
      <w:r w:rsidRPr="00C34C12">
        <w:t>Alternative Text for Equation 7.7</w:t>
      </w:r>
      <w:bookmarkEnd w:id="1000"/>
      <w:bookmarkEnd w:id="1001"/>
      <w:bookmarkEnd w:id="1002"/>
    </w:p>
    <w:p w14:paraId="77422B36" w14:textId="77777777" w:rsidR="007C1023" w:rsidRPr="00C34C12" w:rsidRDefault="007C1023" w:rsidP="007C1023">
      <w:r w:rsidRPr="00C34C12">
        <w:t xml:space="preserve">P sub </w:t>
      </w:r>
      <w:proofErr w:type="spellStart"/>
      <w:r w:rsidRPr="00C34C12">
        <w:t>ih</w:t>
      </w:r>
      <w:proofErr w:type="spellEnd"/>
      <w:r w:rsidRPr="00C34C12">
        <w:t xml:space="preserve"> of theta sub j equals:</w:t>
      </w:r>
    </w:p>
    <w:p w14:paraId="4080BA6B" w14:textId="77777777" w:rsidR="007C1023" w:rsidRPr="00C34C12" w:rsidRDefault="007C1023" w:rsidP="007C1023">
      <w:r w:rsidRPr="00C34C12">
        <w:t xml:space="preserve">The numerator exp open parenthesis the sum from v equals 1 to h of Da sub i open parenthesis theta sub j minus b sub I plus d sub iv close parenthesis close parenthesis divided by the denominator open parenthesis 1 plus the sum from c equals 1 </w:t>
      </w:r>
      <w:proofErr w:type="spellStart"/>
      <w:r w:rsidRPr="00C34C12">
        <w:t>to n</w:t>
      </w:r>
      <w:proofErr w:type="spellEnd"/>
      <w:r w:rsidRPr="00C34C12">
        <w:t xml:space="preserve"> sub I exp open parenthesis the sum from v equals 1 to c of Da sub I open parenthesis theta sub j minus b sub I plus d sub iv close parenthesis close parenthesis close parenthesis, if score h equals 1, 2, …, n sub i.</w:t>
      </w:r>
    </w:p>
    <w:p w14:paraId="257C61D5" w14:textId="77777777" w:rsidR="007C1023" w:rsidRPr="00C34C12" w:rsidRDefault="007C1023" w:rsidP="007C1023">
      <w:r w:rsidRPr="00C34C12">
        <w:t xml:space="preserve">P sub </w:t>
      </w:r>
      <w:proofErr w:type="spellStart"/>
      <w:r w:rsidRPr="00C34C12">
        <w:t>ih</w:t>
      </w:r>
      <w:proofErr w:type="spellEnd"/>
      <w:r w:rsidRPr="00C34C12">
        <w:t xml:space="preserve"> of theta sub j equals:</w:t>
      </w:r>
    </w:p>
    <w:p w14:paraId="2FC1DC61" w14:textId="673D0DF1" w:rsidR="007C1023" w:rsidRPr="00C34C12" w:rsidRDefault="007C1023" w:rsidP="007C1023">
      <w:r w:rsidRPr="00C34C12">
        <w:t xml:space="preserve">1 divided by the denominator open parenthesis 1 plus the sum from c equals 1 </w:t>
      </w:r>
      <w:proofErr w:type="spellStart"/>
      <w:r w:rsidRPr="00C34C12">
        <w:t>to n</w:t>
      </w:r>
      <w:proofErr w:type="spellEnd"/>
      <w:r w:rsidRPr="00C34C12">
        <w:t xml:space="preserve"> sub I exp open parenthesis the sum from v equals 1 to c of Da sub I open parenthesis theta sub j minus b sub I plus d sub iv close parenthesis close parenthesis close parenthesis, if score h equals 0.</w:t>
      </w:r>
      <w:r w:rsidR="00D26E0B" w:rsidRPr="000909AF">
        <w:t xml:space="preserve"> </w:t>
      </w:r>
      <w:r w:rsidR="00D26E0B" w:rsidRPr="00042E7A">
        <w:rPr>
          <w:i/>
          <w:iCs/>
        </w:rPr>
        <w:t xml:space="preserve">(Return to </w:t>
      </w:r>
      <w:hyperlink w:anchor="EQ7_7" w:history="1">
        <w:r w:rsidR="00D26E0B" w:rsidRPr="00807C6E">
          <w:rPr>
            <w:rStyle w:val="Hyperlink"/>
            <w:i/>
            <w:iCs/>
          </w:rPr>
          <w:t>equation 7.7</w:t>
        </w:r>
      </w:hyperlink>
      <w:r w:rsidR="00D26E0B" w:rsidRPr="00042E7A">
        <w:rPr>
          <w:i/>
          <w:iCs/>
        </w:rPr>
        <w:t>.)</w:t>
      </w:r>
    </w:p>
    <w:p w14:paraId="3B305153" w14:textId="77777777" w:rsidR="007C1023" w:rsidRPr="00C34C12" w:rsidRDefault="007C1023" w:rsidP="007C1023">
      <w:pPr>
        <w:pStyle w:val="Heading4"/>
        <w:numPr>
          <w:ilvl w:val="0"/>
          <w:numId w:val="0"/>
        </w:numPr>
        <w:ind w:left="792" w:hanging="792"/>
      </w:pPr>
      <w:bookmarkStart w:id="1003" w:name="_Alternative_Text_for_7"/>
      <w:bookmarkStart w:id="1004" w:name="_Toc511570796"/>
      <w:bookmarkStart w:id="1005" w:name="_Toc38901328"/>
      <w:bookmarkStart w:id="1006" w:name="_Toc182555246"/>
      <w:bookmarkEnd w:id="1003"/>
      <w:r w:rsidRPr="00C34C12">
        <w:lastRenderedPageBreak/>
        <w:t>Alternative Text for Equation 7.8</w:t>
      </w:r>
      <w:bookmarkEnd w:id="1004"/>
      <w:bookmarkEnd w:id="1005"/>
      <w:bookmarkEnd w:id="1006"/>
    </w:p>
    <w:p w14:paraId="47ACC00F" w14:textId="409D81E7" w:rsidR="007C1023" w:rsidRPr="00C34C12" w:rsidRDefault="007C1023" w:rsidP="007C1023">
      <w:r w:rsidRPr="00C34C12">
        <w:t xml:space="preserve">alpha equals the fraction n over n minus one, times one minus the fraction the sum from </w:t>
      </w:r>
      <w:proofErr w:type="spellStart"/>
      <w:r w:rsidRPr="00C34C12">
        <w:t>i</w:t>
      </w:r>
      <w:proofErr w:type="spellEnd"/>
      <w:r w:rsidRPr="00C34C12">
        <w:t xml:space="preserve"> equals one </w:t>
      </w:r>
      <w:proofErr w:type="spellStart"/>
      <w:r w:rsidRPr="00C34C12">
        <w:t>to n</w:t>
      </w:r>
      <w:proofErr w:type="spellEnd"/>
      <w:r w:rsidRPr="00C34C12">
        <w:t>, of sigma sub i, squared, over sigma sub x, squared.</w:t>
      </w:r>
      <w:r w:rsidR="00D26E0B" w:rsidRPr="000909AF">
        <w:t xml:space="preserve"> </w:t>
      </w:r>
      <w:r w:rsidR="00D26E0B" w:rsidRPr="00042E7A">
        <w:rPr>
          <w:i/>
          <w:iCs/>
        </w:rPr>
        <w:t xml:space="preserve">(Return to </w:t>
      </w:r>
      <w:hyperlink w:anchor="EQ7_8" w:history="1">
        <w:r w:rsidR="00D26E0B" w:rsidRPr="00807C6E">
          <w:rPr>
            <w:rStyle w:val="Hyperlink"/>
            <w:i/>
            <w:iCs/>
          </w:rPr>
          <w:t>equation</w:t>
        </w:r>
        <w:r w:rsidR="00162FBB">
          <w:rPr>
            <w:rStyle w:val="Hyperlink"/>
            <w:i/>
            <w:iCs/>
          </w:rPr>
          <w:t> </w:t>
        </w:r>
        <w:r w:rsidR="00D26E0B" w:rsidRPr="00807C6E">
          <w:rPr>
            <w:rStyle w:val="Hyperlink"/>
            <w:i/>
            <w:iCs/>
          </w:rPr>
          <w:t>7.8</w:t>
        </w:r>
      </w:hyperlink>
      <w:r w:rsidR="00D26E0B" w:rsidRPr="00042E7A">
        <w:rPr>
          <w:i/>
          <w:iCs/>
        </w:rPr>
        <w:t>.)</w:t>
      </w:r>
    </w:p>
    <w:p w14:paraId="4950D04C" w14:textId="77777777" w:rsidR="007C1023" w:rsidRPr="00C34C12" w:rsidRDefault="007C1023" w:rsidP="007C1023">
      <w:pPr>
        <w:pStyle w:val="Heading4"/>
        <w:numPr>
          <w:ilvl w:val="0"/>
          <w:numId w:val="0"/>
        </w:numPr>
        <w:ind w:left="792" w:hanging="792"/>
      </w:pPr>
      <w:bookmarkStart w:id="1007" w:name="_Alternative_Text_for_8"/>
      <w:bookmarkStart w:id="1008" w:name="_Toc511570797"/>
      <w:bookmarkStart w:id="1009" w:name="_Toc38901329"/>
      <w:bookmarkStart w:id="1010" w:name="_Toc182555247"/>
      <w:bookmarkEnd w:id="1007"/>
      <w:r w:rsidRPr="00C34C12">
        <w:t>Alternative Text for Equation 7.9</w:t>
      </w:r>
      <w:bookmarkEnd w:id="1008"/>
      <w:bookmarkEnd w:id="1009"/>
      <w:bookmarkEnd w:id="1010"/>
    </w:p>
    <w:p w14:paraId="3C53CD13" w14:textId="39B417A5" w:rsidR="007C1023" w:rsidRPr="00C34C12" w:rsidRDefault="007C1023" w:rsidP="007C1023">
      <w:r w:rsidRPr="00C34C12">
        <w:t xml:space="preserve">stratified alpha equals one minus the fraction of the sum sigma sub </w:t>
      </w:r>
      <w:proofErr w:type="spellStart"/>
      <w:r w:rsidRPr="00C34C12">
        <w:t>xj</w:t>
      </w:r>
      <w:proofErr w:type="spellEnd"/>
      <w:r w:rsidRPr="00C34C12">
        <w:t>, squared times one minus the alpha sub j over sigma sub x, squared.</w:t>
      </w:r>
      <w:r w:rsidR="00D26E0B" w:rsidRPr="000909AF">
        <w:t xml:space="preserve"> </w:t>
      </w:r>
      <w:r w:rsidR="00D26E0B" w:rsidRPr="00042E7A">
        <w:rPr>
          <w:i/>
          <w:iCs/>
        </w:rPr>
        <w:t xml:space="preserve">(Return to </w:t>
      </w:r>
      <w:hyperlink w:anchor="EQ7_9" w:history="1">
        <w:r w:rsidR="00D26E0B" w:rsidRPr="00807C6E">
          <w:rPr>
            <w:rStyle w:val="Hyperlink"/>
            <w:i/>
            <w:iCs/>
          </w:rPr>
          <w:t>equation 7.9</w:t>
        </w:r>
      </w:hyperlink>
      <w:r w:rsidR="00D26E0B" w:rsidRPr="00042E7A">
        <w:rPr>
          <w:i/>
          <w:iCs/>
        </w:rPr>
        <w:t>.)</w:t>
      </w:r>
    </w:p>
    <w:p w14:paraId="75EF2718" w14:textId="77777777" w:rsidR="007C1023" w:rsidRPr="00C34C12" w:rsidRDefault="007C1023" w:rsidP="007C1023">
      <w:pPr>
        <w:pStyle w:val="Heading4"/>
        <w:numPr>
          <w:ilvl w:val="0"/>
          <w:numId w:val="0"/>
        </w:numPr>
        <w:ind w:left="792" w:hanging="792"/>
      </w:pPr>
      <w:bookmarkStart w:id="1011" w:name="_Alternative_Text_for_9"/>
      <w:bookmarkStart w:id="1012" w:name="_Toc511570798"/>
      <w:bookmarkStart w:id="1013" w:name="_Toc38901330"/>
      <w:bookmarkStart w:id="1014" w:name="_Toc182555248"/>
      <w:bookmarkEnd w:id="1011"/>
      <w:r w:rsidRPr="00C34C12">
        <w:t>Alternative Text for Equation 7.10</w:t>
      </w:r>
      <w:bookmarkEnd w:id="1012"/>
      <w:bookmarkEnd w:id="1013"/>
      <w:bookmarkEnd w:id="1014"/>
    </w:p>
    <w:p w14:paraId="3E32D9AE" w14:textId="5EBDB76B" w:rsidR="00DB6635" w:rsidRPr="00DB6635" w:rsidRDefault="007C1023" w:rsidP="00DB6635">
      <w:pPr>
        <w:rPr>
          <w:lang w:bidi="en-US"/>
        </w:rPr>
      </w:pPr>
      <w:r w:rsidRPr="00C34C12">
        <w:t>SEM equals s sub t times the square root of 1 minus rho of theta hat theta hat prime.</w:t>
      </w:r>
      <w:r w:rsidR="00D26E0B" w:rsidRPr="000909AF">
        <w:t xml:space="preserve"> </w:t>
      </w:r>
      <w:r w:rsidR="00D26E0B" w:rsidRPr="00042E7A">
        <w:rPr>
          <w:i/>
          <w:iCs/>
        </w:rPr>
        <w:t xml:space="preserve">(Return to </w:t>
      </w:r>
      <w:hyperlink w:anchor="EQ7_10" w:history="1">
        <w:r w:rsidR="00D26E0B" w:rsidRPr="00807C6E">
          <w:rPr>
            <w:rStyle w:val="Hyperlink"/>
            <w:i/>
            <w:iCs/>
          </w:rPr>
          <w:t>equation 7.10</w:t>
        </w:r>
      </w:hyperlink>
      <w:r w:rsidR="00D26E0B" w:rsidRPr="00042E7A">
        <w:rPr>
          <w:i/>
          <w:iCs/>
        </w:rPr>
        <w:t>.)</w:t>
      </w:r>
    </w:p>
    <w:p w14:paraId="7FB2EE9E" w14:textId="55BE1C1F" w:rsidR="007009FD" w:rsidRPr="004B2D24" w:rsidRDefault="003E607A" w:rsidP="00670FD2">
      <w:pPr>
        <w:pStyle w:val="Heading2"/>
      </w:pPr>
      <w:bookmarkStart w:id="1015" w:name="_Surveys"/>
      <w:bookmarkStart w:id="1016" w:name="_Toc182555249"/>
      <w:bookmarkEnd w:id="1015"/>
      <w:r w:rsidRPr="004B2D24">
        <w:lastRenderedPageBreak/>
        <w:t>Surveys</w:t>
      </w:r>
      <w:bookmarkEnd w:id="1016"/>
    </w:p>
    <w:p w14:paraId="0E79167E" w14:textId="4BA0E82F" w:rsidR="00D926AD" w:rsidRPr="004B2D24" w:rsidRDefault="00D926AD" w:rsidP="00D926AD">
      <w:pPr>
        <w:rPr>
          <w:lang w:bidi="en-US"/>
        </w:rPr>
      </w:pPr>
      <w:r w:rsidRPr="004B2D24">
        <w:rPr>
          <w:lang w:bidi="en-US"/>
        </w:rPr>
        <w:t>This chapter describes</w:t>
      </w:r>
      <w:r w:rsidR="003E607A" w:rsidRPr="004B2D24">
        <w:rPr>
          <w:lang w:bidi="en-US"/>
        </w:rPr>
        <w:t xml:space="preserve"> the development and administration of the survey questionnaires </w:t>
      </w:r>
      <w:r w:rsidR="00637327" w:rsidRPr="004B2D24">
        <w:rPr>
          <w:lang w:bidi="en-US"/>
        </w:rPr>
        <w:t xml:space="preserve">for </w:t>
      </w:r>
      <w:r w:rsidR="003E607A" w:rsidRPr="004B2D24">
        <w:rPr>
          <w:lang w:bidi="en-US"/>
        </w:rPr>
        <w:t xml:space="preserve">test </w:t>
      </w:r>
      <w:r w:rsidR="00637327" w:rsidRPr="004B2D24">
        <w:rPr>
          <w:lang w:bidi="en-US"/>
        </w:rPr>
        <w:t>examiners</w:t>
      </w:r>
      <w:r w:rsidR="00402854">
        <w:rPr>
          <w:lang w:bidi="en-US"/>
        </w:rPr>
        <w:t xml:space="preserve"> to complete for each</w:t>
      </w:r>
      <w:r w:rsidR="00C1041D">
        <w:rPr>
          <w:lang w:bidi="en-US"/>
        </w:rPr>
        <w:t xml:space="preserve"> </w:t>
      </w:r>
      <w:r w:rsidR="001D6AD6">
        <w:rPr>
          <w:lang w:bidi="en-US"/>
        </w:rPr>
        <w:t xml:space="preserve">California Alternate Assessment for Science </w:t>
      </w:r>
      <w:r w:rsidR="00C1041D">
        <w:t>embedded</w:t>
      </w:r>
      <w:r w:rsidR="00402854">
        <w:rPr>
          <w:lang w:bidi="en-US"/>
        </w:rPr>
        <w:t xml:space="preserve"> performance task</w:t>
      </w:r>
      <w:r w:rsidR="00637327" w:rsidRPr="004B2D24">
        <w:rPr>
          <w:lang w:bidi="en-US"/>
        </w:rPr>
        <w:t xml:space="preserve"> </w:t>
      </w:r>
      <w:r w:rsidR="00825955">
        <w:rPr>
          <w:lang w:bidi="en-US"/>
        </w:rPr>
        <w:t>(PT)</w:t>
      </w:r>
      <w:r w:rsidR="003E607A" w:rsidRPr="004B2D24">
        <w:rPr>
          <w:lang w:bidi="en-US"/>
        </w:rPr>
        <w:t>.</w:t>
      </w:r>
    </w:p>
    <w:p w14:paraId="22ABCC27" w14:textId="7593F5DF" w:rsidR="005C74A6" w:rsidRDefault="005C74A6" w:rsidP="008100CD">
      <w:pPr>
        <w:pStyle w:val="Heading3"/>
        <w:rPr>
          <w:lang w:bidi="en-US"/>
        </w:rPr>
      </w:pPr>
      <w:bookmarkStart w:id="1017" w:name="_Toc182555250"/>
      <w:r w:rsidRPr="004B2D24">
        <w:t xml:space="preserve">Survey </w:t>
      </w:r>
      <w:r w:rsidRPr="004B2D24">
        <w:rPr>
          <w:lang w:bidi="en-US"/>
        </w:rPr>
        <w:t>Design and Development</w:t>
      </w:r>
      <w:bookmarkEnd w:id="1017"/>
    </w:p>
    <w:p w14:paraId="194BD12C" w14:textId="1A43EDC2" w:rsidR="007C1023" w:rsidRPr="00C34C12" w:rsidRDefault="007C1023" w:rsidP="007C1023">
      <w:pPr>
        <w:rPr>
          <w:rFonts w:eastAsia="Simsun (Founder Extended)"/>
        </w:rPr>
      </w:pPr>
      <w:r w:rsidRPr="00C34C12">
        <w:t>The surveys were designed and</w:t>
      </w:r>
      <w:r w:rsidRPr="00C34C12">
        <w:rPr>
          <w:rFonts w:eastAsia="Simsun (Founder Extended)"/>
        </w:rPr>
        <w:t xml:space="preserve"> developed by members of the </w:t>
      </w:r>
      <w:r w:rsidR="003A745A">
        <w:rPr>
          <w:rFonts w:eastAsia="Simsun (Founder Extended)"/>
        </w:rPr>
        <w:t>ETS</w:t>
      </w:r>
      <w:r w:rsidRPr="00C34C12">
        <w:rPr>
          <w:rFonts w:eastAsia="Simsun (Founder Extended)"/>
        </w:rPr>
        <w:t xml:space="preserve"> validity research team</w:t>
      </w:r>
      <w:r w:rsidR="001D6AD6">
        <w:rPr>
          <w:rFonts w:eastAsia="Simsun (Founder Extended)"/>
        </w:rPr>
        <w:t>, whose members have</w:t>
      </w:r>
      <w:r w:rsidRPr="00C34C12">
        <w:rPr>
          <w:rFonts w:eastAsia="Simsun (Founder Extended)"/>
        </w:rPr>
        <w:t xml:space="preserve"> extensive experience in designing and developing surveys.</w:t>
      </w:r>
    </w:p>
    <w:p w14:paraId="33C3B3B5" w14:textId="384C8F5F" w:rsidR="005C74A6" w:rsidRDefault="00630B87" w:rsidP="008100CD">
      <w:pPr>
        <w:pStyle w:val="Heading4"/>
        <w:rPr>
          <w:lang w:bidi="en-US"/>
        </w:rPr>
      </w:pPr>
      <w:bookmarkStart w:id="1018" w:name="_Toc182555251"/>
      <w:r w:rsidRPr="004B2D24">
        <w:rPr>
          <w:lang w:bidi="en-US"/>
        </w:rPr>
        <w:t xml:space="preserve">Survey </w:t>
      </w:r>
      <w:r w:rsidR="00024E15" w:rsidRPr="004B2D24">
        <w:rPr>
          <w:lang w:bidi="en-US"/>
        </w:rPr>
        <w:t>on the Test Administration</w:t>
      </w:r>
      <w:bookmarkEnd w:id="1018"/>
    </w:p>
    <w:p w14:paraId="4711EC04" w14:textId="3B04EE8A" w:rsidR="00F74AC4" w:rsidRDefault="007C1023" w:rsidP="00F74AC4">
      <w:pPr>
        <w:rPr>
          <w:lang w:eastAsia="ja-JP"/>
        </w:rPr>
      </w:pPr>
      <w:r w:rsidRPr="00C34C12">
        <w:rPr>
          <w:lang w:eastAsia="ja-JP"/>
        </w:rPr>
        <w:t xml:space="preserve">Student survey responses, which were provided by the test examiner, were collected from local educational agencies via the California Assessment of Student Performance and Progress test delivery system </w:t>
      </w:r>
      <w:r w:rsidR="001D6AD6">
        <w:rPr>
          <w:lang w:eastAsia="ja-JP"/>
        </w:rPr>
        <w:t xml:space="preserve">(TDS) </w:t>
      </w:r>
      <w:r w:rsidRPr="00C34C12">
        <w:rPr>
          <w:lang w:eastAsia="ja-JP"/>
        </w:rPr>
        <w:t>for every embedded PT administered to every student.</w:t>
      </w:r>
      <w:r w:rsidR="00F74AC4">
        <w:rPr>
          <w:lang w:eastAsia="ja-JP"/>
        </w:rPr>
        <w:t xml:space="preserve"> After the</w:t>
      </w:r>
      <w:r w:rsidR="00C1041D">
        <w:rPr>
          <w:lang w:eastAsia="ja-JP"/>
        </w:rPr>
        <w:t xml:space="preserve"> </w:t>
      </w:r>
      <w:r w:rsidR="00C1041D">
        <w:t>embedded</w:t>
      </w:r>
      <w:r w:rsidR="00F74AC4">
        <w:rPr>
          <w:lang w:eastAsia="ja-JP"/>
        </w:rPr>
        <w:t xml:space="preserve"> </w:t>
      </w:r>
      <w:r w:rsidR="00F44D66">
        <w:rPr>
          <w:lang w:eastAsia="ja-JP"/>
        </w:rPr>
        <w:t>PT</w:t>
      </w:r>
      <w:r w:rsidR="00F74AC4">
        <w:rPr>
          <w:lang w:eastAsia="ja-JP"/>
        </w:rPr>
        <w:t xml:space="preserve"> was administered to the student, </w:t>
      </w:r>
      <w:r w:rsidR="001D6AD6">
        <w:rPr>
          <w:lang w:eastAsia="ja-JP"/>
        </w:rPr>
        <w:t xml:space="preserve">the </w:t>
      </w:r>
      <w:r w:rsidR="00F74AC4">
        <w:rPr>
          <w:lang w:eastAsia="ja-JP"/>
        </w:rPr>
        <w:t xml:space="preserve">test examiner </w:t>
      </w:r>
      <w:r w:rsidR="001D6AD6">
        <w:rPr>
          <w:lang w:eastAsia="ja-JP"/>
        </w:rPr>
        <w:t>was</w:t>
      </w:r>
      <w:r w:rsidR="00F74AC4">
        <w:rPr>
          <w:lang w:eastAsia="ja-JP"/>
        </w:rPr>
        <w:t xml:space="preserve"> presented with two surveys</w:t>
      </w:r>
      <w:r w:rsidR="00C44680">
        <w:rPr>
          <w:lang w:eastAsia="ja-JP"/>
        </w:rPr>
        <w:t xml:space="preserve"> about the student</w:t>
      </w:r>
      <w:r w:rsidR="00F74AC4">
        <w:rPr>
          <w:lang w:eastAsia="ja-JP"/>
        </w:rPr>
        <w:t xml:space="preserve">, with the instruction to only </w:t>
      </w:r>
      <w:r w:rsidR="00C44680">
        <w:rPr>
          <w:lang w:eastAsia="ja-JP"/>
        </w:rPr>
        <w:t>respond to</w:t>
      </w:r>
      <w:r w:rsidR="00F74AC4">
        <w:rPr>
          <w:lang w:eastAsia="ja-JP"/>
        </w:rPr>
        <w:t xml:space="preserve"> one of the surveys based on </w:t>
      </w:r>
      <w:r w:rsidR="005A1FCD">
        <w:rPr>
          <w:lang w:eastAsia="ja-JP"/>
        </w:rPr>
        <w:t>whether</w:t>
      </w:r>
      <w:r w:rsidR="00F74AC4">
        <w:rPr>
          <w:lang w:eastAsia="ja-JP"/>
        </w:rPr>
        <w:t xml:space="preserve"> the student had been responsive during the testing session. The purpose of the survey was to collect basic information about students’ experiences with the assessment process.</w:t>
      </w:r>
    </w:p>
    <w:p w14:paraId="6C25054D" w14:textId="063F607B" w:rsidR="008100CD" w:rsidRPr="008100CD" w:rsidRDefault="00F74AC4" w:rsidP="008100CD">
      <w:pPr>
        <w:rPr>
          <w:lang w:bidi="en-US"/>
        </w:rPr>
      </w:pPr>
      <w:r>
        <w:rPr>
          <w:lang w:eastAsia="ja-JP"/>
        </w:rPr>
        <w:t xml:space="preserve">The survey was included in the last section of the embedded PT delivered through the </w:t>
      </w:r>
      <w:r w:rsidR="001D6AD6">
        <w:rPr>
          <w:lang w:eastAsia="ja-JP"/>
        </w:rPr>
        <w:t>TDS</w:t>
      </w:r>
      <w:r w:rsidR="00182BFC">
        <w:rPr>
          <w:lang w:eastAsia="ja-JP"/>
        </w:rPr>
        <w:t xml:space="preserve">. </w:t>
      </w:r>
      <w:r w:rsidR="001D6AD6">
        <w:rPr>
          <w:lang w:eastAsia="ja-JP"/>
        </w:rPr>
        <w:t>However, b</w:t>
      </w:r>
      <w:r w:rsidR="005423D1">
        <w:t>ecause of</w:t>
      </w:r>
      <w:r w:rsidR="00182BFC" w:rsidRPr="004B2D24">
        <w:t xml:space="preserve"> the impact of </w:t>
      </w:r>
      <w:r w:rsidR="005423D1">
        <w:t xml:space="preserve">the </w:t>
      </w:r>
      <w:r w:rsidR="001000AC">
        <w:t>novel coronavirus disease 2019</w:t>
      </w:r>
      <w:r w:rsidR="005423D1">
        <w:t xml:space="preserve"> pandemic</w:t>
      </w:r>
      <w:r w:rsidR="00182BFC" w:rsidRPr="004B2D24">
        <w:t>,</w:t>
      </w:r>
      <w:r w:rsidR="003E0A33">
        <w:t xml:space="preserve"> </w:t>
      </w:r>
      <w:r w:rsidR="00182BFC">
        <w:t>no</w:t>
      </w:r>
      <w:r w:rsidR="00182BFC" w:rsidRPr="004B2D24">
        <w:t xml:space="preserve"> analyses </w:t>
      </w:r>
      <w:r w:rsidR="003E0A33">
        <w:t xml:space="preserve">of the survey responses </w:t>
      </w:r>
      <w:r w:rsidR="00182BFC" w:rsidRPr="004B2D24">
        <w:t xml:space="preserve">were conducted </w:t>
      </w:r>
      <w:r w:rsidR="00182BFC">
        <w:t>for</w:t>
      </w:r>
      <w:r w:rsidR="00182BFC" w:rsidRPr="004B2D24">
        <w:t xml:space="preserve"> the 2019–2020 administration.</w:t>
      </w:r>
      <w:bookmarkStart w:id="1019" w:name="_Toc30139155"/>
      <w:bookmarkStart w:id="1020" w:name="_Toc30139557"/>
      <w:bookmarkStart w:id="1021" w:name="_Toc30139957"/>
      <w:bookmarkStart w:id="1022" w:name="_Toc30422151"/>
      <w:bookmarkStart w:id="1023" w:name="_Toc30745717"/>
      <w:bookmarkStart w:id="1024" w:name="_Toc30746083"/>
      <w:bookmarkStart w:id="1025" w:name="_Toc30746477"/>
      <w:bookmarkStart w:id="1026" w:name="_Toc30139156"/>
      <w:bookmarkStart w:id="1027" w:name="_Toc30139558"/>
      <w:bookmarkStart w:id="1028" w:name="_Toc30139958"/>
      <w:bookmarkStart w:id="1029" w:name="_Toc30422152"/>
      <w:bookmarkStart w:id="1030" w:name="_Toc30745718"/>
      <w:bookmarkStart w:id="1031" w:name="_Toc30746084"/>
      <w:bookmarkStart w:id="1032" w:name="_Toc30746478"/>
      <w:bookmarkStart w:id="1033" w:name="_Toc34806392"/>
      <w:bookmarkStart w:id="1034" w:name="_Toc34990066"/>
      <w:bookmarkStart w:id="1035" w:name="_Toc30139157"/>
      <w:bookmarkStart w:id="1036" w:name="_Toc30139559"/>
      <w:bookmarkStart w:id="1037" w:name="_Toc30139959"/>
      <w:bookmarkStart w:id="1038" w:name="_Toc30422153"/>
      <w:bookmarkStart w:id="1039" w:name="_Toc30745719"/>
      <w:bookmarkStart w:id="1040" w:name="_Toc30746085"/>
      <w:bookmarkStart w:id="1041" w:name="_Toc30746479"/>
      <w:bookmarkStart w:id="1042" w:name="_Toc34806393"/>
      <w:bookmarkStart w:id="1043" w:name="_Toc34990067"/>
      <w:bookmarkStart w:id="1044" w:name="_Toc30139158"/>
      <w:bookmarkStart w:id="1045" w:name="_Toc30139560"/>
      <w:bookmarkStart w:id="1046" w:name="_Toc30139960"/>
      <w:bookmarkStart w:id="1047" w:name="_Toc30422154"/>
      <w:bookmarkStart w:id="1048" w:name="_Toc30745720"/>
      <w:bookmarkStart w:id="1049" w:name="_Toc30746086"/>
      <w:bookmarkStart w:id="1050" w:name="_Toc30746480"/>
      <w:bookmarkStart w:id="1051" w:name="_Toc34806394"/>
      <w:bookmarkStart w:id="1052" w:name="_Toc34990068"/>
      <w:bookmarkStart w:id="1053" w:name="_Toc30139159"/>
      <w:bookmarkStart w:id="1054" w:name="_Toc30139561"/>
      <w:bookmarkStart w:id="1055" w:name="_Toc30139961"/>
      <w:bookmarkStart w:id="1056" w:name="_Toc30422155"/>
      <w:bookmarkStart w:id="1057" w:name="_Toc30745721"/>
      <w:bookmarkStart w:id="1058" w:name="_Toc30746087"/>
      <w:bookmarkStart w:id="1059" w:name="_Toc30746481"/>
      <w:bookmarkStart w:id="1060" w:name="_Toc34806395"/>
      <w:bookmarkStart w:id="1061" w:name="_Toc34990069"/>
      <w:bookmarkStart w:id="1062" w:name="_Toc30139160"/>
      <w:bookmarkStart w:id="1063" w:name="_Toc30139562"/>
      <w:bookmarkStart w:id="1064" w:name="_Toc30139962"/>
      <w:bookmarkStart w:id="1065" w:name="_Toc30422156"/>
      <w:bookmarkStart w:id="1066" w:name="_Toc30745722"/>
      <w:bookmarkStart w:id="1067" w:name="_Toc30746088"/>
      <w:bookmarkStart w:id="1068" w:name="_Toc30746482"/>
      <w:bookmarkStart w:id="1069" w:name="_Toc34806396"/>
      <w:bookmarkStart w:id="1070" w:name="_Toc34990070"/>
      <w:bookmarkStart w:id="1071" w:name="_Toc30139161"/>
      <w:bookmarkStart w:id="1072" w:name="_Toc30139563"/>
      <w:bookmarkStart w:id="1073" w:name="_Toc30139963"/>
      <w:bookmarkStart w:id="1074" w:name="_Toc30422157"/>
      <w:bookmarkStart w:id="1075" w:name="_Toc30745723"/>
      <w:bookmarkStart w:id="1076" w:name="_Toc30746089"/>
      <w:bookmarkStart w:id="1077" w:name="_Toc30746483"/>
      <w:bookmarkStart w:id="1078" w:name="_Toc34806397"/>
      <w:bookmarkStart w:id="1079" w:name="_Toc34990071"/>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p w14:paraId="66855DE7" w14:textId="75D3EE9E" w:rsidR="00692B99" w:rsidRPr="00692B99" w:rsidRDefault="00692B99" w:rsidP="00692B99">
      <w:pPr>
        <w:pStyle w:val="Heading5"/>
        <w:rPr>
          <w:lang w:bidi="en-US"/>
        </w:rPr>
      </w:pPr>
      <w:r>
        <w:rPr>
          <w:lang w:bidi="en-US"/>
        </w:rPr>
        <w:t>Survey for Responsive Students</w:t>
      </w:r>
    </w:p>
    <w:p w14:paraId="06621E27" w14:textId="208EBCBD" w:rsidR="00825955" w:rsidRPr="00825955" w:rsidRDefault="00E95BC4" w:rsidP="00692B99">
      <w:pPr>
        <w:rPr>
          <w:lang w:bidi="en-US"/>
        </w:rPr>
      </w:pPr>
      <w:r>
        <w:rPr>
          <w:lang w:bidi="en-US"/>
        </w:rPr>
        <w:t>The survey for</w:t>
      </w:r>
      <w:r w:rsidR="00825955">
        <w:rPr>
          <w:lang w:bidi="en-US"/>
        </w:rPr>
        <w:t xml:space="preserve"> responsive</w:t>
      </w:r>
      <w:r>
        <w:rPr>
          <w:lang w:bidi="en-US"/>
        </w:rPr>
        <w:t xml:space="preserve"> students consisted of the following three questions:</w:t>
      </w:r>
    </w:p>
    <w:p w14:paraId="148A532A" w14:textId="5FA7831A" w:rsidR="00E0076B" w:rsidRDefault="00E0076B" w:rsidP="007B3D97">
      <w:pPr>
        <w:pStyle w:val="NumberedOne"/>
        <w:numPr>
          <w:ilvl w:val="0"/>
          <w:numId w:val="88"/>
        </w:numPr>
        <w:spacing w:before="0"/>
        <w:ind w:left="864" w:hanging="288"/>
        <w:contextualSpacing w:val="0"/>
      </w:pPr>
      <w:r w:rsidRPr="00C34C12">
        <w:t>How engaged was</w:t>
      </w:r>
      <w:r w:rsidR="007B3D97">
        <w:t xml:space="preserve"> the student</w:t>
      </w:r>
      <w:r w:rsidRPr="00C34C12">
        <w:t xml:space="preserve"> with </w:t>
      </w:r>
      <w:r w:rsidR="007C29B1">
        <w:t>this performance task</w:t>
      </w:r>
      <w:r w:rsidRPr="00C34C12">
        <w:t>?</w:t>
      </w:r>
    </w:p>
    <w:p w14:paraId="273E720E" w14:textId="06F018EB" w:rsidR="00B17343" w:rsidRDefault="00B17343" w:rsidP="007B3D97">
      <w:pPr>
        <w:pStyle w:val="NumberedOne"/>
        <w:numPr>
          <w:ilvl w:val="2"/>
          <w:numId w:val="70"/>
        </w:numPr>
        <w:spacing w:before="120"/>
        <w:ind w:left="1152" w:hanging="288"/>
      </w:pPr>
      <w:r>
        <w:t>Fully engaged</w:t>
      </w:r>
    </w:p>
    <w:p w14:paraId="43F89150" w14:textId="51B73D92" w:rsidR="00B17343" w:rsidRDefault="00B17343" w:rsidP="007B3D97">
      <w:pPr>
        <w:pStyle w:val="NumberedOne"/>
        <w:numPr>
          <w:ilvl w:val="2"/>
          <w:numId w:val="70"/>
        </w:numPr>
        <w:spacing w:before="0"/>
        <w:ind w:left="1152" w:hanging="288"/>
      </w:pPr>
      <w:r>
        <w:t>Moderately engaged</w:t>
      </w:r>
    </w:p>
    <w:p w14:paraId="7DC1DFAE" w14:textId="47B8D724" w:rsidR="00B17343" w:rsidRPr="00C34C12" w:rsidRDefault="00605255" w:rsidP="007B3D97">
      <w:pPr>
        <w:pStyle w:val="NumberedOne"/>
        <w:numPr>
          <w:ilvl w:val="2"/>
          <w:numId w:val="70"/>
        </w:numPr>
        <w:spacing w:before="0"/>
        <w:ind w:left="1152" w:hanging="288"/>
        <w:contextualSpacing w:val="0"/>
      </w:pPr>
      <w:r>
        <w:t>Minimally</w:t>
      </w:r>
      <w:r w:rsidR="00B17343">
        <w:t xml:space="preserve"> engaged</w:t>
      </w:r>
    </w:p>
    <w:p w14:paraId="19A53CAA" w14:textId="360C6AC0" w:rsidR="00E0076B" w:rsidRPr="00C34C12" w:rsidRDefault="007C29B1" w:rsidP="00007A76">
      <w:pPr>
        <w:pStyle w:val="NumberedOne"/>
        <w:numPr>
          <w:ilvl w:val="0"/>
          <w:numId w:val="88"/>
        </w:numPr>
        <w:spacing w:before="0"/>
        <w:ind w:left="864" w:hanging="288"/>
        <w:contextualSpacing w:val="0"/>
      </w:pPr>
      <w:r>
        <w:t>Did you individualize any aspect of Orienting Activity #1 and the first five test questions, where permitted? If yes, and you used specific materials, briefly describe.</w:t>
      </w:r>
    </w:p>
    <w:p w14:paraId="73150764" w14:textId="7BE903CC" w:rsidR="00E0076B" w:rsidRPr="00C34C12" w:rsidRDefault="007C29B1" w:rsidP="00007A76">
      <w:pPr>
        <w:pStyle w:val="NumberedOne"/>
        <w:numPr>
          <w:ilvl w:val="0"/>
          <w:numId w:val="88"/>
        </w:numPr>
        <w:spacing w:before="0"/>
        <w:ind w:left="864" w:hanging="288"/>
        <w:contextualSpacing w:val="0"/>
      </w:pPr>
      <w:r>
        <w:t>Did you individualize any aspect of Orienting Activity #2 and the last five test questions, where permitted? If yes, and you used specific materials, briefly describe.</w:t>
      </w:r>
    </w:p>
    <w:p w14:paraId="270B0436" w14:textId="1526A94A" w:rsidR="008100CD" w:rsidRDefault="00D36429" w:rsidP="004A601A">
      <w:pPr>
        <w:pStyle w:val="Heading5"/>
        <w:rPr>
          <w:lang w:bidi="en-US"/>
        </w:rPr>
      </w:pPr>
      <w:r>
        <w:rPr>
          <w:lang w:bidi="en-US"/>
        </w:rPr>
        <w:t>Survey for Nonresponsive Students</w:t>
      </w:r>
    </w:p>
    <w:p w14:paraId="29FA4103" w14:textId="385A1E63" w:rsidR="00D36429" w:rsidRDefault="00D36429" w:rsidP="00D36429">
      <w:pPr>
        <w:rPr>
          <w:lang w:bidi="en-US"/>
        </w:rPr>
      </w:pPr>
      <w:r>
        <w:rPr>
          <w:lang w:bidi="en-US"/>
        </w:rPr>
        <w:t>The survey for the nonresponsi</w:t>
      </w:r>
      <w:r w:rsidR="006279AB">
        <w:rPr>
          <w:lang w:bidi="en-US"/>
        </w:rPr>
        <w:t>v</w:t>
      </w:r>
      <w:r>
        <w:rPr>
          <w:lang w:bidi="en-US"/>
        </w:rPr>
        <w:t xml:space="preserve">e students consisted of the following </w:t>
      </w:r>
      <w:r w:rsidR="00F43108">
        <w:rPr>
          <w:lang w:bidi="en-US"/>
        </w:rPr>
        <w:t xml:space="preserve">four </w:t>
      </w:r>
      <w:r>
        <w:rPr>
          <w:lang w:bidi="en-US"/>
        </w:rPr>
        <w:t>questions:</w:t>
      </w:r>
    </w:p>
    <w:p w14:paraId="5F896A44" w14:textId="2B18DDA1" w:rsidR="00D36429" w:rsidRDefault="00B17343" w:rsidP="007B3D97">
      <w:pPr>
        <w:pStyle w:val="NumberedOne"/>
        <w:numPr>
          <w:ilvl w:val="0"/>
          <w:numId w:val="86"/>
        </w:numPr>
        <w:spacing w:before="0"/>
        <w:ind w:left="864" w:hanging="288"/>
        <w:contextualSpacing w:val="0"/>
        <w:rPr>
          <w:lang w:bidi="en-US"/>
        </w:rPr>
      </w:pPr>
      <w:r w:rsidRPr="2D85FA21">
        <w:rPr>
          <w:lang w:bidi="en-US"/>
        </w:rPr>
        <w:t xml:space="preserve">Which of the following statements best explains why your student did not provide </w:t>
      </w:r>
      <w:r w:rsidR="001D0242" w:rsidRPr="2D85FA21">
        <w:rPr>
          <w:lang w:bidi="en-US"/>
        </w:rPr>
        <w:t>any response?</w:t>
      </w:r>
    </w:p>
    <w:p w14:paraId="73FB2A26" w14:textId="7B7A4CDB" w:rsidR="001D0242" w:rsidRDefault="001D0242" w:rsidP="007B3D97">
      <w:pPr>
        <w:pStyle w:val="NumberedOne"/>
        <w:numPr>
          <w:ilvl w:val="2"/>
          <w:numId w:val="89"/>
        </w:numPr>
        <w:spacing w:before="0"/>
        <w:ind w:left="1152" w:hanging="288"/>
        <w:rPr>
          <w:lang w:bidi="en-US"/>
        </w:rPr>
      </w:pPr>
      <w:r>
        <w:rPr>
          <w:lang w:bidi="en-US"/>
        </w:rPr>
        <w:t>No established mode of communication</w:t>
      </w:r>
    </w:p>
    <w:p w14:paraId="1DE35E8E" w14:textId="66311D5B" w:rsidR="001D0242" w:rsidRDefault="001D0242" w:rsidP="007B3D97">
      <w:pPr>
        <w:pStyle w:val="NumberedOne"/>
        <w:numPr>
          <w:ilvl w:val="2"/>
          <w:numId w:val="89"/>
        </w:numPr>
        <w:spacing w:before="0"/>
        <w:ind w:left="1152" w:hanging="288"/>
        <w:rPr>
          <w:lang w:bidi="en-US"/>
        </w:rPr>
      </w:pPr>
      <w:r>
        <w:rPr>
          <w:lang w:bidi="en-US"/>
        </w:rPr>
        <w:t>No observable engagement with the</w:t>
      </w:r>
      <w:r w:rsidR="00C1041D">
        <w:rPr>
          <w:lang w:bidi="en-US"/>
        </w:rPr>
        <w:t xml:space="preserve"> </w:t>
      </w:r>
      <w:r w:rsidR="0056659B">
        <w:rPr>
          <w:lang w:bidi="en-US"/>
        </w:rPr>
        <w:t>performance task</w:t>
      </w:r>
    </w:p>
    <w:p w14:paraId="35453A8D" w14:textId="53647CE2" w:rsidR="001D0242" w:rsidRDefault="001D0242" w:rsidP="007B3D97">
      <w:pPr>
        <w:pStyle w:val="NumberedOne"/>
        <w:numPr>
          <w:ilvl w:val="2"/>
          <w:numId w:val="89"/>
        </w:numPr>
        <w:spacing w:before="0"/>
        <w:ind w:left="1152" w:hanging="288"/>
        <w:rPr>
          <w:lang w:bidi="en-US"/>
        </w:rPr>
      </w:pPr>
      <w:r>
        <w:rPr>
          <w:lang w:bidi="en-US"/>
        </w:rPr>
        <w:t>Test questions seem to be too complex</w:t>
      </w:r>
    </w:p>
    <w:p w14:paraId="5117CC7B" w14:textId="4669B25B" w:rsidR="001D0242" w:rsidRDefault="001D0242" w:rsidP="007B3D97">
      <w:pPr>
        <w:pStyle w:val="NumberedOne"/>
        <w:numPr>
          <w:ilvl w:val="2"/>
          <w:numId w:val="89"/>
        </w:numPr>
        <w:spacing w:before="0"/>
        <w:ind w:left="1152" w:hanging="288"/>
        <w:rPr>
          <w:lang w:bidi="en-US"/>
        </w:rPr>
      </w:pPr>
      <w:r>
        <w:rPr>
          <w:lang w:bidi="en-US"/>
        </w:rPr>
        <w:t>Scientific concepts seem to be too complex</w:t>
      </w:r>
    </w:p>
    <w:p w14:paraId="5FEC16A3" w14:textId="2DD8F86D" w:rsidR="001D0242" w:rsidRDefault="001D0242" w:rsidP="007B3D97">
      <w:pPr>
        <w:pStyle w:val="NumberedOne"/>
        <w:numPr>
          <w:ilvl w:val="2"/>
          <w:numId w:val="89"/>
        </w:numPr>
        <w:spacing w:before="0"/>
        <w:ind w:left="1152" w:hanging="288"/>
        <w:contextualSpacing w:val="0"/>
        <w:rPr>
          <w:lang w:bidi="en-US"/>
        </w:rPr>
      </w:pPr>
      <w:r>
        <w:rPr>
          <w:lang w:bidi="en-US"/>
        </w:rPr>
        <w:t>Other</w:t>
      </w:r>
    </w:p>
    <w:p w14:paraId="54A7C42E" w14:textId="446BEC05" w:rsidR="001D0242" w:rsidRDefault="001D0242" w:rsidP="008F0769">
      <w:pPr>
        <w:pStyle w:val="NumberedOne"/>
        <w:keepNext/>
        <w:keepLines/>
        <w:numPr>
          <w:ilvl w:val="0"/>
          <w:numId w:val="86"/>
        </w:numPr>
        <w:spacing w:before="0"/>
        <w:ind w:left="864" w:hanging="288"/>
        <w:contextualSpacing w:val="0"/>
        <w:rPr>
          <w:lang w:bidi="en-US"/>
        </w:rPr>
      </w:pPr>
      <w:r>
        <w:rPr>
          <w:lang w:bidi="en-US"/>
        </w:rPr>
        <w:lastRenderedPageBreak/>
        <w:t xml:space="preserve">During </w:t>
      </w:r>
      <w:r w:rsidR="00126BC2">
        <w:rPr>
          <w:lang w:bidi="en-US"/>
        </w:rPr>
        <w:t xml:space="preserve">classroom instruction, what mode or modes of communication does your student use? </w:t>
      </w:r>
      <w:r w:rsidR="0056659B">
        <w:rPr>
          <w:lang w:bidi="en-US"/>
        </w:rPr>
        <w:t xml:space="preserve">Select </w:t>
      </w:r>
      <w:r w:rsidR="00126BC2">
        <w:rPr>
          <w:lang w:bidi="en-US"/>
        </w:rPr>
        <w:t>all that apply</w:t>
      </w:r>
      <w:r w:rsidR="0056659B">
        <w:rPr>
          <w:lang w:bidi="en-US"/>
        </w:rPr>
        <w:t>.</w:t>
      </w:r>
    </w:p>
    <w:p w14:paraId="62B8A892" w14:textId="65616B5B" w:rsidR="00126BC2" w:rsidRDefault="00126BC2" w:rsidP="008F0769">
      <w:pPr>
        <w:pStyle w:val="NumberedOne"/>
        <w:keepNext/>
        <w:keepLines/>
        <w:numPr>
          <w:ilvl w:val="2"/>
          <w:numId w:val="87"/>
        </w:numPr>
        <w:spacing w:before="0"/>
        <w:ind w:left="1152" w:hanging="288"/>
        <w:rPr>
          <w:lang w:bidi="en-US"/>
        </w:rPr>
      </w:pPr>
      <w:r>
        <w:rPr>
          <w:lang w:bidi="en-US"/>
        </w:rPr>
        <w:t>Mouse, touchscreen, computer keyboard, or any combination of these</w:t>
      </w:r>
    </w:p>
    <w:p w14:paraId="65606004" w14:textId="3B1A06BB" w:rsidR="00126BC2" w:rsidRDefault="00126BC2" w:rsidP="008F0769">
      <w:pPr>
        <w:pStyle w:val="NumberedOne"/>
        <w:keepNext/>
        <w:keepLines/>
        <w:numPr>
          <w:ilvl w:val="2"/>
          <w:numId w:val="87"/>
        </w:numPr>
        <w:spacing w:before="0"/>
        <w:ind w:left="1152" w:hanging="288"/>
        <w:rPr>
          <w:lang w:bidi="en-US"/>
        </w:rPr>
      </w:pPr>
      <w:r>
        <w:rPr>
          <w:lang w:bidi="en-US"/>
        </w:rPr>
        <w:t>Verbal response</w:t>
      </w:r>
    </w:p>
    <w:p w14:paraId="70810D52" w14:textId="08FB34CD" w:rsidR="00126BC2" w:rsidRDefault="00126BC2" w:rsidP="008F0769">
      <w:pPr>
        <w:pStyle w:val="NumberedOne"/>
        <w:keepNext/>
        <w:keepLines/>
        <w:numPr>
          <w:ilvl w:val="2"/>
          <w:numId w:val="87"/>
        </w:numPr>
        <w:spacing w:before="0"/>
        <w:ind w:left="1152" w:hanging="288"/>
        <w:rPr>
          <w:lang w:bidi="en-US"/>
        </w:rPr>
      </w:pPr>
      <w:r>
        <w:rPr>
          <w:lang w:bidi="en-US"/>
        </w:rPr>
        <w:t>Gestures or pointing</w:t>
      </w:r>
    </w:p>
    <w:p w14:paraId="28254EFA" w14:textId="46DC8B83" w:rsidR="00126BC2" w:rsidRDefault="00126BC2" w:rsidP="008F0769">
      <w:pPr>
        <w:pStyle w:val="NumberedOne"/>
        <w:keepNext/>
        <w:keepLines/>
        <w:numPr>
          <w:ilvl w:val="2"/>
          <w:numId w:val="87"/>
        </w:numPr>
        <w:spacing w:before="0"/>
        <w:ind w:left="1152" w:hanging="288"/>
        <w:rPr>
          <w:lang w:bidi="en-US"/>
        </w:rPr>
      </w:pPr>
      <w:r>
        <w:rPr>
          <w:lang w:bidi="en-US"/>
        </w:rPr>
        <w:t>Written response</w:t>
      </w:r>
    </w:p>
    <w:p w14:paraId="15E0FBC8" w14:textId="417E9751" w:rsidR="00126BC2" w:rsidRDefault="00126BC2" w:rsidP="007B3D97">
      <w:pPr>
        <w:pStyle w:val="NumberedOne"/>
        <w:numPr>
          <w:ilvl w:val="2"/>
          <w:numId w:val="87"/>
        </w:numPr>
        <w:spacing w:before="0"/>
        <w:ind w:left="1152" w:hanging="288"/>
        <w:rPr>
          <w:lang w:bidi="en-US"/>
        </w:rPr>
      </w:pPr>
      <w:r>
        <w:rPr>
          <w:lang w:bidi="en-US"/>
        </w:rPr>
        <w:t>Augmentative and alternative communication device</w:t>
      </w:r>
    </w:p>
    <w:p w14:paraId="307FE813" w14:textId="2D327C9B" w:rsidR="00126BC2" w:rsidRDefault="00126BC2" w:rsidP="007B3D97">
      <w:pPr>
        <w:pStyle w:val="NumberedOne"/>
        <w:numPr>
          <w:ilvl w:val="2"/>
          <w:numId w:val="87"/>
        </w:numPr>
        <w:spacing w:before="0"/>
        <w:ind w:left="1152" w:hanging="288"/>
        <w:rPr>
          <w:lang w:bidi="en-US"/>
        </w:rPr>
      </w:pPr>
      <w:r>
        <w:rPr>
          <w:lang w:bidi="en-US"/>
        </w:rPr>
        <w:t>Eye gaze</w:t>
      </w:r>
    </w:p>
    <w:p w14:paraId="04E31D14" w14:textId="54212D92" w:rsidR="00126BC2" w:rsidRDefault="00126BC2" w:rsidP="007B3D97">
      <w:pPr>
        <w:pStyle w:val="NumberedOne"/>
        <w:numPr>
          <w:ilvl w:val="2"/>
          <w:numId w:val="87"/>
        </w:numPr>
        <w:spacing w:before="0"/>
        <w:ind w:left="1152" w:hanging="288"/>
        <w:rPr>
          <w:lang w:bidi="en-US"/>
        </w:rPr>
      </w:pPr>
      <w:r>
        <w:rPr>
          <w:lang w:bidi="en-US"/>
        </w:rPr>
        <w:t>Nonresponsive</w:t>
      </w:r>
    </w:p>
    <w:p w14:paraId="17DE0C17" w14:textId="704E7005" w:rsidR="00126BC2" w:rsidRDefault="00126BC2" w:rsidP="007B3D97">
      <w:pPr>
        <w:pStyle w:val="NumberedOne"/>
        <w:numPr>
          <w:ilvl w:val="2"/>
          <w:numId w:val="87"/>
        </w:numPr>
        <w:spacing w:before="0"/>
        <w:ind w:left="1152" w:hanging="288"/>
        <w:contextualSpacing w:val="0"/>
        <w:rPr>
          <w:lang w:bidi="en-US"/>
        </w:rPr>
      </w:pPr>
      <w:r>
        <w:rPr>
          <w:lang w:bidi="en-US"/>
        </w:rPr>
        <w:t>Other</w:t>
      </w:r>
    </w:p>
    <w:p w14:paraId="66C0BE10" w14:textId="5C7AD98D" w:rsidR="00126BC2" w:rsidRDefault="00683195" w:rsidP="007B3D97">
      <w:pPr>
        <w:pStyle w:val="NumberedOne"/>
        <w:numPr>
          <w:ilvl w:val="0"/>
          <w:numId w:val="86"/>
        </w:numPr>
        <w:spacing w:before="0"/>
        <w:ind w:left="864" w:hanging="288"/>
        <w:contextualSpacing w:val="0"/>
        <w:rPr>
          <w:lang w:bidi="en-US"/>
        </w:rPr>
      </w:pPr>
      <w:r>
        <w:rPr>
          <w:lang w:bidi="en-US"/>
        </w:rPr>
        <w:t>What method(s) did you use to elicit a response from your student?</w:t>
      </w:r>
    </w:p>
    <w:p w14:paraId="6FF8E0B1" w14:textId="5FF17A55" w:rsidR="00683195" w:rsidRPr="00B17343" w:rsidRDefault="00683195" w:rsidP="007B3D97">
      <w:pPr>
        <w:pStyle w:val="NumberedOne"/>
        <w:numPr>
          <w:ilvl w:val="0"/>
          <w:numId w:val="86"/>
        </w:numPr>
        <w:spacing w:before="0"/>
        <w:ind w:left="864" w:hanging="288"/>
        <w:contextualSpacing w:val="0"/>
        <w:rPr>
          <w:lang w:bidi="en-US"/>
        </w:rPr>
      </w:pPr>
      <w:r w:rsidRPr="2D85FA21">
        <w:rPr>
          <w:lang w:bidi="en-US"/>
        </w:rPr>
        <w:t xml:space="preserve">How might this embedded </w:t>
      </w:r>
      <w:r w:rsidR="0056659B">
        <w:rPr>
          <w:lang w:bidi="en-US"/>
        </w:rPr>
        <w:t>performance task</w:t>
      </w:r>
      <w:r w:rsidRPr="2D85FA21">
        <w:rPr>
          <w:lang w:bidi="en-US"/>
        </w:rPr>
        <w:t xml:space="preserve"> be changed so your student could be successful in showing what they know and can do?</w:t>
      </w:r>
    </w:p>
    <w:p w14:paraId="325A7418" w14:textId="61CB1729" w:rsidR="00EC7F83" w:rsidRPr="004B2D24" w:rsidRDefault="003E607A" w:rsidP="00670FD2">
      <w:pPr>
        <w:pStyle w:val="Heading2"/>
      </w:pPr>
      <w:bookmarkStart w:id="1080" w:name="_Quality_Control_Procedures"/>
      <w:bookmarkStart w:id="1081" w:name="_Toc182555252"/>
      <w:bookmarkEnd w:id="1080"/>
      <w:r w:rsidRPr="004B2D24">
        <w:lastRenderedPageBreak/>
        <w:t>Quality Control Procedures</w:t>
      </w:r>
      <w:bookmarkEnd w:id="1081"/>
    </w:p>
    <w:p w14:paraId="50002503" w14:textId="74EA3CD0" w:rsidR="0007470A" w:rsidRPr="00C34C12" w:rsidRDefault="0007470A" w:rsidP="0007470A">
      <w:pPr>
        <w:keepNext/>
      </w:pPr>
      <w:r w:rsidRPr="00C34C12">
        <w:t>The California Department of Education (CDE) and ETS implemented rigorous quality control procedures throughout the test development, administration, scoring, analyses, and reporting processes</w:t>
      </w:r>
      <w:r w:rsidR="001D6AD6">
        <w:t xml:space="preserve"> associated with the California Alternate Assessment (CAA) for Science</w:t>
      </w:r>
      <w:r w:rsidRPr="00C34C12">
        <w:t xml:space="preserve">. As part of this effort, ETS California Assessment of Student Performance and Progress (CAASPP) program staff worked with the ETS Office of </w:t>
      </w:r>
      <w:bookmarkStart w:id="1082" w:name="_Hlk67464978"/>
      <w:r w:rsidRPr="00C34C12">
        <w:t xml:space="preserve">Professional Standards Compliance, which publishes and maintains the </w:t>
      </w:r>
      <w:r w:rsidRPr="00C34C12">
        <w:rPr>
          <w:i/>
          <w:iCs/>
        </w:rPr>
        <w:t>ETS Standards for Quality and Fairness</w:t>
      </w:r>
      <w:r w:rsidRPr="00C34C12">
        <w:t xml:space="preserve"> (ETS, 2014). These </w:t>
      </w:r>
      <w:r w:rsidRPr="00C34C12">
        <w:rPr>
          <w:i/>
          <w:iCs/>
        </w:rPr>
        <w:t>Standards</w:t>
      </w:r>
      <w:r w:rsidRPr="00C34C12">
        <w:t xml:space="preserve"> support the goals of delivering </w:t>
      </w:r>
      <w:bookmarkEnd w:id="1082"/>
      <w:r w:rsidRPr="00C34C12">
        <w:t>technically sound, fair, and useful products and services; and assisting the public and auditors evaluating those products and services. Quality control procedures are outlined in this chapter.</w:t>
      </w:r>
    </w:p>
    <w:p w14:paraId="3C12D03F" w14:textId="48DF041A" w:rsidR="00CB6EB0" w:rsidRDefault="003E607A" w:rsidP="008100CD">
      <w:pPr>
        <w:pStyle w:val="Heading3"/>
      </w:pPr>
      <w:bookmarkStart w:id="1083" w:name="_Toc182555253"/>
      <w:r w:rsidRPr="004B2D24">
        <w:t xml:space="preserve">Quality Control of </w:t>
      </w:r>
      <w:r w:rsidR="004B7E41" w:rsidRPr="004B2D24">
        <w:t>Embedded P</w:t>
      </w:r>
      <w:r w:rsidR="00C66744" w:rsidRPr="00C34C12">
        <w:t>erformance</w:t>
      </w:r>
      <w:r w:rsidR="00C66744">
        <w:t xml:space="preserve"> </w:t>
      </w:r>
      <w:r w:rsidR="004B7E41" w:rsidRPr="004B2D24">
        <w:t>T</w:t>
      </w:r>
      <w:r w:rsidR="00C66744">
        <w:t>ask</w:t>
      </w:r>
      <w:r w:rsidR="004B7E41" w:rsidRPr="004B2D24">
        <w:t xml:space="preserve"> </w:t>
      </w:r>
      <w:r w:rsidRPr="004B2D24">
        <w:t>Development</w:t>
      </w:r>
      <w:bookmarkEnd w:id="1083"/>
    </w:p>
    <w:p w14:paraId="1366E30A" w14:textId="7A83C7B5" w:rsidR="0007470A" w:rsidRPr="00C34C12" w:rsidRDefault="0007470A" w:rsidP="0007470A">
      <w:r w:rsidRPr="00C34C12">
        <w:t>ETS’ goal is to provide the best standards-based embedded performance tasks (PTs) for the CAA for Science. Embedded PTs developed for the CAA for Science underwent an extensive embedded PT review process. The item writers hired to develop CAA items were trained in CAASPP and ETS policies on quality control of item content, sensitivity, and bias guidelines, as well as on guidelines for accessibility, to ensure that the items allow the widest possible range of students to demonstrate their content knowledge.</w:t>
      </w:r>
    </w:p>
    <w:p w14:paraId="6D20BA71" w14:textId="2C91608B" w:rsidR="0007470A" w:rsidRPr="00C34C12" w:rsidRDefault="0007470A" w:rsidP="0007470A">
      <w:r w:rsidRPr="00C34C12">
        <w:t xml:space="preserve">Once a written item was accepted for authoring—that is, once it was entered into ETS’ item bank and formatted for use in an assessment—ETS employed a series of internal and external reviews. These reviews used established criteria and specifications to judge the quality of items and to ensure that each item measured what it was intended to measure. These reviews also examined the overall quality of the test items before they were presented to the CDE and item reviewers. Finally, a group of California educators reviewed the items for accessibility, bias and sensitivity, and content prior to their administration to students. The details on quality control of item development are described in section </w:t>
      </w:r>
      <w:hyperlink w:anchor="_ETS_Item_Review" w:history="1">
        <w:r w:rsidRPr="00C34C12">
          <w:rPr>
            <w:rStyle w:val="Hyperlink"/>
            <w:i/>
          </w:rPr>
          <w:t>3.2 E</w:t>
        </w:r>
        <w:r w:rsidR="00610633">
          <w:rPr>
            <w:rStyle w:val="Hyperlink"/>
            <w:i/>
          </w:rPr>
          <w:t>TS</w:t>
        </w:r>
        <w:r w:rsidRPr="00C34C12">
          <w:rPr>
            <w:rStyle w:val="Hyperlink"/>
            <w:i/>
          </w:rPr>
          <w:t xml:space="preserve"> Item Review Process</w:t>
        </w:r>
      </w:hyperlink>
      <w:r w:rsidRPr="00C34C12">
        <w:t>.</w:t>
      </w:r>
    </w:p>
    <w:p w14:paraId="2E0CBC18" w14:textId="7B4969E6" w:rsidR="00635862" w:rsidRDefault="003E607A" w:rsidP="008100CD">
      <w:pPr>
        <w:pStyle w:val="Heading3"/>
      </w:pPr>
      <w:bookmarkStart w:id="1084" w:name="_Toc182555254"/>
      <w:bookmarkStart w:id="1085" w:name="_Hlk54184226"/>
      <w:r w:rsidRPr="004B2D24">
        <w:t>Quality Control of Test Assembly and Delivery</w:t>
      </w:r>
      <w:bookmarkEnd w:id="1084"/>
    </w:p>
    <w:p w14:paraId="7D27567A" w14:textId="60317CA7" w:rsidR="0007470A" w:rsidRDefault="0007470A" w:rsidP="0007470A">
      <w:r w:rsidRPr="00C34C12">
        <w:t xml:space="preserve">The assembly of all test forms must conform to the mutually agreed-upon test design that represents a set of constraints and specifications. These constraints are critical to the </w:t>
      </w:r>
      <w:bookmarkStart w:id="1086" w:name="_Hlk67464988"/>
      <w:r w:rsidRPr="00C34C12">
        <w:t>formation of valid assessments. The blueprint</w:t>
      </w:r>
      <w:r w:rsidR="006C488D">
        <w:t>s</w:t>
      </w:r>
      <w:r w:rsidRPr="00C34C12">
        <w:t xml:space="preserve"> for the CAA for Science </w:t>
      </w:r>
      <w:r w:rsidR="006C488D">
        <w:t>were</w:t>
      </w:r>
      <w:r w:rsidR="006C488D" w:rsidRPr="00C34C12">
        <w:t xml:space="preserve"> </w:t>
      </w:r>
      <w:r w:rsidRPr="00C34C12">
        <w:t>approved in January 2018 and test forms were assembled following the approved blueprint</w:t>
      </w:r>
      <w:r w:rsidR="009363F9">
        <w:t>s</w:t>
      </w:r>
      <w:r w:rsidRPr="00C34C12">
        <w:t xml:space="preserve"> (CDE, 2018).</w:t>
      </w:r>
    </w:p>
    <w:p w14:paraId="3EE7E84E" w14:textId="6FB68C74" w:rsidR="0007470A" w:rsidRPr="00C34C12" w:rsidRDefault="0007470A" w:rsidP="0007470A">
      <w:pPr>
        <w:pStyle w:val="Heading4"/>
        <w:ind w:left="792" w:hanging="792"/>
      </w:pPr>
      <w:bookmarkStart w:id="1087" w:name="_Toc38901353"/>
      <w:bookmarkStart w:id="1088" w:name="_Toc182555255"/>
      <w:bookmarkEnd w:id="1086"/>
      <w:r w:rsidRPr="00C34C12">
        <w:t>Quality Control of Test Form Development</w:t>
      </w:r>
      <w:bookmarkEnd w:id="1087"/>
      <w:bookmarkEnd w:id="1088"/>
    </w:p>
    <w:p w14:paraId="61C7D94B" w14:textId="2A1593CF" w:rsidR="0007470A" w:rsidRPr="00C34C12" w:rsidRDefault="0007470A" w:rsidP="0007470A">
      <w:r w:rsidRPr="00C34C12">
        <w:t>ETS conducted multiple levels of quality assurance</w:t>
      </w:r>
      <w:r w:rsidR="0068508B">
        <w:t xml:space="preserve"> (QA)</w:t>
      </w:r>
      <w:r w:rsidRPr="00C34C12">
        <w:t xml:space="preserve"> checks on each constructed test form to ensure it met defined statistical criteria. For the </w:t>
      </w:r>
      <w:r>
        <w:t>201</w:t>
      </w:r>
      <w:r w:rsidR="26910DBD">
        <w:t>9</w:t>
      </w:r>
      <w:r>
        <w:t>–20</w:t>
      </w:r>
      <w:r w:rsidR="26F848FC">
        <w:t>20</w:t>
      </w:r>
      <w:r w:rsidRPr="00C34C12">
        <w:t xml:space="preserve"> CAA for Science, both ETS Assessment </w:t>
      </w:r>
      <w:r w:rsidR="00483AE7">
        <w:t>and</w:t>
      </w:r>
      <w:r w:rsidRPr="00C34C12">
        <w:t xml:space="preserve"> Learning Technology</w:t>
      </w:r>
      <w:r w:rsidR="00726681">
        <w:t xml:space="preserve"> Research </w:t>
      </w:r>
      <w:r w:rsidR="00483AE7">
        <w:t>&amp;</w:t>
      </w:r>
      <w:r w:rsidRPr="00C34C12">
        <w:t xml:space="preserve"> Development (ALT</w:t>
      </w:r>
      <w:r w:rsidR="009D1E0A">
        <w:t>R</w:t>
      </w:r>
      <w:r w:rsidRPr="00C34C12">
        <w:t>D)</w:t>
      </w:r>
      <w:r w:rsidRPr="00C34C12" w:rsidDel="00ED3B40">
        <w:t xml:space="preserve"> </w:t>
      </w:r>
      <w:r w:rsidRPr="00C34C12">
        <w:t>and psychometric staff reviewed and signed off on the accuracy of forms before the test forms were put into productio</w:t>
      </w:r>
      <w:r w:rsidR="00F728B6">
        <w:t>n</w:t>
      </w:r>
      <w:r w:rsidRPr="00C34C12">
        <w:t xml:space="preserve">. Detailed information related to test assembly can be found in </w:t>
      </w:r>
      <w:hyperlink w:anchor="_Test_Assembly_1" w:history="1">
        <w:r w:rsidR="00E14D9A" w:rsidRPr="00382ADF">
          <w:rPr>
            <w:rStyle w:val="Hyperlink"/>
            <w:i/>
            <w:iCs/>
          </w:rPr>
          <w:t>Chapter 4: Test Assembly</w:t>
        </w:r>
      </w:hyperlink>
      <w:r w:rsidRPr="00C34C12">
        <w:t>.</w:t>
      </w:r>
    </w:p>
    <w:p w14:paraId="4AE7EDBC" w14:textId="77777777" w:rsidR="0007470A" w:rsidRPr="00C34C12" w:rsidRDefault="0007470A" w:rsidP="0007470A">
      <w:pPr>
        <w:keepNext/>
        <w:keepLines/>
      </w:pPr>
      <w:r w:rsidRPr="00C34C12">
        <w:lastRenderedPageBreak/>
        <w:t>In particular, the assembly of all test forms went through a certification process that included various checks to verify that</w:t>
      </w:r>
    </w:p>
    <w:p w14:paraId="3E9816D2" w14:textId="6E3509E5" w:rsidR="0007470A" w:rsidRPr="00C34C12" w:rsidRDefault="0007470A" w:rsidP="0007470A">
      <w:pPr>
        <w:pStyle w:val="bullets-one"/>
      </w:pPr>
      <w:r w:rsidRPr="00C34C12">
        <w:t>all correct answers were correct</w:t>
      </w:r>
      <w:r w:rsidR="00BE50A6">
        <w:t>;</w:t>
      </w:r>
    </w:p>
    <w:p w14:paraId="6BB041BD" w14:textId="03C998DF" w:rsidR="0007470A" w:rsidRPr="00C34C12" w:rsidRDefault="0007470A" w:rsidP="0007470A">
      <w:pPr>
        <w:pStyle w:val="bullets-one"/>
      </w:pPr>
      <w:r w:rsidRPr="00C34C12">
        <w:t>items were scored correctly in the item bank</w:t>
      </w:r>
      <w:r w:rsidR="00BE50A6">
        <w:t>;</w:t>
      </w:r>
    </w:p>
    <w:p w14:paraId="63D6EC7D" w14:textId="67FA4E18" w:rsidR="0007470A" w:rsidRPr="00C34C12" w:rsidRDefault="0007470A" w:rsidP="0007470A">
      <w:pPr>
        <w:pStyle w:val="bullets-one"/>
      </w:pPr>
      <w:r w:rsidRPr="00C34C12">
        <w:t>all embedded PTs aligned with the standard</w:t>
      </w:r>
      <w:r w:rsidR="00BE50A6">
        <w:t>;</w:t>
      </w:r>
    </w:p>
    <w:p w14:paraId="473B68ED" w14:textId="0892D992" w:rsidR="0007470A" w:rsidRPr="00C34C12" w:rsidRDefault="0007470A" w:rsidP="0007470A">
      <w:pPr>
        <w:pStyle w:val="bullets-one"/>
      </w:pPr>
      <w:r w:rsidRPr="00C34C12">
        <w:t>all content in the embedded PT was correct</w:t>
      </w:r>
      <w:r w:rsidR="00BE50A6">
        <w:t>;</w:t>
      </w:r>
    </w:p>
    <w:p w14:paraId="4D352D0E" w14:textId="04B16A45" w:rsidR="0007470A" w:rsidRPr="00C34C12" w:rsidRDefault="0007470A" w:rsidP="0007470A">
      <w:pPr>
        <w:pStyle w:val="bullets-one"/>
      </w:pPr>
      <w:r w:rsidRPr="00C34C12">
        <w:t>distractors were plausible</w:t>
      </w:r>
      <w:r w:rsidR="00BE50A6">
        <w:t>;</w:t>
      </w:r>
    </w:p>
    <w:p w14:paraId="0C0E4D94" w14:textId="25467D55" w:rsidR="0007470A" w:rsidRPr="00C34C12" w:rsidRDefault="0007470A" w:rsidP="0007470A">
      <w:pPr>
        <w:pStyle w:val="bullets-one"/>
      </w:pPr>
      <w:r w:rsidRPr="00C34C12">
        <w:t>multiple-choice item options were parallel in structure</w:t>
      </w:r>
      <w:r w:rsidR="00BE50A6">
        <w:t>;</w:t>
      </w:r>
    </w:p>
    <w:p w14:paraId="1BC2D1ED" w14:textId="1C42FC6C" w:rsidR="0007470A" w:rsidRPr="00C34C12" w:rsidRDefault="0007470A" w:rsidP="0007470A">
      <w:pPr>
        <w:pStyle w:val="bullets-one"/>
      </w:pPr>
      <w:r w:rsidRPr="00C34C12">
        <w:t>language was grade-level appropriate</w:t>
      </w:r>
      <w:r w:rsidR="00BE50A6">
        <w:t>;</w:t>
      </w:r>
    </w:p>
    <w:p w14:paraId="1BFC3C8E" w14:textId="50DA8D35" w:rsidR="0007470A" w:rsidRPr="00C34C12" w:rsidRDefault="0007470A" w:rsidP="0007470A">
      <w:pPr>
        <w:pStyle w:val="bullets-one"/>
      </w:pPr>
      <w:r w:rsidRPr="00C34C12">
        <w:t>no more than three multiple-choice items in a row had the same key</w:t>
      </w:r>
      <w:r w:rsidR="00BE50A6">
        <w:t>;</w:t>
      </w:r>
    </w:p>
    <w:p w14:paraId="36ABC3B1" w14:textId="174517AF" w:rsidR="0007470A" w:rsidRPr="00C34C12" w:rsidRDefault="0007470A" w:rsidP="0007470A">
      <w:pPr>
        <w:pStyle w:val="bullets-one"/>
      </w:pPr>
      <w:r w:rsidRPr="00C34C12">
        <w:t xml:space="preserve">all </w:t>
      </w:r>
      <w:r w:rsidR="00BE50A6">
        <w:t>graphics were</w:t>
      </w:r>
      <w:r w:rsidRPr="00C34C12">
        <w:t xml:space="preserve"> correct</w:t>
      </w:r>
      <w:r w:rsidR="00BE50A6">
        <w:t xml:space="preserve"> (copyright, spelling, relevance, etc.);</w:t>
      </w:r>
    </w:p>
    <w:p w14:paraId="767F284D" w14:textId="50AA5277" w:rsidR="0007470A" w:rsidRPr="00C34C12" w:rsidRDefault="0007470A" w:rsidP="0007470A">
      <w:pPr>
        <w:pStyle w:val="bullets-one"/>
      </w:pPr>
      <w:r w:rsidRPr="00C34C12">
        <w:t>there were no errors in spelling or grammar</w:t>
      </w:r>
      <w:r w:rsidR="00BE50A6">
        <w:t>;</w:t>
      </w:r>
      <w:r w:rsidRPr="00C34C12">
        <w:t xml:space="preserve"> and</w:t>
      </w:r>
    </w:p>
    <w:p w14:paraId="073A0B5C" w14:textId="77777777" w:rsidR="0007470A" w:rsidRPr="00C34C12" w:rsidRDefault="0007470A" w:rsidP="0007470A">
      <w:pPr>
        <w:pStyle w:val="bullets-one"/>
      </w:pPr>
      <w:r w:rsidRPr="00C34C12">
        <w:t>embedded PTs adhered to the approved style guide.</w:t>
      </w:r>
    </w:p>
    <w:p w14:paraId="58D285C9" w14:textId="77777777" w:rsidR="0007470A" w:rsidRPr="00C34C12" w:rsidRDefault="0007470A" w:rsidP="0007470A">
      <w:r w:rsidRPr="00C34C12">
        <w:t>Reviews were also conducted for functionality and sequencing during the user acceptance testing (UAT) process to ensure all items functioned as expected.</w:t>
      </w:r>
    </w:p>
    <w:p w14:paraId="1F636728" w14:textId="77777777" w:rsidR="0007470A" w:rsidRPr="00C34C12" w:rsidRDefault="0007470A" w:rsidP="0007470A">
      <w:pPr>
        <w:pStyle w:val="Heading4"/>
        <w:ind w:left="792" w:hanging="792"/>
      </w:pPr>
      <w:bookmarkStart w:id="1089" w:name="_Toc38901354"/>
      <w:bookmarkStart w:id="1090" w:name="_Toc182555256"/>
      <w:r w:rsidRPr="00C34C12">
        <w:t>Quality Control of Test Assignment</w:t>
      </w:r>
      <w:bookmarkEnd w:id="1089"/>
      <w:bookmarkEnd w:id="1090"/>
    </w:p>
    <w:p w14:paraId="43793C07" w14:textId="73718728" w:rsidR="0007470A" w:rsidRPr="00C34C12" w:rsidRDefault="0007470A" w:rsidP="0007470A">
      <w:r w:rsidRPr="00C34C12">
        <w:t xml:space="preserve">Test assignment for the CAASPP, including the CAA for Science, is controlled </w:t>
      </w:r>
      <w:bookmarkStart w:id="1091" w:name="_Hlk67464998"/>
      <w:r w:rsidRPr="00C34C12">
        <w:t>by the Test Operations Management System (TOMS) using student information received from the California Longitudinal Pupil Achievement Data System (CALPADS) (CDE, 20</w:t>
      </w:r>
      <w:r w:rsidR="00CB66D3">
        <w:t>20</w:t>
      </w:r>
      <w:r w:rsidRPr="00C34C12">
        <w:t>). The two systems are kept in sync during the testing window.</w:t>
      </w:r>
    </w:p>
    <w:bookmarkEnd w:id="1091"/>
    <w:p w14:paraId="1D00B1DC" w14:textId="6C5593DF" w:rsidR="0007470A" w:rsidRPr="00C34C12" w:rsidRDefault="0007470A" w:rsidP="0007470A">
      <w:r w:rsidRPr="00C34C12">
        <w:t>Students at eligible grade levels were assigned to the Smarter Balanced assessments (in grades three through eight and grade eleven) and the California Science Test (CAST) (grades five and eight and high school) by default. For students eligible for the CAA for Science—that is, grades five</w:t>
      </w:r>
      <w:r w:rsidR="006F4C14">
        <w:t xml:space="preserve"> and</w:t>
      </w:r>
      <w:r w:rsidRPr="00C34C12">
        <w:t xml:space="preserve"> eight and high school (grade ten, eleven, or twelve)—local educational agencies (LEAs) logged on to TOMS and assigned students to take the alternate assessment, which automatically unassigned those students from taking the CAST.</w:t>
      </w:r>
    </w:p>
    <w:p w14:paraId="3EB40C2E" w14:textId="77777777" w:rsidR="0007470A" w:rsidRPr="00C34C12" w:rsidRDefault="0007470A" w:rsidP="0007470A">
      <w:r w:rsidRPr="00C34C12">
        <w:t>The quality of test assignment for the CAA for Science was monitored and controlled through several strategies. TOMS enforced preconditions for eligibility for the CAAs by permitting assignment only for students with an Individuals with Disabilities Education Act</w:t>
      </w:r>
      <w:r w:rsidRPr="00C34C12">
        <w:rPr>
          <w:rStyle w:val="FootnoteReference"/>
        </w:rPr>
        <w:footnoteReference w:id="10"/>
      </w:r>
      <w:r w:rsidRPr="00C34C12">
        <w:t xml:space="preserve"> indicator of “Yes” in TOMS. This indicator is set to “Yes” when the CALPADS </w:t>
      </w:r>
      <w:r w:rsidRPr="00C34C12">
        <w:rPr>
          <w:i/>
        </w:rPr>
        <w:t xml:space="preserve">Education Program </w:t>
      </w:r>
      <w:r w:rsidRPr="00C34C12">
        <w:t>field (field 3.13) is equal to 144 (Special Education) and the primary disability code (field 3.21) is not set to blank.</w:t>
      </w:r>
    </w:p>
    <w:p w14:paraId="1C441096" w14:textId="77777777" w:rsidR="0007470A" w:rsidRPr="00C34C12" w:rsidRDefault="0007470A" w:rsidP="0007470A">
      <w:r w:rsidRPr="00C34C12">
        <w:t>Additionally, TOMS prevented the prohibited “mixing and matching” of assessments. For example, a student assigned to take an alternate assessment for any content area will automatically be prevented from assignment to a general assessment for another content area.</w:t>
      </w:r>
    </w:p>
    <w:p w14:paraId="7A3D1617" w14:textId="77777777" w:rsidR="0007470A" w:rsidRPr="00C34C12" w:rsidRDefault="0007470A" w:rsidP="0007470A">
      <w:pPr>
        <w:pStyle w:val="Heading4"/>
        <w:ind w:left="792" w:hanging="792"/>
      </w:pPr>
      <w:bookmarkStart w:id="1092" w:name="_Quality_Control_of_1"/>
      <w:bookmarkStart w:id="1093" w:name="_Quality_Control_of"/>
      <w:bookmarkStart w:id="1094" w:name="_Toc38901355"/>
      <w:bookmarkStart w:id="1095" w:name="_Toc182555257"/>
      <w:bookmarkEnd w:id="1092"/>
      <w:bookmarkEnd w:id="1093"/>
      <w:r w:rsidRPr="00C34C12">
        <w:lastRenderedPageBreak/>
        <w:t>Quality Control of Test Administration</w:t>
      </w:r>
      <w:bookmarkEnd w:id="1094"/>
      <w:bookmarkEnd w:id="1095"/>
    </w:p>
    <w:p w14:paraId="14857B20" w14:textId="77777777" w:rsidR="0007470A" w:rsidRPr="00C34C12" w:rsidRDefault="0007470A" w:rsidP="0007470A">
      <w:pPr>
        <w:keepLines/>
      </w:pPr>
      <w:r w:rsidRPr="00C34C12">
        <w:t>The quality of test administration is managed through comprehensive rules and guidelines for maintaining the security and standardization of CAASPP assessments, including the CAA for Science. LEAs received training on these topics and were provided with tools to report security incidents and resolve testing discrepancies for specific testing sessions.</w:t>
      </w:r>
    </w:p>
    <w:p w14:paraId="5FD13D62" w14:textId="28CADF29" w:rsidR="0007470A" w:rsidRPr="00C34C12" w:rsidRDefault="0007470A" w:rsidP="0007470A">
      <w:r w:rsidRPr="00C34C12">
        <w:t xml:space="preserve">Several strategies are utilized to monitor and control the quality of test administration for the CAA for Science as well as all assessments administered as part of the CAASPP System. A fully staffed support center, the California Technical Assistance Center (CalTAC), supports all LEAs in the administration of all CAASPP assessments. CalTAC is guided by a core group of LEA outreach and advocacy staff who manage communications to LEAs, regional and web-based trainings, and </w:t>
      </w:r>
      <w:r w:rsidR="004277A3">
        <w:t>the CAASPP</w:t>
      </w:r>
      <w:r w:rsidRPr="00C34C12">
        <w:t xml:space="preserve"> website, </w:t>
      </w:r>
      <w:r w:rsidR="004277A3">
        <w:t>which</w:t>
      </w:r>
      <w:r w:rsidRPr="00C34C12">
        <w:t xml:space="preserve"> houses a full range of manuals, videos, and other instructional and support materials. In addition to providing guidance and answering questions, CalTAC regularly conducts outreach campaigns on particular administration topics to ensure all LEAs understand correct test administration procedures.</w:t>
      </w:r>
    </w:p>
    <w:p w14:paraId="792CD2BB" w14:textId="2E63B18C" w:rsidR="0007470A" w:rsidRPr="00C34C12" w:rsidRDefault="0007470A" w:rsidP="0007470A">
      <w:r w:rsidRPr="00C34C12">
        <w:t xml:space="preserve">The ETS Office of Testing Integrity (OTI) reinforces the quality control procedures for test administration, providing </w:t>
      </w:r>
      <w:r w:rsidR="0068508B">
        <w:t>QA</w:t>
      </w:r>
      <w:r w:rsidRPr="00C34C12">
        <w:t xml:space="preserve"> services for all testing programs managed by ETS. The OTI’s detailed quality control procedures are described in subsection </w:t>
      </w:r>
      <w:hyperlink w:anchor="_ETS’_Office_of" w:history="1">
        <w:r w:rsidRPr="00C34C12">
          <w:rPr>
            <w:rStyle w:val="Hyperlink"/>
            <w:i/>
          </w:rPr>
          <w:t>5.7.1 ETS’ Office of Testing Integrity</w:t>
        </w:r>
      </w:hyperlink>
      <w:r w:rsidRPr="00C34C12">
        <w:t>.</w:t>
      </w:r>
    </w:p>
    <w:p w14:paraId="479D52FC" w14:textId="77777777" w:rsidR="0007470A" w:rsidRPr="00C34C12" w:rsidRDefault="0007470A" w:rsidP="0007470A">
      <w:pPr>
        <w:pStyle w:val="Heading4"/>
        <w:ind w:left="792" w:hanging="792"/>
      </w:pPr>
      <w:bookmarkStart w:id="1096" w:name="_Toc38901356"/>
      <w:bookmarkStart w:id="1097" w:name="_Toc182555258"/>
      <w:r w:rsidRPr="00C34C12">
        <w:t>Quality Control of Machine-Scoring Procedures</w:t>
      </w:r>
      <w:bookmarkEnd w:id="1096"/>
      <w:bookmarkEnd w:id="1097"/>
    </w:p>
    <w:p w14:paraId="79855B8B" w14:textId="79D31B37" w:rsidR="0007470A" w:rsidRPr="00C34C12" w:rsidRDefault="0007470A" w:rsidP="0007470A">
      <w:r w:rsidRPr="00C34C12">
        <w:t>To ensure valid item-level scoring for the CAA for Science, quality control procedures were employed by</w:t>
      </w:r>
      <w:r w:rsidR="004178B6">
        <w:t xml:space="preserve"> Cambium</w:t>
      </w:r>
      <w:r w:rsidR="00414841">
        <w:t xml:space="preserve"> Assessment, Inc. (CAI)</w:t>
      </w:r>
      <w:r w:rsidRPr="00C34C12">
        <w:t>, the CAASPP subcontractor responsible for providing the CAASPP test delivery system (TDS) and scoring machine-scorable items. A final comparison of the test map to each online form as configured in the UAT environment ensured that no changes to the form were introduced prior to operational deployment.</w:t>
      </w:r>
    </w:p>
    <w:p w14:paraId="0C15E713" w14:textId="35C164BC" w:rsidR="0007470A" w:rsidRPr="00C34C12" w:rsidRDefault="0007470A" w:rsidP="0007470A">
      <w:r w:rsidRPr="00C34C12">
        <w:t>A real-time, quality-monitoring component was built into the TDS. After a test was administered to a student, the TDS passed the resulting data to the QA system. QA</w:t>
      </w:r>
      <w:r w:rsidR="007865E9">
        <w:t> </w:t>
      </w:r>
      <w:r w:rsidRPr="00C34C12">
        <w:t>conducted a series of data integrity checks, ensuring, for example, that the record for each test contained information for each item, keys for multiple-choice items, score points in each item, and the total number of operational items. In addition, QA also checked to ensure that the test record contained no data from items that had been invalidated.</w:t>
      </w:r>
    </w:p>
    <w:p w14:paraId="3F4E75E1" w14:textId="77777777" w:rsidR="0007470A" w:rsidRPr="00C34C12" w:rsidRDefault="0007470A" w:rsidP="0007470A">
      <w:r w:rsidRPr="00C34C12">
        <w:t>Data passed directly from the quality monitoring system to the database of record, which served as the repository for all test information, and from which all test information for reporting was pulled and transmitted to ETS in a predetermined results format.</w:t>
      </w:r>
    </w:p>
    <w:p w14:paraId="7C73C731" w14:textId="21A80988" w:rsidR="003E607A" w:rsidRDefault="003E607A" w:rsidP="008100CD">
      <w:pPr>
        <w:pStyle w:val="Heading3"/>
      </w:pPr>
      <w:bookmarkStart w:id="1098" w:name="_Toc182555259"/>
      <w:bookmarkEnd w:id="1085"/>
      <w:r w:rsidRPr="004B2D24">
        <w:t>Quality Control of Test Materials</w:t>
      </w:r>
      <w:bookmarkEnd w:id="1098"/>
    </w:p>
    <w:p w14:paraId="77905A7A" w14:textId="5F95D684" w:rsidR="0007470A" w:rsidRDefault="0007470A" w:rsidP="0007470A">
      <w:r w:rsidRPr="005F0429">
        <w:t xml:space="preserve">The steps taken to develop and ensure the quality of the online assessments are described in </w:t>
      </w:r>
      <w:hyperlink w:anchor="_Embedded_PT_and_1" w:history="1">
        <w:r w:rsidRPr="005F0429">
          <w:rPr>
            <w:rStyle w:val="Hyperlink"/>
            <w:i/>
          </w:rPr>
          <w:t>Chapter 3: Embedded P</w:t>
        </w:r>
        <w:r w:rsidR="000E7291" w:rsidRPr="005F0429">
          <w:rPr>
            <w:rStyle w:val="Hyperlink"/>
            <w:i/>
          </w:rPr>
          <w:t xml:space="preserve">erformance </w:t>
        </w:r>
        <w:r w:rsidRPr="005F0429">
          <w:rPr>
            <w:rStyle w:val="Hyperlink"/>
            <w:i/>
          </w:rPr>
          <w:t>T</w:t>
        </w:r>
        <w:r w:rsidR="000E7291" w:rsidRPr="005F0429">
          <w:rPr>
            <w:rStyle w:val="Hyperlink"/>
            <w:i/>
          </w:rPr>
          <w:t>ask and Item</w:t>
        </w:r>
        <w:r w:rsidRPr="005F0429">
          <w:rPr>
            <w:rStyle w:val="Hyperlink"/>
            <w:i/>
          </w:rPr>
          <w:t xml:space="preserve"> Development and Review</w:t>
        </w:r>
      </w:hyperlink>
      <w:r w:rsidRPr="005F0429">
        <w:t>.</w:t>
      </w:r>
    </w:p>
    <w:p w14:paraId="51E3E07D" w14:textId="77777777" w:rsidR="0007470A" w:rsidRPr="00C34C12" w:rsidRDefault="0007470A" w:rsidP="0007470A">
      <w:pPr>
        <w:pStyle w:val="Heading4"/>
        <w:ind w:left="792" w:hanging="792"/>
      </w:pPr>
      <w:bookmarkStart w:id="1099" w:name="_Toc38901358"/>
      <w:bookmarkStart w:id="1100" w:name="_Toc182555260"/>
      <w:r w:rsidRPr="00C34C12">
        <w:t>Test Administration Manuals</w:t>
      </w:r>
      <w:bookmarkEnd w:id="1099"/>
      <w:bookmarkEnd w:id="1100"/>
    </w:p>
    <w:p w14:paraId="2E27F2DA" w14:textId="4A8547F2" w:rsidR="0007470A" w:rsidRPr="00C34C12" w:rsidRDefault="0007470A" w:rsidP="0007470A">
      <w:r w:rsidRPr="00C34C12">
        <w:t xml:space="preserve">ETS staff consulted with internal subject matter experts and conducted validation checks to verify that test directions and administration manuals accurately matched the test materials and testing processes. Copy editors and content editors reviewed each document for spelling, grammar, accuracy, and adherence to CDE style. Each document was required to be approved by the CDE before it could be published to the CAASPP website. Only </w:t>
      </w:r>
      <w:r w:rsidRPr="00C34C12">
        <w:lastRenderedPageBreak/>
        <w:t xml:space="preserve">nonsecure documents were posted to this website. Secure materials, such as the </w:t>
      </w:r>
      <w:r w:rsidRPr="00C34C12">
        <w:rPr>
          <w:i/>
        </w:rPr>
        <w:t>CAA for Science Embedded Performance Task Directions for Administration</w:t>
      </w:r>
      <w:r w:rsidRPr="00C34C12">
        <w:t>, were made available to designated LEA staff through TOMS, which required a secure logon.</w:t>
      </w:r>
    </w:p>
    <w:p w14:paraId="4D9C6E0F" w14:textId="6D03964F" w:rsidR="0007470A" w:rsidRPr="00C34C12" w:rsidRDefault="0007470A" w:rsidP="0007470A">
      <w:r w:rsidRPr="00C34C12">
        <w:t xml:space="preserve">The manuals used in the administration of the CAA are listed in subsection </w:t>
      </w:r>
      <w:hyperlink w:anchor="_Instructions_for_Test" w:history="1">
        <w:r w:rsidRPr="00C34C12">
          <w:rPr>
            <w:rStyle w:val="Hyperlink"/>
            <w:i/>
          </w:rPr>
          <w:t>5.4.4 Instructions for Test Examiners and Staff Involved in CAA for Science Administration</w:t>
        </w:r>
      </w:hyperlink>
      <w:r w:rsidRPr="00C34C12">
        <w:t>.</w:t>
      </w:r>
    </w:p>
    <w:p w14:paraId="05371FA0" w14:textId="77777777" w:rsidR="0007470A" w:rsidRPr="00C34C12" w:rsidRDefault="0007470A" w:rsidP="0007470A">
      <w:pPr>
        <w:pStyle w:val="Heading4"/>
        <w:ind w:left="792" w:hanging="792"/>
      </w:pPr>
      <w:bookmarkStart w:id="1101" w:name="_Toc38901359"/>
      <w:bookmarkStart w:id="1102" w:name="_Toc182555261"/>
      <w:r w:rsidRPr="00C34C12">
        <w:t>Processing Test Materials</w:t>
      </w:r>
      <w:bookmarkEnd w:id="1101"/>
      <w:bookmarkEnd w:id="1102"/>
    </w:p>
    <w:p w14:paraId="2EC4FF5D" w14:textId="20EA6D7C" w:rsidR="0007470A" w:rsidRPr="00C34C12" w:rsidRDefault="0007470A" w:rsidP="0007470A">
      <w:r w:rsidRPr="00C34C12">
        <w:t xml:space="preserve">The following information was entered into the TDS by test examiners and transmitted from </w:t>
      </w:r>
      <w:r w:rsidR="00414841">
        <w:t>CAI</w:t>
      </w:r>
      <w:r w:rsidR="00414841" w:rsidDel="00414841">
        <w:t xml:space="preserve"> </w:t>
      </w:r>
      <w:r w:rsidRPr="00C34C12">
        <w:t>to ETS each day:</w:t>
      </w:r>
    </w:p>
    <w:p w14:paraId="56855C24" w14:textId="77777777" w:rsidR="0007470A" w:rsidRPr="00C34C12" w:rsidRDefault="0007470A" w:rsidP="0007470A">
      <w:pPr>
        <w:pStyle w:val="bullets-one"/>
      </w:pPr>
      <w:r w:rsidRPr="00C34C12">
        <w:t>Student’s first name</w:t>
      </w:r>
    </w:p>
    <w:p w14:paraId="552CA43F" w14:textId="77777777" w:rsidR="0007470A" w:rsidRPr="00C34C12" w:rsidRDefault="0007470A" w:rsidP="0007470A">
      <w:pPr>
        <w:pStyle w:val="bullets-one"/>
      </w:pPr>
      <w:r w:rsidRPr="00C34C12">
        <w:t>Statewide Student Identifier</w:t>
      </w:r>
    </w:p>
    <w:p w14:paraId="75F06E1D" w14:textId="77777777" w:rsidR="0007470A" w:rsidRPr="00C34C12" w:rsidRDefault="0007470A" w:rsidP="0007470A">
      <w:pPr>
        <w:pStyle w:val="bullets-one"/>
      </w:pPr>
      <w:r w:rsidRPr="00C34C12">
        <w:t>Any individualized scripts and materials used</w:t>
      </w:r>
    </w:p>
    <w:p w14:paraId="23BD4825" w14:textId="77777777" w:rsidR="0007470A" w:rsidRPr="00C34C12" w:rsidRDefault="0007470A" w:rsidP="0007470A">
      <w:pPr>
        <w:pStyle w:val="bullets-one"/>
      </w:pPr>
      <w:r w:rsidRPr="00C34C12">
        <w:t>Responses for each item</w:t>
      </w:r>
    </w:p>
    <w:p w14:paraId="2F8585CA" w14:textId="77777777" w:rsidR="0007470A" w:rsidRPr="00C34C12" w:rsidRDefault="0007470A" w:rsidP="0007470A">
      <w:pPr>
        <w:pStyle w:val="bullets-one"/>
      </w:pPr>
      <w:r w:rsidRPr="00C34C12">
        <w:t>Results of the student survey</w:t>
      </w:r>
    </w:p>
    <w:p w14:paraId="306A61C3" w14:textId="7A72871F" w:rsidR="0007470A" w:rsidRPr="00C34C12" w:rsidRDefault="0007470A" w:rsidP="0007470A">
      <w:pPr>
        <w:pStyle w:val="bullets-one"/>
      </w:pPr>
      <w:r w:rsidRPr="00C34C12">
        <w:t xml:space="preserve">Results of the </w:t>
      </w:r>
      <w:r w:rsidR="00B02EE9">
        <w:t xml:space="preserve">responsive </w:t>
      </w:r>
      <w:r w:rsidRPr="00C34C12">
        <w:t>student survey</w:t>
      </w:r>
      <w:r w:rsidR="00D53797">
        <w:t xml:space="preserve"> or the nonresponsive student survey</w:t>
      </w:r>
    </w:p>
    <w:p w14:paraId="22B1E9BB" w14:textId="544E27F6" w:rsidR="0007470A" w:rsidRPr="00C34C12" w:rsidRDefault="0007470A" w:rsidP="0007470A">
      <w:r w:rsidRPr="00C34C12">
        <w:t xml:space="preserve">The </w:t>
      </w:r>
      <w:r w:rsidR="00414841">
        <w:t>CAI</w:t>
      </w:r>
      <w:r w:rsidRPr="00C34C12">
        <w:t xml:space="preserve"> and ETS systems checked for the completeness of the student record and stopped records identified as having an error.</w:t>
      </w:r>
    </w:p>
    <w:p w14:paraId="00AD9D50" w14:textId="67918F5F" w:rsidR="003E607A" w:rsidRDefault="003E607A" w:rsidP="008100CD">
      <w:pPr>
        <w:pStyle w:val="Heading3"/>
      </w:pPr>
      <w:bookmarkStart w:id="1103" w:name="_Quality_Control_of_2"/>
      <w:bookmarkStart w:id="1104" w:name="_Toc182555262"/>
      <w:bookmarkEnd w:id="1103"/>
      <w:r w:rsidRPr="004B2D24">
        <w:t>Quality Control of Psychometric Processes</w:t>
      </w:r>
      <w:bookmarkEnd w:id="1104"/>
    </w:p>
    <w:p w14:paraId="461BDF65" w14:textId="77777777" w:rsidR="0007470A" w:rsidRPr="00C34C12" w:rsidRDefault="0007470A" w:rsidP="0007470A">
      <w:pPr>
        <w:pStyle w:val="Heading4"/>
      </w:pPr>
      <w:bookmarkStart w:id="1105" w:name="_Toc38901361"/>
      <w:bookmarkStart w:id="1106" w:name="_Toc182555263"/>
      <w:r w:rsidRPr="00C34C12">
        <w:t>Development of Scoring Specifications</w:t>
      </w:r>
      <w:bookmarkEnd w:id="1105"/>
      <w:bookmarkEnd w:id="1106"/>
    </w:p>
    <w:p w14:paraId="36560E71" w14:textId="555FE1AE" w:rsidR="0007470A" w:rsidRPr="00C34C12" w:rsidRDefault="0007470A" w:rsidP="0007470A">
      <w:r w:rsidRPr="00C34C12">
        <w:t>ETS scoring specifications for the CAA for Science were completed, approved, and checked well in advance of the receipt of student response data. These specifications contained detailed scoring procedures, as well as the procedures for determining whether a student attempted a test and whether that student’s response data should be included in the statistical analyses and calculations for computing summary data.</w:t>
      </w:r>
    </w:p>
    <w:p w14:paraId="1E74DC58" w14:textId="77777777" w:rsidR="0007470A" w:rsidRPr="00C34C12" w:rsidRDefault="0007470A" w:rsidP="0007470A">
      <w:pPr>
        <w:pStyle w:val="Heading4"/>
      </w:pPr>
      <w:bookmarkStart w:id="1107" w:name="_Toc38901362"/>
      <w:bookmarkStart w:id="1108" w:name="_Toc182555264"/>
      <w:r w:rsidRPr="00C34C12">
        <w:t>Development of Scoring Procedures</w:t>
      </w:r>
      <w:bookmarkEnd w:id="1107"/>
      <w:bookmarkEnd w:id="1108"/>
    </w:p>
    <w:p w14:paraId="0435E6E7" w14:textId="5A61BDD4" w:rsidR="0007470A" w:rsidRPr="00C34C12" w:rsidRDefault="0007470A" w:rsidP="0007470A">
      <w:r w:rsidRPr="00C34C12">
        <w:t>ETS’ Enterprise Score Key Management (eSKM)</w:t>
      </w:r>
      <w:r w:rsidR="00AD0A0E" w:rsidRPr="00C34C12">
        <w:t xml:space="preserve"> </w:t>
      </w:r>
      <w:r w:rsidR="00C82DD7" w:rsidRPr="00C34C12">
        <w:t xml:space="preserve">system </w:t>
      </w:r>
      <w:r w:rsidRPr="00C34C12">
        <w:t>utilized scoring procedures specified by psychometricians and provides scoring services. ETS psychometricians carried out a series of quality control checks after scoring to ensure the accuracy of each score.</w:t>
      </w:r>
    </w:p>
    <w:p w14:paraId="22E7D19C" w14:textId="26547779" w:rsidR="0007470A" w:rsidRPr="00C34C12" w:rsidRDefault="0007470A" w:rsidP="0007470A">
      <w:pPr>
        <w:pStyle w:val="Heading5"/>
      </w:pPr>
      <w:r w:rsidRPr="00C34C12">
        <w:t>Enterprise Score Key Management System Processing</w:t>
      </w:r>
    </w:p>
    <w:p w14:paraId="32610F29" w14:textId="0C21217A" w:rsidR="0007470A" w:rsidRPr="00C34C12" w:rsidRDefault="0007470A" w:rsidP="0007470A">
      <w:r w:rsidRPr="00C34C12">
        <w:t>Prior to the test administration, ETS ALT</w:t>
      </w:r>
      <w:r w:rsidR="00A24237">
        <w:t>R</w:t>
      </w:r>
      <w:r w:rsidRPr="00C34C12">
        <w:t xml:space="preserve">D staff reviewed and verified the keys for all items. Then, these keys were provided to </w:t>
      </w:r>
      <w:r w:rsidR="00414841">
        <w:t>CAI</w:t>
      </w:r>
      <w:r w:rsidR="00414841" w:rsidDel="00414841">
        <w:t xml:space="preserve"> </w:t>
      </w:r>
      <w:r w:rsidRPr="00C34C12">
        <w:t xml:space="preserve">for its machine-scoring implementation. After </w:t>
      </w:r>
      <w:r w:rsidR="00414841">
        <w:t>CAI</w:t>
      </w:r>
      <w:r w:rsidR="00414841" w:rsidDel="00414841">
        <w:t xml:space="preserve"> </w:t>
      </w:r>
      <w:r w:rsidRPr="00C34C12">
        <w:t xml:space="preserve">finished machine-scoring, those scores and responses were delivered to ETS. </w:t>
      </w:r>
      <w:r w:rsidR="00414841">
        <w:t>CAI</w:t>
      </w:r>
      <w:r w:rsidRPr="00C34C12" w:rsidDel="006877B5">
        <w:t xml:space="preserve"> </w:t>
      </w:r>
      <w:r w:rsidRPr="00C34C12">
        <w:t xml:space="preserve">quality control of the machine-scoring procedure is described in subsection </w:t>
      </w:r>
      <w:hyperlink w:anchor="_Quality_Control_of_1" w:history="1">
        <w:r w:rsidR="004B3D04" w:rsidRPr="004B3D04">
          <w:rPr>
            <w:rStyle w:val="Hyperlink"/>
            <w:i/>
          </w:rPr>
          <w:t>9</w:t>
        </w:r>
        <w:r w:rsidRPr="004B3D04">
          <w:rPr>
            <w:rStyle w:val="Hyperlink"/>
            <w:i/>
          </w:rPr>
          <w:t>.2.3 Quality Control of Test Administration</w:t>
        </w:r>
      </w:hyperlink>
      <w:r w:rsidRPr="00C34C12">
        <w:t>.</w:t>
      </w:r>
    </w:p>
    <w:p w14:paraId="508F684B" w14:textId="6265D044" w:rsidR="0007470A" w:rsidRPr="00C34C12" w:rsidRDefault="0007470A" w:rsidP="0007470A">
      <w:r w:rsidRPr="00C34C12">
        <w:t xml:space="preserve">ETS’ Centralized Repository Distribution System and Enterprise Service Bus departments collected and parsed .xml files that contained student response data from </w:t>
      </w:r>
      <w:r w:rsidR="00414841">
        <w:t>CAI</w:t>
      </w:r>
      <w:r w:rsidRPr="00C34C12">
        <w:t>. ETS’ eSKM system collected and calculated individual students’ overall scores (total raw scores) and generated student scores in the approved statistical extract format. These data extracts were sent to ETS’ Data Quality Services for data validation. Following successful validation, the student response statistical extracts were made available to the psychometric team.</w:t>
      </w:r>
    </w:p>
    <w:p w14:paraId="1D0300A5" w14:textId="77777777" w:rsidR="00346E4F" w:rsidRDefault="0007470A" w:rsidP="00007A76">
      <w:pPr>
        <w:keepNext/>
      </w:pPr>
      <w:r w:rsidRPr="00C34C12">
        <w:lastRenderedPageBreak/>
        <w:t xml:space="preserve">ETS developed two parallel scoring systems to produce and verify student scores: </w:t>
      </w:r>
    </w:p>
    <w:p w14:paraId="29E5CA81" w14:textId="4311C611" w:rsidR="00346E4F" w:rsidRDefault="00346E4F" w:rsidP="00007A76">
      <w:pPr>
        <w:pStyle w:val="Numbered"/>
        <w:numPr>
          <w:ilvl w:val="0"/>
          <w:numId w:val="100"/>
        </w:numPr>
        <w:ind w:left="864" w:hanging="288"/>
      </w:pPr>
      <w:r>
        <w:t>T</w:t>
      </w:r>
      <w:r w:rsidR="0007470A" w:rsidRPr="00C34C12">
        <w:t xml:space="preserve">he eSKM scoring system received an individual student’s item scores and item responses from </w:t>
      </w:r>
      <w:r w:rsidR="00414841">
        <w:t>CAI</w:t>
      </w:r>
      <w:r w:rsidR="00414841" w:rsidDel="00414841">
        <w:t xml:space="preserve"> </w:t>
      </w:r>
      <w:r w:rsidR="0007470A" w:rsidRPr="00C34C12">
        <w:t xml:space="preserve">and calculated individual student scores for ETS’ reporting systems. </w:t>
      </w:r>
    </w:p>
    <w:p w14:paraId="27D0306A" w14:textId="3D7075FC" w:rsidR="00346E4F" w:rsidRDefault="0007470A" w:rsidP="00012009">
      <w:pPr>
        <w:pStyle w:val="Numbered"/>
      </w:pPr>
      <w:r w:rsidRPr="00C34C12">
        <w:t>The</w:t>
      </w:r>
      <w:r w:rsidR="00346E4F">
        <w:t xml:space="preserve"> ETS</w:t>
      </w:r>
      <w:r w:rsidRPr="00C34C12">
        <w:t xml:space="preserve"> Psychometric Analysis &amp; Research team computed individual student scores based on item scores delivered by </w:t>
      </w:r>
      <w:r w:rsidR="00414841">
        <w:t>CAI</w:t>
      </w:r>
      <w:r w:rsidRPr="00C34C12">
        <w:t xml:space="preserve">. </w:t>
      </w:r>
    </w:p>
    <w:p w14:paraId="28A0DB44" w14:textId="67E3C382" w:rsidR="0007470A" w:rsidRPr="00C34C12" w:rsidRDefault="0007470A" w:rsidP="0007470A">
      <w:r w:rsidRPr="00C34C12">
        <w:t>The scores from the two sources were then compared for internal quality control. Any differences in the scores were discussed and resolved. All scores complied with the ETS scoring specifications and passed the parallel scoring process to ensure the quality and accuracy of scoring and to support the transfer of scores into TOMS, the database of the student records scoring system.</w:t>
      </w:r>
    </w:p>
    <w:p w14:paraId="3E088743" w14:textId="120CD868" w:rsidR="0007470A" w:rsidRPr="00C34C12" w:rsidRDefault="0007470A" w:rsidP="0007470A">
      <w:pPr>
        <w:pStyle w:val="Heading5"/>
      </w:pPr>
      <w:r w:rsidRPr="00C34C12">
        <w:t>Psychometric Processing</w:t>
      </w:r>
    </w:p>
    <w:p w14:paraId="1606C8D9" w14:textId="62C50DA0" w:rsidR="008B0766" w:rsidRDefault="0001718D" w:rsidP="0007470A">
      <w:pPr>
        <w:keepLines/>
      </w:pPr>
      <w:r>
        <w:t>N</w:t>
      </w:r>
      <w:r w:rsidR="00B95888">
        <w:t>o psychometric analyses were conducted on the data from the 2019</w:t>
      </w:r>
      <w:r w:rsidR="00496B29">
        <w:t>–</w:t>
      </w:r>
      <w:r w:rsidR="00B95888">
        <w:t xml:space="preserve">2020 </w:t>
      </w:r>
      <w:r>
        <w:t>administration</w:t>
      </w:r>
      <w:r w:rsidR="00DF68FF">
        <w:t>.</w:t>
      </w:r>
      <w:r>
        <w:t xml:space="preserve"> </w:t>
      </w:r>
      <w:r w:rsidR="00CC4206">
        <w:t>In a typical year</w:t>
      </w:r>
      <w:r w:rsidR="00EC26A5">
        <w:t>,</w:t>
      </w:r>
      <w:r w:rsidR="00CC4206">
        <w:t xml:space="preserve"> w</w:t>
      </w:r>
      <w:r>
        <w:t>hen t</w:t>
      </w:r>
      <w:r w:rsidR="0007470A" w:rsidRPr="00C34C12">
        <w:t xml:space="preserve">he psychometric analyses </w:t>
      </w:r>
      <w:r>
        <w:t xml:space="preserve">are </w:t>
      </w:r>
      <w:r w:rsidR="0007470A" w:rsidRPr="00C34C12">
        <w:t>conducted at ETS</w:t>
      </w:r>
      <w:r>
        <w:t>,</w:t>
      </w:r>
      <w:r w:rsidR="004E3F9D">
        <w:t xml:space="preserve"> the psychometric analyses undergo comprehensive quality checks by a team of </w:t>
      </w:r>
      <w:r w:rsidR="00D41D9C">
        <w:t>psychometricians and data analysts. Detailed</w:t>
      </w:r>
      <w:r w:rsidR="00840677">
        <w:t xml:space="preserve"> checklists are developed by members of the team for each statistical procedure performed</w:t>
      </w:r>
      <w:r w:rsidR="00DF68FF">
        <w:t xml:space="preserve"> on the CAA for Science</w:t>
      </w:r>
      <w:r w:rsidR="0007470A" w:rsidRPr="00C34C12">
        <w:t>.</w:t>
      </w:r>
    </w:p>
    <w:p w14:paraId="6839DAB9" w14:textId="753CEEB1" w:rsidR="0007470A" w:rsidRDefault="0007470A" w:rsidP="0007470A">
      <w:pPr>
        <w:keepLines/>
      </w:pPr>
      <w:r w:rsidRPr="00C34C12">
        <w:t>The ETS psychometric</w:t>
      </w:r>
      <w:r w:rsidR="00A67004">
        <w:t>s</w:t>
      </w:r>
      <w:r w:rsidRPr="00C34C12">
        <w:t xml:space="preserve"> team review</w:t>
      </w:r>
      <w:r w:rsidR="00454728">
        <w:t>s</w:t>
      </w:r>
      <w:r w:rsidRPr="00C34C12">
        <w:t xml:space="preserve"> the data files before conducting the statistical analyses to ensure the quality of the data. The classical item analyses and differential item functioning analyses </w:t>
      </w:r>
      <w:r w:rsidR="00454728">
        <w:t>are</w:t>
      </w:r>
      <w:r w:rsidR="00454728" w:rsidRPr="00C34C12">
        <w:t xml:space="preserve"> </w:t>
      </w:r>
      <w:r w:rsidRPr="00C34C12">
        <w:t xml:space="preserve">run by one data analyst and checked by a second data analyst. Results </w:t>
      </w:r>
      <w:r w:rsidR="00454728">
        <w:t>are</w:t>
      </w:r>
      <w:r w:rsidR="00454728" w:rsidRPr="00C34C12">
        <w:t xml:space="preserve"> </w:t>
      </w:r>
      <w:r w:rsidRPr="00C34C12">
        <w:t>then reviewed by the psychometricians to compile a list of flagged items for ETS ALT</w:t>
      </w:r>
      <w:r w:rsidR="00B766B8">
        <w:t>R</w:t>
      </w:r>
      <w:r w:rsidRPr="00C34C12">
        <w:t>D staff for review. ALT</w:t>
      </w:r>
      <w:r w:rsidR="008261A0">
        <w:t>R</w:t>
      </w:r>
      <w:r w:rsidRPr="00C34C12">
        <w:t xml:space="preserve">D comments </w:t>
      </w:r>
      <w:r w:rsidR="008261A0">
        <w:t>are</w:t>
      </w:r>
      <w:r w:rsidR="008261A0" w:rsidRPr="00C34C12">
        <w:t xml:space="preserve"> </w:t>
      </w:r>
      <w:r w:rsidRPr="00C34C12">
        <w:t xml:space="preserve">reviewed by the psychometricians before items </w:t>
      </w:r>
      <w:r w:rsidR="008261A0">
        <w:t>are</w:t>
      </w:r>
      <w:r w:rsidR="008261A0" w:rsidRPr="00C34C12">
        <w:t xml:space="preserve"> </w:t>
      </w:r>
      <w:r w:rsidRPr="00C34C12">
        <w:t>approved for inclusion in additional analyses and before the data review meetings with the CDE.</w:t>
      </w:r>
    </w:p>
    <w:p w14:paraId="52D37824" w14:textId="212D5B0D" w:rsidR="002B1F7A" w:rsidRPr="00C34C12" w:rsidRDefault="008B0766" w:rsidP="008B0766">
      <w:pPr>
        <w:keepLines/>
      </w:pPr>
      <w:r w:rsidRPr="00380C0B">
        <w:t xml:space="preserve">During the calibration process, checks </w:t>
      </w:r>
      <w:r>
        <w:t>are</w:t>
      </w:r>
      <w:r w:rsidRPr="00380C0B">
        <w:t xml:space="preserve"> made to ascertain that the input files </w:t>
      </w:r>
      <w:r>
        <w:t>are</w:t>
      </w:r>
      <w:r w:rsidRPr="00380C0B">
        <w:t xml:space="preserve"> established accurately. Checks </w:t>
      </w:r>
      <w:r>
        <w:t>are</w:t>
      </w:r>
      <w:r w:rsidRPr="00380C0B">
        <w:t xml:space="preserve"> also made on the number of items, number of examinees with valid scores, </w:t>
      </w:r>
      <w:r w:rsidR="00A67004">
        <w:t>item response theory (</w:t>
      </w:r>
      <w:r w:rsidRPr="00380C0B">
        <w:t>IRT</w:t>
      </w:r>
      <w:r w:rsidR="00A67004">
        <w:t>)</w:t>
      </w:r>
      <w:r w:rsidRPr="00380C0B">
        <w:t xml:space="preserve"> item difficulty estimates, </w:t>
      </w:r>
      <w:r>
        <w:t xml:space="preserve">and </w:t>
      </w:r>
      <w:r w:rsidRPr="00380C0B">
        <w:t>standard errors for the item difficulty estimates. Two psychometricians conduct parallel calibration processing and compare the results to check for any inconsistenc</w:t>
      </w:r>
      <w:r>
        <w:t>ies</w:t>
      </w:r>
      <w:r w:rsidRPr="00380C0B">
        <w:t xml:space="preserve">. Psychometricians also perform detailed reviews of relevant statistics to determine whether the chosen IRT model fit the data. In addition, the results of the calibration procedures </w:t>
      </w:r>
      <w:r>
        <w:t>are</w:t>
      </w:r>
      <w:r w:rsidRPr="00380C0B">
        <w:t xml:space="preserve"> reviewed by a psychometric manager.</w:t>
      </w:r>
    </w:p>
    <w:p w14:paraId="1F78B8F1" w14:textId="12E70B1B" w:rsidR="00ED304A" w:rsidRDefault="003E607A" w:rsidP="008100CD">
      <w:pPr>
        <w:pStyle w:val="Heading3"/>
      </w:pPr>
      <w:bookmarkStart w:id="1109" w:name="_Toc182555265"/>
      <w:r w:rsidRPr="004B2D24">
        <w:t>Quality Control of Reporting</w:t>
      </w:r>
      <w:bookmarkEnd w:id="1109"/>
    </w:p>
    <w:p w14:paraId="44A1D417" w14:textId="28C4F22A" w:rsidR="008100CD" w:rsidRPr="008100CD" w:rsidRDefault="0007470A" w:rsidP="008100CD">
      <w:r w:rsidRPr="00C34C12">
        <w:t>A</w:t>
      </w:r>
      <w:r w:rsidR="009A2589">
        <w:t xml:space="preserve"> data file </w:t>
      </w:r>
      <w:r w:rsidRPr="00C34C12">
        <w:t>summarizing the results of the 201</w:t>
      </w:r>
      <w:r w:rsidR="0006405F">
        <w:t>9</w:t>
      </w:r>
      <w:r w:rsidRPr="00C34C12">
        <w:t>–20</w:t>
      </w:r>
      <w:r w:rsidR="0006405F">
        <w:t>20</w:t>
      </w:r>
      <w:r w:rsidRPr="00C34C12">
        <w:t xml:space="preserve"> administration for the CAA for Science was provided to the CDE.</w:t>
      </w:r>
      <w:r w:rsidR="0006405F">
        <w:t xml:space="preserve"> This file included the percent correct and preliminary indicator category for students </w:t>
      </w:r>
      <w:r w:rsidR="0009423A">
        <w:t>who</w:t>
      </w:r>
      <w:r w:rsidR="0006405F">
        <w:t xml:space="preserve"> completed</w:t>
      </w:r>
      <w:r w:rsidR="00C31913">
        <w:t xml:space="preserve"> the CAA for Science. </w:t>
      </w:r>
      <w:r w:rsidRPr="00C34C12">
        <w:t xml:space="preserve">To ensure the quality of the </w:t>
      </w:r>
      <w:r w:rsidR="00FC4FB6">
        <w:t>data</w:t>
      </w:r>
      <w:r w:rsidR="00FC4FB6" w:rsidRPr="00C34C12">
        <w:t xml:space="preserve"> </w:t>
      </w:r>
      <w:r w:rsidRPr="00C34C12">
        <w:t>file, two members of the ETS psychometrics team individually reviewed the files and worked with ETS Information Technology to resolve any discrepancies before the files were posted to the CDE.</w:t>
      </w:r>
    </w:p>
    <w:p w14:paraId="6B1FF2EF" w14:textId="2F8FAFA5" w:rsidR="00241F1F" w:rsidRPr="006C312D" w:rsidRDefault="5990D69A" w:rsidP="00241F1F">
      <w:pPr>
        <w:pStyle w:val="Heading3"/>
      </w:pPr>
      <w:bookmarkStart w:id="1110" w:name="_Toc182555266"/>
      <w:r>
        <w:lastRenderedPageBreak/>
        <w:t>End-to-End Testing for Operational Administration</w:t>
      </w:r>
      <w:bookmarkEnd w:id="1110"/>
    </w:p>
    <w:p w14:paraId="43B7B45C" w14:textId="079A2FAE" w:rsidR="00241F1F" w:rsidRPr="006C312D" w:rsidRDefault="00241F1F" w:rsidP="00241F1F">
      <w:pPr>
        <w:keepLines/>
      </w:pPr>
      <w:r w:rsidRPr="006C312D">
        <w:t>ETS conducted end-to-end testing prior to the start of the test administration. The purpose of this testing was to verify that all systems, processes, and resources were ready for the operational administration. ETS employed a number of approaches to verify ongoing systems performance, including monitoring of system availability and online system usage. Time was allotted for UAT to confirm that the systems met requirements and to make identified corrections before final deployment. To accomplish system acceptance and sign off, ETS deployed systems to a staging area, which mirrored the final production environment, for operational</w:t>
      </w:r>
      <w:r>
        <w:t xml:space="preserve"> testing</w:t>
      </w:r>
      <w:r w:rsidRPr="006C312D">
        <w:t xml:space="preserve"> and UAT. Final approval by the CDE triggered the final deployment of the system.</w:t>
      </w:r>
    </w:p>
    <w:p w14:paraId="7E004DC1" w14:textId="21D004AB" w:rsidR="00FC4B08" w:rsidRDefault="00FC4B08" w:rsidP="0007470A">
      <w:pPr>
        <w:pStyle w:val="Heading3"/>
        <w:pageBreakBefore/>
        <w:numPr>
          <w:ilvl w:val="0"/>
          <w:numId w:val="0"/>
        </w:numPr>
        <w:ind w:left="450" w:hanging="450"/>
      </w:pPr>
      <w:bookmarkStart w:id="1111" w:name="_Toc182555267"/>
      <w:r w:rsidRPr="004B2D24">
        <w:lastRenderedPageBreak/>
        <w:t>References</w:t>
      </w:r>
      <w:bookmarkEnd w:id="1111"/>
    </w:p>
    <w:p w14:paraId="73ECC765" w14:textId="58414D37" w:rsidR="0007470A" w:rsidRPr="00C34C12" w:rsidRDefault="0007470A" w:rsidP="0007470A">
      <w:pPr>
        <w:pStyle w:val="References"/>
      </w:pPr>
      <w:bookmarkStart w:id="1112" w:name="_Hlk7534809"/>
      <w:r w:rsidRPr="00C34C12">
        <w:t xml:space="preserve">California Department of Education. (2018). </w:t>
      </w:r>
      <w:r w:rsidRPr="00C34C12">
        <w:rPr>
          <w:i/>
        </w:rPr>
        <w:t>California Alternate Assessment for Science blueprint</w:t>
      </w:r>
      <w:r w:rsidRPr="00C34C12">
        <w:t xml:space="preserve">. Sacramento, CA: California Department of Education. </w:t>
      </w:r>
    </w:p>
    <w:p w14:paraId="1BE628F6" w14:textId="5E0020C0" w:rsidR="00CB66D3" w:rsidRDefault="00CB66D3" w:rsidP="00CB66D3">
      <w:pPr>
        <w:pStyle w:val="References"/>
      </w:pPr>
      <w:r>
        <w:t xml:space="preserve">California Department of Education. </w:t>
      </w:r>
      <w:r w:rsidRPr="00124D70">
        <w:rPr>
          <w:szCs w:val="20"/>
        </w:rPr>
        <w:t>(20</w:t>
      </w:r>
      <w:r>
        <w:rPr>
          <w:szCs w:val="20"/>
        </w:rPr>
        <w:t>20</w:t>
      </w:r>
      <w:r w:rsidRPr="00124D70">
        <w:rPr>
          <w:szCs w:val="20"/>
        </w:rPr>
        <w:t xml:space="preserve">). </w:t>
      </w:r>
      <w:r w:rsidRPr="00512C8E">
        <w:rPr>
          <w:i/>
          <w:szCs w:val="20"/>
        </w:rPr>
        <w:t>CAASPP and ELPAC Test Operations Management System user guide</w:t>
      </w:r>
      <w:r w:rsidRPr="00124D70">
        <w:rPr>
          <w:szCs w:val="20"/>
        </w:rPr>
        <w:t xml:space="preserve">. Sacramento, CA: California Department of Education. </w:t>
      </w:r>
    </w:p>
    <w:p w14:paraId="6B1660AA" w14:textId="599A67E8" w:rsidR="0007470A" w:rsidRPr="00C34C12" w:rsidRDefault="0007470A" w:rsidP="0007470A">
      <w:pPr>
        <w:pStyle w:val="References"/>
        <w:rPr>
          <w:szCs w:val="20"/>
        </w:rPr>
      </w:pPr>
      <w:r w:rsidRPr="00C34C12">
        <w:rPr>
          <w:szCs w:val="20"/>
        </w:rPr>
        <w:t xml:space="preserve">Educational Testing Service. (2014). </w:t>
      </w:r>
      <w:r w:rsidRPr="00C34C12">
        <w:rPr>
          <w:i/>
          <w:szCs w:val="20"/>
        </w:rPr>
        <w:t>ETS standards for quality and fairness</w:t>
      </w:r>
      <w:r w:rsidRPr="00C34C12">
        <w:rPr>
          <w:szCs w:val="20"/>
        </w:rPr>
        <w:t xml:space="preserve">. Princeton, NJ: Educational Testing Service. </w:t>
      </w:r>
    </w:p>
    <w:p w14:paraId="755BB5D6" w14:textId="4F303249" w:rsidR="00ED304A" w:rsidRPr="004B2D24" w:rsidRDefault="00C6470E" w:rsidP="00670FD2">
      <w:pPr>
        <w:pStyle w:val="Heading2"/>
      </w:pPr>
      <w:bookmarkStart w:id="1113" w:name="_Continuous_and_Systematic"/>
      <w:bookmarkStart w:id="1114" w:name="_Toc182555268"/>
      <w:bookmarkEnd w:id="1112"/>
      <w:bookmarkEnd w:id="1113"/>
      <w:r w:rsidRPr="004B2D24">
        <w:lastRenderedPageBreak/>
        <w:t>Continuous and Systematic Improvements</w:t>
      </w:r>
      <w:bookmarkEnd w:id="1114"/>
    </w:p>
    <w:p w14:paraId="5A5BD89A" w14:textId="543B8975" w:rsidR="00ED304A" w:rsidRPr="004B2D24" w:rsidRDefault="00ED304A" w:rsidP="00F56F5E">
      <w:r w:rsidRPr="004B2D24">
        <w:t xml:space="preserve">This chapter discusses the various procedures used to </w:t>
      </w:r>
      <w:r w:rsidR="006D0ABF" w:rsidRPr="004B2D24">
        <w:t xml:space="preserve">gather information </w:t>
      </w:r>
      <w:r w:rsidR="00DD6E73" w:rsidRPr="004B2D24">
        <w:t>to improve</w:t>
      </w:r>
      <w:r w:rsidR="006D0ABF" w:rsidRPr="004B2D24">
        <w:t xml:space="preserve"> the </w:t>
      </w:r>
      <w:r w:rsidR="00467EE1">
        <w:t>California Alternate Assessment (</w:t>
      </w:r>
      <w:r w:rsidR="006D0ABF" w:rsidRPr="004B2D24">
        <w:t>CAA</w:t>
      </w:r>
      <w:r w:rsidR="00467EE1">
        <w:t>)</w:t>
      </w:r>
      <w:r w:rsidR="006D0ABF" w:rsidRPr="004B2D24">
        <w:t xml:space="preserve"> for Science </w:t>
      </w:r>
      <w:r w:rsidR="00DD6E73" w:rsidRPr="004B2D24">
        <w:t>as well as strategies to implement</w:t>
      </w:r>
      <w:r w:rsidR="00625EC7" w:rsidRPr="004B2D24">
        <w:t xml:space="preserve"> possible improvements</w:t>
      </w:r>
      <w:r w:rsidR="006D0ABF" w:rsidRPr="004B2D24">
        <w:t>.</w:t>
      </w:r>
    </w:p>
    <w:p w14:paraId="5E6888F6" w14:textId="486EFE36" w:rsidR="000847B2" w:rsidRDefault="000847B2" w:rsidP="008100CD">
      <w:pPr>
        <w:pStyle w:val="Heading3"/>
      </w:pPr>
      <w:bookmarkStart w:id="1115" w:name="_Toc66787752"/>
      <w:bookmarkStart w:id="1116" w:name="_Toc66788211"/>
      <w:bookmarkStart w:id="1117" w:name="_Toc67035803"/>
      <w:bookmarkStart w:id="1118" w:name="_Toc67319667"/>
      <w:bookmarkStart w:id="1119" w:name="_Toc67382779"/>
      <w:bookmarkStart w:id="1120" w:name="_Toc67466338"/>
      <w:bookmarkStart w:id="1121" w:name="_Toc66787753"/>
      <w:bookmarkStart w:id="1122" w:name="_Toc66788212"/>
      <w:bookmarkStart w:id="1123" w:name="_Toc67035804"/>
      <w:bookmarkStart w:id="1124" w:name="_Toc67319668"/>
      <w:bookmarkStart w:id="1125" w:name="_Toc67382780"/>
      <w:bookmarkStart w:id="1126" w:name="_Toc67466339"/>
      <w:bookmarkStart w:id="1127" w:name="_Toc182555269"/>
      <w:bookmarkEnd w:id="1115"/>
      <w:bookmarkEnd w:id="1116"/>
      <w:bookmarkEnd w:id="1117"/>
      <w:bookmarkEnd w:id="1118"/>
      <w:bookmarkEnd w:id="1119"/>
      <w:bookmarkEnd w:id="1120"/>
      <w:bookmarkEnd w:id="1121"/>
      <w:bookmarkEnd w:id="1122"/>
      <w:bookmarkEnd w:id="1123"/>
      <w:bookmarkEnd w:id="1124"/>
      <w:bookmarkEnd w:id="1125"/>
      <w:bookmarkEnd w:id="1126"/>
      <w:r w:rsidRPr="004B2D24">
        <w:t>Item Development</w:t>
      </w:r>
      <w:bookmarkEnd w:id="1127"/>
    </w:p>
    <w:p w14:paraId="651B4996" w14:textId="3EE935C0" w:rsidR="008100CD" w:rsidRPr="008100CD" w:rsidRDefault="7F5E3072" w:rsidP="008100CD">
      <w:r>
        <w:t xml:space="preserve">In 2019, ETS led a text complexity meeting with </w:t>
      </w:r>
      <w:r w:rsidR="006843F2">
        <w:t>California Department of Education (</w:t>
      </w:r>
      <w:r>
        <w:t>CDE</w:t>
      </w:r>
      <w:r w:rsidR="006843F2">
        <w:t>)</w:t>
      </w:r>
      <w:r>
        <w:t xml:space="preserve"> staff to discuss and evaluate tools and processes for </w:t>
      </w:r>
      <w:r w:rsidR="1E9A7E52">
        <w:t xml:space="preserve">determining appropriate levels of text complexity in stimuli and items. The structure of the stimuli and item text on the </w:t>
      </w:r>
      <w:r w:rsidR="1CC3CF97">
        <w:t>C</w:t>
      </w:r>
      <w:r w:rsidR="00D24D22">
        <w:t>AA</w:t>
      </w:r>
      <w:r w:rsidR="1CC3CF97">
        <w:t xml:space="preserve">s </w:t>
      </w:r>
      <w:r w:rsidR="4590FF88">
        <w:t>presents challenges to the use</w:t>
      </w:r>
      <w:r w:rsidR="1CC3CF97">
        <w:t xml:space="preserve"> of some common text complexity evaluation tools</w:t>
      </w:r>
      <w:r w:rsidR="78206EC8">
        <w:t xml:space="preserve">. A holistic array of tools and rubrics were proposed for use to provide a more accurate measure of the appropriateness of the language of stimuli and items. </w:t>
      </w:r>
      <w:r w:rsidR="03A6E96F">
        <w:t>These measures are now used as part of the item development process for the C</w:t>
      </w:r>
      <w:r w:rsidR="00D24D22">
        <w:t>AA</w:t>
      </w:r>
      <w:r w:rsidR="03A6E96F">
        <w:t>s.</w:t>
      </w:r>
    </w:p>
    <w:p w14:paraId="2E118E0F" w14:textId="56170364" w:rsidR="000847B2" w:rsidRDefault="000847B2" w:rsidP="008100CD">
      <w:pPr>
        <w:pStyle w:val="Heading3"/>
      </w:pPr>
      <w:bookmarkStart w:id="1128" w:name="_Toc182555270"/>
      <w:r w:rsidRPr="004B2D24">
        <w:t>Test Delivery</w:t>
      </w:r>
      <w:bookmarkEnd w:id="1128"/>
    </w:p>
    <w:p w14:paraId="4BE9E54D" w14:textId="6A341D1C" w:rsidR="00121736" w:rsidRDefault="003C1C70" w:rsidP="00121736">
      <w:r>
        <w:t xml:space="preserve">One improvement being implemented is a routing question to be provided before the survey at the end of the test. Therefore, instead of test examiners being presented with two surveys and choosing the correct one to respond to </w:t>
      </w:r>
      <w:r w:rsidR="00381732">
        <w:t>on the basis of</w:t>
      </w:r>
      <w:r>
        <w:t xml:space="preserve"> their student’s responsiveness, the routing question will lead the test examiner to the correct survey and only the correct survey.</w:t>
      </w:r>
    </w:p>
    <w:p w14:paraId="1F5AB89F" w14:textId="717AF924" w:rsidR="00B760E1" w:rsidRPr="00121736" w:rsidRDefault="00B760E1" w:rsidP="00B760E1">
      <w:r>
        <w:t>Information pages for the orienting activities are also being added. Previously, only orienting activities with videos had information pages within the test delivery system</w:t>
      </w:r>
      <w:r w:rsidR="00F9245C">
        <w:t xml:space="preserve"> (TDS)</w:t>
      </w:r>
      <w:r>
        <w:t>, but going forward</w:t>
      </w:r>
      <w:r w:rsidR="00583231">
        <w:t>,</w:t>
      </w:r>
      <w:r>
        <w:t xml:space="preserve"> each orienting activity will have a corresponding information page to ensure test examiners administer the orienting activity.</w:t>
      </w:r>
    </w:p>
    <w:p w14:paraId="2816A533" w14:textId="3AB10BF4" w:rsidR="00A601EF" w:rsidRPr="00121736" w:rsidRDefault="00A3243B" w:rsidP="00B760E1">
      <w:r>
        <w:t xml:space="preserve">The </w:t>
      </w:r>
      <w:r w:rsidR="00F9245C" w:rsidRPr="00D41986">
        <w:rPr>
          <w:i/>
          <w:iCs/>
        </w:rPr>
        <w:t xml:space="preserve">Mark as </w:t>
      </w:r>
      <w:r w:rsidR="003C717C">
        <w:rPr>
          <w:i/>
          <w:iCs/>
        </w:rPr>
        <w:t>N</w:t>
      </w:r>
      <w:r w:rsidRPr="00D41986">
        <w:rPr>
          <w:i/>
          <w:iCs/>
        </w:rPr>
        <w:t xml:space="preserve">o </w:t>
      </w:r>
      <w:r w:rsidR="00F9245C" w:rsidRPr="00D41986">
        <w:rPr>
          <w:i/>
          <w:iCs/>
        </w:rPr>
        <w:t>R</w:t>
      </w:r>
      <w:r w:rsidRPr="00D41986">
        <w:rPr>
          <w:i/>
          <w:iCs/>
        </w:rPr>
        <w:t>esponse</w:t>
      </w:r>
      <w:r>
        <w:t xml:space="preserve"> option</w:t>
      </w:r>
      <w:r w:rsidR="003E75F3">
        <w:t xml:space="preserve">, available on every item within the </w:t>
      </w:r>
      <w:r w:rsidR="00F9245C">
        <w:t>TDS</w:t>
      </w:r>
      <w:r w:rsidR="003E75F3">
        <w:t xml:space="preserve">, was added to provide </w:t>
      </w:r>
      <w:r w:rsidR="00E07567">
        <w:t xml:space="preserve">information regarding the student testing experience. </w:t>
      </w:r>
      <w:r w:rsidR="00555AC0">
        <w:t xml:space="preserve">The </w:t>
      </w:r>
      <w:r w:rsidR="003C717C" w:rsidRPr="00D41986">
        <w:rPr>
          <w:i/>
          <w:iCs/>
        </w:rPr>
        <w:t>Mark as N</w:t>
      </w:r>
      <w:r w:rsidR="00555AC0" w:rsidRPr="00D41986">
        <w:rPr>
          <w:i/>
          <w:iCs/>
        </w:rPr>
        <w:t xml:space="preserve">o </w:t>
      </w:r>
      <w:r w:rsidR="003C717C" w:rsidRPr="00D41986">
        <w:rPr>
          <w:i/>
          <w:iCs/>
        </w:rPr>
        <w:t>R</w:t>
      </w:r>
      <w:r w:rsidR="00555AC0" w:rsidRPr="00D41986">
        <w:rPr>
          <w:i/>
          <w:iCs/>
        </w:rPr>
        <w:t>esponse</w:t>
      </w:r>
      <w:r w:rsidR="00555AC0">
        <w:t xml:space="preserve"> option should be used when the item is presented to the student and the student does not provide a response despite the test examiner’s best efforts to elicit a response.</w:t>
      </w:r>
      <w:r w:rsidR="00DC4296">
        <w:t xml:space="preserve"> Previously, a test examiner would have just skipped ahead in the test</w:t>
      </w:r>
      <w:r w:rsidR="00583231">
        <w:t>;</w:t>
      </w:r>
      <w:r w:rsidR="00DC4296">
        <w:t xml:space="preserve"> this option allows for greater detail in the data gathered from the test.</w:t>
      </w:r>
    </w:p>
    <w:p w14:paraId="1A7FF739" w14:textId="5CCFD113" w:rsidR="00B33B75" w:rsidRPr="00380C0B" w:rsidRDefault="00B33B75" w:rsidP="00EE18FD">
      <w:pPr>
        <w:pStyle w:val="Heading4"/>
      </w:pPr>
      <w:bookmarkStart w:id="1129" w:name="_Toc41664136"/>
      <w:bookmarkStart w:id="1130" w:name="_Toc182555271"/>
      <w:r w:rsidRPr="00380C0B">
        <w:t>Stakeholder Feedback</w:t>
      </w:r>
      <w:bookmarkEnd w:id="1129"/>
      <w:bookmarkEnd w:id="1130"/>
    </w:p>
    <w:p w14:paraId="3A3C114F" w14:textId="6817FA72" w:rsidR="00B33B75" w:rsidRPr="00380C0B" w:rsidRDefault="00B33B75" w:rsidP="00B33B75">
      <w:pPr>
        <w:keepLines/>
      </w:pPr>
      <w:r>
        <w:t xml:space="preserve">The </w:t>
      </w:r>
      <w:r w:rsidR="00214BCE">
        <w:t>California Assessment of Student Performance and Progress (</w:t>
      </w:r>
      <w:r>
        <w:t>CAASPP</w:t>
      </w:r>
      <w:r w:rsidR="00214BCE">
        <w:t>)</w:t>
      </w:r>
      <w:r>
        <w:t xml:space="preserve"> program solicits feedback annually from various stakeholder groups, including local educational agency (LEA) CAASPP coordinators, CAASPP test site coordinators, test administrators, and test examiners, through the CAASPP Post-Test Survey. </w:t>
      </w:r>
      <w:r w:rsidR="00583231">
        <w:t>In 2018–2019, f</w:t>
      </w:r>
      <w:r w:rsidRPr="00380C0B">
        <w:t xml:space="preserve">eedback was collected via a post-test survey of more than </w:t>
      </w:r>
      <w:r w:rsidR="00154F10">
        <w:t>8</w:t>
      </w:r>
      <w:r w:rsidRPr="00380C0B">
        <w:t>,000 California educators and a focus group study with over 40 participants.</w:t>
      </w:r>
      <w:r w:rsidR="00BA601B">
        <w:t xml:space="preserve"> (There were not enough responses received about the CAA for Science from the 2019–2020 survey to provide analysis.)</w:t>
      </w:r>
    </w:p>
    <w:p w14:paraId="2D70E81B" w14:textId="6B4D3F9A" w:rsidR="00B33B75" w:rsidRPr="00380C0B" w:rsidRDefault="00B33B75" w:rsidP="00EE18FD">
      <w:pPr>
        <w:pStyle w:val="Heading4"/>
      </w:pPr>
      <w:bookmarkStart w:id="1131" w:name="_Toc32917385"/>
      <w:bookmarkStart w:id="1132" w:name="_Toc34142991"/>
      <w:bookmarkStart w:id="1133" w:name="_Toc34589000"/>
      <w:bookmarkStart w:id="1134" w:name="_Toc34589274"/>
      <w:bookmarkStart w:id="1135" w:name="_Toc34589548"/>
      <w:bookmarkStart w:id="1136" w:name="_Toc41664137"/>
      <w:bookmarkStart w:id="1137" w:name="_Toc182555272"/>
      <w:bookmarkEnd w:id="1131"/>
      <w:bookmarkEnd w:id="1132"/>
      <w:bookmarkEnd w:id="1133"/>
      <w:bookmarkEnd w:id="1134"/>
      <w:bookmarkEnd w:id="1135"/>
      <w:r w:rsidRPr="00380C0B">
        <w:lastRenderedPageBreak/>
        <w:t>Commitment to Preparation and Training Resources</w:t>
      </w:r>
      <w:bookmarkEnd w:id="1136"/>
      <w:bookmarkEnd w:id="1137"/>
    </w:p>
    <w:p w14:paraId="5F851691" w14:textId="68FA5901" w:rsidR="00B33B75" w:rsidRPr="00380C0B" w:rsidRDefault="00B33B75" w:rsidP="008961A9">
      <w:pPr>
        <w:keepNext/>
        <w:keepLines/>
      </w:pPr>
      <w:r w:rsidRPr="00380C0B">
        <w:t xml:space="preserve">When asked about preparation and training resources for the CAAs, </w:t>
      </w:r>
      <w:r w:rsidR="0F0A1E35">
        <w:t>2018</w:t>
      </w:r>
      <w:r w:rsidR="00C9282A">
        <w:t>–</w:t>
      </w:r>
      <w:r w:rsidR="00872777">
        <w:t>20</w:t>
      </w:r>
      <w:r w:rsidR="0F0A1E35">
        <w:t xml:space="preserve">19 </w:t>
      </w:r>
      <w:r w:rsidRPr="00380C0B">
        <w:t>survey respondents found them to be helpful overall. When asked if the online, self-guided Test Examiner Tutorial provided all the training necessary for CAA test examiners, 87 percent of all respondents agreed it did. More than 80 percent of respondents found the tutorial to be helpful in preparing them to administer the CAAs.</w:t>
      </w:r>
    </w:p>
    <w:p w14:paraId="0FBFB2D0" w14:textId="648C84E7" w:rsidR="00B33B75" w:rsidRPr="00380C0B" w:rsidRDefault="00B33B75" w:rsidP="00B33B75">
      <w:pPr>
        <w:rPr>
          <w:lang w:eastAsia="zh-CN"/>
        </w:rPr>
      </w:pPr>
      <w:r w:rsidRPr="00380C0B">
        <w:t>The Test Examiner Checklists were found to be helpful by 65 percent of respondents; the CAA For Science Webcast and the Practice Test Scoring Guides were the least-accessed materials.</w:t>
      </w:r>
    </w:p>
    <w:p w14:paraId="483B8BE3" w14:textId="03E2863B" w:rsidR="00B33B75" w:rsidRPr="00380C0B" w:rsidRDefault="00B33B75" w:rsidP="00B33B75">
      <w:pPr>
        <w:spacing w:after="240"/>
        <w:rPr>
          <w:lang w:eastAsia="zh-CN"/>
        </w:rPr>
      </w:pPr>
      <w:r w:rsidRPr="00380C0B">
        <w:rPr>
          <w:lang w:eastAsia="zh-CN"/>
        </w:rPr>
        <w:t>To improve the dissemination of information to all educators involved in the CAAs, ETS plans to communicate more information to LEA CAASPP coordinators and CAA test examiners at the same time. The survey results support this strategy, with 48 percent of LEA CAASPP coordinators delegating CAA testing activities to special education staff and 55 percent agreeing that ETS should send CAA communications to all relevant audiences.</w:t>
      </w:r>
    </w:p>
    <w:p w14:paraId="6944BD90" w14:textId="2A1D3496" w:rsidR="000847B2" w:rsidRDefault="000847B2" w:rsidP="008100CD">
      <w:pPr>
        <w:pStyle w:val="Heading3"/>
      </w:pPr>
      <w:bookmarkStart w:id="1138" w:name="_Toc182555273"/>
      <w:r>
        <w:t>Psychometric Analyses</w:t>
      </w:r>
      <w:bookmarkEnd w:id="1138"/>
    </w:p>
    <w:p w14:paraId="59D8E5FD" w14:textId="5E3A15FD" w:rsidR="00B42362" w:rsidRPr="00380C0B" w:rsidRDefault="00B42362" w:rsidP="00B42362">
      <w:pPr>
        <w:keepNext/>
        <w:rPr>
          <w:lang w:eastAsia="ko-KR"/>
        </w:rPr>
      </w:pPr>
      <w:r w:rsidRPr="00380C0B">
        <w:rPr>
          <w:lang w:eastAsia="ko-KR"/>
        </w:rPr>
        <w:t>ETS analyz</w:t>
      </w:r>
      <w:r w:rsidR="00C97ED3">
        <w:rPr>
          <w:lang w:eastAsia="ko-KR"/>
        </w:rPr>
        <w:t xml:space="preserve">es </w:t>
      </w:r>
      <w:r w:rsidRPr="00380C0B">
        <w:rPr>
          <w:lang w:eastAsia="ko-KR"/>
        </w:rPr>
        <w:t xml:space="preserve">CAA </w:t>
      </w:r>
      <w:r w:rsidR="00C97ED3">
        <w:rPr>
          <w:lang w:eastAsia="ko-KR"/>
        </w:rPr>
        <w:t xml:space="preserve">for Science </w:t>
      </w:r>
      <w:r w:rsidRPr="00380C0B">
        <w:rPr>
          <w:lang w:eastAsia="ko-KR"/>
        </w:rPr>
        <w:t>items</w:t>
      </w:r>
      <w:r w:rsidR="00964CA4">
        <w:rPr>
          <w:lang w:eastAsia="ko-KR"/>
        </w:rPr>
        <w:t>,</w:t>
      </w:r>
      <w:r w:rsidR="00C97ED3">
        <w:rPr>
          <w:lang w:eastAsia="ko-KR"/>
        </w:rPr>
        <w:t xml:space="preserve"> </w:t>
      </w:r>
      <w:r w:rsidRPr="00380C0B">
        <w:rPr>
          <w:lang w:eastAsia="ko-KR"/>
        </w:rPr>
        <w:t>including the following types of analyses:</w:t>
      </w:r>
    </w:p>
    <w:p w14:paraId="70FC071B" w14:textId="77777777" w:rsidR="00B42362" w:rsidRPr="00380C0B" w:rsidRDefault="00B42362" w:rsidP="00096DB5">
      <w:pPr>
        <w:pStyle w:val="bullets-one"/>
        <w:rPr>
          <w:lang w:eastAsia="ko-KR"/>
        </w:rPr>
      </w:pPr>
      <w:r w:rsidRPr="00380C0B">
        <w:rPr>
          <w:lang w:eastAsia="ko-KR"/>
        </w:rPr>
        <w:t>Item difficulty</w:t>
      </w:r>
    </w:p>
    <w:p w14:paraId="0FA97BBE" w14:textId="77777777" w:rsidR="00B42362" w:rsidRPr="00380C0B" w:rsidRDefault="00B42362" w:rsidP="00096DB5">
      <w:pPr>
        <w:pStyle w:val="bullets-one"/>
        <w:rPr>
          <w:lang w:eastAsia="ko-KR"/>
        </w:rPr>
      </w:pPr>
      <w:r w:rsidRPr="00380C0B">
        <w:rPr>
          <w:lang w:eastAsia="ko-KR"/>
        </w:rPr>
        <w:t>Item discrimination</w:t>
      </w:r>
    </w:p>
    <w:p w14:paraId="73FCCEE9" w14:textId="77777777" w:rsidR="00B42362" w:rsidRPr="00380C0B" w:rsidRDefault="00B42362" w:rsidP="00096DB5">
      <w:pPr>
        <w:pStyle w:val="bullets-one"/>
        <w:rPr>
          <w:lang w:eastAsia="ko-KR"/>
        </w:rPr>
      </w:pPr>
      <w:r w:rsidRPr="00380C0B">
        <w:rPr>
          <w:lang w:eastAsia="ko-KR"/>
        </w:rPr>
        <w:t>Item score distributions</w:t>
      </w:r>
    </w:p>
    <w:p w14:paraId="449AA4E6" w14:textId="47955D52" w:rsidR="00B42362" w:rsidRPr="00380C0B" w:rsidRDefault="00BA601B" w:rsidP="00096DB5">
      <w:pPr>
        <w:pStyle w:val="bullets-one"/>
        <w:rPr>
          <w:lang w:eastAsia="ko-KR"/>
        </w:rPr>
      </w:pPr>
      <w:r w:rsidRPr="00380C0B">
        <w:rPr>
          <w:lang w:eastAsia="ko-KR"/>
        </w:rPr>
        <w:t>Differential</w:t>
      </w:r>
      <w:r w:rsidR="00B42362" w:rsidRPr="00380C0B">
        <w:rPr>
          <w:lang w:eastAsia="ko-KR"/>
        </w:rPr>
        <w:t xml:space="preserve"> item functioning</w:t>
      </w:r>
    </w:p>
    <w:p w14:paraId="2F50C0DC" w14:textId="0F097B85" w:rsidR="00964CA4" w:rsidRDefault="009B6401" w:rsidP="00B42362">
      <w:pPr>
        <w:rPr>
          <w:lang w:eastAsia="ko-KR"/>
        </w:rPr>
      </w:pPr>
      <w:r>
        <w:rPr>
          <w:lang w:eastAsia="ko-KR"/>
        </w:rPr>
        <w:t xml:space="preserve">The CDE </w:t>
      </w:r>
      <w:r w:rsidR="006843F2">
        <w:rPr>
          <w:lang w:eastAsia="ko-KR"/>
        </w:rPr>
        <w:t>requested that the</w:t>
      </w:r>
      <w:r w:rsidR="00053C2B">
        <w:rPr>
          <w:lang w:eastAsia="ko-KR"/>
        </w:rPr>
        <w:t xml:space="preserve"> item difficulty flagging criteria be based on the number of response choices. Therefore, f</w:t>
      </w:r>
      <w:r w:rsidR="00C97ED3">
        <w:rPr>
          <w:lang w:eastAsia="ko-KR"/>
        </w:rPr>
        <w:t xml:space="preserve">or future test administrations, ETS will </w:t>
      </w:r>
      <w:r w:rsidR="001D4E31">
        <w:rPr>
          <w:lang w:eastAsia="ko-KR"/>
        </w:rPr>
        <w:t>flag difficult multiple-choice items based on the number of response options for the item</w:t>
      </w:r>
      <w:r w:rsidR="00964CA4">
        <w:rPr>
          <w:lang w:eastAsia="ko-KR"/>
        </w:rPr>
        <w:t>:</w:t>
      </w:r>
    </w:p>
    <w:p w14:paraId="4CBC92F4" w14:textId="1AA1D8CA" w:rsidR="00964CA4" w:rsidRDefault="001D4E31" w:rsidP="00096DB5">
      <w:pPr>
        <w:pStyle w:val="bullets"/>
      </w:pPr>
      <w:r>
        <w:rPr>
          <w:lang w:eastAsia="ko-KR"/>
        </w:rPr>
        <w:t xml:space="preserve">Items with only two response options will be flagged when the item’s </w:t>
      </w:r>
      <w:r w:rsidR="00155478" w:rsidRPr="00380C0B">
        <w:rPr>
          <w:i/>
        </w:rPr>
        <w:t>p</w:t>
      </w:r>
      <w:r w:rsidR="00155478" w:rsidRPr="00380C0B">
        <w:t>-value</w:t>
      </w:r>
      <w:r w:rsidR="00155478">
        <w:t xml:space="preserve"> is below 0.50</w:t>
      </w:r>
      <w:r w:rsidR="00BA601B">
        <w:t>.</w:t>
      </w:r>
    </w:p>
    <w:p w14:paraId="3B2C66E1" w14:textId="46735795" w:rsidR="00964CA4" w:rsidRDefault="00964CA4" w:rsidP="00096DB5">
      <w:pPr>
        <w:pStyle w:val="bullets"/>
      </w:pPr>
      <w:r>
        <w:t>I</w:t>
      </w:r>
      <w:r w:rsidR="00155478">
        <w:t xml:space="preserve">tems with three response options will be flagged </w:t>
      </w:r>
      <w:r w:rsidR="003C1A28">
        <w:rPr>
          <w:lang w:eastAsia="ko-KR"/>
        </w:rPr>
        <w:t xml:space="preserve">when the item’s </w:t>
      </w:r>
      <w:r w:rsidR="003C1A28" w:rsidRPr="00380C0B">
        <w:rPr>
          <w:i/>
        </w:rPr>
        <w:t>p</w:t>
      </w:r>
      <w:r w:rsidR="003C1A28" w:rsidRPr="00380C0B">
        <w:t>-value</w:t>
      </w:r>
      <w:r w:rsidR="003C1A28">
        <w:t xml:space="preserve"> is below 0.30</w:t>
      </w:r>
      <w:r w:rsidR="00BA601B">
        <w:t>.</w:t>
      </w:r>
    </w:p>
    <w:p w14:paraId="123764A1" w14:textId="6BD0E39E" w:rsidR="00964CA4" w:rsidRDefault="00964CA4" w:rsidP="00096DB5">
      <w:pPr>
        <w:pStyle w:val="bullets"/>
      </w:pPr>
      <w:r>
        <w:t>I</w:t>
      </w:r>
      <w:r w:rsidR="003C1A28">
        <w:t xml:space="preserve">tems with four response options will be flagged </w:t>
      </w:r>
      <w:r w:rsidR="003C1A28">
        <w:rPr>
          <w:lang w:eastAsia="ko-KR"/>
        </w:rPr>
        <w:t xml:space="preserve">when the item’s </w:t>
      </w:r>
      <w:r w:rsidR="003C1A28" w:rsidRPr="00380C0B">
        <w:rPr>
          <w:i/>
        </w:rPr>
        <w:t>p</w:t>
      </w:r>
      <w:r w:rsidR="003C1A28" w:rsidRPr="00380C0B">
        <w:t>-value</w:t>
      </w:r>
      <w:r w:rsidR="003C1A28">
        <w:t xml:space="preserve"> is below 0.20</w:t>
      </w:r>
      <w:r w:rsidR="00BA601B">
        <w:t>.</w:t>
      </w:r>
    </w:p>
    <w:p w14:paraId="3D772DD7" w14:textId="45D31DEB" w:rsidR="008100CD" w:rsidRPr="008100CD" w:rsidRDefault="00334A43" w:rsidP="00964CA4">
      <w:r>
        <w:t>The polytomous items will continue to be flagged when the proportion of correct responses is less than 0.30.</w:t>
      </w:r>
    </w:p>
    <w:p w14:paraId="109165F0" w14:textId="76FA7B9F" w:rsidR="002B3220" w:rsidRDefault="000847B2" w:rsidP="008100CD">
      <w:pPr>
        <w:pStyle w:val="Heading3"/>
      </w:pPr>
      <w:bookmarkStart w:id="1139" w:name="_Toc182555274"/>
      <w:r>
        <w:t>Research-</w:t>
      </w:r>
      <w:r w:rsidR="008C2DBC">
        <w:t>b</w:t>
      </w:r>
      <w:r>
        <w:t>ased Operational Work</w:t>
      </w:r>
      <w:bookmarkEnd w:id="1139"/>
    </w:p>
    <w:p w14:paraId="7A2ED6D8" w14:textId="55035DFC" w:rsidR="00725E1E" w:rsidRDefault="009D3097" w:rsidP="00635574">
      <w:pPr>
        <w:rPr>
          <w:lang w:eastAsia="zh-CN"/>
        </w:rPr>
      </w:pPr>
      <w:r>
        <w:rPr>
          <w:lang w:eastAsia="ko-KR"/>
        </w:rPr>
        <w:t>A feature of the CAA for Science</w:t>
      </w:r>
      <w:r w:rsidR="00417B1D">
        <w:rPr>
          <w:lang w:eastAsia="ko-KR"/>
        </w:rPr>
        <w:t xml:space="preserve"> embedded </w:t>
      </w:r>
      <w:r w:rsidR="00964CA4">
        <w:rPr>
          <w:lang w:eastAsia="ko-KR"/>
        </w:rPr>
        <w:t>performance tasks (</w:t>
      </w:r>
      <w:r w:rsidR="00417B1D">
        <w:rPr>
          <w:lang w:eastAsia="ko-KR"/>
        </w:rPr>
        <w:t>PTs</w:t>
      </w:r>
      <w:r w:rsidR="00964CA4">
        <w:rPr>
          <w:lang w:eastAsia="ko-KR"/>
        </w:rPr>
        <w:t>)</w:t>
      </w:r>
      <w:r w:rsidR="00417B1D">
        <w:rPr>
          <w:lang w:eastAsia="ko-KR"/>
        </w:rPr>
        <w:t xml:space="preserve"> is that the test examiners have the option to individualize certain elements of the assessment, although no</w:t>
      </w:r>
      <w:r w:rsidR="245D977F" w:rsidRPr="223F4E28">
        <w:rPr>
          <w:lang w:eastAsia="ko-KR"/>
        </w:rPr>
        <w:t>t</w:t>
      </w:r>
      <w:r w:rsidR="1E126121" w:rsidRPr="223F4E28">
        <w:rPr>
          <w:lang w:eastAsia="ko-KR"/>
        </w:rPr>
        <w:t xml:space="preserve"> </w:t>
      </w:r>
      <w:r w:rsidR="245D977F" w:rsidRPr="223F4E28">
        <w:rPr>
          <w:lang w:eastAsia="ko-KR"/>
        </w:rPr>
        <w:t>all</w:t>
      </w:r>
      <w:r w:rsidR="00417B1D">
        <w:rPr>
          <w:lang w:eastAsia="ko-KR"/>
        </w:rPr>
        <w:t xml:space="preserve"> embedded PTs allow for </w:t>
      </w:r>
      <w:r w:rsidR="00D72AF6">
        <w:rPr>
          <w:lang w:eastAsia="ko-KR"/>
        </w:rPr>
        <w:t>individualizations</w:t>
      </w:r>
      <w:r w:rsidR="00417B1D">
        <w:rPr>
          <w:lang w:eastAsia="ko-KR"/>
        </w:rPr>
        <w:t xml:space="preserve">. </w:t>
      </w:r>
      <w:r w:rsidR="00635574" w:rsidRPr="00C34C12">
        <w:rPr>
          <w:lang w:eastAsia="zh-CN"/>
        </w:rPr>
        <w:t xml:space="preserve">Potential individualizations </w:t>
      </w:r>
      <w:r w:rsidR="0013113D">
        <w:rPr>
          <w:lang w:eastAsia="zh-CN"/>
        </w:rPr>
        <w:t>are</w:t>
      </w:r>
      <w:r w:rsidR="00635574" w:rsidRPr="00C34C12">
        <w:rPr>
          <w:lang w:eastAsia="zh-CN"/>
        </w:rPr>
        <w:t xml:space="preserve"> designed so that the premise of the item and the scientific principles tested would remain the same. Individualization options in </w:t>
      </w:r>
      <w:r w:rsidR="00635574" w:rsidRPr="00C34C12">
        <w:rPr>
          <w:rFonts w:eastAsia="Calibri"/>
        </w:rPr>
        <w:t>embedded</w:t>
      </w:r>
      <w:r w:rsidR="00635574" w:rsidRPr="00C34C12">
        <w:rPr>
          <w:lang w:eastAsia="zh-CN"/>
        </w:rPr>
        <w:t xml:space="preserve"> PTs often involve the use of objects to make certain science concepts easier to understand for some students.</w:t>
      </w:r>
      <w:r w:rsidR="00B546C1">
        <w:rPr>
          <w:lang w:eastAsia="zh-CN"/>
        </w:rPr>
        <w:t xml:space="preserve"> Therefore</w:t>
      </w:r>
      <w:r w:rsidR="009049B7">
        <w:rPr>
          <w:lang w:eastAsia="zh-CN"/>
        </w:rPr>
        <w:t>,</w:t>
      </w:r>
      <w:r w:rsidR="00B546C1">
        <w:rPr>
          <w:lang w:eastAsia="zh-CN"/>
        </w:rPr>
        <w:t xml:space="preserve"> there were concerns</w:t>
      </w:r>
      <w:r w:rsidR="000A3810">
        <w:rPr>
          <w:lang w:eastAsia="zh-CN"/>
        </w:rPr>
        <w:t xml:space="preserve"> about the potential impact of </w:t>
      </w:r>
      <w:r w:rsidR="7B3E3254" w:rsidRPr="223F4E28">
        <w:rPr>
          <w:lang w:eastAsia="zh-CN"/>
        </w:rPr>
        <w:t>giv</w:t>
      </w:r>
      <w:r w:rsidR="6781050E" w:rsidRPr="223F4E28">
        <w:rPr>
          <w:lang w:eastAsia="zh-CN"/>
        </w:rPr>
        <w:t>i</w:t>
      </w:r>
      <w:r w:rsidR="7B3E3254" w:rsidRPr="223F4E28">
        <w:rPr>
          <w:lang w:eastAsia="zh-CN"/>
        </w:rPr>
        <w:t>n</w:t>
      </w:r>
      <w:r w:rsidR="33279196" w:rsidRPr="223F4E28">
        <w:rPr>
          <w:lang w:eastAsia="zh-CN"/>
        </w:rPr>
        <w:t>g</w:t>
      </w:r>
      <w:r w:rsidR="000A3810">
        <w:rPr>
          <w:lang w:eastAsia="zh-CN"/>
        </w:rPr>
        <w:t xml:space="preserve"> test examiners</w:t>
      </w:r>
      <w:r w:rsidR="00342150">
        <w:rPr>
          <w:lang w:eastAsia="zh-CN"/>
        </w:rPr>
        <w:t xml:space="preserve"> the flexibility to choose materials to con</w:t>
      </w:r>
      <w:r w:rsidR="00F8134A">
        <w:rPr>
          <w:lang w:eastAsia="zh-CN"/>
        </w:rPr>
        <w:t>duct activities</w:t>
      </w:r>
      <w:r w:rsidR="007070FD">
        <w:rPr>
          <w:lang w:eastAsia="zh-CN"/>
        </w:rPr>
        <w:t xml:space="preserve"> associated with the embedded PT</w:t>
      </w:r>
      <w:r w:rsidR="00E87879">
        <w:rPr>
          <w:lang w:eastAsia="zh-CN"/>
        </w:rPr>
        <w:t>s.</w:t>
      </w:r>
    </w:p>
    <w:p w14:paraId="52B37B58" w14:textId="77777777" w:rsidR="00BA601B" w:rsidRDefault="005D325E" w:rsidP="00E617C0">
      <w:pPr>
        <w:rPr>
          <w:color w:val="auto"/>
        </w:rPr>
      </w:pPr>
      <w:r>
        <w:rPr>
          <w:lang w:eastAsia="zh-CN"/>
        </w:rPr>
        <w:lastRenderedPageBreak/>
        <w:t xml:space="preserve">ETS </w:t>
      </w:r>
      <w:r w:rsidR="003127DE">
        <w:rPr>
          <w:lang w:eastAsia="zh-CN"/>
        </w:rPr>
        <w:t xml:space="preserve">evaluated the impact of the </w:t>
      </w:r>
      <w:r w:rsidR="00B46D12">
        <w:rPr>
          <w:lang w:eastAsia="zh-CN"/>
        </w:rPr>
        <w:t>individu</w:t>
      </w:r>
      <w:r w:rsidR="003D7E7A">
        <w:rPr>
          <w:lang w:eastAsia="zh-CN"/>
        </w:rPr>
        <w:t>alizations after the 2017</w:t>
      </w:r>
      <w:r w:rsidR="003D7E7A" w:rsidRPr="00C34C12">
        <w:t>–</w:t>
      </w:r>
      <w:r w:rsidR="003D7E7A">
        <w:rPr>
          <w:lang w:eastAsia="zh-CN"/>
        </w:rPr>
        <w:t>2018 second-year pilot</w:t>
      </w:r>
      <w:r w:rsidR="00FB10EE">
        <w:rPr>
          <w:lang w:eastAsia="zh-CN"/>
        </w:rPr>
        <w:t xml:space="preserve"> and after the 2018</w:t>
      </w:r>
      <w:r w:rsidR="00FB10EE" w:rsidRPr="00C34C12">
        <w:t>–</w:t>
      </w:r>
      <w:r w:rsidR="00FB10EE">
        <w:t>2019 field test administrations.</w:t>
      </w:r>
      <w:r w:rsidR="004174AA">
        <w:t xml:space="preserve"> </w:t>
      </w:r>
      <w:r w:rsidR="00725E1E">
        <w:rPr>
          <w:color w:val="auto"/>
        </w:rPr>
        <w:t>I</w:t>
      </w:r>
      <w:r w:rsidR="004174AA" w:rsidRPr="00C34C12">
        <w:rPr>
          <w:color w:val="auto"/>
        </w:rPr>
        <w:t xml:space="preserve">n general, individualizations and material choice do not explain a significant proportion of the variance of the students’ </w:t>
      </w:r>
      <w:r w:rsidR="00FA3E1B" w:rsidRPr="00C34C12">
        <w:t>California Next Generation Science Standards Core Content Connector (</w:t>
      </w:r>
      <w:r w:rsidR="004174AA" w:rsidRPr="00C34C12">
        <w:rPr>
          <w:color w:val="auto"/>
          <w:lang w:bidi="en-US"/>
        </w:rPr>
        <w:t>Science Connector</w:t>
      </w:r>
      <w:r w:rsidR="00FA3E1B" w:rsidRPr="00C34C12">
        <w:t>)</w:t>
      </w:r>
      <w:r w:rsidR="004174AA" w:rsidRPr="00C34C12">
        <w:rPr>
          <w:color w:val="auto"/>
          <w:lang w:bidi="en-US"/>
        </w:rPr>
        <w:t xml:space="preserve"> </w:t>
      </w:r>
      <w:r w:rsidR="004174AA" w:rsidRPr="00C34C12">
        <w:rPr>
          <w:color w:val="auto"/>
        </w:rPr>
        <w:t>scores.</w:t>
      </w:r>
      <w:r w:rsidR="001867CC">
        <w:rPr>
          <w:color w:val="auto"/>
        </w:rPr>
        <w:t xml:space="preserve"> S</w:t>
      </w:r>
      <w:r w:rsidR="004174AA" w:rsidRPr="00C34C12">
        <w:rPr>
          <w:color w:val="auto"/>
        </w:rPr>
        <w:t xml:space="preserve">tudent engagement and </w:t>
      </w:r>
      <w:r w:rsidR="001867CC">
        <w:rPr>
          <w:color w:val="auto"/>
        </w:rPr>
        <w:t xml:space="preserve">student </w:t>
      </w:r>
      <w:r w:rsidR="004174AA" w:rsidRPr="00C34C12">
        <w:rPr>
          <w:color w:val="auto"/>
        </w:rPr>
        <w:t xml:space="preserve">disability explained significant proportions of the </w:t>
      </w:r>
      <w:r w:rsidR="004174AA" w:rsidRPr="00C34C12">
        <w:rPr>
          <w:color w:val="auto"/>
          <w:lang w:bidi="en-US"/>
        </w:rPr>
        <w:t xml:space="preserve">Science Connector </w:t>
      </w:r>
      <w:r w:rsidR="004174AA" w:rsidRPr="00C34C12">
        <w:rPr>
          <w:color w:val="auto"/>
        </w:rPr>
        <w:t xml:space="preserve">scores. </w:t>
      </w:r>
    </w:p>
    <w:p w14:paraId="704ACEAA" w14:textId="208CC021" w:rsidR="00B33B75" w:rsidRDefault="008D290B" w:rsidP="00E617C0">
      <w:pPr>
        <w:rPr>
          <w:lang w:eastAsia="zh-CN"/>
        </w:rPr>
      </w:pPr>
      <w:r w:rsidRPr="00C34C12">
        <w:rPr>
          <w:color w:val="auto"/>
        </w:rPr>
        <w:t xml:space="preserve">When interpreting the results of the material choice analyses, caution should be taken </w:t>
      </w:r>
      <w:r w:rsidR="00FA3E1B">
        <w:rPr>
          <w:color w:val="auto"/>
        </w:rPr>
        <w:t>because of</w:t>
      </w:r>
      <w:r w:rsidRPr="00C34C12">
        <w:rPr>
          <w:color w:val="auto"/>
        </w:rPr>
        <w:t xml:space="preserve"> the small percentage of students who received an individualization (e.g., individualized script) or who received individualized materials. </w:t>
      </w:r>
      <w:r w:rsidR="00FA3E1B">
        <w:rPr>
          <w:color w:val="auto"/>
        </w:rPr>
        <w:t>Because of</w:t>
      </w:r>
      <w:r w:rsidRPr="00C34C12">
        <w:rPr>
          <w:color w:val="auto"/>
        </w:rPr>
        <w:t xml:space="preserve"> the low rates of students receiving an individualization, there is low statistical power to detect possible effects of the choice to use individualized materials if an effect exists. Additionally, the test examiner chose to use individualizations or individualized materials to make the Science Connector orienting activity more accessible to the student and was based on the needs of the student. Therefore, the results of these analyses are nested within student disability and the needs of the student</w:t>
      </w:r>
      <w:r w:rsidR="001867CC">
        <w:rPr>
          <w:color w:val="auto"/>
        </w:rPr>
        <w:t>.</w:t>
      </w:r>
    </w:p>
    <w:p w14:paraId="5494BB6D" w14:textId="2B654E89" w:rsidR="005F380A" w:rsidRPr="00E617C0" w:rsidRDefault="005F380A" w:rsidP="00E617C0">
      <w:pPr>
        <w:rPr>
          <w:color w:val="auto"/>
        </w:rPr>
      </w:pPr>
      <w:r>
        <w:rPr>
          <w:lang w:eastAsia="zh-CN"/>
        </w:rPr>
        <w:t>The ETS psychometricians will continue to monitor the number of students receiving an individualization and, for future administrations, will evaluate the impact of the individualizations on student’s scores.</w:t>
      </w:r>
    </w:p>
    <w:p w14:paraId="359C7805" w14:textId="688F8D97" w:rsidR="00146254" w:rsidRDefault="00146254" w:rsidP="008100CD">
      <w:pPr>
        <w:pStyle w:val="Heading3"/>
      </w:pPr>
      <w:bookmarkStart w:id="1140" w:name="_Toc182555275"/>
      <w:r>
        <w:t>Accessibility</w:t>
      </w:r>
      <w:bookmarkEnd w:id="1140"/>
    </w:p>
    <w:p w14:paraId="72A5D31B" w14:textId="66AA651D" w:rsidR="002177B7" w:rsidRDefault="00B33B75" w:rsidP="004127C1">
      <w:r w:rsidRPr="00380C0B">
        <w:rPr>
          <w:lang w:eastAsia="ko-KR"/>
        </w:rPr>
        <w:t xml:space="preserve">Like all CAASPP assessments, the CAAs are administered using the </w:t>
      </w:r>
      <w:r w:rsidR="00F9245C">
        <w:rPr>
          <w:lang w:eastAsia="ko-KR"/>
        </w:rPr>
        <w:t>TDS</w:t>
      </w:r>
      <w:r w:rsidRPr="00380C0B">
        <w:rPr>
          <w:lang w:eastAsia="ko-KR"/>
        </w:rPr>
        <w:t xml:space="preserve"> created by </w:t>
      </w:r>
      <w:r w:rsidR="004A55B8">
        <w:t>Cambium Assessment, Inc.</w:t>
      </w:r>
      <w:r w:rsidRPr="00380C0B">
        <w:rPr>
          <w:lang w:eastAsia="ko-KR"/>
        </w:rPr>
        <w:t xml:space="preserve"> for the Smarter Balanced assessments. As such, implementation of new online universal tools, designated supports, and accommodations are aligned with the </w:t>
      </w:r>
      <w:r w:rsidR="00F9245C">
        <w:rPr>
          <w:lang w:eastAsia="ko-KR"/>
        </w:rPr>
        <w:t>TDS</w:t>
      </w:r>
      <w:r w:rsidRPr="00380C0B">
        <w:rPr>
          <w:lang w:eastAsia="ko-KR"/>
        </w:rPr>
        <w:t>.</w:t>
      </w:r>
    </w:p>
    <w:sectPr w:rsidR="002177B7" w:rsidSect="005B2F6C">
      <w:headerReference w:type="first" r:id="rId66"/>
      <w:footerReference w:type="first" r:id="rId67"/>
      <w:pgSz w:w="12240" w:h="15840" w:code="1"/>
      <w:pgMar w:top="1152" w:right="1152" w:bottom="1152" w:left="1152" w:header="576"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97C44" w14:textId="77777777" w:rsidR="00A3182D" w:rsidRDefault="00A3182D" w:rsidP="00523DCD">
      <w:pPr>
        <w:spacing w:after="0"/>
      </w:pPr>
      <w:r>
        <w:separator/>
      </w:r>
    </w:p>
    <w:p w14:paraId="00A127DB" w14:textId="77777777" w:rsidR="00A3182D" w:rsidRDefault="00A3182D"/>
    <w:p w14:paraId="4182A64B" w14:textId="77777777" w:rsidR="00A3182D" w:rsidRDefault="00A3182D"/>
  </w:endnote>
  <w:endnote w:type="continuationSeparator" w:id="0">
    <w:p w14:paraId="455CAE9E" w14:textId="77777777" w:rsidR="00A3182D" w:rsidRDefault="00A3182D" w:rsidP="00523DCD">
      <w:pPr>
        <w:spacing w:after="0"/>
      </w:pPr>
      <w:r>
        <w:continuationSeparator/>
      </w:r>
    </w:p>
    <w:p w14:paraId="0FA3C5A2" w14:textId="77777777" w:rsidR="00A3182D" w:rsidRDefault="00A3182D"/>
    <w:p w14:paraId="18E1905A" w14:textId="77777777" w:rsidR="00A3182D" w:rsidRDefault="00A3182D"/>
  </w:endnote>
  <w:endnote w:type="continuationNotice" w:id="1">
    <w:p w14:paraId="56E1AC80" w14:textId="77777777" w:rsidR="00A3182D" w:rsidRDefault="00A318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NewRomanMTStd">
    <w:altName w:val="MS Gothic"/>
    <w:panose1 w:val="00000000000000000000"/>
    <w:charset w:val="80"/>
    <w:family w:val="roman"/>
    <w:notTrueType/>
    <w:pitch w:val="default"/>
    <w:sig w:usb0="00000000" w:usb1="08070000" w:usb2="00000010" w:usb3="00000000" w:csb0="00020000" w:csb1="00000000"/>
  </w:font>
  <w:font w:name="Wingdings-Regular">
    <w:altName w:val="PMingLiU"/>
    <w:panose1 w:val="00000000000000000000"/>
    <w:charset w:val="88"/>
    <w:family w:val="auto"/>
    <w:notTrueType/>
    <w:pitch w:val="default"/>
    <w:sig w:usb0="00000000" w:usb1="08080000" w:usb2="00000010" w:usb3="00000000" w:csb0="00100000" w:csb1="00000000"/>
  </w:font>
  <w:font w:name="Simsun (Founder Extended)">
    <w:altName w:val="SimSun"/>
    <w:panose1 w:val="00000000000000000000"/>
    <w:charset w:val="86"/>
    <w:family w:val="script"/>
    <w:notTrueType/>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0164" w14:textId="77777777" w:rsidR="00A11B91" w:rsidRPr="004A6B13" w:rsidRDefault="00A11B91" w:rsidP="00A40EBB">
    <w:pPr>
      <w:pStyle w:val="Footer"/>
    </w:pPr>
    <w:r w:rsidRPr="00683D3B">
      <w:rPr>
        <w:i/>
      </w:rPr>
      <w:fldChar w:fldCharType="begin"/>
    </w:r>
    <w:r w:rsidRPr="00683D3B">
      <w:instrText xml:space="preserve"> PAGE   \* MERGEFORMAT </w:instrText>
    </w:r>
    <w:r w:rsidRPr="00683D3B">
      <w:rPr>
        <w:i/>
      </w:rPr>
      <w:fldChar w:fldCharType="separate"/>
    </w:r>
    <w:r w:rsidRPr="005A6B98">
      <w:rPr>
        <w:i/>
        <w:noProof/>
      </w:rPr>
      <w:t>2</w:t>
    </w:r>
    <w:r w:rsidRPr="00683D3B">
      <w:rPr>
        <w:i/>
      </w:rPr>
      <w:fldChar w:fldCharType="end"/>
    </w:r>
    <w:r>
      <w:t xml:space="preserve"> </w:t>
    </w:r>
    <w:r w:rsidRPr="00683D3B">
      <w:t>♦</w:t>
    </w:r>
    <w:r>
      <w:t xml:space="preserve"> CAA for Science</w:t>
    </w:r>
    <w:r w:rsidRPr="00DC7D52">
      <w:t xml:space="preserve"> 201</w:t>
    </w:r>
    <w:r>
      <w:t>7</w:t>
    </w:r>
    <w:r w:rsidRPr="00DC7D52">
      <w:t>–1</w:t>
    </w:r>
    <w:r>
      <w:t>8</w:t>
    </w:r>
    <w:r w:rsidRPr="00DC7D52">
      <w:t xml:space="preserve"> Pilot</w:t>
    </w:r>
    <w:r>
      <w:t xml:space="preserve"> 2</w:t>
    </w:r>
    <w:r w:rsidRPr="00DC7D52">
      <w:t xml:space="preserve"> Plan</w:t>
    </w:r>
    <w:r>
      <w:tab/>
      <w:t>April 26, 2017 (revised September 15, 2017)</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4290" w14:textId="2E2CF68C" w:rsidR="00A11B91" w:rsidRDefault="00EC52C1" w:rsidP="006B1C18">
    <w:pPr>
      <w:pStyle w:val="Footer"/>
      <w:tabs>
        <w:tab w:val="clear" w:pos="5040"/>
        <w:tab w:val="clear" w:pos="9936"/>
        <w:tab w:val="right" w:pos="13500"/>
      </w:tabs>
    </w:pPr>
    <w:r>
      <w:t xml:space="preserve">July </w:t>
    </w:r>
    <w:r w:rsidR="006B1C18">
      <w:t>2021</w:t>
    </w:r>
    <w:r w:rsidR="00A11B91" w:rsidRPr="000949A9">
      <w:tab/>
    </w:r>
    <w:r w:rsidR="00A11B91">
      <w:t xml:space="preserve">CAA for Science 2019–2020 Technical Report </w:t>
    </w:r>
    <w:r w:rsidR="00A11B91" w:rsidRPr="000949A9">
      <w:t xml:space="preserve">♦ </w:t>
    </w:r>
    <w:r w:rsidR="00A11B91" w:rsidRPr="000949A9">
      <w:fldChar w:fldCharType="begin"/>
    </w:r>
    <w:r w:rsidR="00A11B91" w:rsidRPr="000949A9">
      <w:instrText xml:space="preserve"> PAGE   \* MERGEFORMAT </w:instrText>
    </w:r>
    <w:r w:rsidR="00A11B91" w:rsidRPr="000949A9">
      <w:fldChar w:fldCharType="separate"/>
    </w:r>
    <w:r w:rsidR="00A11B91">
      <w:rPr>
        <w:noProof/>
      </w:rPr>
      <w:t>7</w:t>
    </w:r>
    <w:r w:rsidR="00A11B91" w:rsidRPr="000949A9">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BAA1" w14:textId="3A3CE02A" w:rsidR="00A11B91" w:rsidRPr="00873B3E" w:rsidRDefault="00EC52C1" w:rsidP="00873B3E">
    <w:pPr>
      <w:pStyle w:val="Footer"/>
      <w:tabs>
        <w:tab w:val="clear" w:pos="5040"/>
        <w:tab w:val="clear" w:pos="9936"/>
        <w:tab w:val="right" w:pos="13500"/>
      </w:tabs>
    </w:pPr>
    <w:r>
      <w:t xml:space="preserve">July </w:t>
    </w:r>
    <w:r w:rsidR="00873B3E">
      <w:t>2021</w:t>
    </w:r>
    <w:r w:rsidR="00873B3E" w:rsidRPr="000949A9">
      <w:tab/>
    </w:r>
    <w:r w:rsidR="00873B3E">
      <w:t xml:space="preserve">CAA for Science 2019–2020 Technical Report </w:t>
    </w:r>
    <w:r w:rsidR="00873B3E" w:rsidRPr="000949A9">
      <w:t xml:space="preserve">♦ </w:t>
    </w:r>
    <w:r w:rsidR="00873B3E" w:rsidRPr="000949A9">
      <w:fldChar w:fldCharType="begin"/>
    </w:r>
    <w:r w:rsidR="00873B3E" w:rsidRPr="000949A9">
      <w:instrText xml:space="preserve"> PAGE   \* MERGEFORMAT </w:instrText>
    </w:r>
    <w:r w:rsidR="00873B3E" w:rsidRPr="000949A9">
      <w:fldChar w:fldCharType="separate"/>
    </w:r>
    <w:r w:rsidR="00873B3E">
      <w:t>27</w:t>
    </w:r>
    <w:r w:rsidR="00873B3E" w:rsidRPr="000949A9">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0242" w14:textId="42EA5B74" w:rsidR="00873B3E" w:rsidRPr="00873B3E" w:rsidRDefault="00EC52C1" w:rsidP="00873B3E">
    <w:pPr>
      <w:pStyle w:val="Footer"/>
      <w:tabs>
        <w:tab w:val="clear" w:pos="5040"/>
        <w:tab w:val="clear" w:pos="9936"/>
        <w:tab w:val="right" w:pos="13500"/>
      </w:tabs>
    </w:pPr>
    <w:r>
      <w:t xml:space="preserve">July </w:t>
    </w:r>
    <w:r w:rsidR="00873B3E">
      <w:t>2021</w:t>
    </w:r>
    <w:r w:rsidR="00873B3E" w:rsidRPr="000949A9">
      <w:tab/>
    </w:r>
    <w:r w:rsidR="00873B3E">
      <w:t xml:space="preserve">CAA for Science 2019–2020 Technical Report </w:t>
    </w:r>
    <w:r w:rsidR="00873B3E" w:rsidRPr="000949A9">
      <w:t xml:space="preserve">♦ </w:t>
    </w:r>
    <w:r w:rsidR="00873B3E" w:rsidRPr="000949A9">
      <w:fldChar w:fldCharType="begin"/>
    </w:r>
    <w:r w:rsidR="00873B3E" w:rsidRPr="000949A9">
      <w:instrText xml:space="preserve"> PAGE   \* MERGEFORMAT </w:instrText>
    </w:r>
    <w:r w:rsidR="00873B3E" w:rsidRPr="000949A9">
      <w:fldChar w:fldCharType="separate"/>
    </w:r>
    <w:r w:rsidR="00873B3E">
      <w:t>39</w:t>
    </w:r>
    <w:r w:rsidR="00873B3E" w:rsidRPr="000949A9">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2CAC" w14:textId="05A7758F" w:rsidR="00A11B91" w:rsidRDefault="00EC52C1" w:rsidP="00873B3E">
    <w:pPr>
      <w:pStyle w:val="Footer"/>
      <w:tabs>
        <w:tab w:val="clear" w:pos="5040"/>
        <w:tab w:val="clear" w:pos="9936"/>
        <w:tab w:val="right" w:pos="13500"/>
      </w:tabs>
    </w:pPr>
    <w:r>
      <w:t xml:space="preserve">July </w:t>
    </w:r>
    <w:r w:rsidR="006B1C18">
      <w:t>2021</w:t>
    </w:r>
    <w:r w:rsidR="006B1C18" w:rsidRPr="000949A9">
      <w:tab/>
    </w:r>
    <w:r w:rsidR="006B1C18">
      <w:t xml:space="preserve">CAA for Science 2019–2020 Technical Report </w:t>
    </w:r>
    <w:r w:rsidR="006B1C18" w:rsidRPr="000949A9">
      <w:t xml:space="preserve">♦ </w:t>
    </w:r>
    <w:r w:rsidR="006B1C18" w:rsidRPr="000949A9">
      <w:fldChar w:fldCharType="begin"/>
    </w:r>
    <w:r w:rsidR="006B1C18" w:rsidRPr="000949A9">
      <w:instrText xml:space="preserve"> PAGE   \* MERGEFORMAT </w:instrText>
    </w:r>
    <w:r w:rsidR="006B1C18" w:rsidRPr="000949A9">
      <w:fldChar w:fldCharType="separate"/>
    </w:r>
    <w:r w:rsidR="006B1C18">
      <w:t>39</w:t>
    </w:r>
    <w:r w:rsidR="006B1C18" w:rsidRPr="000949A9">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72F1" w14:textId="77777777" w:rsidR="00A11B91" w:rsidRPr="00286DC9" w:rsidRDefault="00A11B91" w:rsidP="00670FD2">
    <w:pPr>
      <w:pStyle w:val="Footer"/>
      <w:spacing w:before="120"/>
      <w:jc w:val="center"/>
    </w:pPr>
    <w:r>
      <w:rPr>
        <w:szCs w:val="18"/>
      </w:rPr>
      <w:t>December XX, 2020</w:t>
    </w:r>
    <w:r>
      <w:rPr>
        <w:szCs w:val="18"/>
      </w:rPr>
      <w:tab/>
      <w:t>CSA</w:t>
    </w:r>
    <w:r w:rsidRPr="00ED2A78">
      <w:rPr>
        <w:szCs w:val="18"/>
      </w:rPr>
      <w:t xml:space="preserve"> 2019–2020 Technical Report Outline ♦</w:t>
    </w:r>
    <w:r w:rsidRPr="00ED2A78">
      <w:rPr>
        <w:rStyle w:val="PageNumber"/>
        <w:szCs w:val="18"/>
      </w:rPr>
      <w:t xml:space="preserve"> </w:t>
    </w:r>
    <w:r w:rsidRPr="00E2508B">
      <w:rPr>
        <w:rStyle w:val="PageNumber"/>
        <w:szCs w:val="18"/>
      </w:rPr>
      <w:fldChar w:fldCharType="begin"/>
    </w:r>
    <w:r w:rsidRPr="00E2508B">
      <w:rPr>
        <w:rStyle w:val="PageNumber"/>
        <w:szCs w:val="18"/>
      </w:rPr>
      <w:instrText xml:space="preserve"> PAGE  \* Arabic </w:instrText>
    </w:r>
    <w:r w:rsidRPr="00E2508B">
      <w:rPr>
        <w:rStyle w:val="PageNumber"/>
        <w:szCs w:val="18"/>
      </w:rPr>
      <w:fldChar w:fldCharType="separate"/>
    </w:r>
    <w:r>
      <w:rPr>
        <w:rStyle w:val="PageNumber"/>
        <w:noProof/>
        <w:szCs w:val="18"/>
      </w:rPr>
      <w:t>43</w:t>
    </w:r>
    <w:r w:rsidRPr="00E2508B">
      <w:rPr>
        <w:rStyle w:val="PageNumbe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774C" w14:textId="20044532" w:rsidR="00A11B91" w:rsidRDefault="00A11B91" w:rsidP="00C22680">
    <w:pPr>
      <w:pStyle w:val="Footer"/>
      <w:pBdr>
        <w:top w:val="none" w:sz="0" w:space="0" w:color="auto"/>
      </w:pBd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1982" w14:textId="60C35ECA" w:rsidR="00A11B91" w:rsidRPr="003D7EAD" w:rsidRDefault="00A11B91" w:rsidP="000E4491">
    <w:pPr>
      <w:pStyle w:val="Footer"/>
      <w:tabs>
        <w:tab w:val="clear" w:pos="5040"/>
      </w:tabs>
      <w:jc w:val="center"/>
    </w:pPr>
    <w:r w:rsidRPr="00C9298C">
      <w:t xml:space="preserve">– </w:t>
    </w:r>
    <w:r w:rsidRPr="00C9298C">
      <w:fldChar w:fldCharType="begin"/>
    </w:r>
    <w:r w:rsidRPr="00C9298C">
      <w:instrText xml:space="preserve"> PAGE   \* MERGEFORMAT </w:instrText>
    </w:r>
    <w:r w:rsidRPr="00C9298C">
      <w:fldChar w:fldCharType="separate"/>
    </w:r>
    <w:r>
      <w:t>ix</w:t>
    </w:r>
    <w:r w:rsidRPr="00C9298C">
      <w:fldChar w:fldCharType="end"/>
    </w:r>
    <w:r w:rsidRPr="00C9298C">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3D13" w14:textId="6CD5DD01" w:rsidR="00A11B91" w:rsidRPr="00C9298C" w:rsidRDefault="00A11B91" w:rsidP="00C9298C">
    <w:pPr>
      <w:pStyle w:val="Footer"/>
      <w:jc w:val="center"/>
    </w:pPr>
    <w:r w:rsidRPr="00C9298C">
      <w:t xml:space="preserve">– </w:t>
    </w:r>
    <w:r w:rsidRPr="00C9298C">
      <w:fldChar w:fldCharType="begin"/>
    </w:r>
    <w:r w:rsidRPr="00C9298C">
      <w:instrText xml:space="preserve"> PAGE   \* MERGEFORMAT </w:instrText>
    </w:r>
    <w:r w:rsidRPr="00C9298C">
      <w:fldChar w:fldCharType="separate"/>
    </w:r>
    <w:r>
      <w:rPr>
        <w:noProof/>
      </w:rPr>
      <w:t>iii</w:t>
    </w:r>
    <w:r w:rsidRPr="00C9298C">
      <w:fldChar w:fldCharType="end"/>
    </w:r>
    <w:r w:rsidRPr="00C9298C">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BE25" w14:textId="0B0B1F14" w:rsidR="00A11B91" w:rsidRDefault="00A11B91" w:rsidP="00C22680">
    <w:pPr>
      <w:pStyle w:val="Footer"/>
      <w:pBdr>
        <w:top w:val="none" w:sz="0" w:space="0" w:color="auto"/>
      </w:pBdr>
      <w:jc w:val="center"/>
    </w:pPr>
    <w:r>
      <w:t xml:space="preserve">– </w:t>
    </w:r>
    <w:r>
      <w:fldChar w:fldCharType="begin"/>
    </w:r>
    <w:r>
      <w:instrText xml:space="preserve"> PAGE   \* MERGEFORMAT </w:instrText>
    </w:r>
    <w:r>
      <w:fldChar w:fldCharType="separate"/>
    </w:r>
    <w:r>
      <w:rPr>
        <w:noProof/>
      </w:rPr>
      <w:t>ii</w:t>
    </w:r>
    <w:r>
      <w:rPr>
        <w:noProof/>
      </w:rP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ED72E" w14:textId="53AEAF7A" w:rsidR="00A11B91" w:rsidRPr="003D7EAD" w:rsidRDefault="00A11B91" w:rsidP="006B1C18">
    <w:pPr>
      <w:pStyle w:val="Footer"/>
      <w:tabs>
        <w:tab w:val="clear" w:pos="5040"/>
      </w:tabs>
    </w:pPr>
    <w:r w:rsidRPr="000949A9">
      <w:fldChar w:fldCharType="begin"/>
    </w:r>
    <w:r w:rsidRPr="000949A9">
      <w:instrText xml:space="preserve"> PAGE   \* MERGEFORMAT </w:instrText>
    </w:r>
    <w:r w:rsidRPr="000949A9">
      <w:fldChar w:fldCharType="separate"/>
    </w:r>
    <w:r>
      <w:t>2</w:t>
    </w:r>
    <w:r w:rsidRPr="000949A9">
      <w:fldChar w:fldCharType="end"/>
    </w:r>
    <w:r>
      <w:t xml:space="preserve"> </w:t>
    </w:r>
    <w:r w:rsidRPr="000949A9">
      <w:t xml:space="preserve">♦ </w:t>
    </w:r>
    <w:r>
      <w:t>CAA for Science 2019–2020 Technical Report</w:t>
    </w:r>
    <w:r w:rsidRPr="000949A9">
      <w:tab/>
    </w:r>
    <w:r w:rsidR="00EC52C1">
      <w:t xml:space="preserve">July </w:t>
    </w:r>
    <w:r w:rsidR="006B1C18">
      <w:t>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0521" w14:textId="7AC3A588" w:rsidR="00A11B91" w:rsidRDefault="00EC52C1" w:rsidP="006B1C18">
    <w:pPr>
      <w:pStyle w:val="Footer"/>
      <w:tabs>
        <w:tab w:val="clear" w:pos="5040"/>
      </w:tabs>
    </w:pPr>
    <w:r>
      <w:t xml:space="preserve">July </w:t>
    </w:r>
    <w:r w:rsidR="006B1C18">
      <w:t>2021</w:t>
    </w:r>
    <w:r w:rsidR="00A11B91" w:rsidRPr="000949A9">
      <w:tab/>
    </w:r>
    <w:r w:rsidR="00A11B91">
      <w:t xml:space="preserve">CAA for Science 2019–2020 Technical Report </w:t>
    </w:r>
    <w:r w:rsidR="00A11B91" w:rsidRPr="000949A9">
      <w:t xml:space="preserve">♦ </w:t>
    </w:r>
    <w:r w:rsidR="00A11B91" w:rsidRPr="000949A9">
      <w:fldChar w:fldCharType="begin"/>
    </w:r>
    <w:r w:rsidR="00A11B91" w:rsidRPr="000949A9">
      <w:instrText xml:space="preserve"> PAGE   \* MERGEFORMAT </w:instrText>
    </w:r>
    <w:r w:rsidR="00A11B91" w:rsidRPr="000949A9">
      <w:fldChar w:fldCharType="separate"/>
    </w:r>
    <w:r w:rsidR="00A11B91">
      <w:rPr>
        <w:noProof/>
      </w:rPr>
      <w:t>7</w:t>
    </w:r>
    <w:r w:rsidR="00A11B91" w:rsidRPr="000949A9">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9E09" w14:textId="79ADC5D5" w:rsidR="00A11B91" w:rsidRPr="00C9298C" w:rsidRDefault="00EC52C1" w:rsidP="006B1C18">
    <w:pPr>
      <w:pStyle w:val="Footer"/>
      <w:tabs>
        <w:tab w:val="clear" w:pos="5040"/>
      </w:tabs>
    </w:pPr>
    <w:r>
      <w:t>July</w:t>
    </w:r>
    <w:r w:rsidR="00A11B91">
      <w:t xml:space="preserve"> 2021</w:t>
    </w:r>
    <w:r w:rsidR="00A11B91" w:rsidRPr="000949A9">
      <w:tab/>
    </w:r>
    <w:r w:rsidR="00A11B91">
      <w:t xml:space="preserve">CAA for Science 2019–2020 Technical Report </w:t>
    </w:r>
    <w:r w:rsidR="00A11B91" w:rsidRPr="000949A9">
      <w:t xml:space="preserve">♦ </w:t>
    </w:r>
    <w:r w:rsidR="00A11B91" w:rsidRPr="000949A9">
      <w:fldChar w:fldCharType="begin"/>
    </w:r>
    <w:r w:rsidR="00A11B91" w:rsidRPr="000949A9">
      <w:instrText xml:space="preserve"> PAGE   \* MERGEFORMAT </w:instrText>
    </w:r>
    <w:r w:rsidR="00A11B91" w:rsidRPr="000949A9">
      <w:fldChar w:fldCharType="separate"/>
    </w:r>
    <w:r w:rsidR="00A11B91">
      <w:rPr>
        <w:noProof/>
      </w:rPr>
      <w:t>1</w:t>
    </w:r>
    <w:r w:rsidR="00A11B91" w:rsidRPr="000949A9">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6E28" w14:textId="5BCE8808" w:rsidR="00A11B91" w:rsidRDefault="00A11B91" w:rsidP="006B1C18">
    <w:pPr>
      <w:pStyle w:val="Footer"/>
      <w:tabs>
        <w:tab w:val="clear" w:pos="5040"/>
        <w:tab w:val="clear" w:pos="9936"/>
        <w:tab w:val="right" w:pos="13500"/>
      </w:tabs>
    </w:pPr>
    <w:r w:rsidRPr="000949A9">
      <w:fldChar w:fldCharType="begin"/>
    </w:r>
    <w:r w:rsidRPr="000949A9">
      <w:instrText xml:space="preserve"> PAGE   \* MERGEFORMAT </w:instrText>
    </w:r>
    <w:r w:rsidRPr="000949A9">
      <w:fldChar w:fldCharType="separate"/>
    </w:r>
    <w:r>
      <w:t>2</w:t>
    </w:r>
    <w:r w:rsidRPr="000949A9">
      <w:fldChar w:fldCharType="end"/>
    </w:r>
    <w:r>
      <w:t xml:space="preserve"> </w:t>
    </w:r>
    <w:r w:rsidRPr="000949A9">
      <w:t xml:space="preserve">♦ </w:t>
    </w:r>
    <w:r>
      <w:t>CAA for Science 2019–2020 Technical Report</w:t>
    </w:r>
    <w:r w:rsidRPr="000949A9">
      <w:tab/>
    </w:r>
    <w:r w:rsidR="00EC52C1">
      <w:t xml:space="preserve">July </w:t>
    </w:r>
    <w:r w:rsidR="006B1C18">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A770" w14:textId="77777777" w:rsidR="00A3182D" w:rsidRDefault="00A3182D" w:rsidP="00523DCD">
      <w:pPr>
        <w:spacing w:after="0"/>
      </w:pPr>
      <w:bookmarkStart w:id="0" w:name="_Hlk54779103"/>
      <w:bookmarkEnd w:id="0"/>
      <w:r>
        <w:separator/>
      </w:r>
    </w:p>
  </w:footnote>
  <w:footnote w:type="continuationSeparator" w:id="0">
    <w:p w14:paraId="657CDC37" w14:textId="77777777" w:rsidR="00A3182D" w:rsidRDefault="00A3182D" w:rsidP="00523DCD">
      <w:pPr>
        <w:spacing w:after="0"/>
      </w:pPr>
      <w:r>
        <w:continuationSeparator/>
      </w:r>
    </w:p>
  </w:footnote>
  <w:footnote w:type="continuationNotice" w:id="1">
    <w:p w14:paraId="189CB3F5" w14:textId="77777777" w:rsidR="00A3182D" w:rsidRDefault="00A3182D">
      <w:pPr>
        <w:spacing w:after="0"/>
      </w:pPr>
    </w:p>
  </w:footnote>
  <w:footnote w:id="2">
    <w:p w14:paraId="2AC357DF" w14:textId="6BB7B0B3" w:rsidR="00A11B91" w:rsidRDefault="00A11B91" w:rsidP="009B1068">
      <w:pPr>
        <w:pStyle w:val="FootnoteText"/>
      </w:pPr>
      <w:r>
        <w:rPr>
          <w:rStyle w:val="FootnoteReference"/>
        </w:rPr>
        <w:footnoteRef/>
      </w:r>
      <w:r>
        <w:t xml:space="preserve"> The total population of students with the most significant cognitive disabilities in the California kindergarten through grade twelve public school system is approximately 38,000 (1 percent of the total student enrollment, which is provided in the CDE DataQuest website, for the </w:t>
      </w:r>
      <w:r w:rsidRPr="00561E62">
        <w:t>2015–</w:t>
      </w:r>
      <w:r>
        <w:t>20</w:t>
      </w:r>
      <w:r w:rsidRPr="00561E62">
        <w:t>16</w:t>
      </w:r>
      <w:r>
        <w:t xml:space="preserve"> school year).</w:t>
      </w:r>
    </w:p>
  </w:footnote>
  <w:footnote w:id="3">
    <w:p w14:paraId="30E8DFF1" w14:textId="6D611023" w:rsidR="00A11B91" w:rsidRDefault="00A11B91" w:rsidP="009B1068">
      <w:pPr>
        <w:pStyle w:val="FootnoteText"/>
      </w:pPr>
      <w:r>
        <w:rPr>
          <w:rStyle w:val="FootnoteReference"/>
        </w:rPr>
        <w:footnoteRef/>
      </w:r>
      <w:r>
        <w:t xml:space="preserve"> Retrieved from the CDE Fingertip Facts on Education in California – </w:t>
      </w:r>
      <w:r>
        <w:rPr>
          <w:i/>
        </w:rPr>
        <w:t>CalEdFacts</w:t>
      </w:r>
      <w:r>
        <w:t xml:space="preserve"> web page </w:t>
      </w:r>
    </w:p>
  </w:footnote>
  <w:footnote w:id="4">
    <w:p w14:paraId="5E9963D1" w14:textId="4E35262E" w:rsidR="00A11B91" w:rsidRDefault="00A11B91" w:rsidP="00240802">
      <w:pPr>
        <w:pStyle w:val="FootnoteText"/>
      </w:pPr>
      <w:r>
        <w:rPr>
          <w:rStyle w:val="FootnoteReference"/>
        </w:rPr>
        <w:footnoteRef/>
      </w:r>
      <w:r>
        <w:t xml:space="preserve"> The ORS will be replaced with the California Educator Reporting System (CERS) starting in January 2021.</w:t>
      </w:r>
    </w:p>
  </w:footnote>
  <w:footnote w:id="5">
    <w:p w14:paraId="64CA497D" w14:textId="1F00541B" w:rsidR="00A11B91" w:rsidRDefault="00A11B91" w:rsidP="00BF2F0B">
      <w:pPr>
        <w:pStyle w:val="FootnoteText"/>
      </w:pPr>
      <w:r>
        <w:rPr>
          <w:rStyle w:val="FootnoteReference"/>
        </w:rPr>
        <w:footnoteRef/>
      </w:r>
      <w:r>
        <w:t xml:space="preserve"> From the CDE California Longitudinal Pupil Achievement Data System (CALPADS) web page</w:t>
      </w:r>
    </w:p>
  </w:footnote>
  <w:footnote w:id="6">
    <w:p w14:paraId="554417F6" w14:textId="15E1596F" w:rsidR="00A11B91" w:rsidRPr="00BE306F" w:rsidRDefault="00A11B91" w:rsidP="00E507A4">
      <w:pPr>
        <w:pStyle w:val="FootnoteText"/>
      </w:pPr>
      <w:r>
        <w:rPr>
          <w:rStyle w:val="FootnoteReference"/>
        </w:rPr>
        <w:footnoteRef/>
      </w:r>
      <w:r>
        <w:t xml:space="preserve"> </w:t>
      </w:r>
      <w:r w:rsidRPr="00BE306F">
        <w:t>T</w:t>
      </w:r>
      <w:r w:rsidRPr="00E878A4">
        <w:t xml:space="preserve">his technical report </w:t>
      </w:r>
      <w:r w:rsidRPr="00E878A4">
        <w:rPr>
          <w:noProof/>
        </w:rPr>
        <w:t>is based</w:t>
      </w:r>
      <w:r w:rsidRPr="00E878A4">
        <w:t xml:space="preserve"> on the version of Matrix One that was available during the </w:t>
      </w:r>
      <w:r w:rsidRPr="00CA5ED6">
        <w:t>201</w:t>
      </w:r>
      <w:r>
        <w:t>9</w:t>
      </w:r>
      <w:r w:rsidRPr="00CA5ED6">
        <w:t>–</w:t>
      </w:r>
      <w:r>
        <w:t>2020</w:t>
      </w:r>
      <w:r w:rsidRPr="00CA5ED6">
        <w:t xml:space="preserve"> CAASPP</w:t>
      </w:r>
      <w:r w:rsidRPr="00E878A4">
        <w:t xml:space="preserve"> administration.</w:t>
      </w:r>
      <w:r w:rsidRPr="00DD70EE">
        <w:t xml:space="preserve"> </w:t>
      </w:r>
      <w:r>
        <w:t>Note that Matrix One has since been combined with the ELPAC Matrix Four to form a single accessibility resources matrix, the California Assessment Accessibility Resources Matrix (CDE, 2020d).</w:t>
      </w:r>
    </w:p>
  </w:footnote>
  <w:footnote w:id="7">
    <w:p w14:paraId="422E256B" w14:textId="021B1D23" w:rsidR="00A11B91" w:rsidRDefault="00A11B91">
      <w:pPr>
        <w:pStyle w:val="FootnoteText"/>
      </w:pPr>
      <w:r>
        <w:rPr>
          <w:rStyle w:val="FootnoteReference"/>
        </w:rPr>
        <w:footnoteRef/>
      </w:r>
      <w:r>
        <w:t xml:space="preserve"> </w:t>
      </w:r>
      <w:r w:rsidRPr="00BE306F">
        <w:t>T</w:t>
      </w:r>
      <w:r w:rsidRPr="00E878A4">
        <w:t xml:space="preserve">his technical report </w:t>
      </w:r>
      <w:r w:rsidRPr="00E878A4">
        <w:rPr>
          <w:noProof/>
        </w:rPr>
        <w:t>is based</w:t>
      </w:r>
      <w:r w:rsidRPr="00E878A4">
        <w:t xml:space="preserve"> on the version of </w:t>
      </w:r>
      <w:r>
        <w:t xml:space="preserve">the </w:t>
      </w:r>
      <w:r>
        <w:rPr>
          <w:i/>
          <w:iCs/>
        </w:rPr>
        <w:t>Usability, Accessibility, and Accommodations Guidelines</w:t>
      </w:r>
      <w:r w:rsidRPr="00E878A4">
        <w:t xml:space="preserve"> that was available during the 201</w:t>
      </w:r>
      <w:r>
        <w:t>9</w:t>
      </w:r>
      <w:r w:rsidRPr="00E878A4">
        <w:t>–</w:t>
      </w:r>
      <w:r>
        <w:t>2020</w:t>
      </w:r>
      <w:r w:rsidRPr="00E878A4">
        <w:t xml:space="preserve"> CAASPP administration.</w:t>
      </w:r>
    </w:p>
  </w:footnote>
  <w:footnote w:id="8">
    <w:p w14:paraId="562CEA22" w14:textId="6C2BFB4A" w:rsidR="00A11B91" w:rsidRPr="004B754D" w:rsidRDefault="00A11B91" w:rsidP="004F364C">
      <w:pPr>
        <w:pStyle w:val="FootnoteText"/>
        <w:rPr>
          <w:sz w:val="22"/>
          <w:szCs w:val="22"/>
        </w:rPr>
      </w:pPr>
      <w:r>
        <w:rPr>
          <w:rStyle w:val="FootnoteReference"/>
        </w:rPr>
        <w:footnoteRef/>
      </w:r>
      <w:r>
        <w:t xml:space="preserve"> </w:t>
      </w:r>
      <w:r w:rsidRPr="004B754D">
        <w:rPr>
          <w:sz w:val="22"/>
          <w:szCs w:val="22"/>
        </w:rPr>
        <w:t xml:space="preserve">This technical report </w:t>
      </w:r>
      <w:r w:rsidRPr="004B754D">
        <w:rPr>
          <w:noProof/>
          <w:sz w:val="22"/>
          <w:szCs w:val="22"/>
        </w:rPr>
        <w:t>is based</w:t>
      </w:r>
      <w:r w:rsidRPr="004B754D">
        <w:rPr>
          <w:sz w:val="22"/>
          <w:szCs w:val="22"/>
        </w:rPr>
        <w:t xml:space="preserve"> on the version of Matrix One that was available during the 2019–2020 CAASPP administration. Note that Matrix One has since been combined with the English Language Proficiency Assessments for California Matrix Four to form a single accessibility resources matrix, the California Assessment Accessibility Resources Matrix (CDE, 2020f).</w:t>
      </w:r>
    </w:p>
  </w:footnote>
  <w:footnote w:id="9">
    <w:p w14:paraId="2786CC26" w14:textId="77777777" w:rsidR="00A11B91" w:rsidRDefault="00A11B91" w:rsidP="007C1023">
      <w:pPr>
        <w:pStyle w:val="FootnoteText"/>
      </w:pPr>
      <w:r>
        <w:rPr>
          <w:rStyle w:val="FootnoteReference"/>
        </w:rPr>
        <w:footnoteRef/>
      </w:r>
      <w:r>
        <w:t xml:space="preserve"> </w:t>
      </w:r>
      <w:r w:rsidRPr="00E80F35">
        <w:t>S. 1177—114th Congress: Every Student Succeeds Act. 2015. Title 1, Part A, Subpart 1, Section 1111(b)(2)(D)(ii)(I)</w:t>
      </w:r>
    </w:p>
  </w:footnote>
  <w:footnote w:id="10">
    <w:p w14:paraId="400D187F" w14:textId="77777777" w:rsidR="00A11B91" w:rsidRDefault="00A11B91" w:rsidP="0007470A">
      <w:pPr>
        <w:pStyle w:val="FootnoteText"/>
      </w:pPr>
      <w:r>
        <w:rPr>
          <w:rStyle w:val="FootnoteReference"/>
        </w:rPr>
        <w:footnoteRef/>
      </w:r>
      <w:r>
        <w:t xml:space="preserve"> The Individuals with Disabilities Education Act is the primary federal program that authorizes state and local aid for special education and related services for children with disabilities.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8C9F" w14:textId="77777777" w:rsidR="00A11B91" w:rsidRPr="00A431A4" w:rsidRDefault="00A11B91" w:rsidP="00A431A4">
    <w:pPr>
      <w:pStyle w:val="Header"/>
    </w:pPr>
    <w:r>
      <w:t>CAASPP System</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0C36" w14:textId="7FB255F3" w:rsidR="00A11B91" w:rsidRDefault="00672C8C" w:rsidP="00AA42C9">
    <w:pPr>
      <w:pStyle w:val="Header"/>
      <w:tabs>
        <w:tab w:val="clear" w:pos="4680"/>
        <w:tab w:val="clear" w:pos="9360"/>
        <w:tab w:val="right" w:pos="13500"/>
      </w:tabs>
    </w:pPr>
    <w:fldSimple w:instr="STYLEREF  &quot;Heading 2&quot;  \* MERGEFORMAT">
      <w:r w:rsidR="00EF0172">
        <w:t>Test Administration</w:t>
      </w:r>
    </w:fldSimple>
    <w:r w:rsidR="00A11B91">
      <w:t xml:space="preserve"> | </w:t>
    </w:r>
    <w:fldSimple w:instr="STYLEREF  &quot;Heading 3&quot;  \* MERGEFORMAT">
      <w:r w:rsidR="00EF0172">
        <w:t>Accessibility Features for the 2019–2020 Administration</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9066" w14:textId="031B07E0" w:rsidR="00A11B91" w:rsidRPr="002A51CB" w:rsidRDefault="00A11B91" w:rsidP="00670FD2">
    <w:pPr>
      <w:pStyle w:val="Header"/>
      <w:tabs>
        <w:tab w:val="clear" w:pos="9360"/>
        <w:tab w:val="right" w:pos="13500"/>
      </w:tabs>
      <w:rPr>
        <w:b/>
      </w:rPr>
    </w:pPr>
    <w:r>
      <w:drawing>
        <wp:inline distT="0" distB="0" distL="0" distR="0" wp14:anchorId="19E1A88C" wp14:editId="2582E114">
          <wp:extent cx="1060704" cy="521208"/>
          <wp:effectExtent l="0" t="0" r="6350" b="0"/>
          <wp:docPr id="9" name="Picture 66" descr="California Assessment of Student Performance and Prog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r>
      <w:tab/>
    </w:r>
    <w:fldSimple w:instr="STYLEREF  &quot;Heading 2&quot;  \* MERGEFORMAT">
      <w:r w:rsidR="00961502">
        <w:t>Test Administration</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94C7" w14:textId="648BCB04" w:rsidR="00A11B91" w:rsidRPr="00C9298C" w:rsidRDefault="00A11B91" w:rsidP="00C9298C">
    <w:pPr>
      <w:pStyle w:val="Header"/>
      <w:jc w:val="right"/>
    </w:pPr>
    <w:r>
      <w:t>CAASPP System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2C79" w14:textId="0B5CE84B" w:rsidR="00A11B91" w:rsidRPr="00C9298C" w:rsidRDefault="00A11B91" w:rsidP="005A783A">
    <w:pPr>
      <w:pStyle w:val="Header"/>
    </w:pPr>
    <w:r>
      <w:t>CAASPP System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C81C" w14:textId="1614A823" w:rsidR="00A11B91" w:rsidRDefault="00672C8C" w:rsidP="00F874FE">
    <w:pPr>
      <w:pStyle w:val="Header"/>
      <w:tabs>
        <w:tab w:val="clear" w:pos="4680"/>
        <w:tab w:val="clear" w:pos="9360"/>
        <w:tab w:val="right" w:pos="12960"/>
      </w:tabs>
    </w:pPr>
    <w:fldSimple w:instr="STYLEREF  &quot;Heading 2&quot;  \* MERGEFORMAT">
      <w:r w:rsidR="00EF0172">
        <w:t>Test Assembly</w:t>
      </w:r>
    </w:fldSimple>
    <w:r w:rsidR="00A11B91">
      <w:t xml:space="preserve"> | </w:t>
    </w:r>
    <w:fldSimple w:instr="STYLEREF  &quot;Heading 3&quot;  \* MERGEFORMAT">
      <w:r w:rsidR="00EF0172">
        <w:t>Test Production Process</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91E3" w14:textId="05B9D0C3" w:rsidR="00A11B91" w:rsidRPr="001475AF" w:rsidRDefault="00A11B91" w:rsidP="009D711C">
    <w:pPr>
      <w:pStyle w:val="Header"/>
      <w:tabs>
        <w:tab w:val="clear" w:pos="4680"/>
      </w:tabs>
      <w:jc w:val="right"/>
    </w:pPr>
    <w:r>
      <w:tab/>
    </w:r>
    <w:fldSimple w:instr="STYLEREF  &quot;Heading 2&quot;  \* MERGEFORMAT">
      <w:r w:rsidR="00EF0172">
        <w:t>An Overview of the CAA for Science Processes</w:t>
      </w:r>
    </w:fldSimple>
    <w:r>
      <w:t xml:space="preserve"> | </w:t>
    </w:r>
    <w:fldSimple w:instr="STYLEREF  &quot;Heading 3&quot;  \* MERGEFORMAT">
      <w:r w:rsidR="00EF0172">
        <w:t>References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19B7" w14:textId="43DAAF9C" w:rsidR="00A11B91" w:rsidRPr="00541864" w:rsidRDefault="00672C8C" w:rsidP="00A272D5">
    <w:pPr>
      <w:pStyle w:val="Header"/>
      <w:tabs>
        <w:tab w:val="clear" w:pos="4680"/>
        <w:tab w:val="clear" w:pos="9360"/>
        <w:tab w:val="right" w:pos="13500"/>
      </w:tabs>
      <w:jc w:val="right"/>
    </w:pPr>
    <w:fldSimple w:instr="STYLEREF  &quot;Heading 2&quot;  \* MERGEFORMAT">
      <w:r w:rsidR="00EF0172">
        <w:t>Introduction</w:t>
      </w:r>
    </w:fldSimple>
    <w:r w:rsidR="00A11B91">
      <w:t xml:space="preserve"> | </w:t>
    </w:r>
    <w:fldSimple w:instr="STYLEREF  &quot;Heading 3&quot;  \* MERGEFORMAT">
      <w:r w:rsidR="00EF0172">
        <w:t>Background</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2DB4" w14:textId="23CA9BFF" w:rsidR="00A11B91" w:rsidRDefault="00672C8C" w:rsidP="007B6C2E">
    <w:pPr>
      <w:pStyle w:val="Header"/>
      <w:tabs>
        <w:tab w:val="clear" w:pos="4680"/>
        <w:tab w:val="clear" w:pos="9360"/>
        <w:tab w:val="right" w:pos="13500"/>
      </w:tabs>
      <w:jc w:val="right"/>
    </w:pPr>
    <w:fldSimple w:instr="STYLEREF  &quot;Heading 2&quot;  \* MERGEFORMAT">
      <w:r w:rsidR="00EF0172">
        <w:t>Test Assembly</w:t>
      </w:r>
    </w:fldSimple>
    <w:r w:rsidR="00A11B91">
      <w:t xml:space="preserve"> | </w:t>
    </w:r>
    <w:fldSimple w:instr="STYLEREF  &quot;Heading 3&quot;  \* MERGEFORMAT">
      <w:r w:rsidR="00EF0172">
        <w:t>Overview</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F02D" w14:textId="03B55745" w:rsidR="00A11B91" w:rsidRDefault="00672C8C" w:rsidP="00AA42C9">
    <w:pPr>
      <w:pStyle w:val="Header"/>
      <w:tabs>
        <w:tab w:val="clear" w:pos="4680"/>
        <w:tab w:val="clear" w:pos="9360"/>
        <w:tab w:val="right" w:pos="13500"/>
      </w:tabs>
    </w:pPr>
    <w:fldSimple w:instr="STYLEREF  &quot;Heading 2&quot;  \* MERGEFORMAT">
      <w:r w:rsidR="00EF0172">
        <w:t>An Overview of the CAA for Science Processes</w:t>
      </w:r>
    </w:fldSimple>
    <w:r w:rsidR="00A11B91">
      <w:t xml:space="preserve"> | </w:t>
    </w:r>
    <w:fldSimple w:instr="STYLEREF  &quot;Heading 3&quot;  \* MERGEFORMAT">
      <w:r w:rsidR="00EF0172">
        <w:t>Appendix 2.A: Accessibility</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5736" w14:textId="44FDECB1" w:rsidR="009D711C" w:rsidRDefault="00672C8C" w:rsidP="00630A9A">
    <w:pPr>
      <w:pStyle w:val="Header"/>
      <w:tabs>
        <w:tab w:val="clear" w:pos="4680"/>
        <w:tab w:val="clear" w:pos="9360"/>
        <w:tab w:val="right" w:pos="13500"/>
      </w:tabs>
    </w:pPr>
    <w:fldSimple w:instr="STYLEREF  &quot;Heading 2&quot;  \* MERGEFORMAT">
      <w:r w:rsidR="00EF0172">
        <w:t>Embedded Performance Task and Item Development and Review</w:t>
      </w:r>
    </w:fldSimple>
    <w:r w:rsidR="009D711C">
      <w:t xml:space="preserve"> | </w:t>
    </w:r>
    <w:fldSimple w:instr="STYLEREF  &quot;Heading 3&quot;  \* MERGEFORMAT">
      <w:r w:rsidR="00EF0172">
        <w:t>Embedded Performance Task and Item Development</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EE8FDD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3C3425"/>
    <w:multiLevelType w:val="hybridMultilevel"/>
    <w:tmpl w:val="9E8C05FC"/>
    <w:lvl w:ilvl="0" w:tplc="DB0E5ACA">
      <w:start w:val="1"/>
      <w:numFmt w:val="lowerLetter"/>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15CB7"/>
    <w:multiLevelType w:val="hybridMultilevel"/>
    <w:tmpl w:val="22E056E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05AC52C4"/>
    <w:multiLevelType w:val="multilevel"/>
    <w:tmpl w:val="62D29A9A"/>
    <w:lvl w:ilvl="0">
      <w:start w:val="11"/>
      <w:numFmt w:val="decimal"/>
      <w:lvlText w:val="%1"/>
      <w:lvlJc w:val="left"/>
      <w:pPr>
        <w:ind w:left="630" w:hanging="630"/>
      </w:pPr>
      <w:rPr>
        <w:rFonts w:hint="default"/>
        <w:sz w:val="24"/>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61D3227"/>
    <w:multiLevelType w:val="multilevel"/>
    <w:tmpl w:val="23DC0882"/>
    <w:lvl w:ilvl="0">
      <w:start w:val="1"/>
      <w:numFmt w:val="bullet"/>
      <w:lvlText w:val=""/>
      <w:lvlJc w:val="left"/>
      <w:pPr>
        <w:ind w:left="576" w:hanging="360"/>
      </w:pPr>
      <w:rPr>
        <w:rFonts w:ascii="Symbol" w:hAnsi="Symbol" w:hint="default"/>
        <w:sz w:val="24"/>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C07E9B"/>
    <w:multiLevelType w:val="hybridMultilevel"/>
    <w:tmpl w:val="A8ECEB2C"/>
    <w:lvl w:ilvl="0" w:tplc="8C52B146">
      <w:start w:val="1"/>
      <w:numFmt w:val="bullet"/>
      <w:lvlText w:val="–"/>
      <w:lvlJc w:val="left"/>
      <w:pPr>
        <w:ind w:left="1224" w:hanging="360"/>
      </w:pPr>
      <w:rPr>
        <w:rFonts w:ascii="Arial" w:hAnsi="Arial" w:hint="default"/>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CB3392"/>
    <w:multiLevelType w:val="hybridMultilevel"/>
    <w:tmpl w:val="D1900300"/>
    <w:lvl w:ilvl="0" w:tplc="54C21D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321E69"/>
    <w:multiLevelType w:val="multilevel"/>
    <w:tmpl w:val="221AACFC"/>
    <w:lvl w:ilvl="0">
      <w:start w:val="4"/>
      <w:numFmt w:val="decimal"/>
      <w:lvlText w:val="%1."/>
      <w:lvlJc w:val="left"/>
      <w:pPr>
        <w:tabs>
          <w:tab w:val="num" w:pos="720"/>
        </w:tabs>
        <w:ind w:left="792" w:hanging="72"/>
      </w:pPr>
      <w:rPr>
        <w:rFonts w:hint="default"/>
      </w:rPr>
    </w:lvl>
    <w:lvl w:ilvl="1">
      <w:start w:val="1"/>
      <w:numFmt w:val="decimal"/>
      <w:lvlRestart w:val="0"/>
      <w:lvlText w:val="4.%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 w15:restartNumberingAfterBreak="0">
    <w:nsid w:val="0A4E0DEC"/>
    <w:multiLevelType w:val="hybridMultilevel"/>
    <w:tmpl w:val="05560B16"/>
    <w:lvl w:ilvl="0" w:tplc="B5A626BE">
      <w:start w:val="1"/>
      <w:numFmt w:val="bullet"/>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BF66F5"/>
    <w:multiLevelType w:val="hybridMultilevel"/>
    <w:tmpl w:val="05A86110"/>
    <w:lvl w:ilvl="0" w:tplc="213EC39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AFB63C1"/>
    <w:multiLevelType w:val="hybridMultilevel"/>
    <w:tmpl w:val="6730FF4A"/>
    <w:lvl w:ilvl="0" w:tplc="D91CB7B4">
      <w:start w:val="1"/>
      <w:numFmt w:val="bullet"/>
      <w:lvlText w:val="–"/>
      <w:lvlJc w:val="left"/>
      <w:pPr>
        <w:ind w:left="1584" w:hanging="360"/>
      </w:pPr>
      <w:rPr>
        <w:rFonts w:ascii="Arial" w:hAnsi="Arial" w:hint="default"/>
        <w:sz w:val="24"/>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1" w15:restartNumberingAfterBreak="0">
    <w:nsid w:val="0CB70589"/>
    <w:multiLevelType w:val="hybridMultilevel"/>
    <w:tmpl w:val="C75E1B74"/>
    <w:lvl w:ilvl="0" w:tplc="B978D30A">
      <w:start w:val="1"/>
      <w:numFmt w:val="lowerLetter"/>
      <w:lvlText w:val="%1."/>
      <w:lvlJc w:val="right"/>
      <w:pPr>
        <w:ind w:left="1440" w:hanging="360"/>
      </w:pPr>
      <w:rPr>
        <w:rFonts w:ascii="Times New Roman" w:hAnsi="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CE43932"/>
    <w:multiLevelType w:val="hybridMultilevel"/>
    <w:tmpl w:val="EF46E514"/>
    <w:lvl w:ilvl="0" w:tplc="F5FC48A0">
      <w:start w:val="1"/>
      <w:numFmt w:val="decimal"/>
      <w:lvlText w:val="%1."/>
      <w:lvlJc w:val="right"/>
      <w:pPr>
        <w:ind w:left="720" w:hanging="360"/>
      </w:pPr>
      <w:rPr>
        <w:rFonts w:ascii="Arial" w:eastAsia="SimSun" w:hAnsi="Arial" w:cs="Arial" w:hint="default"/>
        <w:sz w:val="24"/>
      </w:rPr>
    </w:lvl>
    <w:lvl w:ilvl="1" w:tplc="04090019">
      <w:start w:val="1"/>
      <w:numFmt w:val="lowerLetter"/>
      <w:lvlText w:val="%2."/>
      <w:lvlJc w:val="left"/>
      <w:pPr>
        <w:tabs>
          <w:tab w:val="num" w:pos="1440"/>
        </w:tabs>
        <w:ind w:left="1440" w:hanging="360"/>
      </w:pPr>
    </w:lvl>
    <w:lvl w:ilvl="2" w:tplc="04090001">
      <w:start w:val="1"/>
      <w:numFmt w:val="bullet"/>
      <w:lvlText w:val=""/>
      <w:lvlJc w:val="left"/>
      <w:pPr>
        <w:ind w:left="2340" w:hanging="360"/>
      </w:pPr>
      <w:rPr>
        <w:rFonts w:ascii="Symbol" w:hAnsi="Symbol" w:hint="default"/>
      </w:rPr>
    </w:lvl>
    <w:lvl w:ilvl="3" w:tplc="D74AD366">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C45C78"/>
    <w:multiLevelType w:val="hybridMultilevel"/>
    <w:tmpl w:val="C9D461E8"/>
    <w:lvl w:ilvl="0" w:tplc="905A55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A34264"/>
    <w:multiLevelType w:val="hybridMultilevel"/>
    <w:tmpl w:val="6FC07EE2"/>
    <w:lvl w:ilvl="0" w:tplc="76C00736">
      <w:start w:val="1"/>
      <w:numFmt w:val="bullet"/>
      <w:lvlText w:val=""/>
      <w:lvlJc w:val="left"/>
      <w:pPr>
        <w:ind w:left="1170" w:hanging="72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11631A3"/>
    <w:multiLevelType w:val="multilevel"/>
    <w:tmpl w:val="BF466658"/>
    <w:lvl w:ilvl="0">
      <w:start w:val="1"/>
      <w:numFmt w:val="decimal"/>
      <w:suff w:val="space"/>
      <w:lvlText w:val="Chapter %1:"/>
      <w:lvlJc w:val="left"/>
      <w:pPr>
        <w:ind w:left="2117" w:hanging="2117"/>
      </w:pPr>
      <w:rPr>
        <w:rFonts w:hint="default"/>
      </w:rPr>
    </w:lvl>
    <w:lvl w:ilvl="1">
      <w:start w:val="1"/>
      <w:numFmt w:val="upperLetter"/>
      <w:suff w:val="space"/>
      <w:lvlText w:val="%1.%2."/>
      <w:lvlJc w:val="left"/>
      <w:pPr>
        <w:ind w:left="360" w:hanging="360"/>
      </w:pPr>
      <w:rPr>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suff w:val="space"/>
      <w:lvlText w:val="%1.%2.%3."/>
      <w:lvlJc w:val="left"/>
      <w:pPr>
        <w:ind w:left="882" w:hanging="792"/>
      </w:pPr>
      <w:rPr>
        <w:rFonts w:hint="default"/>
      </w:rPr>
    </w:lvl>
    <w:lvl w:ilvl="3">
      <w:start w:val="1"/>
      <w:numFmt w:val="decimal"/>
      <w:suff w:val="space"/>
      <w:lvlText w:val="%1.%2.%3.%4"/>
      <w:lvlJc w:val="left"/>
      <w:pPr>
        <w:ind w:left="864"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1872622"/>
    <w:multiLevelType w:val="hybridMultilevel"/>
    <w:tmpl w:val="99E69864"/>
    <w:lvl w:ilvl="0" w:tplc="DC7E4BEC">
      <w:start w:val="1"/>
      <w:numFmt w:val="bullet"/>
      <w:lvlText w:val=""/>
      <w:lvlJc w:val="left"/>
      <w:pPr>
        <w:ind w:left="720" w:hanging="360"/>
      </w:pPr>
      <w:rPr>
        <w:rFonts w:ascii="Symbol" w:hAnsi="Symbol" w:hint="default"/>
        <w:b w:val="0"/>
        <w:i w:val="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AB33C6"/>
    <w:multiLevelType w:val="hybridMultilevel"/>
    <w:tmpl w:val="9CFE6B5E"/>
    <w:lvl w:ilvl="0" w:tplc="231685F0">
      <w:start w:val="1"/>
      <w:numFmt w:val="bullet"/>
      <w:lvlText w:val=""/>
      <w:lvlJc w:val="left"/>
      <w:pPr>
        <w:tabs>
          <w:tab w:val="num" w:pos="288"/>
        </w:tabs>
        <w:ind w:left="288" w:hanging="288"/>
      </w:pPr>
      <w:rPr>
        <w:rFonts w:ascii="Wingdings" w:hAnsi="Wingdings" w:hint="default"/>
        <w:sz w:val="22"/>
        <w:szCs w:val="22"/>
      </w:rPr>
    </w:lvl>
    <w:lvl w:ilvl="1" w:tplc="E1D2E6D0">
      <w:numFmt w:val="decimal"/>
      <w:lvlText w:val=""/>
      <w:lvlJc w:val="left"/>
    </w:lvl>
    <w:lvl w:ilvl="2" w:tplc="352C40F8">
      <w:numFmt w:val="decimal"/>
      <w:lvlText w:val=""/>
      <w:lvlJc w:val="left"/>
    </w:lvl>
    <w:lvl w:ilvl="3" w:tplc="B806486A">
      <w:numFmt w:val="decimal"/>
      <w:lvlText w:val=""/>
      <w:lvlJc w:val="left"/>
    </w:lvl>
    <w:lvl w:ilvl="4" w:tplc="6B88A8A8">
      <w:numFmt w:val="decimal"/>
      <w:lvlText w:val=""/>
      <w:lvlJc w:val="left"/>
    </w:lvl>
    <w:lvl w:ilvl="5" w:tplc="A402708A">
      <w:numFmt w:val="decimal"/>
      <w:lvlText w:val=""/>
      <w:lvlJc w:val="left"/>
    </w:lvl>
    <w:lvl w:ilvl="6" w:tplc="DEF02600">
      <w:numFmt w:val="decimal"/>
      <w:lvlText w:val=""/>
      <w:lvlJc w:val="left"/>
    </w:lvl>
    <w:lvl w:ilvl="7" w:tplc="1060A090">
      <w:numFmt w:val="decimal"/>
      <w:lvlText w:val=""/>
      <w:lvlJc w:val="left"/>
    </w:lvl>
    <w:lvl w:ilvl="8" w:tplc="299C975A">
      <w:numFmt w:val="decimal"/>
      <w:lvlText w:val=""/>
      <w:lvlJc w:val="left"/>
    </w:lvl>
  </w:abstractNum>
  <w:abstractNum w:abstractNumId="18" w15:restartNumberingAfterBreak="0">
    <w:nsid w:val="13BC599C"/>
    <w:multiLevelType w:val="hybridMultilevel"/>
    <w:tmpl w:val="DA0C8644"/>
    <w:lvl w:ilvl="0" w:tplc="CA8E380A">
      <w:start w:val="1"/>
      <w:numFmt w:val="bullet"/>
      <w:lvlText w:val=""/>
      <w:lvlJc w:val="left"/>
      <w:pPr>
        <w:ind w:left="1008" w:hanging="360"/>
      </w:pPr>
      <w:rPr>
        <w:rFonts w:ascii="Symbol" w:hAnsi="Symbol" w:hint="default"/>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1CAD48EA"/>
    <w:multiLevelType w:val="hybridMultilevel"/>
    <w:tmpl w:val="0E309C2C"/>
    <w:lvl w:ilvl="0" w:tplc="F5FC48A0">
      <w:start w:val="1"/>
      <w:numFmt w:val="decimal"/>
      <w:lvlText w:val="%1."/>
      <w:lvlJc w:val="right"/>
      <w:pPr>
        <w:ind w:left="720" w:hanging="360"/>
      </w:pPr>
      <w:rPr>
        <w:rFonts w:ascii="Arial" w:eastAsia="SimSun" w:hAnsi="Arial" w:cs="Arial" w:hint="default"/>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F92DBC"/>
    <w:multiLevelType w:val="hybridMultilevel"/>
    <w:tmpl w:val="81CCD788"/>
    <w:lvl w:ilvl="0" w:tplc="6FEABC96">
      <w:start w:val="1"/>
      <w:numFmt w:val="decimal"/>
      <w:lvlText w:val="%1."/>
      <w:lvlJc w:val="right"/>
      <w:pPr>
        <w:ind w:left="720" w:hanging="360"/>
      </w:pPr>
      <w:rPr>
        <w:rFonts w:ascii="Arial" w:eastAsia="SimSun" w:hAnsi="Arial" w:cs="Arial"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74AD366">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DBC67EB"/>
    <w:multiLevelType w:val="hybridMultilevel"/>
    <w:tmpl w:val="3C7EFDB4"/>
    <w:lvl w:ilvl="0" w:tplc="B066D7BE">
      <w:start w:val="1"/>
      <w:numFmt w:val="bullet"/>
      <w:pStyle w:val="table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1E915293"/>
    <w:multiLevelType w:val="hybridMultilevel"/>
    <w:tmpl w:val="D8C462B0"/>
    <w:lvl w:ilvl="0" w:tplc="62249B74">
      <w:start w:val="1"/>
      <w:numFmt w:val="bullet"/>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165643"/>
    <w:multiLevelType w:val="hybridMultilevel"/>
    <w:tmpl w:val="B21C5130"/>
    <w:lvl w:ilvl="0" w:tplc="BF5E141C">
      <w:start w:val="1"/>
      <w:numFmt w:val="bullet"/>
      <w:lvlText w:val="–"/>
      <w:lvlJc w:val="left"/>
      <w:pPr>
        <w:tabs>
          <w:tab w:val="num" w:pos="562"/>
        </w:tabs>
        <w:ind w:left="562" w:hanging="188"/>
      </w:pPr>
      <w:rPr>
        <w:rFonts w:ascii="Arial" w:hAnsi="Arial" w:hint="default"/>
        <w:sz w:val="24"/>
        <w:szCs w:val="22"/>
      </w:rPr>
    </w:lvl>
    <w:lvl w:ilvl="1" w:tplc="2D4E900A">
      <w:start w:val="1"/>
      <w:numFmt w:val="bullet"/>
      <w:lvlText w:val="▪"/>
      <w:lvlJc w:val="left"/>
      <w:pPr>
        <w:tabs>
          <w:tab w:val="num" w:pos="2160"/>
        </w:tabs>
        <w:ind w:left="2160" w:hanging="360"/>
      </w:pPr>
      <w:rPr>
        <w:rFonts w:ascii="Century" w:hAnsi="Century" w:hint="default"/>
        <w:color w:val="666666" w:themeColor="text1" w:themeTint="99"/>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1F2634A9"/>
    <w:multiLevelType w:val="hybridMultilevel"/>
    <w:tmpl w:val="801C3B90"/>
    <w:lvl w:ilvl="0" w:tplc="04090001">
      <w:start w:val="1"/>
      <w:numFmt w:val="bullet"/>
      <w:lvlText w:val=""/>
      <w:lvlJc w:val="left"/>
      <w:pPr>
        <w:ind w:left="720" w:hanging="360"/>
      </w:pPr>
      <w:rPr>
        <w:rFonts w:ascii="Symbol" w:hAnsi="Symbol" w:hint="default"/>
      </w:rPr>
    </w:lvl>
    <w:lvl w:ilvl="1" w:tplc="E6A62E24">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833751"/>
    <w:multiLevelType w:val="hybridMultilevel"/>
    <w:tmpl w:val="D2C2195A"/>
    <w:lvl w:ilvl="0" w:tplc="06622E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D4548A"/>
    <w:multiLevelType w:val="hybridMultilevel"/>
    <w:tmpl w:val="ABC8CC94"/>
    <w:lvl w:ilvl="0" w:tplc="0A7455B6">
      <w:start w:val="1"/>
      <w:numFmt w:val="upperLetter"/>
      <w:lvlText w:val="%1."/>
      <w:lvlJc w:val="left"/>
      <w:pPr>
        <w:ind w:left="720" w:hanging="360"/>
      </w:pPr>
      <w:rPr>
        <w:rFonts w:ascii="Times New Roman" w:hAnsi="Times New Roman" w:hint="default"/>
      </w:rPr>
    </w:lvl>
    <w:lvl w:ilvl="1" w:tplc="DF7C34E6">
      <w:start w:val="1"/>
      <w:numFmt w:val="upperLetter"/>
      <w:lvlText w:val="%2."/>
      <w:lvlJc w:val="left"/>
      <w:pPr>
        <w:ind w:left="1440" w:hanging="360"/>
      </w:pPr>
      <w:rPr>
        <w:rFonts w:hint="default"/>
      </w:rPr>
    </w:lvl>
    <w:lvl w:ilvl="2" w:tplc="7D9A1066">
      <w:start w:val="1"/>
      <w:numFmt w:val="decimal"/>
      <w:lvlText w:val="%3."/>
      <w:lvlJc w:val="right"/>
      <w:pPr>
        <w:ind w:left="2160" w:hanging="180"/>
      </w:pPr>
      <w:rPr>
        <w:rFonts w:ascii="Times New Roman" w:hAnsi="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A2484526">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9760CB"/>
    <w:multiLevelType w:val="hybridMultilevel"/>
    <w:tmpl w:val="7FB0EFA0"/>
    <w:lvl w:ilvl="0" w:tplc="056E960A">
      <w:start w:val="1"/>
      <w:numFmt w:val="decimal"/>
      <w:lvlText w:val="%1."/>
      <w:lvlJc w:val="right"/>
      <w:pPr>
        <w:ind w:left="720" w:hanging="360"/>
      </w:pPr>
      <w:rPr>
        <w:rFonts w:hint="default"/>
        <w:b w:val="0"/>
        <w:i w:val="0"/>
        <w:strike w:val="0"/>
        <w:color w:val="000000" w:themeColor="text1"/>
        <w:sz w:val="24"/>
        <w:szCs w:val="24"/>
      </w:rPr>
    </w:lvl>
    <w:lvl w:ilvl="1" w:tplc="B8EA7C9A" w:tentative="1">
      <w:start w:val="1"/>
      <w:numFmt w:val="lowerLetter"/>
      <w:lvlText w:val="%2."/>
      <w:lvlJc w:val="left"/>
      <w:pPr>
        <w:tabs>
          <w:tab w:val="num" w:pos="1440"/>
        </w:tabs>
        <w:ind w:left="1440" w:hanging="360"/>
      </w:pPr>
    </w:lvl>
    <w:lvl w:ilvl="2" w:tplc="91C24E76" w:tentative="1">
      <w:start w:val="1"/>
      <w:numFmt w:val="lowerRoman"/>
      <w:lvlText w:val="%3."/>
      <w:lvlJc w:val="right"/>
      <w:pPr>
        <w:tabs>
          <w:tab w:val="num" w:pos="2160"/>
        </w:tabs>
        <w:ind w:left="2160" w:hanging="180"/>
      </w:pPr>
    </w:lvl>
    <w:lvl w:ilvl="3" w:tplc="7ABAC042" w:tentative="1">
      <w:start w:val="1"/>
      <w:numFmt w:val="decimal"/>
      <w:lvlText w:val="%4."/>
      <w:lvlJc w:val="left"/>
      <w:pPr>
        <w:tabs>
          <w:tab w:val="num" w:pos="2880"/>
        </w:tabs>
        <w:ind w:left="2880" w:hanging="360"/>
      </w:pPr>
    </w:lvl>
    <w:lvl w:ilvl="4" w:tplc="4EDA9B06" w:tentative="1">
      <w:start w:val="1"/>
      <w:numFmt w:val="lowerLetter"/>
      <w:lvlText w:val="%5."/>
      <w:lvlJc w:val="left"/>
      <w:pPr>
        <w:tabs>
          <w:tab w:val="num" w:pos="3600"/>
        </w:tabs>
        <w:ind w:left="3600" w:hanging="360"/>
      </w:pPr>
    </w:lvl>
    <w:lvl w:ilvl="5" w:tplc="D8049152" w:tentative="1">
      <w:start w:val="1"/>
      <w:numFmt w:val="lowerRoman"/>
      <w:lvlText w:val="%6."/>
      <w:lvlJc w:val="right"/>
      <w:pPr>
        <w:tabs>
          <w:tab w:val="num" w:pos="4320"/>
        </w:tabs>
        <w:ind w:left="4320" w:hanging="180"/>
      </w:pPr>
    </w:lvl>
    <w:lvl w:ilvl="6" w:tplc="6A4EC8FA" w:tentative="1">
      <w:start w:val="1"/>
      <w:numFmt w:val="decimal"/>
      <w:lvlText w:val="%7."/>
      <w:lvlJc w:val="left"/>
      <w:pPr>
        <w:tabs>
          <w:tab w:val="num" w:pos="5040"/>
        </w:tabs>
        <w:ind w:left="5040" w:hanging="360"/>
      </w:pPr>
    </w:lvl>
    <w:lvl w:ilvl="7" w:tplc="BFB2C914" w:tentative="1">
      <w:start w:val="1"/>
      <w:numFmt w:val="lowerLetter"/>
      <w:lvlText w:val="%8."/>
      <w:lvlJc w:val="left"/>
      <w:pPr>
        <w:tabs>
          <w:tab w:val="num" w:pos="5760"/>
        </w:tabs>
        <w:ind w:left="5760" w:hanging="360"/>
      </w:pPr>
    </w:lvl>
    <w:lvl w:ilvl="8" w:tplc="98CA19DC" w:tentative="1">
      <w:start w:val="1"/>
      <w:numFmt w:val="lowerRoman"/>
      <w:lvlText w:val="%9."/>
      <w:lvlJc w:val="right"/>
      <w:pPr>
        <w:tabs>
          <w:tab w:val="num" w:pos="6480"/>
        </w:tabs>
        <w:ind w:left="6480" w:hanging="180"/>
      </w:pPr>
    </w:lvl>
  </w:abstractNum>
  <w:abstractNum w:abstractNumId="28" w15:restartNumberingAfterBreak="0">
    <w:nsid w:val="254A2ECD"/>
    <w:multiLevelType w:val="multilevel"/>
    <w:tmpl w:val="2B9C696A"/>
    <w:lvl w:ilvl="0">
      <w:start w:val="1"/>
      <w:numFmt w:val="decimal"/>
      <w:suff w:val="space"/>
      <w:lvlText w:val="%1"/>
      <w:lvlJc w:val="left"/>
      <w:pPr>
        <w:ind w:left="432" w:hanging="432"/>
      </w:pPr>
      <w:rPr>
        <w:rFonts w:hint="default"/>
      </w:rPr>
    </w:lvl>
    <w:lvl w:ilvl="1">
      <w:start w:val="1"/>
      <w:numFmt w:val="upperLetter"/>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26B52079"/>
    <w:multiLevelType w:val="hybridMultilevel"/>
    <w:tmpl w:val="87D80094"/>
    <w:lvl w:ilvl="0" w:tplc="3AE0EE36">
      <w:start w:val="1"/>
      <w:numFmt w:val="decimal"/>
      <w:lvlText w:val="%1."/>
      <w:lvlJc w:val="right"/>
      <w:pPr>
        <w:tabs>
          <w:tab w:val="num" w:pos="547"/>
        </w:tabs>
        <w:ind w:left="547" w:hanging="187"/>
      </w:pPr>
      <w:rPr>
        <w:rFonts w:hint="default"/>
        <w:sz w:val="22"/>
        <w:szCs w:val="22"/>
      </w:rPr>
    </w:lvl>
    <w:lvl w:ilvl="1" w:tplc="04090019">
      <w:start w:val="1"/>
      <w:numFmt w:val="bullet"/>
      <w:lvlText w:val="–"/>
      <w:lvlJc w:val="left"/>
      <w:pPr>
        <w:tabs>
          <w:tab w:val="num" w:pos="1440"/>
        </w:tabs>
        <w:ind w:left="1440" w:hanging="360"/>
      </w:pPr>
      <w:rPr>
        <w:rFonts w:ascii="Arial" w:hAnsi="Arial" w:hint="default"/>
        <w:sz w:val="22"/>
        <w:szCs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A483A99"/>
    <w:multiLevelType w:val="hybridMultilevel"/>
    <w:tmpl w:val="6E16C456"/>
    <w:lvl w:ilvl="0" w:tplc="7BB42456">
      <w:start w:val="1"/>
      <w:numFmt w:val="bullet"/>
      <w:lvlText w:val="-"/>
      <w:lvlJc w:val="left"/>
      <w:pPr>
        <w:ind w:left="1657" w:hanging="360"/>
      </w:pPr>
      <w:rPr>
        <w:rFonts w:ascii="Courier New" w:hAnsi="Courier New" w:hint="default"/>
      </w:rPr>
    </w:lvl>
    <w:lvl w:ilvl="1" w:tplc="04090003" w:tentative="1">
      <w:start w:val="1"/>
      <w:numFmt w:val="bullet"/>
      <w:lvlText w:val="o"/>
      <w:lvlJc w:val="left"/>
      <w:pPr>
        <w:ind w:left="2377" w:hanging="360"/>
      </w:pPr>
      <w:rPr>
        <w:rFonts w:ascii="Courier New" w:hAnsi="Courier New" w:cs="Courier New" w:hint="default"/>
      </w:rPr>
    </w:lvl>
    <w:lvl w:ilvl="2" w:tplc="04090005" w:tentative="1">
      <w:start w:val="1"/>
      <w:numFmt w:val="bullet"/>
      <w:lvlText w:val=""/>
      <w:lvlJc w:val="left"/>
      <w:pPr>
        <w:ind w:left="3097" w:hanging="360"/>
      </w:pPr>
      <w:rPr>
        <w:rFonts w:ascii="Wingdings" w:hAnsi="Wingdings" w:hint="default"/>
      </w:rPr>
    </w:lvl>
    <w:lvl w:ilvl="3" w:tplc="04090001" w:tentative="1">
      <w:start w:val="1"/>
      <w:numFmt w:val="bullet"/>
      <w:lvlText w:val=""/>
      <w:lvlJc w:val="left"/>
      <w:pPr>
        <w:ind w:left="3817" w:hanging="360"/>
      </w:pPr>
      <w:rPr>
        <w:rFonts w:ascii="Symbol" w:hAnsi="Symbol" w:hint="default"/>
      </w:rPr>
    </w:lvl>
    <w:lvl w:ilvl="4" w:tplc="04090003" w:tentative="1">
      <w:start w:val="1"/>
      <w:numFmt w:val="bullet"/>
      <w:lvlText w:val="o"/>
      <w:lvlJc w:val="left"/>
      <w:pPr>
        <w:ind w:left="4537" w:hanging="360"/>
      </w:pPr>
      <w:rPr>
        <w:rFonts w:ascii="Courier New" w:hAnsi="Courier New" w:cs="Courier New" w:hint="default"/>
      </w:rPr>
    </w:lvl>
    <w:lvl w:ilvl="5" w:tplc="04090005" w:tentative="1">
      <w:start w:val="1"/>
      <w:numFmt w:val="bullet"/>
      <w:lvlText w:val=""/>
      <w:lvlJc w:val="left"/>
      <w:pPr>
        <w:ind w:left="5257" w:hanging="360"/>
      </w:pPr>
      <w:rPr>
        <w:rFonts w:ascii="Wingdings" w:hAnsi="Wingdings" w:hint="default"/>
      </w:rPr>
    </w:lvl>
    <w:lvl w:ilvl="6" w:tplc="04090001" w:tentative="1">
      <w:start w:val="1"/>
      <w:numFmt w:val="bullet"/>
      <w:lvlText w:val=""/>
      <w:lvlJc w:val="left"/>
      <w:pPr>
        <w:ind w:left="5977" w:hanging="360"/>
      </w:pPr>
      <w:rPr>
        <w:rFonts w:ascii="Symbol" w:hAnsi="Symbol" w:hint="default"/>
      </w:rPr>
    </w:lvl>
    <w:lvl w:ilvl="7" w:tplc="04090003" w:tentative="1">
      <w:start w:val="1"/>
      <w:numFmt w:val="bullet"/>
      <w:lvlText w:val="o"/>
      <w:lvlJc w:val="left"/>
      <w:pPr>
        <w:ind w:left="6697" w:hanging="360"/>
      </w:pPr>
      <w:rPr>
        <w:rFonts w:ascii="Courier New" w:hAnsi="Courier New" w:cs="Courier New" w:hint="default"/>
      </w:rPr>
    </w:lvl>
    <w:lvl w:ilvl="8" w:tplc="04090005" w:tentative="1">
      <w:start w:val="1"/>
      <w:numFmt w:val="bullet"/>
      <w:lvlText w:val=""/>
      <w:lvlJc w:val="left"/>
      <w:pPr>
        <w:ind w:left="7417" w:hanging="360"/>
      </w:pPr>
      <w:rPr>
        <w:rFonts w:ascii="Wingdings" w:hAnsi="Wingdings" w:hint="default"/>
      </w:rPr>
    </w:lvl>
  </w:abstractNum>
  <w:abstractNum w:abstractNumId="31" w15:restartNumberingAfterBreak="0">
    <w:nsid w:val="2A4F4792"/>
    <w:multiLevelType w:val="hybridMultilevel"/>
    <w:tmpl w:val="B636CF2C"/>
    <w:lvl w:ilvl="0" w:tplc="F5FC48A0">
      <w:start w:val="1"/>
      <w:numFmt w:val="decimal"/>
      <w:lvlText w:val="%1."/>
      <w:lvlJc w:val="right"/>
      <w:pPr>
        <w:ind w:left="720" w:hanging="360"/>
      </w:pPr>
      <w:rPr>
        <w:rFonts w:ascii="Arial" w:eastAsia="SimSun" w:hAnsi="Arial" w:cs="Arial"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D74AD366">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A622CC9"/>
    <w:multiLevelType w:val="multilevel"/>
    <w:tmpl w:val="A53EA728"/>
    <w:lvl w:ilvl="0">
      <w:start w:val="8"/>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2.3.2.%4."/>
      <w:lvlJc w:val="left"/>
      <w:pPr>
        <w:ind w:left="0" w:firstLine="1080"/>
      </w:pPr>
      <w:rPr>
        <w:rFonts w:hint="default"/>
      </w:rPr>
    </w:lvl>
    <w:lvl w:ilvl="4">
      <w:start w:val="1"/>
      <w:numFmt w:val="decimal"/>
      <w:suff w:val="space"/>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B603F96"/>
    <w:multiLevelType w:val="hybridMultilevel"/>
    <w:tmpl w:val="6E72ADC8"/>
    <w:lvl w:ilvl="0" w:tplc="1CBC9BF0">
      <w:start w:val="1"/>
      <w:numFmt w:val="decimal"/>
      <w:lvlText w:val="%1."/>
      <w:lvlJc w:val="left"/>
      <w:pPr>
        <w:ind w:left="720" w:hanging="360"/>
      </w:pPr>
    </w:lvl>
    <w:lvl w:ilvl="1" w:tplc="4EE62D6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CE34B8A"/>
    <w:multiLevelType w:val="hybridMultilevel"/>
    <w:tmpl w:val="A1C0B700"/>
    <w:lvl w:ilvl="0" w:tplc="FE3AA6C4">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D8E5C25"/>
    <w:multiLevelType w:val="hybridMultilevel"/>
    <w:tmpl w:val="75E69CB4"/>
    <w:lvl w:ilvl="0" w:tplc="32DCAC58">
      <w:start w:val="1"/>
      <w:numFmt w:val="bullet"/>
      <w:pStyle w:val="bullets"/>
      <w:lvlText w:val=""/>
      <w:lvlJc w:val="left"/>
      <w:pPr>
        <w:ind w:left="1296" w:hanging="360"/>
      </w:pPr>
      <w:rPr>
        <w:rFonts w:ascii="Symbol" w:hAnsi="Symbol" w:hint="default"/>
        <w:sz w:val="24"/>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31B11FEA"/>
    <w:multiLevelType w:val="multilevel"/>
    <w:tmpl w:val="9042B28C"/>
    <w:lvl w:ilvl="0">
      <w:start w:val="11"/>
      <w:numFmt w:val="decimal"/>
      <w:suff w:val="space"/>
      <w:lvlText w:val="Chapter %1:"/>
      <w:lvlJc w:val="left"/>
      <w:pPr>
        <w:ind w:left="360" w:hanging="360"/>
      </w:pPr>
      <w:rPr>
        <w:rFonts w:hint="default"/>
      </w:rPr>
    </w:lvl>
    <w:lvl w:ilvl="1">
      <w:start w:val="3"/>
      <w:numFmt w:val="decimal"/>
      <w:suff w:val="space"/>
      <w:lvlText w:val="%1.%2."/>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864" w:firstLine="21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2D67FEC"/>
    <w:multiLevelType w:val="hybridMultilevel"/>
    <w:tmpl w:val="E87C9460"/>
    <w:lvl w:ilvl="0" w:tplc="C674F3AC">
      <w:start w:val="1"/>
      <w:numFmt w:val="decimal"/>
      <w:lvlText w:val="%1."/>
      <w:lvlJc w:val="right"/>
      <w:pPr>
        <w:ind w:left="648" w:hanging="360"/>
      </w:pPr>
      <w:rPr>
        <w:rFonts w:ascii="Arial" w:hAnsi="Arial" w:cstheme="majorHAnsi" w:hint="default"/>
        <w:b w:val="0"/>
        <w:i w:val="0"/>
        <w:strike w:val="0"/>
        <w:color w:val="000000" w:themeColor="text1"/>
        <w:sz w:val="24"/>
        <w:szCs w:val="24"/>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8" w15:restartNumberingAfterBreak="0">
    <w:nsid w:val="32F9389F"/>
    <w:multiLevelType w:val="hybridMultilevel"/>
    <w:tmpl w:val="F504311A"/>
    <w:lvl w:ilvl="0" w:tplc="1E0C1CFE">
      <w:start w:val="1"/>
      <w:numFmt w:val="bullet"/>
      <w:lvlText w:val="▪"/>
      <w:lvlJc w:val="left"/>
      <w:pPr>
        <w:ind w:left="2592" w:hanging="360"/>
      </w:pPr>
      <w:rPr>
        <w:rFonts w:ascii="Century" w:hAnsi="Century" w:hint="default"/>
        <w:color w:val="666666" w:themeColor="text1" w:themeTint="99"/>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39" w15:restartNumberingAfterBreak="0">
    <w:nsid w:val="33A57A84"/>
    <w:multiLevelType w:val="hybridMultilevel"/>
    <w:tmpl w:val="AC38806C"/>
    <w:lvl w:ilvl="0" w:tplc="C740928A">
      <w:start w:val="1"/>
      <w:numFmt w:val="upperRoman"/>
      <w:suff w:val="space"/>
      <w:lvlText w:val="Section %1."/>
      <w:lvlJc w:val="left"/>
      <w:pPr>
        <w:ind w:left="0" w:firstLine="0"/>
      </w:pPr>
      <w:rPr>
        <w:rFonts w:hint="default"/>
      </w:rPr>
    </w:lvl>
    <w:lvl w:ilvl="1" w:tplc="39200BFC">
      <w:start w:val="1"/>
      <w:numFmt w:val="lowerLetter"/>
      <w:lvlText w:val="%2)"/>
      <w:lvlJc w:val="left"/>
      <w:pPr>
        <w:ind w:left="720" w:hanging="360"/>
      </w:pPr>
      <w:rPr>
        <w:rFonts w:hint="default"/>
      </w:rPr>
    </w:lvl>
    <w:lvl w:ilvl="2" w:tplc="2CB81D84">
      <w:start w:val="1"/>
      <w:numFmt w:val="lowerRoman"/>
      <w:lvlText w:val="%3)"/>
      <w:lvlJc w:val="left"/>
      <w:pPr>
        <w:ind w:left="1080" w:hanging="360"/>
      </w:pPr>
      <w:rPr>
        <w:rFonts w:hint="default"/>
      </w:rPr>
    </w:lvl>
    <w:lvl w:ilvl="3" w:tplc="D2BC236A">
      <w:start w:val="1"/>
      <w:numFmt w:val="decimal"/>
      <w:lvlText w:val="(%4)"/>
      <w:lvlJc w:val="left"/>
      <w:pPr>
        <w:ind w:left="1440" w:hanging="360"/>
      </w:pPr>
      <w:rPr>
        <w:rFonts w:hint="default"/>
      </w:rPr>
    </w:lvl>
    <w:lvl w:ilvl="4" w:tplc="238647C8">
      <w:start w:val="1"/>
      <w:numFmt w:val="lowerLetter"/>
      <w:lvlText w:val="(%5)"/>
      <w:lvlJc w:val="left"/>
      <w:pPr>
        <w:ind w:left="1800" w:hanging="360"/>
      </w:pPr>
      <w:rPr>
        <w:rFonts w:hint="default"/>
      </w:rPr>
    </w:lvl>
    <w:lvl w:ilvl="5" w:tplc="3318AE6C">
      <w:start w:val="1"/>
      <w:numFmt w:val="lowerRoman"/>
      <w:lvlText w:val="(%6)"/>
      <w:lvlJc w:val="left"/>
      <w:pPr>
        <w:ind w:left="2160" w:hanging="360"/>
      </w:pPr>
      <w:rPr>
        <w:rFonts w:hint="default"/>
      </w:rPr>
    </w:lvl>
    <w:lvl w:ilvl="6" w:tplc="E188A2D2">
      <w:start w:val="1"/>
      <w:numFmt w:val="decimal"/>
      <w:lvlText w:val="%7."/>
      <w:lvlJc w:val="left"/>
      <w:pPr>
        <w:ind w:left="2520" w:hanging="360"/>
      </w:pPr>
      <w:rPr>
        <w:rFonts w:hint="default"/>
      </w:rPr>
    </w:lvl>
    <w:lvl w:ilvl="7" w:tplc="CE10B864">
      <w:start w:val="1"/>
      <w:numFmt w:val="lowerLetter"/>
      <w:lvlText w:val="%8."/>
      <w:lvlJc w:val="left"/>
      <w:pPr>
        <w:ind w:left="2880" w:hanging="360"/>
      </w:pPr>
      <w:rPr>
        <w:rFonts w:hint="default"/>
      </w:rPr>
    </w:lvl>
    <w:lvl w:ilvl="8" w:tplc="72160ECA">
      <w:start w:val="1"/>
      <w:numFmt w:val="lowerRoman"/>
      <w:lvlText w:val="%9."/>
      <w:lvlJc w:val="left"/>
      <w:pPr>
        <w:ind w:left="3240" w:hanging="360"/>
      </w:pPr>
      <w:rPr>
        <w:rFonts w:hint="default"/>
      </w:rPr>
    </w:lvl>
  </w:abstractNum>
  <w:abstractNum w:abstractNumId="40" w15:restartNumberingAfterBreak="0">
    <w:nsid w:val="346F504A"/>
    <w:multiLevelType w:val="hybridMultilevel"/>
    <w:tmpl w:val="3D74F482"/>
    <w:lvl w:ilvl="0" w:tplc="BF5E141C">
      <w:start w:val="1"/>
      <w:numFmt w:val="bullet"/>
      <w:lvlText w:val="–"/>
      <w:lvlJc w:val="left"/>
      <w:pPr>
        <w:tabs>
          <w:tab w:val="num" w:pos="562"/>
        </w:tabs>
        <w:ind w:left="562" w:hanging="188"/>
      </w:pPr>
      <w:rPr>
        <w:rFonts w:ascii="Arial" w:hAnsi="Arial" w:hint="default"/>
        <w:sz w:val="24"/>
        <w:szCs w:val="22"/>
      </w:rPr>
    </w:lvl>
    <w:lvl w:ilvl="1" w:tplc="DFD6B588">
      <w:start w:val="1"/>
      <w:numFmt w:val="bullet"/>
      <w:lvlText w:val="–"/>
      <w:lvlJc w:val="left"/>
      <w:pPr>
        <w:tabs>
          <w:tab w:val="num" w:pos="2160"/>
        </w:tabs>
        <w:ind w:left="2160" w:hanging="360"/>
      </w:pPr>
      <w:rPr>
        <w:rFonts w:ascii="Arial" w:hAnsi="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3481094C"/>
    <w:multiLevelType w:val="hybridMultilevel"/>
    <w:tmpl w:val="D1343A9E"/>
    <w:lvl w:ilvl="0" w:tplc="4ECC507E">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356D4355"/>
    <w:multiLevelType w:val="hybridMultilevel"/>
    <w:tmpl w:val="BBA095F4"/>
    <w:lvl w:ilvl="0" w:tplc="D5F81830">
      <w:start w:val="1"/>
      <w:numFmt w:val="bullet"/>
      <w:lvlText w:val=""/>
      <w:lvlJc w:val="left"/>
      <w:pPr>
        <w:ind w:left="1440" w:hanging="360"/>
      </w:pPr>
      <w:rPr>
        <w:rFonts w:ascii="Symbol" w:hAnsi="Symbol"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921579A"/>
    <w:multiLevelType w:val="hybridMultilevel"/>
    <w:tmpl w:val="FDE84236"/>
    <w:lvl w:ilvl="0" w:tplc="24B80E7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29132E"/>
    <w:multiLevelType w:val="hybridMultilevel"/>
    <w:tmpl w:val="1950616A"/>
    <w:lvl w:ilvl="0" w:tplc="F5FC48A0">
      <w:start w:val="1"/>
      <w:numFmt w:val="decimal"/>
      <w:lvlText w:val="%1."/>
      <w:lvlJc w:val="right"/>
      <w:pPr>
        <w:ind w:left="720" w:hanging="360"/>
      </w:pPr>
      <w:rPr>
        <w:rFonts w:ascii="Arial" w:eastAsia="SimSun" w:hAnsi="Arial" w:cs="Arial" w:hint="default"/>
        <w:sz w:val="24"/>
      </w:r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720828"/>
    <w:multiLevelType w:val="multilevel"/>
    <w:tmpl w:val="91E22096"/>
    <w:lvl w:ilvl="0">
      <w:start w:val="7"/>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B3F2E67"/>
    <w:multiLevelType w:val="multilevel"/>
    <w:tmpl w:val="A9406870"/>
    <w:lvl w:ilvl="0">
      <w:start w:val="4"/>
      <w:numFmt w:val="decimal"/>
      <w:lvlText w:val="%1."/>
      <w:lvlJc w:val="left"/>
      <w:pPr>
        <w:ind w:left="540" w:hanging="54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3B5B5369"/>
    <w:multiLevelType w:val="hybridMultilevel"/>
    <w:tmpl w:val="22D0FE46"/>
    <w:lvl w:ilvl="0" w:tplc="5F9E9E8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39513A"/>
    <w:multiLevelType w:val="hybridMultilevel"/>
    <w:tmpl w:val="04BACDE6"/>
    <w:lvl w:ilvl="0" w:tplc="18A24860">
      <w:start w:val="1"/>
      <w:numFmt w:val="decimal"/>
      <w:lvlText w:val="%1."/>
      <w:lvlJc w:val="right"/>
      <w:pPr>
        <w:ind w:left="1296" w:hanging="360"/>
      </w:pPr>
      <w:rPr>
        <w:rFonts w:ascii="Arial" w:hAnsi="Arial" w:hint="default"/>
        <w:b w:val="0"/>
        <w:i w:val="0"/>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15:restartNumberingAfterBreak="0">
    <w:nsid w:val="407E6AE4"/>
    <w:multiLevelType w:val="hybridMultilevel"/>
    <w:tmpl w:val="EA429260"/>
    <w:lvl w:ilvl="0" w:tplc="0B16BAA0">
      <w:start w:val="1"/>
      <w:numFmt w:val="bullet"/>
      <w:lvlText w:val=""/>
      <w:lvlJc w:val="left"/>
      <w:pPr>
        <w:tabs>
          <w:tab w:val="num" w:pos="727"/>
        </w:tabs>
        <w:ind w:left="727" w:hanging="187"/>
      </w:pPr>
      <w:rPr>
        <w:rFonts w:ascii="Symbol" w:hAnsi="Symbol" w:hint="default"/>
        <w:sz w:val="24"/>
        <w:szCs w:val="22"/>
      </w:rPr>
    </w:lvl>
    <w:lvl w:ilvl="1" w:tplc="04090019">
      <w:start w:val="1"/>
      <w:numFmt w:val="bullet"/>
      <w:lvlText w:val="–"/>
      <w:lvlJc w:val="left"/>
      <w:pPr>
        <w:tabs>
          <w:tab w:val="num" w:pos="1440"/>
        </w:tabs>
        <w:ind w:left="1440" w:hanging="360"/>
      </w:pPr>
      <w:rPr>
        <w:rFonts w:ascii="Arial" w:hAnsi="Arial" w:hint="default"/>
        <w:sz w:val="22"/>
        <w:szCs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43D1BDA"/>
    <w:multiLevelType w:val="hybridMultilevel"/>
    <w:tmpl w:val="331AE756"/>
    <w:lvl w:ilvl="0" w:tplc="AC20E868">
      <w:start w:val="1"/>
      <w:numFmt w:val="decimal"/>
      <w:lvlText w:val="%1."/>
      <w:lvlJc w:val="left"/>
      <w:pPr>
        <w:tabs>
          <w:tab w:val="num" w:pos="720"/>
        </w:tabs>
        <w:ind w:left="1080" w:hanging="360"/>
      </w:pPr>
      <w:rPr>
        <w:rFonts w:ascii="Arial" w:hAnsi="Arial" w:hint="default"/>
        <w:sz w:val="22"/>
      </w:rPr>
    </w:lvl>
    <w:lvl w:ilvl="1" w:tplc="74820CCE">
      <w:start w:val="1"/>
      <w:numFmt w:val="lowerLetter"/>
      <w:lvlText w:val="%2."/>
      <w:lvlJc w:val="left"/>
      <w:pPr>
        <w:tabs>
          <w:tab w:val="num" w:pos="2232"/>
        </w:tabs>
        <w:ind w:left="2232" w:hanging="360"/>
      </w:pPr>
      <w:rPr>
        <w:rFonts w:hint="default"/>
      </w:rPr>
    </w:lvl>
    <w:lvl w:ilvl="2" w:tplc="A140829A">
      <w:start w:val="1"/>
      <w:numFmt w:val="lowerRoman"/>
      <w:lvlText w:val="%3."/>
      <w:lvlJc w:val="right"/>
      <w:pPr>
        <w:tabs>
          <w:tab w:val="num" w:pos="2952"/>
        </w:tabs>
        <w:ind w:left="2952" w:hanging="180"/>
      </w:pPr>
      <w:rPr>
        <w:rFonts w:hint="default"/>
      </w:rPr>
    </w:lvl>
    <w:lvl w:ilvl="3" w:tplc="CA6C1CC0">
      <w:start w:val="1"/>
      <w:numFmt w:val="decimal"/>
      <w:lvlText w:val="%4."/>
      <w:lvlJc w:val="left"/>
      <w:pPr>
        <w:tabs>
          <w:tab w:val="num" w:pos="3672"/>
        </w:tabs>
        <w:ind w:left="3672" w:hanging="360"/>
      </w:pPr>
      <w:rPr>
        <w:rFonts w:hint="default"/>
      </w:rPr>
    </w:lvl>
    <w:lvl w:ilvl="4" w:tplc="65445EBA">
      <w:start w:val="1"/>
      <w:numFmt w:val="lowerLetter"/>
      <w:lvlText w:val="%5."/>
      <w:lvlJc w:val="left"/>
      <w:pPr>
        <w:tabs>
          <w:tab w:val="num" w:pos="4392"/>
        </w:tabs>
        <w:ind w:left="4392" w:hanging="360"/>
      </w:pPr>
      <w:rPr>
        <w:rFonts w:hint="default"/>
      </w:rPr>
    </w:lvl>
    <w:lvl w:ilvl="5" w:tplc="692E79A0">
      <w:start w:val="1"/>
      <w:numFmt w:val="lowerRoman"/>
      <w:lvlText w:val="%6."/>
      <w:lvlJc w:val="right"/>
      <w:pPr>
        <w:tabs>
          <w:tab w:val="num" w:pos="5112"/>
        </w:tabs>
        <w:ind w:left="5112" w:hanging="180"/>
      </w:pPr>
      <w:rPr>
        <w:rFonts w:hint="default"/>
      </w:rPr>
    </w:lvl>
    <w:lvl w:ilvl="6" w:tplc="5FE2B808">
      <w:start w:val="1"/>
      <w:numFmt w:val="decimal"/>
      <w:lvlText w:val="%7."/>
      <w:lvlJc w:val="left"/>
      <w:pPr>
        <w:tabs>
          <w:tab w:val="num" w:pos="5832"/>
        </w:tabs>
        <w:ind w:left="5832" w:hanging="360"/>
      </w:pPr>
      <w:rPr>
        <w:rFonts w:hint="default"/>
      </w:rPr>
    </w:lvl>
    <w:lvl w:ilvl="7" w:tplc="9F18E746">
      <w:start w:val="1"/>
      <w:numFmt w:val="lowerLetter"/>
      <w:lvlText w:val="%8."/>
      <w:lvlJc w:val="left"/>
      <w:pPr>
        <w:tabs>
          <w:tab w:val="num" w:pos="6552"/>
        </w:tabs>
        <w:ind w:left="6552" w:hanging="360"/>
      </w:pPr>
      <w:rPr>
        <w:rFonts w:hint="default"/>
      </w:rPr>
    </w:lvl>
    <w:lvl w:ilvl="8" w:tplc="0A3CE952">
      <w:start w:val="1"/>
      <w:numFmt w:val="lowerRoman"/>
      <w:lvlText w:val="%9."/>
      <w:lvlJc w:val="right"/>
      <w:pPr>
        <w:tabs>
          <w:tab w:val="num" w:pos="7272"/>
        </w:tabs>
        <w:ind w:left="7272" w:hanging="180"/>
      </w:pPr>
      <w:rPr>
        <w:rFonts w:hint="default"/>
      </w:rPr>
    </w:lvl>
  </w:abstractNum>
  <w:abstractNum w:abstractNumId="51" w15:restartNumberingAfterBreak="0">
    <w:nsid w:val="44511AE5"/>
    <w:multiLevelType w:val="multilevel"/>
    <w:tmpl w:val="B6AA3662"/>
    <w:lvl w:ilvl="0">
      <w:start w:val="10"/>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5290A88"/>
    <w:multiLevelType w:val="hybridMultilevel"/>
    <w:tmpl w:val="B26C5438"/>
    <w:lvl w:ilvl="0" w:tplc="D3CCDBA4">
      <w:start w:val="1"/>
      <w:numFmt w:val="decimal"/>
      <w:lvlText w:val="%1)"/>
      <w:lvlJc w:val="left"/>
      <w:pPr>
        <w:tabs>
          <w:tab w:val="num" w:pos="331"/>
        </w:tabs>
        <w:ind w:left="331" w:hanging="216"/>
      </w:pPr>
      <w:rPr>
        <w:rFonts w:hint="default"/>
      </w:rPr>
    </w:lvl>
    <w:lvl w:ilvl="1" w:tplc="CBAE8020">
      <w:start w:val="1"/>
      <w:numFmt w:val="lowerLetter"/>
      <w:lvlText w:val="%2)"/>
      <w:lvlJc w:val="left"/>
      <w:pPr>
        <w:tabs>
          <w:tab w:val="num" w:pos="547"/>
        </w:tabs>
        <w:ind w:left="547" w:hanging="216"/>
      </w:pPr>
      <w:rPr>
        <w:rFonts w:hint="default"/>
      </w:rPr>
    </w:lvl>
    <w:lvl w:ilvl="2" w:tplc="CFBAA81A">
      <w:start w:val="1"/>
      <w:numFmt w:val="lowerRoman"/>
      <w:lvlText w:val="%3)"/>
      <w:lvlJc w:val="left"/>
      <w:pPr>
        <w:tabs>
          <w:tab w:val="num" w:pos="763"/>
        </w:tabs>
        <w:ind w:left="763" w:hanging="216"/>
      </w:pPr>
      <w:rPr>
        <w:rFonts w:hint="default"/>
      </w:rPr>
    </w:lvl>
    <w:lvl w:ilvl="3" w:tplc="708E6EB8">
      <w:start w:val="1"/>
      <w:numFmt w:val="decimal"/>
      <w:lvlText w:val="(%4)"/>
      <w:lvlJc w:val="left"/>
      <w:pPr>
        <w:ind w:left="1440" w:hanging="360"/>
      </w:pPr>
      <w:rPr>
        <w:rFonts w:hint="default"/>
      </w:rPr>
    </w:lvl>
    <w:lvl w:ilvl="4" w:tplc="EFF885A8">
      <w:start w:val="1"/>
      <w:numFmt w:val="lowerLetter"/>
      <w:lvlText w:val="(%5)"/>
      <w:lvlJc w:val="left"/>
      <w:pPr>
        <w:ind w:left="1800" w:hanging="360"/>
      </w:pPr>
      <w:rPr>
        <w:rFonts w:hint="default"/>
      </w:rPr>
    </w:lvl>
    <w:lvl w:ilvl="5" w:tplc="282452F6">
      <w:start w:val="1"/>
      <w:numFmt w:val="lowerRoman"/>
      <w:lvlText w:val="(%6)"/>
      <w:lvlJc w:val="left"/>
      <w:pPr>
        <w:ind w:left="2160" w:hanging="360"/>
      </w:pPr>
      <w:rPr>
        <w:rFonts w:hint="default"/>
      </w:rPr>
    </w:lvl>
    <w:lvl w:ilvl="6" w:tplc="3C18E188">
      <w:start w:val="1"/>
      <w:numFmt w:val="decimal"/>
      <w:lvlText w:val="%7."/>
      <w:lvlJc w:val="left"/>
      <w:pPr>
        <w:ind w:left="2520" w:hanging="360"/>
      </w:pPr>
      <w:rPr>
        <w:rFonts w:hint="default"/>
      </w:rPr>
    </w:lvl>
    <w:lvl w:ilvl="7" w:tplc="C8DE8D20">
      <w:start w:val="1"/>
      <w:numFmt w:val="lowerLetter"/>
      <w:lvlText w:val="%8."/>
      <w:lvlJc w:val="left"/>
      <w:pPr>
        <w:ind w:left="2880" w:hanging="360"/>
      </w:pPr>
      <w:rPr>
        <w:rFonts w:hint="default"/>
      </w:rPr>
    </w:lvl>
    <w:lvl w:ilvl="8" w:tplc="73F29B08">
      <w:start w:val="1"/>
      <w:numFmt w:val="lowerRoman"/>
      <w:lvlText w:val="%9."/>
      <w:lvlJc w:val="left"/>
      <w:pPr>
        <w:ind w:left="3240" w:hanging="360"/>
      </w:pPr>
      <w:rPr>
        <w:rFonts w:hint="default"/>
      </w:rPr>
    </w:lvl>
  </w:abstractNum>
  <w:abstractNum w:abstractNumId="53" w15:restartNumberingAfterBreak="0">
    <w:nsid w:val="455A5D65"/>
    <w:multiLevelType w:val="hybridMultilevel"/>
    <w:tmpl w:val="0BDA062E"/>
    <w:lvl w:ilvl="0" w:tplc="96967C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5F63680"/>
    <w:multiLevelType w:val="hybridMultilevel"/>
    <w:tmpl w:val="8348C040"/>
    <w:lvl w:ilvl="0" w:tplc="0409000F">
      <w:start w:val="1"/>
      <w:numFmt w:val="bullet"/>
      <w:lvlText w:val="▪"/>
      <w:lvlJc w:val="left"/>
      <w:pPr>
        <w:tabs>
          <w:tab w:val="num" w:pos="216"/>
        </w:tabs>
        <w:ind w:left="144" w:hanging="144"/>
      </w:pPr>
      <w:rPr>
        <w:rFonts w:ascii="Times New Roman" w:hAnsi="Times New Roman" w:cs="Times New Roman" w:hint="default"/>
        <w:sz w:val="22"/>
        <w:szCs w:val="22"/>
      </w:rPr>
    </w:lvl>
    <w:lvl w:ilvl="1" w:tplc="5E3C9F44">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67B1D8A"/>
    <w:multiLevelType w:val="multilevel"/>
    <w:tmpl w:val="640A2E56"/>
    <w:lvl w:ilvl="0">
      <w:start w:val="1"/>
      <w:numFmt w:val="decimal"/>
      <w:pStyle w:val="Heading2"/>
      <w:suff w:val="space"/>
      <w:lvlText w:val="Chapter %1:"/>
      <w:lvlJc w:val="left"/>
      <w:pPr>
        <w:ind w:left="360" w:hanging="360"/>
      </w:pPr>
      <w:rPr>
        <w:rFonts w:hint="default"/>
      </w:rPr>
    </w:lvl>
    <w:lvl w:ilvl="1">
      <w:start w:val="1"/>
      <w:numFmt w:val="decimal"/>
      <w:pStyle w:val="Heading3"/>
      <w:suff w:val="space"/>
      <w:lvlText w:val="%1.%2."/>
      <w:lvlJc w:val="left"/>
      <w:pPr>
        <w:ind w:left="360" w:hanging="360"/>
      </w:pPr>
      <w:rPr>
        <w:rFonts w:hint="default"/>
      </w:rPr>
    </w:lvl>
    <w:lvl w:ilvl="2">
      <w:start w:val="1"/>
      <w:numFmt w:val="decimal"/>
      <w:pStyle w:val="Heading4"/>
      <w:suff w:val="space"/>
      <w:lvlText w:val="%1.%2.%3."/>
      <w:lvlJc w:val="left"/>
      <w:pPr>
        <w:ind w:left="450" w:hanging="450"/>
      </w:pPr>
      <w:rPr>
        <w:rFonts w:hint="default"/>
      </w:rPr>
    </w:lvl>
    <w:lvl w:ilvl="3">
      <w:start w:val="1"/>
      <w:numFmt w:val="decimal"/>
      <w:pStyle w:val="Heading5"/>
      <w:suff w:val="space"/>
      <w:lvlText w:val="%1.%2.%3.%4."/>
      <w:lvlJc w:val="left"/>
      <w:pPr>
        <w:ind w:left="1080" w:hanging="936"/>
      </w:pPr>
      <w:rPr>
        <w:rFonts w:hint="default"/>
        <w:b/>
        <w:i w:val="0"/>
      </w:rPr>
    </w:lvl>
    <w:lvl w:ilvl="4">
      <w:start w:val="1"/>
      <w:numFmt w:val="decimal"/>
      <w:pStyle w:val="Heading6"/>
      <w:suff w:val="space"/>
      <w:lvlText w:val="%1.%2.%3.%4.%5."/>
      <w:lvlJc w:val="left"/>
      <w:pPr>
        <w:ind w:left="864" w:hanging="720"/>
      </w:pPr>
      <w:rPr>
        <w:rFonts w:ascii="Arial Bold" w:hAnsi="Arial Bold" w:hint="default"/>
        <w:b/>
        <w:i/>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7960D4C"/>
    <w:multiLevelType w:val="multilevel"/>
    <w:tmpl w:val="45449A8E"/>
    <w:lvl w:ilvl="0">
      <w:start w:val="7"/>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suff w:val="space"/>
      <w:lvlText w:val="%1.%2.%3.%4.%5"/>
      <w:lvlJc w:val="left"/>
      <w:pPr>
        <w:ind w:left="1008" w:hanging="864"/>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7" w15:restartNumberingAfterBreak="0">
    <w:nsid w:val="48291C0B"/>
    <w:multiLevelType w:val="hybridMultilevel"/>
    <w:tmpl w:val="1CCAF032"/>
    <w:lvl w:ilvl="0" w:tplc="786C2C90">
      <w:start w:val="1"/>
      <w:numFmt w:val="decimal"/>
      <w:lvlText w:val="Step %1."/>
      <w:lvlJc w:val="left"/>
      <w:pPr>
        <w:ind w:left="108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CE06A1E"/>
    <w:multiLevelType w:val="hybridMultilevel"/>
    <w:tmpl w:val="4B72AB70"/>
    <w:lvl w:ilvl="0" w:tplc="A126A1C2">
      <w:start w:val="1"/>
      <w:numFmt w:val="bullet"/>
      <w:lvlText w:val="–"/>
      <w:lvlJc w:val="left"/>
      <w:pPr>
        <w:ind w:left="1440" w:hanging="360"/>
      </w:pPr>
      <w:rPr>
        <w:rFonts w:ascii="Arial" w:hAnsi="Arial" w:hint="default"/>
        <w:sz w:val="24"/>
        <w:szCs w:val="24"/>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516F4A72"/>
    <w:multiLevelType w:val="hybridMultilevel"/>
    <w:tmpl w:val="FBE673D4"/>
    <w:lvl w:ilvl="0" w:tplc="39549444">
      <w:start w:val="1"/>
      <w:numFmt w:val="decimal"/>
      <w:pStyle w:val="Numbered"/>
      <w:lvlText w:val="%1."/>
      <w:lvlJc w:val="right"/>
      <w:pPr>
        <w:ind w:left="1440" w:hanging="360"/>
      </w:pPr>
      <w:rPr>
        <w:rFonts w:ascii="Arial" w:hAnsi="Arial"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4104262"/>
    <w:multiLevelType w:val="hybridMultilevel"/>
    <w:tmpl w:val="1640F9E0"/>
    <w:lvl w:ilvl="0" w:tplc="5F9E9E86">
      <w:start w:val="1"/>
      <w:numFmt w:val="bullet"/>
      <w:lvlText w:val=""/>
      <w:lvlJc w:val="left"/>
      <w:pPr>
        <w:ind w:left="720" w:hanging="360"/>
      </w:pPr>
      <w:rPr>
        <w:rFonts w:ascii="Symbol" w:hAnsi="Symbol" w:hint="default"/>
        <w:sz w:val="20"/>
      </w:rPr>
    </w:lvl>
    <w:lvl w:ilvl="1" w:tplc="CB82D75C">
      <w:start w:val="1"/>
      <w:numFmt w:val="bullet"/>
      <w:lvlText w:val="–"/>
      <w:lvlJc w:val="left"/>
      <w:pPr>
        <w:ind w:left="1440" w:hanging="360"/>
      </w:pPr>
      <w:rPr>
        <w:rFonts w:ascii="Franklin Gothic Medium" w:hAnsi="Franklin Gothic Medium"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1E37BD"/>
    <w:multiLevelType w:val="hybridMultilevel"/>
    <w:tmpl w:val="877290BA"/>
    <w:lvl w:ilvl="0" w:tplc="2D36ED4A">
      <w:start w:val="1"/>
      <w:numFmt w:val="bullet"/>
      <w:lvlText w:val=""/>
      <w:lvlJc w:val="left"/>
      <w:pPr>
        <w:tabs>
          <w:tab w:val="num" w:pos="432"/>
        </w:tabs>
        <w:ind w:left="432" w:hanging="360"/>
      </w:pPr>
      <w:rPr>
        <w:rFonts w:ascii="Symbol" w:hAnsi="Symbol" w:hint="default"/>
        <w:b w:val="0"/>
        <w:i w:val="0"/>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D406C3"/>
    <w:multiLevelType w:val="hybridMultilevel"/>
    <w:tmpl w:val="C9289F94"/>
    <w:lvl w:ilvl="0" w:tplc="7540A1B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568B6CA0"/>
    <w:multiLevelType w:val="hybridMultilevel"/>
    <w:tmpl w:val="F4DC55F8"/>
    <w:lvl w:ilvl="0" w:tplc="4BE624EA">
      <w:start w:val="1"/>
      <w:numFmt w:val="decimal"/>
      <w:lvlText w:val="%1)"/>
      <w:lvlJc w:val="left"/>
      <w:pPr>
        <w:ind w:left="360" w:hanging="360"/>
      </w:pPr>
      <w:rPr>
        <w:rFonts w:hint="default"/>
        <w:color w:val="auto"/>
        <w:sz w:val="22"/>
        <w:szCs w:val="22"/>
      </w:rPr>
    </w:lvl>
    <w:lvl w:ilvl="1" w:tplc="951E460C">
      <w:start w:val="1"/>
      <w:numFmt w:val="lowerLetter"/>
      <w:lvlText w:val="%2."/>
      <w:lvlJc w:val="left"/>
      <w:pPr>
        <w:ind w:left="720" w:hanging="360"/>
      </w:pPr>
      <w:rPr>
        <w:rFonts w:hint="default"/>
        <w:color w:val="auto"/>
        <w:sz w:val="24"/>
        <w:szCs w:val="24"/>
      </w:rPr>
    </w:lvl>
    <w:lvl w:ilvl="2" w:tplc="97EE2046">
      <w:start w:val="1"/>
      <w:numFmt w:val="lowerRoman"/>
      <w:lvlText w:val="%3)"/>
      <w:lvlJc w:val="left"/>
      <w:pPr>
        <w:ind w:left="1080" w:hanging="360"/>
      </w:pPr>
      <w:rPr>
        <w:rFonts w:hint="default"/>
        <w:color w:val="auto"/>
        <w:sz w:val="22"/>
        <w:szCs w:val="22"/>
      </w:rPr>
    </w:lvl>
    <w:lvl w:ilvl="3" w:tplc="663EE5CA">
      <w:start w:val="1"/>
      <w:numFmt w:val="decimal"/>
      <w:lvlText w:val="(%4)"/>
      <w:lvlJc w:val="left"/>
      <w:pPr>
        <w:ind w:left="1440" w:hanging="360"/>
      </w:pPr>
      <w:rPr>
        <w:rFonts w:hint="default"/>
        <w:color w:val="auto"/>
        <w:sz w:val="22"/>
        <w:szCs w:val="22"/>
      </w:rPr>
    </w:lvl>
    <w:lvl w:ilvl="4" w:tplc="0DC6E752">
      <w:start w:val="1"/>
      <w:numFmt w:val="lowerLetter"/>
      <w:lvlText w:val="(%5)"/>
      <w:lvlJc w:val="left"/>
      <w:pPr>
        <w:ind w:left="1800" w:hanging="360"/>
      </w:pPr>
      <w:rPr>
        <w:rFonts w:hint="default"/>
      </w:rPr>
    </w:lvl>
    <w:lvl w:ilvl="5" w:tplc="C72441BA">
      <w:start w:val="1"/>
      <w:numFmt w:val="lowerRoman"/>
      <w:lvlText w:val="(%6)"/>
      <w:lvlJc w:val="left"/>
      <w:pPr>
        <w:ind w:left="2160" w:hanging="360"/>
      </w:pPr>
      <w:rPr>
        <w:rFonts w:hint="default"/>
        <w:sz w:val="22"/>
        <w:szCs w:val="22"/>
      </w:rPr>
    </w:lvl>
    <w:lvl w:ilvl="6" w:tplc="E2B621C4">
      <w:start w:val="1"/>
      <w:numFmt w:val="decimal"/>
      <w:lvlText w:val="%7."/>
      <w:lvlJc w:val="left"/>
      <w:pPr>
        <w:ind w:left="2520" w:hanging="360"/>
      </w:pPr>
      <w:rPr>
        <w:rFonts w:hint="default"/>
      </w:rPr>
    </w:lvl>
    <w:lvl w:ilvl="7" w:tplc="B516AAD6">
      <w:start w:val="1"/>
      <w:numFmt w:val="lowerLetter"/>
      <w:lvlText w:val="%8."/>
      <w:lvlJc w:val="left"/>
      <w:pPr>
        <w:ind w:left="2880" w:hanging="360"/>
      </w:pPr>
      <w:rPr>
        <w:rFonts w:hint="default"/>
      </w:rPr>
    </w:lvl>
    <w:lvl w:ilvl="8" w:tplc="4EBAB446">
      <w:start w:val="1"/>
      <w:numFmt w:val="lowerRoman"/>
      <w:lvlText w:val="%9."/>
      <w:lvlJc w:val="left"/>
      <w:pPr>
        <w:ind w:left="3240" w:hanging="360"/>
      </w:pPr>
      <w:rPr>
        <w:rFonts w:hint="default"/>
      </w:rPr>
    </w:lvl>
  </w:abstractNum>
  <w:abstractNum w:abstractNumId="64" w15:restartNumberingAfterBreak="0">
    <w:nsid w:val="58701199"/>
    <w:multiLevelType w:val="multilevel"/>
    <w:tmpl w:val="D6A63B1E"/>
    <w:lvl w:ilvl="0">
      <w:start w:val="9"/>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92C26A2"/>
    <w:multiLevelType w:val="hybridMultilevel"/>
    <w:tmpl w:val="50FA1A7E"/>
    <w:lvl w:ilvl="0" w:tplc="10F4BD64">
      <w:start w:val="1"/>
      <w:numFmt w:val="bullet"/>
      <w:lvlText w:val="○"/>
      <w:lvlJc w:val="left"/>
      <w:pPr>
        <w:ind w:left="1080" w:hanging="360"/>
      </w:pPr>
      <w:rPr>
        <w:rFonts w:ascii="Arial" w:hAnsi="Arial" w:hint="default"/>
        <w:sz w:val="24"/>
        <w:szCs w:val="22"/>
      </w:rPr>
    </w:lvl>
    <w:lvl w:ilvl="1" w:tplc="04090019">
      <w:start w:val="1"/>
      <w:numFmt w:val="bullet"/>
      <w:lvlText w:val="–"/>
      <w:lvlJc w:val="left"/>
      <w:pPr>
        <w:tabs>
          <w:tab w:val="num" w:pos="1440"/>
        </w:tabs>
        <w:ind w:left="1440" w:hanging="360"/>
      </w:pPr>
      <w:rPr>
        <w:rFonts w:ascii="Arial" w:hAnsi="Arial" w:hint="default"/>
        <w:sz w:val="22"/>
        <w:szCs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13335B7"/>
    <w:multiLevelType w:val="hybridMultilevel"/>
    <w:tmpl w:val="61825462"/>
    <w:lvl w:ilvl="0" w:tplc="2286AFF0">
      <w:start w:val="1"/>
      <w:numFmt w:val="lowerLetter"/>
      <w:lvlText w:val="%1."/>
      <w:lvlJc w:val="left"/>
      <w:pPr>
        <w:ind w:left="1080" w:hanging="360"/>
      </w:pPr>
      <w:rPr>
        <w:rFonts w:ascii="Arial" w:hAnsi="Arial" w:hint="default"/>
        <w:b w:val="0"/>
        <w:i w:val="0"/>
        <w:strike w:val="0"/>
        <w:color w:val="auto"/>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2297993"/>
    <w:multiLevelType w:val="hybridMultilevel"/>
    <w:tmpl w:val="FBA6B7B4"/>
    <w:lvl w:ilvl="0" w:tplc="F63E4602">
      <w:start w:val="1"/>
      <w:numFmt w:val="bullet"/>
      <w:pStyle w:val="bullets-one"/>
      <w:lvlText w:val=""/>
      <w:lvlJc w:val="left"/>
      <w:pPr>
        <w:tabs>
          <w:tab w:val="num" w:pos="727"/>
        </w:tabs>
        <w:ind w:left="727" w:hanging="187"/>
      </w:pPr>
      <w:rPr>
        <w:rFonts w:ascii="Symbol" w:hAnsi="Symbol" w:hint="default"/>
        <w:sz w:val="24"/>
        <w:szCs w:val="22"/>
      </w:rPr>
    </w:lvl>
    <w:lvl w:ilvl="1" w:tplc="04090019">
      <w:start w:val="1"/>
      <w:numFmt w:val="bullet"/>
      <w:lvlText w:val="–"/>
      <w:lvlJc w:val="left"/>
      <w:pPr>
        <w:tabs>
          <w:tab w:val="num" w:pos="1440"/>
        </w:tabs>
        <w:ind w:left="1440" w:hanging="360"/>
      </w:pPr>
      <w:rPr>
        <w:rFonts w:ascii="Arial" w:hAnsi="Arial" w:hint="default"/>
        <w:sz w:val="22"/>
        <w:szCs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49500C8"/>
    <w:multiLevelType w:val="multilevel"/>
    <w:tmpl w:val="DC44A4BE"/>
    <w:lvl w:ilvl="0">
      <w:start w:val="8"/>
      <w:numFmt w:val="decimal"/>
      <w:lvlText w:val="%1"/>
      <w:lvlJc w:val="left"/>
      <w:pPr>
        <w:ind w:left="480" w:hanging="480"/>
      </w:pPr>
      <w:rPr>
        <w:rFonts w:hint="default"/>
      </w:rPr>
    </w:lvl>
    <w:lvl w:ilvl="1">
      <w:start w:val="2"/>
      <w:numFmt w:val="decimal"/>
      <w:lvlText w:val="%1.%2"/>
      <w:lvlJc w:val="left"/>
      <w:pPr>
        <w:ind w:left="705" w:hanging="480"/>
      </w:pPr>
      <w:rPr>
        <w:rFonts w:hint="default"/>
      </w:rPr>
    </w:lvl>
    <w:lvl w:ilvl="2">
      <w:start w:val="4"/>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69" w15:restartNumberingAfterBreak="0">
    <w:nsid w:val="65054D05"/>
    <w:multiLevelType w:val="hybridMultilevel"/>
    <w:tmpl w:val="DBAE4218"/>
    <w:lvl w:ilvl="0" w:tplc="8ED02994">
      <w:start w:val="1"/>
      <w:numFmt w:val="bullet"/>
      <w:lvlText w:val="▪"/>
      <w:lvlJc w:val="left"/>
      <w:pPr>
        <w:ind w:left="2232" w:hanging="360"/>
      </w:pPr>
      <w:rPr>
        <w:rFonts w:ascii="Arial" w:hAnsi="Arial" w:hint="default"/>
        <w:sz w:val="24"/>
        <w:szCs w:val="24"/>
      </w:rPr>
    </w:lvl>
    <w:lvl w:ilvl="1" w:tplc="04090003" w:tentative="1">
      <w:start w:val="1"/>
      <w:numFmt w:val="bullet"/>
      <w:lvlText w:val="o"/>
      <w:lvlJc w:val="left"/>
      <w:pPr>
        <w:ind w:left="3042" w:hanging="360"/>
      </w:pPr>
      <w:rPr>
        <w:rFonts w:ascii="Courier New" w:hAnsi="Courier New" w:cs="Courier New" w:hint="default"/>
      </w:rPr>
    </w:lvl>
    <w:lvl w:ilvl="2" w:tplc="04090005" w:tentative="1">
      <w:start w:val="1"/>
      <w:numFmt w:val="bullet"/>
      <w:lvlText w:val=""/>
      <w:lvlJc w:val="left"/>
      <w:pPr>
        <w:ind w:left="3762" w:hanging="360"/>
      </w:pPr>
      <w:rPr>
        <w:rFonts w:ascii="Wingdings" w:hAnsi="Wingdings" w:hint="default"/>
      </w:rPr>
    </w:lvl>
    <w:lvl w:ilvl="3" w:tplc="04090001" w:tentative="1">
      <w:start w:val="1"/>
      <w:numFmt w:val="bullet"/>
      <w:lvlText w:val=""/>
      <w:lvlJc w:val="left"/>
      <w:pPr>
        <w:ind w:left="4482" w:hanging="360"/>
      </w:pPr>
      <w:rPr>
        <w:rFonts w:ascii="Symbol" w:hAnsi="Symbol" w:hint="default"/>
      </w:rPr>
    </w:lvl>
    <w:lvl w:ilvl="4" w:tplc="04090003" w:tentative="1">
      <w:start w:val="1"/>
      <w:numFmt w:val="bullet"/>
      <w:lvlText w:val="o"/>
      <w:lvlJc w:val="left"/>
      <w:pPr>
        <w:ind w:left="5202" w:hanging="360"/>
      </w:pPr>
      <w:rPr>
        <w:rFonts w:ascii="Courier New" w:hAnsi="Courier New" w:cs="Courier New" w:hint="default"/>
      </w:rPr>
    </w:lvl>
    <w:lvl w:ilvl="5" w:tplc="04090005" w:tentative="1">
      <w:start w:val="1"/>
      <w:numFmt w:val="bullet"/>
      <w:lvlText w:val=""/>
      <w:lvlJc w:val="left"/>
      <w:pPr>
        <w:ind w:left="5922" w:hanging="360"/>
      </w:pPr>
      <w:rPr>
        <w:rFonts w:ascii="Wingdings" w:hAnsi="Wingdings" w:hint="default"/>
      </w:rPr>
    </w:lvl>
    <w:lvl w:ilvl="6" w:tplc="04090001" w:tentative="1">
      <w:start w:val="1"/>
      <w:numFmt w:val="bullet"/>
      <w:lvlText w:val=""/>
      <w:lvlJc w:val="left"/>
      <w:pPr>
        <w:ind w:left="6642" w:hanging="360"/>
      </w:pPr>
      <w:rPr>
        <w:rFonts w:ascii="Symbol" w:hAnsi="Symbol" w:hint="default"/>
      </w:rPr>
    </w:lvl>
    <w:lvl w:ilvl="7" w:tplc="04090003" w:tentative="1">
      <w:start w:val="1"/>
      <w:numFmt w:val="bullet"/>
      <w:lvlText w:val="o"/>
      <w:lvlJc w:val="left"/>
      <w:pPr>
        <w:ind w:left="7362" w:hanging="360"/>
      </w:pPr>
      <w:rPr>
        <w:rFonts w:ascii="Courier New" w:hAnsi="Courier New" w:cs="Courier New" w:hint="default"/>
      </w:rPr>
    </w:lvl>
    <w:lvl w:ilvl="8" w:tplc="04090005" w:tentative="1">
      <w:start w:val="1"/>
      <w:numFmt w:val="bullet"/>
      <w:lvlText w:val=""/>
      <w:lvlJc w:val="left"/>
      <w:pPr>
        <w:ind w:left="8082" w:hanging="360"/>
      </w:pPr>
      <w:rPr>
        <w:rFonts w:ascii="Wingdings" w:hAnsi="Wingdings" w:hint="default"/>
      </w:rPr>
    </w:lvl>
  </w:abstractNum>
  <w:abstractNum w:abstractNumId="70" w15:restartNumberingAfterBreak="0">
    <w:nsid w:val="661636DE"/>
    <w:multiLevelType w:val="hybridMultilevel"/>
    <w:tmpl w:val="E17AA3E2"/>
    <w:lvl w:ilvl="0" w:tplc="F33CC898">
      <w:start w:val="1"/>
      <w:numFmt w:val="decimal"/>
      <w:lvlText w:val="%1."/>
      <w:lvlJc w:val="right"/>
      <w:pPr>
        <w:ind w:left="1296" w:hanging="360"/>
      </w:pPr>
      <w:rPr>
        <w:rFonts w:ascii="Arial" w:hAnsi="Arial" w:hint="default"/>
        <w:b w:val="0"/>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1" w15:restartNumberingAfterBreak="0">
    <w:nsid w:val="66337C5B"/>
    <w:multiLevelType w:val="multilevel"/>
    <w:tmpl w:val="7C600AB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suff w:val="space"/>
      <w:lvlText w:val="%1.2.%3.%4."/>
      <w:lvlJc w:val="left"/>
      <w:pPr>
        <w:ind w:left="108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2" w15:restartNumberingAfterBreak="0">
    <w:nsid w:val="665470E7"/>
    <w:multiLevelType w:val="multilevel"/>
    <w:tmpl w:val="38CE7E7C"/>
    <w:lvl w:ilvl="0">
      <w:start w:val="1"/>
      <w:numFmt w:val="decimal"/>
      <w:lvlText w:val="%1."/>
      <w:lvlJc w:val="right"/>
      <w:pPr>
        <w:ind w:left="1080" w:hanging="360"/>
      </w:pPr>
      <w:rPr>
        <w:rFonts w:ascii="Arial" w:hAnsi="Arial" w:hint="default"/>
        <w:b w:val="0"/>
        <w:i w:val="0"/>
        <w:strike w:val="0"/>
        <w:color w:val="000000" w:themeColor="text1"/>
        <w:sz w:val="24"/>
        <w:szCs w:val="24"/>
      </w:rPr>
    </w:lvl>
    <w:lvl w:ilvl="1">
      <w:start w:val="2"/>
      <w:numFmt w:val="decimal"/>
      <w:isLgl/>
      <w:lvlText w:val="%1.%2."/>
      <w:lvlJc w:val="left"/>
      <w:pPr>
        <w:ind w:left="1440" w:hanging="720"/>
      </w:pPr>
      <w:rPr>
        <w:rFonts w:hint="default"/>
      </w:rPr>
    </w:lvl>
    <w:lvl w:ilvl="2">
      <w:start w:val="2"/>
      <w:numFmt w:val="decimal"/>
      <w:isLgl/>
      <w:lvlText w:val="%1.%2.%3."/>
      <w:lvlJc w:val="left"/>
      <w:pPr>
        <w:ind w:left="1800" w:hanging="1080"/>
      </w:pPr>
      <w:rPr>
        <w:rFonts w:hint="default"/>
      </w:rPr>
    </w:lvl>
    <w:lvl w:ilvl="3">
      <w:start w:val="1"/>
      <w:numFmt w:val="decimal"/>
      <w:isLgl/>
      <w:suff w:val="space"/>
      <w:lvlText w:val="4.2.2.%4."/>
      <w:lvlJc w:val="left"/>
      <w:pPr>
        <w:ind w:left="331" w:hanging="144"/>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73" w15:restartNumberingAfterBreak="0">
    <w:nsid w:val="66FF13CC"/>
    <w:multiLevelType w:val="hybridMultilevel"/>
    <w:tmpl w:val="4B88155C"/>
    <w:lvl w:ilvl="0" w:tplc="F33CC898">
      <w:start w:val="1"/>
      <w:numFmt w:val="decimal"/>
      <w:lvlText w:val="%1."/>
      <w:lvlJc w:val="right"/>
      <w:pPr>
        <w:ind w:left="1296" w:hanging="360"/>
      </w:pPr>
      <w:rPr>
        <w:rFonts w:ascii="Arial" w:hAnsi="Arial" w:hint="default"/>
        <w:b w:val="0"/>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4" w15:restartNumberingAfterBreak="0">
    <w:nsid w:val="67573088"/>
    <w:multiLevelType w:val="hybridMultilevel"/>
    <w:tmpl w:val="34D8A12A"/>
    <w:lvl w:ilvl="0" w:tplc="F5FC48A0">
      <w:start w:val="1"/>
      <w:numFmt w:val="decimal"/>
      <w:lvlText w:val="%1."/>
      <w:lvlJc w:val="right"/>
      <w:pPr>
        <w:ind w:left="720" w:hanging="360"/>
      </w:pPr>
      <w:rPr>
        <w:rFonts w:ascii="Arial" w:eastAsia="SimSun" w:hAnsi="Arial" w:cs="Arial" w:hint="default"/>
        <w:sz w:val="24"/>
      </w:r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4E2574"/>
    <w:multiLevelType w:val="multilevel"/>
    <w:tmpl w:val="AC3E5B54"/>
    <w:lvl w:ilvl="0">
      <w:start w:val="6"/>
      <w:numFmt w:val="decimal"/>
      <w:suff w:val="space"/>
      <w:lvlText w:val="Chapter %1:"/>
      <w:lvlJc w:val="left"/>
      <w:pPr>
        <w:ind w:left="360" w:hanging="360"/>
      </w:pPr>
      <w:rPr>
        <w:rFonts w:hint="default"/>
      </w:rPr>
    </w:lvl>
    <w:lvl w:ilvl="1">
      <w:start w:val="2"/>
      <w:numFmt w:val="decimal"/>
      <w:suff w:val="space"/>
      <w:lvlText w:val="%1.%2."/>
      <w:lvlJc w:val="left"/>
      <w:pPr>
        <w:ind w:left="0" w:firstLine="0"/>
      </w:pPr>
      <w:rPr>
        <w:rFonts w:hint="default"/>
      </w:rPr>
    </w:lvl>
    <w:lvl w:ilvl="2">
      <w:start w:val="5"/>
      <w:numFmt w:val="decimal"/>
      <w:suff w:val="space"/>
      <w:lvlText w:val="%1.%2.%3."/>
      <w:lvlJc w:val="left"/>
      <w:pPr>
        <w:ind w:left="0" w:firstLine="0"/>
      </w:pPr>
      <w:rPr>
        <w:rFonts w:hint="default"/>
      </w:rPr>
    </w:lvl>
    <w:lvl w:ilvl="3">
      <w:start w:val="1"/>
      <w:numFmt w:val="decimal"/>
      <w:suff w:val="space"/>
      <w:lvlText w:val="%1.%2.%3.%4."/>
      <w:lvlJc w:val="left"/>
      <w:pPr>
        <w:ind w:left="144" w:hanging="14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A1F77EE"/>
    <w:multiLevelType w:val="hybridMultilevel"/>
    <w:tmpl w:val="0FAA2D24"/>
    <w:lvl w:ilvl="0" w:tplc="8D8E0E54">
      <w:start w:val="1"/>
      <w:numFmt w:val="decimal"/>
      <w:lvlText w:val="%1."/>
      <w:lvlJc w:val="left"/>
      <w:pPr>
        <w:ind w:left="1267" w:hanging="360"/>
      </w:pPr>
      <w:rPr>
        <w:rFonts w:ascii="Arial" w:hAnsi="Arial" w:hint="default"/>
        <w:sz w:val="2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7" w15:restartNumberingAfterBreak="0">
    <w:nsid w:val="6A446EBD"/>
    <w:multiLevelType w:val="hybridMultilevel"/>
    <w:tmpl w:val="79504DC6"/>
    <w:lvl w:ilvl="0" w:tplc="BF5E141C">
      <w:start w:val="1"/>
      <w:numFmt w:val="bullet"/>
      <w:lvlText w:val="▪"/>
      <w:lvlJc w:val="left"/>
      <w:pPr>
        <w:tabs>
          <w:tab w:val="num" w:pos="648"/>
        </w:tabs>
        <w:ind w:left="576" w:hanging="144"/>
      </w:pPr>
      <w:rPr>
        <w:rFonts w:ascii="Times New Roman" w:hAnsi="Times New Roman" w:cs="Times New Roman" w:hint="default"/>
        <w:sz w:val="22"/>
        <w:szCs w:val="22"/>
      </w:rPr>
    </w:lvl>
    <w:lvl w:ilvl="1" w:tplc="04090019">
      <w:start w:val="1"/>
      <w:numFmt w:val="bullet"/>
      <w:lvlText w:val="o"/>
      <w:lvlJc w:val="left"/>
      <w:pPr>
        <w:tabs>
          <w:tab w:val="num" w:pos="720"/>
        </w:tabs>
        <w:ind w:left="720" w:hanging="360"/>
      </w:pPr>
      <w:rPr>
        <w:rFonts w:ascii="Symbol" w:hAnsi="Symbol" w:hint="default"/>
        <w:sz w:val="20"/>
        <w:szCs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C3E4854"/>
    <w:multiLevelType w:val="hybridMultilevel"/>
    <w:tmpl w:val="1360C7AC"/>
    <w:lvl w:ilvl="0" w:tplc="A118C010">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9" w15:restartNumberingAfterBreak="0">
    <w:nsid w:val="6C9E42F7"/>
    <w:multiLevelType w:val="hybridMultilevel"/>
    <w:tmpl w:val="15C0AED2"/>
    <w:lvl w:ilvl="0" w:tplc="289AE574">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F514AE3"/>
    <w:multiLevelType w:val="hybridMultilevel"/>
    <w:tmpl w:val="05FAA5FE"/>
    <w:lvl w:ilvl="0" w:tplc="B0B0EFD0">
      <w:start w:val="1"/>
      <w:numFmt w:val="lowerLetter"/>
      <w:lvlText w:val="%1."/>
      <w:lvlJc w:val="left"/>
      <w:pPr>
        <w:ind w:left="33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FB40D7F"/>
    <w:multiLevelType w:val="hybridMultilevel"/>
    <w:tmpl w:val="F58EF2D2"/>
    <w:lvl w:ilvl="0" w:tplc="F048C432">
      <w:start w:val="1"/>
      <w:numFmt w:val="lowerLetter"/>
      <w:lvlText w:val="%1."/>
      <w:lvlJc w:val="left"/>
      <w:pPr>
        <w:ind w:left="360" w:hanging="360"/>
      </w:pPr>
      <w:rPr>
        <w:rFonts w:hint="default"/>
        <w:b w:val="0"/>
        <w:i w:val="0"/>
        <w:strike w:val="0"/>
        <w:color w:val="auto"/>
        <w:sz w:val="20"/>
        <w:szCs w:val="24"/>
      </w:rPr>
    </w:lvl>
    <w:lvl w:ilvl="1" w:tplc="6C80C270">
      <w:numFmt w:val="decimal"/>
      <w:lvlText w:val=""/>
      <w:lvlJc w:val="left"/>
    </w:lvl>
    <w:lvl w:ilvl="2" w:tplc="E490006E">
      <w:numFmt w:val="decimal"/>
      <w:lvlText w:val=""/>
      <w:lvlJc w:val="left"/>
    </w:lvl>
    <w:lvl w:ilvl="3" w:tplc="EFA05130">
      <w:numFmt w:val="decimal"/>
      <w:lvlText w:val=""/>
      <w:lvlJc w:val="left"/>
    </w:lvl>
    <w:lvl w:ilvl="4" w:tplc="227A185E">
      <w:numFmt w:val="decimal"/>
      <w:lvlText w:val=""/>
      <w:lvlJc w:val="left"/>
    </w:lvl>
    <w:lvl w:ilvl="5" w:tplc="228E270C">
      <w:numFmt w:val="decimal"/>
      <w:lvlText w:val=""/>
      <w:lvlJc w:val="left"/>
    </w:lvl>
    <w:lvl w:ilvl="6" w:tplc="3C2CD358">
      <w:numFmt w:val="decimal"/>
      <w:lvlText w:val=""/>
      <w:lvlJc w:val="left"/>
    </w:lvl>
    <w:lvl w:ilvl="7" w:tplc="821AA4FA">
      <w:numFmt w:val="decimal"/>
      <w:lvlText w:val=""/>
      <w:lvlJc w:val="left"/>
    </w:lvl>
    <w:lvl w:ilvl="8" w:tplc="AD8ED166">
      <w:numFmt w:val="decimal"/>
      <w:lvlText w:val=""/>
      <w:lvlJc w:val="left"/>
    </w:lvl>
  </w:abstractNum>
  <w:abstractNum w:abstractNumId="82" w15:restartNumberingAfterBreak="0">
    <w:nsid w:val="723949C3"/>
    <w:multiLevelType w:val="hybridMultilevel"/>
    <w:tmpl w:val="0D7A539C"/>
    <w:lvl w:ilvl="0" w:tplc="BF5E141C">
      <w:start w:val="1"/>
      <w:numFmt w:val="bullet"/>
      <w:lvlText w:val="▪"/>
      <w:lvlJc w:val="left"/>
      <w:pPr>
        <w:tabs>
          <w:tab w:val="num" w:pos="216"/>
        </w:tabs>
        <w:ind w:left="144" w:hanging="144"/>
      </w:pPr>
      <w:rPr>
        <w:rFonts w:ascii="Times New Roman" w:hAnsi="Times New Roman" w:cs="Times New Roman" w:hint="default"/>
        <w:sz w:val="22"/>
        <w:szCs w:val="22"/>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2533D61"/>
    <w:multiLevelType w:val="hybridMultilevel"/>
    <w:tmpl w:val="C6A41450"/>
    <w:lvl w:ilvl="0" w:tplc="879E36CA">
      <w:start w:val="1"/>
      <w:numFmt w:val="bullet"/>
      <w:lvlText w:val="O"/>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27C56E8"/>
    <w:multiLevelType w:val="multilevel"/>
    <w:tmpl w:val="9A52D4A6"/>
    <w:lvl w:ilvl="0">
      <w:start w:val="5"/>
      <w:numFmt w:val="decimal"/>
      <w:suff w:val="space"/>
      <w:lvlText w:val="%1."/>
      <w:lvlJc w:val="left"/>
      <w:pPr>
        <w:ind w:left="360" w:hanging="360"/>
      </w:pPr>
      <w:rPr>
        <w:rFonts w:hint="default"/>
      </w:rPr>
    </w:lvl>
    <w:lvl w:ilvl="1">
      <w:start w:val="1"/>
      <w:numFmt w:val="decimal"/>
      <w:lvlRestart w:val="0"/>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52C6035"/>
    <w:multiLevelType w:val="multilevel"/>
    <w:tmpl w:val="6706EF66"/>
    <w:lvl w:ilvl="0">
      <w:start w:val="1"/>
      <w:numFmt w:val="bullet"/>
      <w:lvlText w:val="o"/>
      <w:lvlJc w:val="left"/>
      <w:pPr>
        <w:tabs>
          <w:tab w:val="num" w:pos="3780"/>
        </w:tabs>
        <w:ind w:left="3780" w:hanging="360"/>
      </w:pPr>
      <w:rPr>
        <w:rFonts w:ascii="Courier New" w:hAnsi="Courier New" w:cs="Courier New" w:hint="default"/>
      </w:rPr>
    </w:lvl>
    <w:lvl w:ilvl="1">
      <w:start w:val="5"/>
      <w:numFmt w:val="decimal"/>
      <w:lvlText w:val="%1.%2"/>
      <w:lvlJc w:val="left"/>
      <w:pPr>
        <w:tabs>
          <w:tab w:val="num" w:pos="2160"/>
        </w:tabs>
        <w:ind w:left="2160" w:hanging="720"/>
      </w:pPr>
      <w:rPr>
        <w:rFonts w:hint="default"/>
      </w:rPr>
    </w:lvl>
    <w:lvl w:ilvl="2">
      <w:start w:val="5"/>
      <w:numFmt w:val="decimal"/>
      <w:lvlText w:val="%1.%2.%3"/>
      <w:lvlJc w:val="left"/>
      <w:pPr>
        <w:tabs>
          <w:tab w:val="num" w:pos="2160"/>
        </w:tabs>
        <w:ind w:left="2160" w:hanging="720"/>
      </w:pPr>
      <w:rPr>
        <w:rFonts w:hint="default"/>
      </w:rPr>
    </w:lvl>
    <w:lvl w:ilvl="3">
      <w:start w:val="6"/>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6" w15:restartNumberingAfterBreak="0">
    <w:nsid w:val="758E1700"/>
    <w:multiLevelType w:val="multilevel"/>
    <w:tmpl w:val="650C08FA"/>
    <w:lvl w:ilvl="0">
      <w:start w:val="1"/>
      <w:numFmt w:val="decimal"/>
      <w:lvlText w:val="%1."/>
      <w:lvlJc w:val="left"/>
      <w:pPr>
        <w:ind w:left="833" w:hanging="360"/>
      </w:pPr>
    </w:lvl>
    <w:lvl w:ilvl="1">
      <w:start w:val="7"/>
      <w:numFmt w:val="decimal"/>
      <w:isLgl/>
      <w:lvlText w:val="%1.%2"/>
      <w:lvlJc w:val="left"/>
      <w:pPr>
        <w:ind w:left="1193" w:hanging="720"/>
      </w:pPr>
      <w:rPr>
        <w:rFonts w:hint="default"/>
      </w:rPr>
    </w:lvl>
    <w:lvl w:ilvl="2">
      <w:start w:val="1"/>
      <w:numFmt w:val="decimal"/>
      <w:isLgl/>
      <w:lvlText w:val="%1.%2.%3"/>
      <w:lvlJc w:val="left"/>
      <w:pPr>
        <w:ind w:left="1193" w:hanging="720"/>
      </w:pPr>
      <w:rPr>
        <w:rFonts w:hint="default"/>
      </w:rPr>
    </w:lvl>
    <w:lvl w:ilvl="3">
      <w:start w:val="1"/>
      <w:numFmt w:val="decimal"/>
      <w:isLgl/>
      <w:lvlText w:val="%1.%2.%3.%4"/>
      <w:lvlJc w:val="left"/>
      <w:pPr>
        <w:ind w:left="1553" w:hanging="1080"/>
      </w:pPr>
      <w:rPr>
        <w:rFonts w:hint="default"/>
      </w:rPr>
    </w:lvl>
    <w:lvl w:ilvl="4">
      <w:start w:val="1"/>
      <w:numFmt w:val="decimal"/>
      <w:isLgl/>
      <w:lvlText w:val="%1.%2.%3.%4.%5"/>
      <w:lvlJc w:val="left"/>
      <w:pPr>
        <w:ind w:left="1553" w:hanging="1080"/>
      </w:pPr>
      <w:rPr>
        <w:rFonts w:hint="default"/>
      </w:rPr>
    </w:lvl>
    <w:lvl w:ilvl="5">
      <w:start w:val="1"/>
      <w:numFmt w:val="decimal"/>
      <w:isLgl/>
      <w:lvlText w:val="%1.%2.%3.%4.%5.%6"/>
      <w:lvlJc w:val="left"/>
      <w:pPr>
        <w:ind w:left="1913" w:hanging="1440"/>
      </w:pPr>
      <w:rPr>
        <w:rFonts w:hint="default"/>
      </w:rPr>
    </w:lvl>
    <w:lvl w:ilvl="6">
      <w:start w:val="1"/>
      <w:numFmt w:val="decimal"/>
      <w:isLgl/>
      <w:lvlText w:val="%1.%2.%3.%4.%5.%6.%7"/>
      <w:lvlJc w:val="left"/>
      <w:pPr>
        <w:ind w:left="2273" w:hanging="1800"/>
      </w:pPr>
      <w:rPr>
        <w:rFonts w:hint="default"/>
      </w:rPr>
    </w:lvl>
    <w:lvl w:ilvl="7">
      <w:start w:val="1"/>
      <w:numFmt w:val="decimal"/>
      <w:isLgl/>
      <w:lvlText w:val="%1.%2.%3.%4.%5.%6.%7.%8"/>
      <w:lvlJc w:val="left"/>
      <w:pPr>
        <w:ind w:left="2273" w:hanging="1800"/>
      </w:pPr>
      <w:rPr>
        <w:rFonts w:hint="default"/>
      </w:rPr>
    </w:lvl>
    <w:lvl w:ilvl="8">
      <w:start w:val="1"/>
      <w:numFmt w:val="decimal"/>
      <w:isLgl/>
      <w:lvlText w:val="%1.%2.%3.%4.%5.%6.%7.%8.%9"/>
      <w:lvlJc w:val="left"/>
      <w:pPr>
        <w:ind w:left="2633" w:hanging="2160"/>
      </w:pPr>
      <w:rPr>
        <w:rFonts w:hint="default"/>
      </w:rPr>
    </w:lvl>
  </w:abstractNum>
  <w:abstractNum w:abstractNumId="87" w15:restartNumberingAfterBreak="0">
    <w:nsid w:val="76C83387"/>
    <w:multiLevelType w:val="hybridMultilevel"/>
    <w:tmpl w:val="E1505956"/>
    <w:lvl w:ilvl="0" w:tplc="BF5E141C">
      <w:start w:val="1"/>
      <w:numFmt w:val="bullet"/>
      <w:lvlText w:val="–"/>
      <w:lvlJc w:val="left"/>
      <w:pPr>
        <w:tabs>
          <w:tab w:val="num" w:pos="562"/>
        </w:tabs>
        <w:ind w:left="562" w:hanging="188"/>
      </w:pPr>
      <w:rPr>
        <w:rFonts w:ascii="Arial" w:hAnsi="Arial" w:hint="default"/>
        <w:sz w:val="24"/>
        <w:szCs w:val="22"/>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88" w15:restartNumberingAfterBreak="0">
    <w:nsid w:val="7B1E7EE7"/>
    <w:multiLevelType w:val="hybridMultilevel"/>
    <w:tmpl w:val="5F523A84"/>
    <w:lvl w:ilvl="0" w:tplc="CF628D02">
      <w:start w:val="1"/>
      <w:numFmt w:val="bullet"/>
      <w:pStyle w:val="bulletsIndented"/>
      <w:lvlText w:val=""/>
      <w:lvlJc w:val="left"/>
      <w:pPr>
        <w:ind w:left="1584" w:hanging="360"/>
      </w:pPr>
      <w:rPr>
        <w:rFonts w:ascii="Symbol" w:hAnsi="Symbol" w:hint="default"/>
        <w:sz w:val="24"/>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9" w15:restartNumberingAfterBreak="0">
    <w:nsid w:val="7D6C6588"/>
    <w:multiLevelType w:val="hybridMultilevel"/>
    <w:tmpl w:val="7AB01DC4"/>
    <w:lvl w:ilvl="0" w:tplc="CFEE87F4">
      <w:start w:val="1"/>
      <w:numFmt w:val="bullet"/>
      <w:lvlText w:val=""/>
      <w:lvlJc w:val="left"/>
      <w:pPr>
        <w:tabs>
          <w:tab w:val="num" w:pos="1080"/>
        </w:tabs>
        <w:ind w:left="108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E5306CA"/>
    <w:multiLevelType w:val="hybridMultilevel"/>
    <w:tmpl w:val="0F4AD594"/>
    <w:lvl w:ilvl="0" w:tplc="6C627444">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FEC66AA"/>
    <w:multiLevelType w:val="hybridMultilevel"/>
    <w:tmpl w:val="C1CEB584"/>
    <w:lvl w:ilvl="0" w:tplc="13E804F4">
      <w:start w:val="1"/>
      <w:numFmt w:val="bullet"/>
      <w:lvlText w:val=""/>
      <w:lvlJc w:val="left"/>
      <w:pPr>
        <w:ind w:left="937" w:hanging="360"/>
      </w:pPr>
      <w:rPr>
        <w:rFonts w:ascii="Symbol" w:hAnsi="Symbol" w:hint="default"/>
        <w:sz w:val="24"/>
        <w:szCs w:val="22"/>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num w:numId="1" w16cid:durableId="154155545">
    <w:abstractNumId w:val="85"/>
  </w:num>
  <w:num w:numId="2" w16cid:durableId="623779040">
    <w:abstractNumId w:val="29"/>
  </w:num>
  <w:num w:numId="3" w16cid:durableId="1692218403">
    <w:abstractNumId w:val="62"/>
  </w:num>
  <w:num w:numId="4" w16cid:durableId="1036662783">
    <w:abstractNumId w:val="38"/>
  </w:num>
  <w:num w:numId="5" w16cid:durableId="495732551">
    <w:abstractNumId w:val="18"/>
  </w:num>
  <w:num w:numId="6" w16cid:durableId="728378076">
    <w:abstractNumId w:val="65"/>
  </w:num>
  <w:num w:numId="7" w16cid:durableId="1783767669">
    <w:abstractNumId w:val="69"/>
  </w:num>
  <w:num w:numId="8" w16cid:durableId="2042902227">
    <w:abstractNumId w:val="16"/>
  </w:num>
  <w:num w:numId="9" w16cid:durableId="1754860296">
    <w:abstractNumId w:val="61"/>
  </w:num>
  <w:num w:numId="10" w16cid:durableId="1305893758">
    <w:abstractNumId w:val="67"/>
  </w:num>
  <w:num w:numId="11" w16cid:durableId="1348213210">
    <w:abstractNumId w:val="13"/>
  </w:num>
  <w:num w:numId="12" w16cid:durableId="1079520720">
    <w:abstractNumId w:val="34"/>
  </w:num>
  <w:num w:numId="13" w16cid:durableId="530412603">
    <w:abstractNumId w:val="17"/>
  </w:num>
  <w:num w:numId="14" w16cid:durableId="1574898177">
    <w:abstractNumId w:val="9"/>
  </w:num>
  <w:num w:numId="15" w16cid:durableId="1710569873">
    <w:abstractNumId w:val="56"/>
  </w:num>
  <w:num w:numId="16" w16cid:durableId="1531645039">
    <w:abstractNumId w:val="39"/>
  </w:num>
  <w:num w:numId="17" w16cid:durableId="1204514060">
    <w:abstractNumId w:val="28"/>
  </w:num>
  <w:num w:numId="18" w16cid:durableId="846676769">
    <w:abstractNumId w:val="72"/>
  </w:num>
  <w:num w:numId="19" w16cid:durableId="257910732">
    <w:abstractNumId w:val="42"/>
  </w:num>
  <w:num w:numId="20" w16cid:durableId="1701930492">
    <w:abstractNumId w:val="57"/>
  </w:num>
  <w:num w:numId="21" w16cid:durableId="552814206">
    <w:abstractNumId w:val="50"/>
  </w:num>
  <w:num w:numId="22" w16cid:durableId="1976251692">
    <w:abstractNumId w:val="66"/>
  </w:num>
  <w:num w:numId="23" w16cid:durableId="1433553004">
    <w:abstractNumId w:val="11"/>
  </w:num>
  <w:num w:numId="24" w16cid:durableId="954025486">
    <w:abstractNumId w:val="26"/>
  </w:num>
  <w:num w:numId="25" w16cid:durableId="9909803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0122122">
    <w:abstractNumId w:val="59"/>
  </w:num>
  <w:num w:numId="27" w16cid:durableId="1684748700">
    <w:abstractNumId w:val="41"/>
  </w:num>
  <w:num w:numId="28" w16cid:durableId="485706012">
    <w:abstractNumId w:val="78"/>
  </w:num>
  <w:num w:numId="29" w16cid:durableId="1541698735">
    <w:abstractNumId w:val="63"/>
  </w:num>
  <w:num w:numId="30" w16cid:durableId="2007245701">
    <w:abstractNumId w:val="7"/>
  </w:num>
  <w:num w:numId="31" w16cid:durableId="1269849494">
    <w:abstractNumId w:val="6"/>
  </w:num>
  <w:num w:numId="32" w16cid:durableId="663969100">
    <w:abstractNumId w:val="0"/>
  </w:num>
  <w:num w:numId="33" w16cid:durableId="33582406">
    <w:abstractNumId w:val="68"/>
  </w:num>
  <w:num w:numId="34" w16cid:durableId="2120681009">
    <w:abstractNumId w:val="5"/>
  </w:num>
  <w:num w:numId="35" w16cid:durableId="231813731">
    <w:abstractNumId w:val="46"/>
  </w:num>
  <w:num w:numId="36" w16cid:durableId="2038003428">
    <w:abstractNumId w:val="84"/>
  </w:num>
  <w:num w:numId="37" w16cid:durableId="93519895">
    <w:abstractNumId w:val="45"/>
  </w:num>
  <w:num w:numId="38" w16cid:durableId="1580939231">
    <w:abstractNumId w:val="32"/>
  </w:num>
  <w:num w:numId="39" w16cid:durableId="1386835938">
    <w:abstractNumId w:val="64"/>
  </w:num>
  <w:num w:numId="40" w16cid:durableId="178735943">
    <w:abstractNumId w:val="51"/>
  </w:num>
  <w:num w:numId="41" w16cid:durableId="54084235">
    <w:abstractNumId w:val="3"/>
  </w:num>
  <w:num w:numId="42" w16cid:durableId="433747632">
    <w:abstractNumId w:val="75"/>
  </w:num>
  <w:num w:numId="43" w16cid:durableId="2079204027">
    <w:abstractNumId w:val="15"/>
  </w:num>
  <w:num w:numId="44" w16cid:durableId="289361404">
    <w:abstractNumId w:val="87"/>
  </w:num>
  <w:num w:numId="45" w16cid:durableId="1186098478">
    <w:abstractNumId w:val="40"/>
  </w:num>
  <w:num w:numId="46" w16cid:durableId="408044271">
    <w:abstractNumId w:val="24"/>
  </w:num>
  <w:num w:numId="47" w16cid:durableId="1974408798">
    <w:abstractNumId w:val="23"/>
  </w:num>
  <w:num w:numId="48" w16cid:durableId="1421025761">
    <w:abstractNumId w:val="83"/>
  </w:num>
  <w:num w:numId="49" w16cid:durableId="1250892312">
    <w:abstractNumId w:val="47"/>
  </w:num>
  <w:num w:numId="50" w16cid:durableId="1546866700">
    <w:abstractNumId w:val="76"/>
  </w:num>
  <w:num w:numId="51" w16cid:durableId="367099160">
    <w:abstractNumId w:val="52"/>
  </w:num>
  <w:num w:numId="52" w16cid:durableId="969433690">
    <w:abstractNumId w:val="81"/>
  </w:num>
  <w:num w:numId="53" w16cid:durableId="1912344685">
    <w:abstractNumId w:val="21"/>
  </w:num>
  <w:num w:numId="54" w16cid:durableId="197939412">
    <w:abstractNumId w:val="25"/>
  </w:num>
  <w:num w:numId="55" w16cid:durableId="40373417">
    <w:abstractNumId w:val="54"/>
  </w:num>
  <w:num w:numId="56" w16cid:durableId="666977241">
    <w:abstractNumId w:val="60"/>
  </w:num>
  <w:num w:numId="57" w16cid:durableId="1220440042">
    <w:abstractNumId w:val="82"/>
  </w:num>
  <w:num w:numId="58" w16cid:durableId="1475030072">
    <w:abstractNumId w:val="77"/>
  </w:num>
  <w:num w:numId="59" w16cid:durableId="482820776">
    <w:abstractNumId w:val="8"/>
  </w:num>
  <w:num w:numId="60" w16cid:durableId="1718092663">
    <w:abstractNumId w:val="22"/>
  </w:num>
  <w:num w:numId="61" w16cid:durableId="125052742">
    <w:abstractNumId w:val="86"/>
  </w:num>
  <w:num w:numId="62" w16cid:durableId="2106220469">
    <w:abstractNumId w:val="43"/>
  </w:num>
  <w:num w:numId="63" w16cid:durableId="2081251956">
    <w:abstractNumId w:val="1"/>
  </w:num>
  <w:num w:numId="64" w16cid:durableId="726925554">
    <w:abstractNumId w:val="71"/>
  </w:num>
  <w:num w:numId="65" w16cid:durableId="697973213">
    <w:abstractNumId w:val="79"/>
  </w:num>
  <w:num w:numId="66" w16cid:durableId="1242718908">
    <w:abstractNumId w:val="80"/>
  </w:num>
  <w:num w:numId="67" w16cid:durableId="922296126">
    <w:abstractNumId w:val="55"/>
    <w:lvlOverride w:ilvl="0">
      <w:lvl w:ilvl="0">
        <w:start w:val="1"/>
        <w:numFmt w:val="decimal"/>
        <w:pStyle w:val="Heading2"/>
        <w:suff w:val="space"/>
        <w:lvlText w:val="Chapter %1:"/>
        <w:lvlJc w:val="left"/>
        <w:pPr>
          <w:ind w:left="360" w:hanging="360"/>
        </w:pPr>
        <w:rPr>
          <w:rFonts w:hint="default"/>
        </w:rPr>
      </w:lvl>
    </w:lvlOverride>
    <w:lvlOverride w:ilvl="1">
      <w:lvl w:ilvl="1">
        <w:start w:val="1"/>
        <w:numFmt w:val="decimal"/>
        <w:pStyle w:val="Heading3"/>
        <w:suff w:val="space"/>
        <w:lvlText w:val="%1.%2."/>
        <w:lvlJc w:val="left"/>
        <w:pPr>
          <w:ind w:left="450" w:hanging="450"/>
        </w:pPr>
        <w:rPr>
          <w:rFonts w:hint="default"/>
        </w:rPr>
      </w:lvl>
    </w:lvlOverride>
    <w:lvlOverride w:ilvl="2">
      <w:lvl w:ilvl="2">
        <w:start w:val="1"/>
        <w:numFmt w:val="decimal"/>
        <w:pStyle w:val="Heading4"/>
        <w:suff w:val="space"/>
        <w:lvlText w:val="%1.%2.%3."/>
        <w:lvlJc w:val="left"/>
        <w:pPr>
          <w:ind w:left="900" w:hanging="900"/>
        </w:pPr>
        <w:rPr>
          <w:rFonts w:hint="default"/>
        </w:rPr>
      </w:lvl>
    </w:lvlOverride>
    <w:lvlOverride w:ilvl="3">
      <w:lvl w:ilvl="3">
        <w:start w:val="1"/>
        <w:numFmt w:val="decimal"/>
        <w:pStyle w:val="Heading5"/>
        <w:suff w:val="space"/>
        <w:lvlText w:val="%1.%2.%3.%4."/>
        <w:lvlJc w:val="left"/>
        <w:pPr>
          <w:ind w:left="1080" w:hanging="936"/>
        </w:pPr>
        <w:rPr>
          <w:rFonts w:hint="default"/>
          <w:b/>
          <w:i w:val="0"/>
        </w:rPr>
      </w:lvl>
    </w:lvlOverride>
    <w:lvlOverride w:ilvl="4">
      <w:lvl w:ilvl="4">
        <w:start w:val="1"/>
        <w:numFmt w:val="decimal"/>
        <w:pStyle w:val="Heading6"/>
        <w:suff w:val="space"/>
        <w:lvlText w:val="%1.%2.%3.%4.%5."/>
        <w:lvlJc w:val="left"/>
        <w:pPr>
          <w:ind w:left="810" w:hanging="720"/>
        </w:pPr>
        <w:rPr>
          <w:rFonts w:ascii="Arial Bold" w:hAnsi="Arial Bold" w:hint="default"/>
          <w:b/>
          <w:i/>
          <w:sz w:val="24"/>
        </w:rPr>
      </w:lvl>
    </w:lvlOverride>
    <w:lvlOverride w:ilvl="5">
      <w:lvl w:ilvl="5">
        <w:start w:val="1"/>
        <w:numFmt w:val="decimal"/>
        <w:suff w:val="space"/>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8" w16cid:durableId="572200374">
    <w:abstractNumId w:val="58"/>
  </w:num>
  <w:num w:numId="69" w16cid:durableId="1201169625">
    <w:abstractNumId w:val="49"/>
  </w:num>
  <w:num w:numId="70" w16cid:durableId="1697657001">
    <w:abstractNumId w:val="12"/>
  </w:num>
  <w:num w:numId="71" w16cid:durableId="460000791">
    <w:abstractNumId w:val="12"/>
    <w:lvlOverride w:ilvl="0">
      <w:startOverride w:val="1"/>
    </w:lvlOverride>
  </w:num>
  <w:num w:numId="72" w16cid:durableId="370306285">
    <w:abstractNumId w:val="70"/>
  </w:num>
  <w:num w:numId="73" w16cid:durableId="322972439">
    <w:abstractNumId w:val="12"/>
    <w:lvlOverride w:ilvl="0">
      <w:startOverride w:val="1"/>
    </w:lvlOverride>
  </w:num>
  <w:num w:numId="74" w16cid:durableId="141044300">
    <w:abstractNumId w:val="10"/>
  </w:num>
  <w:num w:numId="75" w16cid:durableId="97216203">
    <w:abstractNumId w:val="70"/>
    <w:lvlOverride w:ilvl="0">
      <w:startOverride w:val="1"/>
    </w:lvlOverride>
  </w:num>
  <w:num w:numId="76" w16cid:durableId="565923307">
    <w:abstractNumId w:val="12"/>
    <w:lvlOverride w:ilvl="0">
      <w:startOverride w:val="1"/>
    </w:lvlOverride>
  </w:num>
  <w:num w:numId="77" w16cid:durableId="366611476">
    <w:abstractNumId w:val="36"/>
  </w:num>
  <w:num w:numId="78" w16cid:durableId="541600789">
    <w:abstractNumId w:val="2"/>
  </w:num>
  <w:num w:numId="79" w16cid:durableId="264267889">
    <w:abstractNumId w:val="37"/>
  </w:num>
  <w:num w:numId="80" w16cid:durableId="1863780805">
    <w:abstractNumId w:val="31"/>
  </w:num>
  <w:num w:numId="81" w16cid:durableId="1572471385">
    <w:abstractNumId w:val="20"/>
  </w:num>
  <w:num w:numId="82" w16cid:durableId="523981833">
    <w:abstractNumId w:val="90"/>
  </w:num>
  <w:num w:numId="83" w16cid:durableId="251400306">
    <w:abstractNumId w:val="48"/>
  </w:num>
  <w:num w:numId="84" w16cid:durableId="211309461">
    <w:abstractNumId w:val="91"/>
  </w:num>
  <w:num w:numId="85" w16cid:durableId="220679473">
    <w:abstractNumId w:val="30"/>
  </w:num>
  <w:num w:numId="86" w16cid:durableId="337199979">
    <w:abstractNumId w:val="19"/>
  </w:num>
  <w:num w:numId="87" w16cid:durableId="1711301225">
    <w:abstractNumId w:val="74"/>
  </w:num>
  <w:num w:numId="88" w16cid:durableId="165170972">
    <w:abstractNumId w:val="73"/>
  </w:num>
  <w:num w:numId="89" w16cid:durableId="2068609101">
    <w:abstractNumId w:val="44"/>
  </w:num>
  <w:num w:numId="90" w16cid:durableId="865603752">
    <w:abstractNumId w:val="18"/>
  </w:num>
  <w:num w:numId="91" w16cid:durableId="2092660349">
    <w:abstractNumId w:val="53"/>
  </w:num>
  <w:num w:numId="92" w16cid:durableId="988558592">
    <w:abstractNumId w:val="89"/>
  </w:num>
  <w:num w:numId="93" w16cid:durableId="2070570655">
    <w:abstractNumId w:val="27"/>
  </w:num>
  <w:num w:numId="94" w16cid:durableId="483005769">
    <w:abstractNumId w:val="14"/>
  </w:num>
  <w:num w:numId="95" w16cid:durableId="7409648">
    <w:abstractNumId w:val="88"/>
  </w:num>
  <w:num w:numId="96" w16cid:durableId="1299647084">
    <w:abstractNumId w:val="4"/>
  </w:num>
  <w:num w:numId="97" w16cid:durableId="2130582258">
    <w:abstractNumId w:val="55"/>
    <w:lvlOverride w:ilvl="0">
      <w:lvl w:ilvl="0">
        <w:start w:val="1"/>
        <w:numFmt w:val="decimal"/>
        <w:pStyle w:val="Heading2"/>
        <w:suff w:val="space"/>
        <w:lvlText w:val="Chapter %1:"/>
        <w:lvlJc w:val="left"/>
        <w:pPr>
          <w:ind w:left="360" w:hanging="360"/>
        </w:pPr>
        <w:rPr>
          <w:rFonts w:hint="default"/>
        </w:rPr>
      </w:lvl>
    </w:lvlOverride>
    <w:lvlOverride w:ilvl="1">
      <w:lvl w:ilvl="1">
        <w:start w:val="1"/>
        <w:numFmt w:val="decimal"/>
        <w:pStyle w:val="Heading3"/>
        <w:suff w:val="space"/>
        <w:lvlText w:val="%1.%2."/>
        <w:lvlJc w:val="left"/>
        <w:pPr>
          <w:ind w:left="450" w:hanging="450"/>
        </w:pPr>
        <w:rPr>
          <w:rFonts w:hint="default"/>
        </w:rPr>
      </w:lvl>
    </w:lvlOverride>
    <w:lvlOverride w:ilvl="2">
      <w:lvl w:ilvl="2">
        <w:start w:val="1"/>
        <w:numFmt w:val="decimal"/>
        <w:pStyle w:val="Heading4"/>
        <w:suff w:val="space"/>
        <w:lvlText w:val="%1.%2.%3."/>
        <w:lvlJc w:val="left"/>
        <w:pPr>
          <w:ind w:left="900" w:hanging="900"/>
        </w:pPr>
        <w:rPr>
          <w:rFonts w:hint="default"/>
        </w:rPr>
      </w:lvl>
    </w:lvlOverride>
    <w:lvlOverride w:ilvl="3">
      <w:lvl w:ilvl="3">
        <w:start w:val="1"/>
        <w:numFmt w:val="decimal"/>
        <w:pStyle w:val="Heading5"/>
        <w:suff w:val="space"/>
        <w:lvlText w:val="%1.%2.%3.%4."/>
        <w:lvlJc w:val="left"/>
        <w:pPr>
          <w:ind w:left="1080" w:hanging="936"/>
        </w:pPr>
        <w:rPr>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pStyle w:val="Heading6"/>
        <w:suff w:val="space"/>
        <w:lvlText w:val="%1.%2.%3.%4.%5."/>
        <w:lvlJc w:val="left"/>
        <w:pPr>
          <w:ind w:left="810" w:hanging="720"/>
        </w:pPr>
        <w:rPr>
          <w:rFonts w:ascii="Arial Bold" w:hAnsi="Arial Bold" w:hint="default"/>
          <w:b/>
          <w:i/>
          <w:sz w:val="24"/>
        </w:rPr>
      </w:lvl>
    </w:lvlOverride>
    <w:lvlOverride w:ilvl="5">
      <w:lvl w:ilvl="5">
        <w:start w:val="1"/>
        <w:numFmt w:val="decimal"/>
        <w:suff w:val="space"/>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8" w16cid:durableId="9572706">
    <w:abstractNumId w:val="55"/>
    <w:lvlOverride w:ilvl="0">
      <w:lvl w:ilvl="0">
        <w:start w:val="1"/>
        <w:numFmt w:val="decimal"/>
        <w:pStyle w:val="Heading2"/>
        <w:suff w:val="space"/>
        <w:lvlText w:val="Chapter %1:"/>
        <w:lvlJc w:val="left"/>
        <w:pPr>
          <w:ind w:left="360" w:hanging="360"/>
        </w:pPr>
        <w:rPr>
          <w:rFonts w:hint="default"/>
        </w:rPr>
      </w:lvl>
    </w:lvlOverride>
    <w:lvlOverride w:ilvl="1">
      <w:lvl w:ilvl="1">
        <w:start w:val="1"/>
        <w:numFmt w:val="decimal"/>
        <w:pStyle w:val="Heading3"/>
        <w:suff w:val="space"/>
        <w:lvlText w:val="%1.%2."/>
        <w:lvlJc w:val="left"/>
        <w:pPr>
          <w:ind w:left="450" w:hanging="450"/>
        </w:pPr>
        <w:rPr>
          <w:rFonts w:hint="default"/>
        </w:rPr>
      </w:lvl>
    </w:lvlOverride>
    <w:lvlOverride w:ilvl="2">
      <w:lvl w:ilvl="2">
        <w:start w:val="1"/>
        <w:numFmt w:val="decimal"/>
        <w:pStyle w:val="Heading4"/>
        <w:suff w:val="space"/>
        <w:lvlText w:val="%1.%2.%3."/>
        <w:lvlJc w:val="left"/>
        <w:pPr>
          <w:ind w:left="900" w:hanging="900"/>
        </w:pPr>
        <w:rPr>
          <w:rFonts w:hint="default"/>
        </w:rPr>
      </w:lvl>
    </w:lvlOverride>
    <w:lvlOverride w:ilvl="3">
      <w:lvl w:ilvl="3">
        <w:start w:val="1"/>
        <w:numFmt w:val="decimal"/>
        <w:pStyle w:val="Heading5"/>
        <w:suff w:val="space"/>
        <w:lvlText w:val="%1.%2.%3.%4."/>
        <w:lvlJc w:val="left"/>
        <w:pPr>
          <w:ind w:left="1080" w:hanging="936"/>
        </w:pPr>
        <w:rPr>
          <w:rFonts w:hint="default"/>
          <w:b/>
          <w:i w:val="0"/>
        </w:rPr>
      </w:lvl>
    </w:lvlOverride>
    <w:lvlOverride w:ilvl="4">
      <w:lvl w:ilvl="4">
        <w:start w:val="1"/>
        <w:numFmt w:val="decimal"/>
        <w:pStyle w:val="Heading6"/>
        <w:suff w:val="space"/>
        <w:lvlText w:val="%1.%2.%3.%4.%5."/>
        <w:lvlJc w:val="left"/>
        <w:pPr>
          <w:ind w:left="810" w:hanging="720"/>
        </w:pPr>
        <w:rPr>
          <w:rFonts w:ascii="Arial Bold" w:hAnsi="Arial Bold" w:hint="default"/>
          <w:b/>
          <w:i/>
          <w:sz w:val="24"/>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9" w16cid:durableId="1081803085">
    <w:abstractNumId w:val="35"/>
  </w:num>
  <w:num w:numId="100" w16cid:durableId="1752265073">
    <w:abstractNumId w:val="59"/>
    <w:lvlOverride w:ilvl="0">
      <w:startOverride w:val="1"/>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F1"/>
    <w:rsid w:val="00000162"/>
    <w:rsid w:val="00000C11"/>
    <w:rsid w:val="000020DF"/>
    <w:rsid w:val="00002550"/>
    <w:rsid w:val="00002CB7"/>
    <w:rsid w:val="00002CE0"/>
    <w:rsid w:val="000030ED"/>
    <w:rsid w:val="0000414C"/>
    <w:rsid w:val="000052C1"/>
    <w:rsid w:val="00005A20"/>
    <w:rsid w:val="00005A4D"/>
    <w:rsid w:val="00005B34"/>
    <w:rsid w:val="00005B80"/>
    <w:rsid w:val="0000648D"/>
    <w:rsid w:val="000064AA"/>
    <w:rsid w:val="00006B26"/>
    <w:rsid w:val="0000752B"/>
    <w:rsid w:val="00007A76"/>
    <w:rsid w:val="00010905"/>
    <w:rsid w:val="00010A4D"/>
    <w:rsid w:val="00010C34"/>
    <w:rsid w:val="00010DB6"/>
    <w:rsid w:val="000110EB"/>
    <w:rsid w:val="00011325"/>
    <w:rsid w:val="00011868"/>
    <w:rsid w:val="00011B86"/>
    <w:rsid w:val="00012009"/>
    <w:rsid w:val="000125FB"/>
    <w:rsid w:val="00012888"/>
    <w:rsid w:val="0001288E"/>
    <w:rsid w:val="00013611"/>
    <w:rsid w:val="00013757"/>
    <w:rsid w:val="00013E60"/>
    <w:rsid w:val="00014384"/>
    <w:rsid w:val="000148D8"/>
    <w:rsid w:val="00014E62"/>
    <w:rsid w:val="00014FBA"/>
    <w:rsid w:val="0001516C"/>
    <w:rsid w:val="000151F1"/>
    <w:rsid w:val="0001665A"/>
    <w:rsid w:val="000168C6"/>
    <w:rsid w:val="0001718D"/>
    <w:rsid w:val="000174E4"/>
    <w:rsid w:val="00017985"/>
    <w:rsid w:val="000209B4"/>
    <w:rsid w:val="00020CD3"/>
    <w:rsid w:val="00020DB0"/>
    <w:rsid w:val="00020E18"/>
    <w:rsid w:val="00020E22"/>
    <w:rsid w:val="00020E78"/>
    <w:rsid w:val="00021207"/>
    <w:rsid w:val="00021A13"/>
    <w:rsid w:val="00022AD0"/>
    <w:rsid w:val="000231C7"/>
    <w:rsid w:val="000231E6"/>
    <w:rsid w:val="0002344F"/>
    <w:rsid w:val="000234E6"/>
    <w:rsid w:val="00023F4D"/>
    <w:rsid w:val="00023FEE"/>
    <w:rsid w:val="0002435C"/>
    <w:rsid w:val="00024D05"/>
    <w:rsid w:val="00024DD0"/>
    <w:rsid w:val="00024E15"/>
    <w:rsid w:val="0002561C"/>
    <w:rsid w:val="00025988"/>
    <w:rsid w:val="00025EDB"/>
    <w:rsid w:val="00026260"/>
    <w:rsid w:val="00026785"/>
    <w:rsid w:val="000269B0"/>
    <w:rsid w:val="00026FEF"/>
    <w:rsid w:val="00027A04"/>
    <w:rsid w:val="00027B2E"/>
    <w:rsid w:val="00027E5C"/>
    <w:rsid w:val="00030039"/>
    <w:rsid w:val="00030F81"/>
    <w:rsid w:val="000313A2"/>
    <w:rsid w:val="00031509"/>
    <w:rsid w:val="0003232C"/>
    <w:rsid w:val="0003369F"/>
    <w:rsid w:val="000336E2"/>
    <w:rsid w:val="00033EF1"/>
    <w:rsid w:val="000344F0"/>
    <w:rsid w:val="00034A5A"/>
    <w:rsid w:val="00034C3D"/>
    <w:rsid w:val="00035491"/>
    <w:rsid w:val="00035C6C"/>
    <w:rsid w:val="000365A0"/>
    <w:rsid w:val="00036A97"/>
    <w:rsid w:val="00037117"/>
    <w:rsid w:val="0003763D"/>
    <w:rsid w:val="00037AAE"/>
    <w:rsid w:val="00037B78"/>
    <w:rsid w:val="00037BF5"/>
    <w:rsid w:val="00037C0F"/>
    <w:rsid w:val="00037E98"/>
    <w:rsid w:val="00041DBA"/>
    <w:rsid w:val="00041FB9"/>
    <w:rsid w:val="00042224"/>
    <w:rsid w:val="00042BE2"/>
    <w:rsid w:val="00042E7A"/>
    <w:rsid w:val="00043935"/>
    <w:rsid w:val="00043E4A"/>
    <w:rsid w:val="00043F2E"/>
    <w:rsid w:val="000440AF"/>
    <w:rsid w:val="00044204"/>
    <w:rsid w:val="00044B2F"/>
    <w:rsid w:val="00044E8D"/>
    <w:rsid w:val="000451E7"/>
    <w:rsid w:val="00045AAF"/>
    <w:rsid w:val="00045EF1"/>
    <w:rsid w:val="00046470"/>
    <w:rsid w:val="0004693C"/>
    <w:rsid w:val="0004767B"/>
    <w:rsid w:val="000477CA"/>
    <w:rsid w:val="0004798D"/>
    <w:rsid w:val="00050428"/>
    <w:rsid w:val="000504F8"/>
    <w:rsid w:val="00050B3A"/>
    <w:rsid w:val="00050FF2"/>
    <w:rsid w:val="00051585"/>
    <w:rsid w:val="00051F35"/>
    <w:rsid w:val="00052DE9"/>
    <w:rsid w:val="00053C1D"/>
    <w:rsid w:val="00053C2B"/>
    <w:rsid w:val="00054A45"/>
    <w:rsid w:val="000550ED"/>
    <w:rsid w:val="00055964"/>
    <w:rsid w:val="00055AFE"/>
    <w:rsid w:val="00055CA9"/>
    <w:rsid w:val="000560C6"/>
    <w:rsid w:val="000561A5"/>
    <w:rsid w:val="000562FE"/>
    <w:rsid w:val="000572DE"/>
    <w:rsid w:val="000573D4"/>
    <w:rsid w:val="000575DE"/>
    <w:rsid w:val="0006084B"/>
    <w:rsid w:val="00060A8A"/>
    <w:rsid w:val="0006119E"/>
    <w:rsid w:val="000616DD"/>
    <w:rsid w:val="00061ED0"/>
    <w:rsid w:val="000622D8"/>
    <w:rsid w:val="0006318A"/>
    <w:rsid w:val="00063342"/>
    <w:rsid w:val="00063938"/>
    <w:rsid w:val="0006405F"/>
    <w:rsid w:val="00064954"/>
    <w:rsid w:val="00064E2E"/>
    <w:rsid w:val="00065210"/>
    <w:rsid w:val="000656C7"/>
    <w:rsid w:val="00065AB7"/>
    <w:rsid w:val="000708C2"/>
    <w:rsid w:val="000713AF"/>
    <w:rsid w:val="000724E9"/>
    <w:rsid w:val="00072876"/>
    <w:rsid w:val="00072F74"/>
    <w:rsid w:val="0007391F"/>
    <w:rsid w:val="00073BEE"/>
    <w:rsid w:val="00073E58"/>
    <w:rsid w:val="0007470A"/>
    <w:rsid w:val="0007580B"/>
    <w:rsid w:val="00075CF4"/>
    <w:rsid w:val="00080A24"/>
    <w:rsid w:val="000811CC"/>
    <w:rsid w:val="00081557"/>
    <w:rsid w:val="00081C1C"/>
    <w:rsid w:val="00081E9D"/>
    <w:rsid w:val="00082603"/>
    <w:rsid w:val="00082A68"/>
    <w:rsid w:val="00082F22"/>
    <w:rsid w:val="000835AB"/>
    <w:rsid w:val="0008385D"/>
    <w:rsid w:val="00083B8E"/>
    <w:rsid w:val="00083EFF"/>
    <w:rsid w:val="000847B2"/>
    <w:rsid w:val="000847F4"/>
    <w:rsid w:val="00084DCA"/>
    <w:rsid w:val="0008567E"/>
    <w:rsid w:val="00085800"/>
    <w:rsid w:val="00085CB9"/>
    <w:rsid w:val="00085E73"/>
    <w:rsid w:val="00086275"/>
    <w:rsid w:val="0008644E"/>
    <w:rsid w:val="00086F7E"/>
    <w:rsid w:val="0008752E"/>
    <w:rsid w:val="00087D39"/>
    <w:rsid w:val="00087F30"/>
    <w:rsid w:val="00087F3C"/>
    <w:rsid w:val="00090349"/>
    <w:rsid w:val="0009088C"/>
    <w:rsid w:val="0009090C"/>
    <w:rsid w:val="000909AF"/>
    <w:rsid w:val="0009106B"/>
    <w:rsid w:val="00091243"/>
    <w:rsid w:val="00091591"/>
    <w:rsid w:val="000917A6"/>
    <w:rsid w:val="000922A6"/>
    <w:rsid w:val="0009242D"/>
    <w:rsid w:val="0009274B"/>
    <w:rsid w:val="00092C4E"/>
    <w:rsid w:val="00093056"/>
    <w:rsid w:val="0009384E"/>
    <w:rsid w:val="0009423A"/>
    <w:rsid w:val="00094F5F"/>
    <w:rsid w:val="000954C2"/>
    <w:rsid w:val="00095ABB"/>
    <w:rsid w:val="0009687D"/>
    <w:rsid w:val="0009699A"/>
    <w:rsid w:val="00096D0F"/>
    <w:rsid w:val="00096DB5"/>
    <w:rsid w:val="000974FB"/>
    <w:rsid w:val="000975EA"/>
    <w:rsid w:val="000976C5"/>
    <w:rsid w:val="00097888"/>
    <w:rsid w:val="000A0AC8"/>
    <w:rsid w:val="000A0BBC"/>
    <w:rsid w:val="000A1160"/>
    <w:rsid w:val="000A19DC"/>
    <w:rsid w:val="000A2363"/>
    <w:rsid w:val="000A3810"/>
    <w:rsid w:val="000A3D32"/>
    <w:rsid w:val="000A423B"/>
    <w:rsid w:val="000A4377"/>
    <w:rsid w:val="000A43A2"/>
    <w:rsid w:val="000A4DE6"/>
    <w:rsid w:val="000A6073"/>
    <w:rsid w:val="000A6969"/>
    <w:rsid w:val="000A6A9D"/>
    <w:rsid w:val="000A6D2F"/>
    <w:rsid w:val="000A72E7"/>
    <w:rsid w:val="000A797D"/>
    <w:rsid w:val="000A7ABF"/>
    <w:rsid w:val="000A7E63"/>
    <w:rsid w:val="000B089B"/>
    <w:rsid w:val="000B0D03"/>
    <w:rsid w:val="000B1852"/>
    <w:rsid w:val="000B1E24"/>
    <w:rsid w:val="000B2232"/>
    <w:rsid w:val="000B25A2"/>
    <w:rsid w:val="000B2C7A"/>
    <w:rsid w:val="000B2E56"/>
    <w:rsid w:val="000B2F21"/>
    <w:rsid w:val="000B3015"/>
    <w:rsid w:val="000B39E0"/>
    <w:rsid w:val="000B3AB2"/>
    <w:rsid w:val="000B3B96"/>
    <w:rsid w:val="000B3DE3"/>
    <w:rsid w:val="000B5171"/>
    <w:rsid w:val="000B51A6"/>
    <w:rsid w:val="000B5680"/>
    <w:rsid w:val="000B5773"/>
    <w:rsid w:val="000B5DD7"/>
    <w:rsid w:val="000B618B"/>
    <w:rsid w:val="000B66A1"/>
    <w:rsid w:val="000B67A6"/>
    <w:rsid w:val="000B69F8"/>
    <w:rsid w:val="000B6A7E"/>
    <w:rsid w:val="000B6BA0"/>
    <w:rsid w:val="000B6E61"/>
    <w:rsid w:val="000B7A8D"/>
    <w:rsid w:val="000B7D39"/>
    <w:rsid w:val="000C0878"/>
    <w:rsid w:val="000C1E17"/>
    <w:rsid w:val="000C1E52"/>
    <w:rsid w:val="000C2D51"/>
    <w:rsid w:val="000C35BE"/>
    <w:rsid w:val="000C3757"/>
    <w:rsid w:val="000C43F7"/>
    <w:rsid w:val="000C4759"/>
    <w:rsid w:val="000C4E6C"/>
    <w:rsid w:val="000C585A"/>
    <w:rsid w:val="000C5AB4"/>
    <w:rsid w:val="000C6A8B"/>
    <w:rsid w:val="000C6C2C"/>
    <w:rsid w:val="000C6D76"/>
    <w:rsid w:val="000C75AA"/>
    <w:rsid w:val="000C79CA"/>
    <w:rsid w:val="000D07E1"/>
    <w:rsid w:val="000D1786"/>
    <w:rsid w:val="000D1F9F"/>
    <w:rsid w:val="000D22F9"/>
    <w:rsid w:val="000D2A90"/>
    <w:rsid w:val="000D2A92"/>
    <w:rsid w:val="000D2DFB"/>
    <w:rsid w:val="000D2F09"/>
    <w:rsid w:val="000D304F"/>
    <w:rsid w:val="000D3163"/>
    <w:rsid w:val="000D31D1"/>
    <w:rsid w:val="000D3644"/>
    <w:rsid w:val="000D3871"/>
    <w:rsid w:val="000D3AD2"/>
    <w:rsid w:val="000D3E04"/>
    <w:rsid w:val="000D4DF2"/>
    <w:rsid w:val="000D5434"/>
    <w:rsid w:val="000D5A3C"/>
    <w:rsid w:val="000D5BE3"/>
    <w:rsid w:val="000D5F40"/>
    <w:rsid w:val="000D5FD6"/>
    <w:rsid w:val="000D6A94"/>
    <w:rsid w:val="000D6D70"/>
    <w:rsid w:val="000D6F8E"/>
    <w:rsid w:val="000D6FCC"/>
    <w:rsid w:val="000D7577"/>
    <w:rsid w:val="000D77FE"/>
    <w:rsid w:val="000D79C7"/>
    <w:rsid w:val="000E034E"/>
    <w:rsid w:val="000E162E"/>
    <w:rsid w:val="000E21E9"/>
    <w:rsid w:val="000E2643"/>
    <w:rsid w:val="000E2B88"/>
    <w:rsid w:val="000E3338"/>
    <w:rsid w:val="000E3DC9"/>
    <w:rsid w:val="000E4491"/>
    <w:rsid w:val="000E48BE"/>
    <w:rsid w:val="000E49A4"/>
    <w:rsid w:val="000E4AE9"/>
    <w:rsid w:val="000E4C58"/>
    <w:rsid w:val="000E679D"/>
    <w:rsid w:val="000E70C3"/>
    <w:rsid w:val="000E7291"/>
    <w:rsid w:val="000F07F1"/>
    <w:rsid w:val="000F0D59"/>
    <w:rsid w:val="000F1663"/>
    <w:rsid w:val="000F1785"/>
    <w:rsid w:val="000F1790"/>
    <w:rsid w:val="000F1C06"/>
    <w:rsid w:val="000F2517"/>
    <w:rsid w:val="000F26C5"/>
    <w:rsid w:val="000F27A4"/>
    <w:rsid w:val="000F342C"/>
    <w:rsid w:val="000F4660"/>
    <w:rsid w:val="000F4F20"/>
    <w:rsid w:val="000F52BB"/>
    <w:rsid w:val="000F587D"/>
    <w:rsid w:val="000F5901"/>
    <w:rsid w:val="000F5A58"/>
    <w:rsid w:val="000F60C6"/>
    <w:rsid w:val="000F637A"/>
    <w:rsid w:val="000F6C35"/>
    <w:rsid w:val="000F7C7E"/>
    <w:rsid w:val="001000AC"/>
    <w:rsid w:val="0010033A"/>
    <w:rsid w:val="00100A27"/>
    <w:rsid w:val="001010CA"/>
    <w:rsid w:val="00101482"/>
    <w:rsid w:val="00101F1A"/>
    <w:rsid w:val="0010252D"/>
    <w:rsid w:val="00102E45"/>
    <w:rsid w:val="001030B6"/>
    <w:rsid w:val="001036AD"/>
    <w:rsid w:val="00103B93"/>
    <w:rsid w:val="0010496D"/>
    <w:rsid w:val="00105038"/>
    <w:rsid w:val="00105E0B"/>
    <w:rsid w:val="00110817"/>
    <w:rsid w:val="00110DE8"/>
    <w:rsid w:val="001118A1"/>
    <w:rsid w:val="00111F51"/>
    <w:rsid w:val="00111F88"/>
    <w:rsid w:val="00112472"/>
    <w:rsid w:val="001129EA"/>
    <w:rsid w:val="00112B61"/>
    <w:rsid w:val="00112CCD"/>
    <w:rsid w:val="00112D4B"/>
    <w:rsid w:val="0011396D"/>
    <w:rsid w:val="001145F0"/>
    <w:rsid w:val="001148D3"/>
    <w:rsid w:val="0011493D"/>
    <w:rsid w:val="00114B81"/>
    <w:rsid w:val="00114C63"/>
    <w:rsid w:val="00115CC7"/>
    <w:rsid w:val="0011602C"/>
    <w:rsid w:val="0011610A"/>
    <w:rsid w:val="0011629F"/>
    <w:rsid w:val="001169A4"/>
    <w:rsid w:val="00116A3C"/>
    <w:rsid w:val="00116C63"/>
    <w:rsid w:val="00116D3B"/>
    <w:rsid w:val="00116DA4"/>
    <w:rsid w:val="00117CAD"/>
    <w:rsid w:val="00121736"/>
    <w:rsid w:val="00121A0F"/>
    <w:rsid w:val="00122219"/>
    <w:rsid w:val="00122673"/>
    <w:rsid w:val="001226F1"/>
    <w:rsid w:val="0012275A"/>
    <w:rsid w:val="0012305B"/>
    <w:rsid w:val="00123599"/>
    <w:rsid w:val="00124334"/>
    <w:rsid w:val="00124335"/>
    <w:rsid w:val="001244C6"/>
    <w:rsid w:val="001258BB"/>
    <w:rsid w:val="00125A30"/>
    <w:rsid w:val="00125F2C"/>
    <w:rsid w:val="00126361"/>
    <w:rsid w:val="001267FB"/>
    <w:rsid w:val="00126BC2"/>
    <w:rsid w:val="00126CAC"/>
    <w:rsid w:val="00127344"/>
    <w:rsid w:val="001276BE"/>
    <w:rsid w:val="00130055"/>
    <w:rsid w:val="0013033D"/>
    <w:rsid w:val="00130AE2"/>
    <w:rsid w:val="00130B0F"/>
    <w:rsid w:val="00130FE2"/>
    <w:rsid w:val="0013113D"/>
    <w:rsid w:val="00132B13"/>
    <w:rsid w:val="001336F1"/>
    <w:rsid w:val="00133A6E"/>
    <w:rsid w:val="00133AF5"/>
    <w:rsid w:val="00133C72"/>
    <w:rsid w:val="00134B4A"/>
    <w:rsid w:val="00134CA0"/>
    <w:rsid w:val="001350CA"/>
    <w:rsid w:val="001365C2"/>
    <w:rsid w:val="00137344"/>
    <w:rsid w:val="001375DA"/>
    <w:rsid w:val="001377EE"/>
    <w:rsid w:val="001405A9"/>
    <w:rsid w:val="001405E3"/>
    <w:rsid w:val="00140E96"/>
    <w:rsid w:val="00141995"/>
    <w:rsid w:val="00141C43"/>
    <w:rsid w:val="00141D17"/>
    <w:rsid w:val="00142D74"/>
    <w:rsid w:val="00142E5B"/>
    <w:rsid w:val="0014328A"/>
    <w:rsid w:val="001433EE"/>
    <w:rsid w:val="00143E1D"/>
    <w:rsid w:val="00143F59"/>
    <w:rsid w:val="00143FC3"/>
    <w:rsid w:val="001452B1"/>
    <w:rsid w:val="001458B1"/>
    <w:rsid w:val="00146254"/>
    <w:rsid w:val="00146331"/>
    <w:rsid w:val="00146548"/>
    <w:rsid w:val="00146978"/>
    <w:rsid w:val="001475AF"/>
    <w:rsid w:val="00147684"/>
    <w:rsid w:val="00147ACF"/>
    <w:rsid w:val="00147D73"/>
    <w:rsid w:val="00150260"/>
    <w:rsid w:val="001502CE"/>
    <w:rsid w:val="00150611"/>
    <w:rsid w:val="001509AB"/>
    <w:rsid w:val="00150E3D"/>
    <w:rsid w:val="0015220F"/>
    <w:rsid w:val="00152256"/>
    <w:rsid w:val="00152C7E"/>
    <w:rsid w:val="001534DB"/>
    <w:rsid w:val="001535AA"/>
    <w:rsid w:val="001539A2"/>
    <w:rsid w:val="00154653"/>
    <w:rsid w:val="001546ED"/>
    <w:rsid w:val="00154F10"/>
    <w:rsid w:val="00154FAE"/>
    <w:rsid w:val="00155478"/>
    <w:rsid w:val="00155523"/>
    <w:rsid w:val="00155D20"/>
    <w:rsid w:val="00156399"/>
    <w:rsid w:val="0015657B"/>
    <w:rsid w:val="00156B4D"/>
    <w:rsid w:val="00156FAA"/>
    <w:rsid w:val="00157B04"/>
    <w:rsid w:val="001607A0"/>
    <w:rsid w:val="001613CC"/>
    <w:rsid w:val="001617FE"/>
    <w:rsid w:val="00162FBB"/>
    <w:rsid w:val="00163623"/>
    <w:rsid w:val="001636C9"/>
    <w:rsid w:val="001640F9"/>
    <w:rsid w:val="0016501F"/>
    <w:rsid w:val="0016648C"/>
    <w:rsid w:val="00166839"/>
    <w:rsid w:val="001671D8"/>
    <w:rsid w:val="0016738C"/>
    <w:rsid w:val="001674E8"/>
    <w:rsid w:val="001679F4"/>
    <w:rsid w:val="0017008F"/>
    <w:rsid w:val="00170233"/>
    <w:rsid w:val="00170920"/>
    <w:rsid w:val="00171270"/>
    <w:rsid w:val="001725A5"/>
    <w:rsid w:val="00173188"/>
    <w:rsid w:val="001732E1"/>
    <w:rsid w:val="001734EF"/>
    <w:rsid w:val="001739AF"/>
    <w:rsid w:val="00173C83"/>
    <w:rsid w:val="0017439C"/>
    <w:rsid w:val="001749C6"/>
    <w:rsid w:val="00174AFD"/>
    <w:rsid w:val="00175345"/>
    <w:rsid w:val="001754A1"/>
    <w:rsid w:val="00175CC2"/>
    <w:rsid w:val="00175DEB"/>
    <w:rsid w:val="001760F1"/>
    <w:rsid w:val="00177CA2"/>
    <w:rsid w:val="00180108"/>
    <w:rsid w:val="001808BC"/>
    <w:rsid w:val="00180F41"/>
    <w:rsid w:val="001815D2"/>
    <w:rsid w:val="00181C21"/>
    <w:rsid w:val="00181C5D"/>
    <w:rsid w:val="00182006"/>
    <w:rsid w:val="00182BFC"/>
    <w:rsid w:val="0018364B"/>
    <w:rsid w:val="00183939"/>
    <w:rsid w:val="001839A3"/>
    <w:rsid w:val="00183FFF"/>
    <w:rsid w:val="001842E1"/>
    <w:rsid w:val="00184329"/>
    <w:rsid w:val="00184836"/>
    <w:rsid w:val="00184A5E"/>
    <w:rsid w:val="00184D30"/>
    <w:rsid w:val="00185441"/>
    <w:rsid w:val="00185681"/>
    <w:rsid w:val="001860C6"/>
    <w:rsid w:val="001867CC"/>
    <w:rsid w:val="00186991"/>
    <w:rsid w:val="00186A51"/>
    <w:rsid w:val="00186B9C"/>
    <w:rsid w:val="00187869"/>
    <w:rsid w:val="00187D19"/>
    <w:rsid w:val="00191191"/>
    <w:rsid w:val="00191AE6"/>
    <w:rsid w:val="00191C12"/>
    <w:rsid w:val="00192138"/>
    <w:rsid w:val="00192789"/>
    <w:rsid w:val="0019298F"/>
    <w:rsid w:val="00192A7D"/>
    <w:rsid w:val="001932E0"/>
    <w:rsid w:val="00193B21"/>
    <w:rsid w:val="001945E8"/>
    <w:rsid w:val="00194A87"/>
    <w:rsid w:val="00194B92"/>
    <w:rsid w:val="00194D71"/>
    <w:rsid w:val="0019581D"/>
    <w:rsid w:val="0019590E"/>
    <w:rsid w:val="00195CFC"/>
    <w:rsid w:val="0019638C"/>
    <w:rsid w:val="00197125"/>
    <w:rsid w:val="0019760B"/>
    <w:rsid w:val="00197804"/>
    <w:rsid w:val="00197F38"/>
    <w:rsid w:val="001A00B1"/>
    <w:rsid w:val="001A0290"/>
    <w:rsid w:val="001A0612"/>
    <w:rsid w:val="001A07FD"/>
    <w:rsid w:val="001A09A9"/>
    <w:rsid w:val="001A0CF3"/>
    <w:rsid w:val="001A0D27"/>
    <w:rsid w:val="001A15EA"/>
    <w:rsid w:val="001A1934"/>
    <w:rsid w:val="001A1D4B"/>
    <w:rsid w:val="001A208B"/>
    <w:rsid w:val="001A2FB3"/>
    <w:rsid w:val="001A3457"/>
    <w:rsid w:val="001A3501"/>
    <w:rsid w:val="001A39F5"/>
    <w:rsid w:val="001A4171"/>
    <w:rsid w:val="001A4DD3"/>
    <w:rsid w:val="001A564E"/>
    <w:rsid w:val="001A63C7"/>
    <w:rsid w:val="001A678E"/>
    <w:rsid w:val="001A6BEE"/>
    <w:rsid w:val="001B0AD2"/>
    <w:rsid w:val="001B2138"/>
    <w:rsid w:val="001B221F"/>
    <w:rsid w:val="001B2A27"/>
    <w:rsid w:val="001B2C50"/>
    <w:rsid w:val="001B2D58"/>
    <w:rsid w:val="001B3108"/>
    <w:rsid w:val="001B42B3"/>
    <w:rsid w:val="001B51BC"/>
    <w:rsid w:val="001B5C64"/>
    <w:rsid w:val="001B5FAD"/>
    <w:rsid w:val="001B6729"/>
    <w:rsid w:val="001B79E9"/>
    <w:rsid w:val="001B7FF5"/>
    <w:rsid w:val="001C0024"/>
    <w:rsid w:val="001C04FF"/>
    <w:rsid w:val="001C0EA0"/>
    <w:rsid w:val="001C19D4"/>
    <w:rsid w:val="001C1B52"/>
    <w:rsid w:val="001C27E3"/>
    <w:rsid w:val="001C3724"/>
    <w:rsid w:val="001C385A"/>
    <w:rsid w:val="001C390C"/>
    <w:rsid w:val="001C4180"/>
    <w:rsid w:val="001C4613"/>
    <w:rsid w:val="001C4FBB"/>
    <w:rsid w:val="001C5016"/>
    <w:rsid w:val="001C513E"/>
    <w:rsid w:val="001C56BE"/>
    <w:rsid w:val="001C570D"/>
    <w:rsid w:val="001C5AB2"/>
    <w:rsid w:val="001C6C25"/>
    <w:rsid w:val="001C6CDB"/>
    <w:rsid w:val="001C7769"/>
    <w:rsid w:val="001C7861"/>
    <w:rsid w:val="001C79D7"/>
    <w:rsid w:val="001C7AAB"/>
    <w:rsid w:val="001D0242"/>
    <w:rsid w:val="001D0704"/>
    <w:rsid w:val="001D23CE"/>
    <w:rsid w:val="001D26B1"/>
    <w:rsid w:val="001D34EB"/>
    <w:rsid w:val="001D4223"/>
    <w:rsid w:val="001D49B0"/>
    <w:rsid w:val="001D4C49"/>
    <w:rsid w:val="001D4E31"/>
    <w:rsid w:val="001D4F4F"/>
    <w:rsid w:val="001D65B7"/>
    <w:rsid w:val="001D6AD6"/>
    <w:rsid w:val="001D6D46"/>
    <w:rsid w:val="001D7D06"/>
    <w:rsid w:val="001E02C4"/>
    <w:rsid w:val="001E038E"/>
    <w:rsid w:val="001E0C66"/>
    <w:rsid w:val="001E0CB8"/>
    <w:rsid w:val="001E0E15"/>
    <w:rsid w:val="001E1248"/>
    <w:rsid w:val="001E125E"/>
    <w:rsid w:val="001E1868"/>
    <w:rsid w:val="001E1E0E"/>
    <w:rsid w:val="001E23E3"/>
    <w:rsid w:val="001E2B58"/>
    <w:rsid w:val="001E2D77"/>
    <w:rsid w:val="001E3173"/>
    <w:rsid w:val="001E31D5"/>
    <w:rsid w:val="001E3499"/>
    <w:rsid w:val="001E36A0"/>
    <w:rsid w:val="001E37DE"/>
    <w:rsid w:val="001E3B5A"/>
    <w:rsid w:val="001E3F77"/>
    <w:rsid w:val="001E4170"/>
    <w:rsid w:val="001E444B"/>
    <w:rsid w:val="001E4999"/>
    <w:rsid w:val="001E52A8"/>
    <w:rsid w:val="001E563B"/>
    <w:rsid w:val="001E5647"/>
    <w:rsid w:val="001E57E0"/>
    <w:rsid w:val="001E5994"/>
    <w:rsid w:val="001E64DB"/>
    <w:rsid w:val="001E6614"/>
    <w:rsid w:val="001E795A"/>
    <w:rsid w:val="001E7C90"/>
    <w:rsid w:val="001E7D3C"/>
    <w:rsid w:val="001F2051"/>
    <w:rsid w:val="001F22E9"/>
    <w:rsid w:val="001F251C"/>
    <w:rsid w:val="001F25F7"/>
    <w:rsid w:val="001F26DB"/>
    <w:rsid w:val="001F2D3B"/>
    <w:rsid w:val="001F2E67"/>
    <w:rsid w:val="001F2E96"/>
    <w:rsid w:val="001F34D4"/>
    <w:rsid w:val="001F4252"/>
    <w:rsid w:val="001F462B"/>
    <w:rsid w:val="001F4B60"/>
    <w:rsid w:val="001F4D56"/>
    <w:rsid w:val="001F52D5"/>
    <w:rsid w:val="001F59C7"/>
    <w:rsid w:val="001F5C7C"/>
    <w:rsid w:val="001F6178"/>
    <w:rsid w:val="001F6732"/>
    <w:rsid w:val="002011C3"/>
    <w:rsid w:val="00201C74"/>
    <w:rsid w:val="00201CF5"/>
    <w:rsid w:val="00201FBD"/>
    <w:rsid w:val="00201FCB"/>
    <w:rsid w:val="002025C1"/>
    <w:rsid w:val="002027AB"/>
    <w:rsid w:val="00203057"/>
    <w:rsid w:val="00203594"/>
    <w:rsid w:val="0020487F"/>
    <w:rsid w:val="00204C98"/>
    <w:rsid w:val="00205555"/>
    <w:rsid w:val="00205584"/>
    <w:rsid w:val="00205EA7"/>
    <w:rsid w:val="00206437"/>
    <w:rsid w:val="00206D19"/>
    <w:rsid w:val="00206FE4"/>
    <w:rsid w:val="002075D5"/>
    <w:rsid w:val="00207A09"/>
    <w:rsid w:val="00207CB3"/>
    <w:rsid w:val="00207FDE"/>
    <w:rsid w:val="0021078A"/>
    <w:rsid w:val="00210C74"/>
    <w:rsid w:val="00210E84"/>
    <w:rsid w:val="0021185D"/>
    <w:rsid w:val="00211A86"/>
    <w:rsid w:val="00213FCB"/>
    <w:rsid w:val="00214706"/>
    <w:rsid w:val="0021478E"/>
    <w:rsid w:val="00214BCE"/>
    <w:rsid w:val="00215030"/>
    <w:rsid w:val="0021567F"/>
    <w:rsid w:val="00215F4A"/>
    <w:rsid w:val="00216421"/>
    <w:rsid w:val="002177B7"/>
    <w:rsid w:val="0021783D"/>
    <w:rsid w:val="002178B0"/>
    <w:rsid w:val="00220260"/>
    <w:rsid w:val="0022060C"/>
    <w:rsid w:val="00220A44"/>
    <w:rsid w:val="002210F3"/>
    <w:rsid w:val="002211A6"/>
    <w:rsid w:val="0022171C"/>
    <w:rsid w:val="00222390"/>
    <w:rsid w:val="0022252D"/>
    <w:rsid w:val="002229EF"/>
    <w:rsid w:val="00222DD1"/>
    <w:rsid w:val="002232A0"/>
    <w:rsid w:val="00223B8A"/>
    <w:rsid w:val="00224AA5"/>
    <w:rsid w:val="0022592F"/>
    <w:rsid w:val="00225DF2"/>
    <w:rsid w:val="00225F3C"/>
    <w:rsid w:val="002264A9"/>
    <w:rsid w:val="002264AC"/>
    <w:rsid w:val="0022679B"/>
    <w:rsid w:val="0022712B"/>
    <w:rsid w:val="0022713A"/>
    <w:rsid w:val="002274B2"/>
    <w:rsid w:val="00227ED6"/>
    <w:rsid w:val="00230403"/>
    <w:rsid w:val="00230431"/>
    <w:rsid w:val="00230ABB"/>
    <w:rsid w:val="00230B0A"/>
    <w:rsid w:val="00230F35"/>
    <w:rsid w:val="0023122A"/>
    <w:rsid w:val="0023144C"/>
    <w:rsid w:val="0023150E"/>
    <w:rsid w:val="00231A90"/>
    <w:rsid w:val="00231F95"/>
    <w:rsid w:val="00232502"/>
    <w:rsid w:val="002326D5"/>
    <w:rsid w:val="00232A2A"/>
    <w:rsid w:val="00232BE1"/>
    <w:rsid w:val="0023307F"/>
    <w:rsid w:val="00233D0D"/>
    <w:rsid w:val="00233E80"/>
    <w:rsid w:val="00234CEF"/>
    <w:rsid w:val="00235738"/>
    <w:rsid w:val="002358AA"/>
    <w:rsid w:val="00235B4B"/>
    <w:rsid w:val="00235DF9"/>
    <w:rsid w:val="00236B5A"/>
    <w:rsid w:val="002372AA"/>
    <w:rsid w:val="00237392"/>
    <w:rsid w:val="002373AD"/>
    <w:rsid w:val="002377B6"/>
    <w:rsid w:val="00237848"/>
    <w:rsid w:val="00237D55"/>
    <w:rsid w:val="00237E00"/>
    <w:rsid w:val="002404D2"/>
    <w:rsid w:val="00240802"/>
    <w:rsid w:val="00241CA7"/>
    <w:rsid w:val="00241F1F"/>
    <w:rsid w:val="00242232"/>
    <w:rsid w:val="00242AA1"/>
    <w:rsid w:val="00242F1F"/>
    <w:rsid w:val="00242F39"/>
    <w:rsid w:val="00243AA0"/>
    <w:rsid w:val="00243B11"/>
    <w:rsid w:val="00243C8F"/>
    <w:rsid w:val="00244427"/>
    <w:rsid w:val="00244BCF"/>
    <w:rsid w:val="00244D0D"/>
    <w:rsid w:val="002451F7"/>
    <w:rsid w:val="00245671"/>
    <w:rsid w:val="00246200"/>
    <w:rsid w:val="0024668E"/>
    <w:rsid w:val="00247005"/>
    <w:rsid w:val="00247205"/>
    <w:rsid w:val="00247C30"/>
    <w:rsid w:val="00247CCB"/>
    <w:rsid w:val="00250B95"/>
    <w:rsid w:val="00251556"/>
    <w:rsid w:val="0025155C"/>
    <w:rsid w:val="0025201F"/>
    <w:rsid w:val="00252385"/>
    <w:rsid w:val="00253148"/>
    <w:rsid w:val="002533E2"/>
    <w:rsid w:val="00253E62"/>
    <w:rsid w:val="00254439"/>
    <w:rsid w:val="002544DD"/>
    <w:rsid w:val="0025505A"/>
    <w:rsid w:val="0025505E"/>
    <w:rsid w:val="00255110"/>
    <w:rsid w:val="002552C9"/>
    <w:rsid w:val="00255330"/>
    <w:rsid w:val="0025535B"/>
    <w:rsid w:val="00255371"/>
    <w:rsid w:val="00255BD0"/>
    <w:rsid w:val="00255EF1"/>
    <w:rsid w:val="00256D98"/>
    <w:rsid w:val="00256F75"/>
    <w:rsid w:val="0025706B"/>
    <w:rsid w:val="00257D28"/>
    <w:rsid w:val="0026018B"/>
    <w:rsid w:val="00260633"/>
    <w:rsid w:val="00260D89"/>
    <w:rsid w:val="00261CCD"/>
    <w:rsid w:val="00261D7A"/>
    <w:rsid w:val="00262177"/>
    <w:rsid w:val="0026251A"/>
    <w:rsid w:val="00262CE9"/>
    <w:rsid w:val="00263274"/>
    <w:rsid w:val="00264162"/>
    <w:rsid w:val="0026421B"/>
    <w:rsid w:val="00264CB0"/>
    <w:rsid w:val="00265D30"/>
    <w:rsid w:val="00265E34"/>
    <w:rsid w:val="00266002"/>
    <w:rsid w:val="0026636A"/>
    <w:rsid w:val="0026674E"/>
    <w:rsid w:val="00267081"/>
    <w:rsid w:val="002670AF"/>
    <w:rsid w:val="00267446"/>
    <w:rsid w:val="002675E5"/>
    <w:rsid w:val="00267CEA"/>
    <w:rsid w:val="00267FBF"/>
    <w:rsid w:val="0027037E"/>
    <w:rsid w:val="002707D2"/>
    <w:rsid w:val="0027116D"/>
    <w:rsid w:val="00272CE3"/>
    <w:rsid w:val="00272E31"/>
    <w:rsid w:val="00273D27"/>
    <w:rsid w:val="002747F7"/>
    <w:rsid w:val="0027484E"/>
    <w:rsid w:val="00274BAD"/>
    <w:rsid w:val="00274F9A"/>
    <w:rsid w:val="002758B2"/>
    <w:rsid w:val="00275ECD"/>
    <w:rsid w:val="0027639D"/>
    <w:rsid w:val="002770B4"/>
    <w:rsid w:val="00277222"/>
    <w:rsid w:val="0027765D"/>
    <w:rsid w:val="00277B10"/>
    <w:rsid w:val="00277C37"/>
    <w:rsid w:val="00277E37"/>
    <w:rsid w:val="0028034A"/>
    <w:rsid w:val="00280691"/>
    <w:rsid w:val="0028100B"/>
    <w:rsid w:val="00281101"/>
    <w:rsid w:val="00281417"/>
    <w:rsid w:val="00281908"/>
    <w:rsid w:val="00282D67"/>
    <w:rsid w:val="00283888"/>
    <w:rsid w:val="002838DE"/>
    <w:rsid w:val="002839DE"/>
    <w:rsid w:val="00283EA8"/>
    <w:rsid w:val="00284503"/>
    <w:rsid w:val="00284CC1"/>
    <w:rsid w:val="0028570D"/>
    <w:rsid w:val="002859BB"/>
    <w:rsid w:val="00285ED9"/>
    <w:rsid w:val="002860BE"/>
    <w:rsid w:val="002863EE"/>
    <w:rsid w:val="00286582"/>
    <w:rsid w:val="0028663C"/>
    <w:rsid w:val="002866AF"/>
    <w:rsid w:val="002869DF"/>
    <w:rsid w:val="00286C86"/>
    <w:rsid w:val="00286F0B"/>
    <w:rsid w:val="002870D8"/>
    <w:rsid w:val="00287179"/>
    <w:rsid w:val="00287772"/>
    <w:rsid w:val="0029005C"/>
    <w:rsid w:val="00290509"/>
    <w:rsid w:val="00290640"/>
    <w:rsid w:val="00290739"/>
    <w:rsid w:val="00290A31"/>
    <w:rsid w:val="00290DC6"/>
    <w:rsid w:val="00291118"/>
    <w:rsid w:val="0029111F"/>
    <w:rsid w:val="002915A9"/>
    <w:rsid w:val="0029371E"/>
    <w:rsid w:val="00293C01"/>
    <w:rsid w:val="00294AF0"/>
    <w:rsid w:val="00294B5F"/>
    <w:rsid w:val="00295054"/>
    <w:rsid w:val="002963BD"/>
    <w:rsid w:val="0029683F"/>
    <w:rsid w:val="002969C6"/>
    <w:rsid w:val="00296A73"/>
    <w:rsid w:val="00296DBA"/>
    <w:rsid w:val="002973F1"/>
    <w:rsid w:val="00297791"/>
    <w:rsid w:val="00297944"/>
    <w:rsid w:val="002A073E"/>
    <w:rsid w:val="002A07D1"/>
    <w:rsid w:val="002A081D"/>
    <w:rsid w:val="002A0B02"/>
    <w:rsid w:val="002A0C06"/>
    <w:rsid w:val="002A0CF7"/>
    <w:rsid w:val="002A0D1B"/>
    <w:rsid w:val="002A0D55"/>
    <w:rsid w:val="002A0DB4"/>
    <w:rsid w:val="002A0E37"/>
    <w:rsid w:val="002A1047"/>
    <w:rsid w:val="002A248C"/>
    <w:rsid w:val="002A25C8"/>
    <w:rsid w:val="002A2753"/>
    <w:rsid w:val="002A2DD7"/>
    <w:rsid w:val="002A2F2D"/>
    <w:rsid w:val="002A3000"/>
    <w:rsid w:val="002A30D9"/>
    <w:rsid w:val="002A3DC9"/>
    <w:rsid w:val="002A4883"/>
    <w:rsid w:val="002A4934"/>
    <w:rsid w:val="002A4FC7"/>
    <w:rsid w:val="002A50DD"/>
    <w:rsid w:val="002A5855"/>
    <w:rsid w:val="002A5AAE"/>
    <w:rsid w:val="002A5BCA"/>
    <w:rsid w:val="002A5CE8"/>
    <w:rsid w:val="002A60C3"/>
    <w:rsid w:val="002A6432"/>
    <w:rsid w:val="002A6E69"/>
    <w:rsid w:val="002A7099"/>
    <w:rsid w:val="002A71FB"/>
    <w:rsid w:val="002A7368"/>
    <w:rsid w:val="002A7911"/>
    <w:rsid w:val="002A7BEC"/>
    <w:rsid w:val="002B039E"/>
    <w:rsid w:val="002B0608"/>
    <w:rsid w:val="002B0760"/>
    <w:rsid w:val="002B09F1"/>
    <w:rsid w:val="002B0EB2"/>
    <w:rsid w:val="002B1F7A"/>
    <w:rsid w:val="002B20D7"/>
    <w:rsid w:val="002B3220"/>
    <w:rsid w:val="002B3301"/>
    <w:rsid w:val="002B33B1"/>
    <w:rsid w:val="002B35DE"/>
    <w:rsid w:val="002B36B9"/>
    <w:rsid w:val="002B38BE"/>
    <w:rsid w:val="002B3985"/>
    <w:rsid w:val="002B3CF3"/>
    <w:rsid w:val="002B4421"/>
    <w:rsid w:val="002B447A"/>
    <w:rsid w:val="002B460E"/>
    <w:rsid w:val="002B4870"/>
    <w:rsid w:val="002B49E2"/>
    <w:rsid w:val="002B4E51"/>
    <w:rsid w:val="002B554F"/>
    <w:rsid w:val="002B576C"/>
    <w:rsid w:val="002B598B"/>
    <w:rsid w:val="002B6117"/>
    <w:rsid w:val="002C00E7"/>
    <w:rsid w:val="002C013F"/>
    <w:rsid w:val="002C07C7"/>
    <w:rsid w:val="002C0F5C"/>
    <w:rsid w:val="002C131C"/>
    <w:rsid w:val="002C1391"/>
    <w:rsid w:val="002C166C"/>
    <w:rsid w:val="002C1B97"/>
    <w:rsid w:val="002C1CD0"/>
    <w:rsid w:val="002C1D7F"/>
    <w:rsid w:val="002C20D9"/>
    <w:rsid w:val="002C2E93"/>
    <w:rsid w:val="002C30E5"/>
    <w:rsid w:val="002C3726"/>
    <w:rsid w:val="002C3E9A"/>
    <w:rsid w:val="002C3F4B"/>
    <w:rsid w:val="002C44EF"/>
    <w:rsid w:val="002C4791"/>
    <w:rsid w:val="002C4948"/>
    <w:rsid w:val="002C4B0D"/>
    <w:rsid w:val="002C50B5"/>
    <w:rsid w:val="002C5602"/>
    <w:rsid w:val="002C5CBF"/>
    <w:rsid w:val="002C5E37"/>
    <w:rsid w:val="002C6C7C"/>
    <w:rsid w:val="002C6D85"/>
    <w:rsid w:val="002C6E1E"/>
    <w:rsid w:val="002C7B5D"/>
    <w:rsid w:val="002C7C4D"/>
    <w:rsid w:val="002D052C"/>
    <w:rsid w:val="002D0689"/>
    <w:rsid w:val="002D17A3"/>
    <w:rsid w:val="002D1A6F"/>
    <w:rsid w:val="002D1C76"/>
    <w:rsid w:val="002D2902"/>
    <w:rsid w:val="002D2AA2"/>
    <w:rsid w:val="002D2DA1"/>
    <w:rsid w:val="002D2EF2"/>
    <w:rsid w:val="002D3906"/>
    <w:rsid w:val="002D4290"/>
    <w:rsid w:val="002D44AD"/>
    <w:rsid w:val="002D4838"/>
    <w:rsid w:val="002D49F2"/>
    <w:rsid w:val="002D4F2E"/>
    <w:rsid w:val="002D58C6"/>
    <w:rsid w:val="002D6744"/>
    <w:rsid w:val="002D6E9E"/>
    <w:rsid w:val="002D73C6"/>
    <w:rsid w:val="002D7E39"/>
    <w:rsid w:val="002E0178"/>
    <w:rsid w:val="002E0556"/>
    <w:rsid w:val="002E0825"/>
    <w:rsid w:val="002E0849"/>
    <w:rsid w:val="002E0BA7"/>
    <w:rsid w:val="002E0CE4"/>
    <w:rsid w:val="002E195E"/>
    <w:rsid w:val="002E1DA5"/>
    <w:rsid w:val="002E1E86"/>
    <w:rsid w:val="002E3175"/>
    <w:rsid w:val="002E3577"/>
    <w:rsid w:val="002E35B2"/>
    <w:rsid w:val="002E3BC7"/>
    <w:rsid w:val="002E3D23"/>
    <w:rsid w:val="002E3D9C"/>
    <w:rsid w:val="002E41AD"/>
    <w:rsid w:val="002E43C4"/>
    <w:rsid w:val="002E56EB"/>
    <w:rsid w:val="002E57C0"/>
    <w:rsid w:val="002E5C25"/>
    <w:rsid w:val="002E623B"/>
    <w:rsid w:val="002E6279"/>
    <w:rsid w:val="002E6781"/>
    <w:rsid w:val="002E70DA"/>
    <w:rsid w:val="002E750F"/>
    <w:rsid w:val="002F0230"/>
    <w:rsid w:val="002F0814"/>
    <w:rsid w:val="002F13DD"/>
    <w:rsid w:val="002F13F3"/>
    <w:rsid w:val="002F1A2E"/>
    <w:rsid w:val="002F20E5"/>
    <w:rsid w:val="002F2997"/>
    <w:rsid w:val="002F2DA6"/>
    <w:rsid w:val="002F436E"/>
    <w:rsid w:val="002F43D9"/>
    <w:rsid w:val="002F4982"/>
    <w:rsid w:val="002F4A24"/>
    <w:rsid w:val="002F557B"/>
    <w:rsid w:val="002F564E"/>
    <w:rsid w:val="002F59FA"/>
    <w:rsid w:val="002F644C"/>
    <w:rsid w:val="002F795A"/>
    <w:rsid w:val="002F7A4D"/>
    <w:rsid w:val="002F7D5E"/>
    <w:rsid w:val="002F7EBC"/>
    <w:rsid w:val="003005B7"/>
    <w:rsid w:val="003017E1"/>
    <w:rsid w:val="003019E1"/>
    <w:rsid w:val="0030200F"/>
    <w:rsid w:val="003020DD"/>
    <w:rsid w:val="00302249"/>
    <w:rsid w:val="0030490C"/>
    <w:rsid w:val="00304CD7"/>
    <w:rsid w:val="00304DAD"/>
    <w:rsid w:val="00304ED2"/>
    <w:rsid w:val="003054F3"/>
    <w:rsid w:val="00305536"/>
    <w:rsid w:val="00306A2A"/>
    <w:rsid w:val="00306E92"/>
    <w:rsid w:val="00307092"/>
    <w:rsid w:val="0030780E"/>
    <w:rsid w:val="00307963"/>
    <w:rsid w:val="00310302"/>
    <w:rsid w:val="00310E84"/>
    <w:rsid w:val="00310EB1"/>
    <w:rsid w:val="00311384"/>
    <w:rsid w:val="00311716"/>
    <w:rsid w:val="003117E6"/>
    <w:rsid w:val="0031191D"/>
    <w:rsid w:val="00312582"/>
    <w:rsid w:val="003127DE"/>
    <w:rsid w:val="00313471"/>
    <w:rsid w:val="00313FF9"/>
    <w:rsid w:val="00315B00"/>
    <w:rsid w:val="003161C2"/>
    <w:rsid w:val="00316434"/>
    <w:rsid w:val="00317548"/>
    <w:rsid w:val="00320062"/>
    <w:rsid w:val="00320E79"/>
    <w:rsid w:val="00321A13"/>
    <w:rsid w:val="00321B45"/>
    <w:rsid w:val="00321D76"/>
    <w:rsid w:val="00321DA2"/>
    <w:rsid w:val="00322697"/>
    <w:rsid w:val="00322828"/>
    <w:rsid w:val="003230E9"/>
    <w:rsid w:val="003236C0"/>
    <w:rsid w:val="0032373C"/>
    <w:rsid w:val="003242C0"/>
    <w:rsid w:val="0032453F"/>
    <w:rsid w:val="00324C98"/>
    <w:rsid w:val="00324EFF"/>
    <w:rsid w:val="00326D65"/>
    <w:rsid w:val="00326F5D"/>
    <w:rsid w:val="003271C2"/>
    <w:rsid w:val="0032727F"/>
    <w:rsid w:val="00327847"/>
    <w:rsid w:val="00327947"/>
    <w:rsid w:val="00327F4C"/>
    <w:rsid w:val="00327FA0"/>
    <w:rsid w:val="00331336"/>
    <w:rsid w:val="0033151D"/>
    <w:rsid w:val="00331AF7"/>
    <w:rsid w:val="00331D62"/>
    <w:rsid w:val="003320D7"/>
    <w:rsid w:val="0033220C"/>
    <w:rsid w:val="0033238D"/>
    <w:rsid w:val="00332479"/>
    <w:rsid w:val="00332607"/>
    <w:rsid w:val="00332C1B"/>
    <w:rsid w:val="003331F1"/>
    <w:rsid w:val="0033326A"/>
    <w:rsid w:val="003335E6"/>
    <w:rsid w:val="003337F2"/>
    <w:rsid w:val="003339D0"/>
    <w:rsid w:val="00333DF9"/>
    <w:rsid w:val="00334447"/>
    <w:rsid w:val="00334A43"/>
    <w:rsid w:val="00334E4B"/>
    <w:rsid w:val="00335725"/>
    <w:rsid w:val="00335EFA"/>
    <w:rsid w:val="003363B2"/>
    <w:rsid w:val="0033729D"/>
    <w:rsid w:val="003379B4"/>
    <w:rsid w:val="00337A4A"/>
    <w:rsid w:val="00337A65"/>
    <w:rsid w:val="003403E2"/>
    <w:rsid w:val="0034053F"/>
    <w:rsid w:val="003418EC"/>
    <w:rsid w:val="00341A7B"/>
    <w:rsid w:val="00341ECC"/>
    <w:rsid w:val="00342150"/>
    <w:rsid w:val="00342628"/>
    <w:rsid w:val="0034277B"/>
    <w:rsid w:val="0034303C"/>
    <w:rsid w:val="00344290"/>
    <w:rsid w:val="003445FE"/>
    <w:rsid w:val="00345AB8"/>
    <w:rsid w:val="00345B32"/>
    <w:rsid w:val="00345FC3"/>
    <w:rsid w:val="00346BD1"/>
    <w:rsid w:val="00346D6A"/>
    <w:rsid w:val="00346E4F"/>
    <w:rsid w:val="00347548"/>
    <w:rsid w:val="003475E2"/>
    <w:rsid w:val="003518FE"/>
    <w:rsid w:val="00351B43"/>
    <w:rsid w:val="00351CF4"/>
    <w:rsid w:val="00351D14"/>
    <w:rsid w:val="00351D34"/>
    <w:rsid w:val="00351DA6"/>
    <w:rsid w:val="00351E66"/>
    <w:rsid w:val="003522E3"/>
    <w:rsid w:val="003535EB"/>
    <w:rsid w:val="00353EAF"/>
    <w:rsid w:val="00354170"/>
    <w:rsid w:val="00354382"/>
    <w:rsid w:val="00354636"/>
    <w:rsid w:val="0035472F"/>
    <w:rsid w:val="003548CB"/>
    <w:rsid w:val="00354A37"/>
    <w:rsid w:val="00354D72"/>
    <w:rsid w:val="00354D79"/>
    <w:rsid w:val="00354F29"/>
    <w:rsid w:val="003554DF"/>
    <w:rsid w:val="00355DE7"/>
    <w:rsid w:val="00356B06"/>
    <w:rsid w:val="00356F9A"/>
    <w:rsid w:val="0035722A"/>
    <w:rsid w:val="00357F98"/>
    <w:rsid w:val="003601A2"/>
    <w:rsid w:val="003602B5"/>
    <w:rsid w:val="003608F9"/>
    <w:rsid w:val="0036136A"/>
    <w:rsid w:val="00361450"/>
    <w:rsid w:val="00361720"/>
    <w:rsid w:val="0036211B"/>
    <w:rsid w:val="00362B75"/>
    <w:rsid w:val="00363412"/>
    <w:rsid w:val="00364059"/>
    <w:rsid w:val="00364144"/>
    <w:rsid w:val="00364587"/>
    <w:rsid w:val="00364686"/>
    <w:rsid w:val="00364DAF"/>
    <w:rsid w:val="00364DCC"/>
    <w:rsid w:val="0036568A"/>
    <w:rsid w:val="00365CC1"/>
    <w:rsid w:val="00366943"/>
    <w:rsid w:val="003673E3"/>
    <w:rsid w:val="003675BE"/>
    <w:rsid w:val="00367833"/>
    <w:rsid w:val="00367C51"/>
    <w:rsid w:val="00367D7C"/>
    <w:rsid w:val="0037005F"/>
    <w:rsid w:val="00370C0B"/>
    <w:rsid w:val="0037175F"/>
    <w:rsid w:val="00371FE2"/>
    <w:rsid w:val="003722CC"/>
    <w:rsid w:val="003724A4"/>
    <w:rsid w:val="00372E4A"/>
    <w:rsid w:val="003731BA"/>
    <w:rsid w:val="0037323A"/>
    <w:rsid w:val="00373CC0"/>
    <w:rsid w:val="00374216"/>
    <w:rsid w:val="00374538"/>
    <w:rsid w:val="00374A36"/>
    <w:rsid w:val="00376033"/>
    <w:rsid w:val="003760F3"/>
    <w:rsid w:val="0037626E"/>
    <w:rsid w:val="0037661F"/>
    <w:rsid w:val="00376B63"/>
    <w:rsid w:val="00376DE7"/>
    <w:rsid w:val="003770AA"/>
    <w:rsid w:val="003801E9"/>
    <w:rsid w:val="00380419"/>
    <w:rsid w:val="00380551"/>
    <w:rsid w:val="00380D36"/>
    <w:rsid w:val="003810D6"/>
    <w:rsid w:val="0038111C"/>
    <w:rsid w:val="003811A6"/>
    <w:rsid w:val="00381732"/>
    <w:rsid w:val="0038217C"/>
    <w:rsid w:val="00382ADF"/>
    <w:rsid w:val="00382C31"/>
    <w:rsid w:val="0038367E"/>
    <w:rsid w:val="00383A8B"/>
    <w:rsid w:val="00383E2C"/>
    <w:rsid w:val="00384C18"/>
    <w:rsid w:val="00385187"/>
    <w:rsid w:val="003851C2"/>
    <w:rsid w:val="003856A9"/>
    <w:rsid w:val="003856F8"/>
    <w:rsid w:val="00385A84"/>
    <w:rsid w:val="00385F46"/>
    <w:rsid w:val="00386016"/>
    <w:rsid w:val="00386411"/>
    <w:rsid w:val="0038663A"/>
    <w:rsid w:val="00386975"/>
    <w:rsid w:val="00386DF1"/>
    <w:rsid w:val="00387BBE"/>
    <w:rsid w:val="00390046"/>
    <w:rsid w:val="003902DE"/>
    <w:rsid w:val="0039092D"/>
    <w:rsid w:val="0039098C"/>
    <w:rsid w:val="00390CBC"/>
    <w:rsid w:val="003911DA"/>
    <w:rsid w:val="00391A93"/>
    <w:rsid w:val="00392295"/>
    <w:rsid w:val="003928F4"/>
    <w:rsid w:val="00392BA0"/>
    <w:rsid w:val="003939C9"/>
    <w:rsid w:val="003943E3"/>
    <w:rsid w:val="0039444A"/>
    <w:rsid w:val="00394C44"/>
    <w:rsid w:val="003958A6"/>
    <w:rsid w:val="00396416"/>
    <w:rsid w:val="00396E31"/>
    <w:rsid w:val="00397001"/>
    <w:rsid w:val="00397017"/>
    <w:rsid w:val="0039741C"/>
    <w:rsid w:val="00397893"/>
    <w:rsid w:val="00397B46"/>
    <w:rsid w:val="003A0271"/>
    <w:rsid w:val="003A0B17"/>
    <w:rsid w:val="003A0C03"/>
    <w:rsid w:val="003A0C62"/>
    <w:rsid w:val="003A1141"/>
    <w:rsid w:val="003A174C"/>
    <w:rsid w:val="003A1BE6"/>
    <w:rsid w:val="003A1D0A"/>
    <w:rsid w:val="003A1E54"/>
    <w:rsid w:val="003A21C0"/>
    <w:rsid w:val="003A23A3"/>
    <w:rsid w:val="003A2C0A"/>
    <w:rsid w:val="003A34D1"/>
    <w:rsid w:val="003A3A2E"/>
    <w:rsid w:val="003A3DF3"/>
    <w:rsid w:val="003A3FC9"/>
    <w:rsid w:val="003A4274"/>
    <w:rsid w:val="003A43F8"/>
    <w:rsid w:val="003A49A1"/>
    <w:rsid w:val="003A55C4"/>
    <w:rsid w:val="003A5612"/>
    <w:rsid w:val="003A5C91"/>
    <w:rsid w:val="003A604B"/>
    <w:rsid w:val="003A61EB"/>
    <w:rsid w:val="003A62B3"/>
    <w:rsid w:val="003A6E8D"/>
    <w:rsid w:val="003A745A"/>
    <w:rsid w:val="003A754E"/>
    <w:rsid w:val="003B04C0"/>
    <w:rsid w:val="003B0DD5"/>
    <w:rsid w:val="003B1344"/>
    <w:rsid w:val="003B189B"/>
    <w:rsid w:val="003B23B2"/>
    <w:rsid w:val="003B3AA4"/>
    <w:rsid w:val="003B3ECC"/>
    <w:rsid w:val="003B4DF7"/>
    <w:rsid w:val="003B4E7A"/>
    <w:rsid w:val="003B4F46"/>
    <w:rsid w:val="003B52BD"/>
    <w:rsid w:val="003B5561"/>
    <w:rsid w:val="003B564A"/>
    <w:rsid w:val="003B6505"/>
    <w:rsid w:val="003B6EDB"/>
    <w:rsid w:val="003C0494"/>
    <w:rsid w:val="003C0683"/>
    <w:rsid w:val="003C07FF"/>
    <w:rsid w:val="003C0D4E"/>
    <w:rsid w:val="003C103C"/>
    <w:rsid w:val="003C117B"/>
    <w:rsid w:val="003C1A28"/>
    <w:rsid w:val="003C1C70"/>
    <w:rsid w:val="003C1F66"/>
    <w:rsid w:val="003C2BDF"/>
    <w:rsid w:val="003C2C17"/>
    <w:rsid w:val="003C318B"/>
    <w:rsid w:val="003C3A8F"/>
    <w:rsid w:val="003C44BF"/>
    <w:rsid w:val="003C49CF"/>
    <w:rsid w:val="003C4E5B"/>
    <w:rsid w:val="003C4EE6"/>
    <w:rsid w:val="003C515C"/>
    <w:rsid w:val="003C544F"/>
    <w:rsid w:val="003C5CA2"/>
    <w:rsid w:val="003C621D"/>
    <w:rsid w:val="003C6DA8"/>
    <w:rsid w:val="003C6EC0"/>
    <w:rsid w:val="003C717C"/>
    <w:rsid w:val="003C7B3E"/>
    <w:rsid w:val="003D0182"/>
    <w:rsid w:val="003D0233"/>
    <w:rsid w:val="003D0DDE"/>
    <w:rsid w:val="003D114B"/>
    <w:rsid w:val="003D1222"/>
    <w:rsid w:val="003D1A8B"/>
    <w:rsid w:val="003D2F0B"/>
    <w:rsid w:val="003D34B4"/>
    <w:rsid w:val="003D38E5"/>
    <w:rsid w:val="003D39F2"/>
    <w:rsid w:val="003D3F10"/>
    <w:rsid w:val="003D417E"/>
    <w:rsid w:val="003D46C2"/>
    <w:rsid w:val="003D4DB2"/>
    <w:rsid w:val="003D5032"/>
    <w:rsid w:val="003D5285"/>
    <w:rsid w:val="003D5836"/>
    <w:rsid w:val="003D5E3D"/>
    <w:rsid w:val="003D630F"/>
    <w:rsid w:val="003D67BA"/>
    <w:rsid w:val="003D6BD8"/>
    <w:rsid w:val="003D6EE4"/>
    <w:rsid w:val="003D7025"/>
    <w:rsid w:val="003D7750"/>
    <w:rsid w:val="003D782E"/>
    <w:rsid w:val="003D7A4E"/>
    <w:rsid w:val="003D7C4A"/>
    <w:rsid w:val="003D7E7A"/>
    <w:rsid w:val="003D7EAD"/>
    <w:rsid w:val="003E008B"/>
    <w:rsid w:val="003E0A33"/>
    <w:rsid w:val="003E13CA"/>
    <w:rsid w:val="003E14C3"/>
    <w:rsid w:val="003E1B6A"/>
    <w:rsid w:val="003E2B6B"/>
    <w:rsid w:val="003E2DB8"/>
    <w:rsid w:val="003E3328"/>
    <w:rsid w:val="003E3536"/>
    <w:rsid w:val="003E37B8"/>
    <w:rsid w:val="003E40AD"/>
    <w:rsid w:val="003E41AB"/>
    <w:rsid w:val="003E46FD"/>
    <w:rsid w:val="003E4C0E"/>
    <w:rsid w:val="003E4C92"/>
    <w:rsid w:val="003E5939"/>
    <w:rsid w:val="003E607A"/>
    <w:rsid w:val="003E6414"/>
    <w:rsid w:val="003E695C"/>
    <w:rsid w:val="003E7219"/>
    <w:rsid w:val="003E741B"/>
    <w:rsid w:val="003E75F3"/>
    <w:rsid w:val="003E7603"/>
    <w:rsid w:val="003E78EB"/>
    <w:rsid w:val="003F028E"/>
    <w:rsid w:val="003F0DB7"/>
    <w:rsid w:val="003F1449"/>
    <w:rsid w:val="003F148A"/>
    <w:rsid w:val="003F1DCB"/>
    <w:rsid w:val="003F25F1"/>
    <w:rsid w:val="003F36BD"/>
    <w:rsid w:val="003F4974"/>
    <w:rsid w:val="003F4A01"/>
    <w:rsid w:val="003F5155"/>
    <w:rsid w:val="003F5185"/>
    <w:rsid w:val="003F570B"/>
    <w:rsid w:val="003F5DCA"/>
    <w:rsid w:val="003F5FD8"/>
    <w:rsid w:val="003F683A"/>
    <w:rsid w:val="004008C6"/>
    <w:rsid w:val="00400A46"/>
    <w:rsid w:val="00400B83"/>
    <w:rsid w:val="00400F7B"/>
    <w:rsid w:val="004014A7"/>
    <w:rsid w:val="0040214F"/>
    <w:rsid w:val="004026A5"/>
    <w:rsid w:val="004026DC"/>
    <w:rsid w:val="00402854"/>
    <w:rsid w:val="00402F92"/>
    <w:rsid w:val="00403117"/>
    <w:rsid w:val="00403AF2"/>
    <w:rsid w:val="0040496C"/>
    <w:rsid w:val="00404E29"/>
    <w:rsid w:val="00405057"/>
    <w:rsid w:val="00405EB5"/>
    <w:rsid w:val="0040636E"/>
    <w:rsid w:val="0040642B"/>
    <w:rsid w:val="004065D4"/>
    <w:rsid w:val="00406831"/>
    <w:rsid w:val="004068B5"/>
    <w:rsid w:val="004069BC"/>
    <w:rsid w:val="00406A75"/>
    <w:rsid w:val="00406BDA"/>
    <w:rsid w:val="00406E93"/>
    <w:rsid w:val="004071A9"/>
    <w:rsid w:val="00407752"/>
    <w:rsid w:val="0040783B"/>
    <w:rsid w:val="00407E53"/>
    <w:rsid w:val="00407E9A"/>
    <w:rsid w:val="00410368"/>
    <w:rsid w:val="00410665"/>
    <w:rsid w:val="004109F8"/>
    <w:rsid w:val="004119E2"/>
    <w:rsid w:val="00411D8D"/>
    <w:rsid w:val="004127C1"/>
    <w:rsid w:val="00412901"/>
    <w:rsid w:val="00413130"/>
    <w:rsid w:val="00413629"/>
    <w:rsid w:val="0041384E"/>
    <w:rsid w:val="00414206"/>
    <w:rsid w:val="00414512"/>
    <w:rsid w:val="00414620"/>
    <w:rsid w:val="00414841"/>
    <w:rsid w:val="0041496F"/>
    <w:rsid w:val="00414A94"/>
    <w:rsid w:val="004150D7"/>
    <w:rsid w:val="004152A8"/>
    <w:rsid w:val="00415C7E"/>
    <w:rsid w:val="0041618B"/>
    <w:rsid w:val="004167A2"/>
    <w:rsid w:val="00416A1C"/>
    <w:rsid w:val="0041746C"/>
    <w:rsid w:val="004174AA"/>
    <w:rsid w:val="004178B6"/>
    <w:rsid w:val="00417B1D"/>
    <w:rsid w:val="00417B57"/>
    <w:rsid w:val="00417F6F"/>
    <w:rsid w:val="00420A05"/>
    <w:rsid w:val="00420BF5"/>
    <w:rsid w:val="0042137A"/>
    <w:rsid w:val="00421562"/>
    <w:rsid w:val="00421784"/>
    <w:rsid w:val="00421B40"/>
    <w:rsid w:val="00421BE5"/>
    <w:rsid w:val="00421C35"/>
    <w:rsid w:val="004224E5"/>
    <w:rsid w:val="00422C18"/>
    <w:rsid w:val="004231BF"/>
    <w:rsid w:val="0042383F"/>
    <w:rsid w:val="00423D3A"/>
    <w:rsid w:val="00424203"/>
    <w:rsid w:val="004248E8"/>
    <w:rsid w:val="00424AF4"/>
    <w:rsid w:val="00425082"/>
    <w:rsid w:val="004261C8"/>
    <w:rsid w:val="004268DB"/>
    <w:rsid w:val="004277A3"/>
    <w:rsid w:val="004277B8"/>
    <w:rsid w:val="0043064C"/>
    <w:rsid w:val="004309D1"/>
    <w:rsid w:val="00430E6B"/>
    <w:rsid w:val="0043110A"/>
    <w:rsid w:val="00431BB1"/>
    <w:rsid w:val="00431F5E"/>
    <w:rsid w:val="0043201D"/>
    <w:rsid w:val="00432519"/>
    <w:rsid w:val="00432779"/>
    <w:rsid w:val="004329FF"/>
    <w:rsid w:val="00433BD3"/>
    <w:rsid w:val="004340DB"/>
    <w:rsid w:val="0043498F"/>
    <w:rsid w:val="00434C8F"/>
    <w:rsid w:val="004353BF"/>
    <w:rsid w:val="004357FC"/>
    <w:rsid w:val="00435901"/>
    <w:rsid w:val="00436547"/>
    <w:rsid w:val="0043657A"/>
    <w:rsid w:val="004367EE"/>
    <w:rsid w:val="00436C1A"/>
    <w:rsid w:val="00437784"/>
    <w:rsid w:val="004400BB"/>
    <w:rsid w:val="004401C9"/>
    <w:rsid w:val="004413B9"/>
    <w:rsid w:val="00441650"/>
    <w:rsid w:val="00441C2C"/>
    <w:rsid w:val="00441E65"/>
    <w:rsid w:val="004421CB"/>
    <w:rsid w:val="00442A6D"/>
    <w:rsid w:val="00442CF8"/>
    <w:rsid w:val="00443317"/>
    <w:rsid w:val="0044333A"/>
    <w:rsid w:val="0044334A"/>
    <w:rsid w:val="0044369D"/>
    <w:rsid w:val="00443A98"/>
    <w:rsid w:val="00443DAB"/>
    <w:rsid w:val="00443DDF"/>
    <w:rsid w:val="00443F36"/>
    <w:rsid w:val="0044460A"/>
    <w:rsid w:val="00444F73"/>
    <w:rsid w:val="00445A56"/>
    <w:rsid w:val="00445BDF"/>
    <w:rsid w:val="004465ED"/>
    <w:rsid w:val="004477DC"/>
    <w:rsid w:val="004512B5"/>
    <w:rsid w:val="00451EB6"/>
    <w:rsid w:val="0045213B"/>
    <w:rsid w:val="004529E2"/>
    <w:rsid w:val="00452B0F"/>
    <w:rsid w:val="00452C0C"/>
    <w:rsid w:val="0045336B"/>
    <w:rsid w:val="0045338B"/>
    <w:rsid w:val="0045349F"/>
    <w:rsid w:val="00453AEA"/>
    <w:rsid w:val="00453EDB"/>
    <w:rsid w:val="0045422D"/>
    <w:rsid w:val="00454728"/>
    <w:rsid w:val="00454BBA"/>
    <w:rsid w:val="00455173"/>
    <w:rsid w:val="0045667E"/>
    <w:rsid w:val="0045685B"/>
    <w:rsid w:val="00456B24"/>
    <w:rsid w:val="004576D6"/>
    <w:rsid w:val="00457D0A"/>
    <w:rsid w:val="00460611"/>
    <w:rsid w:val="00460A9A"/>
    <w:rsid w:val="00460CA7"/>
    <w:rsid w:val="0046103A"/>
    <w:rsid w:val="004613BA"/>
    <w:rsid w:val="004616C5"/>
    <w:rsid w:val="00461A73"/>
    <w:rsid w:val="00462AE3"/>
    <w:rsid w:val="004633AC"/>
    <w:rsid w:val="0046348C"/>
    <w:rsid w:val="00463887"/>
    <w:rsid w:val="004638BD"/>
    <w:rsid w:val="00463A96"/>
    <w:rsid w:val="00464877"/>
    <w:rsid w:val="00465146"/>
    <w:rsid w:val="00467127"/>
    <w:rsid w:val="00467595"/>
    <w:rsid w:val="00467EE1"/>
    <w:rsid w:val="00467F3D"/>
    <w:rsid w:val="004706AC"/>
    <w:rsid w:val="00470B30"/>
    <w:rsid w:val="00470CCA"/>
    <w:rsid w:val="00470DBB"/>
    <w:rsid w:val="0047239B"/>
    <w:rsid w:val="00472AD4"/>
    <w:rsid w:val="00472BC2"/>
    <w:rsid w:val="00472D01"/>
    <w:rsid w:val="00472EDF"/>
    <w:rsid w:val="00472F1D"/>
    <w:rsid w:val="004731A9"/>
    <w:rsid w:val="004731E9"/>
    <w:rsid w:val="00473210"/>
    <w:rsid w:val="00473BBD"/>
    <w:rsid w:val="00474C53"/>
    <w:rsid w:val="00474CF5"/>
    <w:rsid w:val="00474E8F"/>
    <w:rsid w:val="004752E5"/>
    <w:rsid w:val="0047580B"/>
    <w:rsid w:val="00475B28"/>
    <w:rsid w:val="004762BB"/>
    <w:rsid w:val="0047691E"/>
    <w:rsid w:val="0047697F"/>
    <w:rsid w:val="00476D7E"/>
    <w:rsid w:val="00477455"/>
    <w:rsid w:val="004775E3"/>
    <w:rsid w:val="00480459"/>
    <w:rsid w:val="00481637"/>
    <w:rsid w:val="0048182E"/>
    <w:rsid w:val="00481FB4"/>
    <w:rsid w:val="00482182"/>
    <w:rsid w:val="00483AE7"/>
    <w:rsid w:val="00483BE3"/>
    <w:rsid w:val="00483E12"/>
    <w:rsid w:val="00484385"/>
    <w:rsid w:val="00484A69"/>
    <w:rsid w:val="00484CE5"/>
    <w:rsid w:val="00484CFB"/>
    <w:rsid w:val="00485024"/>
    <w:rsid w:val="0048537B"/>
    <w:rsid w:val="00486061"/>
    <w:rsid w:val="0048618B"/>
    <w:rsid w:val="004862C2"/>
    <w:rsid w:val="004867DE"/>
    <w:rsid w:val="00486839"/>
    <w:rsid w:val="00486A53"/>
    <w:rsid w:val="00486E57"/>
    <w:rsid w:val="00487095"/>
    <w:rsid w:val="0048754D"/>
    <w:rsid w:val="00487B3A"/>
    <w:rsid w:val="00487BC3"/>
    <w:rsid w:val="00490A2C"/>
    <w:rsid w:val="00490A62"/>
    <w:rsid w:val="004915A4"/>
    <w:rsid w:val="00491968"/>
    <w:rsid w:val="00491A0E"/>
    <w:rsid w:val="00491E05"/>
    <w:rsid w:val="004920DD"/>
    <w:rsid w:val="004924D8"/>
    <w:rsid w:val="00492C5A"/>
    <w:rsid w:val="00492FE5"/>
    <w:rsid w:val="00493687"/>
    <w:rsid w:val="004938AF"/>
    <w:rsid w:val="00494320"/>
    <w:rsid w:val="00494712"/>
    <w:rsid w:val="00494BB2"/>
    <w:rsid w:val="00494EE6"/>
    <w:rsid w:val="004958CE"/>
    <w:rsid w:val="00495CD9"/>
    <w:rsid w:val="0049646F"/>
    <w:rsid w:val="00496B29"/>
    <w:rsid w:val="00496C3C"/>
    <w:rsid w:val="00496F0A"/>
    <w:rsid w:val="0049750E"/>
    <w:rsid w:val="00497C42"/>
    <w:rsid w:val="004A00DB"/>
    <w:rsid w:val="004A02FE"/>
    <w:rsid w:val="004A1117"/>
    <w:rsid w:val="004A1585"/>
    <w:rsid w:val="004A1D58"/>
    <w:rsid w:val="004A2241"/>
    <w:rsid w:val="004A232D"/>
    <w:rsid w:val="004A2333"/>
    <w:rsid w:val="004A27B2"/>
    <w:rsid w:val="004A2E28"/>
    <w:rsid w:val="004A2FC2"/>
    <w:rsid w:val="004A30B9"/>
    <w:rsid w:val="004A36C9"/>
    <w:rsid w:val="004A3AB1"/>
    <w:rsid w:val="004A3F0F"/>
    <w:rsid w:val="004A4DA9"/>
    <w:rsid w:val="004A55B8"/>
    <w:rsid w:val="004A5924"/>
    <w:rsid w:val="004A5CD3"/>
    <w:rsid w:val="004A5F43"/>
    <w:rsid w:val="004A601A"/>
    <w:rsid w:val="004A61D9"/>
    <w:rsid w:val="004A627C"/>
    <w:rsid w:val="004A652E"/>
    <w:rsid w:val="004A68D2"/>
    <w:rsid w:val="004A6D4D"/>
    <w:rsid w:val="004A6ED6"/>
    <w:rsid w:val="004A74DF"/>
    <w:rsid w:val="004A7DA0"/>
    <w:rsid w:val="004B0A34"/>
    <w:rsid w:val="004B1298"/>
    <w:rsid w:val="004B15FF"/>
    <w:rsid w:val="004B182F"/>
    <w:rsid w:val="004B20E5"/>
    <w:rsid w:val="004B2A95"/>
    <w:rsid w:val="004B2D24"/>
    <w:rsid w:val="004B3D04"/>
    <w:rsid w:val="004B3FF8"/>
    <w:rsid w:val="004B43AB"/>
    <w:rsid w:val="004B4433"/>
    <w:rsid w:val="004B47FD"/>
    <w:rsid w:val="004B490F"/>
    <w:rsid w:val="004B4B9B"/>
    <w:rsid w:val="004B4FCE"/>
    <w:rsid w:val="004B50E0"/>
    <w:rsid w:val="004B5183"/>
    <w:rsid w:val="004B51E8"/>
    <w:rsid w:val="004B5615"/>
    <w:rsid w:val="004B60BD"/>
    <w:rsid w:val="004B696F"/>
    <w:rsid w:val="004B6BE2"/>
    <w:rsid w:val="004B754D"/>
    <w:rsid w:val="004B7656"/>
    <w:rsid w:val="004B76AB"/>
    <w:rsid w:val="004B7AC7"/>
    <w:rsid w:val="004B7DCF"/>
    <w:rsid w:val="004B7E41"/>
    <w:rsid w:val="004C039E"/>
    <w:rsid w:val="004C06B6"/>
    <w:rsid w:val="004C172B"/>
    <w:rsid w:val="004C2EC4"/>
    <w:rsid w:val="004C3047"/>
    <w:rsid w:val="004C33A6"/>
    <w:rsid w:val="004C3831"/>
    <w:rsid w:val="004C3967"/>
    <w:rsid w:val="004C3A43"/>
    <w:rsid w:val="004C3BA6"/>
    <w:rsid w:val="004C3CE1"/>
    <w:rsid w:val="004C3EE8"/>
    <w:rsid w:val="004C4473"/>
    <w:rsid w:val="004C47D5"/>
    <w:rsid w:val="004C4B83"/>
    <w:rsid w:val="004C504A"/>
    <w:rsid w:val="004C5198"/>
    <w:rsid w:val="004C52DB"/>
    <w:rsid w:val="004C6076"/>
    <w:rsid w:val="004C63BC"/>
    <w:rsid w:val="004C6B47"/>
    <w:rsid w:val="004C6C9A"/>
    <w:rsid w:val="004C7054"/>
    <w:rsid w:val="004D0068"/>
    <w:rsid w:val="004D00FB"/>
    <w:rsid w:val="004D0D44"/>
    <w:rsid w:val="004D20B0"/>
    <w:rsid w:val="004D235F"/>
    <w:rsid w:val="004D2445"/>
    <w:rsid w:val="004D2FC9"/>
    <w:rsid w:val="004D386E"/>
    <w:rsid w:val="004D4248"/>
    <w:rsid w:val="004D42FD"/>
    <w:rsid w:val="004D455D"/>
    <w:rsid w:val="004D4683"/>
    <w:rsid w:val="004D5051"/>
    <w:rsid w:val="004D57C6"/>
    <w:rsid w:val="004D5B1C"/>
    <w:rsid w:val="004D6375"/>
    <w:rsid w:val="004D6C29"/>
    <w:rsid w:val="004D6CA6"/>
    <w:rsid w:val="004D6D8E"/>
    <w:rsid w:val="004D7294"/>
    <w:rsid w:val="004D7F60"/>
    <w:rsid w:val="004E0B08"/>
    <w:rsid w:val="004E1654"/>
    <w:rsid w:val="004E2D7D"/>
    <w:rsid w:val="004E2DA4"/>
    <w:rsid w:val="004E3785"/>
    <w:rsid w:val="004E3F9D"/>
    <w:rsid w:val="004E4C86"/>
    <w:rsid w:val="004E4CE8"/>
    <w:rsid w:val="004E4F01"/>
    <w:rsid w:val="004E5AAF"/>
    <w:rsid w:val="004E5BE7"/>
    <w:rsid w:val="004E5F66"/>
    <w:rsid w:val="004E6574"/>
    <w:rsid w:val="004E6864"/>
    <w:rsid w:val="004E6DEA"/>
    <w:rsid w:val="004E7199"/>
    <w:rsid w:val="004E7378"/>
    <w:rsid w:val="004E784E"/>
    <w:rsid w:val="004F0443"/>
    <w:rsid w:val="004F0762"/>
    <w:rsid w:val="004F07DA"/>
    <w:rsid w:val="004F0B20"/>
    <w:rsid w:val="004F11C7"/>
    <w:rsid w:val="004F194F"/>
    <w:rsid w:val="004F2157"/>
    <w:rsid w:val="004F25DF"/>
    <w:rsid w:val="004F2F2C"/>
    <w:rsid w:val="004F30F3"/>
    <w:rsid w:val="004F32BF"/>
    <w:rsid w:val="004F364C"/>
    <w:rsid w:val="004F3824"/>
    <w:rsid w:val="004F3D65"/>
    <w:rsid w:val="004F49CD"/>
    <w:rsid w:val="004F4E5D"/>
    <w:rsid w:val="004F4ED5"/>
    <w:rsid w:val="004F5035"/>
    <w:rsid w:val="004F5796"/>
    <w:rsid w:val="004F5A2A"/>
    <w:rsid w:val="004F5E5B"/>
    <w:rsid w:val="004F62D4"/>
    <w:rsid w:val="005002F0"/>
    <w:rsid w:val="005004D9"/>
    <w:rsid w:val="005005CF"/>
    <w:rsid w:val="005006C3"/>
    <w:rsid w:val="00501D8A"/>
    <w:rsid w:val="00501ED1"/>
    <w:rsid w:val="005028FA"/>
    <w:rsid w:val="00502EA6"/>
    <w:rsid w:val="0050341E"/>
    <w:rsid w:val="005037C1"/>
    <w:rsid w:val="00504191"/>
    <w:rsid w:val="0050421B"/>
    <w:rsid w:val="00504726"/>
    <w:rsid w:val="00504A10"/>
    <w:rsid w:val="0050585C"/>
    <w:rsid w:val="005058F6"/>
    <w:rsid w:val="00505B10"/>
    <w:rsid w:val="00507541"/>
    <w:rsid w:val="005076B3"/>
    <w:rsid w:val="005102F6"/>
    <w:rsid w:val="005104E9"/>
    <w:rsid w:val="005109BA"/>
    <w:rsid w:val="00510CB7"/>
    <w:rsid w:val="00511C57"/>
    <w:rsid w:val="00511EE2"/>
    <w:rsid w:val="00513D5A"/>
    <w:rsid w:val="00513FED"/>
    <w:rsid w:val="00514855"/>
    <w:rsid w:val="00514C43"/>
    <w:rsid w:val="00515316"/>
    <w:rsid w:val="00515334"/>
    <w:rsid w:val="005155F2"/>
    <w:rsid w:val="00515839"/>
    <w:rsid w:val="00515CD3"/>
    <w:rsid w:val="0051633A"/>
    <w:rsid w:val="005163BA"/>
    <w:rsid w:val="0051653B"/>
    <w:rsid w:val="005165B1"/>
    <w:rsid w:val="00516889"/>
    <w:rsid w:val="0051767F"/>
    <w:rsid w:val="00517822"/>
    <w:rsid w:val="00520009"/>
    <w:rsid w:val="00522F4E"/>
    <w:rsid w:val="005230C6"/>
    <w:rsid w:val="00523813"/>
    <w:rsid w:val="00523B82"/>
    <w:rsid w:val="00523DB4"/>
    <w:rsid w:val="00523DCD"/>
    <w:rsid w:val="00523FE8"/>
    <w:rsid w:val="005247EE"/>
    <w:rsid w:val="00525549"/>
    <w:rsid w:val="0052583A"/>
    <w:rsid w:val="00525AB5"/>
    <w:rsid w:val="00525B9C"/>
    <w:rsid w:val="00525E9F"/>
    <w:rsid w:val="005267C2"/>
    <w:rsid w:val="00526DC5"/>
    <w:rsid w:val="005309F3"/>
    <w:rsid w:val="00530AF3"/>
    <w:rsid w:val="00530C5F"/>
    <w:rsid w:val="0053146D"/>
    <w:rsid w:val="00531CAE"/>
    <w:rsid w:val="005322BE"/>
    <w:rsid w:val="00532455"/>
    <w:rsid w:val="0053310B"/>
    <w:rsid w:val="00533225"/>
    <w:rsid w:val="005333F5"/>
    <w:rsid w:val="00533444"/>
    <w:rsid w:val="00533AD3"/>
    <w:rsid w:val="00533CEB"/>
    <w:rsid w:val="00534C2D"/>
    <w:rsid w:val="00535393"/>
    <w:rsid w:val="005355A2"/>
    <w:rsid w:val="0053601E"/>
    <w:rsid w:val="005368D6"/>
    <w:rsid w:val="00536C48"/>
    <w:rsid w:val="00536FB9"/>
    <w:rsid w:val="00536FF8"/>
    <w:rsid w:val="0053705F"/>
    <w:rsid w:val="0053726E"/>
    <w:rsid w:val="00537A94"/>
    <w:rsid w:val="00537D5E"/>
    <w:rsid w:val="005402E7"/>
    <w:rsid w:val="00541864"/>
    <w:rsid w:val="0054188C"/>
    <w:rsid w:val="00541C90"/>
    <w:rsid w:val="00541DB1"/>
    <w:rsid w:val="005423D1"/>
    <w:rsid w:val="00542D2D"/>
    <w:rsid w:val="00543309"/>
    <w:rsid w:val="0054375C"/>
    <w:rsid w:val="00543D1C"/>
    <w:rsid w:val="00543DBB"/>
    <w:rsid w:val="00545A6E"/>
    <w:rsid w:val="00545A77"/>
    <w:rsid w:val="00545AEF"/>
    <w:rsid w:val="0054636B"/>
    <w:rsid w:val="005464DA"/>
    <w:rsid w:val="005469B4"/>
    <w:rsid w:val="00546CE9"/>
    <w:rsid w:val="00550403"/>
    <w:rsid w:val="005509CD"/>
    <w:rsid w:val="00550E0C"/>
    <w:rsid w:val="00550FC8"/>
    <w:rsid w:val="00551175"/>
    <w:rsid w:val="00551332"/>
    <w:rsid w:val="00551635"/>
    <w:rsid w:val="00551891"/>
    <w:rsid w:val="00551CB0"/>
    <w:rsid w:val="00551CEA"/>
    <w:rsid w:val="0055218E"/>
    <w:rsid w:val="005526D6"/>
    <w:rsid w:val="0055321E"/>
    <w:rsid w:val="00553E70"/>
    <w:rsid w:val="00554743"/>
    <w:rsid w:val="00554923"/>
    <w:rsid w:val="00554967"/>
    <w:rsid w:val="00554D3E"/>
    <w:rsid w:val="00554F5C"/>
    <w:rsid w:val="005555A9"/>
    <w:rsid w:val="005556DC"/>
    <w:rsid w:val="00555AC0"/>
    <w:rsid w:val="00556415"/>
    <w:rsid w:val="005567DF"/>
    <w:rsid w:val="00556853"/>
    <w:rsid w:val="00556CBA"/>
    <w:rsid w:val="00557ADD"/>
    <w:rsid w:val="00557DC0"/>
    <w:rsid w:val="005601B2"/>
    <w:rsid w:val="00560A22"/>
    <w:rsid w:val="00560D7B"/>
    <w:rsid w:val="0056181F"/>
    <w:rsid w:val="00561EC0"/>
    <w:rsid w:val="005620A5"/>
    <w:rsid w:val="00562104"/>
    <w:rsid w:val="00562973"/>
    <w:rsid w:val="00562DE2"/>
    <w:rsid w:val="00563E9C"/>
    <w:rsid w:val="00564782"/>
    <w:rsid w:val="005654BF"/>
    <w:rsid w:val="00565999"/>
    <w:rsid w:val="00565C43"/>
    <w:rsid w:val="0056659B"/>
    <w:rsid w:val="00566899"/>
    <w:rsid w:val="00566A26"/>
    <w:rsid w:val="0056732F"/>
    <w:rsid w:val="00567CE2"/>
    <w:rsid w:val="00567DBE"/>
    <w:rsid w:val="00567E22"/>
    <w:rsid w:val="00567EE3"/>
    <w:rsid w:val="00570191"/>
    <w:rsid w:val="005701D2"/>
    <w:rsid w:val="00570982"/>
    <w:rsid w:val="00571DC8"/>
    <w:rsid w:val="00572137"/>
    <w:rsid w:val="005723C9"/>
    <w:rsid w:val="00572887"/>
    <w:rsid w:val="00572EA4"/>
    <w:rsid w:val="00574452"/>
    <w:rsid w:val="00574647"/>
    <w:rsid w:val="0057538F"/>
    <w:rsid w:val="0057592F"/>
    <w:rsid w:val="0057609A"/>
    <w:rsid w:val="00576119"/>
    <w:rsid w:val="00576C75"/>
    <w:rsid w:val="00577AF2"/>
    <w:rsid w:val="00577EA7"/>
    <w:rsid w:val="00580566"/>
    <w:rsid w:val="0058058A"/>
    <w:rsid w:val="00580637"/>
    <w:rsid w:val="00580AC7"/>
    <w:rsid w:val="005813D8"/>
    <w:rsid w:val="00582B7E"/>
    <w:rsid w:val="00582D64"/>
    <w:rsid w:val="00583231"/>
    <w:rsid w:val="00583351"/>
    <w:rsid w:val="00583EDC"/>
    <w:rsid w:val="0058413D"/>
    <w:rsid w:val="00584184"/>
    <w:rsid w:val="005842FC"/>
    <w:rsid w:val="00584944"/>
    <w:rsid w:val="00584B59"/>
    <w:rsid w:val="005853EE"/>
    <w:rsid w:val="005858FC"/>
    <w:rsid w:val="0058731D"/>
    <w:rsid w:val="00587427"/>
    <w:rsid w:val="00587969"/>
    <w:rsid w:val="0059003D"/>
    <w:rsid w:val="00591F56"/>
    <w:rsid w:val="00592200"/>
    <w:rsid w:val="005924EB"/>
    <w:rsid w:val="00592E74"/>
    <w:rsid w:val="00592F0C"/>
    <w:rsid w:val="00593236"/>
    <w:rsid w:val="00593B0A"/>
    <w:rsid w:val="00593BEC"/>
    <w:rsid w:val="0059449B"/>
    <w:rsid w:val="005945CE"/>
    <w:rsid w:val="005946B8"/>
    <w:rsid w:val="0059478F"/>
    <w:rsid w:val="005947D2"/>
    <w:rsid w:val="00595CBE"/>
    <w:rsid w:val="00595E81"/>
    <w:rsid w:val="00596F32"/>
    <w:rsid w:val="00596FCD"/>
    <w:rsid w:val="0059709A"/>
    <w:rsid w:val="005978C0"/>
    <w:rsid w:val="00597B86"/>
    <w:rsid w:val="00597CD4"/>
    <w:rsid w:val="00597DFA"/>
    <w:rsid w:val="005A0240"/>
    <w:rsid w:val="005A03EE"/>
    <w:rsid w:val="005A0CBA"/>
    <w:rsid w:val="005A1054"/>
    <w:rsid w:val="005A1E54"/>
    <w:rsid w:val="005A1FCD"/>
    <w:rsid w:val="005A21A0"/>
    <w:rsid w:val="005A2993"/>
    <w:rsid w:val="005A2A04"/>
    <w:rsid w:val="005A2BA2"/>
    <w:rsid w:val="005A392A"/>
    <w:rsid w:val="005A3C7C"/>
    <w:rsid w:val="005A3DAF"/>
    <w:rsid w:val="005A4216"/>
    <w:rsid w:val="005A4EF3"/>
    <w:rsid w:val="005A542B"/>
    <w:rsid w:val="005A62BA"/>
    <w:rsid w:val="005A63BF"/>
    <w:rsid w:val="005A63C9"/>
    <w:rsid w:val="005A6B98"/>
    <w:rsid w:val="005A6E40"/>
    <w:rsid w:val="005A783A"/>
    <w:rsid w:val="005A788F"/>
    <w:rsid w:val="005B042F"/>
    <w:rsid w:val="005B0BD0"/>
    <w:rsid w:val="005B0C79"/>
    <w:rsid w:val="005B0FFA"/>
    <w:rsid w:val="005B13C5"/>
    <w:rsid w:val="005B1A04"/>
    <w:rsid w:val="005B1DEF"/>
    <w:rsid w:val="005B1F0B"/>
    <w:rsid w:val="005B1FEA"/>
    <w:rsid w:val="005B21E6"/>
    <w:rsid w:val="005B2F6C"/>
    <w:rsid w:val="005B35AB"/>
    <w:rsid w:val="005B4F81"/>
    <w:rsid w:val="005B5B1C"/>
    <w:rsid w:val="005B5C5F"/>
    <w:rsid w:val="005B5F28"/>
    <w:rsid w:val="005B5FD3"/>
    <w:rsid w:val="005B621C"/>
    <w:rsid w:val="005B6AF8"/>
    <w:rsid w:val="005B6F8D"/>
    <w:rsid w:val="005B7365"/>
    <w:rsid w:val="005B7BAE"/>
    <w:rsid w:val="005B7D3D"/>
    <w:rsid w:val="005C028D"/>
    <w:rsid w:val="005C04A8"/>
    <w:rsid w:val="005C068A"/>
    <w:rsid w:val="005C0C36"/>
    <w:rsid w:val="005C1708"/>
    <w:rsid w:val="005C1C91"/>
    <w:rsid w:val="005C28A2"/>
    <w:rsid w:val="005C2EB3"/>
    <w:rsid w:val="005C307C"/>
    <w:rsid w:val="005C386E"/>
    <w:rsid w:val="005C41D1"/>
    <w:rsid w:val="005C4334"/>
    <w:rsid w:val="005C441D"/>
    <w:rsid w:val="005C45E6"/>
    <w:rsid w:val="005C4685"/>
    <w:rsid w:val="005C49B6"/>
    <w:rsid w:val="005C5054"/>
    <w:rsid w:val="005C5061"/>
    <w:rsid w:val="005C5A97"/>
    <w:rsid w:val="005C683E"/>
    <w:rsid w:val="005C6A87"/>
    <w:rsid w:val="005C711F"/>
    <w:rsid w:val="005C7210"/>
    <w:rsid w:val="005C74A6"/>
    <w:rsid w:val="005D037F"/>
    <w:rsid w:val="005D0420"/>
    <w:rsid w:val="005D103B"/>
    <w:rsid w:val="005D17BF"/>
    <w:rsid w:val="005D18E2"/>
    <w:rsid w:val="005D19FC"/>
    <w:rsid w:val="005D1E51"/>
    <w:rsid w:val="005D1F46"/>
    <w:rsid w:val="005D222B"/>
    <w:rsid w:val="005D248D"/>
    <w:rsid w:val="005D24AE"/>
    <w:rsid w:val="005D2A88"/>
    <w:rsid w:val="005D3209"/>
    <w:rsid w:val="005D325E"/>
    <w:rsid w:val="005D333D"/>
    <w:rsid w:val="005D43D8"/>
    <w:rsid w:val="005D4786"/>
    <w:rsid w:val="005D5D5A"/>
    <w:rsid w:val="005D5E74"/>
    <w:rsid w:val="005D6694"/>
    <w:rsid w:val="005D720C"/>
    <w:rsid w:val="005D72C6"/>
    <w:rsid w:val="005D7E43"/>
    <w:rsid w:val="005E00ED"/>
    <w:rsid w:val="005E012E"/>
    <w:rsid w:val="005E02D1"/>
    <w:rsid w:val="005E05FF"/>
    <w:rsid w:val="005E0953"/>
    <w:rsid w:val="005E0FF4"/>
    <w:rsid w:val="005E1270"/>
    <w:rsid w:val="005E1693"/>
    <w:rsid w:val="005E17DB"/>
    <w:rsid w:val="005E1E52"/>
    <w:rsid w:val="005E3892"/>
    <w:rsid w:val="005E3BE9"/>
    <w:rsid w:val="005E3CF6"/>
    <w:rsid w:val="005E3D45"/>
    <w:rsid w:val="005E3EA7"/>
    <w:rsid w:val="005E43C6"/>
    <w:rsid w:val="005E460A"/>
    <w:rsid w:val="005E4F71"/>
    <w:rsid w:val="005E4FB3"/>
    <w:rsid w:val="005E601F"/>
    <w:rsid w:val="005E7A6B"/>
    <w:rsid w:val="005F02B4"/>
    <w:rsid w:val="005F0429"/>
    <w:rsid w:val="005F054C"/>
    <w:rsid w:val="005F072B"/>
    <w:rsid w:val="005F12B7"/>
    <w:rsid w:val="005F18C5"/>
    <w:rsid w:val="005F1FD1"/>
    <w:rsid w:val="005F2228"/>
    <w:rsid w:val="005F254F"/>
    <w:rsid w:val="005F2BAF"/>
    <w:rsid w:val="005F2D91"/>
    <w:rsid w:val="005F2D93"/>
    <w:rsid w:val="005F325B"/>
    <w:rsid w:val="005F37F4"/>
    <w:rsid w:val="005F3806"/>
    <w:rsid w:val="005F380A"/>
    <w:rsid w:val="005F3D54"/>
    <w:rsid w:val="005F413B"/>
    <w:rsid w:val="005F4989"/>
    <w:rsid w:val="005F50D4"/>
    <w:rsid w:val="005F543F"/>
    <w:rsid w:val="005F5849"/>
    <w:rsid w:val="005F59DD"/>
    <w:rsid w:val="005F5A9C"/>
    <w:rsid w:val="005F69AB"/>
    <w:rsid w:val="005F6CED"/>
    <w:rsid w:val="005F6E57"/>
    <w:rsid w:val="005F6F3D"/>
    <w:rsid w:val="005F6FB9"/>
    <w:rsid w:val="00600D36"/>
    <w:rsid w:val="00600F2F"/>
    <w:rsid w:val="006012F4"/>
    <w:rsid w:val="006023C1"/>
    <w:rsid w:val="0060270C"/>
    <w:rsid w:val="00602E62"/>
    <w:rsid w:val="006030FA"/>
    <w:rsid w:val="00603A99"/>
    <w:rsid w:val="00603E6F"/>
    <w:rsid w:val="00604F6A"/>
    <w:rsid w:val="00605255"/>
    <w:rsid w:val="00605436"/>
    <w:rsid w:val="006055F9"/>
    <w:rsid w:val="00605B74"/>
    <w:rsid w:val="006068BB"/>
    <w:rsid w:val="00607D88"/>
    <w:rsid w:val="00610633"/>
    <w:rsid w:val="00610719"/>
    <w:rsid w:val="00610A30"/>
    <w:rsid w:val="006113B1"/>
    <w:rsid w:val="006114B1"/>
    <w:rsid w:val="00611A8B"/>
    <w:rsid w:val="00612059"/>
    <w:rsid w:val="0061287A"/>
    <w:rsid w:val="00613826"/>
    <w:rsid w:val="0061391D"/>
    <w:rsid w:val="00613BEE"/>
    <w:rsid w:val="00613E0C"/>
    <w:rsid w:val="006149E5"/>
    <w:rsid w:val="00614E60"/>
    <w:rsid w:val="006153E6"/>
    <w:rsid w:val="00615C06"/>
    <w:rsid w:val="00616A6E"/>
    <w:rsid w:val="006174A9"/>
    <w:rsid w:val="00617BAD"/>
    <w:rsid w:val="00617DA1"/>
    <w:rsid w:val="006207CC"/>
    <w:rsid w:val="00621C8F"/>
    <w:rsid w:val="00621FE7"/>
    <w:rsid w:val="006221A4"/>
    <w:rsid w:val="00622847"/>
    <w:rsid w:val="0062290D"/>
    <w:rsid w:val="00622E30"/>
    <w:rsid w:val="00622E5A"/>
    <w:rsid w:val="0062323A"/>
    <w:rsid w:val="0062337F"/>
    <w:rsid w:val="00623674"/>
    <w:rsid w:val="00623F83"/>
    <w:rsid w:val="00625783"/>
    <w:rsid w:val="00625A84"/>
    <w:rsid w:val="00625AB2"/>
    <w:rsid w:val="00625EC7"/>
    <w:rsid w:val="00626843"/>
    <w:rsid w:val="00626E5C"/>
    <w:rsid w:val="006274DF"/>
    <w:rsid w:val="0062780E"/>
    <w:rsid w:val="00627939"/>
    <w:rsid w:val="006279AB"/>
    <w:rsid w:val="00627FA5"/>
    <w:rsid w:val="006302D9"/>
    <w:rsid w:val="0063031A"/>
    <w:rsid w:val="00630343"/>
    <w:rsid w:val="006305C5"/>
    <w:rsid w:val="006306BC"/>
    <w:rsid w:val="00630A9A"/>
    <w:rsid w:val="00630B87"/>
    <w:rsid w:val="006310FA"/>
    <w:rsid w:val="00631751"/>
    <w:rsid w:val="006321A6"/>
    <w:rsid w:val="00632DDF"/>
    <w:rsid w:val="00632E16"/>
    <w:rsid w:val="00632F51"/>
    <w:rsid w:val="006332F6"/>
    <w:rsid w:val="00633431"/>
    <w:rsid w:val="006334EE"/>
    <w:rsid w:val="006341AE"/>
    <w:rsid w:val="006347D1"/>
    <w:rsid w:val="006350CB"/>
    <w:rsid w:val="006352CD"/>
    <w:rsid w:val="00635574"/>
    <w:rsid w:val="00635862"/>
    <w:rsid w:val="00635C24"/>
    <w:rsid w:val="00635FC9"/>
    <w:rsid w:val="00636141"/>
    <w:rsid w:val="00636481"/>
    <w:rsid w:val="0063679F"/>
    <w:rsid w:val="00637327"/>
    <w:rsid w:val="006376C2"/>
    <w:rsid w:val="00637876"/>
    <w:rsid w:val="00637BDF"/>
    <w:rsid w:val="00637F0C"/>
    <w:rsid w:val="0064064E"/>
    <w:rsid w:val="00640BF0"/>
    <w:rsid w:val="00640D81"/>
    <w:rsid w:val="006410D7"/>
    <w:rsid w:val="00641BDE"/>
    <w:rsid w:val="00642B90"/>
    <w:rsid w:val="00642BD4"/>
    <w:rsid w:val="00643851"/>
    <w:rsid w:val="00644142"/>
    <w:rsid w:val="00644420"/>
    <w:rsid w:val="00645454"/>
    <w:rsid w:val="00645935"/>
    <w:rsid w:val="006466A4"/>
    <w:rsid w:val="00646C8F"/>
    <w:rsid w:val="00647CC0"/>
    <w:rsid w:val="00650BE2"/>
    <w:rsid w:val="00650DC6"/>
    <w:rsid w:val="006511C7"/>
    <w:rsid w:val="006516FB"/>
    <w:rsid w:val="0065224B"/>
    <w:rsid w:val="00652323"/>
    <w:rsid w:val="006523FD"/>
    <w:rsid w:val="00652AFC"/>
    <w:rsid w:val="00653770"/>
    <w:rsid w:val="00653DB4"/>
    <w:rsid w:val="00654076"/>
    <w:rsid w:val="006549C9"/>
    <w:rsid w:val="0065589C"/>
    <w:rsid w:val="0065592B"/>
    <w:rsid w:val="00655B86"/>
    <w:rsid w:val="0065649A"/>
    <w:rsid w:val="0065789C"/>
    <w:rsid w:val="00660119"/>
    <w:rsid w:val="006617C8"/>
    <w:rsid w:val="00663E01"/>
    <w:rsid w:val="00663FDE"/>
    <w:rsid w:val="0066512D"/>
    <w:rsid w:val="00665218"/>
    <w:rsid w:val="00665E1F"/>
    <w:rsid w:val="00666033"/>
    <w:rsid w:val="0066660E"/>
    <w:rsid w:val="0066726A"/>
    <w:rsid w:val="00667B8C"/>
    <w:rsid w:val="0067061F"/>
    <w:rsid w:val="00670FD2"/>
    <w:rsid w:val="006714A2"/>
    <w:rsid w:val="00671A6C"/>
    <w:rsid w:val="00671C05"/>
    <w:rsid w:val="00672C8C"/>
    <w:rsid w:val="006730B2"/>
    <w:rsid w:val="006731D7"/>
    <w:rsid w:val="006748EC"/>
    <w:rsid w:val="00674A42"/>
    <w:rsid w:val="00674CA3"/>
    <w:rsid w:val="00674FFF"/>
    <w:rsid w:val="006766C8"/>
    <w:rsid w:val="00677323"/>
    <w:rsid w:val="0067737F"/>
    <w:rsid w:val="006800D8"/>
    <w:rsid w:val="00680BD6"/>
    <w:rsid w:val="00680BF1"/>
    <w:rsid w:val="00682579"/>
    <w:rsid w:val="00682E79"/>
    <w:rsid w:val="00683195"/>
    <w:rsid w:val="0068320F"/>
    <w:rsid w:val="0068362E"/>
    <w:rsid w:val="006839E8"/>
    <w:rsid w:val="00683DAA"/>
    <w:rsid w:val="00683EFF"/>
    <w:rsid w:val="00683F97"/>
    <w:rsid w:val="00684363"/>
    <w:rsid w:val="006843F2"/>
    <w:rsid w:val="00684855"/>
    <w:rsid w:val="0068508B"/>
    <w:rsid w:val="00685843"/>
    <w:rsid w:val="00685CF9"/>
    <w:rsid w:val="00685D48"/>
    <w:rsid w:val="00685D9F"/>
    <w:rsid w:val="00686387"/>
    <w:rsid w:val="006869BC"/>
    <w:rsid w:val="00686A63"/>
    <w:rsid w:val="00686D86"/>
    <w:rsid w:val="006877B5"/>
    <w:rsid w:val="00687BC5"/>
    <w:rsid w:val="00687E3F"/>
    <w:rsid w:val="006903AE"/>
    <w:rsid w:val="00690462"/>
    <w:rsid w:val="00690555"/>
    <w:rsid w:val="0069237F"/>
    <w:rsid w:val="00692839"/>
    <w:rsid w:val="00692B99"/>
    <w:rsid w:val="00692CAC"/>
    <w:rsid w:val="00693A3F"/>
    <w:rsid w:val="00693E91"/>
    <w:rsid w:val="0069411E"/>
    <w:rsid w:val="00694138"/>
    <w:rsid w:val="006942EB"/>
    <w:rsid w:val="0069453F"/>
    <w:rsid w:val="0069469C"/>
    <w:rsid w:val="0069477A"/>
    <w:rsid w:val="00695693"/>
    <w:rsid w:val="006957BE"/>
    <w:rsid w:val="00695823"/>
    <w:rsid w:val="00695F49"/>
    <w:rsid w:val="0069624F"/>
    <w:rsid w:val="006965CF"/>
    <w:rsid w:val="00696A52"/>
    <w:rsid w:val="00696E4E"/>
    <w:rsid w:val="0069703A"/>
    <w:rsid w:val="006975D4"/>
    <w:rsid w:val="006A00A1"/>
    <w:rsid w:val="006A02F9"/>
    <w:rsid w:val="006A08DD"/>
    <w:rsid w:val="006A1C97"/>
    <w:rsid w:val="006A1FA4"/>
    <w:rsid w:val="006A21BF"/>
    <w:rsid w:val="006A223A"/>
    <w:rsid w:val="006A28A5"/>
    <w:rsid w:val="006A28B2"/>
    <w:rsid w:val="006A30C1"/>
    <w:rsid w:val="006A4B34"/>
    <w:rsid w:val="006A4F77"/>
    <w:rsid w:val="006A59E7"/>
    <w:rsid w:val="006A5D6D"/>
    <w:rsid w:val="006A654F"/>
    <w:rsid w:val="006A72CD"/>
    <w:rsid w:val="006B01E9"/>
    <w:rsid w:val="006B0EF6"/>
    <w:rsid w:val="006B10AE"/>
    <w:rsid w:val="006B12C4"/>
    <w:rsid w:val="006B1984"/>
    <w:rsid w:val="006B1AA4"/>
    <w:rsid w:val="006B1C18"/>
    <w:rsid w:val="006B1E17"/>
    <w:rsid w:val="006B27F9"/>
    <w:rsid w:val="006B29C8"/>
    <w:rsid w:val="006B2B0F"/>
    <w:rsid w:val="006B2D09"/>
    <w:rsid w:val="006B2DC2"/>
    <w:rsid w:val="006B2EE0"/>
    <w:rsid w:val="006B313E"/>
    <w:rsid w:val="006B3154"/>
    <w:rsid w:val="006B3229"/>
    <w:rsid w:val="006B43B7"/>
    <w:rsid w:val="006B446B"/>
    <w:rsid w:val="006B462B"/>
    <w:rsid w:val="006B47FF"/>
    <w:rsid w:val="006B4B0E"/>
    <w:rsid w:val="006B52F7"/>
    <w:rsid w:val="006B562B"/>
    <w:rsid w:val="006B58B7"/>
    <w:rsid w:val="006B59BA"/>
    <w:rsid w:val="006B59D9"/>
    <w:rsid w:val="006B67C8"/>
    <w:rsid w:val="006B73B5"/>
    <w:rsid w:val="006B7850"/>
    <w:rsid w:val="006B7BF3"/>
    <w:rsid w:val="006C0027"/>
    <w:rsid w:val="006C00B8"/>
    <w:rsid w:val="006C025A"/>
    <w:rsid w:val="006C025C"/>
    <w:rsid w:val="006C05A6"/>
    <w:rsid w:val="006C083C"/>
    <w:rsid w:val="006C19AB"/>
    <w:rsid w:val="006C1C6C"/>
    <w:rsid w:val="006C2447"/>
    <w:rsid w:val="006C316F"/>
    <w:rsid w:val="006C3E2B"/>
    <w:rsid w:val="006C488D"/>
    <w:rsid w:val="006C4C39"/>
    <w:rsid w:val="006C5133"/>
    <w:rsid w:val="006C5505"/>
    <w:rsid w:val="006C5962"/>
    <w:rsid w:val="006C5EA3"/>
    <w:rsid w:val="006C600A"/>
    <w:rsid w:val="006C6071"/>
    <w:rsid w:val="006C6565"/>
    <w:rsid w:val="006C659F"/>
    <w:rsid w:val="006C723A"/>
    <w:rsid w:val="006C7FFA"/>
    <w:rsid w:val="006D021F"/>
    <w:rsid w:val="006D074C"/>
    <w:rsid w:val="006D0ABF"/>
    <w:rsid w:val="006D15B0"/>
    <w:rsid w:val="006D1877"/>
    <w:rsid w:val="006D1B4B"/>
    <w:rsid w:val="006D1ED2"/>
    <w:rsid w:val="006D227F"/>
    <w:rsid w:val="006D26EC"/>
    <w:rsid w:val="006D2DA0"/>
    <w:rsid w:val="006D3106"/>
    <w:rsid w:val="006D3567"/>
    <w:rsid w:val="006D362C"/>
    <w:rsid w:val="006D3B09"/>
    <w:rsid w:val="006D3C4F"/>
    <w:rsid w:val="006D3E50"/>
    <w:rsid w:val="006D453A"/>
    <w:rsid w:val="006D45AC"/>
    <w:rsid w:val="006D487E"/>
    <w:rsid w:val="006D52F8"/>
    <w:rsid w:val="006D5532"/>
    <w:rsid w:val="006D5A0A"/>
    <w:rsid w:val="006D6AEF"/>
    <w:rsid w:val="006E048B"/>
    <w:rsid w:val="006E08E3"/>
    <w:rsid w:val="006E0D0D"/>
    <w:rsid w:val="006E0F47"/>
    <w:rsid w:val="006E16F9"/>
    <w:rsid w:val="006E182F"/>
    <w:rsid w:val="006E1E47"/>
    <w:rsid w:val="006E1F47"/>
    <w:rsid w:val="006E1F81"/>
    <w:rsid w:val="006E49E8"/>
    <w:rsid w:val="006E4A24"/>
    <w:rsid w:val="006E4A43"/>
    <w:rsid w:val="006E4B8C"/>
    <w:rsid w:val="006E4BC2"/>
    <w:rsid w:val="006E4F9A"/>
    <w:rsid w:val="006E5152"/>
    <w:rsid w:val="006E660B"/>
    <w:rsid w:val="006E6FF2"/>
    <w:rsid w:val="006E74E7"/>
    <w:rsid w:val="006E7F52"/>
    <w:rsid w:val="006F03A4"/>
    <w:rsid w:val="006F0646"/>
    <w:rsid w:val="006F0B0E"/>
    <w:rsid w:val="006F1512"/>
    <w:rsid w:val="006F1A70"/>
    <w:rsid w:val="006F382F"/>
    <w:rsid w:val="006F4C14"/>
    <w:rsid w:val="006F541E"/>
    <w:rsid w:val="006F5512"/>
    <w:rsid w:val="006F56E4"/>
    <w:rsid w:val="006F6A88"/>
    <w:rsid w:val="006F6AAE"/>
    <w:rsid w:val="006F6D71"/>
    <w:rsid w:val="006F7B75"/>
    <w:rsid w:val="006F7C3A"/>
    <w:rsid w:val="0070084B"/>
    <w:rsid w:val="007009FD"/>
    <w:rsid w:val="00700C80"/>
    <w:rsid w:val="00702FC8"/>
    <w:rsid w:val="007040DD"/>
    <w:rsid w:val="0070464A"/>
    <w:rsid w:val="00704A72"/>
    <w:rsid w:val="00704AC5"/>
    <w:rsid w:val="00705781"/>
    <w:rsid w:val="00705980"/>
    <w:rsid w:val="00706672"/>
    <w:rsid w:val="00706B50"/>
    <w:rsid w:val="00706D0D"/>
    <w:rsid w:val="007070FD"/>
    <w:rsid w:val="007071FE"/>
    <w:rsid w:val="00707245"/>
    <w:rsid w:val="00707261"/>
    <w:rsid w:val="00707326"/>
    <w:rsid w:val="00707387"/>
    <w:rsid w:val="00707733"/>
    <w:rsid w:val="00707B1D"/>
    <w:rsid w:val="00707D6A"/>
    <w:rsid w:val="007101B6"/>
    <w:rsid w:val="00710239"/>
    <w:rsid w:val="00710BAB"/>
    <w:rsid w:val="00710C34"/>
    <w:rsid w:val="00711B49"/>
    <w:rsid w:val="00711DEE"/>
    <w:rsid w:val="00711E03"/>
    <w:rsid w:val="00711E3E"/>
    <w:rsid w:val="007127EA"/>
    <w:rsid w:val="00712956"/>
    <w:rsid w:val="007129BC"/>
    <w:rsid w:val="00712CC1"/>
    <w:rsid w:val="00712EDC"/>
    <w:rsid w:val="00713E29"/>
    <w:rsid w:val="00714179"/>
    <w:rsid w:val="00714AB4"/>
    <w:rsid w:val="00715C17"/>
    <w:rsid w:val="00715DD0"/>
    <w:rsid w:val="007161E5"/>
    <w:rsid w:val="00716437"/>
    <w:rsid w:val="00716A8D"/>
    <w:rsid w:val="00716F13"/>
    <w:rsid w:val="00717B55"/>
    <w:rsid w:val="0072003D"/>
    <w:rsid w:val="0072006B"/>
    <w:rsid w:val="007200A0"/>
    <w:rsid w:val="00720986"/>
    <w:rsid w:val="00720CA8"/>
    <w:rsid w:val="00721328"/>
    <w:rsid w:val="00721B49"/>
    <w:rsid w:val="00721D9C"/>
    <w:rsid w:val="007227A3"/>
    <w:rsid w:val="00722AA0"/>
    <w:rsid w:val="0072342B"/>
    <w:rsid w:val="00723C1A"/>
    <w:rsid w:val="00724996"/>
    <w:rsid w:val="00724A17"/>
    <w:rsid w:val="00724C37"/>
    <w:rsid w:val="00724D36"/>
    <w:rsid w:val="00724DEB"/>
    <w:rsid w:val="007251E1"/>
    <w:rsid w:val="0072521B"/>
    <w:rsid w:val="00725431"/>
    <w:rsid w:val="00725441"/>
    <w:rsid w:val="00725BF5"/>
    <w:rsid w:val="00725E1E"/>
    <w:rsid w:val="00726421"/>
    <w:rsid w:val="00726465"/>
    <w:rsid w:val="00726681"/>
    <w:rsid w:val="0072680B"/>
    <w:rsid w:val="00726D77"/>
    <w:rsid w:val="00730650"/>
    <w:rsid w:val="007306BB"/>
    <w:rsid w:val="007310A4"/>
    <w:rsid w:val="007314C6"/>
    <w:rsid w:val="0073247E"/>
    <w:rsid w:val="00732A38"/>
    <w:rsid w:val="007330C8"/>
    <w:rsid w:val="00733B7D"/>
    <w:rsid w:val="00733BB7"/>
    <w:rsid w:val="00733E80"/>
    <w:rsid w:val="0073464C"/>
    <w:rsid w:val="007348D5"/>
    <w:rsid w:val="00734CD3"/>
    <w:rsid w:val="00736E36"/>
    <w:rsid w:val="00737245"/>
    <w:rsid w:val="00737431"/>
    <w:rsid w:val="00737982"/>
    <w:rsid w:val="007379D2"/>
    <w:rsid w:val="00737BB2"/>
    <w:rsid w:val="00737D27"/>
    <w:rsid w:val="007402C9"/>
    <w:rsid w:val="007406B9"/>
    <w:rsid w:val="00741158"/>
    <w:rsid w:val="0074288E"/>
    <w:rsid w:val="007429D9"/>
    <w:rsid w:val="00742AFE"/>
    <w:rsid w:val="00742CFF"/>
    <w:rsid w:val="007436A9"/>
    <w:rsid w:val="007436BC"/>
    <w:rsid w:val="007440BB"/>
    <w:rsid w:val="00744991"/>
    <w:rsid w:val="00745F42"/>
    <w:rsid w:val="00745F71"/>
    <w:rsid w:val="00746373"/>
    <w:rsid w:val="007465D3"/>
    <w:rsid w:val="0074689D"/>
    <w:rsid w:val="00746903"/>
    <w:rsid w:val="00746B92"/>
    <w:rsid w:val="0074720F"/>
    <w:rsid w:val="007472DC"/>
    <w:rsid w:val="0074738A"/>
    <w:rsid w:val="007519CF"/>
    <w:rsid w:val="00751C1B"/>
    <w:rsid w:val="00751CED"/>
    <w:rsid w:val="00752076"/>
    <w:rsid w:val="00752866"/>
    <w:rsid w:val="007528D6"/>
    <w:rsid w:val="00752CAD"/>
    <w:rsid w:val="00752CF5"/>
    <w:rsid w:val="0075317A"/>
    <w:rsid w:val="00753934"/>
    <w:rsid w:val="00754CC7"/>
    <w:rsid w:val="00754D37"/>
    <w:rsid w:val="00755441"/>
    <w:rsid w:val="00755A22"/>
    <w:rsid w:val="00755E05"/>
    <w:rsid w:val="007568AE"/>
    <w:rsid w:val="007568F5"/>
    <w:rsid w:val="00757299"/>
    <w:rsid w:val="00760AB2"/>
    <w:rsid w:val="00761155"/>
    <w:rsid w:val="0076148E"/>
    <w:rsid w:val="0076206C"/>
    <w:rsid w:val="0076268F"/>
    <w:rsid w:val="007630C1"/>
    <w:rsid w:val="00764000"/>
    <w:rsid w:val="007642B6"/>
    <w:rsid w:val="0076481F"/>
    <w:rsid w:val="00764E45"/>
    <w:rsid w:val="007653FA"/>
    <w:rsid w:val="00765DCC"/>
    <w:rsid w:val="00766E38"/>
    <w:rsid w:val="00766EDE"/>
    <w:rsid w:val="007671C7"/>
    <w:rsid w:val="007675BC"/>
    <w:rsid w:val="007677C1"/>
    <w:rsid w:val="007706E2"/>
    <w:rsid w:val="0077086C"/>
    <w:rsid w:val="007709FE"/>
    <w:rsid w:val="00770C70"/>
    <w:rsid w:val="007713F3"/>
    <w:rsid w:val="0077183B"/>
    <w:rsid w:val="00771FDD"/>
    <w:rsid w:val="00772517"/>
    <w:rsid w:val="007725E3"/>
    <w:rsid w:val="007726F1"/>
    <w:rsid w:val="007735A2"/>
    <w:rsid w:val="0077379A"/>
    <w:rsid w:val="007739F1"/>
    <w:rsid w:val="00774878"/>
    <w:rsid w:val="0077556A"/>
    <w:rsid w:val="00775F8E"/>
    <w:rsid w:val="00776A4D"/>
    <w:rsid w:val="007776C4"/>
    <w:rsid w:val="00777A8D"/>
    <w:rsid w:val="007808FF"/>
    <w:rsid w:val="00780B09"/>
    <w:rsid w:val="00780EFE"/>
    <w:rsid w:val="0078118E"/>
    <w:rsid w:val="00781249"/>
    <w:rsid w:val="0078134E"/>
    <w:rsid w:val="00781408"/>
    <w:rsid w:val="00781425"/>
    <w:rsid w:val="007819CA"/>
    <w:rsid w:val="00782ABA"/>
    <w:rsid w:val="00782FC1"/>
    <w:rsid w:val="00783245"/>
    <w:rsid w:val="007836A6"/>
    <w:rsid w:val="007838BD"/>
    <w:rsid w:val="00783E75"/>
    <w:rsid w:val="00784110"/>
    <w:rsid w:val="0078458C"/>
    <w:rsid w:val="00784973"/>
    <w:rsid w:val="007849DA"/>
    <w:rsid w:val="00784AE9"/>
    <w:rsid w:val="007863BA"/>
    <w:rsid w:val="007865E9"/>
    <w:rsid w:val="00786602"/>
    <w:rsid w:val="00786743"/>
    <w:rsid w:val="00786D3D"/>
    <w:rsid w:val="00786FE2"/>
    <w:rsid w:val="007911D2"/>
    <w:rsid w:val="0079138F"/>
    <w:rsid w:val="007916AD"/>
    <w:rsid w:val="007916B2"/>
    <w:rsid w:val="0079178D"/>
    <w:rsid w:val="00791CC8"/>
    <w:rsid w:val="00792316"/>
    <w:rsid w:val="00792AE1"/>
    <w:rsid w:val="0079313B"/>
    <w:rsid w:val="00793251"/>
    <w:rsid w:val="007949ED"/>
    <w:rsid w:val="0079530D"/>
    <w:rsid w:val="0079543A"/>
    <w:rsid w:val="0079577E"/>
    <w:rsid w:val="0079591C"/>
    <w:rsid w:val="00795A1D"/>
    <w:rsid w:val="00795E24"/>
    <w:rsid w:val="00796E59"/>
    <w:rsid w:val="007970B3"/>
    <w:rsid w:val="007977C1"/>
    <w:rsid w:val="00797B05"/>
    <w:rsid w:val="007A001B"/>
    <w:rsid w:val="007A0278"/>
    <w:rsid w:val="007A0E89"/>
    <w:rsid w:val="007A0E9B"/>
    <w:rsid w:val="007A2A57"/>
    <w:rsid w:val="007A340F"/>
    <w:rsid w:val="007A3653"/>
    <w:rsid w:val="007A39BD"/>
    <w:rsid w:val="007A3EBA"/>
    <w:rsid w:val="007A4107"/>
    <w:rsid w:val="007A57DC"/>
    <w:rsid w:val="007A5F28"/>
    <w:rsid w:val="007A60B7"/>
    <w:rsid w:val="007A61B4"/>
    <w:rsid w:val="007A6357"/>
    <w:rsid w:val="007A63F6"/>
    <w:rsid w:val="007A66E9"/>
    <w:rsid w:val="007A6728"/>
    <w:rsid w:val="007A67CE"/>
    <w:rsid w:val="007A6ABD"/>
    <w:rsid w:val="007A71B3"/>
    <w:rsid w:val="007A7C96"/>
    <w:rsid w:val="007A7FC2"/>
    <w:rsid w:val="007B02C5"/>
    <w:rsid w:val="007B0745"/>
    <w:rsid w:val="007B1A17"/>
    <w:rsid w:val="007B23CA"/>
    <w:rsid w:val="007B249E"/>
    <w:rsid w:val="007B2528"/>
    <w:rsid w:val="007B286F"/>
    <w:rsid w:val="007B2A45"/>
    <w:rsid w:val="007B2BED"/>
    <w:rsid w:val="007B2FAE"/>
    <w:rsid w:val="007B37C1"/>
    <w:rsid w:val="007B3B08"/>
    <w:rsid w:val="007B3D97"/>
    <w:rsid w:val="007B3FC8"/>
    <w:rsid w:val="007B4026"/>
    <w:rsid w:val="007B4686"/>
    <w:rsid w:val="007B4950"/>
    <w:rsid w:val="007B4A5D"/>
    <w:rsid w:val="007B4A6B"/>
    <w:rsid w:val="007B4A6C"/>
    <w:rsid w:val="007B4E72"/>
    <w:rsid w:val="007B51A3"/>
    <w:rsid w:val="007B5545"/>
    <w:rsid w:val="007B574C"/>
    <w:rsid w:val="007B61D8"/>
    <w:rsid w:val="007B663E"/>
    <w:rsid w:val="007B6A5C"/>
    <w:rsid w:val="007B6C2E"/>
    <w:rsid w:val="007B725B"/>
    <w:rsid w:val="007B7E4B"/>
    <w:rsid w:val="007C0A14"/>
    <w:rsid w:val="007C0CC5"/>
    <w:rsid w:val="007C0FBD"/>
    <w:rsid w:val="007C1023"/>
    <w:rsid w:val="007C1B85"/>
    <w:rsid w:val="007C2058"/>
    <w:rsid w:val="007C23D2"/>
    <w:rsid w:val="007C2920"/>
    <w:rsid w:val="007C29AF"/>
    <w:rsid w:val="007C29B1"/>
    <w:rsid w:val="007C2DDE"/>
    <w:rsid w:val="007C3C3C"/>
    <w:rsid w:val="007C3EB6"/>
    <w:rsid w:val="007C3F56"/>
    <w:rsid w:val="007C431E"/>
    <w:rsid w:val="007C45EA"/>
    <w:rsid w:val="007C4A9D"/>
    <w:rsid w:val="007C4BCF"/>
    <w:rsid w:val="007C4C34"/>
    <w:rsid w:val="007C4F88"/>
    <w:rsid w:val="007C5553"/>
    <w:rsid w:val="007C571C"/>
    <w:rsid w:val="007C5EDE"/>
    <w:rsid w:val="007C6D96"/>
    <w:rsid w:val="007C71CB"/>
    <w:rsid w:val="007C795B"/>
    <w:rsid w:val="007C7EEF"/>
    <w:rsid w:val="007D0756"/>
    <w:rsid w:val="007D0B6B"/>
    <w:rsid w:val="007D0C4F"/>
    <w:rsid w:val="007D118F"/>
    <w:rsid w:val="007D1567"/>
    <w:rsid w:val="007D1F9E"/>
    <w:rsid w:val="007D20BD"/>
    <w:rsid w:val="007D2C15"/>
    <w:rsid w:val="007D32C4"/>
    <w:rsid w:val="007D39D2"/>
    <w:rsid w:val="007D4954"/>
    <w:rsid w:val="007D51A9"/>
    <w:rsid w:val="007D6261"/>
    <w:rsid w:val="007D66FB"/>
    <w:rsid w:val="007D6EC8"/>
    <w:rsid w:val="007D7672"/>
    <w:rsid w:val="007D7B92"/>
    <w:rsid w:val="007D7D41"/>
    <w:rsid w:val="007D7D67"/>
    <w:rsid w:val="007D7F73"/>
    <w:rsid w:val="007E0311"/>
    <w:rsid w:val="007E0A9C"/>
    <w:rsid w:val="007E1133"/>
    <w:rsid w:val="007E1B16"/>
    <w:rsid w:val="007E1FD4"/>
    <w:rsid w:val="007E22AA"/>
    <w:rsid w:val="007E262D"/>
    <w:rsid w:val="007E2DDE"/>
    <w:rsid w:val="007E34AA"/>
    <w:rsid w:val="007E3D8C"/>
    <w:rsid w:val="007E4906"/>
    <w:rsid w:val="007E55D2"/>
    <w:rsid w:val="007E5D32"/>
    <w:rsid w:val="007E6E75"/>
    <w:rsid w:val="007E7328"/>
    <w:rsid w:val="007E78EB"/>
    <w:rsid w:val="007E7C63"/>
    <w:rsid w:val="007E7EE3"/>
    <w:rsid w:val="007F049D"/>
    <w:rsid w:val="007F0800"/>
    <w:rsid w:val="007F09BF"/>
    <w:rsid w:val="007F0C11"/>
    <w:rsid w:val="007F16AA"/>
    <w:rsid w:val="007F1751"/>
    <w:rsid w:val="007F1B5F"/>
    <w:rsid w:val="007F1E0F"/>
    <w:rsid w:val="007F218B"/>
    <w:rsid w:val="007F2A7C"/>
    <w:rsid w:val="007F2B28"/>
    <w:rsid w:val="007F2C8D"/>
    <w:rsid w:val="007F2DBB"/>
    <w:rsid w:val="007F3E27"/>
    <w:rsid w:val="007F3FE2"/>
    <w:rsid w:val="007F4467"/>
    <w:rsid w:val="007F4602"/>
    <w:rsid w:val="007F4682"/>
    <w:rsid w:val="007F47B3"/>
    <w:rsid w:val="007F4996"/>
    <w:rsid w:val="007F4E8F"/>
    <w:rsid w:val="007F5599"/>
    <w:rsid w:val="007F5674"/>
    <w:rsid w:val="007F5D54"/>
    <w:rsid w:val="007F5DA7"/>
    <w:rsid w:val="007F5EE5"/>
    <w:rsid w:val="007F5F09"/>
    <w:rsid w:val="007F689F"/>
    <w:rsid w:val="007F6974"/>
    <w:rsid w:val="007F6F9B"/>
    <w:rsid w:val="007F7222"/>
    <w:rsid w:val="0080042C"/>
    <w:rsid w:val="0080045D"/>
    <w:rsid w:val="008009D4"/>
    <w:rsid w:val="00800DEB"/>
    <w:rsid w:val="0080113B"/>
    <w:rsid w:val="00802031"/>
    <w:rsid w:val="008023B5"/>
    <w:rsid w:val="008024E5"/>
    <w:rsid w:val="008026F4"/>
    <w:rsid w:val="00802B19"/>
    <w:rsid w:val="00803083"/>
    <w:rsid w:val="008031C4"/>
    <w:rsid w:val="0080322A"/>
    <w:rsid w:val="00803919"/>
    <w:rsid w:val="00803DFB"/>
    <w:rsid w:val="00804135"/>
    <w:rsid w:val="0080419B"/>
    <w:rsid w:val="008042DB"/>
    <w:rsid w:val="00804A52"/>
    <w:rsid w:val="00805035"/>
    <w:rsid w:val="00805272"/>
    <w:rsid w:val="00805894"/>
    <w:rsid w:val="0080591A"/>
    <w:rsid w:val="00805FC2"/>
    <w:rsid w:val="00806461"/>
    <w:rsid w:val="00806583"/>
    <w:rsid w:val="00806BCD"/>
    <w:rsid w:val="00806D73"/>
    <w:rsid w:val="00806FAD"/>
    <w:rsid w:val="00807456"/>
    <w:rsid w:val="0080758D"/>
    <w:rsid w:val="008076E8"/>
    <w:rsid w:val="00807C6E"/>
    <w:rsid w:val="00810092"/>
    <w:rsid w:val="008100CD"/>
    <w:rsid w:val="00810580"/>
    <w:rsid w:val="00810699"/>
    <w:rsid w:val="008112B6"/>
    <w:rsid w:val="008116A8"/>
    <w:rsid w:val="00812023"/>
    <w:rsid w:val="00812442"/>
    <w:rsid w:val="008124BA"/>
    <w:rsid w:val="00812E10"/>
    <w:rsid w:val="00813089"/>
    <w:rsid w:val="00813479"/>
    <w:rsid w:val="00813A2D"/>
    <w:rsid w:val="008158AA"/>
    <w:rsid w:val="00815EFB"/>
    <w:rsid w:val="00816FB2"/>
    <w:rsid w:val="00817B3E"/>
    <w:rsid w:val="00817D79"/>
    <w:rsid w:val="008203B5"/>
    <w:rsid w:val="008204AA"/>
    <w:rsid w:val="00820CFC"/>
    <w:rsid w:val="0082184A"/>
    <w:rsid w:val="00822AE2"/>
    <w:rsid w:val="0082437A"/>
    <w:rsid w:val="0082450F"/>
    <w:rsid w:val="008246C1"/>
    <w:rsid w:val="008247BC"/>
    <w:rsid w:val="00825122"/>
    <w:rsid w:val="00825927"/>
    <w:rsid w:val="00825955"/>
    <w:rsid w:val="008261A0"/>
    <w:rsid w:val="0082667B"/>
    <w:rsid w:val="0082673D"/>
    <w:rsid w:val="008270EC"/>
    <w:rsid w:val="0082737C"/>
    <w:rsid w:val="008273E5"/>
    <w:rsid w:val="0082741F"/>
    <w:rsid w:val="0082786A"/>
    <w:rsid w:val="008278F0"/>
    <w:rsid w:val="00827E5A"/>
    <w:rsid w:val="008300DA"/>
    <w:rsid w:val="00830786"/>
    <w:rsid w:val="00830A48"/>
    <w:rsid w:val="0083236B"/>
    <w:rsid w:val="008324EE"/>
    <w:rsid w:val="00832C33"/>
    <w:rsid w:val="00832D13"/>
    <w:rsid w:val="00832F16"/>
    <w:rsid w:val="0083355A"/>
    <w:rsid w:val="008344ED"/>
    <w:rsid w:val="00834590"/>
    <w:rsid w:val="00834975"/>
    <w:rsid w:val="00834D0F"/>
    <w:rsid w:val="00834F50"/>
    <w:rsid w:val="008353FA"/>
    <w:rsid w:val="0083562E"/>
    <w:rsid w:val="0083581B"/>
    <w:rsid w:val="00835FEF"/>
    <w:rsid w:val="008360D3"/>
    <w:rsid w:val="0083623D"/>
    <w:rsid w:val="00836AF3"/>
    <w:rsid w:val="00836CC1"/>
    <w:rsid w:val="008379B5"/>
    <w:rsid w:val="00837BDB"/>
    <w:rsid w:val="00837C54"/>
    <w:rsid w:val="008403FA"/>
    <w:rsid w:val="00840677"/>
    <w:rsid w:val="00840B2C"/>
    <w:rsid w:val="00840C32"/>
    <w:rsid w:val="00840E88"/>
    <w:rsid w:val="00840F6F"/>
    <w:rsid w:val="00840FBF"/>
    <w:rsid w:val="00841187"/>
    <w:rsid w:val="008418B5"/>
    <w:rsid w:val="00841A2B"/>
    <w:rsid w:val="008420FF"/>
    <w:rsid w:val="0084249C"/>
    <w:rsid w:val="008437A5"/>
    <w:rsid w:val="00843B3C"/>
    <w:rsid w:val="00843F43"/>
    <w:rsid w:val="008444CD"/>
    <w:rsid w:val="008444F9"/>
    <w:rsid w:val="00844BEC"/>
    <w:rsid w:val="00844CFF"/>
    <w:rsid w:val="00844DDB"/>
    <w:rsid w:val="00846466"/>
    <w:rsid w:val="00846CC3"/>
    <w:rsid w:val="008475FA"/>
    <w:rsid w:val="00847B41"/>
    <w:rsid w:val="008500A3"/>
    <w:rsid w:val="0085056F"/>
    <w:rsid w:val="00850D62"/>
    <w:rsid w:val="0085287B"/>
    <w:rsid w:val="00852A94"/>
    <w:rsid w:val="00853110"/>
    <w:rsid w:val="00853ABC"/>
    <w:rsid w:val="00853B06"/>
    <w:rsid w:val="00853E53"/>
    <w:rsid w:val="008549AD"/>
    <w:rsid w:val="00854A23"/>
    <w:rsid w:val="00854A9F"/>
    <w:rsid w:val="00855EB7"/>
    <w:rsid w:val="00856791"/>
    <w:rsid w:val="00856AD1"/>
    <w:rsid w:val="00857969"/>
    <w:rsid w:val="00861146"/>
    <w:rsid w:val="00861845"/>
    <w:rsid w:val="00861853"/>
    <w:rsid w:val="00861862"/>
    <w:rsid w:val="0086213A"/>
    <w:rsid w:val="0086243A"/>
    <w:rsid w:val="00862F9E"/>
    <w:rsid w:val="0086307E"/>
    <w:rsid w:val="0086333E"/>
    <w:rsid w:val="00863ED9"/>
    <w:rsid w:val="00863F91"/>
    <w:rsid w:val="00864101"/>
    <w:rsid w:val="00864986"/>
    <w:rsid w:val="0086565D"/>
    <w:rsid w:val="00865D09"/>
    <w:rsid w:val="00865F0E"/>
    <w:rsid w:val="00866FEB"/>
    <w:rsid w:val="0086727D"/>
    <w:rsid w:val="00867738"/>
    <w:rsid w:val="008679A1"/>
    <w:rsid w:val="00870277"/>
    <w:rsid w:val="0087034C"/>
    <w:rsid w:val="00870CA7"/>
    <w:rsid w:val="008717F8"/>
    <w:rsid w:val="0087193C"/>
    <w:rsid w:val="00871BCF"/>
    <w:rsid w:val="00871E19"/>
    <w:rsid w:val="00872777"/>
    <w:rsid w:val="008727E4"/>
    <w:rsid w:val="008729F4"/>
    <w:rsid w:val="00872A71"/>
    <w:rsid w:val="00872DAC"/>
    <w:rsid w:val="0087310C"/>
    <w:rsid w:val="0087381A"/>
    <w:rsid w:val="00873B3E"/>
    <w:rsid w:val="00873F73"/>
    <w:rsid w:val="0087415E"/>
    <w:rsid w:val="00874451"/>
    <w:rsid w:val="00874A31"/>
    <w:rsid w:val="00874F33"/>
    <w:rsid w:val="008755F1"/>
    <w:rsid w:val="00875666"/>
    <w:rsid w:val="00875CD6"/>
    <w:rsid w:val="00875CF1"/>
    <w:rsid w:val="00876098"/>
    <w:rsid w:val="008760B0"/>
    <w:rsid w:val="00876BE3"/>
    <w:rsid w:val="00876E8B"/>
    <w:rsid w:val="0087729B"/>
    <w:rsid w:val="00877334"/>
    <w:rsid w:val="0087741C"/>
    <w:rsid w:val="0087748D"/>
    <w:rsid w:val="0087753C"/>
    <w:rsid w:val="008775F9"/>
    <w:rsid w:val="0087772B"/>
    <w:rsid w:val="00877B93"/>
    <w:rsid w:val="008803B7"/>
    <w:rsid w:val="008804F5"/>
    <w:rsid w:val="00880755"/>
    <w:rsid w:val="008807A2"/>
    <w:rsid w:val="00881096"/>
    <w:rsid w:val="008818EA"/>
    <w:rsid w:val="0088240C"/>
    <w:rsid w:val="00882A4C"/>
    <w:rsid w:val="00882B32"/>
    <w:rsid w:val="0088388A"/>
    <w:rsid w:val="008846B9"/>
    <w:rsid w:val="00884987"/>
    <w:rsid w:val="00884AD7"/>
    <w:rsid w:val="00884C6C"/>
    <w:rsid w:val="00884F2D"/>
    <w:rsid w:val="008854C8"/>
    <w:rsid w:val="00886211"/>
    <w:rsid w:val="00886564"/>
    <w:rsid w:val="00886847"/>
    <w:rsid w:val="008868F6"/>
    <w:rsid w:val="00886908"/>
    <w:rsid w:val="008903C3"/>
    <w:rsid w:val="008909C1"/>
    <w:rsid w:val="008918CC"/>
    <w:rsid w:val="008919E1"/>
    <w:rsid w:val="00891E3F"/>
    <w:rsid w:val="008928C6"/>
    <w:rsid w:val="008929E2"/>
    <w:rsid w:val="00893266"/>
    <w:rsid w:val="00893A53"/>
    <w:rsid w:val="0089454B"/>
    <w:rsid w:val="0089466D"/>
    <w:rsid w:val="00894B6C"/>
    <w:rsid w:val="00894C04"/>
    <w:rsid w:val="008956E3"/>
    <w:rsid w:val="00895E1B"/>
    <w:rsid w:val="00895E9F"/>
    <w:rsid w:val="00895EB4"/>
    <w:rsid w:val="008960DC"/>
    <w:rsid w:val="008961A9"/>
    <w:rsid w:val="00897682"/>
    <w:rsid w:val="008A054F"/>
    <w:rsid w:val="008A0A9E"/>
    <w:rsid w:val="008A0AFA"/>
    <w:rsid w:val="008A117F"/>
    <w:rsid w:val="008A2914"/>
    <w:rsid w:val="008A2FD8"/>
    <w:rsid w:val="008A54B1"/>
    <w:rsid w:val="008A5B42"/>
    <w:rsid w:val="008A5CD5"/>
    <w:rsid w:val="008A5FB6"/>
    <w:rsid w:val="008A6888"/>
    <w:rsid w:val="008A7876"/>
    <w:rsid w:val="008A7AE5"/>
    <w:rsid w:val="008B0068"/>
    <w:rsid w:val="008B0309"/>
    <w:rsid w:val="008B0757"/>
    <w:rsid w:val="008B0766"/>
    <w:rsid w:val="008B09E7"/>
    <w:rsid w:val="008B0A64"/>
    <w:rsid w:val="008B0C06"/>
    <w:rsid w:val="008B0E54"/>
    <w:rsid w:val="008B1AF9"/>
    <w:rsid w:val="008B263B"/>
    <w:rsid w:val="008B2B78"/>
    <w:rsid w:val="008B2BD6"/>
    <w:rsid w:val="008B4BB1"/>
    <w:rsid w:val="008B5B1C"/>
    <w:rsid w:val="008B658F"/>
    <w:rsid w:val="008B7B1B"/>
    <w:rsid w:val="008C01C8"/>
    <w:rsid w:val="008C0281"/>
    <w:rsid w:val="008C092A"/>
    <w:rsid w:val="008C0E34"/>
    <w:rsid w:val="008C10DF"/>
    <w:rsid w:val="008C150C"/>
    <w:rsid w:val="008C1596"/>
    <w:rsid w:val="008C15C7"/>
    <w:rsid w:val="008C1E39"/>
    <w:rsid w:val="008C23B7"/>
    <w:rsid w:val="008C24F5"/>
    <w:rsid w:val="008C2DBC"/>
    <w:rsid w:val="008C3401"/>
    <w:rsid w:val="008C3446"/>
    <w:rsid w:val="008C3563"/>
    <w:rsid w:val="008C3754"/>
    <w:rsid w:val="008C38AA"/>
    <w:rsid w:val="008C4608"/>
    <w:rsid w:val="008C4AD9"/>
    <w:rsid w:val="008C562E"/>
    <w:rsid w:val="008C5CA6"/>
    <w:rsid w:val="008C5CB8"/>
    <w:rsid w:val="008C5D8D"/>
    <w:rsid w:val="008C6AC3"/>
    <w:rsid w:val="008C6D8C"/>
    <w:rsid w:val="008C6D8D"/>
    <w:rsid w:val="008C78AB"/>
    <w:rsid w:val="008C7CF9"/>
    <w:rsid w:val="008D06AC"/>
    <w:rsid w:val="008D1061"/>
    <w:rsid w:val="008D14D9"/>
    <w:rsid w:val="008D1A3D"/>
    <w:rsid w:val="008D1BA0"/>
    <w:rsid w:val="008D1BD2"/>
    <w:rsid w:val="008D21D2"/>
    <w:rsid w:val="008D234E"/>
    <w:rsid w:val="008D248D"/>
    <w:rsid w:val="008D290B"/>
    <w:rsid w:val="008D363A"/>
    <w:rsid w:val="008D3C3F"/>
    <w:rsid w:val="008D3E94"/>
    <w:rsid w:val="008D40F7"/>
    <w:rsid w:val="008D4F00"/>
    <w:rsid w:val="008D4F47"/>
    <w:rsid w:val="008D5524"/>
    <w:rsid w:val="008D6484"/>
    <w:rsid w:val="008D6DD0"/>
    <w:rsid w:val="008D6FB0"/>
    <w:rsid w:val="008D7FA1"/>
    <w:rsid w:val="008E0E2D"/>
    <w:rsid w:val="008E1322"/>
    <w:rsid w:val="008E1905"/>
    <w:rsid w:val="008E23F3"/>
    <w:rsid w:val="008E2FB6"/>
    <w:rsid w:val="008E362F"/>
    <w:rsid w:val="008E378B"/>
    <w:rsid w:val="008E3F49"/>
    <w:rsid w:val="008E3F5C"/>
    <w:rsid w:val="008E3F9A"/>
    <w:rsid w:val="008E3FC2"/>
    <w:rsid w:val="008E4159"/>
    <w:rsid w:val="008E4423"/>
    <w:rsid w:val="008E4F84"/>
    <w:rsid w:val="008E67E1"/>
    <w:rsid w:val="008E6A95"/>
    <w:rsid w:val="008E7496"/>
    <w:rsid w:val="008E7738"/>
    <w:rsid w:val="008F02D4"/>
    <w:rsid w:val="008F0769"/>
    <w:rsid w:val="008F0E36"/>
    <w:rsid w:val="008F1B03"/>
    <w:rsid w:val="008F1DB4"/>
    <w:rsid w:val="008F1E17"/>
    <w:rsid w:val="008F240F"/>
    <w:rsid w:val="008F2B3F"/>
    <w:rsid w:val="008F306A"/>
    <w:rsid w:val="008F3730"/>
    <w:rsid w:val="008F3D1A"/>
    <w:rsid w:val="008F410C"/>
    <w:rsid w:val="008F4E1C"/>
    <w:rsid w:val="008F519C"/>
    <w:rsid w:val="008F675C"/>
    <w:rsid w:val="008F71FA"/>
    <w:rsid w:val="008F72A6"/>
    <w:rsid w:val="008F790D"/>
    <w:rsid w:val="00900651"/>
    <w:rsid w:val="00900F04"/>
    <w:rsid w:val="0090128C"/>
    <w:rsid w:val="00901CC8"/>
    <w:rsid w:val="00902246"/>
    <w:rsid w:val="00902343"/>
    <w:rsid w:val="009023C8"/>
    <w:rsid w:val="00902451"/>
    <w:rsid w:val="00902856"/>
    <w:rsid w:val="00902C37"/>
    <w:rsid w:val="00902E47"/>
    <w:rsid w:val="00903119"/>
    <w:rsid w:val="0090368C"/>
    <w:rsid w:val="00903992"/>
    <w:rsid w:val="00903D1F"/>
    <w:rsid w:val="00903F8C"/>
    <w:rsid w:val="009046D5"/>
    <w:rsid w:val="009049B7"/>
    <w:rsid w:val="00904ABE"/>
    <w:rsid w:val="00905122"/>
    <w:rsid w:val="0090559B"/>
    <w:rsid w:val="00906385"/>
    <w:rsid w:val="0090646A"/>
    <w:rsid w:val="00906612"/>
    <w:rsid w:val="0090666A"/>
    <w:rsid w:val="00906852"/>
    <w:rsid w:val="00906CDA"/>
    <w:rsid w:val="00907276"/>
    <w:rsid w:val="00907578"/>
    <w:rsid w:val="00907F2B"/>
    <w:rsid w:val="00907F51"/>
    <w:rsid w:val="009107ED"/>
    <w:rsid w:val="009109E8"/>
    <w:rsid w:val="00910C43"/>
    <w:rsid w:val="00910EC5"/>
    <w:rsid w:val="00910ED4"/>
    <w:rsid w:val="0091113B"/>
    <w:rsid w:val="00911219"/>
    <w:rsid w:val="009112AD"/>
    <w:rsid w:val="009115AE"/>
    <w:rsid w:val="00911A83"/>
    <w:rsid w:val="00912627"/>
    <w:rsid w:val="009126EF"/>
    <w:rsid w:val="009129D7"/>
    <w:rsid w:val="00913102"/>
    <w:rsid w:val="00913BBC"/>
    <w:rsid w:val="00913C6F"/>
    <w:rsid w:val="00913DC5"/>
    <w:rsid w:val="00913F30"/>
    <w:rsid w:val="00914B2D"/>
    <w:rsid w:val="00914C1F"/>
    <w:rsid w:val="00915125"/>
    <w:rsid w:val="009153E7"/>
    <w:rsid w:val="0091561E"/>
    <w:rsid w:val="0091567A"/>
    <w:rsid w:val="0091580B"/>
    <w:rsid w:val="00915C54"/>
    <w:rsid w:val="00916CA2"/>
    <w:rsid w:val="009174A6"/>
    <w:rsid w:val="00917835"/>
    <w:rsid w:val="00917EA6"/>
    <w:rsid w:val="00917FDF"/>
    <w:rsid w:val="009203E8"/>
    <w:rsid w:val="0092065D"/>
    <w:rsid w:val="00920CAF"/>
    <w:rsid w:val="009210BA"/>
    <w:rsid w:val="00921378"/>
    <w:rsid w:val="009223DC"/>
    <w:rsid w:val="00922729"/>
    <w:rsid w:val="009231CD"/>
    <w:rsid w:val="00923341"/>
    <w:rsid w:val="00923BED"/>
    <w:rsid w:val="00923FB9"/>
    <w:rsid w:val="00924EAC"/>
    <w:rsid w:val="00925153"/>
    <w:rsid w:val="009261F5"/>
    <w:rsid w:val="009266E4"/>
    <w:rsid w:val="00926C0A"/>
    <w:rsid w:val="00926C8B"/>
    <w:rsid w:val="00931F5C"/>
    <w:rsid w:val="00933225"/>
    <w:rsid w:val="00933378"/>
    <w:rsid w:val="00933823"/>
    <w:rsid w:val="00934346"/>
    <w:rsid w:val="009352E8"/>
    <w:rsid w:val="0093538E"/>
    <w:rsid w:val="00935907"/>
    <w:rsid w:val="009363F9"/>
    <w:rsid w:val="00936470"/>
    <w:rsid w:val="00936F67"/>
    <w:rsid w:val="00937D7E"/>
    <w:rsid w:val="0094023B"/>
    <w:rsid w:val="00940668"/>
    <w:rsid w:val="009408F0"/>
    <w:rsid w:val="00940CE8"/>
    <w:rsid w:val="00941303"/>
    <w:rsid w:val="00941F05"/>
    <w:rsid w:val="00942603"/>
    <w:rsid w:val="00942A22"/>
    <w:rsid w:val="00942EBD"/>
    <w:rsid w:val="00943E4D"/>
    <w:rsid w:val="00944137"/>
    <w:rsid w:val="00944153"/>
    <w:rsid w:val="009445B6"/>
    <w:rsid w:val="00944BC0"/>
    <w:rsid w:val="00944CAF"/>
    <w:rsid w:val="0094558A"/>
    <w:rsid w:val="00945694"/>
    <w:rsid w:val="009456F4"/>
    <w:rsid w:val="00945B44"/>
    <w:rsid w:val="00945D1B"/>
    <w:rsid w:val="00946E91"/>
    <w:rsid w:val="00947E74"/>
    <w:rsid w:val="0095012A"/>
    <w:rsid w:val="00950180"/>
    <w:rsid w:val="00950745"/>
    <w:rsid w:val="00950A86"/>
    <w:rsid w:val="00951698"/>
    <w:rsid w:val="0095221B"/>
    <w:rsid w:val="00952562"/>
    <w:rsid w:val="00953769"/>
    <w:rsid w:val="00953DA6"/>
    <w:rsid w:val="00954A71"/>
    <w:rsid w:val="00954CB8"/>
    <w:rsid w:val="00954E1D"/>
    <w:rsid w:val="009551BE"/>
    <w:rsid w:val="0095554C"/>
    <w:rsid w:val="009556CB"/>
    <w:rsid w:val="00955E49"/>
    <w:rsid w:val="00955EDE"/>
    <w:rsid w:val="00957676"/>
    <w:rsid w:val="009579C9"/>
    <w:rsid w:val="00961456"/>
    <w:rsid w:val="00961502"/>
    <w:rsid w:val="009616D4"/>
    <w:rsid w:val="009617FC"/>
    <w:rsid w:val="00961D78"/>
    <w:rsid w:val="00961F50"/>
    <w:rsid w:val="00962198"/>
    <w:rsid w:val="0096252F"/>
    <w:rsid w:val="00962867"/>
    <w:rsid w:val="00963049"/>
    <w:rsid w:val="009635C2"/>
    <w:rsid w:val="009636DD"/>
    <w:rsid w:val="00963761"/>
    <w:rsid w:val="0096384C"/>
    <w:rsid w:val="00963CB1"/>
    <w:rsid w:val="00963D89"/>
    <w:rsid w:val="00963E90"/>
    <w:rsid w:val="0096457E"/>
    <w:rsid w:val="009649B5"/>
    <w:rsid w:val="00964CA4"/>
    <w:rsid w:val="00964DD1"/>
    <w:rsid w:val="009651AD"/>
    <w:rsid w:val="009664F0"/>
    <w:rsid w:val="00966794"/>
    <w:rsid w:val="00966E3A"/>
    <w:rsid w:val="00966E3E"/>
    <w:rsid w:val="009672A0"/>
    <w:rsid w:val="009672EB"/>
    <w:rsid w:val="009675F6"/>
    <w:rsid w:val="009676C1"/>
    <w:rsid w:val="009677F8"/>
    <w:rsid w:val="00967888"/>
    <w:rsid w:val="00967B18"/>
    <w:rsid w:val="00967C07"/>
    <w:rsid w:val="00967FF5"/>
    <w:rsid w:val="00970008"/>
    <w:rsid w:val="00971D7E"/>
    <w:rsid w:val="00971DDD"/>
    <w:rsid w:val="00971FD9"/>
    <w:rsid w:val="00972574"/>
    <w:rsid w:val="00972A59"/>
    <w:rsid w:val="00972C50"/>
    <w:rsid w:val="00973568"/>
    <w:rsid w:val="00974761"/>
    <w:rsid w:val="00974EC3"/>
    <w:rsid w:val="00974FE3"/>
    <w:rsid w:val="00974FFF"/>
    <w:rsid w:val="00975698"/>
    <w:rsid w:val="009756C7"/>
    <w:rsid w:val="00975BB2"/>
    <w:rsid w:val="00976A7B"/>
    <w:rsid w:val="00976D73"/>
    <w:rsid w:val="00976F8E"/>
    <w:rsid w:val="00977316"/>
    <w:rsid w:val="00980165"/>
    <w:rsid w:val="009806E4"/>
    <w:rsid w:val="00980BD5"/>
    <w:rsid w:val="00980E47"/>
    <w:rsid w:val="0098195E"/>
    <w:rsid w:val="00981BC8"/>
    <w:rsid w:val="00981BFE"/>
    <w:rsid w:val="00981D8D"/>
    <w:rsid w:val="009820E5"/>
    <w:rsid w:val="0098256D"/>
    <w:rsid w:val="009827D8"/>
    <w:rsid w:val="00982DEE"/>
    <w:rsid w:val="00983177"/>
    <w:rsid w:val="00983530"/>
    <w:rsid w:val="00983536"/>
    <w:rsid w:val="00984014"/>
    <w:rsid w:val="009843DF"/>
    <w:rsid w:val="00984522"/>
    <w:rsid w:val="0098464A"/>
    <w:rsid w:val="00984F43"/>
    <w:rsid w:val="00985C2B"/>
    <w:rsid w:val="00985D0B"/>
    <w:rsid w:val="00985D71"/>
    <w:rsid w:val="00985E00"/>
    <w:rsid w:val="00985F7D"/>
    <w:rsid w:val="00986123"/>
    <w:rsid w:val="00986953"/>
    <w:rsid w:val="0098750B"/>
    <w:rsid w:val="00990ADE"/>
    <w:rsid w:val="00991164"/>
    <w:rsid w:val="009922AA"/>
    <w:rsid w:val="009925C2"/>
    <w:rsid w:val="00992D41"/>
    <w:rsid w:val="0099385D"/>
    <w:rsid w:val="00994326"/>
    <w:rsid w:val="009945E8"/>
    <w:rsid w:val="00995789"/>
    <w:rsid w:val="00995CE3"/>
    <w:rsid w:val="00996A4C"/>
    <w:rsid w:val="00996B0D"/>
    <w:rsid w:val="00996B88"/>
    <w:rsid w:val="00997387"/>
    <w:rsid w:val="00997499"/>
    <w:rsid w:val="0099760E"/>
    <w:rsid w:val="0099795E"/>
    <w:rsid w:val="00997A1D"/>
    <w:rsid w:val="009A0BCB"/>
    <w:rsid w:val="009A19BA"/>
    <w:rsid w:val="009A1CDD"/>
    <w:rsid w:val="009A2589"/>
    <w:rsid w:val="009A2A47"/>
    <w:rsid w:val="009A2C98"/>
    <w:rsid w:val="009A32E1"/>
    <w:rsid w:val="009A3738"/>
    <w:rsid w:val="009A3744"/>
    <w:rsid w:val="009A3906"/>
    <w:rsid w:val="009A40A4"/>
    <w:rsid w:val="009A49CE"/>
    <w:rsid w:val="009A4EBA"/>
    <w:rsid w:val="009A58D7"/>
    <w:rsid w:val="009A67C2"/>
    <w:rsid w:val="009A67EE"/>
    <w:rsid w:val="009A6A9C"/>
    <w:rsid w:val="009A75B9"/>
    <w:rsid w:val="009B0331"/>
    <w:rsid w:val="009B0B02"/>
    <w:rsid w:val="009B0F21"/>
    <w:rsid w:val="009B1068"/>
    <w:rsid w:val="009B1700"/>
    <w:rsid w:val="009B23F7"/>
    <w:rsid w:val="009B258A"/>
    <w:rsid w:val="009B29E6"/>
    <w:rsid w:val="009B2A78"/>
    <w:rsid w:val="009B320C"/>
    <w:rsid w:val="009B3C7A"/>
    <w:rsid w:val="009B4886"/>
    <w:rsid w:val="009B4F10"/>
    <w:rsid w:val="009B5767"/>
    <w:rsid w:val="009B5926"/>
    <w:rsid w:val="009B5CA9"/>
    <w:rsid w:val="009B5CFC"/>
    <w:rsid w:val="009B6401"/>
    <w:rsid w:val="009B6576"/>
    <w:rsid w:val="009B68FC"/>
    <w:rsid w:val="009B7A81"/>
    <w:rsid w:val="009C0AA3"/>
    <w:rsid w:val="009C0D4B"/>
    <w:rsid w:val="009C1A37"/>
    <w:rsid w:val="009C2658"/>
    <w:rsid w:val="009C290E"/>
    <w:rsid w:val="009C2B77"/>
    <w:rsid w:val="009C4143"/>
    <w:rsid w:val="009C4906"/>
    <w:rsid w:val="009C4941"/>
    <w:rsid w:val="009C4A53"/>
    <w:rsid w:val="009C53AA"/>
    <w:rsid w:val="009C53F7"/>
    <w:rsid w:val="009C591E"/>
    <w:rsid w:val="009C5F5C"/>
    <w:rsid w:val="009C60A9"/>
    <w:rsid w:val="009C72A8"/>
    <w:rsid w:val="009C7478"/>
    <w:rsid w:val="009C79B7"/>
    <w:rsid w:val="009D0470"/>
    <w:rsid w:val="009D05BF"/>
    <w:rsid w:val="009D0B56"/>
    <w:rsid w:val="009D0CDA"/>
    <w:rsid w:val="009D0CE5"/>
    <w:rsid w:val="009D1A3A"/>
    <w:rsid w:val="009D1A73"/>
    <w:rsid w:val="009D1E0A"/>
    <w:rsid w:val="009D1F11"/>
    <w:rsid w:val="009D2396"/>
    <w:rsid w:val="009D2FCD"/>
    <w:rsid w:val="009D3097"/>
    <w:rsid w:val="009D323C"/>
    <w:rsid w:val="009D4963"/>
    <w:rsid w:val="009D4B59"/>
    <w:rsid w:val="009D4B79"/>
    <w:rsid w:val="009D4C4F"/>
    <w:rsid w:val="009D5874"/>
    <w:rsid w:val="009D5D9F"/>
    <w:rsid w:val="009D711C"/>
    <w:rsid w:val="009D73AE"/>
    <w:rsid w:val="009D7593"/>
    <w:rsid w:val="009D789D"/>
    <w:rsid w:val="009D7980"/>
    <w:rsid w:val="009D7EEB"/>
    <w:rsid w:val="009E007F"/>
    <w:rsid w:val="009E04C1"/>
    <w:rsid w:val="009E0C02"/>
    <w:rsid w:val="009E1431"/>
    <w:rsid w:val="009E158E"/>
    <w:rsid w:val="009E1FAF"/>
    <w:rsid w:val="009E2B2B"/>
    <w:rsid w:val="009E34C3"/>
    <w:rsid w:val="009E4B74"/>
    <w:rsid w:val="009E4BA3"/>
    <w:rsid w:val="009E4DE5"/>
    <w:rsid w:val="009E51D6"/>
    <w:rsid w:val="009E52DB"/>
    <w:rsid w:val="009E583A"/>
    <w:rsid w:val="009E6126"/>
    <w:rsid w:val="009E68AF"/>
    <w:rsid w:val="009E7142"/>
    <w:rsid w:val="009E766E"/>
    <w:rsid w:val="009E7756"/>
    <w:rsid w:val="009E7F84"/>
    <w:rsid w:val="009E7FB7"/>
    <w:rsid w:val="009F0508"/>
    <w:rsid w:val="009F144D"/>
    <w:rsid w:val="009F1A72"/>
    <w:rsid w:val="009F1EC1"/>
    <w:rsid w:val="009F2123"/>
    <w:rsid w:val="009F334D"/>
    <w:rsid w:val="009F40F2"/>
    <w:rsid w:val="009F4707"/>
    <w:rsid w:val="009F5156"/>
    <w:rsid w:val="009F52B0"/>
    <w:rsid w:val="009F53B2"/>
    <w:rsid w:val="009F5E33"/>
    <w:rsid w:val="009F6748"/>
    <w:rsid w:val="009F6C98"/>
    <w:rsid w:val="009F6DB4"/>
    <w:rsid w:val="009F7352"/>
    <w:rsid w:val="00A005D1"/>
    <w:rsid w:val="00A0090E"/>
    <w:rsid w:val="00A00EAA"/>
    <w:rsid w:val="00A01467"/>
    <w:rsid w:val="00A016ED"/>
    <w:rsid w:val="00A017B2"/>
    <w:rsid w:val="00A02690"/>
    <w:rsid w:val="00A02792"/>
    <w:rsid w:val="00A02FD1"/>
    <w:rsid w:val="00A03132"/>
    <w:rsid w:val="00A03434"/>
    <w:rsid w:val="00A03525"/>
    <w:rsid w:val="00A03F0D"/>
    <w:rsid w:val="00A0431B"/>
    <w:rsid w:val="00A04F56"/>
    <w:rsid w:val="00A056E1"/>
    <w:rsid w:val="00A05961"/>
    <w:rsid w:val="00A05C57"/>
    <w:rsid w:val="00A06022"/>
    <w:rsid w:val="00A061AA"/>
    <w:rsid w:val="00A06228"/>
    <w:rsid w:val="00A06AE8"/>
    <w:rsid w:val="00A06F53"/>
    <w:rsid w:val="00A07021"/>
    <w:rsid w:val="00A10400"/>
    <w:rsid w:val="00A1062F"/>
    <w:rsid w:val="00A11A89"/>
    <w:rsid w:val="00A11B91"/>
    <w:rsid w:val="00A1242A"/>
    <w:rsid w:val="00A12662"/>
    <w:rsid w:val="00A12839"/>
    <w:rsid w:val="00A137E8"/>
    <w:rsid w:val="00A13F1D"/>
    <w:rsid w:val="00A14317"/>
    <w:rsid w:val="00A14F26"/>
    <w:rsid w:val="00A15018"/>
    <w:rsid w:val="00A1521E"/>
    <w:rsid w:val="00A15BC3"/>
    <w:rsid w:val="00A164AA"/>
    <w:rsid w:val="00A16922"/>
    <w:rsid w:val="00A173AE"/>
    <w:rsid w:val="00A204CD"/>
    <w:rsid w:val="00A20548"/>
    <w:rsid w:val="00A20FB9"/>
    <w:rsid w:val="00A21106"/>
    <w:rsid w:val="00A220FC"/>
    <w:rsid w:val="00A227D4"/>
    <w:rsid w:val="00A23042"/>
    <w:rsid w:val="00A231EB"/>
    <w:rsid w:val="00A23629"/>
    <w:rsid w:val="00A2370F"/>
    <w:rsid w:val="00A2379D"/>
    <w:rsid w:val="00A238D7"/>
    <w:rsid w:val="00A23CDA"/>
    <w:rsid w:val="00A24237"/>
    <w:rsid w:val="00A2493B"/>
    <w:rsid w:val="00A251F9"/>
    <w:rsid w:val="00A25DEF"/>
    <w:rsid w:val="00A260A1"/>
    <w:rsid w:val="00A262E7"/>
    <w:rsid w:val="00A2672B"/>
    <w:rsid w:val="00A268A5"/>
    <w:rsid w:val="00A272D5"/>
    <w:rsid w:val="00A302DD"/>
    <w:rsid w:val="00A30F22"/>
    <w:rsid w:val="00A3182D"/>
    <w:rsid w:val="00A3190A"/>
    <w:rsid w:val="00A31917"/>
    <w:rsid w:val="00A31B5F"/>
    <w:rsid w:val="00A3243B"/>
    <w:rsid w:val="00A32C40"/>
    <w:rsid w:val="00A33D14"/>
    <w:rsid w:val="00A346A9"/>
    <w:rsid w:val="00A367FF"/>
    <w:rsid w:val="00A36B5F"/>
    <w:rsid w:val="00A36BEC"/>
    <w:rsid w:val="00A36CC3"/>
    <w:rsid w:val="00A3707C"/>
    <w:rsid w:val="00A372FC"/>
    <w:rsid w:val="00A400FB"/>
    <w:rsid w:val="00A40542"/>
    <w:rsid w:val="00A40565"/>
    <w:rsid w:val="00A40753"/>
    <w:rsid w:val="00A40799"/>
    <w:rsid w:val="00A40A12"/>
    <w:rsid w:val="00A40EBB"/>
    <w:rsid w:val="00A414EC"/>
    <w:rsid w:val="00A415B4"/>
    <w:rsid w:val="00A417DC"/>
    <w:rsid w:val="00A41EC9"/>
    <w:rsid w:val="00A42A40"/>
    <w:rsid w:val="00A42EF3"/>
    <w:rsid w:val="00A42FB9"/>
    <w:rsid w:val="00A431A4"/>
    <w:rsid w:val="00A43926"/>
    <w:rsid w:val="00A43CEE"/>
    <w:rsid w:val="00A43DF6"/>
    <w:rsid w:val="00A44742"/>
    <w:rsid w:val="00A44D04"/>
    <w:rsid w:val="00A47167"/>
    <w:rsid w:val="00A4787D"/>
    <w:rsid w:val="00A479C8"/>
    <w:rsid w:val="00A47A7C"/>
    <w:rsid w:val="00A500B1"/>
    <w:rsid w:val="00A5081A"/>
    <w:rsid w:val="00A50A82"/>
    <w:rsid w:val="00A50DD6"/>
    <w:rsid w:val="00A5134A"/>
    <w:rsid w:val="00A52264"/>
    <w:rsid w:val="00A526E7"/>
    <w:rsid w:val="00A52C99"/>
    <w:rsid w:val="00A52D6F"/>
    <w:rsid w:val="00A53443"/>
    <w:rsid w:val="00A545EA"/>
    <w:rsid w:val="00A54783"/>
    <w:rsid w:val="00A54B65"/>
    <w:rsid w:val="00A5563A"/>
    <w:rsid w:val="00A558A3"/>
    <w:rsid w:val="00A56191"/>
    <w:rsid w:val="00A57B0E"/>
    <w:rsid w:val="00A57B64"/>
    <w:rsid w:val="00A60032"/>
    <w:rsid w:val="00A601EF"/>
    <w:rsid w:val="00A608A6"/>
    <w:rsid w:val="00A61035"/>
    <w:rsid w:val="00A610F7"/>
    <w:rsid w:val="00A62098"/>
    <w:rsid w:val="00A632B0"/>
    <w:rsid w:val="00A6356D"/>
    <w:rsid w:val="00A64333"/>
    <w:rsid w:val="00A6485C"/>
    <w:rsid w:val="00A64902"/>
    <w:rsid w:val="00A65083"/>
    <w:rsid w:val="00A656F4"/>
    <w:rsid w:val="00A66156"/>
    <w:rsid w:val="00A66913"/>
    <w:rsid w:val="00A669FD"/>
    <w:rsid w:val="00A66DDC"/>
    <w:rsid w:val="00A66E22"/>
    <w:rsid w:val="00A66E92"/>
    <w:rsid w:val="00A67004"/>
    <w:rsid w:val="00A678A6"/>
    <w:rsid w:val="00A67A1D"/>
    <w:rsid w:val="00A7037C"/>
    <w:rsid w:val="00A7070C"/>
    <w:rsid w:val="00A70BB6"/>
    <w:rsid w:val="00A71597"/>
    <w:rsid w:val="00A7212D"/>
    <w:rsid w:val="00A725DB"/>
    <w:rsid w:val="00A72DF9"/>
    <w:rsid w:val="00A7326E"/>
    <w:rsid w:val="00A73C25"/>
    <w:rsid w:val="00A73C48"/>
    <w:rsid w:val="00A74237"/>
    <w:rsid w:val="00A74B70"/>
    <w:rsid w:val="00A7533D"/>
    <w:rsid w:val="00A754BD"/>
    <w:rsid w:val="00A75AC5"/>
    <w:rsid w:val="00A761C2"/>
    <w:rsid w:val="00A76C4D"/>
    <w:rsid w:val="00A77169"/>
    <w:rsid w:val="00A80249"/>
    <w:rsid w:val="00A804DF"/>
    <w:rsid w:val="00A8124B"/>
    <w:rsid w:val="00A81669"/>
    <w:rsid w:val="00A81B1D"/>
    <w:rsid w:val="00A81C9C"/>
    <w:rsid w:val="00A81D05"/>
    <w:rsid w:val="00A82433"/>
    <w:rsid w:val="00A82E0D"/>
    <w:rsid w:val="00A8384E"/>
    <w:rsid w:val="00A84769"/>
    <w:rsid w:val="00A84D6B"/>
    <w:rsid w:val="00A84E90"/>
    <w:rsid w:val="00A8550A"/>
    <w:rsid w:val="00A861A7"/>
    <w:rsid w:val="00A863B5"/>
    <w:rsid w:val="00A86A4E"/>
    <w:rsid w:val="00A86C54"/>
    <w:rsid w:val="00A872E5"/>
    <w:rsid w:val="00A87308"/>
    <w:rsid w:val="00A91AC3"/>
    <w:rsid w:val="00A92256"/>
    <w:rsid w:val="00A923BC"/>
    <w:rsid w:val="00A9257B"/>
    <w:rsid w:val="00A93AA6"/>
    <w:rsid w:val="00A93E2E"/>
    <w:rsid w:val="00A9542E"/>
    <w:rsid w:val="00A95AE1"/>
    <w:rsid w:val="00A95E50"/>
    <w:rsid w:val="00A95E82"/>
    <w:rsid w:val="00A95F6A"/>
    <w:rsid w:val="00A977C5"/>
    <w:rsid w:val="00A979D4"/>
    <w:rsid w:val="00A97CD2"/>
    <w:rsid w:val="00A97E0F"/>
    <w:rsid w:val="00A97E2C"/>
    <w:rsid w:val="00AA11EB"/>
    <w:rsid w:val="00AA141A"/>
    <w:rsid w:val="00AA1C7A"/>
    <w:rsid w:val="00AA1EC6"/>
    <w:rsid w:val="00AA2B5A"/>
    <w:rsid w:val="00AA3510"/>
    <w:rsid w:val="00AA41B1"/>
    <w:rsid w:val="00AA42C9"/>
    <w:rsid w:val="00AA473E"/>
    <w:rsid w:val="00AA4AA9"/>
    <w:rsid w:val="00AA51C2"/>
    <w:rsid w:val="00AA52CE"/>
    <w:rsid w:val="00AA5D16"/>
    <w:rsid w:val="00AA65A6"/>
    <w:rsid w:val="00AA6D8E"/>
    <w:rsid w:val="00AA6E06"/>
    <w:rsid w:val="00AA753C"/>
    <w:rsid w:val="00AA75CE"/>
    <w:rsid w:val="00AA76B4"/>
    <w:rsid w:val="00AA7AC5"/>
    <w:rsid w:val="00AA7EC4"/>
    <w:rsid w:val="00AB08BB"/>
    <w:rsid w:val="00AB08F7"/>
    <w:rsid w:val="00AB0A65"/>
    <w:rsid w:val="00AB0D9E"/>
    <w:rsid w:val="00AB1D4E"/>
    <w:rsid w:val="00AB22D2"/>
    <w:rsid w:val="00AB26DF"/>
    <w:rsid w:val="00AB2BEF"/>
    <w:rsid w:val="00AB2F99"/>
    <w:rsid w:val="00AB4A96"/>
    <w:rsid w:val="00AB543B"/>
    <w:rsid w:val="00AB5FFE"/>
    <w:rsid w:val="00AB765A"/>
    <w:rsid w:val="00AC0BE6"/>
    <w:rsid w:val="00AC1E0E"/>
    <w:rsid w:val="00AC230B"/>
    <w:rsid w:val="00AC2768"/>
    <w:rsid w:val="00AC2B40"/>
    <w:rsid w:val="00AC3346"/>
    <w:rsid w:val="00AC4524"/>
    <w:rsid w:val="00AC4C24"/>
    <w:rsid w:val="00AC53CB"/>
    <w:rsid w:val="00AC5603"/>
    <w:rsid w:val="00AC564A"/>
    <w:rsid w:val="00AD060F"/>
    <w:rsid w:val="00AD0611"/>
    <w:rsid w:val="00AD0888"/>
    <w:rsid w:val="00AD0A0E"/>
    <w:rsid w:val="00AD0F4F"/>
    <w:rsid w:val="00AD1473"/>
    <w:rsid w:val="00AD14B4"/>
    <w:rsid w:val="00AD185E"/>
    <w:rsid w:val="00AD20D9"/>
    <w:rsid w:val="00AD24DF"/>
    <w:rsid w:val="00AD2542"/>
    <w:rsid w:val="00AD2904"/>
    <w:rsid w:val="00AD2EF5"/>
    <w:rsid w:val="00AD2F95"/>
    <w:rsid w:val="00AD4B42"/>
    <w:rsid w:val="00AD4D7A"/>
    <w:rsid w:val="00AD4F01"/>
    <w:rsid w:val="00AD4FCB"/>
    <w:rsid w:val="00AD52D2"/>
    <w:rsid w:val="00AD5A32"/>
    <w:rsid w:val="00AD5A4E"/>
    <w:rsid w:val="00AD5AE6"/>
    <w:rsid w:val="00AD5FA3"/>
    <w:rsid w:val="00AD6FCC"/>
    <w:rsid w:val="00AD71C8"/>
    <w:rsid w:val="00AD78D5"/>
    <w:rsid w:val="00AD7B15"/>
    <w:rsid w:val="00AE0235"/>
    <w:rsid w:val="00AE0782"/>
    <w:rsid w:val="00AE085B"/>
    <w:rsid w:val="00AE1646"/>
    <w:rsid w:val="00AE17B6"/>
    <w:rsid w:val="00AE1B1F"/>
    <w:rsid w:val="00AE1E19"/>
    <w:rsid w:val="00AE1ED0"/>
    <w:rsid w:val="00AE20B4"/>
    <w:rsid w:val="00AE261A"/>
    <w:rsid w:val="00AE26B9"/>
    <w:rsid w:val="00AE287D"/>
    <w:rsid w:val="00AE2E18"/>
    <w:rsid w:val="00AE3043"/>
    <w:rsid w:val="00AE3137"/>
    <w:rsid w:val="00AE3697"/>
    <w:rsid w:val="00AE3F0A"/>
    <w:rsid w:val="00AE42F6"/>
    <w:rsid w:val="00AE437D"/>
    <w:rsid w:val="00AE451A"/>
    <w:rsid w:val="00AE4685"/>
    <w:rsid w:val="00AE4D35"/>
    <w:rsid w:val="00AE6455"/>
    <w:rsid w:val="00AE66B0"/>
    <w:rsid w:val="00AE6CAC"/>
    <w:rsid w:val="00AE7DA7"/>
    <w:rsid w:val="00AE7EE6"/>
    <w:rsid w:val="00AF0044"/>
    <w:rsid w:val="00AF00A6"/>
    <w:rsid w:val="00AF0132"/>
    <w:rsid w:val="00AF0331"/>
    <w:rsid w:val="00AF057F"/>
    <w:rsid w:val="00AF129C"/>
    <w:rsid w:val="00AF15CC"/>
    <w:rsid w:val="00AF19CA"/>
    <w:rsid w:val="00AF1A88"/>
    <w:rsid w:val="00AF392E"/>
    <w:rsid w:val="00AF3F0C"/>
    <w:rsid w:val="00AF417D"/>
    <w:rsid w:val="00AF441C"/>
    <w:rsid w:val="00AF5114"/>
    <w:rsid w:val="00AF53DC"/>
    <w:rsid w:val="00AF5830"/>
    <w:rsid w:val="00AF5B6D"/>
    <w:rsid w:val="00AF5DC6"/>
    <w:rsid w:val="00AF6533"/>
    <w:rsid w:val="00AF671D"/>
    <w:rsid w:val="00AF6877"/>
    <w:rsid w:val="00AF7083"/>
    <w:rsid w:val="00AF741F"/>
    <w:rsid w:val="00AF770D"/>
    <w:rsid w:val="00AF7DA0"/>
    <w:rsid w:val="00B00062"/>
    <w:rsid w:val="00B0057E"/>
    <w:rsid w:val="00B01045"/>
    <w:rsid w:val="00B018F5"/>
    <w:rsid w:val="00B01B95"/>
    <w:rsid w:val="00B022E3"/>
    <w:rsid w:val="00B02A5D"/>
    <w:rsid w:val="00B02EE9"/>
    <w:rsid w:val="00B0315C"/>
    <w:rsid w:val="00B03827"/>
    <w:rsid w:val="00B03FDC"/>
    <w:rsid w:val="00B040D2"/>
    <w:rsid w:val="00B0552B"/>
    <w:rsid w:val="00B057A2"/>
    <w:rsid w:val="00B05D3C"/>
    <w:rsid w:val="00B06539"/>
    <w:rsid w:val="00B067C4"/>
    <w:rsid w:val="00B06899"/>
    <w:rsid w:val="00B06953"/>
    <w:rsid w:val="00B06A8E"/>
    <w:rsid w:val="00B077AE"/>
    <w:rsid w:val="00B100B3"/>
    <w:rsid w:val="00B103EF"/>
    <w:rsid w:val="00B10B83"/>
    <w:rsid w:val="00B10F11"/>
    <w:rsid w:val="00B1103A"/>
    <w:rsid w:val="00B11466"/>
    <w:rsid w:val="00B11FE2"/>
    <w:rsid w:val="00B12D7E"/>
    <w:rsid w:val="00B138CA"/>
    <w:rsid w:val="00B13A5E"/>
    <w:rsid w:val="00B14428"/>
    <w:rsid w:val="00B14847"/>
    <w:rsid w:val="00B16C0F"/>
    <w:rsid w:val="00B16C60"/>
    <w:rsid w:val="00B16E90"/>
    <w:rsid w:val="00B17343"/>
    <w:rsid w:val="00B17586"/>
    <w:rsid w:val="00B17800"/>
    <w:rsid w:val="00B179C6"/>
    <w:rsid w:val="00B17A52"/>
    <w:rsid w:val="00B17C4A"/>
    <w:rsid w:val="00B17E36"/>
    <w:rsid w:val="00B203F7"/>
    <w:rsid w:val="00B20833"/>
    <w:rsid w:val="00B20CBC"/>
    <w:rsid w:val="00B21981"/>
    <w:rsid w:val="00B21ECE"/>
    <w:rsid w:val="00B220DA"/>
    <w:rsid w:val="00B222A3"/>
    <w:rsid w:val="00B225CA"/>
    <w:rsid w:val="00B228BA"/>
    <w:rsid w:val="00B22CFB"/>
    <w:rsid w:val="00B2335C"/>
    <w:rsid w:val="00B2366C"/>
    <w:rsid w:val="00B2393E"/>
    <w:rsid w:val="00B23A1B"/>
    <w:rsid w:val="00B23CFE"/>
    <w:rsid w:val="00B240E2"/>
    <w:rsid w:val="00B24253"/>
    <w:rsid w:val="00B24ECD"/>
    <w:rsid w:val="00B24F02"/>
    <w:rsid w:val="00B25925"/>
    <w:rsid w:val="00B262A5"/>
    <w:rsid w:val="00B26BD4"/>
    <w:rsid w:val="00B26D50"/>
    <w:rsid w:val="00B26F00"/>
    <w:rsid w:val="00B271F6"/>
    <w:rsid w:val="00B27368"/>
    <w:rsid w:val="00B279EE"/>
    <w:rsid w:val="00B300E4"/>
    <w:rsid w:val="00B304B9"/>
    <w:rsid w:val="00B30C86"/>
    <w:rsid w:val="00B30CD6"/>
    <w:rsid w:val="00B30D1C"/>
    <w:rsid w:val="00B31ED1"/>
    <w:rsid w:val="00B3235B"/>
    <w:rsid w:val="00B323B4"/>
    <w:rsid w:val="00B32966"/>
    <w:rsid w:val="00B329F1"/>
    <w:rsid w:val="00B32D00"/>
    <w:rsid w:val="00B339CF"/>
    <w:rsid w:val="00B33B75"/>
    <w:rsid w:val="00B34419"/>
    <w:rsid w:val="00B3570B"/>
    <w:rsid w:val="00B35720"/>
    <w:rsid w:val="00B35998"/>
    <w:rsid w:val="00B35E56"/>
    <w:rsid w:val="00B365F3"/>
    <w:rsid w:val="00B366FC"/>
    <w:rsid w:val="00B36C2B"/>
    <w:rsid w:val="00B37010"/>
    <w:rsid w:val="00B37888"/>
    <w:rsid w:val="00B3794B"/>
    <w:rsid w:val="00B37B13"/>
    <w:rsid w:val="00B413DE"/>
    <w:rsid w:val="00B418BE"/>
    <w:rsid w:val="00B41C0D"/>
    <w:rsid w:val="00B42362"/>
    <w:rsid w:val="00B42526"/>
    <w:rsid w:val="00B42711"/>
    <w:rsid w:val="00B42881"/>
    <w:rsid w:val="00B430AE"/>
    <w:rsid w:val="00B432F9"/>
    <w:rsid w:val="00B4357A"/>
    <w:rsid w:val="00B44320"/>
    <w:rsid w:val="00B44383"/>
    <w:rsid w:val="00B44453"/>
    <w:rsid w:val="00B44684"/>
    <w:rsid w:val="00B44717"/>
    <w:rsid w:val="00B448E5"/>
    <w:rsid w:val="00B44F45"/>
    <w:rsid w:val="00B451D1"/>
    <w:rsid w:val="00B45243"/>
    <w:rsid w:val="00B454C3"/>
    <w:rsid w:val="00B4576A"/>
    <w:rsid w:val="00B45DEC"/>
    <w:rsid w:val="00B46C68"/>
    <w:rsid w:val="00B46D12"/>
    <w:rsid w:val="00B470CE"/>
    <w:rsid w:val="00B4729C"/>
    <w:rsid w:val="00B47B21"/>
    <w:rsid w:val="00B5022A"/>
    <w:rsid w:val="00B50749"/>
    <w:rsid w:val="00B509E4"/>
    <w:rsid w:val="00B50E5C"/>
    <w:rsid w:val="00B50EB6"/>
    <w:rsid w:val="00B51080"/>
    <w:rsid w:val="00B51086"/>
    <w:rsid w:val="00B520F7"/>
    <w:rsid w:val="00B5253F"/>
    <w:rsid w:val="00B526B0"/>
    <w:rsid w:val="00B529A8"/>
    <w:rsid w:val="00B52A78"/>
    <w:rsid w:val="00B52AF9"/>
    <w:rsid w:val="00B53029"/>
    <w:rsid w:val="00B531C2"/>
    <w:rsid w:val="00B53FB3"/>
    <w:rsid w:val="00B5404C"/>
    <w:rsid w:val="00B54232"/>
    <w:rsid w:val="00B546C1"/>
    <w:rsid w:val="00B54E5D"/>
    <w:rsid w:val="00B557B0"/>
    <w:rsid w:val="00B5608D"/>
    <w:rsid w:val="00B56129"/>
    <w:rsid w:val="00B56323"/>
    <w:rsid w:val="00B56515"/>
    <w:rsid w:val="00B576B2"/>
    <w:rsid w:val="00B577FA"/>
    <w:rsid w:val="00B60D0A"/>
    <w:rsid w:val="00B61094"/>
    <w:rsid w:val="00B62904"/>
    <w:rsid w:val="00B62D16"/>
    <w:rsid w:val="00B62EB6"/>
    <w:rsid w:val="00B62F63"/>
    <w:rsid w:val="00B6312D"/>
    <w:rsid w:val="00B63183"/>
    <w:rsid w:val="00B633CD"/>
    <w:rsid w:val="00B637AD"/>
    <w:rsid w:val="00B63A67"/>
    <w:rsid w:val="00B63A91"/>
    <w:rsid w:val="00B642B3"/>
    <w:rsid w:val="00B64697"/>
    <w:rsid w:val="00B65169"/>
    <w:rsid w:val="00B653ED"/>
    <w:rsid w:val="00B65A28"/>
    <w:rsid w:val="00B667E9"/>
    <w:rsid w:val="00B670C1"/>
    <w:rsid w:val="00B677D8"/>
    <w:rsid w:val="00B679BB"/>
    <w:rsid w:val="00B7106D"/>
    <w:rsid w:val="00B71112"/>
    <w:rsid w:val="00B7235C"/>
    <w:rsid w:val="00B729D5"/>
    <w:rsid w:val="00B72A86"/>
    <w:rsid w:val="00B73239"/>
    <w:rsid w:val="00B734D1"/>
    <w:rsid w:val="00B73D25"/>
    <w:rsid w:val="00B74318"/>
    <w:rsid w:val="00B74872"/>
    <w:rsid w:val="00B74F9C"/>
    <w:rsid w:val="00B75679"/>
    <w:rsid w:val="00B75AE0"/>
    <w:rsid w:val="00B75B67"/>
    <w:rsid w:val="00B75EEB"/>
    <w:rsid w:val="00B760E1"/>
    <w:rsid w:val="00B766B8"/>
    <w:rsid w:val="00B767CF"/>
    <w:rsid w:val="00B767E3"/>
    <w:rsid w:val="00B7693D"/>
    <w:rsid w:val="00B76DA4"/>
    <w:rsid w:val="00B76ED8"/>
    <w:rsid w:val="00B771E2"/>
    <w:rsid w:val="00B77AA8"/>
    <w:rsid w:val="00B77D08"/>
    <w:rsid w:val="00B80392"/>
    <w:rsid w:val="00B808C6"/>
    <w:rsid w:val="00B835BF"/>
    <w:rsid w:val="00B835DD"/>
    <w:rsid w:val="00B83622"/>
    <w:rsid w:val="00B841CC"/>
    <w:rsid w:val="00B85063"/>
    <w:rsid w:val="00B8646C"/>
    <w:rsid w:val="00B86680"/>
    <w:rsid w:val="00B868BB"/>
    <w:rsid w:val="00B86B6C"/>
    <w:rsid w:val="00B87857"/>
    <w:rsid w:val="00B90C32"/>
    <w:rsid w:val="00B90FC3"/>
    <w:rsid w:val="00B9164A"/>
    <w:rsid w:val="00B919DE"/>
    <w:rsid w:val="00B91E8B"/>
    <w:rsid w:val="00B924D5"/>
    <w:rsid w:val="00B92F65"/>
    <w:rsid w:val="00B9337E"/>
    <w:rsid w:val="00B93561"/>
    <w:rsid w:val="00B93A64"/>
    <w:rsid w:val="00B93D43"/>
    <w:rsid w:val="00B93E8A"/>
    <w:rsid w:val="00B94526"/>
    <w:rsid w:val="00B946FC"/>
    <w:rsid w:val="00B94810"/>
    <w:rsid w:val="00B94BED"/>
    <w:rsid w:val="00B9516D"/>
    <w:rsid w:val="00B95213"/>
    <w:rsid w:val="00B9570B"/>
    <w:rsid w:val="00B95888"/>
    <w:rsid w:val="00B958D5"/>
    <w:rsid w:val="00B95902"/>
    <w:rsid w:val="00B95FDF"/>
    <w:rsid w:val="00B96359"/>
    <w:rsid w:val="00B964D6"/>
    <w:rsid w:val="00B96917"/>
    <w:rsid w:val="00B97003"/>
    <w:rsid w:val="00B97936"/>
    <w:rsid w:val="00B97D9E"/>
    <w:rsid w:val="00B97FBE"/>
    <w:rsid w:val="00BA03D5"/>
    <w:rsid w:val="00BA05E2"/>
    <w:rsid w:val="00BA0600"/>
    <w:rsid w:val="00BA0636"/>
    <w:rsid w:val="00BA0647"/>
    <w:rsid w:val="00BA07D5"/>
    <w:rsid w:val="00BA0A5B"/>
    <w:rsid w:val="00BA0ED2"/>
    <w:rsid w:val="00BA1018"/>
    <w:rsid w:val="00BA1170"/>
    <w:rsid w:val="00BA1275"/>
    <w:rsid w:val="00BA29C4"/>
    <w:rsid w:val="00BA3133"/>
    <w:rsid w:val="00BA3A41"/>
    <w:rsid w:val="00BA3B9D"/>
    <w:rsid w:val="00BA3C6A"/>
    <w:rsid w:val="00BA3F75"/>
    <w:rsid w:val="00BA43AD"/>
    <w:rsid w:val="00BA48B6"/>
    <w:rsid w:val="00BA5475"/>
    <w:rsid w:val="00BA5A60"/>
    <w:rsid w:val="00BA5AAA"/>
    <w:rsid w:val="00BA5EC5"/>
    <w:rsid w:val="00BA601B"/>
    <w:rsid w:val="00BA701A"/>
    <w:rsid w:val="00BA705E"/>
    <w:rsid w:val="00BA7881"/>
    <w:rsid w:val="00BA7D40"/>
    <w:rsid w:val="00BA7EB0"/>
    <w:rsid w:val="00BB03DC"/>
    <w:rsid w:val="00BB10BC"/>
    <w:rsid w:val="00BB1488"/>
    <w:rsid w:val="00BB214E"/>
    <w:rsid w:val="00BB2936"/>
    <w:rsid w:val="00BB39CA"/>
    <w:rsid w:val="00BB4489"/>
    <w:rsid w:val="00BB47DD"/>
    <w:rsid w:val="00BB4E6B"/>
    <w:rsid w:val="00BB5943"/>
    <w:rsid w:val="00BB5B35"/>
    <w:rsid w:val="00BB5D79"/>
    <w:rsid w:val="00BB63C7"/>
    <w:rsid w:val="00BB6B66"/>
    <w:rsid w:val="00BB7140"/>
    <w:rsid w:val="00BB7A8D"/>
    <w:rsid w:val="00BB7D6E"/>
    <w:rsid w:val="00BC0794"/>
    <w:rsid w:val="00BC07E3"/>
    <w:rsid w:val="00BC07FF"/>
    <w:rsid w:val="00BC08C7"/>
    <w:rsid w:val="00BC09E3"/>
    <w:rsid w:val="00BC1759"/>
    <w:rsid w:val="00BC1BB5"/>
    <w:rsid w:val="00BC244F"/>
    <w:rsid w:val="00BC259B"/>
    <w:rsid w:val="00BC264A"/>
    <w:rsid w:val="00BC268F"/>
    <w:rsid w:val="00BC2924"/>
    <w:rsid w:val="00BC2D3C"/>
    <w:rsid w:val="00BC30E4"/>
    <w:rsid w:val="00BC3368"/>
    <w:rsid w:val="00BC36DC"/>
    <w:rsid w:val="00BC409F"/>
    <w:rsid w:val="00BC45E9"/>
    <w:rsid w:val="00BC4CE9"/>
    <w:rsid w:val="00BC500E"/>
    <w:rsid w:val="00BC5076"/>
    <w:rsid w:val="00BC5A35"/>
    <w:rsid w:val="00BC5AF9"/>
    <w:rsid w:val="00BC6294"/>
    <w:rsid w:val="00BC69F4"/>
    <w:rsid w:val="00BC6A7B"/>
    <w:rsid w:val="00BC701B"/>
    <w:rsid w:val="00BC780C"/>
    <w:rsid w:val="00BC7A02"/>
    <w:rsid w:val="00BC7BEE"/>
    <w:rsid w:val="00BD1552"/>
    <w:rsid w:val="00BD1A9D"/>
    <w:rsid w:val="00BD1B7F"/>
    <w:rsid w:val="00BD1D88"/>
    <w:rsid w:val="00BD22BC"/>
    <w:rsid w:val="00BD2EBC"/>
    <w:rsid w:val="00BD2FC3"/>
    <w:rsid w:val="00BD3027"/>
    <w:rsid w:val="00BD3E15"/>
    <w:rsid w:val="00BD4098"/>
    <w:rsid w:val="00BD51A6"/>
    <w:rsid w:val="00BD560F"/>
    <w:rsid w:val="00BD6171"/>
    <w:rsid w:val="00BD65A0"/>
    <w:rsid w:val="00BD66A6"/>
    <w:rsid w:val="00BD6888"/>
    <w:rsid w:val="00BD761A"/>
    <w:rsid w:val="00BE0036"/>
    <w:rsid w:val="00BE03F8"/>
    <w:rsid w:val="00BE1D1F"/>
    <w:rsid w:val="00BE1D3E"/>
    <w:rsid w:val="00BE26B4"/>
    <w:rsid w:val="00BE2A54"/>
    <w:rsid w:val="00BE2D9F"/>
    <w:rsid w:val="00BE3722"/>
    <w:rsid w:val="00BE3793"/>
    <w:rsid w:val="00BE43BB"/>
    <w:rsid w:val="00BE452A"/>
    <w:rsid w:val="00BE50A6"/>
    <w:rsid w:val="00BE50E0"/>
    <w:rsid w:val="00BE56D4"/>
    <w:rsid w:val="00BE5720"/>
    <w:rsid w:val="00BE59BA"/>
    <w:rsid w:val="00BE67AD"/>
    <w:rsid w:val="00BE6FAF"/>
    <w:rsid w:val="00BF0E3B"/>
    <w:rsid w:val="00BF0ED2"/>
    <w:rsid w:val="00BF2255"/>
    <w:rsid w:val="00BF278C"/>
    <w:rsid w:val="00BF2F0B"/>
    <w:rsid w:val="00BF353A"/>
    <w:rsid w:val="00BF37A4"/>
    <w:rsid w:val="00BF3B73"/>
    <w:rsid w:val="00BF3EAD"/>
    <w:rsid w:val="00BF4072"/>
    <w:rsid w:val="00BF494E"/>
    <w:rsid w:val="00BF4EFE"/>
    <w:rsid w:val="00BF55EF"/>
    <w:rsid w:val="00BF6670"/>
    <w:rsid w:val="00BF73D1"/>
    <w:rsid w:val="00BF79F2"/>
    <w:rsid w:val="00BF7CC0"/>
    <w:rsid w:val="00BF7CFF"/>
    <w:rsid w:val="00C0007B"/>
    <w:rsid w:val="00C0088F"/>
    <w:rsid w:val="00C00FA7"/>
    <w:rsid w:val="00C013D4"/>
    <w:rsid w:val="00C01424"/>
    <w:rsid w:val="00C01428"/>
    <w:rsid w:val="00C0182D"/>
    <w:rsid w:val="00C01D62"/>
    <w:rsid w:val="00C01DB3"/>
    <w:rsid w:val="00C02335"/>
    <w:rsid w:val="00C028A1"/>
    <w:rsid w:val="00C0396C"/>
    <w:rsid w:val="00C0402D"/>
    <w:rsid w:val="00C040ED"/>
    <w:rsid w:val="00C04337"/>
    <w:rsid w:val="00C04B58"/>
    <w:rsid w:val="00C05855"/>
    <w:rsid w:val="00C05F1D"/>
    <w:rsid w:val="00C062DA"/>
    <w:rsid w:val="00C06312"/>
    <w:rsid w:val="00C06EB9"/>
    <w:rsid w:val="00C06FB4"/>
    <w:rsid w:val="00C0709E"/>
    <w:rsid w:val="00C0760B"/>
    <w:rsid w:val="00C07F65"/>
    <w:rsid w:val="00C10003"/>
    <w:rsid w:val="00C10307"/>
    <w:rsid w:val="00C1041D"/>
    <w:rsid w:val="00C10518"/>
    <w:rsid w:val="00C1075A"/>
    <w:rsid w:val="00C10811"/>
    <w:rsid w:val="00C114E0"/>
    <w:rsid w:val="00C11B16"/>
    <w:rsid w:val="00C11E9A"/>
    <w:rsid w:val="00C122A3"/>
    <w:rsid w:val="00C12473"/>
    <w:rsid w:val="00C12487"/>
    <w:rsid w:val="00C1254F"/>
    <w:rsid w:val="00C1385A"/>
    <w:rsid w:val="00C138E2"/>
    <w:rsid w:val="00C13DBE"/>
    <w:rsid w:val="00C14114"/>
    <w:rsid w:val="00C1411F"/>
    <w:rsid w:val="00C14BC4"/>
    <w:rsid w:val="00C14C1B"/>
    <w:rsid w:val="00C14E5A"/>
    <w:rsid w:val="00C150CC"/>
    <w:rsid w:val="00C158A5"/>
    <w:rsid w:val="00C16A3F"/>
    <w:rsid w:val="00C16B67"/>
    <w:rsid w:val="00C17D3E"/>
    <w:rsid w:val="00C17E76"/>
    <w:rsid w:val="00C17F58"/>
    <w:rsid w:val="00C203A5"/>
    <w:rsid w:val="00C208CA"/>
    <w:rsid w:val="00C20A03"/>
    <w:rsid w:val="00C20D61"/>
    <w:rsid w:val="00C216D2"/>
    <w:rsid w:val="00C21E12"/>
    <w:rsid w:val="00C21F3B"/>
    <w:rsid w:val="00C22176"/>
    <w:rsid w:val="00C225CB"/>
    <w:rsid w:val="00C22672"/>
    <w:rsid w:val="00C22680"/>
    <w:rsid w:val="00C22A7C"/>
    <w:rsid w:val="00C22EE1"/>
    <w:rsid w:val="00C230CD"/>
    <w:rsid w:val="00C23308"/>
    <w:rsid w:val="00C23771"/>
    <w:rsid w:val="00C24529"/>
    <w:rsid w:val="00C24740"/>
    <w:rsid w:val="00C24ABC"/>
    <w:rsid w:val="00C24C2E"/>
    <w:rsid w:val="00C25214"/>
    <w:rsid w:val="00C25E60"/>
    <w:rsid w:val="00C25F58"/>
    <w:rsid w:val="00C26442"/>
    <w:rsid w:val="00C269B3"/>
    <w:rsid w:val="00C27BB7"/>
    <w:rsid w:val="00C27EA3"/>
    <w:rsid w:val="00C3040F"/>
    <w:rsid w:val="00C31913"/>
    <w:rsid w:val="00C31B59"/>
    <w:rsid w:val="00C31E51"/>
    <w:rsid w:val="00C322F6"/>
    <w:rsid w:val="00C32DE2"/>
    <w:rsid w:val="00C33466"/>
    <w:rsid w:val="00C33678"/>
    <w:rsid w:val="00C341BA"/>
    <w:rsid w:val="00C34FD9"/>
    <w:rsid w:val="00C35193"/>
    <w:rsid w:val="00C35818"/>
    <w:rsid w:val="00C35970"/>
    <w:rsid w:val="00C35A4A"/>
    <w:rsid w:val="00C367F9"/>
    <w:rsid w:val="00C3779B"/>
    <w:rsid w:val="00C377BF"/>
    <w:rsid w:val="00C37C25"/>
    <w:rsid w:val="00C37D6F"/>
    <w:rsid w:val="00C37E5C"/>
    <w:rsid w:val="00C400E1"/>
    <w:rsid w:val="00C40443"/>
    <w:rsid w:val="00C40781"/>
    <w:rsid w:val="00C40871"/>
    <w:rsid w:val="00C408D4"/>
    <w:rsid w:val="00C409D0"/>
    <w:rsid w:val="00C40A6F"/>
    <w:rsid w:val="00C40D93"/>
    <w:rsid w:val="00C41671"/>
    <w:rsid w:val="00C42DEC"/>
    <w:rsid w:val="00C431F1"/>
    <w:rsid w:val="00C4331E"/>
    <w:rsid w:val="00C4356A"/>
    <w:rsid w:val="00C435B2"/>
    <w:rsid w:val="00C44060"/>
    <w:rsid w:val="00C44680"/>
    <w:rsid w:val="00C448C5"/>
    <w:rsid w:val="00C44A04"/>
    <w:rsid w:val="00C46938"/>
    <w:rsid w:val="00C4713E"/>
    <w:rsid w:val="00C47CE4"/>
    <w:rsid w:val="00C47EDB"/>
    <w:rsid w:val="00C5002B"/>
    <w:rsid w:val="00C5080C"/>
    <w:rsid w:val="00C50895"/>
    <w:rsid w:val="00C50E01"/>
    <w:rsid w:val="00C5102A"/>
    <w:rsid w:val="00C513EB"/>
    <w:rsid w:val="00C5194D"/>
    <w:rsid w:val="00C51957"/>
    <w:rsid w:val="00C52506"/>
    <w:rsid w:val="00C52515"/>
    <w:rsid w:val="00C5255C"/>
    <w:rsid w:val="00C525A0"/>
    <w:rsid w:val="00C5267F"/>
    <w:rsid w:val="00C5271D"/>
    <w:rsid w:val="00C5288C"/>
    <w:rsid w:val="00C52C0D"/>
    <w:rsid w:val="00C53189"/>
    <w:rsid w:val="00C53587"/>
    <w:rsid w:val="00C53C2B"/>
    <w:rsid w:val="00C54395"/>
    <w:rsid w:val="00C55650"/>
    <w:rsid w:val="00C55D10"/>
    <w:rsid w:val="00C5661C"/>
    <w:rsid w:val="00C57443"/>
    <w:rsid w:val="00C604E2"/>
    <w:rsid w:val="00C607E7"/>
    <w:rsid w:val="00C60F15"/>
    <w:rsid w:val="00C610E5"/>
    <w:rsid w:val="00C615E2"/>
    <w:rsid w:val="00C61ED5"/>
    <w:rsid w:val="00C6268B"/>
    <w:rsid w:val="00C62A51"/>
    <w:rsid w:val="00C62AD0"/>
    <w:rsid w:val="00C62DCD"/>
    <w:rsid w:val="00C632C0"/>
    <w:rsid w:val="00C633ED"/>
    <w:rsid w:val="00C63405"/>
    <w:rsid w:val="00C63BED"/>
    <w:rsid w:val="00C63D94"/>
    <w:rsid w:val="00C640EE"/>
    <w:rsid w:val="00C64278"/>
    <w:rsid w:val="00C6463D"/>
    <w:rsid w:val="00C6470E"/>
    <w:rsid w:val="00C65687"/>
    <w:rsid w:val="00C66744"/>
    <w:rsid w:val="00C67032"/>
    <w:rsid w:val="00C67707"/>
    <w:rsid w:val="00C7049A"/>
    <w:rsid w:val="00C705C7"/>
    <w:rsid w:val="00C70791"/>
    <w:rsid w:val="00C708DD"/>
    <w:rsid w:val="00C70EF4"/>
    <w:rsid w:val="00C70F09"/>
    <w:rsid w:val="00C71276"/>
    <w:rsid w:val="00C71A47"/>
    <w:rsid w:val="00C72036"/>
    <w:rsid w:val="00C72D81"/>
    <w:rsid w:val="00C73A97"/>
    <w:rsid w:val="00C73AE9"/>
    <w:rsid w:val="00C73F43"/>
    <w:rsid w:val="00C7414C"/>
    <w:rsid w:val="00C74427"/>
    <w:rsid w:val="00C7469E"/>
    <w:rsid w:val="00C746AA"/>
    <w:rsid w:val="00C74918"/>
    <w:rsid w:val="00C74DB2"/>
    <w:rsid w:val="00C75558"/>
    <w:rsid w:val="00C755BA"/>
    <w:rsid w:val="00C75791"/>
    <w:rsid w:val="00C75B31"/>
    <w:rsid w:val="00C75B48"/>
    <w:rsid w:val="00C75DD3"/>
    <w:rsid w:val="00C75F75"/>
    <w:rsid w:val="00C76068"/>
    <w:rsid w:val="00C76AAC"/>
    <w:rsid w:val="00C76E29"/>
    <w:rsid w:val="00C76ED4"/>
    <w:rsid w:val="00C770E7"/>
    <w:rsid w:val="00C77A70"/>
    <w:rsid w:val="00C802CF"/>
    <w:rsid w:val="00C80395"/>
    <w:rsid w:val="00C804A2"/>
    <w:rsid w:val="00C80F11"/>
    <w:rsid w:val="00C81645"/>
    <w:rsid w:val="00C81820"/>
    <w:rsid w:val="00C8196B"/>
    <w:rsid w:val="00C81A16"/>
    <w:rsid w:val="00C82392"/>
    <w:rsid w:val="00C827EF"/>
    <w:rsid w:val="00C82AB3"/>
    <w:rsid w:val="00C82DD7"/>
    <w:rsid w:val="00C83228"/>
    <w:rsid w:val="00C83AD2"/>
    <w:rsid w:val="00C8405E"/>
    <w:rsid w:val="00C843A1"/>
    <w:rsid w:val="00C84778"/>
    <w:rsid w:val="00C84996"/>
    <w:rsid w:val="00C85756"/>
    <w:rsid w:val="00C8640D"/>
    <w:rsid w:val="00C8642D"/>
    <w:rsid w:val="00C866E4"/>
    <w:rsid w:val="00C86BAF"/>
    <w:rsid w:val="00C87154"/>
    <w:rsid w:val="00C901D4"/>
    <w:rsid w:val="00C90394"/>
    <w:rsid w:val="00C907BB"/>
    <w:rsid w:val="00C91767"/>
    <w:rsid w:val="00C91CD5"/>
    <w:rsid w:val="00C91D2F"/>
    <w:rsid w:val="00C91E69"/>
    <w:rsid w:val="00C9282A"/>
    <w:rsid w:val="00C928DB"/>
    <w:rsid w:val="00C9298C"/>
    <w:rsid w:val="00C92B90"/>
    <w:rsid w:val="00C933C9"/>
    <w:rsid w:val="00C9454B"/>
    <w:rsid w:val="00C948D1"/>
    <w:rsid w:val="00C94F63"/>
    <w:rsid w:val="00C95561"/>
    <w:rsid w:val="00C95B1B"/>
    <w:rsid w:val="00C95C81"/>
    <w:rsid w:val="00C961E7"/>
    <w:rsid w:val="00C964DE"/>
    <w:rsid w:val="00C966F6"/>
    <w:rsid w:val="00C969D6"/>
    <w:rsid w:val="00C96A51"/>
    <w:rsid w:val="00C96ECD"/>
    <w:rsid w:val="00C96EE3"/>
    <w:rsid w:val="00C96F78"/>
    <w:rsid w:val="00C96FC8"/>
    <w:rsid w:val="00C979A0"/>
    <w:rsid w:val="00C97ED3"/>
    <w:rsid w:val="00CA0B4D"/>
    <w:rsid w:val="00CA0ECF"/>
    <w:rsid w:val="00CA1423"/>
    <w:rsid w:val="00CA15A5"/>
    <w:rsid w:val="00CA197C"/>
    <w:rsid w:val="00CA19C4"/>
    <w:rsid w:val="00CA19D2"/>
    <w:rsid w:val="00CA1E93"/>
    <w:rsid w:val="00CA2590"/>
    <w:rsid w:val="00CA2949"/>
    <w:rsid w:val="00CA294B"/>
    <w:rsid w:val="00CA29C2"/>
    <w:rsid w:val="00CA362A"/>
    <w:rsid w:val="00CA3B6D"/>
    <w:rsid w:val="00CA4A9A"/>
    <w:rsid w:val="00CA4CF1"/>
    <w:rsid w:val="00CA4D79"/>
    <w:rsid w:val="00CA4E53"/>
    <w:rsid w:val="00CA57C3"/>
    <w:rsid w:val="00CA5F0A"/>
    <w:rsid w:val="00CA62EC"/>
    <w:rsid w:val="00CA64C5"/>
    <w:rsid w:val="00CA6892"/>
    <w:rsid w:val="00CA6B76"/>
    <w:rsid w:val="00CA6DD6"/>
    <w:rsid w:val="00CA70DA"/>
    <w:rsid w:val="00CA75FC"/>
    <w:rsid w:val="00CA78D5"/>
    <w:rsid w:val="00CA78E9"/>
    <w:rsid w:val="00CB0AA6"/>
    <w:rsid w:val="00CB0CF5"/>
    <w:rsid w:val="00CB10BC"/>
    <w:rsid w:val="00CB1631"/>
    <w:rsid w:val="00CB1DFD"/>
    <w:rsid w:val="00CB22F7"/>
    <w:rsid w:val="00CB2BA3"/>
    <w:rsid w:val="00CB31C7"/>
    <w:rsid w:val="00CB3537"/>
    <w:rsid w:val="00CB35B0"/>
    <w:rsid w:val="00CB39D6"/>
    <w:rsid w:val="00CB3BF7"/>
    <w:rsid w:val="00CB495E"/>
    <w:rsid w:val="00CB4B0F"/>
    <w:rsid w:val="00CB4EF8"/>
    <w:rsid w:val="00CB531A"/>
    <w:rsid w:val="00CB53C6"/>
    <w:rsid w:val="00CB582F"/>
    <w:rsid w:val="00CB59FD"/>
    <w:rsid w:val="00CB63BC"/>
    <w:rsid w:val="00CB66D3"/>
    <w:rsid w:val="00CB6BE9"/>
    <w:rsid w:val="00CB6EB0"/>
    <w:rsid w:val="00CB6FCE"/>
    <w:rsid w:val="00CC03FD"/>
    <w:rsid w:val="00CC13E7"/>
    <w:rsid w:val="00CC171A"/>
    <w:rsid w:val="00CC19DA"/>
    <w:rsid w:val="00CC2229"/>
    <w:rsid w:val="00CC2722"/>
    <w:rsid w:val="00CC2FF5"/>
    <w:rsid w:val="00CC333F"/>
    <w:rsid w:val="00CC343C"/>
    <w:rsid w:val="00CC4206"/>
    <w:rsid w:val="00CC4382"/>
    <w:rsid w:val="00CC4C08"/>
    <w:rsid w:val="00CC523B"/>
    <w:rsid w:val="00CC5451"/>
    <w:rsid w:val="00CC59B8"/>
    <w:rsid w:val="00CC5C63"/>
    <w:rsid w:val="00CC5E91"/>
    <w:rsid w:val="00CC612B"/>
    <w:rsid w:val="00CC65F1"/>
    <w:rsid w:val="00CC6705"/>
    <w:rsid w:val="00CC6BD1"/>
    <w:rsid w:val="00CC6F68"/>
    <w:rsid w:val="00CC7238"/>
    <w:rsid w:val="00CC74BD"/>
    <w:rsid w:val="00CD04DA"/>
    <w:rsid w:val="00CD05D5"/>
    <w:rsid w:val="00CD0C23"/>
    <w:rsid w:val="00CD0F9D"/>
    <w:rsid w:val="00CD12BC"/>
    <w:rsid w:val="00CD18CB"/>
    <w:rsid w:val="00CD18E8"/>
    <w:rsid w:val="00CD19FE"/>
    <w:rsid w:val="00CD1DFA"/>
    <w:rsid w:val="00CD2CB6"/>
    <w:rsid w:val="00CD34EF"/>
    <w:rsid w:val="00CD3664"/>
    <w:rsid w:val="00CD3C1A"/>
    <w:rsid w:val="00CD3E7D"/>
    <w:rsid w:val="00CD4E1D"/>
    <w:rsid w:val="00CD5389"/>
    <w:rsid w:val="00CD6912"/>
    <w:rsid w:val="00CD6A97"/>
    <w:rsid w:val="00CD6B3A"/>
    <w:rsid w:val="00CD6E65"/>
    <w:rsid w:val="00CD703F"/>
    <w:rsid w:val="00CD74AB"/>
    <w:rsid w:val="00CD7A9B"/>
    <w:rsid w:val="00CD7C95"/>
    <w:rsid w:val="00CD7E02"/>
    <w:rsid w:val="00CE0002"/>
    <w:rsid w:val="00CE0333"/>
    <w:rsid w:val="00CE0723"/>
    <w:rsid w:val="00CE0918"/>
    <w:rsid w:val="00CE0F62"/>
    <w:rsid w:val="00CE1A14"/>
    <w:rsid w:val="00CE1B45"/>
    <w:rsid w:val="00CE1E01"/>
    <w:rsid w:val="00CE2099"/>
    <w:rsid w:val="00CE20C4"/>
    <w:rsid w:val="00CE2248"/>
    <w:rsid w:val="00CE2660"/>
    <w:rsid w:val="00CE35C5"/>
    <w:rsid w:val="00CE395D"/>
    <w:rsid w:val="00CE4544"/>
    <w:rsid w:val="00CE4A70"/>
    <w:rsid w:val="00CE4D83"/>
    <w:rsid w:val="00CE50E8"/>
    <w:rsid w:val="00CE5B67"/>
    <w:rsid w:val="00CE5D35"/>
    <w:rsid w:val="00CE6619"/>
    <w:rsid w:val="00CE6860"/>
    <w:rsid w:val="00CE6A05"/>
    <w:rsid w:val="00CE6A15"/>
    <w:rsid w:val="00CE711B"/>
    <w:rsid w:val="00CE736B"/>
    <w:rsid w:val="00CE7911"/>
    <w:rsid w:val="00CF03BB"/>
    <w:rsid w:val="00CF0623"/>
    <w:rsid w:val="00CF0B94"/>
    <w:rsid w:val="00CF179D"/>
    <w:rsid w:val="00CF181C"/>
    <w:rsid w:val="00CF2196"/>
    <w:rsid w:val="00CF267E"/>
    <w:rsid w:val="00CF2950"/>
    <w:rsid w:val="00CF2FF7"/>
    <w:rsid w:val="00CF3287"/>
    <w:rsid w:val="00CF39EA"/>
    <w:rsid w:val="00CF3EA2"/>
    <w:rsid w:val="00CF4835"/>
    <w:rsid w:val="00CF487A"/>
    <w:rsid w:val="00CF4D11"/>
    <w:rsid w:val="00CF4FAA"/>
    <w:rsid w:val="00CF5847"/>
    <w:rsid w:val="00CF5F64"/>
    <w:rsid w:val="00CF62AA"/>
    <w:rsid w:val="00CF75D0"/>
    <w:rsid w:val="00CF7757"/>
    <w:rsid w:val="00D00470"/>
    <w:rsid w:val="00D007E8"/>
    <w:rsid w:val="00D0087A"/>
    <w:rsid w:val="00D0180F"/>
    <w:rsid w:val="00D018A8"/>
    <w:rsid w:val="00D01E72"/>
    <w:rsid w:val="00D02224"/>
    <w:rsid w:val="00D0235D"/>
    <w:rsid w:val="00D02380"/>
    <w:rsid w:val="00D036DD"/>
    <w:rsid w:val="00D0384A"/>
    <w:rsid w:val="00D038DD"/>
    <w:rsid w:val="00D040FF"/>
    <w:rsid w:val="00D04478"/>
    <w:rsid w:val="00D04620"/>
    <w:rsid w:val="00D04CBE"/>
    <w:rsid w:val="00D04CFF"/>
    <w:rsid w:val="00D05116"/>
    <w:rsid w:val="00D051BC"/>
    <w:rsid w:val="00D051DB"/>
    <w:rsid w:val="00D05F73"/>
    <w:rsid w:val="00D0640B"/>
    <w:rsid w:val="00D066A1"/>
    <w:rsid w:val="00D06C2D"/>
    <w:rsid w:val="00D06CB5"/>
    <w:rsid w:val="00D06D95"/>
    <w:rsid w:val="00D06F71"/>
    <w:rsid w:val="00D0740B"/>
    <w:rsid w:val="00D077F9"/>
    <w:rsid w:val="00D07CA9"/>
    <w:rsid w:val="00D10384"/>
    <w:rsid w:val="00D10DFB"/>
    <w:rsid w:val="00D113BD"/>
    <w:rsid w:val="00D114A9"/>
    <w:rsid w:val="00D1193F"/>
    <w:rsid w:val="00D119B7"/>
    <w:rsid w:val="00D11B19"/>
    <w:rsid w:val="00D122E5"/>
    <w:rsid w:val="00D12474"/>
    <w:rsid w:val="00D13833"/>
    <w:rsid w:val="00D13DA5"/>
    <w:rsid w:val="00D142B8"/>
    <w:rsid w:val="00D14C54"/>
    <w:rsid w:val="00D14E10"/>
    <w:rsid w:val="00D14F71"/>
    <w:rsid w:val="00D15063"/>
    <w:rsid w:val="00D152F8"/>
    <w:rsid w:val="00D17607"/>
    <w:rsid w:val="00D17A05"/>
    <w:rsid w:val="00D17DA0"/>
    <w:rsid w:val="00D17DB0"/>
    <w:rsid w:val="00D2056D"/>
    <w:rsid w:val="00D21100"/>
    <w:rsid w:val="00D2119D"/>
    <w:rsid w:val="00D21583"/>
    <w:rsid w:val="00D2183F"/>
    <w:rsid w:val="00D21CBE"/>
    <w:rsid w:val="00D2298F"/>
    <w:rsid w:val="00D22BA3"/>
    <w:rsid w:val="00D22C17"/>
    <w:rsid w:val="00D22F04"/>
    <w:rsid w:val="00D23799"/>
    <w:rsid w:val="00D23C20"/>
    <w:rsid w:val="00D24250"/>
    <w:rsid w:val="00D24D22"/>
    <w:rsid w:val="00D24EB0"/>
    <w:rsid w:val="00D250B8"/>
    <w:rsid w:val="00D250D7"/>
    <w:rsid w:val="00D263E0"/>
    <w:rsid w:val="00D26730"/>
    <w:rsid w:val="00D26A99"/>
    <w:rsid w:val="00D26E0B"/>
    <w:rsid w:val="00D278A5"/>
    <w:rsid w:val="00D27AE5"/>
    <w:rsid w:val="00D27E50"/>
    <w:rsid w:val="00D30369"/>
    <w:rsid w:val="00D308AB"/>
    <w:rsid w:val="00D30B0B"/>
    <w:rsid w:val="00D3144D"/>
    <w:rsid w:val="00D317CC"/>
    <w:rsid w:val="00D31B3C"/>
    <w:rsid w:val="00D32D09"/>
    <w:rsid w:val="00D32F90"/>
    <w:rsid w:val="00D331AA"/>
    <w:rsid w:val="00D332AB"/>
    <w:rsid w:val="00D34046"/>
    <w:rsid w:val="00D34750"/>
    <w:rsid w:val="00D34A3B"/>
    <w:rsid w:val="00D34BA4"/>
    <w:rsid w:val="00D34E22"/>
    <w:rsid w:val="00D353D4"/>
    <w:rsid w:val="00D355B0"/>
    <w:rsid w:val="00D35C41"/>
    <w:rsid w:val="00D36429"/>
    <w:rsid w:val="00D36ACC"/>
    <w:rsid w:val="00D36C56"/>
    <w:rsid w:val="00D36CD3"/>
    <w:rsid w:val="00D36FCD"/>
    <w:rsid w:val="00D37162"/>
    <w:rsid w:val="00D3737B"/>
    <w:rsid w:val="00D40156"/>
    <w:rsid w:val="00D403ED"/>
    <w:rsid w:val="00D40C8A"/>
    <w:rsid w:val="00D414DA"/>
    <w:rsid w:val="00D41731"/>
    <w:rsid w:val="00D41986"/>
    <w:rsid w:val="00D41D9C"/>
    <w:rsid w:val="00D41EB4"/>
    <w:rsid w:val="00D42237"/>
    <w:rsid w:val="00D42439"/>
    <w:rsid w:val="00D442E2"/>
    <w:rsid w:val="00D446E9"/>
    <w:rsid w:val="00D44880"/>
    <w:rsid w:val="00D461B1"/>
    <w:rsid w:val="00D46A59"/>
    <w:rsid w:val="00D47549"/>
    <w:rsid w:val="00D4764C"/>
    <w:rsid w:val="00D50AAE"/>
    <w:rsid w:val="00D50AEE"/>
    <w:rsid w:val="00D50B50"/>
    <w:rsid w:val="00D50E3F"/>
    <w:rsid w:val="00D51895"/>
    <w:rsid w:val="00D5189A"/>
    <w:rsid w:val="00D518DE"/>
    <w:rsid w:val="00D51E48"/>
    <w:rsid w:val="00D521F6"/>
    <w:rsid w:val="00D522C1"/>
    <w:rsid w:val="00D52F64"/>
    <w:rsid w:val="00D53235"/>
    <w:rsid w:val="00D53331"/>
    <w:rsid w:val="00D53797"/>
    <w:rsid w:val="00D5380B"/>
    <w:rsid w:val="00D53DFC"/>
    <w:rsid w:val="00D53F33"/>
    <w:rsid w:val="00D5471E"/>
    <w:rsid w:val="00D54E00"/>
    <w:rsid w:val="00D5596F"/>
    <w:rsid w:val="00D55A6C"/>
    <w:rsid w:val="00D55B80"/>
    <w:rsid w:val="00D55BB1"/>
    <w:rsid w:val="00D55CA9"/>
    <w:rsid w:val="00D56B14"/>
    <w:rsid w:val="00D56CCC"/>
    <w:rsid w:val="00D56DDB"/>
    <w:rsid w:val="00D57665"/>
    <w:rsid w:val="00D57926"/>
    <w:rsid w:val="00D57B46"/>
    <w:rsid w:val="00D57BCF"/>
    <w:rsid w:val="00D57E06"/>
    <w:rsid w:val="00D60508"/>
    <w:rsid w:val="00D60CBC"/>
    <w:rsid w:val="00D60F5E"/>
    <w:rsid w:val="00D60FBB"/>
    <w:rsid w:val="00D60FFA"/>
    <w:rsid w:val="00D6140C"/>
    <w:rsid w:val="00D6223B"/>
    <w:rsid w:val="00D62341"/>
    <w:rsid w:val="00D62721"/>
    <w:rsid w:val="00D62936"/>
    <w:rsid w:val="00D630D7"/>
    <w:rsid w:val="00D6328D"/>
    <w:rsid w:val="00D63C2D"/>
    <w:rsid w:val="00D64659"/>
    <w:rsid w:val="00D64664"/>
    <w:rsid w:val="00D66A36"/>
    <w:rsid w:val="00D67469"/>
    <w:rsid w:val="00D674A4"/>
    <w:rsid w:val="00D676B0"/>
    <w:rsid w:val="00D677EF"/>
    <w:rsid w:val="00D678FB"/>
    <w:rsid w:val="00D67920"/>
    <w:rsid w:val="00D71AD9"/>
    <w:rsid w:val="00D71D7F"/>
    <w:rsid w:val="00D72137"/>
    <w:rsid w:val="00D72389"/>
    <w:rsid w:val="00D72AF6"/>
    <w:rsid w:val="00D72EB6"/>
    <w:rsid w:val="00D731A7"/>
    <w:rsid w:val="00D73B4E"/>
    <w:rsid w:val="00D74C6D"/>
    <w:rsid w:val="00D74CF7"/>
    <w:rsid w:val="00D7534C"/>
    <w:rsid w:val="00D753EC"/>
    <w:rsid w:val="00D75A2F"/>
    <w:rsid w:val="00D76F3B"/>
    <w:rsid w:val="00D77072"/>
    <w:rsid w:val="00D77406"/>
    <w:rsid w:val="00D776E2"/>
    <w:rsid w:val="00D804ED"/>
    <w:rsid w:val="00D8051E"/>
    <w:rsid w:val="00D80711"/>
    <w:rsid w:val="00D81578"/>
    <w:rsid w:val="00D81A46"/>
    <w:rsid w:val="00D81C4F"/>
    <w:rsid w:val="00D81E27"/>
    <w:rsid w:val="00D82091"/>
    <w:rsid w:val="00D827B2"/>
    <w:rsid w:val="00D82965"/>
    <w:rsid w:val="00D82BEE"/>
    <w:rsid w:val="00D83301"/>
    <w:rsid w:val="00D8396D"/>
    <w:rsid w:val="00D8409C"/>
    <w:rsid w:val="00D84214"/>
    <w:rsid w:val="00D843F5"/>
    <w:rsid w:val="00D84722"/>
    <w:rsid w:val="00D84A92"/>
    <w:rsid w:val="00D8504B"/>
    <w:rsid w:val="00D85165"/>
    <w:rsid w:val="00D851EF"/>
    <w:rsid w:val="00D8523F"/>
    <w:rsid w:val="00D8531F"/>
    <w:rsid w:val="00D8615D"/>
    <w:rsid w:val="00D86D1D"/>
    <w:rsid w:val="00D86D22"/>
    <w:rsid w:val="00D86F4B"/>
    <w:rsid w:val="00D8712B"/>
    <w:rsid w:val="00D87A31"/>
    <w:rsid w:val="00D87AAE"/>
    <w:rsid w:val="00D87BFF"/>
    <w:rsid w:val="00D90DD7"/>
    <w:rsid w:val="00D90EC7"/>
    <w:rsid w:val="00D911EB"/>
    <w:rsid w:val="00D926AD"/>
    <w:rsid w:val="00D928AB"/>
    <w:rsid w:val="00D92B2F"/>
    <w:rsid w:val="00D93460"/>
    <w:rsid w:val="00D93A10"/>
    <w:rsid w:val="00D93A8E"/>
    <w:rsid w:val="00D9400B"/>
    <w:rsid w:val="00D94163"/>
    <w:rsid w:val="00D94B5A"/>
    <w:rsid w:val="00D957B2"/>
    <w:rsid w:val="00D9589A"/>
    <w:rsid w:val="00D95CA8"/>
    <w:rsid w:val="00D95FFF"/>
    <w:rsid w:val="00D964F5"/>
    <w:rsid w:val="00D9653E"/>
    <w:rsid w:val="00D96779"/>
    <w:rsid w:val="00D96980"/>
    <w:rsid w:val="00D96A40"/>
    <w:rsid w:val="00D96AA4"/>
    <w:rsid w:val="00D96D10"/>
    <w:rsid w:val="00D9717E"/>
    <w:rsid w:val="00D973A9"/>
    <w:rsid w:val="00D975DA"/>
    <w:rsid w:val="00D97652"/>
    <w:rsid w:val="00DA038B"/>
    <w:rsid w:val="00DA04EE"/>
    <w:rsid w:val="00DA0A59"/>
    <w:rsid w:val="00DA0D38"/>
    <w:rsid w:val="00DA26D1"/>
    <w:rsid w:val="00DA285F"/>
    <w:rsid w:val="00DA28B0"/>
    <w:rsid w:val="00DA2DAA"/>
    <w:rsid w:val="00DA3111"/>
    <w:rsid w:val="00DA345E"/>
    <w:rsid w:val="00DA3BF0"/>
    <w:rsid w:val="00DA3D1A"/>
    <w:rsid w:val="00DA4067"/>
    <w:rsid w:val="00DA46DB"/>
    <w:rsid w:val="00DA4C78"/>
    <w:rsid w:val="00DA6403"/>
    <w:rsid w:val="00DA6805"/>
    <w:rsid w:val="00DA6E7A"/>
    <w:rsid w:val="00DA7598"/>
    <w:rsid w:val="00DA78B4"/>
    <w:rsid w:val="00DA7954"/>
    <w:rsid w:val="00DA7BE6"/>
    <w:rsid w:val="00DB052F"/>
    <w:rsid w:val="00DB079B"/>
    <w:rsid w:val="00DB07FD"/>
    <w:rsid w:val="00DB0A83"/>
    <w:rsid w:val="00DB0E5D"/>
    <w:rsid w:val="00DB0E80"/>
    <w:rsid w:val="00DB150B"/>
    <w:rsid w:val="00DB1CAF"/>
    <w:rsid w:val="00DB2D6B"/>
    <w:rsid w:val="00DB2F4C"/>
    <w:rsid w:val="00DB2FC6"/>
    <w:rsid w:val="00DB342E"/>
    <w:rsid w:val="00DB37EB"/>
    <w:rsid w:val="00DB3C10"/>
    <w:rsid w:val="00DB3C60"/>
    <w:rsid w:val="00DB3D12"/>
    <w:rsid w:val="00DB41AD"/>
    <w:rsid w:val="00DB41BF"/>
    <w:rsid w:val="00DB4AB0"/>
    <w:rsid w:val="00DB57F5"/>
    <w:rsid w:val="00DB6635"/>
    <w:rsid w:val="00DB6C82"/>
    <w:rsid w:val="00DB7049"/>
    <w:rsid w:val="00DB71C3"/>
    <w:rsid w:val="00DB73EB"/>
    <w:rsid w:val="00DB7E13"/>
    <w:rsid w:val="00DC0233"/>
    <w:rsid w:val="00DC090C"/>
    <w:rsid w:val="00DC0C86"/>
    <w:rsid w:val="00DC1A78"/>
    <w:rsid w:val="00DC1C27"/>
    <w:rsid w:val="00DC1C7A"/>
    <w:rsid w:val="00DC206F"/>
    <w:rsid w:val="00DC20FD"/>
    <w:rsid w:val="00DC28E4"/>
    <w:rsid w:val="00DC2D6B"/>
    <w:rsid w:val="00DC346F"/>
    <w:rsid w:val="00DC3A68"/>
    <w:rsid w:val="00DC40E6"/>
    <w:rsid w:val="00DC4296"/>
    <w:rsid w:val="00DC45E5"/>
    <w:rsid w:val="00DC4AD9"/>
    <w:rsid w:val="00DC5247"/>
    <w:rsid w:val="00DC52B4"/>
    <w:rsid w:val="00DC52B8"/>
    <w:rsid w:val="00DC530D"/>
    <w:rsid w:val="00DC6453"/>
    <w:rsid w:val="00DC7886"/>
    <w:rsid w:val="00DD0C9B"/>
    <w:rsid w:val="00DD0DEA"/>
    <w:rsid w:val="00DD0E6F"/>
    <w:rsid w:val="00DD12D6"/>
    <w:rsid w:val="00DD1305"/>
    <w:rsid w:val="00DD1498"/>
    <w:rsid w:val="00DD18E2"/>
    <w:rsid w:val="00DD195E"/>
    <w:rsid w:val="00DD1A1B"/>
    <w:rsid w:val="00DD1DE8"/>
    <w:rsid w:val="00DD1EA7"/>
    <w:rsid w:val="00DD24BE"/>
    <w:rsid w:val="00DD26B8"/>
    <w:rsid w:val="00DD2A9C"/>
    <w:rsid w:val="00DD2EED"/>
    <w:rsid w:val="00DD3B94"/>
    <w:rsid w:val="00DD430B"/>
    <w:rsid w:val="00DD4EDD"/>
    <w:rsid w:val="00DD5124"/>
    <w:rsid w:val="00DD5516"/>
    <w:rsid w:val="00DD58AA"/>
    <w:rsid w:val="00DD5DDF"/>
    <w:rsid w:val="00DD6966"/>
    <w:rsid w:val="00DD6E73"/>
    <w:rsid w:val="00DD70AE"/>
    <w:rsid w:val="00DD70EE"/>
    <w:rsid w:val="00DD73C8"/>
    <w:rsid w:val="00DD76DC"/>
    <w:rsid w:val="00DD7A44"/>
    <w:rsid w:val="00DE0B22"/>
    <w:rsid w:val="00DE0B78"/>
    <w:rsid w:val="00DE19DA"/>
    <w:rsid w:val="00DE1A3B"/>
    <w:rsid w:val="00DE2FBA"/>
    <w:rsid w:val="00DE32B9"/>
    <w:rsid w:val="00DE4229"/>
    <w:rsid w:val="00DE49F6"/>
    <w:rsid w:val="00DE50AC"/>
    <w:rsid w:val="00DE53AF"/>
    <w:rsid w:val="00DE5921"/>
    <w:rsid w:val="00DE59AB"/>
    <w:rsid w:val="00DE5F11"/>
    <w:rsid w:val="00DE72A7"/>
    <w:rsid w:val="00DF0582"/>
    <w:rsid w:val="00DF0CF9"/>
    <w:rsid w:val="00DF0D3C"/>
    <w:rsid w:val="00DF0E56"/>
    <w:rsid w:val="00DF0FDF"/>
    <w:rsid w:val="00DF12B0"/>
    <w:rsid w:val="00DF156D"/>
    <w:rsid w:val="00DF16C5"/>
    <w:rsid w:val="00DF19BD"/>
    <w:rsid w:val="00DF1CDC"/>
    <w:rsid w:val="00DF228C"/>
    <w:rsid w:val="00DF26CC"/>
    <w:rsid w:val="00DF2CE0"/>
    <w:rsid w:val="00DF3183"/>
    <w:rsid w:val="00DF345C"/>
    <w:rsid w:val="00DF40EF"/>
    <w:rsid w:val="00DF44CC"/>
    <w:rsid w:val="00DF483F"/>
    <w:rsid w:val="00DF5307"/>
    <w:rsid w:val="00DF58F2"/>
    <w:rsid w:val="00DF590C"/>
    <w:rsid w:val="00DF596D"/>
    <w:rsid w:val="00DF5BA5"/>
    <w:rsid w:val="00DF6116"/>
    <w:rsid w:val="00DF62FC"/>
    <w:rsid w:val="00DF663F"/>
    <w:rsid w:val="00DF68FF"/>
    <w:rsid w:val="00DF72EF"/>
    <w:rsid w:val="00DF7312"/>
    <w:rsid w:val="00DF741B"/>
    <w:rsid w:val="00DF7A3F"/>
    <w:rsid w:val="00DF7FD3"/>
    <w:rsid w:val="00E0012B"/>
    <w:rsid w:val="00E0069B"/>
    <w:rsid w:val="00E006EE"/>
    <w:rsid w:val="00E0076B"/>
    <w:rsid w:val="00E00A25"/>
    <w:rsid w:val="00E00A54"/>
    <w:rsid w:val="00E00C7D"/>
    <w:rsid w:val="00E01DFD"/>
    <w:rsid w:val="00E02827"/>
    <w:rsid w:val="00E03183"/>
    <w:rsid w:val="00E0421F"/>
    <w:rsid w:val="00E04982"/>
    <w:rsid w:val="00E04A1C"/>
    <w:rsid w:val="00E04A99"/>
    <w:rsid w:val="00E0504C"/>
    <w:rsid w:val="00E055AB"/>
    <w:rsid w:val="00E05C5C"/>
    <w:rsid w:val="00E06C7A"/>
    <w:rsid w:val="00E074BE"/>
    <w:rsid w:val="00E07567"/>
    <w:rsid w:val="00E075D8"/>
    <w:rsid w:val="00E10083"/>
    <w:rsid w:val="00E10291"/>
    <w:rsid w:val="00E10EFD"/>
    <w:rsid w:val="00E1109C"/>
    <w:rsid w:val="00E1130E"/>
    <w:rsid w:val="00E1254E"/>
    <w:rsid w:val="00E129AF"/>
    <w:rsid w:val="00E12F11"/>
    <w:rsid w:val="00E13DCB"/>
    <w:rsid w:val="00E13FC1"/>
    <w:rsid w:val="00E14047"/>
    <w:rsid w:val="00E142AB"/>
    <w:rsid w:val="00E14393"/>
    <w:rsid w:val="00E14419"/>
    <w:rsid w:val="00E146C4"/>
    <w:rsid w:val="00E14D9A"/>
    <w:rsid w:val="00E15665"/>
    <w:rsid w:val="00E15D3E"/>
    <w:rsid w:val="00E15F96"/>
    <w:rsid w:val="00E16397"/>
    <w:rsid w:val="00E16693"/>
    <w:rsid w:val="00E1691C"/>
    <w:rsid w:val="00E16AE1"/>
    <w:rsid w:val="00E16E96"/>
    <w:rsid w:val="00E17950"/>
    <w:rsid w:val="00E17B24"/>
    <w:rsid w:val="00E17CA6"/>
    <w:rsid w:val="00E20F93"/>
    <w:rsid w:val="00E21921"/>
    <w:rsid w:val="00E219FB"/>
    <w:rsid w:val="00E2382D"/>
    <w:rsid w:val="00E24723"/>
    <w:rsid w:val="00E2529F"/>
    <w:rsid w:val="00E25FE3"/>
    <w:rsid w:val="00E260FB"/>
    <w:rsid w:val="00E267E3"/>
    <w:rsid w:val="00E26D43"/>
    <w:rsid w:val="00E270A7"/>
    <w:rsid w:val="00E27441"/>
    <w:rsid w:val="00E2789B"/>
    <w:rsid w:val="00E278F5"/>
    <w:rsid w:val="00E27C8A"/>
    <w:rsid w:val="00E27ECC"/>
    <w:rsid w:val="00E30556"/>
    <w:rsid w:val="00E30D84"/>
    <w:rsid w:val="00E31117"/>
    <w:rsid w:val="00E31139"/>
    <w:rsid w:val="00E313C3"/>
    <w:rsid w:val="00E3174D"/>
    <w:rsid w:val="00E31B7F"/>
    <w:rsid w:val="00E31C5B"/>
    <w:rsid w:val="00E32C4D"/>
    <w:rsid w:val="00E32DF9"/>
    <w:rsid w:val="00E338B8"/>
    <w:rsid w:val="00E33AC3"/>
    <w:rsid w:val="00E33C93"/>
    <w:rsid w:val="00E33DF7"/>
    <w:rsid w:val="00E34019"/>
    <w:rsid w:val="00E34A1C"/>
    <w:rsid w:val="00E34F5A"/>
    <w:rsid w:val="00E35BA3"/>
    <w:rsid w:val="00E36275"/>
    <w:rsid w:val="00E36A8C"/>
    <w:rsid w:val="00E36F7D"/>
    <w:rsid w:val="00E3757E"/>
    <w:rsid w:val="00E40B48"/>
    <w:rsid w:val="00E40F07"/>
    <w:rsid w:val="00E410FD"/>
    <w:rsid w:val="00E415A9"/>
    <w:rsid w:val="00E42511"/>
    <w:rsid w:val="00E4332C"/>
    <w:rsid w:val="00E43898"/>
    <w:rsid w:val="00E43D64"/>
    <w:rsid w:val="00E446D7"/>
    <w:rsid w:val="00E44DA4"/>
    <w:rsid w:val="00E45557"/>
    <w:rsid w:val="00E455B4"/>
    <w:rsid w:val="00E45611"/>
    <w:rsid w:val="00E45BDA"/>
    <w:rsid w:val="00E45F2A"/>
    <w:rsid w:val="00E50416"/>
    <w:rsid w:val="00E507A4"/>
    <w:rsid w:val="00E50ACF"/>
    <w:rsid w:val="00E51333"/>
    <w:rsid w:val="00E51D38"/>
    <w:rsid w:val="00E533B8"/>
    <w:rsid w:val="00E54ED5"/>
    <w:rsid w:val="00E54F97"/>
    <w:rsid w:val="00E55D06"/>
    <w:rsid w:val="00E56370"/>
    <w:rsid w:val="00E572A9"/>
    <w:rsid w:val="00E60456"/>
    <w:rsid w:val="00E60E82"/>
    <w:rsid w:val="00E61101"/>
    <w:rsid w:val="00E617C0"/>
    <w:rsid w:val="00E61D6A"/>
    <w:rsid w:val="00E6237D"/>
    <w:rsid w:val="00E62717"/>
    <w:rsid w:val="00E62B6C"/>
    <w:rsid w:val="00E63716"/>
    <w:rsid w:val="00E6389F"/>
    <w:rsid w:val="00E64133"/>
    <w:rsid w:val="00E643BF"/>
    <w:rsid w:val="00E650A3"/>
    <w:rsid w:val="00E65E57"/>
    <w:rsid w:val="00E660AD"/>
    <w:rsid w:val="00E667BF"/>
    <w:rsid w:val="00E66B1E"/>
    <w:rsid w:val="00E66BD6"/>
    <w:rsid w:val="00E66EAB"/>
    <w:rsid w:val="00E66F75"/>
    <w:rsid w:val="00E67578"/>
    <w:rsid w:val="00E707FD"/>
    <w:rsid w:val="00E70EC9"/>
    <w:rsid w:val="00E70F30"/>
    <w:rsid w:val="00E7110D"/>
    <w:rsid w:val="00E71125"/>
    <w:rsid w:val="00E71582"/>
    <w:rsid w:val="00E7172B"/>
    <w:rsid w:val="00E71800"/>
    <w:rsid w:val="00E71C29"/>
    <w:rsid w:val="00E7343B"/>
    <w:rsid w:val="00E73EC7"/>
    <w:rsid w:val="00E74A37"/>
    <w:rsid w:val="00E74EF9"/>
    <w:rsid w:val="00E74F39"/>
    <w:rsid w:val="00E75368"/>
    <w:rsid w:val="00E75C89"/>
    <w:rsid w:val="00E76030"/>
    <w:rsid w:val="00E8011D"/>
    <w:rsid w:val="00E808AD"/>
    <w:rsid w:val="00E810D0"/>
    <w:rsid w:val="00E81285"/>
    <w:rsid w:val="00E8184B"/>
    <w:rsid w:val="00E8191F"/>
    <w:rsid w:val="00E81A88"/>
    <w:rsid w:val="00E81B3D"/>
    <w:rsid w:val="00E826BC"/>
    <w:rsid w:val="00E836E1"/>
    <w:rsid w:val="00E83723"/>
    <w:rsid w:val="00E838B8"/>
    <w:rsid w:val="00E83F4D"/>
    <w:rsid w:val="00E84C50"/>
    <w:rsid w:val="00E84D1E"/>
    <w:rsid w:val="00E84F07"/>
    <w:rsid w:val="00E850E8"/>
    <w:rsid w:val="00E851A1"/>
    <w:rsid w:val="00E86235"/>
    <w:rsid w:val="00E86809"/>
    <w:rsid w:val="00E86EF4"/>
    <w:rsid w:val="00E871BD"/>
    <w:rsid w:val="00E873A0"/>
    <w:rsid w:val="00E87879"/>
    <w:rsid w:val="00E90EE4"/>
    <w:rsid w:val="00E91993"/>
    <w:rsid w:val="00E91B54"/>
    <w:rsid w:val="00E91C2D"/>
    <w:rsid w:val="00E91D51"/>
    <w:rsid w:val="00E92142"/>
    <w:rsid w:val="00E93A55"/>
    <w:rsid w:val="00E93B96"/>
    <w:rsid w:val="00E940D6"/>
    <w:rsid w:val="00E94D24"/>
    <w:rsid w:val="00E94E4A"/>
    <w:rsid w:val="00E951C1"/>
    <w:rsid w:val="00E95BC4"/>
    <w:rsid w:val="00E96F22"/>
    <w:rsid w:val="00E970FE"/>
    <w:rsid w:val="00EA0687"/>
    <w:rsid w:val="00EA07C2"/>
    <w:rsid w:val="00EA133C"/>
    <w:rsid w:val="00EA16B4"/>
    <w:rsid w:val="00EA2055"/>
    <w:rsid w:val="00EA235C"/>
    <w:rsid w:val="00EA2865"/>
    <w:rsid w:val="00EA4268"/>
    <w:rsid w:val="00EA4280"/>
    <w:rsid w:val="00EA4787"/>
    <w:rsid w:val="00EA4AE9"/>
    <w:rsid w:val="00EA4BDE"/>
    <w:rsid w:val="00EA4D16"/>
    <w:rsid w:val="00EA4DA9"/>
    <w:rsid w:val="00EA572B"/>
    <w:rsid w:val="00EA65D2"/>
    <w:rsid w:val="00EA68F9"/>
    <w:rsid w:val="00EA6959"/>
    <w:rsid w:val="00EA69BC"/>
    <w:rsid w:val="00EA7EDC"/>
    <w:rsid w:val="00EB0553"/>
    <w:rsid w:val="00EB0986"/>
    <w:rsid w:val="00EB105B"/>
    <w:rsid w:val="00EB119D"/>
    <w:rsid w:val="00EB18E7"/>
    <w:rsid w:val="00EB3794"/>
    <w:rsid w:val="00EB3BF7"/>
    <w:rsid w:val="00EB4F65"/>
    <w:rsid w:val="00EB4FF5"/>
    <w:rsid w:val="00EB5279"/>
    <w:rsid w:val="00EB5614"/>
    <w:rsid w:val="00EB6260"/>
    <w:rsid w:val="00EB64F1"/>
    <w:rsid w:val="00EB6750"/>
    <w:rsid w:val="00EB6CF0"/>
    <w:rsid w:val="00EB6DAC"/>
    <w:rsid w:val="00EB75DC"/>
    <w:rsid w:val="00EB7D88"/>
    <w:rsid w:val="00EC0336"/>
    <w:rsid w:val="00EC0CBF"/>
    <w:rsid w:val="00EC12B4"/>
    <w:rsid w:val="00EC145E"/>
    <w:rsid w:val="00EC172B"/>
    <w:rsid w:val="00EC1E9F"/>
    <w:rsid w:val="00EC2542"/>
    <w:rsid w:val="00EC2641"/>
    <w:rsid w:val="00EC26A5"/>
    <w:rsid w:val="00EC3214"/>
    <w:rsid w:val="00EC446A"/>
    <w:rsid w:val="00EC4657"/>
    <w:rsid w:val="00EC46EE"/>
    <w:rsid w:val="00EC4790"/>
    <w:rsid w:val="00EC501D"/>
    <w:rsid w:val="00EC51F3"/>
    <w:rsid w:val="00EC52C1"/>
    <w:rsid w:val="00EC5388"/>
    <w:rsid w:val="00EC5857"/>
    <w:rsid w:val="00EC58C6"/>
    <w:rsid w:val="00EC5FA8"/>
    <w:rsid w:val="00EC600A"/>
    <w:rsid w:val="00EC60DB"/>
    <w:rsid w:val="00EC6302"/>
    <w:rsid w:val="00EC6FD6"/>
    <w:rsid w:val="00EC78D7"/>
    <w:rsid w:val="00EC7BB6"/>
    <w:rsid w:val="00EC7F83"/>
    <w:rsid w:val="00ED0C85"/>
    <w:rsid w:val="00ED14E7"/>
    <w:rsid w:val="00ED164C"/>
    <w:rsid w:val="00ED1AD8"/>
    <w:rsid w:val="00ED1D57"/>
    <w:rsid w:val="00ED1FC5"/>
    <w:rsid w:val="00ED296F"/>
    <w:rsid w:val="00ED304A"/>
    <w:rsid w:val="00ED3119"/>
    <w:rsid w:val="00ED31C2"/>
    <w:rsid w:val="00ED36C3"/>
    <w:rsid w:val="00ED3DD9"/>
    <w:rsid w:val="00ED3FCF"/>
    <w:rsid w:val="00ED497F"/>
    <w:rsid w:val="00ED4D66"/>
    <w:rsid w:val="00ED5068"/>
    <w:rsid w:val="00ED577E"/>
    <w:rsid w:val="00ED6458"/>
    <w:rsid w:val="00ED6D8A"/>
    <w:rsid w:val="00ED7291"/>
    <w:rsid w:val="00ED795C"/>
    <w:rsid w:val="00ED7F0F"/>
    <w:rsid w:val="00EE05E9"/>
    <w:rsid w:val="00EE0770"/>
    <w:rsid w:val="00EE0E4A"/>
    <w:rsid w:val="00EE0EF7"/>
    <w:rsid w:val="00EE12D0"/>
    <w:rsid w:val="00EE18FD"/>
    <w:rsid w:val="00EE19EF"/>
    <w:rsid w:val="00EE1AA2"/>
    <w:rsid w:val="00EE1DC7"/>
    <w:rsid w:val="00EE22FF"/>
    <w:rsid w:val="00EE2AB7"/>
    <w:rsid w:val="00EE2FA7"/>
    <w:rsid w:val="00EE32D0"/>
    <w:rsid w:val="00EE3689"/>
    <w:rsid w:val="00EE3E1E"/>
    <w:rsid w:val="00EE3E54"/>
    <w:rsid w:val="00EE4A42"/>
    <w:rsid w:val="00EE4A71"/>
    <w:rsid w:val="00EE4AF6"/>
    <w:rsid w:val="00EE53BB"/>
    <w:rsid w:val="00EE5572"/>
    <w:rsid w:val="00EE5993"/>
    <w:rsid w:val="00EE66F0"/>
    <w:rsid w:val="00EE6928"/>
    <w:rsid w:val="00EE699B"/>
    <w:rsid w:val="00EE6B63"/>
    <w:rsid w:val="00EE7AAF"/>
    <w:rsid w:val="00EE7C08"/>
    <w:rsid w:val="00EE7E60"/>
    <w:rsid w:val="00EF0172"/>
    <w:rsid w:val="00EF04A3"/>
    <w:rsid w:val="00EF167E"/>
    <w:rsid w:val="00EF18FA"/>
    <w:rsid w:val="00EF1C0A"/>
    <w:rsid w:val="00EF1F29"/>
    <w:rsid w:val="00EF2A44"/>
    <w:rsid w:val="00EF2AA1"/>
    <w:rsid w:val="00EF317D"/>
    <w:rsid w:val="00EF32E3"/>
    <w:rsid w:val="00EF3985"/>
    <w:rsid w:val="00EF3A61"/>
    <w:rsid w:val="00EF3EDA"/>
    <w:rsid w:val="00EF3F42"/>
    <w:rsid w:val="00EF4782"/>
    <w:rsid w:val="00EF4858"/>
    <w:rsid w:val="00EF5013"/>
    <w:rsid w:val="00EF5181"/>
    <w:rsid w:val="00EF55BA"/>
    <w:rsid w:val="00EF61A2"/>
    <w:rsid w:val="00EF635C"/>
    <w:rsid w:val="00EF669E"/>
    <w:rsid w:val="00EF69B0"/>
    <w:rsid w:val="00EF6F71"/>
    <w:rsid w:val="00EF73D1"/>
    <w:rsid w:val="00EF7820"/>
    <w:rsid w:val="00EF7879"/>
    <w:rsid w:val="00EF7EB0"/>
    <w:rsid w:val="00F0021B"/>
    <w:rsid w:val="00F00651"/>
    <w:rsid w:val="00F00E20"/>
    <w:rsid w:val="00F012A7"/>
    <w:rsid w:val="00F018F4"/>
    <w:rsid w:val="00F01B26"/>
    <w:rsid w:val="00F02324"/>
    <w:rsid w:val="00F023B9"/>
    <w:rsid w:val="00F02C46"/>
    <w:rsid w:val="00F03008"/>
    <w:rsid w:val="00F031A3"/>
    <w:rsid w:val="00F034E2"/>
    <w:rsid w:val="00F0354A"/>
    <w:rsid w:val="00F03A49"/>
    <w:rsid w:val="00F03C08"/>
    <w:rsid w:val="00F03FB0"/>
    <w:rsid w:val="00F04166"/>
    <w:rsid w:val="00F0483E"/>
    <w:rsid w:val="00F04BAE"/>
    <w:rsid w:val="00F0530F"/>
    <w:rsid w:val="00F05760"/>
    <w:rsid w:val="00F05825"/>
    <w:rsid w:val="00F058EF"/>
    <w:rsid w:val="00F05E20"/>
    <w:rsid w:val="00F06537"/>
    <w:rsid w:val="00F065B5"/>
    <w:rsid w:val="00F06D11"/>
    <w:rsid w:val="00F06E27"/>
    <w:rsid w:val="00F070B3"/>
    <w:rsid w:val="00F07227"/>
    <w:rsid w:val="00F07737"/>
    <w:rsid w:val="00F07D0E"/>
    <w:rsid w:val="00F100D5"/>
    <w:rsid w:val="00F108DF"/>
    <w:rsid w:val="00F10C67"/>
    <w:rsid w:val="00F11171"/>
    <w:rsid w:val="00F11388"/>
    <w:rsid w:val="00F11721"/>
    <w:rsid w:val="00F11D97"/>
    <w:rsid w:val="00F12088"/>
    <w:rsid w:val="00F122A1"/>
    <w:rsid w:val="00F12316"/>
    <w:rsid w:val="00F12657"/>
    <w:rsid w:val="00F12FE0"/>
    <w:rsid w:val="00F1367C"/>
    <w:rsid w:val="00F13B90"/>
    <w:rsid w:val="00F148B4"/>
    <w:rsid w:val="00F14D98"/>
    <w:rsid w:val="00F14E9D"/>
    <w:rsid w:val="00F152E1"/>
    <w:rsid w:val="00F15E48"/>
    <w:rsid w:val="00F1679C"/>
    <w:rsid w:val="00F16BB0"/>
    <w:rsid w:val="00F16D84"/>
    <w:rsid w:val="00F171C9"/>
    <w:rsid w:val="00F174C1"/>
    <w:rsid w:val="00F17D02"/>
    <w:rsid w:val="00F17F52"/>
    <w:rsid w:val="00F20CE6"/>
    <w:rsid w:val="00F20DB7"/>
    <w:rsid w:val="00F212C2"/>
    <w:rsid w:val="00F215AA"/>
    <w:rsid w:val="00F21B04"/>
    <w:rsid w:val="00F21D4B"/>
    <w:rsid w:val="00F22B5F"/>
    <w:rsid w:val="00F22CC3"/>
    <w:rsid w:val="00F22E4C"/>
    <w:rsid w:val="00F230E4"/>
    <w:rsid w:val="00F237D5"/>
    <w:rsid w:val="00F23AC6"/>
    <w:rsid w:val="00F23F7E"/>
    <w:rsid w:val="00F241DA"/>
    <w:rsid w:val="00F2577B"/>
    <w:rsid w:val="00F26B46"/>
    <w:rsid w:val="00F26E59"/>
    <w:rsid w:val="00F270EE"/>
    <w:rsid w:val="00F2731A"/>
    <w:rsid w:val="00F275C8"/>
    <w:rsid w:val="00F27688"/>
    <w:rsid w:val="00F277E8"/>
    <w:rsid w:val="00F27C1C"/>
    <w:rsid w:val="00F30019"/>
    <w:rsid w:val="00F3097A"/>
    <w:rsid w:val="00F30B2F"/>
    <w:rsid w:val="00F30BE9"/>
    <w:rsid w:val="00F30D9E"/>
    <w:rsid w:val="00F30F58"/>
    <w:rsid w:val="00F3117F"/>
    <w:rsid w:val="00F312F4"/>
    <w:rsid w:val="00F313E8"/>
    <w:rsid w:val="00F333CA"/>
    <w:rsid w:val="00F3355F"/>
    <w:rsid w:val="00F336D8"/>
    <w:rsid w:val="00F33D1E"/>
    <w:rsid w:val="00F3412A"/>
    <w:rsid w:val="00F34200"/>
    <w:rsid w:val="00F34622"/>
    <w:rsid w:val="00F350C5"/>
    <w:rsid w:val="00F3515F"/>
    <w:rsid w:val="00F35972"/>
    <w:rsid w:val="00F36493"/>
    <w:rsid w:val="00F3659A"/>
    <w:rsid w:val="00F36BD7"/>
    <w:rsid w:val="00F36C77"/>
    <w:rsid w:val="00F37841"/>
    <w:rsid w:val="00F37AAB"/>
    <w:rsid w:val="00F402FC"/>
    <w:rsid w:val="00F40D4C"/>
    <w:rsid w:val="00F41300"/>
    <w:rsid w:val="00F419C9"/>
    <w:rsid w:val="00F41BF9"/>
    <w:rsid w:val="00F420A8"/>
    <w:rsid w:val="00F42754"/>
    <w:rsid w:val="00F43108"/>
    <w:rsid w:val="00F4384C"/>
    <w:rsid w:val="00F439B1"/>
    <w:rsid w:val="00F43D37"/>
    <w:rsid w:val="00F4483E"/>
    <w:rsid w:val="00F44861"/>
    <w:rsid w:val="00F44D66"/>
    <w:rsid w:val="00F44DE9"/>
    <w:rsid w:val="00F456FD"/>
    <w:rsid w:val="00F4639F"/>
    <w:rsid w:val="00F474E0"/>
    <w:rsid w:val="00F47D74"/>
    <w:rsid w:val="00F50D2C"/>
    <w:rsid w:val="00F517DE"/>
    <w:rsid w:val="00F51BD0"/>
    <w:rsid w:val="00F52BE7"/>
    <w:rsid w:val="00F5302B"/>
    <w:rsid w:val="00F5325A"/>
    <w:rsid w:val="00F5378D"/>
    <w:rsid w:val="00F53DFD"/>
    <w:rsid w:val="00F5416A"/>
    <w:rsid w:val="00F54406"/>
    <w:rsid w:val="00F54CCF"/>
    <w:rsid w:val="00F55066"/>
    <w:rsid w:val="00F5534E"/>
    <w:rsid w:val="00F55642"/>
    <w:rsid w:val="00F556D9"/>
    <w:rsid w:val="00F55FAC"/>
    <w:rsid w:val="00F56CA6"/>
    <w:rsid w:val="00F56E59"/>
    <w:rsid w:val="00F56EA3"/>
    <w:rsid w:val="00F56F5E"/>
    <w:rsid w:val="00F57087"/>
    <w:rsid w:val="00F5730A"/>
    <w:rsid w:val="00F574CC"/>
    <w:rsid w:val="00F600C8"/>
    <w:rsid w:val="00F600CC"/>
    <w:rsid w:val="00F605C2"/>
    <w:rsid w:val="00F60B3F"/>
    <w:rsid w:val="00F613B4"/>
    <w:rsid w:val="00F61E10"/>
    <w:rsid w:val="00F61F19"/>
    <w:rsid w:val="00F622F7"/>
    <w:rsid w:val="00F62675"/>
    <w:rsid w:val="00F62DCA"/>
    <w:rsid w:val="00F630CB"/>
    <w:rsid w:val="00F634E2"/>
    <w:rsid w:val="00F636BE"/>
    <w:rsid w:val="00F63B83"/>
    <w:rsid w:val="00F63B95"/>
    <w:rsid w:val="00F63CA9"/>
    <w:rsid w:val="00F640BF"/>
    <w:rsid w:val="00F64CBC"/>
    <w:rsid w:val="00F64FD1"/>
    <w:rsid w:val="00F65194"/>
    <w:rsid w:val="00F65B87"/>
    <w:rsid w:val="00F665CB"/>
    <w:rsid w:val="00F66B30"/>
    <w:rsid w:val="00F66EF2"/>
    <w:rsid w:val="00F66FF5"/>
    <w:rsid w:val="00F70001"/>
    <w:rsid w:val="00F70A02"/>
    <w:rsid w:val="00F70DEB"/>
    <w:rsid w:val="00F717DD"/>
    <w:rsid w:val="00F71BD3"/>
    <w:rsid w:val="00F71D79"/>
    <w:rsid w:val="00F720BE"/>
    <w:rsid w:val="00F728B6"/>
    <w:rsid w:val="00F728E8"/>
    <w:rsid w:val="00F729C8"/>
    <w:rsid w:val="00F72D8C"/>
    <w:rsid w:val="00F736DA"/>
    <w:rsid w:val="00F73E15"/>
    <w:rsid w:val="00F73F55"/>
    <w:rsid w:val="00F73F94"/>
    <w:rsid w:val="00F74AC4"/>
    <w:rsid w:val="00F7558E"/>
    <w:rsid w:val="00F755C9"/>
    <w:rsid w:val="00F75E11"/>
    <w:rsid w:val="00F768AA"/>
    <w:rsid w:val="00F76F94"/>
    <w:rsid w:val="00F77959"/>
    <w:rsid w:val="00F77BA4"/>
    <w:rsid w:val="00F77C6C"/>
    <w:rsid w:val="00F77F68"/>
    <w:rsid w:val="00F80026"/>
    <w:rsid w:val="00F80486"/>
    <w:rsid w:val="00F8073D"/>
    <w:rsid w:val="00F8090E"/>
    <w:rsid w:val="00F81225"/>
    <w:rsid w:val="00F8134A"/>
    <w:rsid w:val="00F814D7"/>
    <w:rsid w:val="00F817B7"/>
    <w:rsid w:val="00F81E29"/>
    <w:rsid w:val="00F820F5"/>
    <w:rsid w:val="00F82986"/>
    <w:rsid w:val="00F83379"/>
    <w:rsid w:val="00F83903"/>
    <w:rsid w:val="00F839AF"/>
    <w:rsid w:val="00F840C2"/>
    <w:rsid w:val="00F841C2"/>
    <w:rsid w:val="00F8463C"/>
    <w:rsid w:val="00F85D48"/>
    <w:rsid w:val="00F85ED1"/>
    <w:rsid w:val="00F86527"/>
    <w:rsid w:val="00F86D59"/>
    <w:rsid w:val="00F86F0B"/>
    <w:rsid w:val="00F874FE"/>
    <w:rsid w:val="00F878FB"/>
    <w:rsid w:val="00F87B41"/>
    <w:rsid w:val="00F90437"/>
    <w:rsid w:val="00F907F9"/>
    <w:rsid w:val="00F90DF9"/>
    <w:rsid w:val="00F91060"/>
    <w:rsid w:val="00F91208"/>
    <w:rsid w:val="00F91366"/>
    <w:rsid w:val="00F91405"/>
    <w:rsid w:val="00F91DC9"/>
    <w:rsid w:val="00F91F11"/>
    <w:rsid w:val="00F9245C"/>
    <w:rsid w:val="00F93618"/>
    <w:rsid w:val="00F9373A"/>
    <w:rsid w:val="00F93D51"/>
    <w:rsid w:val="00F93D56"/>
    <w:rsid w:val="00F93FC8"/>
    <w:rsid w:val="00F94725"/>
    <w:rsid w:val="00F94CD0"/>
    <w:rsid w:val="00F94E8D"/>
    <w:rsid w:val="00F95A2B"/>
    <w:rsid w:val="00F95C16"/>
    <w:rsid w:val="00F95EFB"/>
    <w:rsid w:val="00F96774"/>
    <w:rsid w:val="00F96FE9"/>
    <w:rsid w:val="00F9771B"/>
    <w:rsid w:val="00F97961"/>
    <w:rsid w:val="00F97BC3"/>
    <w:rsid w:val="00F97C2D"/>
    <w:rsid w:val="00F97D89"/>
    <w:rsid w:val="00FA03EF"/>
    <w:rsid w:val="00FA0D88"/>
    <w:rsid w:val="00FA165F"/>
    <w:rsid w:val="00FA17A5"/>
    <w:rsid w:val="00FA1A68"/>
    <w:rsid w:val="00FA2180"/>
    <w:rsid w:val="00FA2BF7"/>
    <w:rsid w:val="00FA2ECF"/>
    <w:rsid w:val="00FA2FE3"/>
    <w:rsid w:val="00FA3E1B"/>
    <w:rsid w:val="00FA47D6"/>
    <w:rsid w:val="00FA4D28"/>
    <w:rsid w:val="00FA4FA9"/>
    <w:rsid w:val="00FA546D"/>
    <w:rsid w:val="00FA5965"/>
    <w:rsid w:val="00FA5E58"/>
    <w:rsid w:val="00FA6137"/>
    <w:rsid w:val="00FA6283"/>
    <w:rsid w:val="00FA7085"/>
    <w:rsid w:val="00FA72E4"/>
    <w:rsid w:val="00FA7AF7"/>
    <w:rsid w:val="00FA7F6C"/>
    <w:rsid w:val="00FB0449"/>
    <w:rsid w:val="00FB09C0"/>
    <w:rsid w:val="00FB10EE"/>
    <w:rsid w:val="00FB21A7"/>
    <w:rsid w:val="00FB2585"/>
    <w:rsid w:val="00FB2774"/>
    <w:rsid w:val="00FB2CA4"/>
    <w:rsid w:val="00FB32D4"/>
    <w:rsid w:val="00FB34B6"/>
    <w:rsid w:val="00FB36C1"/>
    <w:rsid w:val="00FB4110"/>
    <w:rsid w:val="00FB4B2E"/>
    <w:rsid w:val="00FB4DBE"/>
    <w:rsid w:val="00FB5198"/>
    <w:rsid w:val="00FB58CB"/>
    <w:rsid w:val="00FB5FF4"/>
    <w:rsid w:val="00FB6017"/>
    <w:rsid w:val="00FB623E"/>
    <w:rsid w:val="00FB6D22"/>
    <w:rsid w:val="00FB7085"/>
    <w:rsid w:val="00FB73A8"/>
    <w:rsid w:val="00FB76E3"/>
    <w:rsid w:val="00FB7819"/>
    <w:rsid w:val="00FB7B6B"/>
    <w:rsid w:val="00FB7E54"/>
    <w:rsid w:val="00FC0408"/>
    <w:rsid w:val="00FC05E3"/>
    <w:rsid w:val="00FC139B"/>
    <w:rsid w:val="00FC1BB5"/>
    <w:rsid w:val="00FC1E0D"/>
    <w:rsid w:val="00FC232E"/>
    <w:rsid w:val="00FC2486"/>
    <w:rsid w:val="00FC252D"/>
    <w:rsid w:val="00FC270C"/>
    <w:rsid w:val="00FC2C81"/>
    <w:rsid w:val="00FC2D95"/>
    <w:rsid w:val="00FC3021"/>
    <w:rsid w:val="00FC3987"/>
    <w:rsid w:val="00FC4845"/>
    <w:rsid w:val="00FC4B08"/>
    <w:rsid w:val="00FC4D7F"/>
    <w:rsid w:val="00FC4FB6"/>
    <w:rsid w:val="00FC5072"/>
    <w:rsid w:val="00FC56A4"/>
    <w:rsid w:val="00FC574E"/>
    <w:rsid w:val="00FC5957"/>
    <w:rsid w:val="00FC62BA"/>
    <w:rsid w:val="00FC62D1"/>
    <w:rsid w:val="00FC6939"/>
    <w:rsid w:val="00FC7001"/>
    <w:rsid w:val="00FC713E"/>
    <w:rsid w:val="00FC7E98"/>
    <w:rsid w:val="00FD0903"/>
    <w:rsid w:val="00FD161D"/>
    <w:rsid w:val="00FD170B"/>
    <w:rsid w:val="00FD1D7F"/>
    <w:rsid w:val="00FD2B72"/>
    <w:rsid w:val="00FD4BBF"/>
    <w:rsid w:val="00FD4EB4"/>
    <w:rsid w:val="00FD58BF"/>
    <w:rsid w:val="00FD5C37"/>
    <w:rsid w:val="00FD68D6"/>
    <w:rsid w:val="00FD69A4"/>
    <w:rsid w:val="00FD69DB"/>
    <w:rsid w:val="00FD6D2D"/>
    <w:rsid w:val="00FD70BD"/>
    <w:rsid w:val="00FD70C9"/>
    <w:rsid w:val="00FD7525"/>
    <w:rsid w:val="00FD7FE7"/>
    <w:rsid w:val="00FE0067"/>
    <w:rsid w:val="00FE10F0"/>
    <w:rsid w:val="00FE1213"/>
    <w:rsid w:val="00FE1702"/>
    <w:rsid w:val="00FE17EB"/>
    <w:rsid w:val="00FE2CEA"/>
    <w:rsid w:val="00FE3680"/>
    <w:rsid w:val="00FE3948"/>
    <w:rsid w:val="00FE41EE"/>
    <w:rsid w:val="00FE4458"/>
    <w:rsid w:val="00FE5E50"/>
    <w:rsid w:val="00FE6130"/>
    <w:rsid w:val="00FE6191"/>
    <w:rsid w:val="00FE632B"/>
    <w:rsid w:val="00FE63EA"/>
    <w:rsid w:val="00FE6E40"/>
    <w:rsid w:val="00FE721A"/>
    <w:rsid w:val="00FE7281"/>
    <w:rsid w:val="00FE7A49"/>
    <w:rsid w:val="00FE7FF1"/>
    <w:rsid w:val="00FF06A9"/>
    <w:rsid w:val="00FF1640"/>
    <w:rsid w:val="00FF18F0"/>
    <w:rsid w:val="00FF1A61"/>
    <w:rsid w:val="00FF1DDF"/>
    <w:rsid w:val="00FF1E9F"/>
    <w:rsid w:val="00FF234E"/>
    <w:rsid w:val="00FF2BA3"/>
    <w:rsid w:val="00FF34A6"/>
    <w:rsid w:val="00FF37F5"/>
    <w:rsid w:val="00FF3852"/>
    <w:rsid w:val="00FF3A35"/>
    <w:rsid w:val="00FF3C58"/>
    <w:rsid w:val="00FF41F1"/>
    <w:rsid w:val="00FF4B6D"/>
    <w:rsid w:val="00FF6317"/>
    <w:rsid w:val="00FF643B"/>
    <w:rsid w:val="00FF67F6"/>
    <w:rsid w:val="00FF68D3"/>
    <w:rsid w:val="00FF6E2E"/>
    <w:rsid w:val="00FF712A"/>
    <w:rsid w:val="00FF76B4"/>
    <w:rsid w:val="00FF79EC"/>
    <w:rsid w:val="01732806"/>
    <w:rsid w:val="01B6333B"/>
    <w:rsid w:val="020B10D4"/>
    <w:rsid w:val="021BDC96"/>
    <w:rsid w:val="021D8A0E"/>
    <w:rsid w:val="02BA9BB8"/>
    <w:rsid w:val="03013E11"/>
    <w:rsid w:val="033B5B32"/>
    <w:rsid w:val="03918821"/>
    <w:rsid w:val="03A6E96F"/>
    <w:rsid w:val="049EE129"/>
    <w:rsid w:val="057C2479"/>
    <w:rsid w:val="0591A2D2"/>
    <w:rsid w:val="059FAAF5"/>
    <w:rsid w:val="073CEB5B"/>
    <w:rsid w:val="0759B97D"/>
    <w:rsid w:val="07BC1DCC"/>
    <w:rsid w:val="07DB40D3"/>
    <w:rsid w:val="08CF0020"/>
    <w:rsid w:val="09646080"/>
    <w:rsid w:val="096674EB"/>
    <w:rsid w:val="09E26592"/>
    <w:rsid w:val="0A3C37E6"/>
    <w:rsid w:val="0B6D2EFC"/>
    <w:rsid w:val="0BC45CC8"/>
    <w:rsid w:val="0BDDC1AC"/>
    <w:rsid w:val="0BFDD154"/>
    <w:rsid w:val="0C88B538"/>
    <w:rsid w:val="0CDF28F0"/>
    <w:rsid w:val="0D23DE59"/>
    <w:rsid w:val="0D97CA28"/>
    <w:rsid w:val="0DDC9BE7"/>
    <w:rsid w:val="0E6E8528"/>
    <w:rsid w:val="0E76E569"/>
    <w:rsid w:val="0F008679"/>
    <w:rsid w:val="0F0A1E35"/>
    <w:rsid w:val="0F0CEEEE"/>
    <w:rsid w:val="0FA59F04"/>
    <w:rsid w:val="1004AE16"/>
    <w:rsid w:val="1040736F"/>
    <w:rsid w:val="10EDF7B7"/>
    <w:rsid w:val="114DB759"/>
    <w:rsid w:val="116B1D10"/>
    <w:rsid w:val="11EC04C1"/>
    <w:rsid w:val="1238273B"/>
    <w:rsid w:val="1250E646"/>
    <w:rsid w:val="12A9F141"/>
    <w:rsid w:val="135A3D70"/>
    <w:rsid w:val="13D3F79C"/>
    <w:rsid w:val="13FFA7C9"/>
    <w:rsid w:val="14122AE7"/>
    <w:rsid w:val="148176AF"/>
    <w:rsid w:val="14AF5907"/>
    <w:rsid w:val="14C8E184"/>
    <w:rsid w:val="159E9352"/>
    <w:rsid w:val="15FF99C1"/>
    <w:rsid w:val="163C87B6"/>
    <w:rsid w:val="16565256"/>
    <w:rsid w:val="166BDD47"/>
    <w:rsid w:val="169BADDD"/>
    <w:rsid w:val="16D6929B"/>
    <w:rsid w:val="17755DFB"/>
    <w:rsid w:val="17B45A4F"/>
    <w:rsid w:val="182CE865"/>
    <w:rsid w:val="18593AFE"/>
    <w:rsid w:val="1945C318"/>
    <w:rsid w:val="19AE31C5"/>
    <w:rsid w:val="19BDD835"/>
    <w:rsid w:val="1A4CD496"/>
    <w:rsid w:val="1AAD0E00"/>
    <w:rsid w:val="1ABBCC41"/>
    <w:rsid w:val="1B23E617"/>
    <w:rsid w:val="1B68FB79"/>
    <w:rsid w:val="1BC5E124"/>
    <w:rsid w:val="1C06D071"/>
    <w:rsid w:val="1C295C3E"/>
    <w:rsid w:val="1CC3CF97"/>
    <w:rsid w:val="1CC44DE9"/>
    <w:rsid w:val="1D2A2A2D"/>
    <w:rsid w:val="1DD5A744"/>
    <w:rsid w:val="1E126121"/>
    <w:rsid w:val="1E211800"/>
    <w:rsid w:val="1E27F49A"/>
    <w:rsid w:val="1E9A7E52"/>
    <w:rsid w:val="1EB8FF91"/>
    <w:rsid w:val="1F69646E"/>
    <w:rsid w:val="206376B3"/>
    <w:rsid w:val="207491FE"/>
    <w:rsid w:val="20825CF2"/>
    <w:rsid w:val="20B6404F"/>
    <w:rsid w:val="20DC793F"/>
    <w:rsid w:val="21025D88"/>
    <w:rsid w:val="21C29392"/>
    <w:rsid w:val="22258619"/>
    <w:rsid w:val="223F4E28"/>
    <w:rsid w:val="2257C303"/>
    <w:rsid w:val="22D367D1"/>
    <w:rsid w:val="22FDF536"/>
    <w:rsid w:val="232B609B"/>
    <w:rsid w:val="23658EBD"/>
    <w:rsid w:val="245D977F"/>
    <w:rsid w:val="24B04E80"/>
    <w:rsid w:val="255DFA86"/>
    <w:rsid w:val="25697408"/>
    <w:rsid w:val="259C1E46"/>
    <w:rsid w:val="264436D2"/>
    <w:rsid w:val="264492E6"/>
    <w:rsid w:val="268140AA"/>
    <w:rsid w:val="26910DBD"/>
    <w:rsid w:val="26C47A10"/>
    <w:rsid w:val="26EA5455"/>
    <w:rsid w:val="26F848FC"/>
    <w:rsid w:val="2749DB3D"/>
    <w:rsid w:val="275E2721"/>
    <w:rsid w:val="28C3566B"/>
    <w:rsid w:val="28CAAEC4"/>
    <w:rsid w:val="28CDD4E3"/>
    <w:rsid w:val="2900B543"/>
    <w:rsid w:val="29640EC6"/>
    <w:rsid w:val="29676CBF"/>
    <w:rsid w:val="29B1DBA2"/>
    <w:rsid w:val="29C13A66"/>
    <w:rsid w:val="2A697DCB"/>
    <w:rsid w:val="2AA28C6F"/>
    <w:rsid w:val="2BC7B81B"/>
    <w:rsid w:val="2C51F56E"/>
    <w:rsid w:val="2CE34D94"/>
    <w:rsid w:val="2D85FA21"/>
    <w:rsid w:val="2D868B81"/>
    <w:rsid w:val="2DC20B82"/>
    <w:rsid w:val="2DC34086"/>
    <w:rsid w:val="2E1221B2"/>
    <w:rsid w:val="2E16D70E"/>
    <w:rsid w:val="2E2F3557"/>
    <w:rsid w:val="2E91B195"/>
    <w:rsid w:val="2ECBAB13"/>
    <w:rsid w:val="2F264CE0"/>
    <w:rsid w:val="2F34DB54"/>
    <w:rsid w:val="2FA5DDEE"/>
    <w:rsid w:val="30A01260"/>
    <w:rsid w:val="315387E5"/>
    <w:rsid w:val="31945427"/>
    <w:rsid w:val="31B68F20"/>
    <w:rsid w:val="31C5C71C"/>
    <w:rsid w:val="31D5BB0E"/>
    <w:rsid w:val="320CBF6D"/>
    <w:rsid w:val="320FAC6F"/>
    <w:rsid w:val="323D8DAC"/>
    <w:rsid w:val="32948593"/>
    <w:rsid w:val="33279196"/>
    <w:rsid w:val="334531C7"/>
    <w:rsid w:val="336B1560"/>
    <w:rsid w:val="3416EA4D"/>
    <w:rsid w:val="342CB576"/>
    <w:rsid w:val="346F048D"/>
    <w:rsid w:val="3505F7A7"/>
    <w:rsid w:val="357E0D84"/>
    <w:rsid w:val="35BC5FBF"/>
    <w:rsid w:val="366E3344"/>
    <w:rsid w:val="36A117F3"/>
    <w:rsid w:val="36E40A5E"/>
    <w:rsid w:val="3760246E"/>
    <w:rsid w:val="3768A8A6"/>
    <w:rsid w:val="37C07DC1"/>
    <w:rsid w:val="38B7CDD5"/>
    <w:rsid w:val="3A0D539B"/>
    <w:rsid w:val="3A0E604F"/>
    <w:rsid w:val="3A2EB724"/>
    <w:rsid w:val="3A3CCABB"/>
    <w:rsid w:val="3A539E36"/>
    <w:rsid w:val="3A6A0A6F"/>
    <w:rsid w:val="3ABF0ACF"/>
    <w:rsid w:val="3B1C2DF2"/>
    <w:rsid w:val="3B2638BD"/>
    <w:rsid w:val="3B4CE33A"/>
    <w:rsid w:val="3BB2F14E"/>
    <w:rsid w:val="3BB85115"/>
    <w:rsid w:val="3C6D5C4B"/>
    <w:rsid w:val="3C872FAC"/>
    <w:rsid w:val="3C94766F"/>
    <w:rsid w:val="3C94A013"/>
    <w:rsid w:val="3D676871"/>
    <w:rsid w:val="3D8BE09E"/>
    <w:rsid w:val="3D9FFDB3"/>
    <w:rsid w:val="3DB3EB74"/>
    <w:rsid w:val="3DB58A66"/>
    <w:rsid w:val="3DD8EC42"/>
    <w:rsid w:val="3DE8A0CA"/>
    <w:rsid w:val="3EAD2A24"/>
    <w:rsid w:val="3EB738BD"/>
    <w:rsid w:val="3F33B9D6"/>
    <w:rsid w:val="3F3985EF"/>
    <w:rsid w:val="404AF392"/>
    <w:rsid w:val="40508051"/>
    <w:rsid w:val="409AEFB8"/>
    <w:rsid w:val="409D06B1"/>
    <w:rsid w:val="4192CC26"/>
    <w:rsid w:val="41B60D80"/>
    <w:rsid w:val="41FDD6F6"/>
    <w:rsid w:val="426286E2"/>
    <w:rsid w:val="432A4581"/>
    <w:rsid w:val="43E8574B"/>
    <w:rsid w:val="43F65DE5"/>
    <w:rsid w:val="44261EDC"/>
    <w:rsid w:val="455CB7DF"/>
    <w:rsid w:val="45729B39"/>
    <w:rsid w:val="45778325"/>
    <w:rsid w:val="4590FF88"/>
    <w:rsid w:val="459A8B0B"/>
    <w:rsid w:val="46B5EF31"/>
    <w:rsid w:val="46C03258"/>
    <w:rsid w:val="47422E7E"/>
    <w:rsid w:val="47A2DB2E"/>
    <w:rsid w:val="484BFF0C"/>
    <w:rsid w:val="48B12EA5"/>
    <w:rsid w:val="494746A3"/>
    <w:rsid w:val="4960C0FF"/>
    <w:rsid w:val="4968BFD8"/>
    <w:rsid w:val="4A0A4262"/>
    <w:rsid w:val="4A1F6B31"/>
    <w:rsid w:val="4ABB1B6B"/>
    <w:rsid w:val="4ABD654C"/>
    <w:rsid w:val="4B86EA1D"/>
    <w:rsid w:val="4BD2A092"/>
    <w:rsid w:val="4BEE9859"/>
    <w:rsid w:val="4C283E0D"/>
    <w:rsid w:val="4D4DE4A2"/>
    <w:rsid w:val="4D6E5BF6"/>
    <w:rsid w:val="4D90D0AA"/>
    <w:rsid w:val="4D95F9B0"/>
    <w:rsid w:val="4DBF65E7"/>
    <w:rsid w:val="4DFA011D"/>
    <w:rsid w:val="4F14D2F7"/>
    <w:rsid w:val="4F4E36FC"/>
    <w:rsid w:val="4FB6B705"/>
    <w:rsid w:val="4FCEA8E5"/>
    <w:rsid w:val="4FD33619"/>
    <w:rsid w:val="4FDD2215"/>
    <w:rsid w:val="50180E4F"/>
    <w:rsid w:val="504699A0"/>
    <w:rsid w:val="50B13333"/>
    <w:rsid w:val="50C9CC6B"/>
    <w:rsid w:val="50D593D2"/>
    <w:rsid w:val="50ED9B87"/>
    <w:rsid w:val="51AEB16C"/>
    <w:rsid w:val="52046A1F"/>
    <w:rsid w:val="523CB7D9"/>
    <w:rsid w:val="528BE75D"/>
    <w:rsid w:val="529450FE"/>
    <w:rsid w:val="534B3145"/>
    <w:rsid w:val="5374A957"/>
    <w:rsid w:val="537797BF"/>
    <w:rsid w:val="5395EFB3"/>
    <w:rsid w:val="5447921D"/>
    <w:rsid w:val="549B544A"/>
    <w:rsid w:val="54DDE158"/>
    <w:rsid w:val="55D994C7"/>
    <w:rsid w:val="56219C8F"/>
    <w:rsid w:val="56FAF8E1"/>
    <w:rsid w:val="572EE8EA"/>
    <w:rsid w:val="5780313C"/>
    <w:rsid w:val="58CD8DE0"/>
    <w:rsid w:val="59512187"/>
    <w:rsid w:val="5990D69A"/>
    <w:rsid w:val="5A978D9A"/>
    <w:rsid w:val="5AF284D6"/>
    <w:rsid w:val="5B59E34B"/>
    <w:rsid w:val="5BB3D00D"/>
    <w:rsid w:val="5CFD07FD"/>
    <w:rsid w:val="5DAA016F"/>
    <w:rsid w:val="5E5739DC"/>
    <w:rsid w:val="5EEF73EB"/>
    <w:rsid w:val="5F259AA2"/>
    <w:rsid w:val="6069CF42"/>
    <w:rsid w:val="6100641C"/>
    <w:rsid w:val="613C729C"/>
    <w:rsid w:val="614D9AE9"/>
    <w:rsid w:val="61F2E37A"/>
    <w:rsid w:val="620596D7"/>
    <w:rsid w:val="6231648D"/>
    <w:rsid w:val="62A14BA4"/>
    <w:rsid w:val="6350FBDB"/>
    <w:rsid w:val="636D219F"/>
    <w:rsid w:val="6394537A"/>
    <w:rsid w:val="6396D821"/>
    <w:rsid w:val="63C35379"/>
    <w:rsid w:val="6406E545"/>
    <w:rsid w:val="645538C4"/>
    <w:rsid w:val="6491EAEF"/>
    <w:rsid w:val="64A1E4CB"/>
    <w:rsid w:val="6676F51B"/>
    <w:rsid w:val="66CE2B4C"/>
    <w:rsid w:val="6770A70F"/>
    <w:rsid w:val="6781050E"/>
    <w:rsid w:val="679FF97A"/>
    <w:rsid w:val="698C2B03"/>
    <w:rsid w:val="69C2DC88"/>
    <w:rsid w:val="6A24305C"/>
    <w:rsid w:val="6AB2F243"/>
    <w:rsid w:val="6BA8C87B"/>
    <w:rsid w:val="6BE75B44"/>
    <w:rsid w:val="6C2D5FA9"/>
    <w:rsid w:val="6C35D84F"/>
    <w:rsid w:val="6C38C270"/>
    <w:rsid w:val="6CC4C7E4"/>
    <w:rsid w:val="6D502D91"/>
    <w:rsid w:val="6DCDE1CA"/>
    <w:rsid w:val="6DD51BA7"/>
    <w:rsid w:val="6DEE80C3"/>
    <w:rsid w:val="6E30FEB1"/>
    <w:rsid w:val="6E82BAA5"/>
    <w:rsid w:val="6ED08275"/>
    <w:rsid w:val="6EE49695"/>
    <w:rsid w:val="6EE54F78"/>
    <w:rsid w:val="6F4241DE"/>
    <w:rsid w:val="6FB465F3"/>
    <w:rsid w:val="6FEE0EFE"/>
    <w:rsid w:val="70061A4A"/>
    <w:rsid w:val="70BBE9B2"/>
    <w:rsid w:val="70DEEB51"/>
    <w:rsid w:val="71222559"/>
    <w:rsid w:val="719B18A4"/>
    <w:rsid w:val="71AAD450"/>
    <w:rsid w:val="72284F00"/>
    <w:rsid w:val="726FEDF9"/>
    <w:rsid w:val="728FE74C"/>
    <w:rsid w:val="72CDF273"/>
    <w:rsid w:val="72DD1E15"/>
    <w:rsid w:val="732ACE7C"/>
    <w:rsid w:val="73A373AC"/>
    <w:rsid w:val="73AF174F"/>
    <w:rsid w:val="73D12614"/>
    <w:rsid w:val="7441B047"/>
    <w:rsid w:val="75240520"/>
    <w:rsid w:val="75258F19"/>
    <w:rsid w:val="7563639A"/>
    <w:rsid w:val="7589E1BF"/>
    <w:rsid w:val="759CC01E"/>
    <w:rsid w:val="76056096"/>
    <w:rsid w:val="762A0F2B"/>
    <w:rsid w:val="768E4653"/>
    <w:rsid w:val="76A3A137"/>
    <w:rsid w:val="76AA932F"/>
    <w:rsid w:val="76BABFAD"/>
    <w:rsid w:val="77410682"/>
    <w:rsid w:val="776D647C"/>
    <w:rsid w:val="77B591A7"/>
    <w:rsid w:val="78206EC8"/>
    <w:rsid w:val="784C6542"/>
    <w:rsid w:val="78C7A244"/>
    <w:rsid w:val="78F7B391"/>
    <w:rsid w:val="79634A80"/>
    <w:rsid w:val="79A3AC82"/>
    <w:rsid w:val="79B641EE"/>
    <w:rsid w:val="7AD32B78"/>
    <w:rsid w:val="7AD7382D"/>
    <w:rsid w:val="7B3E3254"/>
    <w:rsid w:val="7B92456E"/>
    <w:rsid w:val="7BD43F8D"/>
    <w:rsid w:val="7BE2EC1F"/>
    <w:rsid w:val="7C8A2F1C"/>
    <w:rsid w:val="7D61CFFA"/>
    <w:rsid w:val="7D8DA7DA"/>
    <w:rsid w:val="7DBEB217"/>
    <w:rsid w:val="7E1D2156"/>
    <w:rsid w:val="7E2C4C44"/>
    <w:rsid w:val="7ECFE32D"/>
    <w:rsid w:val="7ED07642"/>
    <w:rsid w:val="7EDC61F0"/>
    <w:rsid w:val="7F5E3072"/>
    <w:rsid w:val="7F7195F8"/>
    <w:rsid w:val="7FBF95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6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6D6"/>
    <w:pPr>
      <w:spacing w:before="10" w:after="120" w:line="240" w:lineRule="auto"/>
      <w:ind w:left="144"/>
    </w:pPr>
    <w:rPr>
      <w:rFonts w:ascii="Arial" w:eastAsia="SimSun" w:hAnsi="Arial" w:cs="Arial"/>
      <w:color w:val="000000"/>
      <w:sz w:val="24"/>
      <w:szCs w:val="24"/>
      <w:lang w:eastAsia="en-US"/>
    </w:rPr>
  </w:style>
  <w:style w:type="paragraph" w:styleId="Heading1">
    <w:name w:val="heading 1"/>
    <w:basedOn w:val="Normal"/>
    <w:next w:val="Normal"/>
    <w:link w:val="Heading1Char"/>
    <w:qFormat/>
    <w:rsid w:val="005526D6"/>
    <w:pPr>
      <w:spacing w:before="720"/>
      <w:jc w:val="center"/>
      <w:outlineLvl w:val="0"/>
    </w:pPr>
    <w:rPr>
      <w:b/>
      <w:bCs/>
      <w:sz w:val="48"/>
    </w:rPr>
  </w:style>
  <w:style w:type="paragraph" w:styleId="Heading2">
    <w:name w:val="heading 2"/>
    <w:next w:val="Normal"/>
    <w:link w:val="Heading2Char"/>
    <w:uiPriority w:val="9"/>
    <w:qFormat/>
    <w:rsid w:val="005526D6"/>
    <w:pPr>
      <w:pageBreakBefore/>
      <w:numPr>
        <w:numId w:val="67"/>
      </w:numPr>
      <w:pBdr>
        <w:bottom w:val="double" w:sz="4" w:space="1" w:color="auto"/>
      </w:pBdr>
      <w:spacing w:before="10" w:after="120" w:line="240" w:lineRule="auto"/>
      <w:outlineLvl w:val="1"/>
    </w:pPr>
    <w:rPr>
      <w:rFonts w:ascii="Arial" w:eastAsia="SimSun" w:hAnsi="Arial" w:cs="Arial"/>
      <w:b/>
      <w:bCs/>
      <w:color w:val="000000"/>
      <w:sz w:val="40"/>
      <w:szCs w:val="24"/>
      <w:lang w:eastAsia="en-US"/>
    </w:rPr>
  </w:style>
  <w:style w:type="paragraph" w:styleId="Heading3">
    <w:name w:val="heading 3"/>
    <w:next w:val="Normal"/>
    <w:link w:val="Heading3Char"/>
    <w:uiPriority w:val="9"/>
    <w:qFormat/>
    <w:rsid w:val="005526D6"/>
    <w:pPr>
      <w:keepNext/>
      <w:numPr>
        <w:ilvl w:val="1"/>
        <w:numId w:val="67"/>
      </w:numPr>
      <w:spacing w:before="180" w:after="60" w:line="240" w:lineRule="auto"/>
      <w:outlineLvl w:val="2"/>
    </w:pPr>
    <w:rPr>
      <w:rFonts w:ascii="Arial" w:eastAsia="SimSun" w:hAnsi="Arial" w:cs="Arial"/>
      <w:b/>
      <w:bCs/>
      <w:color w:val="000000"/>
      <w:sz w:val="32"/>
      <w:szCs w:val="24"/>
      <w:lang w:eastAsia="en-US"/>
    </w:rPr>
  </w:style>
  <w:style w:type="paragraph" w:styleId="Heading4">
    <w:name w:val="heading 4"/>
    <w:basedOn w:val="Heading3"/>
    <w:next w:val="Normal"/>
    <w:link w:val="Heading4Char"/>
    <w:uiPriority w:val="9"/>
    <w:qFormat/>
    <w:rsid w:val="00597CD4"/>
    <w:pPr>
      <w:numPr>
        <w:ilvl w:val="2"/>
      </w:numPr>
      <w:spacing w:before="120" w:after="120"/>
      <w:ind w:left="907" w:hanging="907"/>
      <w:outlineLvl w:val="3"/>
    </w:pPr>
    <w:rPr>
      <w:sz w:val="28"/>
    </w:rPr>
  </w:style>
  <w:style w:type="paragraph" w:styleId="Heading5">
    <w:name w:val="heading 5"/>
    <w:next w:val="Normal"/>
    <w:link w:val="Heading5Char"/>
    <w:uiPriority w:val="9"/>
    <w:qFormat/>
    <w:rsid w:val="005526D6"/>
    <w:pPr>
      <w:keepNext/>
      <w:numPr>
        <w:ilvl w:val="3"/>
        <w:numId w:val="67"/>
      </w:numPr>
      <w:spacing w:before="120" w:after="60" w:line="240" w:lineRule="auto"/>
      <w:outlineLvl w:val="4"/>
    </w:pPr>
    <w:rPr>
      <w:rFonts w:ascii="Arial" w:eastAsia="SimSun" w:hAnsi="Arial" w:cs="Arial"/>
      <w:b/>
      <w:bCs/>
      <w:color w:val="000000"/>
      <w:sz w:val="24"/>
      <w:szCs w:val="24"/>
      <w:lang w:eastAsia="en-US"/>
    </w:rPr>
  </w:style>
  <w:style w:type="paragraph" w:styleId="Heading6">
    <w:name w:val="heading 6"/>
    <w:basedOn w:val="Heading5"/>
    <w:next w:val="Normal"/>
    <w:link w:val="Heading6Char"/>
    <w:uiPriority w:val="9"/>
    <w:qFormat/>
    <w:rsid w:val="005526D6"/>
    <w:pPr>
      <w:numPr>
        <w:ilvl w:val="4"/>
      </w:numPr>
      <w:outlineLvl w:val="5"/>
    </w:pPr>
    <w:rPr>
      <w:i/>
    </w:rPr>
  </w:style>
  <w:style w:type="paragraph" w:styleId="Heading7">
    <w:name w:val="heading 7"/>
    <w:basedOn w:val="Normal"/>
    <w:next w:val="Normal"/>
    <w:link w:val="Heading7Char"/>
    <w:uiPriority w:val="9"/>
    <w:qFormat/>
    <w:rsid w:val="005526D6"/>
    <w:pPr>
      <w:numPr>
        <w:ilvl w:val="6"/>
        <w:numId w:val="15"/>
      </w:numPr>
      <w:spacing w:before="240" w:after="60"/>
      <w:outlineLvl w:val="6"/>
    </w:pPr>
    <w:rPr>
      <w:sz w:val="20"/>
      <w:szCs w:val="20"/>
    </w:rPr>
  </w:style>
  <w:style w:type="paragraph" w:styleId="Heading8">
    <w:name w:val="heading 8"/>
    <w:basedOn w:val="Normal"/>
    <w:next w:val="Normal"/>
    <w:link w:val="Heading8Char"/>
    <w:uiPriority w:val="9"/>
    <w:qFormat/>
    <w:rsid w:val="005526D6"/>
    <w:pPr>
      <w:numPr>
        <w:ilvl w:val="7"/>
        <w:numId w:val="15"/>
      </w:numPr>
      <w:spacing w:before="240" w:after="60"/>
      <w:outlineLvl w:val="7"/>
    </w:pPr>
    <w:rPr>
      <w:i/>
      <w:sz w:val="20"/>
      <w:szCs w:val="20"/>
    </w:rPr>
  </w:style>
  <w:style w:type="paragraph" w:styleId="Heading9">
    <w:name w:val="heading 9"/>
    <w:basedOn w:val="Normal"/>
    <w:next w:val="Normal"/>
    <w:link w:val="Heading9Char"/>
    <w:uiPriority w:val="9"/>
    <w:qFormat/>
    <w:rsid w:val="005526D6"/>
    <w:pPr>
      <w:numPr>
        <w:ilvl w:val="8"/>
        <w:numId w:val="15"/>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26D6"/>
    <w:rPr>
      <w:rFonts w:ascii="Arial" w:eastAsia="SimSun" w:hAnsi="Arial" w:cs="Arial"/>
      <w:b/>
      <w:bCs/>
      <w:color w:val="000000"/>
      <w:sz w:val="48"/>
      <w:szCs w:val="24"/>
      <w:lang w:eastAsia="en-US"/>
    </w:rPr>
  </w:style>
  <w:style w:type="character" w:customStyle="1" w:styleId="Heading2Char">
    <w:name w:val="Heading 2 Char"/>
    <w:link w:val="Heading2"/>
    <w:rsid w:val="005526D6"/>
    <w:rPr>
      <w:rFonts w:ascii="Arial" w:eastAsia="SimSun" w:hAnsi="Arial" w:cs="Arial"/>
      <w:b/>
      <w:bCs/>
      <w:color w:val="000000"/>
      <w:sz w:val="40"/>
      <w:szCs w:val="24"/>
      <w:lang w:eastAsia="en-US"/>
    </w:rPr>
  </w:style>
  <w:style w:type="character" w:customStyle="1" w:styleId="Heading3Char">
    <w:name w:val="Heading 3 Char"/>
    <w:link w:val="Heading3"/>
    <w:rsid w:val="005526D6"/>
    <w:rPr>
      <w:rFonts w:ascii="Arial" w:eastAsia="SimSun" w:hAnsi="Arial" w:cs="Arial"/>
      <w:b/>
      <w:bCs/>
      <w:color w:val="000000"/>
      <w:sz w:val="32"/>
      <w:szCs w:val="24"/>
      <w:lang w:eastAsia="en-US"/>
    </w:rPr>
  </w:style>
  <w:style w:type="character" w:customStyle="1" w:styleId="Heading4Char">
    <w:name w:val="Heading 4 Char"/>
    <w:link w:val="Heading4"/>
    <w:rsid w:val="00597CD4"/>
    <w:rPr>
      <w:rFonts w:ascii="Arial" w:eastAsia="SimSun" w:hAnsi="Arial" w:cs="Arial"/>
      <w:b/>
      <w:bCs/>
      <w:color w:val="000000"/>
      <w:sz w:val="28"/>
      <w:szCs w:val="24"/>
      <w:lang w:eastAsia="en-US"/>
    </w:rPr>
  </w:style>
  <w:style w:type="character" w:customStyle="1" w:styleId="Heading5Char">
    <w:name w:val="Heading 5 Char"/>
    <w:link w:val="Heading5"/>
    <w:rsid w:val="005526D6"/>
    <w:rPr>
      <w:rFonts w:ascii="Arial" w:eastAsia="SimSun" w:hAnsi="Arial" w:cs="Arial"/>
      <w:b/>
      <w:bCs/>
      <w:color w:val="000000"/>
      <w:sz w:val="24"/>
      <w:szCs w:val="24"/>
      <w:lang w:eastAsia="en-US"/>
    </w:rPr>
  </w:style>
  <w:style w:type="character" w:customStyle="1" w:styleId="Heading6Char">
    <w:name w:val="Heading 6 Char"/>
    <w:link w:val="Heading6"/>
    <w:rsid w:val="005526D6"/>
    <w:rPr>
      <w:rFonts w:ascii="Arial" w:eastAsia="SimSun" w:hAnsi="Arial" w:cs="Arial"/>
      <w:b/>
      <w:bCs/>
      <w:i/>
      <w:color w:val="000000"/>
      <w:sz w:val="24"/>
      <w:szCs w:val="24"/>
      <w:lang w:eastAsia="en-US"/>
    </w:rPr>
  </w:style>
  <w:style w:type="character" w:customStyle="1" w:styleId="Heading7Char">
    <w:name w:val="Heading 7 Char"/>
    <w:basedOn w:val="DefaultParagraphFont"/>
    <w:link w:val="Heading7"/>
    <w:uiPriority w:val="9"/>
    <w:rsid w:val="005526D6"/>
    <w:rPr>
      <w:rFonts w:ascii="Arial" w:eastAsia="SimSun" w:hAnsi="Arial" w:cs="Arial"/>
      <w:color w:val="000000"/>
      <w:sz w:val="20"/>
      <w:szCs w:val="20"/>
      <w:lang w:eastAsia="en-US"/>
    </w:rPr>
  </w:style>
  <w:style w:type="character" w:customStyle="1" w:styleId="Heading8Char">
    <w:name w:val="Heading 8 Char"/>
    <w:basedOn w:val="DefaultParagraphFont"/>
    <w:link w:val="Heading8"/>
    <w:uiPriority w:val="9"/>
    <w:rsid w:val="005526D6"/>
    <w:rPr>
      <w:rFonts w:ascii="Arial" w:eastAsia="SimSun" w:hAnsi="Arial" w:cs="Arial"/>
      <w:i/>
      <w:color w:val="000000"/>
      <w:sz w:val="20"/>
      <w:szCs w:val="20"/>
      <w:lang w:eastAsia="en-US"/>
    </w:rPr>
  </w:style>
  <w:style w:type="character" w:customStyle="1" w:styleId="Heading9Char">
    <w:name w:val="Heading 9 Char"/>
    <w:basedOn w:val="DefaultParagraphFont"/>
    <w:link w:val="Heading9"/>
    <w:uiPriority w:val="9"/>
    <w:rsid w:val="005526D6"/>
    <w:rPr>
      <w:rFonts w:ascii="Arial" w:eastAsia="SimSun" w:hAnsi="Arial" w:cs="Arial"/>
      <w:b/>
      <w:i/>
      <w:color w:val="000000"/>
      <w:sz w:val="18"/>
      <w:szCs w:val="20"/>
      <w:lang w:eastAsia="en-US"/>
    </w:rPr>
  </w:style>
  <w:style w:type="paragraph" w:styleId="NoteHeading">
    <w:name w:val="Note Heading"/>
    <w:basedOn w:val="Normal"/>
    <w:next w:val="Normal"/>
    <w:link w:val="NoteHeadingChar"/>
    <w:semiHidden/>
    <w:unhideWhenUsed/>
    <w:rsid w:val="00603E6F"/>
    <w:pPr>
      <w:spacing w:before="0" w:after="0"/>
    </w:pPr>
  </w:style>
  <w:style w:type="paragraph" w:customStyle="1" w:styleId="TableHead">
    <w:name w:val="TableHead"/>
    <w:link w:val="TableHeadChar"/>
    <w:rsid w:val="005526D6"/>
    <w:pPr>
      <w:spacing w:before="10" w:after="10" w:line="240" w:lineRule="auto"/>
      <w:jc w:val="center"/>
    </w:pPr>
    <w:rPr>
      <w:rFonts w:ascii="Arial" w:eastAsia="SimSun" w:hAnsi="Arial" w:cs="Arial"/>
      <w:bCs/>
      <w:noProof/>
      <w:sz w:val="24"/>
      <w:lang w:eastAsia="en-US"/>
    </w:rPr>
  </w:style>
  <w:style w:type="character" w:customStyle="1" w:styleId="TableHeadChar">
    <w:name w:val="TableHead Char"/>
    <w:link w:val="TableHead"/>
    <w:rsid w:val="005526D6"/>
    <w:rPr>
      <w:rFonts w:ascii="Arial" w:eastAsia="SimSun" w:hAnsi="Arial" w:cs="Arial"/>
      <w:bCs/>
      <w:noProof/>
      <w:sz w:val="24"/>
      <w:lang w:eastAsia="en-US"/>
    </w:rPr>
  </w:style>
  <w:style w:type="paragraph" w:styleId="FootnoteText">
    <w:name w:val="footnote text"/>
    <w:basedOn w:val="Normal"/>
    <w:link w:val="FootnoteTextChar"/>
    <w:uiPriority w:val="99"/>
    <w:rsid w:val="005526D6"/>
    <w:pPr>
      <w:spacing w:after="60"/>
    </w:pPr>
    <w:rPr>
      <w:szCs w:val="20"/>
    </w:rPr>
  </w:style>
  <w:style w:type="character" w:customStyle="1" w:styleId="FootnoteTextChar">
    <w:name w:val="Footnote Text Char"/>
    <w:basedOn w:val="DefaultParagraphFont"/>
    <w:link w:val="FootnoteText"/>
    <w:uiPriority w:val="99"/>
    <w:rsid w:val="005526D6"/>
    <w:rPr>
      <w:rFonts w:ascii="Arial" w:eastAsia="SimSun" w:hAnsi="Arial" w:cs="Arial"/>
      <w:color w:val="000000"/>
      <w:sz w:val="24"/>
      <w:szCs w:val="20"/>
      <w:lang w:eastAsia="en-US"/>
    </w:rPr>
  </w:style>
  <w:style w:type="character" w:styleId="FootnoteReference">
    <w:name w:val="footnote reference"/>
    <w:basedOn w:val="DefaultParagraphFont"/>
    <w:uiPriority w:val="99"/>
    <w:rsid w:val="005526D6"/>
    <w:rPr>
      <w:rFonts w:ascii="Arial" w:hAnsi="Arial"/>
      <w:vertAlign w:val="superscript"/>
    </w:rPr>
  </w:style>
  <w:style w:type="paragraph" w:styleId="Caption">
    <w:name w:val="caption"/>
    <w:basedOn w:val="Normal"/>
    <w:next w:val="Normal"/>
    <w:link w:val="CaptionChar"/>
    <w:qFormat/>
    <w:rsid w:val="005526D6"/>
    <w:pPr>
      <w:keepNext/>
      <w:spacing w:before="240" w:after="60"/>
      <w:ind w:left="0"/>
      <w:jc w:val="center"/>
    </w:pPr>
    <w:rPr>
      <w:rFonts w:eastAsia="Times New Roman" w:cs="Times New Roman"/>
      <w:b/>
      <w:bCs/>
      <w:color w:val="034D8E"/>
      <w:szCs w:val="20"/>
    </w:rPr>
  </w:style>
  <w:style w:type="character" w:customStyle="1" w:styleId="CaptionChar">
    <w:name w:val="Caption Char"/>
    <w:link w:val="Caption"/>
    <w:locked/>
    <w:rsid w:val="005526D6"/>
    <w:rPr>
      <w:rFonts w:ascii="Arial" w:eastAsia="Times New Roman" w:hAnsi="Arial" w:cs="Times New Roman"/>
      <w:b/>
      <w:bCs/>
      <w:color w:val="034D8E"/>
      <w:sz w:val="24"/>
      <w:szCs w:val="20"/>
      <w:lang w:eastAsia="en-US"/>
    </w:rPr>
  </w:style>
  <w:style w:type="paragraph" w:customStyle="1" w:styleId="TableText">
    <w:name w:val="TableText"/>
    <w:link w:val="TableTextChar"/>
    <w:rsid w:val="005526D6"/>
    <w:pPr>
      <w:spacing w:before="20" w:after="20" w:line="240" w:lineRule="auto"/>
      <w:jc w:val="right"/>
    </w:pPr>
    <w:rPr>
      <w:rFonts w:ascii="Arial" w:eastAsia="SimSun" w:hAnsi="Arial" w:cs="Arial"/>
      <w:noProof/>
      <w:sz w:val="24"/>
      <w:lang w:eastAsia="en-US"/>
    </w:rPr>
  </w:style>
  <w:style w:type="character" w:customStyle="1" w:styleId="TableTextChar">
    <w:name w:val="TableText Char"/>
    <w:basedOn w:val="DefaultParagraphFont"/>
    <w:link w:val="TableText"/>
    <w:rsid w:val="005526D6"/>
    <w:rPr>
      <w:rFonts w:ascii="Arial" w:eastAsia="SimSun" w:hAnsi="Arial" w:cs="Arial"/>
      <w:noProof/>
      <w:sz w:val="24"/>
      <w:lang w:eastAsia="en-US"/>
    </w:rPr>
  </w:style>
  <w:style w:type="table" w:styleId="TableGrid">
    <w:name w:val="Table Grid"/>
    <w:basedOn w:val="TableNormal"/>
    <w:uiPriority w:val="59"/>
    <w:rsid w:val="00BA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HeadingChar">
    <w:name w:val="Note Heading Char"/>
    <w:basedOn w:val="DefaultParagraphFont"/>
    <w:link w:val="NoteHeading"/>
    <w:semiHidden/>
    <w:rsid w:val="00603E6F"/>
    <w:rPr>
      <w:rFonts w:ascii="Arial" w:eastAsia="SimSun" w:hAnsi="Arial" w:cs="Arial"/>
      <w:color w:val="000000"/>
      <w:sz w:val="24"/>
      <w:szCs w:val="24"/>
      <w:lang w:eastAsia="en-US"/>
    </w:rPr>
  </w:style>
  <w:style w:type="paragraph" w:styleId="Header">
    <w:name w:val="header"/>
    <w:basedOn w:val="Normal"/>
    <w:link w:val="HeaderChar"/>
    <w:uiPriority w:val="99"/>
    <w:rsid w:val="005526D6"/>
    <w:pPr>
      <w:tabs>
        <w:tab w:val="center" w:pos="4680"/>
        <w:tab w:val="right" w:pos="9360"/>
      </w:tabs>
      <w:ind w:left="0"/>
    </w:pPr>
    <w:rPr>
      <w:rFonts w:ascii="Arial Narrow" w:hAnsi="Arial Narrow" w:cs="Times New Roman"/>
      <w:noProof/>
      <w:szCs w:val="20"/>
    </w:rPr>
  </w:style>
  <w:style w:type="character" w:customStyle="1" w:styleId="HeaderChar">
    <w:name w:val="Header Char"/>
    <w:link w:val="Header"/>
    <w:uiPriority w:val="99"/>
    <w:rsid w:val="005526D6"/>
    <w:rPr>
      <w:rFonts w:ascii="Arial Narrow" w:eastAsia="SimSun" w:hAnsi="Arial Narrow" w:cs="Times New Roman"/>
      <w:noProof/>
      <w:color w:val="000000"/>
      <w:sz w:val="24"/>
      <w:szCs w:val="20"/>
      <w:lang w:eastAsia="en-US"/>
    </w:rPr>
  </w:style>
  <w:style w:type="paragraph" w:styleId="Footer">
    <w:name w:val="footer"/>
    <w:basedOn w:val="Normal"/>
    <w:link w:val="FooterChar"/>
    <w:uiPriority w:val="99"/>
    <w:rsid w:val="005526D6"/>
    <w:pPr>
      <w:pBdr>
        <w:top w:val="single" w:sz="4" w:space="1" w:color="auto"/>
      </w:pBdr>
      <w:tabs>
        <w:tab w:val="center" w:pos="5040"/>
        <w:tab w:val="right" w:pos="9936"/>
      </w:tabs>
      <w:spacing w:after="0"/>
      <w:ind w:left="0"/>
    </w:pPr>
    <w:rPr>
      <w:rFonts w:ascii="Arial Narrow" w:hAnsi="Arial Narrow" w:cs="Times New Roman"/>
      <w:szCs w:val="16"/>
    </w:rPr>
  </w:style>
  <w:style w:type="character" w:customStyle="1" w:styleId="FooterChar">
    <w:name w:val="Footer Char"/>
    <w:link w:val="Footer"/>
    <w:uiPriority w:val="99"/>
    <w:rsid w:val="005526D6"/>
    <w:rPr>
      <w:rFonts w:ascii="Arial Narrow" w:eastAsia="SimSun" w:hAnsi="Arial Narrow" w:cs="Times New Roman"/>
      <w:color w:val="000000"/>
      <w:sz w:val="24"/>
      <w:szCs w:val="16"/>
      <w:lang w:eastAsia="en-US"/>
    </w:rPr>
  </w:style>
  <w:style w:type="paragraph" w:customStyle="1" w:styleId="bullets">
    <w:name w:val="bullets"/>
    <w:basedOn w:val="Normal"/>
    <w:link w:val="bulletsChar2"/>
    <w:rsid w:val="008549AD"/>
    <w:pPr>
      <w:numPr>
        <w:numId w:val="99"/>
      </w:numPr>
      <w:spacing w:before="0"/>
      <w:ind w:left="864" w:hanging="288"/>
    </w:pPr>
    <w:rPr>
      <w:rFonts w:cs="Times New Roman"/>
    </w:rPr>
  </w:style>
  <w:style w:type="character" w:styleId="Hyperlink">
    <w:name w:val="Hyperlink"/>
    <w:uiPriority w:val="99"/>
    <w:rsid w:val="005526D6"/>
    <w:rPr>
      <w:color w:val="0000FF"/>
      <w:u w:val="single"/>
    </w:rPr>
  </w:style>
  <w:style w:type="paragraph" w:styleId="Revision">
    <w:name w:val="Revision"/>
    <w:hidden/>
    <w:uiPriority w:val="99"/>
    <w:semiHidden/>
    <w:rsid w:val="00170233"/>
    <w:pPr>
      <w:spacing w:after="0" w:line="240" w:lineRule="auto"/>
    </w:pPr>
  </w:style>
  <w:style w:type="paragraph" w:customStyle="1" w:styleId="bullets2">
    <w:name w:val="bullets2"/>
    <w:basedOn w:val="Normal"/>
    <w:rsid w:val="005526D6"/>
    <w:pPr>
      <w:ind w:left="0"/>
    </w:pPr>
  </w:style>
  <w:style w:type="paragraph" w:customStyle="1" w:styleId="Captionwide">
    <w:name w:val="Captionwide"/>
    <w:basedOn w:val="Caption"/>
    <w:link w:val="CaptionwideChar"/>
    <w:rsid w:val="005526D6"/>
    <w:pPr>
      <w:keepNext w:val="0"/>
      <w:tabs>
        <w:tab w:val="num" w:pos="360"/>
      </w:tabs>
      <w:spacing w:before="60" w:after="240"/>
    </w:pPr>
  </w:style>
  <w:style w:type="character" w:customStyle="1" w:styleId="CaptionwideChar">
    <w:name w:val="Captionwide Char"/>
    <w:link w:val="Captionwide"/>
    <w:locked/>
    <w:rsid w:val="005526D6"/>
    <w:rPr>
      <w:rFonts w:ascii="Arial" w:eastAsia="Times New Roman" w:hAnsi="Arial" w:cs="Times New Roman"/>
      <w:b/>
      <w:bCs/>
      <w:color w:val="034D8E"/>
      <w:sz w:val="24"/>
      <w:szCs w:val="20"/>
      <w:lang w:eastAsia="en-US"/>
    </w:rPr>
  </w:style>
  <w:style w:type="character" w:styleId="FollowedHyperlink">
    <w:name w:val="FollowedHyperlink"/>
    <w:basedOn w:val="DefaultParagraphFont"/>
    <w:uiPriority w:val="99"/>
    <w:unhideWhenUsed/>
    <w:rsid w:val="005526D6"/>
    <w:rPr>
      <w:color w:val="954F72" w:themeColor="followedHyperlink"/>
      <w:u w:val="single"/>
    </w:rPr>
  </w:style>
  <w:style w:type="paragraph" w:styleId="TOC1">
    <w:name w:val="toc 1"/>
    <w:basedOn w:val="Normal"/>
    <w:next w:val="Normal"/>
    <w:link w:val="TOC1Char"/>
    <w:uiPriority w:val="39"/>
    <w:rsid w:val="005526D6"/>
    <w:pPr>
      <w:tabs>
        <w:tab w:val="right" w:leader="dot" w:pos="9907"/>
      </w:tabs>
      <w:spacing w:before="40" w:after="0"/>
      <w:ind w:left="72" w:hanging="72"/>
    </w:pPr>
    <w:rPr>
      <w:b/>
      <w:noProof/>
      <w:color w:val="0000FF"/>
    </w:rPr>
  </w:style>
  <w:style w:type="character" w:customStyle="1" w:styleId="TOC1Char">
    <w:name w:val="TOC 1 Char"/>
    <w:link w:val="TOC1"/>
    <w:uiPriority w:val="39"/>
    <w:rsid w:val="005526D6"/>
    <w:rPr>
      <w:rFonts w:ascii="Arial" w:eastAsia="SimSun" w:hAnsi="Arial" w:cs="Arial"/>
      <w:b/>
      <w:noProof/>
      <w:color w:val="0000FF"/>
      <w:sz w:val="24"/>
      <w:szCs w:val="24"/>
      <w:lang w:eastAsia="en-US"/>
    </w:rPr>
  </w:style>
  <w:style w:type="paragraph" w:styleId="TOC2">
    <w:name w:val="toc 2"/>
    <w:basedOn w:val="Normal"/>
    <w:next w:val="Normal"/>
    <w:link w:val="TOC2Char"/>
    <w:uiPriority w:val="39"/>
    <w:rsid w:val="005526D6"/>
    <w:pPr>
      <w:tabs>
        <w:tab w:val="right" w:leader="dot" w:pos="9907"/>
      </w:tabs>
      <w:spacing w:after="0"/>
      <w:ind w:left="270" w:hanging="198"/>
    </w:pPr>
    <w:rPr>
      <w:noProof/>
      <w:color w:val="0000FF"/>
    </w:rPr>
  </w:style>
  <w:style w:type="character" w:customStyle="1" w:styleId="TOC2Char">
    <w:name w:val="TOC 2 Char"/>
    <w:link w:val="TOC2"/>
    <w:uiPriority w:val="39"/>
    <w:rsid w:val="005526D6"/>
    <w:rPr>
      <w:rFonts w:ascii="Arial" w:eastAsia="SimSun" w:hAnsi="Arial" w:cs="Arial"/>
      <w:noProof/>
      <w:color w:val="0000FF"/>
      <w:sz w:val="24"/>
      <w:szCs w:val="24"/>
      <w:lang w:eastAsia="en-US"/>
    </w:rPr>
  </w:style>
  <w:style w:type="paragraph" w:styleId="TOC3">
    <w:name w:val="toc 3"/>
    <w:basedOn w:val="Normal"/>
    <w:next w:val="Normal"/>
    <w:link w:val="TOC3Char"/>
    <w:uiPriority w:val="39"/>
    <w:rsid w:val="005526D6"/>
    <w:pPr>
      <w:tabs>
        <w:tab w:val="right" w:leader="dot" w:pos="9907"/>
      </w:tabs>
      <w:spacing w:after="0"/>
      <w:ind w:left="288" w:hanging="144"/>
    </w:pPr>
    <w:rPr>
      <w:color w:val="0000FF"/>
    </w:rPr>
  </w:style>
  <w:style w:type="character" w:customStyle="1" w:styleId="TOC3Char">
    <w:name w:val="TOC 3 Char"/>
    <w:link w:val="TOC3"/>
    <w:uiPriority w:val="39"/>
    <w:rsid w:val="005526D6"/>
    <w:rPr>
      <w:rFonts w:ascii="Arial" w:eastAsia="SimSun" w:hAnsi="Arial" w:cs="Arial"/>
      <w:color w:val="0000FF"/>
      <w:sz w:val="24"/>
      <w:szCs w:val="24"/>
      <w:lang w:eastAsia="en-US"/>
    </w:rPr>
  </w:style>
  <w:style w:type="paragraph" w:styleId="TOC5">
    <w:name w:val="toc 5"/>
    <w:basedOn w:val="TOC4"/>
    <w:next w:val="Normal"/>
    <w:uiPriority w:val="39"/>
    <w:rsid w:val="005526D6"/>
    <w:pPr>
      <w:ind w:left="144" w:hanging="144"/>
    </w:pPr>
  </w:style>
  <w:style w:type="paragraph" w:styleId="NoSpacing">
    <w:name w:val="No Spacing"/>
    <w:basedOn w:val="Normal"/>
    <w:link w:val="NoSpacingChar"/>
    <w:uiPriority w:val="1"/>
    <w:qFormat/>
    <w:rsid w:val="005526D6"/>
    <w:pPr>
      <w:spacing w:after="0"/>
    </w:pPr>
    <w:rPr>
      <w:szCs w:val="22"/>
    </w:rPr>
  </w:style>
  <w:style w:type="character" w:customStyle="1" w:styleId="NoSpacingChar">
    <w:name w:val="No Spacing Char"/>
    <w:basedOn w:val="DefaultParagraphFont"/>
    <w:link w:val="NoSpacing"/>
    <w:uiPriority w:val="1"/>
    <w:rsid w:val="005526D6"/>
    <w:rPr>
      <w:rFonts w:ascii="Arial" w:eastAsia="SimSun" w:hAnsi="Arial" w:cs="Arial"/>
      <w:color w:val="000000"/>
      <w:sz w:val="24"/>
      <w:lang w:eastAsia="en-US"/>
    </w:rPr>
  </w:style>
  <w:style w:type="paragraph" w:customStyle="1" w:styleId="Numbered">
    <w:name w:val="Numbered"/>
    <w:basedOn w:val="Normal"/>
    <w:link w:val="NumberedChar"/>
    <w:rsid w:val="00007A76"/>
    <w:pPr>
      <w:numPr>
        <w:numId w:val="26"/>
      </w:numPr>
      <w:ind w:left="864" w:hanging="288"/>
    </w:pPr>
  </w:style>
  <w:style w:type="character" w:customStyle="1" w:styleId="NumberedChar">
    <w:name w:val="Numbered Char"/>
    <w:link w:val="Numbered"/>
    <w:rsid w:val="00007A76"/>
    <w:rPr>
      <w:rFonts w:ascii="Arial" w:eastAsia="SimSun" w:hAnsi="Arial" w:cs="Arial"/>
      <w:color w:val="000000"/>
      <w:sz w:val="24"/>
      <w:szCs w:val="24"/>
      <w:lang w:eastAsia="en-US"/>
    </w:rPr>
  </w:style>
  <w:style w:type="paragraph" w:customStyle="1" w:styleId="NumberedOne">
    <w:name w:val="NumberedOne"/>
    <w:basedOn w:val="Numbered"/>
    <w:rsid w:val="00DD0C9B"/>
    <w:pPr>
      <w:contextualSpacing/>
    </w:pPr>
  </w:style>
  <w:style w:type="character" w:styleId="PageNumber">
    <w:name w:val="page number"/>
    <w:rsid w:val="005526D6"/>
    <w:rPr>
      <w:rFonts w:ascii="Arial Narrow" w:hAnsi="Arial Narrow"/>
      <w:sz w:val="24"/>
      <w:szCs w:val="16"/>
    </w:rPr>
  </w:style>
  <w:style w:type="paragraph" w:customStyle="1" w:styleId="References">
    <w:name w:val="References"/>
    <w:basedOn w:val="Normal"/>
    <w:rsid w:val="005526D6"/>
    <w:pPr>
      <w:keepLines/>
      <w:spacing w:after="180"/>
      <w:ind w:left="432" w:hanging="216"/>
    </w:pPr>
  </w:style>
  <w:style w:type="paragraph" w:styleId="TOC4">
    <w:name w:val="toc 4"/>
    <w:basedOn w:val="Normal"/>
    <w:next w:val="Normal"/>
    <w:uiPriority w:val="39"/>
    <w:rsid w:val="005526D6"/>
    <w:pPr>
      <w:tabs>
        <w:tab w:val="right" w:leader="dot" w:pos="9907"/>
      </w:tabs>
      <w:spacing w:after="0"/>
      <w:ind w:left="540" w:hanging="252"/>
    </w:pPr>
    <w:rPr>
      <w:bCs/>
      <w:noProof/>
      <w:color w:val="0000FF"/>
    </w:rPr>
  </w:style>
  <w:style w:type="paragraph" w:styleId="TOC6">
    <w:name w:val="toc 6"/>
    <w:basedOn w:val="Normal"/>
    <w:next w:val="Normal"/>
    <w:autoRedefine/>
    <w:uiPriority w:val="39"/>
    <w:rsid w:val="005526D6"/>
    <w:pPr>
      <w:spacing w:after="0"/>
      <w:ind w:left="1200"/>
    </w:pPr>
  </w:style>
  <w:style w:type="paragraph" w:styleId="TOC7">
    <w:name w:val="toc 7"/>
    <w:basedOn w:val="Normal"/>
    <w:next w:val="Normal"/>
    <w:autoRedefine/>
    <w:uiPriority w:val="39"/>
    <w:rsid w:val="005526D6"/>
    <w:pPr>
      <w:spacing w:after="0"/>
      <w:ind w:left="1440"/>
    </w:pPr>
  </w:style>
  <w:style w:type="paragraph" w:styleId="TOC8">
    <w:name w:val="toc 8"/>
    <w:basedOn w:val="Normal"/>
    <w:next w:val="Normal"/>
    <w:uiPriority w:val="39"/>
    <w:rsid w:val="005526D6"/>
    <w:pPr>
      <w:tabs>
        <w:tab w:val="right" w:leader="dot" w:pos="9900"/>
      </w:tabs>
      <w:spacing w:after="0"/>
      <w:ind w:hanging="144"/>
    </w:pPr>
    <w:rPr>
      <w:color w:val="0000FF"/>
    </w:rPr>
  </w:style>
  <w:style w:type="paragraph" w:styleId="TOC9">
    <w:name w:val="toc 9"/>
    <w:basedOn w:val="Normal"/>
    <w:next w:val="Normal"/>
    <w:autoRedefine/>
    <w:uiPriority w:val="39"/>
    <w:rsid w:val="005526D6"/>
    <w:pPr>
      <w:spacing w:after="0"/>
      <w:ind w:left="1920"/>
    </w:pPr>
  </w:style>
  <w:style w:type="paragraph" w:styleId="TOCHeading">
    <w:name w:val="TOC Heading"/>
    <w:basedOn w:val="Heading1"/>
    <w:next w:val="Normal"/>
    <w:uiPriority w:val="39"/>
    <w:unhideWhenUsed/>
    <w:qFormat/>
    <w:rsid w:val="005526D6"/>
    <w:pPr>
      <w:keepNext/>
      <w:keepLines/>
      <w:spacing w:before="480" w:after="0" w:line="276" w:lineRule="auto"/>
      <w:outlineLvl w:val="9"/>
    </w:pPr>
    <w:rPr>
      <w:rFonts w:ascii="Cambria" w:eastAsia="Times New Roman" w:hAnsi="Cambria"/>
      <w:color w:val="365F91"/>
      <w:sz w:val="28"/>
      <w:szCs w:val="28"/>
    </w:rPr>
  </w:style>
  <w:style w:type="paragraph" w:customStyle="1" w:styleId="equation">
    <w:name w:val="equation"/>
    <w:basedOn w:val="Normal"/>
    <w:rsid w:val="005526D6"/>
    <w:pPr>
      <w:spacing w:after="60"/>
      <w:ind w:left="1080"/>
    </w:pPr>
  </w:style>
  <w:style w:type="paragraph" w:customStyle="1" w:styleId="NormalIndent2">
    <w:name w:val="NormalIndent2"/>
    <w:basedOn w:val="Normal"/>
    <w:rsid w:val="005526D6"/>
    <w:pPr>
      <w:ind w:left="360"/>
    </w:pPr>
  </w:style>
  <w:style w:type="paragraph" w:styleId="TableofFigures">
    <w:name w:val="table of figures"/>
    <w:aliases w:val="Exhibits"/>
    <w:basedOn w:val="Normal"/>
    <w:next w:val="Normal"/>
    <w:uiPriority w:val="99"/>
    <w:rsid w:val="005526D6"/>
    <w:pPr>
      <w:ind w:left="440" w:hanging="440"/>
    </w:pPr>
  </w:style>
  <w:style w:type="table" w:customStyle="1" w:styleId="TRs">
    <w:name w:val="TRs"/>
    <w:basedOn w:val="TableNormal"/>
    <w:uiPriority w:val="99"/>
    <w:rsid w:val="00BE03F8"/>
    <w:pPr>
      <w:spacing w:after="0" w:line="240" w:lineRule="auto"/>
    </w:pPr>
    <w:rPr>
      <w:rFonts w:ascii="Arial" w:hAnsi="Arial"/>
      <w:sz w:val="20"/>
    </w:rPr>
    <w:tblPr>
      <w:jc w:val="center"/>
      <w:tblBorders>
        <w:top w:val="single" w:sz="12" w:space="0" w:color="auto"/>
        <w:bottom w:val="single" w:sz="12" w:space="0" w:color="auto"/>
      </w:tblBorders>
    </w:tblPr>
    <w:trPr>
      <w:cantSplit/>
      <w:jc w:val="center"/>
    </w:trPr>
    <w:tblStylePr w:type="firstRow">
      <w:pPr>
        <w:wordWrap/>
        <w:spacing w:beforeLines="0" w:before="20" w:beforeAutospacing="0" w:afterLines="0" w:after="20" w:afterAutospacing="0"/>
        <w:contextualSpacing w:val="0"/>
        <w:jc w:val="center"/>
      </w:pPr>
      <w:rPr>
        <w:rFonts w:ascii="Arial" w:hAnsi="Arial"/>
        <w:b/>
        <w:sz w:val="24"/>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character" w:customStyle="1" w:styleId="Cross-Reference">
    <w:name w:val="Cross-Reference"/>
    <w:basedOn w:val="DefaultParagraphFont"/>
    <w:uiPriority w:val="1"/>
    <w:qFormat/>
    <w:rsid w:val="005526D6"/>
    <w:rPr>
      <w:color w:val="0000FF"/>
      <w:u w:val="single"/>
    </w:rPr>
  </w:style>
  <w:style w:type="paragraph" w:customStyle="1" w:styleId="TableTextLeft">
    <w:name w:val="TableTextLeft"/>
    <w:basedOn w:val="TableText"/>
    <w:rsid w:val="005526D6"/>
    <w:pPr>
      <w:jc w:val="left"/>
    </w:pPr>
    <w:rPr>
      <w:rFonts w:cs="Times New Roman"/>
      <w:szCs w:val="20"/>
    </w:rPr>
  </w:style>
  <w:style w:type="character" w:customStyle="1" w:styleId="bulletsChar2">
    <w:name w:val="bullets Char2"/>
    <w:link w:val="bullets"/>
    <w:rsid w:val="008549AD"/>
    <w:rPr>
      <w:rFonts w:ascii="Arial" w:eastAsia="SimSun" w:hAnsi="Arial" w:cs="Times New Roman"/>
      <w:color w:val="000000"/>
      <w:sz w:val="24"/>
      <w:szCs w:val="24"/>
      <w:lang w:eastAsia="en-US"/>
    </w:rPr>
  </w:style>
  <w:style w:type="paragraph" w:customStyle="1" w:styleId="bullets2-one">
    <w:name w:val="bullets2-one"/>
    <w:basedOn w:val="bullets2"/>
    <w:rsid w:val="005526D6"/>
    <w:pPr>
      <w:contextualSpacing/>
    </w:pPr>
  </w:style>
  <w:style w:type="paragraph" w:customStyle="1" w:styleId="bulletsIndented">
    <w:name w:val="bulletsIndented"/>
    <w:basedOn w:val="Normal"/>
    <w:rsid w:val="00095ABB"/>
    <w:pPr>
      <w:numPr>
        <w:numId w:val="95"/>
      </w:numPr>
      <w:ind w:left="1152" w:hanging="288"/>
    </w:pPr>
  </w:style>
  <w:style w:type="paragraph" w:customStyle="1" w:styleId="bullets-one">
    <w:name w:val="bullets-one"/>
    <w:basedOn w:val="Normal"/>
    <w:rsid w:val="00096DB5"/>
    <w:pPr>
      <w:numPr>
        <w:numId w:val="10"/>
      </w:numPr>
      <w:tabs>
        <w:tab w:val="clear" w:pos="727"/>
      </w:tabs>
      <w:ind w:left="864" w:hanging="288"/>
      <w:contextualSpacing/>
    </w:pPr>
    <w:rPr>
      <w:rFonts w:cs="Times New Roman"/>
    </w:rPr>
  </w:style>
  <w:style w:type="paragraph" w:styleId="CommentSubject">
    <w:name w:val="annotation subject"/>
    <w:basedOn w:val="CommentText"/>
    <w:next w:val="CommentText"/>
    <w:link w:val="CommentSubjectChar"/>
    <w:uiPriority w:val="99"/>
    <w:semiHidden/>
    <w:unhideWhenUsed/>
    <w:rsid w:val="00BA03D5"/>
    <w:rPr>
      <w:b/>
      <w:bCs/>
    </w:rPr>
  </w:style>
  <w:style w:type="table" w:styleId="GridTable1Light">
    <w:name w:val="Grid Table 1 Light"/>
    <w:basedOn w:val="TableNormal"/>
    <w:uiPriority w:val="46"/>
    <w:rsid w:val="005526D6"/>
    <w:pPr>
      <w:spacing w:after="0" w:line="240" w:lineRule="auto"/>
    </w:pPr>
    <w:rPr>
      <w:lang w:eastAsia="ko-K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5526D6"/>
    <w:pPr>
      <w:spacing w:after="0" w:line="240" w:lineRule="auto"/>
    </w:pPr>
    <w:rPr>
      <w:rFonts w:ascii="Calibri" w:eastAsia="Calibri" w:hAnsi="Calibri" w:cs="Times New Roman"/>
      <w:sz w:val="20"/>
      <w:szCs w:val="20"/>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
    <w:name w:val="Grid Table 6 Colorful"/>
    <w:basedOn w:val="TableNormal"/>
    <w:uiPriority w:val="51"/>
    <w:rsid w:val="005526D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bullet">
    <w:name w:val="tablebullet"/>
    <w:basedOn w:val="Normal"/>
    <w:rsid w:val="005526D6"/>
    <w:pPr>
      <w:numPr>
        <w:numId w:val="53"/>
      </w:numPr>
      <w:spacing w:before="20"/>
    </w:pPr>
    <w:rPr>
      <w:rFonts w:cs="Times New Roman"/>
      <w:szCs w:val="20"/>
    </w:rPr>
  </w:style>
  <w:style w:type="paragraph" w:customStyle="1" w:styleId="Footnote">
    <w:name w:val="Footnote"/>
    <w:basedOn w:val="FootnoteText"/>
    <w:rsid w:val="005526D6"/>
    <w:pPr>
      <w:spacing w:before="0" w:after="0"/>
    </w:pPr>
    <w:rPr>
      <w:rFonts w:eastAsiaTheme="minorEastAsia" w:cstheme="minorBidi"/>
      <w:color w:val="auto"/>
      <w:szCs w:val="24"/>
    </w:rPr>
  </w:style>
  <w:style w:type="character" w:customStyle="1" w:styleId="FootnoteTextChar1">
    <w:name w:val="Footnote Text Char1"/>
    <w:basedOn w:val="DefaultParagraphFont"/>
    <w:uiPriority w:val="99"/>
    <w:semiHidden/>
    <w:rsid w:val="005526D6"/>
    <w:rPr>
      <w:sz w:val="20"/>
      <w:szCs w:val="20"/>
    </w:rPr>
  </w:style>
  <w:style w:type="table" w:styleId="GridTable1Light-Accent1">
    <w:name w:val="Grid Table 1 Light Accent 1"/>
    <w:basedOn w:val="TableNormal"/>
    <w:uiPriority w:val="46"/>
    <w:rsid w:val="005526D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5526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RsBorders">
    <w:name w:val="TRs Borders"/>
    <w:basedOn w:val="TableNormal"/>
    <w:uiPriority w:val="99"/>
    <w:rsid w:val="005526D6"/>
    <w:pPr>
      <w:spacing w:after="0" w:line="240" w:lineRule="auto"/>
    </w:pPr>
    <w:rPr>
      <w:rFonts w:ascii="Arial" w:eastAsia="SimSun" w:hAnsi="Arial" w:cs="Times New Roman"/>
      <w:sz w:val="24"/>
      <w:szCs w:val="20"/>
      <w:lang w:eastAsia="en-US"/>
    </w:rPr>
    <w:tblPr>
      <w:jc w:val="center"/>
      <w:tblBorders>
        <w:top w:val="single" w:sz="12" w:space="0" w:color="auto"/>
        <w:bottom w:val="single" w:sz="12" w:space="0" w:color="auto"/>
        <w:insideH w:val="single" w:sz="4" w:space="0" w:color="auto"/>
        <w:insideV w:val="single" w:sz="4" w:space="0" w:color="auto"/>
      </w:tblBorders>
    </w:tblPr>
    <w:trPr>
      <w:cantSplit/>
      <w:jc w:val="center"/>
    </w:trPr>
    <w:tblStylePr w:type="firstRow">
      <w:rPr>
        <w:rFonts w:ascii="Arial" w:hAnsi="Arial"/>
        <w:b/>
        <w:sz w:val="24"/>
      </w:rPr>
      <w:tblPr/>
      <w:trPr>
        <w:cantSplit w:val="0"/>
        <w:tblHeader/>
      </w:trPr>
      <w:tcPr>
        <w:tcBorders>
          <w:top w:val="single" w:sz="12" w:space="0" w:color="auto"/>
          <w:left w:val="nil"/>
          <w:bottom w:val="single" w:sz="4" w:space="0" w:color="auto"/>
          <w:right w:val="nil"/>
          <w:insideH w:val="nil"/>
          <w:insideV w:val="single" w:sz="4" w:space="0" w:color="auto"/>
          <w:tl2br w:val="nil"/>
          <w:tr2bl w:val="nil"/>
        </w:tcBorders>
        <w:vAlign w:val="bottom"/>
      </w:tcPr>
    </w:tblStyle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SimSun" w:hAnsi="Arial" w:cs="Arial"/>
      <w:color w:val="000000"/>
      <w:sz w:val="20"/>
      <w:szCs w:val="20"/>
      <w:lang w:eastAsia="en-US"/>
    </w:rPr>
  </w:style>
  <w:style w:type="character" w:styleId="CommentReference">
    <w:name w:val="annotation reference"/>
    <w:basedOn w:val="DefaultParagraphFont"/>
    <w:uiPriority w:val="99"/>
    <w:semiHidden/>
    <w:unhideWhenUsed/>
    <w:rPr>
      <w:sz w:val="16"/>
      <w:szCs w:val="16"/>
    </w:rPr>
  </w:style>
  <w:style w:type="character" w:customStyle="1" w:styleId="CommentSubjectChar">
    <w:name w:val="Comment Subject Char"/>
    <w:basedOn w:val="CommentTextChar"/>
    <w:link w:val="CommentSubject"/>
    <w:uiPriority w:val="99"/>
    <w:semiHidden/>
    <w:rsid w:val="00BA03D5"/>
    <w:rPr>
      <w:rFonts w:ascii="Arial" w:eastAsia="SimSun" w:hAnsi="Arial" w:cs="Arial"/>
      <w:b/>
      <w:bCs/>
      <w:color w:val="000000"/>
      <w:sz w:val="20"/>
      <w:szCs w:val="20"/>
      <w:lang w:eastAsia="en-US"/>
    </w:rPr>
  </w:style>
  <w:style w:type="character" w:styleId="UnresolvedMention">
    <w:name w:val="Unresolved Mention"/>
    <w:basedOn w:val="DefaultParagraphFont"/>
    <w:uiPriority w:val="99"/>
    <w:semiHidden/>
    <w:unhideWhenUsed/>
    <w:rsid w:val="00CA4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7877">
      <w:bodyDiv w:val="1"/>
      <w:marLeft w:val="0"/>
      <w:marRight w:val="0"/>
      <w:marTop w:val="0"/>
      <w:marBottom w:val="0"/>
      <w:divBdr>
        <w:top w:val="none" w:sz="0" w:space="0" w:color="auto"/>
        <w:left w:val="none" w:sz="0" w:space="0" w:color="auto"/>
        <w:bottom w:val="none" w:sz="0" w:space="0" w:color="auto"/>
        <w:right w:val="none" w:sz="0" w:space="0" w:color="auto"/>
      </w:divBdr>
    </w:div>
    <w:div w:id="138377919">
      <w:bodyDiv w:val="1"/>
      <w:marLeft w:val="0"/>
      <w:marRight w:val="0"/>
      <w:marTop w:val="0"/>
      <w:marBottom w:val="0"/>
      <w:divBdr>
        <w:top w:val="none" w:sz="0" w:space="0" w:color="auto"/>
        <w:left w:val="none" w:sz="0" w:space="0" w:color="auto"/>
        <w:bottom w:val="none" w:sz="0" w:space="0" w:color="auto"/>
        <w:right w:val="none" w:sz="0" w:space="0" w:color="auto"/>
      </w:divBdr>
    </w:div>
    <w:div w:id="219289785">
      <w:bodyDiv w:val="1"/>
      <w:marLeft w:val="0"/>
      <w:marRight w:val="0"/>
      <w:marTop w:val="0"/>
      <w:marBottom w:val="0"/>
      <w:divBdr>
        <w:top w:val="none" w:sz="0" w:space="0" w:color="auto"/>
        <w:left w:val="none" w:sz="0" w:space="0" w:color="auto"/>
        <w:bottom w:val="none" w:sz="0" w:space="0" w:color="auto"/>
        <w:right w:val="none" w:sz="0" w:space="0" w:color="auto"/>
      </w:divBdr>
    </w:div>
    <w:div w:id="751051770">
      <w:bodyDiv w:val="1"/>
      <w:marLeft w:val="0"/>
      <w:marRight w:val="0"/>
      <w:marTop w:val="0"/>
      <w:marBottom w:val="0"/>
      <w:divBdr>
        <w:top w:val="none" w:sz="0" w:space="0" w:color="auto"/>
        <w:left w:val="none" w:sz="0" w:space="0" w:color="auto"/>
        <w:bottom w:val="none" w:sz="0" w:space="0" w:color="auto"/>
        <w:right w:val="none" w:sz="0" w:space="0" w:color="auto"/>
      </w:divBdr>
    </w:div>
    <w:div w:id="785195858">
      <w:bodyDiv w:val="1"/>
      <w:marLeft w:val="0"/>
      <w:marRight w:val="0"/>
      <w:marTop w:val="0"/>
      <w:marBottom w:val="0"/>
      <w:divBdr>
        <w:top w:val="none" w:sz="0" w:space="0" w:color="auto"/>
        <w:left w:val="none" w:sz="0" w:space="0" w:color="auto"/>
        <w:bottom w:val="none" w:sz="0" w:space="0" w:color="auto"/>
        <w:right w:val="none" w:sz="0" w:space="0" w:color="auto"/>
      </w:divBdr>
    </w:div>
    <w:div w:id="866255830">
      <w:bodyDiv w:val="1"/>
      <w:marLeft w:val="0"/>
      <w:marRight w:val="0"/>
      <w:marTop w:val="0"/>
      <w:marBottom w:val="0"/>
      <w:divBdr>
        <w:top w:val="none" w:sz="0" w:space="0" w:color="auto"/>
        <w:left w:val="none" w:sz="0" w:space="0" w:color="auto"/>
        <w:bottom w:val="none" w:sz="0" w:space="0" w:color="auto"/>
        <w:right w:val="none" w:sz="0" w:space="0" w:color="auto"/>
      </w:divBdr>
    </w:div>
    <w:div w:id="871651056">
      <w:bodyDiv w:val="1"/>
      <w:marLeft w:val="0"/>
      <w:marRight w:val="0"/>
      <w:marTop w:val="0"/>
      <w:marBottom w:val="0"/>
      <w:divBdr>
        <w:top w:val="none" w:sz="0" w:space="0" w:color="auto"/>
        <w:left w:val="none" w:sz="0" w:space="0" w:color="auto"/>
        <w:bottom w:val="none" w:sz="0" w:space="0" w:color="auto"/>
        <w:right w:val="none" w:sz="0" w:space="0" w:color="auto"/>
      </w:divBdr>
    </w:div>
    <w:div w:id="903295484">
      <w:bodyDiv w:val="1"/>
      <w:marLeft w:val="0"/>
      <w:marRight w:val="0"/>
      <w:marTop w:val="0"/>
      <w:marBottom w:val="0"/>
      <w:divBdr>
        <w:top w:val="none" w:sz="0" w:space="0" w:color="auto"/>
        <w:left w:val="none" w:sz="0" w:space="0" w:color="auto"/>
        <w:bottom w:val="none" w:sz="0" w:space="0" w:color="auto"/>
        <w:right w:val="none" w:sz="0" w:space="0" w:color="auto"/>
      </w:divBdr>
    </w:div>
    <w:div w:id="934364202">
      <w:bodyDiv w:val="1"/>
      <w:marLeft w:val="0"/>
      <w:marRight w:val="0"/>
      <w:marTop w:val="0"/>
      <w:marBottom w:val="0"/>
      <w:divBdr>
        <w:top w:val="none" w:sz="0" w:space="0" w:color="auto"/>
        <w:left w:val="none" w:sz="0" w:space="0" w:color="auto"/>
        <w:bottom w:val="none" w:sz="0" w:space="0" w:color="auto"/>
        <w:right w:val="none" w:sz="0" w:space="0" w:color="auto"/>
      </w:divBdr>
    </w:div>
    <w:div w:id="1008675383">
      <w:bodyDiv w:val="1"/>
      <w:marLeft w:val="0"/>
      <w:marRight w:val="0"/>
      <w:marTop w:val="0"/>
      <w:marBottom w:val="0"/>
      <w:divBdr>
        <w:top w:val="none" w:sz="0" w:space="0" w:color="auto"/>
        <w:left w:val="none" w:sz="0" w:space="0" w:color="auto"/>
        <w:bottom w:val="none" w:sz="0" w:space="0" w:color="auto"/>
        <w:right w:val="none" w:sz="0" w:space="0" w:color="auto"/>
      </w:divBdr>
    </w:div>
    <w:div w:id="1045565308">
      <w:bodyDiv w:val="1"/>
      <w:marLeft w:val="0"/>
      <w:marRight w:val="0"/>
      <w:marTop w:val="0"/>
      <w:marBottom w:val="0"/>
      <w:divBdr>
        <w:top w:val="none" w:sz="0" w:space="0" w:color="auto"/>
        <w:left w:val="none" w:sz="0" w:space="0" w:color="auto"/>
        <w:bottom w:val="none" w:sz="0" w:space="0" w:color="auto"/>
        <w:right w:val="none" w:sz="0" w:space="0" w:color="auto"/>
      </w:divBdr>
    </w:div>
    <w:div w:id="1235773871">
      <w:bodyDiv w:val="1"/>
      <w:marLeft w:val="0"/>
      <w:marRight w:val="0"/>
      <w:marTop w:val="0"/>
      <w:marBottom w:val="0"/>
      <w:divBdr>
        <w:top w:val="none" w:sz="0" w:space="0" w:color="auto"/>
        <w:left w:val="none" w:sz="0" w:space="0" w:color="auto"/>
        <w:bottom w:val="none" w:sz="0" w:space="0" w:color="auto"/>
        <w:right w:val="none" w:sz="0" w:space="0" w:color="auto"/>
      </w:divBdr>
    </w:div>
    <w:div w:id="1252592939">
      <w:bodyDiv w:val="1"/>
      <w:marLeft w:val="0"/>
      <w:marRight w:val="0"/>
      <w:marTop w:val="0"/>
      <w:marBottom w:val="0"/>
      <w:divBdr>
        <w:top w:val="none" w:sz="0" w:space="0" w:color="auto"/>
        <w:left w:val="none" w:sz="0" w:space="0" w:color="auto"/>
        <w:bottom w:val="none" w:sz="0" w:space="0" w:color="auto"/>
        <w:right w:val="none" w:sz="0" w:space="0" w:color="auto"/>
      </w:divBdr>
    </w:div>
    <w:div w:id="1465269670">
      <w:bodyDiv w:val="1"/>
      <w:marLeft w:val="0"/>
      <w:marRight w:val="0"/>
      <w:marTop w:val="0"/>
      <w:marBottom w:val="0"/>
      <w:divBdr>
        <w:top w:val="none" w:sz="0" w:space="0" w:color="auto"/>
        <w:left w:val="none" w:sz="0" w:space="0" w:color="auto"/>
        <w:bottom w:val="none" w:sz="0" w:space="0" w:color="auto"/>
        <w:right w:val="none" w:sz="0" w:space="0" w:color="auto"/>
      </w:divBdr>
    </w:div>
    <w:div w:id="1479345559">
      <w:bodyDiv w:val="1"/>
      <w:marLeft w:val="0"/>
      <w:marRight w:val="0"/>
      <w:marTop w:val="0"/>
      <w:marBottom w:val="0"/>
      <w:divBdr>
        <w:top w:val="none" w:sz="0" w:space="0" w:color="auto"/>
        <w:left w:val="none" w:sz="0" w:space="0" w:color="auto"/>
        <w:bottom w:val="none" w:sz="0" w:space="0" w:color="auto"/>
        <w:right w:val="none" w:sz="0" w:space="0" w:color="auto"/>
      </w:divBdr>
    </w:div>
    <w:div w:id="1552811977">
      <w:bodyDiv w:val="1"/>
      <w:marLeft w:val="0"/>
      <w:marRight w:val="0"/>
      <w:marTop w:val="0"/>
      <w:marBottom w:val="0"/>
      <w:divBdr>
        <w:top w:val="none" w:sz="0" w:space="0" w:color="auto"/>
        <w:left w:val="none" w:sz="0" w:space="0" w:color="auto"/>
        <w:bottom w:val="none" w:sz="0" w:space="0" w:color="auto"/>
        <w:right w:val="none" w:sz="0" w:space="0" w:color="auto"/>
      </w:divBdr>
    </w:div>
    <w:div w:id="1586768409">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772771877">
      <w:bodyDiv w:val="1"/>
      <w:marLeft w:val="0"/>
      <w:marRight w:val="0"/>
      <w:marTop w:val="0"/>
      <w:marBottom w:val="0"/>
      <w:divBdr>
        <w:top w:val="none" w:sz="0" w:space="0" w:color="auto"/>
        <w:left w:val="none" w:sz="0" w:space="0" w:color="auto"/>
        <w:bottom w:val="none" w:sz="0" w:space="0" w:color="auto"/>
        <w:right w:val="none" w:sz="0" w:space="0" w:color="auto"/>
      </w:divBdr>
    </w:div>
    <w:div w:id="2018606860">
      <w:bodyDiv w:val="1"/>
      <w:marLeft w:val="0"/>
      <w:marRight w:val="0"/>
      <w:marTop w:val="0"/>
      <w:marBottom w:val="0"/>
      <w:divBdr>
        <w:top w:val="none" w:sz="0" w:space="0" w:color="auto"/>
        <w:left w:val="none" w:sz="0" w:space="0" w:color="auto"/>
        <w:bottom w:val="none" w:sz="0" w:space="0" w:color="auto"/>
        <w:right w:val="none" w:sz="0" w:space="0" w:color="auto"/>
      </w:divBdr>
    </w:div>
    <w:div w:id="2033066085">
      <w:bodyDiv w:val="1"/>
      <w:marLeft w:val="0"/>
      <w:marRight w:val="0"/>
      <w:marTop w:val="0"/>
      <w:marBottom w:val="0"/>
      <w:divBdr>
        <w:top w:val="none" w:sz="0" w:space="0" w:color="auto"/>
        <w:left w:val="none" w:sz="0" w:space="0" w:color="auto"/>
        <w:bottom w:val="none" w:sz="0" w:space="0" w:color="auto"/>
        <w:right w:val="none" w:sz="0" w:space="0" w:color="auto"/>
      </w:divBdr>
    </w:div>
    <w:div w:id="2060394542">
      <w:bodyDiv w:val="1"/>
      <w:marLeft w:val="0"/>
      <w:marRight w:val="0"/>
      <w:marTop w:val="0"/>
      <w:marBottom w:val="0"/>
      <w:divBdr>
        <w:top w:val="none" w:sz="0" w:space="0" w:color="auto"/>
        <w:left w:val="none" w:sz="0" w:space="0" w:color="auto"/>
        <w:bottom w:val="none" w:sz="0" w:space="0" w:color="auto"/>
        <w:right w:val="none" w:sz="0" w:space="0" w:color="auto"/>
      </w:divBdr>
    </w:div>
    <w:div w:id="2073918082">
      <w:bodyDiv w:val="1"/>
      <w:marLeft w:val="0"/>
      <w:marRight w:val="0"/>
      <w:marTop w:val="0"/>
      <w:marBottom w:val="0"/>
      <w:divBdr>
        <w:top w:val="none" w:sz="0" w:space="0" w:color="auto"/>
        <w:left w:val="none" w:sz="0" w:space="0" w:color="auto"/>
        <w:bottom w:val="none" w:sz="0" w:space="0" w:color="auto"/>
        <w:right w:val="none" w:sz="0" w:space="0" w:color="auto"/>
      </w:divBdr>
    </w:div>
    <w:div w:id="208236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image" Target="media/image6.emf"/><Relationship Id="rId21" Type="http://schemas.openxmlformats.org/officeDocument/2006/relationships/footer" Target="footer6.xml"/><Relationship Id="rId34" Type="http://schemas.openxmlformats.org/officeDocument/2006/relationships/footer" Target="footer13.xml"/><Relationship Id="rId42" Type="http://schemas.openxmlformats.org/officeDocument/2006/relationships/package" Target="embeddings/Microsoft_Word_Document3.docx"/><Relationship Id="rId47" Type="http://schemas.openxmlformats.org/officeDocument/2006/relationships/package" Target="embeddings/Microsoft_Word_Document5.docx"/><Relationship Id="rId50" Type="http://schemas.openxmlformats.org/officeDocument/2006/relationships/image" Target="media/image12.emf"/><Relationship Id="rId55" Type="http://schemas.openxmlformats.org/officeDocument/2006/relationships/image" Target="media/image16.wmf"/><Relationship Id="rId63" Type="http://schemas.openxmlformats.org/officeDocument/2006/relationships/package" Target="embeddings/Microsoft_Word_Document11.docx"/><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image" Target="media/image5.emf"/><Relationship Id="rId40" Type="http://schemas.openxmlformats.org/officeDocument/2006/relationships/package" Target="embeddings/Microsoft_Word_Document2.docx"/><Relationship Id="rId45" Type="http://schemas.openxmlformats.org/officeDocument/2006/relationships/image" Target="media/image9.wmf"/><Relationship Id="rId53" Type="http://schemas.openxmlformats.org/officeDocument/2006/relationships/image" Target="media/image14.wmf"/><Relationship Id="rId58" Type="http://schemas.openxmlformats.org/officeDocument/2006/relationships/image" Target="media/image18.emf"/><Relationship Id="rId66"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package" Target="embeddings/Microsoft_Word_Document.docx"/><Relationship Id="rId49" Type="http://schemas.openxmlformats.org/officeDocument/2006/relationships/package" Target="embeddings/Microsoft_Word_Document6.docx"/><Relationship Id="rId57" Type="http://schemas.openxmlformats.org/officeDocument/2006/relationships/package" Target="embeddings/Microsoft_Word_Document8.docx"/><Relationship Id="rId61" Type="http://schemas.openxmlformats.org/officeDocument/2006/relationships/package" Target="embeddings/Microsoft_Word_Document10.docx"/><Relationship Id="rId10" Type="http://schemas.openxmlformats.org/officeDocument/2006/relationships/image" Target="media/image3.png"/><Relationship Id="rId19" Type="http://schemas.openxmlformats.org/officeDocument/2006/relationships/header" Target="header4.xml"/><Relationship Id="rId31" Type="http://schemas.openxmlformats.org/officeDocument/2006/relationships/header" Target="header9.xml"/><Relationship Id="rId44" Type="http://schemas.openxmlformats.org/officeDocument/2006/relationships/package" Target="embeddings/Microsoft_Word_Document4.docx"/><Relationship Id="rId52" Type="http://schemas.openxmlformats.org/officeDocument/2006/relationships/image" Target="media/image13.wmf"/><Relationship Id="rId60" Type="http://schemas.openxmlformats.org/officeDocument/2006/relationships/image" Target="media/image19.emf"/><Relationship Id="rId65" Type="http://schemas.openxmlformats.org/officeDocument/2006/relationships/package" Target="embeddings/Microsoft_Word_Document12.docx"/><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yperlink" Target="https://www.caaspp.org/training/caaspp/2019-20-training-opportunities.html" TargetMode="External"/><Relationship Id="rId35" Type="http://schemas.openxmlformats.org/officeDocument/2006/relationships/image" Target="media/image4.emf"/><Relationship Id="rId43" Type="http://schemas.openxmlformats.org/officeDocument/2006/relationships/image" Target="media/image8.emf"/><Relationship Id="rId48" Type="http://schemas.openxmlformats.org/officeDocument/2006/relationships/image" Target="media/image11.emf"/><Relationship Id="rId56" Type="http://schemas.openxmlformats.org/officeDocument/2006/relationships/image" Target="media/image17.emf"/><Relationship Id="rId64" Type="http://schemas.openxmlformats.org/officeDocument/2006/relationships/image" Target="media/image21.emf"/><Relationship Id="rId69"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package" Target="embeddings/Microsoft_Word_Document7.docx"/><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package" Target="embeddings/Microsoft_Word_Document1.docx"/><Relationship Id="rId46" Type="http://schemas.openxmlformats.org/officeDocument/2006/relationships/image" Target="media/image10.emf"/><Relationship Id="rId59" Type="http://schemas.openxmlformats.org/officeDocument/2006/relationships/package" Target="embeddings/Microsoft_Word_Document9.docx"/><Relationship Id="rId67" Type="http://schemas.openxmlformats.org/officeDocument/2006/relationships/footer" Target="footer14.xml"/><Relationship Id="rId20" Type="http://schemas.openxmlformats.org/officeDocument/2006/relationships/header" Target="header5.xml"/><Relationship Id="rId41" Type="http://schemas.openxmlformats.org/officeDocument/2006/relationships/image" Target="media/image7.emf"/><Relationship Id="rId54" Type="http://schemas.openxmlformats.org/officeDocument/2006/relationships/image" Target="media/image15.wmf"/><Relationship Id="rId62" Type="http://schemas.openxmlformats.org/officeDocument/2006/relationships/image" Target="media/image20.emf"/></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F4A6-FB1E-4F2C-9C5C-985534047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125</Pages>
  <Words>41279</Words>
  <Characters>227037</Characters>
  <Application>Microsoft Office Word</Application>
  <DocSecurity>0</DocSecurity>
  <Lines>6677</Lines>
  <Paragraphs>5159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 CAA for Science Technical Report - CAASPP (CA Dept of Education)</dc:title>
  <dc:subject>This report analyzes the 2019-2020 California Alternate Assessment (CAA) for Science administration.</dc:subject>
  <dc:creator/>
  <cp:keywords/>
  <dc:description/>
  <cp:lastModifiedBy/>
  <cp:revision>1</cp:revision>
  <dcterms:created xsi:type="dcterms:W3CDTF">2026-03-24T22:51:00Z</dcterms:created>
  <dcterms:modified xsi:type="dcterms:W3CDTF">2026-03-24T22:53:00Z</dcterms:modified>
</cp:coreProperties>
</file>