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6A85" w14:textId="77777777" w:rsidR="006E06C6" w:rsidRPr="004D05E9" w:rsidRDefault="00D5115F" w:rsidP="00B723BE">
      <w:r w:rsidRPr="004D05E9">
        <w:rPr>
          <w:noProof/>
          <w:color w:val="2B579A"/>
          <w:shd w:val="clear" w:color="auto" w:fill="E6E6E6"/>
        </w:rPr>
        <w:drawing>
          <wp:inline distT="0" distB="0" distL="0" distR="0" wp14:anchorId="118C9E71" wp14:editId="26E9855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0D735C11" w14:textId="77777777" w:rsidR="00B723BE" w:rsidRPr="004D05E9" w:rsidRDefault="00FC1FCE" w:rsidP="00B723BE">
      <w:pPr>
        <w:jc w:val="right"/>
      </w:pPr>
      <w:bookmarkStart w:id="0" w:name="_GoBack"/>
      <w:bookmarkEnd w:id="0"/>
      <w:r w:rsidRPr="004D05E9">
        <w:t>California Department of Education</w:t>
      </w:r>
    </w:p>
    <w:p w14:paraId="1D9FB34C" w14:textId="77777777" w:rsidR="00B723BE" w:rsidRPr="004D05E9" w:rsidRDefault="00FC1FCE" w:rsidP="00B723BE">
      <w:pPr>
        <w:jc w:val="right"/>
      </w:pPr>
      <w:r w:rsidRPr="004D05E9">
        <w:t>Executive Office</w:t>
      </w:r>
    </w:p>
    <w:p w14:paraId="12AE2A27" w14:textId="77777777" w:rsidR="002B4B14" w:rsidRPr="004D05E9" w:rsidRDefault="00692300" w:rsidP="00B723BE">
      <w:pPr>
        <w:jc w:val="right"/>
      </w:pPr>
      <w:r w:rsidRPr="004D05E9">
        <w:t>SBE-00</w:t>
      </w:r>
      <w:r w:rsidR="000324AD" w:rsidRPr="004D05E9">
        <w:t>3</w:t>
      </w:r>
      <w:r w:rsidRPr="004D05E9">
        <w:t xml:space="preserve"> (REV. 1</w:t>
      </w:r>
      <w:r w:rsidR="00C27D57" w:rsidRPr="004D05E9">
        <w:t>1</w:t>
      </w:r>
      <w:r w:rsidRPr="004D05E9">
        <w:t>/2017</w:t>
      </w:r>
      <w:r w:rsidR="00FC1FCE" w:rsidRPr="004D05E9">
        <w:t>)</w:t>
      </w:r>
    </w:p>
    <w:p w14:paraId="3E93CED8" w14:textId="77777777" w:rsidR="00B723BE" w:rsidRPr="004D05E9" w:rsidRDefault="00B723BE" w:rsidP="00FC1FCE">
      <w:pPr>
        <w:pStyle w:val="Heading1"/>
        <w:jc w:val="center"/>
        <w:rPr>
          <w:sz w:val="40"/>
          <w:szCs w:val="40"/>
        </w:rPr>
        <w:sectPr w:rsidR="00B723BE" w:rsidRPr="004D05E9" w:rsidSect="00E85595">
          <w:headerReference w:type="default" r:id="rId12"/>
          <w:headerReference w:type="first" r:id="rId13"/>
          <w:type w:val="continuous"/>
          <w:pgSz w:w="12240" w:h="15840"/>
          <w:pgMar w:top="720" w:right="1440" w:bottom="1440" w:left="1440" w:header="720" w:footer="720" w:gutter="0"/>
          <w:cols w:num="2" w:space="720"/>
          <w:docGrid w:linePitch="360"/>
        </w:sectPr>
      </w:pPr>
    </w:p>
    <w:p w14:paraId="4773028B" w14:textId="77777777" w:rsidR="006E06C6" w:rsidRPr="004D05E9" w:rsidRDefault="006E06C6" w:rsidP="00FC1FCE">
      <w:pPr>
        <w:pStyle w:val="Heading1"/>
        <w:jc w:val="center"/>
        <w:rPr>
          <w:sz w:val="40"/>
          <w:szCs w:val="40"/>
        </w:rPr>
        <w:sectPr w:rsidR="006E06C6" w:rsidRPr="004D05E9" w:rsidSect="0091117B">
          <w:type w:val="continuous"/>
          <w:pgSz w:w="12240" w:h="15840"/>
          <w:pgMar w:top="720" w:right="1440" w:bottom="1440" w:left="1440" w:header="720" w:footer="720" w:gutter="0"/>
          <w:cols w:space="720"/>
          <w:docGrid w:linePitch="360"/>
        </w:sectPr>
      </w:pPr>
    </w:p>
    <w:p w14:paraId="223572AD" w14:textId="227775B7" w:rsidR="00FC1FCE" w:rsidRPr="004D05E9" w:rsidRDefault="0091117B" w:rsidP="002B4B14">
      <w:pPr>
        <w:pStyle w:val="Heading1"/>
        <w:spacing w:before="240" w:after="240"/>
        <w:jc w:val="center"/>
        <w:rPr>
          <w:sz w:val="40"/>
          <w:szCs w:val="40"/>
        </w:rPr>
      </w:pPr>
      <w:bookmarkStart w:id="1" w:name="_Toc523909460"/>
      <w:bookmarkStart w:id="2" w:name="_Toc525654529"/>
      <w:bookmarkStart w:id="3" w:name="_Toc528222730"/>
      <w:bookmarkStart w:id="4" w:name="_Toc26532181"/>
      <w:bookmarkStart w:id="5" w:name="_Toc57198980"/>
      <w:r w:rsidRPr="004D05E9">
        <w:rPr>
          <w:sz w:val="40"/>
          <w:szCs w:val="40"/>
        </w:rPr>
        <w:t>Californ</w:t>
      </w:r>
      <w:r w:rsidR="00693951" w:rsidRPr="004D05E9">
        <w:rPr>
          <w:sz w:val="40"/>
          <w:szCs w:val="40"/>
        </w:rPr>
        <w:t>ia State Board of Education</w:t>
      </w:r>
      <w:r w:rsidR="00693951" w:rsidRPr="004D05E9">
        <w:rPr>
          <w:sz w:val="40"/>
          <w:szCs w:val="40"/>
        </w:rPr>
        <w:br/>
      </w:r>
      <w:r w:rsidR="006C3061" w:rsidRPr="004D05E9">
        <w:rPr>
          <w:sz w:val="40"/>
          <w:szCs w:val="40"/>
        </w:rPr>
        <w:t>January 20</w:t>
      </w:r>
      <w:r w:rsidR="00465092" w:rsidRPr="004D05E9">
        <w:rPr>
          <w:sz w:val="40"/>
          <w:szCs w:val="40"/>
        </w:rPr>
        <w:t>2</w:t>
      </w:r>
      <w:r w:rsidR="00D24C8B" w:rsidRPr="004D05E9">
        <w:rPr>
          <w:sz w:val="40"/>
          <w:szCs w:val="40"/>
        </w:rPr>
        <w:t>1</w:t>
      </w:r>
      <w:r w:rsidRPr="004D05E9">
        <w:rPr>
          <w:sz w:val="40"/>
          <w:szCs w:val="40"/>
        </w:rPr>
        <w:t xml:space="preserve"> Agenda</w:t>
      </w:r>
      <w:r w:rsidR="00FC1FCE" w:rsidRPr="004D05E9">
        <w:rPr>
          <w:sz w:val="40"/>
          <w:szCs w:val="40"/>
        </w:rPr>
        <w:br/>
        <w:t>Item</w:t>
      </w:r>
      <w:r w:rsidR="00692300" w:rsidRPr="004D05E9">
        <w:rPr>
          <w:sz w:val="40"/>
          <w:szCs w:val="40"/>
        </w:rPr>
        <w:t xml:space="preserve"> </w:t>
      </w:r>
      <w:bookmarkEnd w:id="1"/>
      <w:bookmarkEnd w:id="2"/>
      <w:bookmarkEnd w:id="3"/>
      <w:bookmarkEnd w:id="4"/>
      <w:bookmarkEnd w:id="5"/>
      <w:r w:rsidR="00E32B98">
        <w:rPr>
          <w:sz w:val="40"/>
          <w:szCs w:val="40"/>
        </w:rPr>
        <w:t>#</w:t>
      </w:r>
      <w:r w:rsidR="00291409" w:rsidRPr="004D05E9">
        <w:rPr>
          <w:sz w:val="40"/>
          <w:szCs w:val="40"/>
        </w:rPr>
        <w:t>16</w:t>
      </w:r>
    </w:p>
    <w:p w14:paraId="777D2B10" w14:textId="77777777" w:rsidR="00FC1FCE" w:rsidRPr="004D05E9" w:rsidRDefault="00FC1FCE" w:rsidP="002B4B14">
      <w:pPr>
        <w:pStyle w:val="Heading2"/>
        <w:spacing w:before="240" w:after="240"/>
        <w:rPr>
          <w:sz w:val="36"/>
          <w:szCs w:val="36"/>
        </w:rPr>
      </w:pPr>
      <w:bookmarkStart w:id="6" w:name="_Toc523909461"/>
      <w:bookmarkStart w:id="7" w:name="_Toc525654530"/>
      <w:bookmarkStart w:id="8" w:name="_Toc528222731"/>
      <w:bookmarkStart w:id="9" w:name="_Toc26532182"/>
      <w:bookmarkStart w:id="10" w:name="_Toc57198981"/>
      <w:r w:rsidRPr="004D05E9">
        <w:rPr>
          <w:sz w:val="36"/>
          <w:szCs w:val="36"/>
        </w:rPr>
        <w:t>Subject</w:t>
      </w:r>
      <w:bookmarkEnd w:id="6"/>
      <w:bookmarkEnd w:id="7"/>
      <w:bookmarkEnd w:id="8"/>
      <w:bookmarkEnd w:id="9"/>
      <w:bookmarkEnd w:id="10"/>
    </w:p>
    <w:p w14:paraId="17EA0B50" w14:textId="400B1DC3" w:rsidR="00692300" w:rsidRPr="004D05E9" w:rsidRDefault="00004C27" w:rsidP="003D660B">
      <w:r w:rsidRPr="004D05E9">
        <w:t xml:space="preserve">State </w:t>
      </w:r>
      <w:r w:rsidR="00256E6D" w:rsidRPr="004D05E9">
        <w:t>Annual Performance Report for Part B of the Individuals with Disabilities Education Act of 2004 covering program year 201</w:t>
      </w:r>
      <w:r w:rsidR="00D24C8B" w:rsidRPr="004D05E9">
        <w:t>9</w:t>
      </w:r>
      <w:r w:rsidR="00256E6D" w:rsidRPr="004D05E9">
        <w:t>–</w:t>
      </w:r>
      <w:r w:rsidR="00D24C8B" w:rsidRPr="004D05E9">
        <w:t>20</w:t>
      </w:r>
      <w:r w:rsidR="008B5DDE" w:rsidRPr="004D05E9">
        <w:t>.</w:t>
      </w:r>
    </w:p>
    <w:p w14:paraId="08C0B157" w14:textId="77777777" w:rsidR="00FC1FCE" w:rsidRPr="004D05E9" w:rsidRDefault="00FC1FCE" w:rsidP="002B4B14">
      <w:pPr>
        <w:pStyle w:val="Heading2"/>
        <w:spacing w:before="240" w:after="240"/>
        <w:rPr>
          <w:sz w:val="36"/>
          <w:szCs w:val="36"/>
        </w:rPr>
      </w:pPr>
      <w:bookmarkStart w:id="11" w:name="_Toc523909462"/>
      <w:bookmarkStart w:id="12" w:name="_Toc525654531"/>
      <w:bookmarkStart w:id="13" w:name="_Toc528222732"/>
      <w:bookmarkStart w:id="14" w:name="_Toc26532183"/>
      <w:bookmarkStart w:id="15" w:name="_Toc57198982"/>
      <w:r w:rsidRPr="004D05E9">
        <w:rPr>
          <w:sz w:val="36"/>
          <w:szCs w:val="36"/>
        </w:rPr>
        <w:t>Type of Action</w:t>
      </w:r>
      <w:bookmarkEnd w:id="11"/>
      <w:bookmarkEnd w:id="12"/>
      <w:bookmarkEnd w:id="13"/>
      <w:bookmarkEnd w:id="14"/>
      <w:bookmarkEnd w:id="15"/>
    </w:p>
    <w:p w14:paraId="63600FB3" w14:textId="77777777" w:rsidR="00CA46B9" w:rsidRPr="004D05E9" w:rsidRDefault="00CA46B9" w:rsidP="00CA46B9">
      <w:r w:rsidRPr="004D05E9">
        <w:t>Action, Information</w:t>
      </w:r>
    </w:p>
    <w:p w14:paraId="77472F99" w14:textId="77777777" w:rsidR="00FC1FCE" w:rsidRPr="004D05E9" w:rsidRDefault="00FC1FCE" w:rsidP="002B4B14">
      <w:pPr>
        <w:pStyle w:val="Heading2"/>
        <w:spacing w:before="240" w:after="240"/>
        <w:rPr>
          <w:sz w:val="36"/>
          <w:szCs w:val="36"/>
        </w:rPr>
      </w:pPr>
      <w:bookmarkStart w:id="16" w:name="_Toc523909463"/>
      <w:bookmarkStart w:id="17" w:name="_Toc525654532"/>
      <w:bookmarkStart w:id="18" w:name="_Toc528222733"/>
      <w:bookmarkStart w:id="19" w:name="_Toc26532184"/>
      <w:bookmarkStart w:id="20" w:name="_Toc57198983"/>
      <w:r w:rsidRPr="004D05E9">
        <w:rPr>
          <w:sz w:val="36"/>
          <w:szCs w:val="36"/>
        </w:rPr>
        <w:t>Summary of the Issue(s)</w:t>
      </w:r>
      <w:bookmarkEnd w:id="16"/>
      <w:bookmarkEnd w:id="17"/>
      <w:bookmarkEnd w:id="18"/>
      <w:bookmarkEnd w:id="19"/>
      <w:bookmarkEnd w:id="20"/>
    </w:p>
    <w:p w14:paraId="00F9FE2B" w14:textId="4510A921" w:rsidR="00FB00EE" w:rsidRPr="004D05E9" w:rsidRDefault="003D660B" w:rsidP="003D660B">
      <w:pPr>
        <w:spacing w:after="240"/>
      </w:pPr>
      <w:r w:rsidRPr="004D05E9">
        <w:t>As required by the I</w:t>
      </w:r>
      <w:r w:rsidR="00CA46B9" w:rsidRPr="004D05E9">
        <w:t>ndividuals with Disabilities Education Act (IDEA) of 2004, Part B, the California Department of Education (CDE), Special Education Division (SED), developed the State Performance Plan (SPP), a six-year plan covering federal fiscal year (FFY) 2013–14 through 2018–19, using the instruction</w:t>
      </w:r>
      <w:r w:rsidR="008B5DDE" w:rsidRPr="004D05E9">
        <w:t>s determined</w:t>
      </w:r>
      <w:r w:rsidR="00CA46B9" w:rsidRPr="004D05E9">
        <w:t xml:space="preserve"> by the U.S. Department of Education, Office of Special Education Programs (OSEP). The SED prepares an Annual Performance Report (APR)</w:t>
      </w:r>
      <w:r w:rsidR="00004C27" w:rsidRPr="004D05E9">
        <w:t>, an update under the SPP,</w:t>
      </w:r>
      <w:r w:rsidR="00CA46B9" w:rsidRPr="004D05E9">
        <w:t xml:space="preserve"> each year that co</w:t>
      </w:r>
      <w:r w:rsidRPr="004D05E9">
        <w:t>vers California’s progress on 5</w:t>
      </w:r>
      <w:r w:rsidR="008B5DDE" w:rsidRPr="004D05E9">
        <w:t xml:space="preserve"> compliance indicators, 11</w:t>
      </w:r>
      <w:r w:rsidRPr="004D05E9">
        <w:t xml:space="preserve"> performance indicators, and 1</w:t>
      </w:r>
      <w:r w:rsidR="00CA46B9" w:rsidRPr="004D05E9">
        <w:t xml:space="preserve"> indicator with both compliance and performance components.</w:t>
      </w:r>
      <w:r w:rsidR="00BA1FC6" w:rsidRPr="004D05E9">
        <w:t xml:space="preserve"> </w:t>
      </w:r>
      <w:r w:rsidR="002A6914" w:rsidRPr="004D05E9">
        <w:t xml:space="preserve">The </w:t>
      </w:r>
      <w:r w:rsidR="00BA1FC6" w:rsidRPr="004D05E9">
        <w:t>OSEP ha</w:t>
      </w:r>
      <w:r w:rsidR="002A6914" w:rsidRPr="004D05E9">
        <w:t>s</w:t>
      </w:r>
      <w:r w:rsidR="00BA1FC6" w:rsidRPr="004D05E9">
        <w:t xml:space="preserve"> directed</w:t>
      </w:r>
      <w:r w:rsidR="002A6914" w:rsidRPr="004D05E9">
        <w:t xml:space="preserve"> the </w:t>
      </w:r>
      <w:r w:rsidR="00BA1FC6" w:rsidRPr="004D05E9">
        <w:t>CDE to treat FFY 2019 as an extension year for the previously approved SPP.</w:t>
      </w:r>
      <w:r w:rsidR="00CA46B9" w:rsidRPr="004D05E9">
        <w:t xml:space="preserve"> The attached report is for program year 201</w:t>
      </w:r>
      <w:r w:rsidR="00BA1FC6" w:rsidRPr="004D05E9">
        <w:t>9</w:t>
      </w:r>
      <w:r w:rsidR="00CA46B9" w:rsidRPr="004D05E9">
        <w:t>–</w:t>
      </w:r>
      <w:r w:rsidR="00BA1FC6" w:rsidRPr="004D05E9">
        <w:t>20</w:t>
      </w:r>
      <w:r w:rsidR="00CA46B9" w:rsidRPr="004D05E9">
        <w:t>.</w:t>
      </w:r>
      <w:r w:rsidR="00AF27DE" w:rsidRPr="004D05E9">
        <w:t xml:space="preserve"> </w:t>
      </w:r>
    </w:p>
    <w:p w14:paraId="1C0A1585" w14:textId="5F557FD1" w:rsidR="00685416" w:rsidRPr="004D05E9" w:rsidRDefault="00CA46B9" w:rsidP="00685416">
      <w:pPr>
        <w:spacing w:after="240"/>
      </w:pPr>
      <w:r w:rsidRPr="004D05E9">
        <w:t>This report provides data on the status of California’s student</w:t>
      </w:r>
      <w:r w:rsidR="00AF459B" w:rsidRPr="004D05E9">
        <w:t>s with disabilities in 17</w:t>
      </w:r>
      <w:r w:rsidRPr="004D05E9">
        <w:t xml:space="preserve"> required federal indicators as required for submission annu</w:t>
      </w:r>
      <w:r w:rsidR="002B50AA" w:rsidRPr="004D05E9">
        <w:t>ally under the IDEA. A</w:t>
      </w:r>
      <w:r w:rsidRPr="004D05E9">
        <w:t xml:space="preserve"> number of these indicators overlap with California’s </w:t>
      </w:r>
      <w:r w:rsidR="00C51D71" w:rsidRPr="004D05E9">
        <w:t xml:space="preserve">School </w:t>
      </w:r>
      <w:r w:rsidR="00143F6D" w:rsidRPr="004D05E9">
        <w:t>Dashboard, the s</w:t>
      </w:r>
      <w:r w:rsidRPr="004D05E9">
        <w:t>tate</w:t>
      </w:r>
      <w:r w:rsidR="00143F6D" w:rsidRPr="004D05E9">
        <w:t>’s</w:t>
      </w:r>
      <w:r w:rsidRPr="004D05E9">
        <w:t xml:space="preserve"> </w:t>
      </w:r>
      <w:r w:rsidR="00143F6D" w:rsidRPr="004D05E9">
        <w:t>a</w:t>
      </w:r>
      <w:r w:rsidRPr="004D05E9">
        <w:t xml:space="preserve">ccountability </w:t>
      </w:r>
      <w:r w:rsidR="00143F6D" w:rsidRPr="004D05E9">
        <w:t>s</w:t>
      </w:r>
      <w:r w:rsidRPr="004D05E9">
        <w:t>ystem</w:t>
      </w:r>
      <w:r w:rsidR="002B50AA" w:rsidRPr="004D05E9">
        <w:t xml:space="preserve">. </w:t>
      </w:r>
      <w:r w:rsidR="00143F6D" w:rsidRPr="004D05E9">
        <w:t>The e</w:t>
      </w:r>
      <w:r w:rsidR="002B50AA" w:rsidRPr="004D05E9">
        <w:t xml:space="preserve">stablished </w:t>
      </w:r>
      <w:r w:rsidR="00143F6D" w:rsidRPr="004D05E9">
        <w:t xml:space="preserve">federal </w:t>
      </w:r>
      <w:r w:rsidR="002B50AA" w:rsidRPr="004D05E9">
        <w:t xml:space="preserve">targets for these </w:t>
      </w:r>
      <w:r w:rsidR="00143F6D" w:rsidRPr="004D05E9">
        <w:t xml:space="preserve">overlapping </w:t>
      </w:r>
      <w:r w:rsidR="002B50AA" w:rsidRPr="004D05E9">
        <w:t>indicators</w:t>
      </w:r>
      <w:r w:rsidR="00AF459B" w:rsidRPr="004D05E9">
        <w:t xml:space="preserve"> </w:t>
      </w:r>
      <w:r w:rsidR="002B50AA" w:rsidRPr="004D05E9">
        <w:t>(graduation rate, suspension/expulsion, and assessment) predate California’s new accountability system</w:t>
      </w:r>
      <w:r w:rsidR="00AF459B" w:rsidRPr="004D05E9">
        <w:t>, and t</w:t>
      </w:r>
      <w:r w:rsidR="002B50AA" w:rsidRPr="004D05E9">
        <w:t>hus</w:t>
      </w:r>
      <w:r w:rsidRPr="004D05E9">
        <w:t xml:space="preserve"> the calculation methodology and targets for these indicators differ</w:t>
      </w:r>
      <w:r w:rsidR="002B50AA" w:rsidRPr="004D05E9">
        <w:t xml:space="preserve">, and are calculated based on </w:t>
      </w:r>
      <w:r w:rsidRPr="004D05E9">
        <w:t xml:space="preserve">specific parameters set </w:t>
      </w:r>
      <w:r w:rsidR="002B50AA" w:rsidRPr="004D05E9">
        <w:t xml:space="preserve">by the </w:t>
      </w:r>
      <w:r w:rsidRPr="004D05E9">
        <w:t>OSEP. A</w:t>
      </w:r>
      <w:r w:rsidR="00FC591C" w:rsidRPr="004D05E9">
        <w:t>s the lead</w:t>
      </w:r>
      <w:r w:rsidRPr="004D05E9">
        <w:t xml:space="preserve"> state education agency for California, the </w:t>
      </w:r>
      <w:r w:rsidR="001F58E1" w:rsidRPr="004D05E9">
        <w:t>SBE</w:t>
      </w:r>
      <w:r w:rsidRPr="004D05E9">
        <w:t xml:space="preserve"> must approve this report and these data prior to submission. Failure to submit this report to </w:t>
      </w:r>
      <w:r w:rsidR="002A6914" w:rsidRPr="004D05E9">
        <w:t xml:space="preserve">the </w:t>
      </w:r>
      <w:r w:rsidRPr="004D05E9">
        <w:t>OSEP may result in</w:t>
      </w:r>
      <w:r w:rsidR="002B50AA" w:rsidRPr="004D05E9">
        <w:t xml:space="preserve"> the</w:t>
      </w:r>
      <w:r w:rsidRPr="004D05E9">
        <w:t xml:space="preserve"> withholding of</w:t>
      </w:r>
      <w:r w:rsidR="00FC591C" w:rsidRPr="004D05E9">
        <w:t xml:space="preserve"> federal</w:t>
      </w:r>
      <w:r w:rsidRPr="004D05E9">
        <w:t xml:space="preserve"> IDEA funds.</w:t>
      </w:r>
    </w:p>
    <w:p w14:paraId="49E85BEE" w14:textId="153F5E5F" w:rsidR="00256E6D" w:rsidRPr="004D05E9" w:rsidRDefault="00CA46B9" w:rsidP="006F33E1">
      <w:pPr>
        <w:spacing w:after="240"/>
      </w:pPr>
      <w:r w:rsidRPr="004D05E9">
        <w:lastRenderedPageBreak/>
        <w:t>The SED has review</w:t>
      </w:r>
      <w:r w:rsidR="00143F6D" w:rsidRPr="004D05E9">
        <w:t>ed</w:t>
      </w:r>
      <w:r w:rsidRPr="004D05E9">
        <w:t xml:space="preserve"> protocols and approach</w:t>
      </w:r>
      <w:r w:rsidR="001F58E1" w:rsidRPr="004D05E9">
        <w:t>es</w:t>
      </w:r>
      <w:r w:rsidRPr="004D05E9">
        <w:t xml:space="preserve"> for compliance mo</w:t>
      </w:r>
      <w:r w:rsidR="00355442" w:rsidRPr="004D05E9">
        <w:t xml:space="preserve">nitoring </w:t>
      </w:r>
      <w:r w:rsidR="00143F6D" w:rsidRPr="004D05E9">
        <w:t xml:space="preserve">selection and support </w:t>
      </w:r>
      <w:r w:rsidR="00355442" w:rsidRPr="004D05E9">
        <w:t xml:space="preserve">under IDEA to maximize </w:t>
      </w:r>
      <w:r w:rsidRPr="004D05E9">
        <w:t xml:space="preserve">alignment </w:t>
      </w:r>
      <w:r w:rsidR="00355442" w:rsidRPr="004D05E9">
        <w:t xml:space="preserve">to the greatest extent possible </w:t>
      </w:r>
      <w:r w:rsidRPr="004D05E9">
        <w:t>with the statewide system of support</w:t>
      </w:r>
      <w:r w:rsidR="00355442" w:rsidRPr="004D05E9">
        <w:t>.</w:t>
      </w:r>
      <w:r w:rsidR="0077665C" w:rsidRPr="004D05E9">
        <w:rPr>
          <w:rStyle w:val="CommentReference"/>
        </w:rPr>
        <w:t xml:space="preserve"> </w:t>
      </w:r>
      <w:r w:rsidR="0077665C" w:rsidRPr="004D05E9">
        <w:rPr>
          <w:rStyle w:val="CommentReference"/>
          <w:sz w:val="24"/>
          <w:szCs w:val="24"/>
        </w:rPr>
        <w:t>During the March 2018 SBE meeting</w:t>
      </w:r>
      <w:r w:rsidR="00462A61" w:rsidRPr="004D05E9">
        <w:rPr>
          <w:rStyle w:val="CommentReference"/>
          <w:sz w:val="24"/>
          <w:szCs w:val="24"/>
        </w:rPr>
        <w:t>,</w:t>
      </w:r>
      <w:r w:rsidR="0077665C" w:rsidRPr="004D05E9">
        <w:rPr>
          <w:rStyle w:val="CommentReference"/>
          <w:sz w:val="24"/>
          <w:szCs w:val="24"/>
        </w:rPr>
        <w:t xml:space="preserve"> the </w:t>
      </w:r>
      <w:r w:rsidR="00462A61" w:rsidRPr="004D05E9">
        <w:rPr>
          <w:rStyle w:val="CommentReference"/>
          <w:sz w:val="24"/>
          <w:szCs w:val="24"/>
        </w:rPr>
        <w:t>SBE</w:t>
      </w:r>
      <w:r w:rsidR="0077665C" w:rsidRPr="004D05E9">
        <w:rPr>
          <w:rStyle w:val="CommentReference"/>
          <w:sz w:val="24"/>
          <w:szCs w:val="24"/>
        </w:rPr>
        <w:t xml:space="preserve"> approved Phase III of the State Systemic Improvement Plan (SSIP) which aligned </w:t>
      </w:r>
      <w:r w:rsidR="00C90DA4" w:rsidRPr="004D05E9">
        <w:rPr>
          <w:rStyle w:val="CommentReference"/>
          <w:sz w:val="24"/>
          <w:szCs w:val="24"/>
        </w:rPr>
        <w:t xml:space="preserve">SED monitoring activities with the California </w:t>
      </w:r>
      <w:r w:rsidR="00046ABE" w:rsidRPr="004D05E9">
        <w:rPr>
          <w:rStyle w:val="CommentReference"/>
          <w:sz w:val="24"/>
          <w:szCs w:val="24"/>
        </w:rPr>
        <w:t xml:space="preserve">School </w:t>
      </w:r>
      <w:r w:rsidR="00C90DA4" w:rsidRPr="004D05E9">
        <w:rPr>
          <w:rStyle w:val="CommentReference"/>
          <w:sz w:val="24"/>
          <w:szCs w:val="24"/>
        </w:rPr>
        <w:t xml:space="preserve">Dashboard and </w:t>
      </w:r>
      <w:r w:rsidR="0077665C" w:rsidRPr="004D05E9">
        <w:rPr>
          <w:rStyle w:val="CommentReference"/>
          <w:sz w:val="24"/>
          <w:szCs w:val="24"/>
        </w:rPr>
        <w:t xml:space="preserve">the </w:t>
      </w:r>
      <w:r w:rsidR="00C63D25" w:rsidRPr="004D05E9">
        <w:rPr>
          <w:rStyle w:val="CommentReference"/>
          <w:sz w:val="24"/>
          <w:szCs w:val="24"/>
        </w:rPr>
        <w:t xml:space="preserve">Statewide </w:t>
      </w:r>
      <w:r w:rsidR="0077665C" w:rsidRPr="004D05E9">
        <w:rPr>
          <w:rStyle w:val="CommentReference"/>
          <w:sz w:val="24"/>
          <w:szCs w:val="24"/>
        </w:rPr>
        <w:t>System of Support (</w:t>
      </w:r>
      <w:r w:rsidR="00C63D25" w:rsidRPr="004D05E9">
        <w:rPr>
          <w:rStyle w:val="CommentReference"/>
          <w:sz w:val="24"/>
          <w:szCs w:val="24"/>
        </w:rPr>
        <w:t>S</w:t>
      </w:r>
      <w:r w:rsidR="0077665C" w:rsidRPr="004D05E9">
        <w:rPr>
          <w:rStyle w:val="CommentReference"/>
          <w:sz w:val="24"/>
          <w:szCs w:val="24"/>
        </w:rPr>
        <w:t xml:space="preserve">SOS). The </w:t>
      </w:r>
      <w:r w:rsidR="00C63D25" w:rsidRPr="004D05E9">
        <w:rPr>
          <w:rStyle w:val="CommentReference"/>
          <w:sz w:val="24"/>
          <w:szCs w:val="24"/>
        </w:rPr>
        <w:t>S</w:t>
      </w:r>
      <w:r w:rsidR="0077665C" w:rsidRPr="004D05E9">
        <w:rPr>
          <w:rStyle w:val="CommentReference"/>
          <w:sz w:val="24"/>
          <w:szCs w:val="24"/>
        </w:rPr>
        <w:t xml:space="preserve">SOS brings new opportunity for improving support and student outcomes by utilizing the Dashboard, which includes accountability data for </w:t>
      </w:r>
      <w:r w:rsidR="00046ABE" w:rsidRPr="004D05E9">
        <w:rPr>
          <w:rStyle w:val="CommentReference"/>
          <w:sz w:val="24"/>
          <w:szCs w:val="24"/>
        </w:rPr>
        <w:t>s</w:t>
      </w:r>
      <w:r w:rsidR="0077665C" w:rsidRPr="004D05E9">
        <w:rPr>
          <w:rStyle w:val="CommentReference"/>
          <w:sz w:val="24"/>
          <w:szCs w:val="24"/>
        </w:rPr>
        <w:t xml:space="preserve">tudents with </w:t>
      </w:r>
      <w:r w:rsidR="00046ABE" w:rsidRPr="004D05E9">
        <w:rPr>
          <w:rStyle w:val="CommentReference"/>
          <w:sz w:val="24"/>
          <w:szCs w:val="24"/>
        </w:rPr>
        <w:t>d</w:t>
      </w:r>
      <w:r w:rsidR="0077665C" w:rsidRPr="004D05E9">
        <w:rPr>
          <w:rStyle w:val="CommentReference"/>
          <w:sz w:val="24"/>
          <w:szCs w:val="24"/>
        </w:rPr>
        <w:t xml:space="preserve">isabilities. </w:t>
      </w:r>
    </w:p>
    <w:p w14:paraId="721B9C07" w14:textId="4ADDC97E" w:rsidR="00926068" w:rsidRPr="004D05E9" w:rsidRDefault="006127C8" w:rsidP="006F33E1">
      <w:pPr>
        <w:spacing w:after="240"/>
      </w:pPr>
      <w:r w:rsidRPr="004D05E9">
        <w:t>As part of the</w:t>
      </w:r>
      <w:r w:rsidR="00926068" w:rsidRPr="004D05E9">
        <w:t xml:space="preserve"> </w:t>
      </w:r>
      <w:r w:rsidR="00C63D25" w:rsidRPr="004D05E9">
        <w:t>S</w:t>
      </w:r>
      <w:r w:rsidR="00926068" w:rsidRPr="004D05E9">
        <w:t>SOS, the Special Education Local Plan Area (SELPA) System Improvement Leads have developed a resource to support this alignment between APR indicators and the Dashboard. Although multiple Dashboard indicators are similar to indicators in the APR, there are importa</w:t>
      </w:r>
      <w:r w:rsidRPr="004D05E9">
        <w:t xml:space="preserve">nt differences </w:t>
      </w:r>
      <w:r w:rsidR="00926068" w:rsidRPr="004D05E9">
        <w:t xml:space="preserve">(e.g. </w:t>
      </w:r>
      <w:r w:rsidRPr="004D05E9">
        <w:t xml:space="preserve">calculating the discipline rate for students with disabilities). The </w:t>
      </w:r>
      <w:r w:rsidRPr="004D05E9">
        <w:rPr>
          <w:i/>
        </w:rPr>
        <w:t>State Performance Plan Indicator Guide</w:t>
      </w:r>
      <w:r w:rsidRPr="004D05E9">
        <w:t xml:space="preserve"> serves as a valuable resource for understanding the similarities and differences between these unique sets of accountability indicators and can be accessed at the SELPA System Improvement Leads website at </w:t>
      </w:r>
      <w:hyperlink r:id="rId14" w:tooltip="State Performance Plan Indicator Guide" w:history="1">
        <w:r w:rsidRPr="004D05E9">
          <w:rPr>
            <w:rStyle w:val="Hyperlink"/>
          </w:rPr>
          <w:t>https://systemimprovement.org/uploads/resources/State-Performance-Plan-Indicator-Guide.pdf</w:t>
        </w:r>
      </w:hyperlink>
      <w:r w:rsidRPr="004D05E9">
        <w:t>.</w:t>
      </w:r>
      <w:r w:rsidR="00926068" w:rsidRPr="004D05E9">
        <w:t xml:space="preserve"> </w:t>
      </w:r>
    </w:p>
    <w:p w14:paraId="283DA38B" w14:textId="77777777" w:rsidR="00143F6D" w:rsidRPr="004D05E9" w:rsidRDefault="0077665C" w:rsidP="0062465A">
      <w:pPr>
        <w:spacing w:after="240"/>
      </w:pPr>
      <w:r w:rsidRPr="004D05E9">
        <w:t>Over the last year</w:t>
      </w:r>
      <w:r w:rsidR="00462A61" w:rsidRPr="004D05E9">
        <w:t>,</w:t>
      </w:r>
      <w:r w:rsidRPr="004D05E9">
        <w:t xml:space="preserve"> SED has worked </w:t>
      </w:r>
      <w:r w:rsidR="00C90DA4" w:rsidRPr="004D05E9">
        <w:t>to include activities that support</w:t>
      </w:r>
      <w:r w:rsidR="00462A61" w:rsidRPr="004D05E9">
        <w:t xml:space="preserve"> local educational agencies</w:t>
      </w:r>
      <w:r w:rsidR="00C90DA4" w:rsidRPr="004D05E9">
        <w:t xml:space="preserve"> </w:t>
      </w:r>
      <w:r w:rsidR="00462A61" w:rsidRPr="004D05E9">
        <w:t>(</w:t>
      </w:r>
      <w:r w:rsidR="00C90DA4" w:rsidRPr="004D05E9">
        <w:t>LEAs</w:t>
      </w:r>
      <w:r w:rsidR="00462A61" w:rsidRPr="004D05E9">
        <w:t>)</w:t>
      </w:r>
      <w:r w:rsidR="00C90DA4" w:rsidRPr="004D05E9">
        <w:t xml:space="preserve"> in improving outcomes for </w:t>
      </w:r>
      <w:r w:rsidR="00046ABE" w:rsidRPr="004D05E9">
        <w:t>s</w:t>
      </w:r>
      <w:r w:rsidR="00C90DA4" w:rsidRPr="004D05E9">
        <w:t xml:space="preserve">tudents with </w:t>
      </w:r>
      <w:r w:rsidR="00046ABE" w:rsidRPr="004D05E9">
        <w:t>d</w:t>
      </w:r>
      <w:r w:rsidR="00C90DA4" w:rsidRPr="004D05E9">
        <w:t>isabilities and to</w:t>
      </w:r>
      <w:r w:rsidRPr="004D05E9">
        <w:t xml:space="preserve"> better align with the new s</w:t>
      </w:r>
      <w:r w:rsidR="00522FDC" w:rsidRPr="004D05E9">
        <w:t>tatewide system of support. SED</w:t>
      </w:r>
      <w:r w:rsidRPr="004D05E9">
        <w:t xml:space="preserve"> has also increased the number of </w:t>
      </w:r>
      <w:r w:rsidR="00462A61" w:rsidRPr="004D05E9">
        <w:t>technical assistance</w:t>
      </w:r>
      <w:r w:rsidRPr="004D05E9">
        <w:t xml:space="preserve"> contracts</w:t>
      </w:r>
      <w:r w:rsidR="00C90DA4" w:rsidRPr="004D05E9">
        <w:t xml:space="preserve"> that target specific areas of need, such as Least Restrictive Environment</w:t>
      </w:r>
      <w:r w:rsidRPr="004D05E9">
        <w:t>.</w:t>
      </w:r>
      <w:r w:rsidR="00C90DA4" w:rsidRPr="004D05E9">
        <w:t xml:space="preserve"> </w:t>
      </w:r>
      <w:r w:rsidRPr="004D05E9">
        <w:rPr>
          <w:rFonts w:eastAsia="Arial" w:cs="Arial"/>
        </w:rPr>
        <w:t>This</w:t>
      </w:r>
      <w:r w:rsidR="008E3BD4" w:rsidRPr="004D05E9">
        <w:rPr>
          <w:rFonts w:eastAsia="Arial" w:cs="Arial"/>
        </w:rPr>
        <w:t xml:space="preserve"> more coherent</w:t>
      </w:r>
      <w:r w:rsidRPr="004D05E9">
        <w:rPr>
          <w:rFonts w:eastAsia="Arial" w:cs="Arial"/>
        </w:rPr>
        <w:t xml:space="preserve"> approach </w:t>
      </w:r>
      <w:r w:rsidR="008E3BD4" w:rsidRPr="004D05E9">
        <w:rPr>
          <w:rFonts w:eastAsia="Arial" w:cs="Arial"/>
        </w:rPr>
        <w:t>is intended to</w:t>
      </w:r>
      <w:r w:rsidRPr="004D05E9">
        <w:rPr>
          <w:rFonts w:eastAsia="Arial" w:cs="Arial"/>
        </w:rPr>
        <w:t xml:space="preserve"> move special education </w:t>
      </w:r>
      <w:r w:rsidR="008E3BD4" w:rsidRPr="004D05E9">
        <w:rPr>
          <w:rFonts w:eastAsia="Arial" w:cs="Arial"/>
        </w:rPr>
        <w:t>into</w:t>
      </w:r>
      <w:r w:rsidRPr="004D05E9">
        <w:rPr>
          <w:rFonts w:eastAsia="Arial" w:cs="Arial"/>
        </w:rPr>
        <w:t xml:space="preserve"> </w:t>
      </w:r>
      <w:r w:rsidR="008E3BD4" w:rsidRPr="004D05E9">
        <w:rPr>
          <w:rFonts w:eastAsia="Arial" w:cs="Arial"/>
        </w:rPr>
        <w:t>one single system of education designed to serve all students</w:t>
      </w:r>
      <w:r w:rsidRPr="004D05E9">
        <w:rPr>
          <w:rFonts w:eastAsia="Arial" w:cs="Arial"/>
        </w:rPr>
        <w:t xml:space="preserve"> and</w:t>
      </w:r>
      <w:r w:rsidR="008E3BD4" w:rsidRPr="004D05E9">
        <w:rPr>
          <w:rFonts w:eastAsia="Arial" w:cs="Arial"/>
        </w:rPr>
        <w:t xml:space="preserve"> will help</w:t>
      </w:r>
      <w:r w:rsidRPr="004D05E9">
        <w:rPr>
          <w:rFonts w:eastAsia="Arial" w:cs="Arial"/>
        </w:rPr>
        <w:t xml:space="preserve"> </w:t>
      </w:r>
      <w:r w:rsidR="00C90DA4" w:rsidRPr="004D05E9">
        <w:rPr>
          <w:rFonts w:eastAsia="Arial" w:cs="Arial"/>
        </w:rPr>
        <w:t xml:space="preserve">to ensure </w:t>
      </w:r>
      <w:r w:rsidR="00462A61" w:rsidRPr="004D05E9">
        <w:rPr>
          <w:rFonts w:eastAsia="Arial" w:cs="Arial"/>
        </w:rPr>
        <w:t xml:space="preserve">participation in </w:t>
      </w:r>
      <w:r w:rsidRPr="004D05E9">
        <w:rPr>
          <w:rFonts w:eastAsia="Arial" w:cs="Arial"/>
        </w:rPr>
        <w:t>decisions being made about how</w:t>
      </w:r>
      <w:r w:rsidR="00C90DA4" w:rsidRPr="004D05E9">
        <w:rPr>
          <w:rFonts w:eastAsia="Arial" w:cs="Arial"/>
        </w:rPr>
        <w:t xml:space="preserve"> to</w:t>
      </w:r>
      <w:r w:rsidRPr="004D05E9">
        <w:rPr>
          <w:rFonts w:eastAsia="Arial" w:cs="Arial"/>
        </w:rPr>
        <w:t xml:space="preserve"> support the totality of an LEA, </w:t>
      </w:r>
      <w:r w:rsidR="008E3BD4" w:rsidRPr="004D05E9">
        <w:rPr>
          <w:rFonts w:eastAsia="Arial" w:cs="Arial"/>
        </w:rPr>
        <w:t>reducing</w:t>
      </w:r>
      <w:r w:rsidRPr="004D05E9">
        <w:rPr>
          <w:rFonts w:eastAsia="Arial" w:cs="Arial"/>
        </w:rPr>
        <w:t xml:space="preserve"> the requirement for separate plans and processes for different student groups.</w:t>
      </w:r>
    </w:p>
    <w:p w14:paraId="5FB7CDA8" w14:textId="77777777" w:rsidR="003E4DF7" w:rsidRPr="004D05E9" w:rsidRDefault="003E4DF7" w:rsidP="002B4B14">
      <w:pPr>
        <w:pStyle w:val="Heading2"/>
        <w:spacing w:before="240" w:after="240"/>
        <w:rPr>
          <w:sz w:val="36"/>
          <w:szCs w:val="36"/>
        </w:rPr>
      </w:pPr>
      <w:bookmarkStart w:id="21" w:name="_Toc523909464"/>
      <w:bookmarkStart w:id="22" w:name="_Toc525654533"/>
      <w:bookmarkStart w:id="23" w:name="_Toc528222734"/>
      <w:bookmarkStart w:id="24" w:name="_Toc26532185"/>
      <w:bookmarkStart w:id="25" w:name="_Toc57198984"/>
      <w:r w:rsidRPr="004D05E9">
        <w:rPr>
          <w:sz w:val="36"/>
          <w:szCs w:val="36"/>
        </w:rPr>
        <w:t>Recommendation</w:t>
      </w:r>
      <w:bookmarkEnd w:id="21"/>
      <w:bookmarkEnd w:id="22"/>
      <w:bookmarkEnd w:id="23"/>
      <w:bookmarkEnd w:id="24"/>
      <w:bookmarkEnd w:id="25"/>
    </w:p>
    <w:p w14:paraId="29598EC8" w14:textId="4490E58C" w:rsidR="00CA46B9" w:rsidRPr="004D05E9" w:rsidRDefault="00CA46B9" w:rsidP="00CA46B9">
      <w:r w:rsidRPr="004D05E9">
        <w:t>The CDE recommends the SBE review and approve the Executive Summary of the FFY 201</w:t>
      </w:r>
      <w:r w:rsidR="005B27E0" w:rsidRPr="004D05E9">
        <w:t>9</w:t>
      </w:r>
      <w:r w:rsidRPr="004D05E9">
        <w:t xml:space="preserve"> APR for Part B of the IDEA covering program year 201</w:t>
      </w:r>
      <w:r w:rsidR="005B27E0" w:rsidRPr="004D05E9">
        <w:t>9</w:t>
      </w:r>
      <w:r w:rsidRPr="004D05E9">
        <w:t>–</w:t>
      </w:r>
      <w:r w:rsidR="005B27E0" w:rsidRPr="004D05E9">
        <w:t>20</w:t>
      </w:r>
      <w:r w:rsidRPr="004D05E9">
        <w:t xml:space="preserve"> as prepared by the SED.</w:t>
      </w:r>
    </w:p>
    <w:p w14:paraId="6BC765F2" w14:textId="77777777" w:rsidR="00F40510" w:rsidRPr="004D05E9" w:rsidRDefault="003E4DF7" w:rsidP="002B4B14">
      <w:pPr>
        <w:pStyle w:val="Heading2"/>
        <w:spacing w:before="240" w:after="240"/>
        <w:rPr>
          <w:sz w:val="36"/>
          <w:szCs w:val="36"/>
        </w:rPr>
      </w:pPr>
      <w:bookmarkStart w:id="26" w:name="_Toc523909465"/>
      <w:bookmarkStart w:id="27" w:name="_Toc525654534"/>
      <w:bookmarkStart w:id="28" w:name="_Toc528222735"/>
      <w:bookmarkStart w:id="29" w:name="_Toc26532186"/>
      <w:bookmarkStart w:id="30" w:name="_Toc57198985"/>
      <w:r w:rsidRPr="004D05E9">
        <w:rPr>
          <w:sz w:val="36"/>
          <w:szCs w:val="36"/>
        </w:rPr>
        <w:t>Brief History of Key Issues</w:t>
      </w:r>
      <w:bookmarkEnd w:id="26"/>
      <w:bookmarkEnd w:id="27"/>
      <w:bookmarkEnd w:id="28"/>
      <w:bookmarkEnd w:id="29"/>
      <w:bookmarkEnd w:id="30"/>
    </w:p>
    <w:p w14:paraId="5B9EE634" w14:textId="77777777" w:rsidR="00CA46B9" w:rsidRPr="004D05E9" w:rsidRDefault="00CA46B9" w:rsidP="0062465A">
      <w:pPr>
        <w:widowControl w:val="0"/>
        <w:overflowPunct w:val="0"/>
        <w:autoSpaceDE w:val="0"/>
        <w:autoSpaceDN w:val="0"/>
        <w:adjustRightInd w:val="0"/>
        <w:spacing w:after="240"/>
        <w:rPr>
          <w:rFonts w:cs="Arial"/>
          <w:color w:val="000000"/>
          <w:kern w:val="28"/>
        </w:rPr>
      </w:pPr>
      <w:r w:rsidRPr="004D05E9">
        <w:rPr>
          <w:rFonts w:cs="Arial"/>
          <w:color w:val="000000"/>
          <w:kern w:val="28"/>
        </w:rPr>
        <w:t>The APR is presented to the SBE annually for review and approval as part of the CDE’s annual report to the public on the performance of its</w:t>
      </w:r>
      <w:r w:rsidR="00BD0001" w:rsidRPr="004D05E9">
        <w:rPr>
          <w:rFonts w:cs="Arial"/>
          <w:color w:val="000000"/>
          <w:kern w:val="28"/>
        </w:rPr>
        <w:t xml:space="preserve"> </w:t>
      </w:r>
      <w:r w:rsidRPr="004D05E9">
        <w:rPr>
          <w:rFonts w:cs="Arial"/>
          <w:color w:val="000000"/>
          <w:kern w:val="28"/>
        </w:rPr>
        <w:t>LEAs</w:t>
      </w:r>
      <w:r w:rsidR="00143F6D" w:rsidRPr="004D05E9">
        <w:rPr>
          <w:rFonts w:cs="Arial"/>
          <w:color w:val="000000"/>
          <w:kern w:val="28"/>
        </w:rPr>
        <w:t xml:space="preserve"> in serving students with disabilities</w:t>
      </w:r>
      <w:r w:rsidRPr="004D05E9">
        <w:rPr>
          <w:rFonts w:cs="Arial"/>
          <w:color w:val="000000"/>
          <w:kern w:val="28"/>
        </w:rPr>
        <w:t xml:space="preserve">. The APR documents describe the progress of LEAs and the state toward meeting targets and benchmarks identified in the SPP, and summarizes the statewide </w:t>
      </w:r>
      <w:r w:rsidR="00C90DA4" w:rsidRPr="004D05E9">
        <w:rPr>
          <w:rFonts w:cs="Arial"/>
          <w:color w:val="000000"/>
          <w:kern w:val="28"/>
        </w:rPr>
        <w:t xml:space="preserve">selection for monitoring </w:t>
      </w:r>
      <w:r w:rsidRPr="004D05E9">
        <w:rPr>
          <w:rFonts w:cs="Arial"/>
          <w:color w:val="000000"/>
          <w:kern w:val="28"/>
        </w:rPr>
        <w:t xml:space="preserve">activities associated with each of the target indicators in the SPP. A stakeholder workgroup assisted the SED in establishing and re-benching performance indicators </w:t>
      </w:r>
      <w:r w:rsidR="002B50AA" w:rsidRPr="004D05E9">
        <w:rPr>
          <w:rFonts w:cs="Arial"/>
          <w:color w:val="000000"/>
          <w:kern w:val="28"/>
        </w:rPr>
        <w:t>during</w:t>
      </w:r>
      <w:r w:rsidRPr="004D05E9">
        <w:rPr>
          <w:rFonts w:cs="Arial"/>
          <w:color w:val="000000"/>
          <w:kern w:val="28"/>
        </w:rPr>
        <w:t xml:space="preserve"> meetings held </w:t>
      </w:r>
      <w:r w:rsidR="000B3641" w:rsidRPr="004D05E9">
        <w:rPr>
          <w:rFonts w:cs="Arial"/>
          <w:color w:val="000000"/>
          <w:kern w:val="28"/>
        </w:rPr>
        <w:t>from</w:t>
      </w:r>
      <w:r w:rsidRPr="004D05E9">
        <w:rPr>
          <w:rFonts w:cs="Arial"/>
          <w:color w:val="000000"/>
          <w:kern w:val="28"/>
        </w:rPr>
        <w:t xml:space="preserve"> December 2014 through June 2015. The targets are included in the Executive Summary.</w:t>
      </w:r>
    </w:p>
    <w:p w14:paraId="79F24B4E" w14:textId="233A92AC" w:rsidR="00CA46B9" w:rsidRPr="004D05E9" w:rsidRDefault="00CA46B9" w:rsidP="0062465A">
      <w:pPr>
        <w:widowControl w:val="0"/>
        <w:overflowPunct w:val="0"/>
        <w:autoSpaceDE w:val="0"/>
        <w:autoSpaceDN w:val="0"/>
        <w:adjustRightInd w:val="0"/>
        <w:spacing w:after="240"/>
        <w:rPr>
          <w:rFonts w:eastAsia="Calibri" w:cs="Arial"/>
          <w:color w:val="000000"/>
          <w:kern w:val="28"/>
        </w:rPr>
      </w:pPr>
      <w:r w:rsidRPr="004D05E9">
        <w:rPr>
          <w:rFonts w:cs="Arial"/>
          <w:color w:val="000000"/>
          <w:kern w:val="28"/>
        </w:rPr>
        <w:lastRenderedPageBreak/>
        <w:t xml:space="preserve">Similar to last year, this item contains </w:t>
      </w:r>
      <w:r w:rsidR="002B50AA" w:rsidRPr="004D05E9">
        <w:rPr>
          <w:rFonts w:cs="Arial"/>
          <w:color w:val="000000"/>
          <w:kern w:val="28"/>
        </w:rPr>
        <w:t xml:space="preserve">SPP/APR </w:t>
      </w:r>
      <w:r w:rsidRPr="004D05E9">
        <w:rPr>
          <w:rFonts w:cs="Arial"/>
          <w:color w:val="000000"/>
          <w:kern w:val="28"/>
        </w:rPr>
        <w:t>indicators 1 through 16 that document overall progress as measured by state data. Indicator 17 describes improvement activities of the state in the S</w:t>
      </w:r>
      <w:r w:rsidR="0077665C" w:rsidRPr="004D05E9">
        <w:rPr>
          <w:rFonts w:cs="Arial"/>
          <w:color w:val="000000"/>
          <w:kern w:val="28"/>
        </w:rPr>
        <w:t>SIP</w:t>
      </w:r>
      <w:r w:rsidRPr="004D05E9">
        <w:rPr>
          <w:rFonts w:cs="Arial"/>
          <w:color w:val="000000"/>
          <w:kern w:val="28"/>
        </w:rPr>
        <w:t>, which will be prepared for the March 20</w:t>
      </w:r>
      <w:r w:rsidR="00465092" w:rsidRPr="004D05E9">
        <w:rPr>
          <w:rFonts w:cs="Arial"/>
          <w:color w:val="000000"/>
          <w:kern w:val="28"/>
        </w:rPr>
        <w:t>2</w:t>
      </w:r>
      <w:r w:rsidR="005B27E0" w:rsidRPr="004D05E9">
        <w:rPr>
          <w:rFonts w:cs="Arial"/>
          <w:color w:val="000000"/>
          <w:kern w:val="28"/>
        </w:rPr>
        <w:t>1</w:t>
      </w:r>
      <w:r w:rsidRPr="004D05E9">
        <w:rPr>
          <w:rFonts w:cs="Arial"/>
          <w:color w:val="000000"/>
          <w:kern w:val="28"/>
        </w:rPr>
        <w:t xml:space="preserve"> </w:t>
      </w:r>
      <w:r w:rsidR="008B5DDE" w:rsidRPr="004D05E9">
        <w:rPr>
          <w:rFonts w:cs="Arial"/>
          <w:color w:val="000000"/>
          <w:kern w:val="28"/>
        </w:rPr>
        <w:t xml:space="preserve">SBE </w:t>
      </w:r>
      <w:r w:rsidRPr="004D05E9">
        <w:rPr>
          <w:rFonts w:cs="Arial"/>
          <w:color w:val="000000"/>
          <w:kern w:val="28"/>
        </w:rPr>
        <w:t xml:space="preserve">meeting. </w:t>
      </w:r>
    </w:p>
    <w:p w14:paraId="5F3FD72F" w14:textId="5BED0B9C" w:rsidR="00D8667C" w:rsidRPr="004D05E9" w:rsidRDefault="00867DE0" w:rsidP="000F6A7D">
      <w:pPr>
        <w:spacing w:after="100" w:afterAutospacing="1"/>
        <w:rPr>
          <w:rFonts w:eastAsiaTheme="majorEastAsia" w:cstheme="majorBidi"/>
          <w:b/>
          <w:sz w:val="26"/>
          <w:szCs w:val="26"/>
        </w:rPr>
      </w:pPr>
      <w:r w:rsidRPr="004D05E9">
        <w:rPr>
          <w:rFonts w:cs="Arial"/>
        </w:rPr>
        <w:t>O</w:t>
      </w:r>
      <w:r w:rsidR="00CA46B9" w:rsidRPr="004D05E9">
        <w:rPr>
          <w:rFonts w:cs="Arial"/>
        </w:rPr>
        <w:t>n February 1, 20</w:t>
      </w:r>
      <w:r w:rsidR="00465092" w:rsidRPr="004D05E9">
        <w:rPr>
          <w:rFonts w:cs="Arial"/>
        </w:rPr>
        <w:t>2</w:t>
      </w:r>
      <w:r w:rsidR="005B27E0" w:rsidRPr="004D05E9">
        <w:rPr>
          <w:rFonts w:cs="Arial"/>
        </w:rPr>
        <w:t>1</w:t>
      </w:r>
      <w:r w:rsidR="00CA46B9" w:rsidRPr="004D05E9">
        <w:rPr>
          <w:rFonts w:cs="Arial"/>
        </w:rPr>
        <w:t xml:space="preserve">, </w:t>
      </w:r>
      <w:r w:rsidRPr="004D05E9">
        <w:rPr>
          <w:rFonts w:cs="Arial"/>
        </w:rPr>
        <w:t xml:space="preserve">upon approval of this item by the SBE, </w:t>
      </w:r>
      <w:r w:rsidR="00CA46B9" w:rsidRPr="004D05E9">
        <w:rPr>
          <w:rFonts w:cs="Arial"/>
        </w:rPr>
        <w:t xml:space="preserve">the SPP and APR for indicators 1 through 16 will be submitted to the OSEP. Indicator 17 will be presented to the SBE at </w:t>
      </w:r>
      <w:r w:rsidR="00390D84" w:rsidRPr="004D05E9">
        <w:rPr>
          <w:rFonts w:cs="Arial"/>
        </w:rPr>
        <w:t>the</w:t>
      </w:r>
      <w:r w:rsidR="00CA46B9" w:rsidRPr="004D05E9">
        <w:rPr>
          <w:rFonts w:cs="Arial"/>
        </w:rPr>
        <w:t xml:space="preserve"> March 20</w:t>
      </w:r>
      <w:r w:rsidR="00465092" w:rsidRPr="004D05E9">
        <w:rPr>
          <w:rFonts w:cs="Arial"/>
        </w:rPr>
        <w:t>2</w:t>
      </w:r>
      <w:r w:rsidR="005B27E0" w:rsidRPr="004D05E9">
        <w:rPr>
          <w:rFonts w:cs="Arial"/>
        </w:rPr>
        <w:t>1</w:t>
      </w:r>
      <w:r w:rsidR="00CA46B9" w:rsidRPr="004D05E9">
        <w:rPr>
          <w:rFonts w:cs="Arial"/>
        </w:rPr>
        <w:t xml:space="preserve"> meeting and will be submitted</w:t>
      </w:r>
      <w:r w:rsidRPr="004D05E9">
        <w:rPr>
          <w:rFonts w:cs="Arial"/>
        </w:rPr>
        <w:t>, upon approval,</w:t>
      </w:r>
      <w:r w:rsidR="00CA46B9" w:rsidRPr="004D05E9">
        <w:rPr>
          <w:rFonts w:cs="Arial"/>
        </w:rPr>
        <w:t xml:space="preserve"> to the OSEP on April 1, 20</w:t>
      </w:r>
      <w:r w:rsidR="00465092" w:rsidRPr="004D05E9">
        <w:rPr>
          <w:rFonts w:cs="Arial"/>
        </w:rPr>
        <w:t>2</w:t>
      </w:r>
      <w:r w:rsidR="005B27E0" w:rsidRPr="004D05E9">
        <w:rPr>
          <w:rFonts w:cs="Arial"/>
        </w:rPr>
        <w:t>1</w:t>
      </w:r>
      <w:r w:rsidR="00CA46B9" w:rsidRPr="004D05E9">
        <w:rPr>
          <w:rFonts w:cs="Arial"/>
        </w:rPr>
        <w:t>.</w:t>
      </w:r>
    </w:p>
    <w:p w14:paraId="2F2F1CFD" w14:textId="77777777" w:rsidR="003E4DF7" w:rsidRPr="004D05E9" w:rsidRDefault="003E4DF7" w:rsidP="00724781">
      <w:pPr>
        <w:pStyle w:val="Heading2"/>
        <w:spacing w:before="0" w:after="240"/>
        <w:rPr>
          <w:sz w:val="36"/>
          <w:szCs w:val="36"/>
        </w:rPr>
      </w:pPr>
      <w:bookmarkStart w:id="31" w:name="_Toc523909466"/>
      <w:bookmarkStart w:id="32" w:name="_Toc525654535"/>
      <w:bookmarkStart w:id="33" w:name="_Toc528222736"/>
      <w:bookmarkStart w:id="34" w:name="_Toc26532187"/>
      <w:bookmarkStart w:id="35" w:name="_Toc57198986"/>
      <w:r w:rsidRPr="004D05E9">
        <w:rPr>
          <w:sz w:val="36"/>
          <w:szCs w:val="36"/>
        </w:rPr>
        <w:t>Summary of Previous State Board of Education Discussion and Action</w:t>
      </w:r>
      <w:bookmarkEnd w:id="31"/>
      <w:bookmarkEnd w:id="32"/>
      <w:bookmarkEnd w:id="33"/>
      <w:bookmarkEnd w:id="34"/>
      <w:bookmarkEnd w:id="35"/>
    </w:p>
    <w:p w14:paraId="3D77D380" w14:textId="654C9F35" w:rsidR="003E4DF7" w:rsidRPr="004D05E9" w:rsidRDefault="00CA46B9" w:rsidP="0062465A">
      <w:pPr>
        <w:spacing w:after="240"/>
        <w:rPr>
          <w:b/>
        </w:rPr>
      </w:pPr>
      <w:r w:rsidRPr="004D05E9">
        <w:t>In January 20</w:t>
      </w:r>
      <w:r w:rsidR="005B27E0" w:rsidRPr="004D05E9">
        <w:t>20</w:t>
      </w:r>
      <w:r w:rsidRPr="004D05E9">
        <w:t>, the SBE approved the FFY 201</w:t>
      </w:r>
      <w:r w:rsidR="005B27E0" w:rsidRPr="004D05E9">
        <w:t>8</w:t>
      </w:r>
      <w:r w:rsidRPr="004D05E9">
        <w:t xml:space="preserve"> APR Executive Summary which reported on the progress of the 201</w:t>
      </w:r>
      <w:r w:rsidR="005B27E0" w:rsidRPr="004D05E9">
        <w:t>8</w:t>
      </w:r>
      <w:r w:rsidRPr="004D05E9">
        <w:t>–1</w:t>
      </w:r>
      <w:r w:rsidR="005B27E0" w:rsidRPr="004D05E9">
        <w:t>9</w:t>
      </w:r>
      <w:r w:rsidRPr="004D05E9">
        <w:t xml:space="preserve"> compliance and performance indicators as required by the IDEA.</w:t>
      </w:r>
    </w:p>
    <w:p w14:paraId="38F9BB2E" w14:textId="77777777" w:rsidR="003E4DF7" w:rsidRPr="004D05E9" w:rsidRDefault="003E4DF7" w:rsidP="00724781">
      <w:pPr>
        <w:pStyle w:val="Heading2"/>
        <w:spacing w:before="0" w:after="240"/>
        <w:rPr>
          <w:sz w:val="36"/>
          <w:szCs w:val="36"/>
        </w:rPr>
      </w:pPr>
      <w:bookmarkStart w:id="36" w:name="_Toc523909467"/>
      <w:bookmarkStart w:id="37" w:name="_Toc525654536"/>
      <w:bookmarkStart w:id="38" w:name="_Toc528222737"/>
      <w:bookmarkStart w:id="39" w:name="_Toc26532188"/>
      <w:bookmarkStart w:id="40" w:name="_Toc57198987"/>
      <w:r w:rsidRPr="004D05E9">
        <w:rPr>
          <w:sz w:val="36"/>
          <w:szCs w:val="36"/>
        </w:rPr>
        <w:t>Fiscal Analysis (as appropriate)</w:t>
      </w:r>
      <w:bookmarkEnd w:id="36"/>
      <w:bookmarkEnd w:id="37"/>
      <w:bookmarkEnd w:id="38"/>
      <w:bookmarkEnd w:id="39"/>
      <w:bookmarkEnd w:id="40"/>
    </w:p>
    <w:p w14:paraId="5F8E99D8" w14:textId="77777777" w:rsidR="003E4DF7" w:rsidRPr="004D05E9" w:rsidRDefault="00AC1F54" w:rsidP="0062465A">
      <w:pPr>
        <w:spacing w:after="240"/>
        <w:rPr>
          <w:b/>
        </w:rPr>
      </w:pPr>
      <w:r w:rsidRPr="004D05E9">
        <w:t>Absent approval</w:t>
      </w:r>
      <w:r w:rsidR="00902D7E" w:rsidRPr="004D05E9">
        <w:t>,</w:t>
      </w:r>
      <w:r w:rsidR="00C90DA4" w:rsidRPr="004D05E9">
        <w:t xml:space="preserve"> California’s approximately </w:t>
      </w:r>
      <w:r w:rsidR="00522FDC" w:rsidRPr="004D05E9">
        <w:t>$</w:t>
      </w:r>
      <w:r w:rsidR="00C90DA4" w:rsidRPr="004D05E9">
        <w:t xml:space="preserve">1.2 </w:t>
      </w:r>
      <w:r w:rsidR="00BD0001" w:rsidRPr="004D05E9">
        <w:t>b</w:t>
      </w:r>
      <w:r w:rsidR="00C90DA4" w:rsidRPr="004D05E9">
        <w:t xml:space="preserve">illion </w:t>
      </w:r>
      <w:r w:rsidR="00BD0001" w:rsidRPr="004D05E9">
        <w:t>f</w:t>
      </w:r>
      <w:r w:rsidR="00C90DA4" w:rsidRPr="004D05E9">
        <w:t>ederal</w:t>
      </w:r>
      <w:r w:rsidRPr="004D05E9">
        <w:t xml:space="preserve"> </w:t>
      </w:r>
      <w:r w:rsidR="001F58E1" w:rsidRPr="004D05E9">
        <w:t xml:space="preserve">IDEA </w:t>
      </w:r>
      <w:r w:rsidR="00724781" w:rsidRPr="004D05E9">
        <w:t>funding could be jeopardized.</w:t>
      </w:r>
    </w:p>
    <w:p w14:paraId="7CB0CDE7" w14:textId="77777777" w:rsidR="00406F50" w:rsidRPr="004D05E9" w:rsidRDefault="00406F50" w:rsidP="00724781">
      <w:pPr>
        <w:pStyle w:val="Heading2"/>
        <w:spacing w:before="0" w:after="240"/>
        <w:rPr>
          <w:sz w:val="36"/>
          <w:szCs w:val="36"/>
        </w:rPr>
      </w:pPr>
      <w:bookmarkStart w:id="41" w:name="_Toc523909468"/>
      <w:bookmarkStart w:id="42" w:name="_Toc525654537"/>
      <w:bookmarkStart w:id="43" w:name="_Toc528222738"/>
      <w:bookmarkStart w:id="44" w:name="_Toc26532189"/>
      <w:bookmarkStart w:id="45" w:name="_Toc57198988"/>
      <w:r w:rsidRPr="004D05E9">
        <w:rPr>
          <w:sz w:val="36"/>
          <w:szCs w:val="36"/>
        </w:rPr>
        <w:t>Attachment(s)</w:t>
      </w:r>
      <w:bookmarkEnd w:id="41"/>
      <w:bookmarkEnd w:id="42"/>
      <w:bookmarkEnd w:id="43"/>
      <w:bookmarkEnd w:id="44"/>
      <w:bookmarkEnd w:id="45"/>
    </w:p>
    <w:p w14:paraId="25D82057" w14:textId="4B57E6C8" w:rsidR="00C95A0E" w:rsidRPr="004D05E9" w:rsidRDefault="00C95A0E" w:rsidP="00C95A0E">
      <w:pPr>
        <w:ind w:left="1530" w:hanging="1530"/>
        <w:sectPr w:rsidR="00C95A0E" w:rsidRPr="004D05E9" w:rsidSect="00407E9B">
          <w:headerReference w:type="default" r:id="rId15"/>
          <w:type w:val="continuous"/>
          <w:pgSz w:w="12240" w:h="15840"/>
          <w:pgMar w:top="720" w:right="1440" w:bottom="1440" w:left="1440" w:header="720" w:footer="720" w:gutter="0"/>
          <w:cols w:space="720"/>
          <w:docGrid w:linePitch="360"/>
        </w:sectPr>
      </w:pPr>
      <w:r w:rsidRPr="004D05E9">
        <w:t>Attachment 1: California Department of Education Special Education Division Individuals with Disabilities Education Act of 2004 State Annual Performance Report Executive Summary Federal Fiscal Year 201</w:t>
      </w:r>
      <w:r w:rsidR="005B27E0" w:rsidRPr="004D05E9">
        <w:t>9</w:t>
      </w:r>
      <w:r w:rsidRPr="004D05E9">
        <w:t xml:space="preserve"> (Program Year 201</w:t>
      </w:r>
      <w:r w:rsidR="005B27E0" w:rsidRPr="004D05E9">
        <w:t>9</w:t>
      </w:r>
      <w:r w:rsidRPr="004D05E9">
        <w:t>–</w:t>
      </w:r>
      <w:r w:rsidR="005B27E0" w:rsidRPr="004D05E9">
        <w:t>20</w:t>
      </w:r>
      <w:r w:rsidRPr="004D05E9">
        <w:t>) (</w:t>
      </w:r>
      <w:r w:rsidR="00DC059D" w:rsidRPr="004D05E9">
        <w:t>4</w:t>
      </w:r>
      <w:r w:rsidR="0058647A" w:rsidRPr="004D05E9">
        <w:t>0</w:t>
      </w:r>
      <w:r w:rsidR="00DC059D" w:rsidRPr="004D05E9">
        <w:t xml:space="preserve"> </w:t>
      </w:r>
      <w:r w:rsidRPr="004D05E9">
        <w:t xml:space="preserve">pages). </w:t>
      </w:r>
    </w:p>
    <w:p w14:paraId="6F5D622C" w14:textId="77777777" w:rsidR="00C95A0E" w:rsidRPr="004D05E9" w:rsidRDefault="00C95A0E" w:rsidP="00046ABE"/>
    <w:p w14:paraId="6C8C3781" w14:textId="77777777" w:rsidR="00CA46B9" w:rsidRPr="004D05E9" w:rsidRDefault="00C81D00" w:rsidP="00C81D00">
      <w:pPr>
        <w:pStyle w:val="Heading1"/>
        <w:spacing w:line="720" w:lineRule="auto"/>
        <w:jc w:val="center"/>
      </w:pPr>
      <w:bookmarkStart w:id="46" w:name="_Toc523909469"/>
      <w:bookmarkStart w:id="47" w:name="_Toc525654538"/>
      <w:bookmarkStart w:id="48" w:name="_Toc26532190"/>
      <w:bookmarkStart w:id="49" w:name="_Toc57198989"/>
      <w:r w:rsidRPr="004D05E9">
        <w:t>Attachment 1</w:t>
      </w:r>
      <w:bookmarkEnd w:id="46"/>
      <w:bookmarkEnd w:id="47"/>
      <w:bookmarkEnd w:id="48"/>
      <w:bookmarkEnd w:id="49"/>
    </w:p>
    <w:p w14:paraId="5A3A4413" w14:textId="77777777" w:rsidR="00C81D00" w:rsidRPr="004D05E9" w:rsidRDefault="00C81D00" w:rsidP="00C81D00">
      <w:pPr>
        <w:spacing w:line="720" w:lineRule="auto"/>
        <w:jc w:val="center"/>
      </w:pPr>
      <w:r w:rsidRPr="004D05E9">
        <w:t>Cal</w:t>
      </w:r>
      <w:r w:rsidR="00724781" w:rsidRPr="004D05E9">
        <w:t>ifornia Department of Education</w:t>
      </w:r>
    </w:p>
    <w:p w14:paraId="0852829E" w14:textId="77777777" w:rsidR="00C81D00" w:rsidRPr="004D05E9" w:rsidRDefault="00C81D00" w:rsidP="00C81D00">
      <w:pPr>
        <w:spacing w:line="720" w:lineRule="auto"/>
        <w:jc w:val="center"/>
      </w:pPr>
      <w:r w:rsidRPr="004D05E9">
        <w:t>Special Education Division</w:t>
      </w:r>
    </w:p>
    <w:p w14:paraId="6069A896" w14:textId="77777777" w:rsidR="00C81D00" w:rsidRPr="004D05E9" w:rsidRDefault="00C81D00" w:rsidP="00C81D00">
      <w:pPr>
        <w:spacing w:line="720" w:lineRule="auto"/>
        <w:jc w:val="center"/>
      </w:pPr>
      <w:r w:rsidRPr="004D05E9">
        <w:t>Individuals with Disabilities Education Act of 2004</w:t>
      </w:r>
    </w:p>
    <w:p w14:paraId="50755D61" w14:textId="77777777" w:rsidR="00C81D00" w:rsidRPr="004D05E9" w:rsidRDefault="00C81D00" w:rsidP="00C81D00">
      <w:pPr>
        <w:spacing w:line="720" w:lineRule="auto"/>
        <w:jc w:val="center"/>
      </w:pPr>
      <w:r w:rsidRPr="004D05E9">
        <w:t>State Annual Performance Report</w:t>
      </w:r>
    </w:p>
    <w:p w14:paraId="418C38BE" w14:textId="77777777" w:rsidR="00C81D00" w:rsidRPr="004D05E9" w:rsidRDefault="00C81D00" w:rsidP="00C81D00">
      <w:pPr>
        <w:spacing w:line="720" w:lineRule="auto"/>
        <w:jc w:val="center"/>
      </w:pPr>
      <w:r w:rsidRPr="004D05E9">
        <w:t>Executive Summary</w:t>
      </w:r>
    </w:p>
    <w:p w14:paraId="3B699715" w14:textId="740E5944" w:rsidR="00C81D00" w:rsidRPr="004D05E9" w:rsidRDefault="00C81D00" w:rsidP="00C81D00">
      <w:pPr>
        <w:spacing w:after="240" w:line="720" w:lineRule="auto"/>
        <w:jc w:val="center"/>
      </w:pPr>
      <w:r w:rsidRPr="004D05E9">
        <w:t>Federal Fiscal Year 201</w:t>
      </w:r>
      <w:r w:rsidR="005B27E0" w:rsidRPr="004D05E9">
        <w:t>9</w:t>
      </w:r>
      <w:r w:rsidRPr="004D05E9">
        <w:t xml:space="preserve"> (Program Year 201</w:t>
      </w:r>
      <w:r w:rsidR="005B27E0" w:rsidRPr="004D05E9">
        <w:t>9</w:t>
      </w:r>
      <w:r w:rsidRPr="004D05E9">
        <w:t>–</w:t>
      </w:r>
      <w:r w:rsidR="005B27E0" w:rsidRPr="004D05E9">
        <w:t>20</w:t>
      </w:r>
      <w:r w:rsidRPr="004D05E9">
        <w:t>)</w:t>
      </w:r>
    </w:p>
    <w:p w14:paraId="5CD5D419" w14:textId="7F9E3F14" w:rsidR="00C21F77" w:rsidRPr="004D05E9" w:rsidRDefault="00902D7E" w:rsidP="00C21F77">
      <w:pPr>
        <w:spacing w:before="5280" w:line="720" w:lineRule="auto"/>
        <w:jc w:val="center"/>
      </w:pPr>
      <w:r w:rsidRPr="004D05E9">
        <w:t>January 20</w:t>
      </w:r>
      <w:r w:rsidR="00A93420" w:rsidRPr="004D05E9">
        <w:t>2</w:t>
      </w:r>
      <w:r w:rsidR="005B27E0" w:rsidRPr="004D05E9">
        <w:t>1</w:t>
      </w:r>
      <w:r w:rsidR="00ED337D" w:rsidRPr="004D05E9">
        <w:br w:type="page"/>
      </w:r>
    </w:p>
    <w:sdt>
      <w:sdtPr>
        <w:rPr>
          <w:rFonts w:ascii="Arial" w:eastAsia="Times New Roman" w:hAnsi="Arial" w:cs="Arial"/>
          <w:color w:val="auto"/>
          <w:sz w:val="24"/>
          <w:szCs w:val="24"/>
          <w:shd w:val="clear" w:color="auto" w:fill="E6E6E6"/>
        </w:rPr>
        <w:id w:val="1686324238"/>
        <w:docPartObj>
          <w:docPartGallery w:val="Table of Contents"/>
          <w:docPartUnique/>
        </w:docPartObj>
      </w:sdtPr>
      <w:sdtEndPr>
        <w:rPr>
          <w:b/>
          <w:bCs/>
          <w:noProof/>
        </w:rPr>
      </w:sdtEndPr>
      <w:sdtContent>
        <w:p w14:paraId="1236AA43" w14:textId="77777777" w:rsidR="00DD5B22" w:rsidRPr="004D05E9" w:rsidRDefault="00DD5B22" w:rsidP="00BD0001">
          <w:pPr>
            <w:pStyle w:val="TOCHeading"/>
            <w:jc w:val="center"/>
            <w:rPr>
              <w:rFonts w:ascii="Arial" w:hAnsi="Arial" w:cs="Arial"/>
              <w:b/>
              <w:color w:val="auto"/>
              <w:sz w:val="24"/>
              <w:szCs w:val="24"/>
            </w:rPr>
          </w:pPr>
          <w:r w:rsidRPr="004D05E9">
            <w:rPr>
              <w:rFonts w:ascii="Arial" w:hAnsi="Arial" w:cs="Arial"/>
              <w:b/>
              <w:color w:val="auto"/>
              <w:sz w:val="24"/>
              <w:szCs w:val="24"/>
            </w:rPr>
            <w:t>Table of Contents</w:t>
          </w:r>
        </w:p>
        <w:p w14:paraId="562E8463" w14:textId="77777777" w:rsidR="00BD0001" w:rsidRPr="006559C8" w:rsidRDefault="00BD0001" w:rsidP="00BD0001">
          <w:pPr>
            <w:rPr>
              <w:rFonts w:cs="Arial"/>
            </w:rPr>
          </w:pPr>
        </w:p>
        <w:p w14:paraId="30D1E7EE" w14:textId="65A9513B" w:rsidR="00F9745C" w:rsidRPr="006559C8" w:rsidRDefault="00DD5B22">
          <w:pPr>
            <w:pStyle w:val="TOC1"/>
            <w:tabs>
              <w:tab w:val="right" w:leader="dot" w:pos="9350"/>
            </w:tabs>
            <w:rPr>
              <w:rFonts w:eastAsiaTheme="minorEastAsia" w:cs="Arial"/>
              <w:noProof/>
            </w:rPr>
          </w:pPr>
          <w:r w:rsidRPr="006559C8">
            <w:rPr>
              <w:rFonts w:cs="Arial"/>
              <w:color w:val="2B579A"/>
              <w:shd w:val="clear" w:color="auto" w:fill="E6E6E6"/>
            </w:rPr>
            <w:fldChar w:fldCharType="begin"/>
          </w:r>
          <w:r w:rsidRPr="006559C8">
            <w:rPr>
              <w:rFonts w:cs="Arial"/>
            </w:rPr>
            <w:instrText xml:space="preserve"> TOC \o "1-3" \h \z \u </w:instrText>
          </w:r>
          <w:r w:rsidRPr="006559C8">
            <w:rPr>
              <w:rFonts w:cs="Arial"/>
              <w:color w:val="2B579A"/>
              <w:shd w:val="clear" w:color="auto" w:fill="E6E6E6"/>
            </w:rPr>
            <w:fldChar w:fldCharType="separate"/>
          </w:r>
          <w:hyperlink w:anchor="_Toc57198980" w:history="1">
            <w:r w:rsidR="00F9745C" w:rsidRPr="006559C8">
              <w:rPr>
                <w:rStyle w:val="Hyperlink"/>
                <w:rFonts w:cs="Arial"/>
                <w:noProof/>
              </w:rPr>
              <w:t>California State Board of Education January 2021 Agenda Item __</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_Toc57198980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1</w:t>
            </w:r>
            <w:r w:rsidR="00F9745C" w:rsidRPr="006559C8">
              <w:rPr>
                <w:rFonts w:cs="Arial"/>
                <w:noProof/>
                <w:webHidden/>
              </w:rPr>
              <w:fldChar w:fldCharType="end"/>
            </w:r>
          </w:hyperlink>
        </w:p>
        <w:p w14:paraId="7FBB5140" w14:textId="479F1D69" w:rsidR="00F9745C" w:rsidRPr="006559C8" w:rsidRDefault="0077175F">
          <w:pPr>
            <w:pStyle w:val="TOC2"/>
            <w:tabs>
              <w:tab w:val="right" w:leader="dot" w:pos="9350"/>
            </w:tabs>
            <w:rPr>
              <w:rFonts w:eastAsiaTheme="minorEastAsia" w:cs="Arial"/>
              <w:noProof/>
            </w:rPr>
          </w:pPr>
          <w:hyperlink w:anchor="_Toc57198981" w:history="1">
            <w:r w:rsidR="00F9745C" w:rsidRPr="006559C8">
              <w:rPr>
                <w:rStyle w:val="Hyperlink"/>
                <w:rFonts w:cs="Arial"/>
                <w:noProof/>
              </w:rPr>
              <w:t>Subject</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_Toc57198981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1</w:t>
            </w:r>
            <w:r w:rsidR="00F9745C" w:rsidRPr="006559C8">
              <w:rPr>
                <w:rFonts w:cs="Arial"/>
                <w:noProof/>
                <w:webHidden/>
              </w:rPr>
              <w:fldChar w:fldCharType="end"/>
            </w:r>
          </w:hyperlink>
        </w:p>
        <w:p w14:paraId="50290281" w14:textId="38962391" w:rsidR="00F9745C" w:rsidRPr="006559C8" w:rsidRDefault="0077175F">
          <w:pPr>
            <w:pStyle w:val="TOC2"/>
            <w:tabs>
              <w:tab w:val="right" w:leader="dot" w:pos="9350"/>
            </w:tabs>
            <w:rPr>
              <w:rFonts w:eastAsiaTheme="minorEastAsia" w:cs="Arial"/>
              <w:noProof/>
            </w:rPr>
          </w:pPr>
          <w:hyperlink w:anchor="_Toc57198982" w:history="1">
            <w:r w:rsidR="00F9745C" w:rsidRPr="006559C8">
              <w:rPr>
                <w:rStyle w:val="Hyperlink"/>
                <w:rFonts w:cs="Arial"/>
                <w:noProof/>
              </w:rPr>
              <w:t>Type of Action</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_Toc57198982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1</w:t>
            </w:r>
            <w:r w:rsidR="00F9745C" w:rsidRPr="006559C8">
              <w:rPr>
                <w:rFonts w:cs="Arial"/>
                <w:noProof/>
                <w:webHidden/>
              </w:rPr>
              <w:fldChar w:fldCharType="end"/>
            </w:r>
          </w:hyperlink>
        </w:p>
        <w:p w14:paraId="5051EB40" w14:textId="29AB63F2" w:rsidR="00F9745C" w:rsidRPr="006559C8" w:rsidRDefault="0077175F">
          <w:pPr>
            <w:pStyle w:val="TOC2"/>
            <w:tabs>
              <w:tab w:val="right" w:leader="dot" w:pos="9350"/>
            </w:tabs>
            <w:rPr>
              <w:rFonts w:eastAsiaTheme="minorEastAsia" w:cs="Arial"/>
              <w:noProof/>
            </w:rPr>
          </w:pPr>
          <w:hyperlink w:anchor="_Toc57198983" w:history="1">
            <w:r w:rsidR="00F9745C" w:rsidRPr="006559C8">
              <w:rPr>
                <w:rStyle w:val="Hyperlink"/>
                <w:rFonts w:cs="Arial"/>
                <w:noProof/>
              </w:rPr>
              <w:t>Summary of the Issue(s)</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_Toc57198983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1</w:t>
            </w:r>
            <w:r w:rsidR="00F9745C" w:rsidRPr="006559C8">
              <w:rPr>
                <w:rFonts w:cs="Arial"/>
                <w:noProof/>
                <w:webHidden/>
              </w:rPr>
              <w:fldChar w:fldCharType="end"/>
            </w:r>
          </w:hyperlink>
        </w:p>
        <w:p w14:paraId="71BACEAA" w14:textId="0C729CFF" w:rsidR="00F9745C" w:rsidRPr="006559C8" w:rsidRDefault="0077175F">
          <w:pPr>
            <w:pStyle w:val="TOC2"/>
            <w:tabs>
              <w:tab w:val="right" w:leader="dot" w:pos="9350"/>
            </w:tabs>
            <w:rPr>
              <w:rFonts w:eastAsiaTheme="minorEastAsia" w:cs="Arial"/>
              <w:noProof/>
            </w:rPr>
          </w:pPr>
          <w:hyperlink w:anchor="_Toc57198984" w:history="1">
            <w:r w:rsidR="00F9745C" w:rsidRPr="006559C8">
              <w:rPr>
                <w:rStyle w:val="Hyperlink"/>
                <w:rFonts w:cs="Arial"/>
                <w:noProof/>
              </w:rPr>
              <w:t>Recommendation</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_Toc57198984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2</w:t>
            </w:r>
            <w:r w:rsidR="00F9745C" w:rsidRPr="006559C8">
              <w:rPr>
                <w:rFonts w:cs="Arial"/>
                <w:noProof/>
                <w:webHidden/>
              </w:rPr>
              <w:fldChar w:fldCharType="end"/>
            </w:r>
          </w:hyperlink>
        </w:p>
        <w:p w14:paraId="2697367D" w14:textId="6D6EDD5D" w:rsidR="00F9745C" w:rsidRPr="006559C8" w:rsidRDefault="0077175F">
          <w:pPr>
            <w:pStyle w:val="TOC2"/>
            <w:tabs>
              <w:tab w:val="right" w:leader="dot" w:pos="9350"/>
            </w:tabs>
            <w:rPr>
              <w:rFonts w:eastAsiaTheme="minorEastAsia" w:cs="Arial"/>
              <w:noProof/>
            </w:rPr>
          </w:pPr>
          <w:hyperlink w:anchor="_Toc57198985" w:history="1">
            <w:r w:rsidR="00F9745C" w:rsidRPr="006559C8">
              <w:rPr>
                <w:rStyle w:val="Hyperlink"/>
                <w:rFonts w:cs="Arial"/>
                <w:noProof/>
              </w:rPr>
              <w:t>Brief History of Key Issues</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_Toc57198985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2</w:t>
            </w:r>
            <w:r w:rsidR="00F9745C" w:rsidRPr="006559C8">
              <w:rPr>
                <w:rFonts w:cs="Arial"/>
                <w:noProof/>
                <w:webHidden/>
              </w:rPr>
              <w:fldChar w:fldCharType="end"/>
            </w:r>
          </w:hyperlink>
        </w:p>
        <w:p w14:paraId="12120E16" w14:textId="5EE7A91C" w:rsidR="00F9745C" w:rsidRPr="006559C8" w:rsidRDefault="0077175F">
          <w:pPr>
            <w:pStyle w:val="TOC2"/>
            <w:tabs>
              <w:tab w:val="right" w:leader="dot" w:pos="9350"/>
            </w:tabs>
            <w:rPr>
              <w:rFonts w:eastAsiaTheme="minorEastAsia" w:cs="Arial"/>
              <w:noProof/>
            </w:rPr>
          </w:pPr>
          <w:hyperlink w:anchor="_Toc57198986" w:history="1">
            <w:r w:rsidR="00F9745C" w:rsidRPr="006559C8">
              <w:rPr>
                <w:rStyle w:val="Hyperlink"/>
                <w:rFonts w:cs="Arial"/>
                <w:noProof/>
              </w:rPr>
              <w:t>Summary of Previous State Board of Education Discussion and Action</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_Toc57198986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3</w:t>
            </w:r>
            <w:r w:rsidR="00F9745C" w:rsidRPr="006559C8">
              <w:rPr>
                <w:rFonts w:cs="Arial"/>
                <w:noProof/>
                <w:webHidden/>
              </w:rPr>
              <w:fldChar w:fldCharType="end"/>
            </w:r>
          </w:hyperlink>
        </w:p>
        <w:p w14:paraId="59B33011" w14:textId="360A6297" w:rsidR="00F9745C" w:rsidRPr="006559C8" w:rsidRDefault="0077175F">
          <w:pPr>
            <w:pStyle w:val="TOC2"/>
            <w:tabs>
              <w:tab w:val="right" w:leader="dot" w:pos="9350"/>
            </w:tabs>
            <w:rPr>
              <w:rFonts w:eastAsiaTheme="minorEastAsia" w:cs="Arial"/>
              <w:noProof/>
            </w:rPr>
          </w:pPr>
          <w:hyperlink w:anchor="_Toc57198987" w:history="1">
            <w:r w:rsidR="00F9745C" w:rsidRPr="006559C8">
              <w:rPr>
                <w:rStyle w:val="Hyperlink"/>
                <w:rFonts w:cs="Arial"/>
                <w:noProof/>
              </w:rPr>
              <w:t>Fiscal Analysis (as appropriate)</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_Toc57198987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3</w:t>
            </w:r>
            <w:r w:rsidR="00F9745C" w:rsidRPr="006559C8">
              <w:rPr>
                <w:rFonts w:cs="Arial"/>
                <w:noProof/>
                <w:webHidden/>
              </w:rPr>
              <w:fldChar w:fldCharType="end"/>
            </w:r>
          </w:hyperlink>
        </w:p>
        <w:p w14:paraId="4A47E05B" w14:textId="12BC374A" w:rsidR="00F9745C" w:rsidRPr="006559C8" w:rsidRDefault="0077175F">
          <w:pPr>
            <w:pStyle w:val="TOC2"/>
            <w:tabs>
              <w:tab w:val="right" w:leader="dot" w:pos="9350"/>
            </w:tabs>
            <w:rPr>
              <w:rFonts w:eastAsiaTheme="minorEastAsia" w:cs="Arial"/>
              <w:noProof/>
            </w:rPr>
          </w:pPr>
          <w:hyperlink w:anchor="_Toc57198988" w:history="1">
            <w:r w:rsidR="00F9745C" w:rsidRPr="006559C8">
              <w:rPr>
                <w:rStyle w:val="Hyperlink"/>
                <w:rFonts w:cs="Arial"/>
                <w:noProof/>
              </w:rPr>
              <w:t>Attachment(s)</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_Toc57198988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3</w:t>
            </w:r>
            <w:r w:rsidR="00F9745C" w:rsidRPr="006559C8">
              <w:rPr>
                <w:rFonts w:cs="Arial"/>
                <w:noProof/>
                <w:webHidden/>
              </w:rPr>
              <w:fldChar w:fldCharType="end"/>
            </w:r>
          </w:hyperlink>
        </w:p>
        <w:p w14:paraId="4276D747" w14:textId="12C5F92A" w:rsidR="00F9745C" w:rsidRPr="006559C8" w:rsidRDefault="0077175F">
          <w:pPr>
            <w:pStyle w:val="TOC1"/>
            <w:tabs>
              <w:tab w:val="right" w:leader="dot" w:pos="9350"/>
            </w:tabs>
            <w:rPr>
              <w:rFonts w:eastAsiaTheme="minorEastAsia" w:cs="Arial"/>
              <w:noProof/>
            </w:rPr>
          </w:pPr>
          <w:hyperlink w:anchor="_Toc57198989" w:history="1">
            <w:r w:rsidR="00F9745C" w:rsidRPr="006559C8">
              <w:rPr>
                <w:rStyle w:val="Hyperlink"/>
                <w:rFonts w:cs="Arial"/>
                <w:noProof/>
              </w:rPr>
              <w:t>Attachment 1</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_Toc57198989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1</w:t>
            </w:r>
            <w:r w:rsidR="00F9745C" w:rsidRPr="006559C8">
              <w:rPr>
                <w:rFonts w:cs="Arial"/>
                <w:noProof/>
                <w:webHidden/>
              </w:rPr>
              <w:fldChar w:fldCharType="end"/>
            </w:r>
          </w:hyperlink>
        </w:p>
        <w:p w14:paraId="642D9EED" w14:textId="39EEC9B8" w:rsidR="00F9745C" w:rsidRPr="006559C8" w:rsidRDefault="0077175F">
          <w:pPr>
            <w:pStyle w:val="TOC2"/>
            <w:tabs>
              <w:tab w:val="right" w:leader="dot" w:pos="9350"/>
            </w:tabs>
            <w:rPr>
              <w:rFonts w:eastAsiaTheme="minorEastAsia" w:cs="Arial"/>
              <w:noProof/>
            </w:rPr>
          </w:pPr>
          <w:hyperlink w:anchor="_Toc57198990" w:history="1">
            <w:r w:rsidR="00F9745C" w:rsidRPr="006559C8">
              <w:rPr>
                <w:rStyle w:val="Hyperlink"/>
                <w:rFonts w:cs="Arial"/>
                <w:noProof/>
              </w:rPr>
              <w:t>Special Education in California</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_Toc57198990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7</w:t>
            </w:r>
            <w:r w:rsidR="00F9745C" w:rsidRPr="006559C8">
              <w:rPr>
                <w:rFonts w:cs="Arial"/>
                <w:noProof/>
                <w:webHidden/>
              </w:rPr>
              <w:fldChar w:fldCharType="end"/>
            </w:r>
          </w:hyperlink>
        </w:p>
        <w:p w14:paraId="4536C5A9" w14:textId="0BB871E6" w:rsidR="00F9745C" w:rsidRPr="006559C8" w:rsidRDefault="0077175F">
          <w:pPr>
            <w:pStyle w:val="TOC2"/>
            <w:tabs>
              <w:tab w:val="right" w:leader="dot" w:pos="9350"/>
            </w:tabs>
            <w:rPr>
              <w:rFonts w:eastAsiaTheme="minorEastAsia" w:cs="Arial"/>
              <w:noProof/>
            </w:rPr>
          </w:pPr>
          <w:hyperlink w:anchor="_Toc57198991" w:history="1">
            <w:r w:rsidR="00F9745C" w:rsidRPr="006559C8">
              <w:rPr>
                <w:rStyle w:val="Hyperlink"/>
                <w:rFonts w:cs="Arial"/>
                <w:noProof/>
              </w:rPr>
              <w:t>Accountability and Data Collection</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_Toc57198991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7</w:t>
            </w:r>
            <w:r w:rsidR="00F9745C" w:rsidRPr="006559C8">
              <w:rPr>
                <w:rFonts w:cs="Arial"/>
                <w:noProof/>
                <w:webHidden/>
              </w:rPr>
              <w:fldChar w:fldCharType="end"/>
            </w:r>
          </w:hyperlink>
        </w:p>
        <w:p w14:paraId="6149BCE2" w14:textId="63D162A2" w:rsidR="00F9745C" w:rsidRPr="006559C8" w:rsidRDefault="0077175F">
          <w:pPr>
            <w:pStyle w:val="TOC3"/>
            <w:tabs>
              <w:tab w:val="right" w:leader="dot" w:pos="9350"/>
            </w:tabs>
            <w:rPr>
              <w:rFonts w:ascii="Arial" w:hAnsi="Arial" w:cs="Arial"/>
              <w:noProof/>
              <w:sz w:val="24"/>
              <w:szCs w:val="24"/>
            </w:rPr>
          </w:pPr>
          <w:hyperlink w:anchor="_Toc57198992" w:history="1">
            <w:r w:rsidR="00F9745C" w:rsidRPr="006559C8">
              <w:rPr>
                <w:rStyle w:val="Hyperlink"/>
                <w:rFonts w:ascii="Arial" w:hAnsi="Arial" w:cs="Arial"/>
                <w:noProof/>
                <w:sz w:val="24"/>
                <w:szCs w:val="24"/>
              </w:rPr>
              <w:t>Table 1: California State Indicators</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_Toc57198992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8</w:t>
            </w:r>
            <w:r w:rsidR="00F9745C" w:rsidRPr="006559C8">
              <w:rPr>
                <w:rFonts w:ascii="Arial" w:hAnsi="Arial" w:cs="Arial"/>
                <w:noProof/>
                <w:webHidden/>
                <w:sz w:val="24"/>
                <w:szCs w:val="24"/>
              </w:rPr>
              <w:fldChar w:fldCharType="end"/>
            </w:r>
          </w:hyperlink>
        </w:p>
        <w:p w14:paraId="64E017CB" w14:textId="04DBF4D8" w:rsidR="00F9745C" w:rsidRPr="006559C8" w:rsidRDefault="0077175F">
          <w:pPr>
            <w:pStyle w:val="TOC2"/>
            <w:tabs>
              <w:tab w:val="right" w:leader="dot" w:pos="9350"/>
            </w:tabs>
            <w:rPr>
              <w:rFonts w:eastAsiaTheme="minorEastAsia" w:cs="Arial"/>
              <w:noProof/>
            </w:rPr>
          </w:pPr>
          <w:hyperlink w:anchor="_Toc57198993" w:history="1">
            <w:r w:rsidR="00F9745C" w:rsidRPr="006559C8">
              <w:rPr>
                <w:rStyle w:val="Hyperlink"/>
                <w:rFonts w:cs="Arial"/>
                <w:noProof/>
              </w:rPr>
              <w:t>Overview of Population and Services</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_Toc57198993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9</w:t>
            </w:r>
            <w:r w:rsidR="00F9745C" w:rsidRPr="006559C8">
              <w:rPr>
                <w:rFonts w:cs="Arial"/>
                <w:noProof/>
                <w:webHidden/>
              </w:rPr>
              <w:fldChar w:fldCharType="end"/>
            </w:r>
          </w:hyperlink>
        </w:p>
        <w:p w14:paraId="03FDC3F5" w14:textId="23A51A5C" w:rsidR="00F9745C" w:rsidRPr="006559C8" w:rsidRDefault="0077175F">
          <w:pPr>
            <w:pStyle w:val="TOC3"/>
            <w:tabs>
              <w:tab w:val="right" w:leader="dot" w:pos="9350"/>
            </w:tabs>
            <w:rPr>
              <w:rFonts w:ascii="Arial" w:hAnsi="Arial" w:cs="Arial"/>
              <w:noProof/>
              <w:sz w:val="24"/>
              <w:szCs w:val="24"/>
            </w:rPr>
          </w:pPr>
          <w:hyperlink w:anchor="_Toc57198994" w:history="1">
            <w:r w:rsidR="00F9745C" w:rsidRPr="006559C8">
              <w:rPr>
                <w:rStyle w:val="Hyperlink"/>
                <w:rFonts w:ascii="Arial" w:hAnsi="Arial" w:cs="Arial"/>
                <w:noProof/>
                <w:sz w:val="24"/>
                <w:szCs w:val="24"/>
              </w:rPr>
              <w:t>Table 2: Enrollment of Students with Disabilities by Disability Type</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_Toc57198994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9</w:t>
            </w:r>
            <w:r w:rsidR="00F9745C" w:rsidRPr="006559C8">
              <w:rPr>
                <w:rFonts w:ascii="Arial" w:hAnsi="Arial" w:cs="Arial"/>
                <w:noProof/>
                <w:webHidden/>
                <w:sz w:val="24"/>
                <w:szCs w:val="24"/>
              </w:rPr>
              <w:fldChar w:fldCharType="end"/>
            </w:r>
          </w:hyperlink>
        </w:p>
        <w:p w14:paraId="39532F1F" w14:textId="4E54CF44" w:rsidR="00F9745C" w:rsidRPr="006559C8" w:rsidRDefault="0077175F">
          <w:pPr>
            <w:pStyle w:val="TOC3"/>
            <w:tabs>
              <w:tab w:val="right" w:leader="dot" w:pos="9350"/>
            </w:tabs>
            <w:rPr>
              <w:rFonts w:ascii="Arial" w:hAnsi="Arial" w:cs="Arial"/>
              <w:noProof/>
              <w:sz w:val="24"/>
              <w:szCs w:val="24"/>
            </w:rPr>
          </w:pPr>
          <w:hyperlink w:anchor="_Toc57198995" w:history="1">
            <w:r w:rsidR="00F9745C" w:rsidRPr="006559C8">
              <w:rPr>
                <w:rStyle w:val="Hyperlink"/>
                <w:rFonts w:ascii="Arial" w:hAnsi="Arial" w:cs="Arial"/>
                <w:noProof/>
                <w:sz w:val="24"/>
                <w:szCs w:val="24"/>
              </w:rPr>
              <w:t>Table 3: Services Provided to Students with Disabilities</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_Toc57198995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10</w:t>
            </w:r>
            <w:r w:rsidR="00F9745C" w:rsidRPr="006559C8">
              <w:rPr>
                <w:rFonts w:ascii="Arial" w:hAnsi="Arial" w:cs="Arial"/>
                <w:noProof/>
                <w:webHidden/>
                <w:sz w:val="24"/>
                <w:szCs w:val="24"/>
              </w:rPr>
              <w:fldChar w:fldCharType="end"/>
            </w:r>
          </w:hyperlink>
        </w:p>
        <w:p w14:paraId="47439D0A" w14:textId="72D461FF" w:rsidR="00F9745C" w:rsidRPr="006559C8" w:rsidRDefault="0077175F">
          <w:pPr>
            <w:pStyle w:val="TOC2"/>
            <w:tabs>
              <w:tab w:val="right" w:leader="dot" w:pos="9350"/>
            </w:tabs>
            <w:rPr>
              <w:rFonts w:eastAsiaTheme="minorEastAsia" w:cs="Arial"/>
              <w:noProof/>
            </w:rPr>
          </w:pPr>
          <w:hyperlink w:anchor="_Toc57198996" w:history="1">
            <w:r w:rsidR="00F9745C" w:rsidRPr="006559C8">
              <w:rPr>
                <w:rStyle w:val="Hyperlink"/>
                <w:rFonts w:cs="Arial"/>
                <w:noProof/>
              </w:rPr>
              <w:t>2018–19 Annual Performance Report Indicators</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_Toc57198996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10</w:t>
            </w:r>
            <w:r w:rsidR="00F9745C" w:rsidRPr="006559C8">
              <w:rPr>
                <w:rFonts w:cs="Arial"/>
                <w:noProof/>
                <w:webHidden/>
              </w:rPr>
              <w:fldChar w:fldCharType="end"/>
            </w:r>
          </w:hyperlink>
        </w:p>
        <w:p w14:paraId="07EC6E3D" w14:textId="1735F613" w:rsidR="00F9745C" w:rsidRPr="006559C8" w:rsidRDefault="0077175F">
          <w:pPr>
            <w:pStyle w:val="TOC3"/>
            <w:tabs>
              <w:tab w:val="right" w:leader="dot" w:pos="9350"/>
            </w:tabs>
            <w:rPr>
              <w:rFonts w:ascii="Arial" w:hAnsi="Arial" w:cs="Arial"/>
              <w:noProof/>
              <w:sz w:val="24"/>
              <w:szCs w:val="24"/>
            </w:rPr>
          </w:pPr>
          <w:hyperlink w:anchor="_Toc57198997" w:history="1">
            <w:r w:rsidR="00F9745C" w:rsidRPr="006559C8">
              <w:rPr>
                <w:rStyle w:val="Hyperlink"/>
                <w:rFonts w:ascii="Arial" w:hAnsi="Arial" w:cs="Arial"/>
                <w:noProof/>
                <w:sz w:val="24"/>
                <w:szCs w:val="24"/>
              </w:rPr>
              <w:t>Table 4: Federal Fiscal Year 2019 Indicators, Target, Results, and Change</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_Toc57198997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10</w:t>
            </w:r>
            <w:r w:rsidR="00F9745C" w:rsidRPr="006559C8">
              <w:rPr>
                <w:rFonts w:ascii="Arial" w:hAnsi="Arial" w:cs="Arial"/>
                <w:noProof/>
                <w:webHidden/>
                <w:sz w:val="24"/>
                <w:szCs w:val="24"/>
              </w:rPr>
              <w:fldChar w:fldCharType="end"/>
            </w:r>
          </w:hyperlink>
        </w:p>
        <w:p w14:paraId="144DD954" w14:textId="59553D38" w:rsidR="00F9745C" w:rsidRPr="006559C8" w:rsidRDefault="0077175F">
          <w:pPr>
            <w:pStyle w:val="TOC2"/>
            <w:tabs>
              <w:tab w:val="right" w:leader="dot" w:pos="9350"/>
            </w:tabs>
            <w:rPr>
              <w:rFonts w:eastAsiaTheme="minorEastAsia" w:cs="Arial"/>
              <w:noProof/>
            </w:rPr>
          </w:pPr>
          <w:hyperlink w:anchor="_Toc57198998" w:history="1">
            <w:r w:rsidR="00F9745C" w:rsidRPr="006559C8">
              <w:rPr>
                <w:rStyle w:val="Hyperlink"/>
                <w:rFonts w:cs="Arial"/>
                <w:noProof/>
              </w:rPr>
              <w:t>Indicator 1: Graduation Rate</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_Toc57198998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12</w:t>
            </w:r>
            <w:r w:rsidR="00F9745C" w:rsidRPr="006559C8">
              <w:rPr>
                <w:rFonts w:cs="Arial"/>
                <w:noProof/>
                <w:webHidden/>
              </w:rPr>
              <w:fldChar w:fldCharType="end"/>
            </w:r>
          </w:hyperlink>
        </w:p>
        <w:p w14:paraId="099723B7" w14:textId="43A8BB6D" w:rsidR="00F9745C" w:rsidRPr="006559C8" w:rsidRDefault="0077175F">
          <w:pPr>
            <w:pStyle w:val="TOC3"/>
            <w:tabs>
              <w:tab w:val="right" w:leader="dot" w:pos="9350"/>
            </w:tabs>
            <w:rPr>
              <w:rFonts w:ascii="Arial" w:hAnsi="Arial" w:cs="Arial"/>
              <w:noProof/>
              <w:sz w:val="24"/>
              <w:szCs w:val="24"/>
            </w:rPr>
          </w:pPr>
          <w:hyperlink w:anchor="_Toc57198999"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_Toc57198999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12</w:t>
            </w:r>
            <w:r w:rsidR="00F9745C" w:rsidRPr="006559C8">
              <w:rPr>
                <w:rFonts w:ascii="Arial" w:hAnsi="Arial" w:cs="Arial"/>
                <w:noProof/>
                <w:webHidden/>
                <w:sz w:val="24"/>
                <w:szCs w:val="24"/>
              </w:rPr>
              <w:fldChar w:fldCharType="end"/>
            </w:r>
          </w:hyperlink>
        </w:p>
        <w:p w14:paraId="0641DFCD" w14:textId="5888177B" w:rsidR="00F9745C" w:rsidRPr="006559C8" w:rsidRDefault="0077175F">
          <w:pPr>
            <w:pStyle w:val="TOC3"/>
            <w:tabs>
              <w:tab w:val="right" w:leader="dot" w:pos="9350"/>
            </w:tabs>
            <w:rPr>
              <w:rFonts w:ascii="Arial" w:hAnsi="Arial" w:cs="Arial"/>
              <w:noProof/>
              <w:sz w:val="24"/>
              <w:szCs w:val="24"/>
            </w:rPr>
          </w:pPr>
          <w:hyperlink w:anchor="_Toc57199000"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_Toc57199000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12</w:t>
            </w:r>
            <w:r w:rsidR="00F9745C" w:rsidRPr="006559C8">
              <w:rPr>
                <w:rFonts w:ascii="Arial" w:hAnsi="Arial" w:cs="Arial"/>
                <w:noProof/>
                <w:webHidden/>
                <w:sz w:val="24"/>
                <w:szCs w:val="24"/>
              </w:rPr>
              <w:fldChar w:fldCharType="end"/>
            </w:r>
          </w:hyperlink>
        </w:p>
        <w:p w14:paraId="2833776B" w14:textId="104A23C7" w:rsidR="00F9745C" w:rsidRPr="006559C8" w:rsidRDefault="0077175F">
          <w:pPr>
            <w:pStyle w:val="TOC3"/>
            <w:tabs>
              <w:tab w:val="right" w:leader="dot" w:pos="9350"/>
            </w:tabs>
            <w:rPr>
              <w:rFonts w:ascii="Arial" w:hAnsi="Arial" w:cs="Arial"/>
              <w:noProof/>
              <w:sz w:val="24"/>
              <w:szCs w:val="24"/>
            </w:rPr>
          </w:pPr>
          <w:hyperlink w:anchor="_Toc57199001"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_Toc57199001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12</w:t>
            </w:r>
            <w:r w:rsidR="00F9745C" w:rsidRPr="006559C8">
              <w:rPr>
                <w:rFonts w:ascii="Arial" w:hAnsi="Arial" w:cs="Arial"/>
                <w:noProof/>
                <w:webHidden/>
                <w:sz w:val="24"/>
                <w:szCs w:val="24"/>
              </w:rPr>
              <w:fldChar w:fldCharType="end"/>
            </w:r>
          </w:hyperlink>
        </w:p>
        <w:p w14:paraId="59790356" w14:textId="3055C168" w:rsidR="00F9745C" w:rsidRPr="006559C8" w:rsidRDefault="0077175F">
          <w:pPr>
            <w:pStyle w:val="TOC3"/>
            <w:tabs>
              <w:tab w:val="right" w:leader="dot" w:pos="9350"/>
            </w:tabs>
            <w:rPr>
              <w:rFonts w:ascii="Arial" w:hAnsi="Arial" w:cs="Arial"/>
              <w:noProof/>
              <w:sz w:val="24"/>
              <w:szCs w:val="24"/>
            </w:rPr>
          </w:pPr>
          <w:hyperlink w:anchor="_Toc57199002"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_Toc57199002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12</w:t>
            </w:r>
            <w:r w:rsidR="00F9745C" w:rsidRPr="006559C8">
              <w:rPr>
                <w:rFonts w:ascii="Arial" w:hAnsi="Arial" w:cs="Arial"/>
                <w:noProof/>
                <w:webHidden/>
                <w:sz w:val="24"/>
                <w:szCs w:val="24"/>
              </w:rPr>
              <w:fldChar w:fldCharType="end"/>
            </w:r>
          </w:hyperlink>
        </w:p>
        <w:p w14:paraId="1281CE51" w14:textId="6768009A" w:rsidR="00F9745C" w:rsidRPr="006559C8" w:rsidRDefault="0077175F">
          <w:pPr>
            <w:pStyle w:val="TOC3"/>
            <w:tabs>
              <w:tab w:val="right" w:leader="dot" w:pos="9350"/>
            </w:tabs>
            <w:rPr>
              <w:rFonts w:ascii="Arial" w:hAnsi="Arial" w:cs="Arial"/>
              <w:noProof/>
              <w:sz w:val="24"/>
              <w:szCs w:val="24"/>
            </w:rPr>
          </w:pPr>
          <w:hyperlink w:anchor="_Toc57199003" w:history="1">
            <w:r w:rsidR="00F9745C" w:rsidRPr="006559C8">
              <w:rPr>
                <w:rStyle w:val="Hyperlink"/>
                <w:rFonts w:ascii="Arial" w:hAnsi="Arial" w:cs="Arial"/>
                <w:noProof/>
                <w:sz w:val="24"/>
                <w:szCs w:val="24"/>
              </w:rPr>
              <w:t>Target Met: 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_Toc57199003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12</w:t>
            </w:r>
            <w:r w:rsidR="00F9745C" w:rsidRPr="006559C8">
              <w:rPr>
                <w:rFonts w:ascii="Arial" w:hAnsi="Arial" w:cs="Arial"/>
                <w:noProof/>
                <w:webHidden/>
                <w:sz w:val="24"/>
                <w:szCs w:val="24"/>
              </w:rPr>
              <w:fldChar w:fldCharType="end"/>
            </w:r>
          </w:hyperlink>
        </w:p>
        <w:p w14:paraId="18D4A543" w14:textId="1BDB5842" w:rsidR="00F9745C" w:rsidRPr="006559C8" w:rsidRDefault="0077175F">
          <w:pPr>
            <w:pStyle w:val="TOC2"/>
            <w:tabs>
              <w:tab w:val="right" w:leader="dot" w:pos="9350"/>
            </w:tabs>
            <w:rPr>
              <w:rFonts w:eastAsiaTheme="minorEastAsia" w:cs="Arial"/>
              <w:noProof/>
            </w:rPr>
          </w:pPr>
          <w:hyperlink w:anchor="_Toc57199004" w:history="1">
            <w:r w:rsidR="00F9745C" w:rsidRPr="006559C8">
              <w:rPr>
                <w:rStyle w:val="Hyperlink"/>
                <w:rFonts w:cs="Arial"/>
                <w:noProof/>
              </w:rPr>
              <w:t>Indicator 2: Dropout Rate</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_Toc57199004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13</w:t>
            </w:r>
            <w:r w:rsidR="00F9745C" w:rsidRPr="006559C8">
              <w:rPr>
                <w:rFonts w:cs="Arial"/>
                <w:noProof/>
                <w:webHidden/>
              </w:rPr>
              <w:fldChar w:fldCharType="end"/>
            </w:r>
          </w:hyperlink>
        </w:p>
        <w:p w14:paraId="30D4B8C8" w14:textId="5B7030D4" w:rsidR="00F9745C" w:rsidRPr="006559C8" w:rsidRDefault="0077175F">
          <w:pPr>
            <w:pStyle w:val="TOC3"/>
            <w:tabs>
              <w:tab w:val="right" w:leader="dot" w:pos="9350"/>
            </w:tabs>
            <w:rPr>
              <w:rFonts w:ascii="Arial" w:hAnsi="Arial" w:cs="Arial"/>
              <w:noProof/>
              <w:sz w:val="24"/>
              <w:szCs w:val="24"/>
            </w:rPr>
          </w:pPr>
          <w:hyperlink w:anchor="_Toc57199005"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_Toc57199005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13</w:t>
            </w:r>
            <w:r w:rsidR="00F9745C" w:rsidRPr="006559C8">
              <w:rPr>
                <w:rFonts w:ascii="Arial" w:hAnsi="Arial" w:cs="Arial"/>
                <w:noProof/>
                <w:webHidden/>
                <w:sz w:val="24"/>
                <w:szCs w:val="24"/>
              </w:rPr>
              <w:fldChar w:fldCharType="end"/>
            </w:r>
          </w:hyperlink>
        </w:p>
        <w:p w14:paraId="6BC1A865" w14:textId="32098153" w:rsidR="00F9745C" w:rsidRPr="006559C8" w:rsidRDefault="0077175F">
          <w:pPr>
            <w:pStyle w:val="TOC3"/>
            <w:tabs>
              <w:tab w:val="right" w:leader="dot" w:pos="9350"/>
            </w:tabs>
            <w:rPr>
              <w:rFonts w:ascii="Arial" w:hAnsi="Arial" w:cs="Arial"/>
              <w:noProof/>
              <w:sz w:val="24"/>
              <w:szCs w:val="24"/>
            </w:rPr>
          </w:pPr>
          <w:hyperlink w:anchor="_Toc57199006"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_Toc57199006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13</w:t>
            </w:r>
            <w:r w:rsidR="00F9745C" w:rsidRPr="006559C8">
              <w:rPr>
                <w:rFonts w:ascii="Arial" w:hAnsi="Arial" w:cs="Arial"/>
                <w:noProof/>
                <w:webHidden/>
                <w:sz w:val="24"/>
                <w:szCs w:val="24"/>
              </w:rPr>
              <w:fldChar w:fldCharType="end"/>
            </w:r>
          </w:hyperlink>
        </w:p>
        <w:p w14:paraId="7F661F6D" w14:textId="4C7A83BE" w:rsidR="00F9745C" w:rsidRPr="006559C8" w:rsidRDefault="0077175F">
          <w:pPr>
            <w:pStyle w:val="TOC3"/>
            <w:tabs>
              <w:tab w:val="right" w:leader="dot" w:pos="9350"/>
            </w:tabs>
            <w:rPr>
              <w:rFonts w:ascii="Arial" w:hAnsi="Arial" w:cs="Arial"/>
              <w:noProof/>
              <w:sz w:val="24"/>
              <w:szCs w:val="24"/>
            </w:rPr>
          </w:pPr>
          <w:hyperlink w:anchor="_Toc57199007"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_Toc57199007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13</w:t>
            </w:r>
            <w:r w:rsidR="00F9745C" w:rsidRPr="006559C8">
              <w:rPr>
                <w:rFonts w:ascii="Arial" w:hAnsi="Arial" w:cs="Arial"/>
                <w:noProof/>
                <w:webHidden/>
                <w:sz w:val="24"/>
                <w:szCs w:val="24"/>
              </w:rPr>
              <w:fldChar w:fldCharType="end"/>
            </w:r>
          </w:hyperlink>
        </w:p>
        <w:p w14:paraId="0BD098CE" w14:textId="2C0242CD" w:rsidR="00F9745C" w:rsidRPr="006559C8" w:rsidRDefault="0077175F">
          <w:pPr>
            <w:pStyle w:val="TOC3"/>
            <w:tabs>
              <w:tab w:val="right" w:leader="dot" w:pos="9350"/>
            </w:tabs>
            <w:rPr>
              <w:rFonts w:ascii="Arial" w:hAnsi="Arial" w:cs="Arial"/>
              <w:noProof/>
              <w:sz w:val="24"/>
              <w:szCs w:val="24"/>
            </w:rPr>
          </w:pPr>
          <w:hyperlink w:anchor="_Toc57199008"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_Toc57199008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13</w:t>
            </w:r>
            <w:r w:rsidR="00F9745C" w:rsidRPr="006559C8">
              <w:rPr>
                <w:rFonts w:ascii="Arial" w:hAnsi="Arial" w:cs="Arial"/>
                <w:noProof/>
                <w:webHidden/>
                <w:sz w:val="24"/>
                <w:szCs w:val="24"/>
              </w:rPr>
              <w:fldChar w:fldCharType="end"/>
            </w:r>
          </w:hyperlink>
        </w:p>
        <w:p w14:paraId="5C82C238" w14:textId="4F549A4C" w:rsidR="00F9745C" w:rsidRPr="006559C8" w:rsidRDefault="0077175F">
          <w:pPr>
            <w:pStyle w:val="TOC3"/>
            <w:tabs>
              <w:tab w:val="right" w:leader="dot" w:pos="9350"/>
            </w:tabs>
            <w:rPr>
              <w:rFonts w:ascii="Arial" w:hAnsi="Arial" w:cs="Arial"/>
              <w:noProof/>
              <w:sz w:val="24"/>
              <w:szCs w:val="24"/>
            </w:rPr>
          </w:pPr>
          <w:hyperlink w:anchor="_Toc57199009" w:history="1">
            <w:r w:rsidR="00F9745C" w:rsidRPr="006559C8">
              <w:rPr>
                <w:rStyle w:val="Hyperlink"/>
                <w:rFonts w:ascii="Arial" w:hAnsi="Arial" w:cs="Arial"/>
                <w:noProof/>
                <w:sz w:val="24"/>
                <w:szCs w:val="24"/>
              </w:rPr>
              <w:t>Target Met: 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_Toc57199009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13</w:t>
            </w:r>
            <w:r w:rsidR="00F9745C" w:rsidRPr="006559C8">
              <w:rPr>
                <w:rFonts w:ascii="Arial" w:hAnsi="Arial" w:cs="Arial"/>
                <w:noProof/>
                <w:webHidden/>
                <w:sz w:val="24"/>
                <w:szCs w:val="24"/>
              </w:rPr>
              <w:fldChar w:fldCharType="end"/>
            </w:r>
          </w:hyperlink>
        </w:p>
        <w:p w14:paraId="1F61BEB4" w14:textId="73FA7D28" w:rsidR="00F9745C" w:rsidRPr="006559C8" w:rsidRDefault="0077175F">
          <w:pPr>
            <w:pStyle w:val="TOC2"/>
            <w:tabs>
              <w:tab w:val="right" w:leader="dot" w:pos="9350"/>
            </w:tabs>
            <w:rPr>
              <w:rFonts w:eastAsiaTheme="minorEastAsia" w:cs="Arial"/>
              <w:noProof/>
            </w:rPr>
          </w:pPr>
          <w:hyperlink w:anchor="_Toc57199010" w:history="1">
            <w:r w:rsidR="00F9745C" w:rsidRPr="006559C8">
              <w:rPr>
                <w:rStyle w:val="Hyperlink"/>
                <w:rFonts w:cs="Arial"/>
                <w:noProof/>
              </w:rPr>
              <w:t>Indicator 3: Statewide Assessment</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_Toc57199010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14</w:t>
            </w:r>
            <w:r w:rsidR="00F9745C" w:rsidRPr="006559C8">
              <w:rPr>
                <w:rFonts w:cs="Arial"/>
                <w:noProof/>
                <w:webHidden/>
              </w:rPr>
              <w:fldChar w:fldCharType="end"/>
            </w:r>
          </w:hyperlink>
        </w:p>
        <w:p w14:paraId="03DDC980" w14:textId="23984255" w:rsidR="00F9745C" w:rsidRPr="006559C8" w:rsidRDefault="0077175F">
          <w:pPr>
            <w:pStyle w:val="TOC3"/>
            <w:tabs>
              <w:tab w:val="right" w:leader="dot" w:pos="9350"/>
            </w:tabs>
            <w:rPr>
              <w:rFonts w:ascii="Arial" w:hAnsi="Arial" w:cs="Arial"/>
              <w:noProof/>
              <w:sz w:val="24"/>
              <w:szCs w:val="24"/>
            </w:rPr>
          </w:pPr>
          <w:hyperlink w:anchor="_Toc57199011"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_Toc57199011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14</w:t>
            </w:r>
            <w:r w:rsidR="00F9745C" w:rsidRPr="006559C8">
              <w:rPr>
                <w:rFonts w:ascii="Arial" w:hAnsi="Arial" w:cs="Arial"/>
                <w:noProof/>
                <w:webHidden/>
                <w:sz w:val="24"/>
                <w:szCs w:val="24"/>
              </w:rPr>
              <w:fldChar w:fldCharType="end"/>
            </w:r>
          </w:hyperlink>
        </w:p>
        <w:p w14:paraId="6E87D943" w14:textId="62C053CA" w:rsidR="00F9745C" w:rsidRPr="006559C8" w:rsidRDefault="0077175F">
          <w:pPr>
            <w:pStyle w:val="TOC3"/>
            <w:tabs>
              <w:tab w:val="right" w:leader="dot" w:pos="9350"/>
            </w:tabs>
            <w:rPr>
              <w:rFonts w:ascii="Arial" w:hAnsi="Arial" w:cs="Arial"/>
              <w:noProof/>
              <w:sz w:val="24"/>
              <w:szCs w:val="24"/>
            </w:rPr>
          </w:pPr>
          <w:hyperlink w:anchor="_Toc57199012" w:history="1">
            <w:r w:rsidR="00F9745C" w:rsidRPr="006559C8">
              <w:rPr>
                <w:rStyle w:val="Hyperlink"/>
                <w:rFonts w:ascii="Arial" w:hAnsi="Arial" w:cs="Arial"/>
                <w:noProof/>
                <w:sz w:val="24"/>
                <w:szCs w:val="24"/>
              </w:rPr>
              <w:t>Targets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_Toc57199012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14</w:t>
            </w:r>
            <w:r w:rsidR="00F9745C" w:rsidRPr="006559C8">
              <w:rPr>
                <w:rFonts w:ascii="Arial" w:hAnsi="Arial" w:cs="Arial"/>
                <w:noProof/>
                <w:webHidden/>
                <w:sz w:val="24"/>
                <w:szCs w:val="24"/>
              </w:rPr>
              <w:fldChar w:fldCharType="end"/>
            </w:r>
          </w:hyperlink>
        </w:p>
        <w:p w14:paraId="6CA6CE28" w14:textId="64C8673E" w:rsidR="00F9745C" w:rsidRPr="006559C8" w:rsidRDefault="0077175F">
          <w:pPr>
            <w:pStyle w:val="TOC3"/>
            <w:tabs>
              <w:tab w:val="right" w:leader="dot" w:pos="9350"/>
            </w:tabs>
            <w:rPr>
              <w:rFonts w:ascii="Arial" w:hAnsi="Arial" w:cs="Arial"/>
              <w:noProof/>
              <w:sz w:val="24"/>
              <w:szCs w:val="24"/>
            </w:rPr>
          </w:pPr>
          <w:hyperlink w:anchor="_Toc57199013"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_Toc57199013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14</w:t>
            </w:r>
            <w:r w:rsidR="00F9745C" w:rsidRPr="006559C8">
              <w:rPr>
                <w:rFonts w:ascii="Arial" w:hAnsi="Arial" w:cs="Arial"/>
                <w:noProof/>
                <w:webHidden/>
                <w:sz w:val="24"/>
                <w:szCs w:val="24"/>
              </w:rPr>
              <w:fldChar w:fldCharType="end"/>
            </w:r>
          </w:hyperlink>
        </w:p>
        <w:p w14:paraId="563FC73F" w14:textId="0B468CB0" w:rsidR="00F9745C" w:rsidRPr="006559C8" w:rsidRDefault="0077175F">
          <w:pPr>
            <w:pStyle w:val="TOC3"/>
            <w:tabs>
              <w:tab w:val="right" w:leader="dot" w:pos="9350"/>
            </w:tabs>
            <w:rPr>
              <w:rFonts w:ascii="Arial" w:hAnsi="Arial" w:cs="Arial"/>
              <w:noProof/>
              <w:sz w:val="24"/>
              <w:szCs w:val="24"/>
            </w:rPr>
          </w:pPr>
          <w:hyperlink w:anchor="_Toc57199014"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_Toc57199014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15</w:t>
            </w:r>
            <w:r w:rsidR="00F9745C" w:rsidRPr="006559C8">
              <w:rPr>
                <w:rFonts w:ascii="Arial" w:hAnsi="Arial" w:cs="Arial"/>
                <w:noProof/>
                <w:webHidden/>
                <w:sz w:val="24"/>
                <w:szCs w:val="24"/>
              </w:rPr>
              <w:fldChar w:fldCharType="end"/>
            </w:r>
          </w:hyperlink>
        </w:p>
        <w:p w14:paraId="67CB9952" w14:textId="3562BFFB" w:rsidR="00F9745C" w:rsidRPr="006559C8" w:rsidRDefault="0077175F">
          <w:pPr>
            <w:pStyle w:val="TOC3"/>
            <w:tabs>
              <w:tab w:val="right" w:leader="dot" w:pos="9350"/>
            </w:tabs>
            <w:rPr>
              <w:rFonts w:ascii="Arial" w:hAnsi="Arial" w:cs="Arial"/>
              <w:noProof/>
              <w:sz w:val="24"/>
              <w:szCs w:val="24"/>
            </w:rPr>
          </w:pPr>
          <w:hyperlink w:anchor="_Toc57199015" w:history="1">
            <w:r w:rsidR="00F9745C" w:rsidRPr="006559C8">
              <w:rPr>
                <w:rStyle w:val="Hyperlink"/>
                <w:rFonts w:ascii="Arial" w:hAnsi="Arial" w:cs="Arial"/>
                <w:noProof/>
                <w:sz w:val="24"/>
                <w:szCs w:val="24"/>
              </w:rPr>
              <w:t>Target Met: 3A Not Reported, 3B Not Reported, 3C Not Reported</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_Toc57199015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15</w:t>
            </w:r>
            <w:r w:rsidR="00F9745C" w:rsidRPr="006559C8">
              <w:rPr>
                <w:rFonts w:ascii="Arial" w:hAnsi="Arial" w:cs="Arial"/>
                <w:noProof/>
                <w:webHidden/>
                <w:sz w:val="24"/>
                <w:szCs w:val="24"/>
              </w:rPr>
              <w:fldChar w:fldCharType="end"/>
            </w:r>
          </w:hyperlink>
        </w:p>
        <w:p w14:paraId="08C5CC0A" w14:textId="0EC2095B" w:rsidR="00F9745C" w:rsidRPr="006559C8" w:rsidRDefault="0077175F">
          <w:pPr>
            <w:pStyle w:val="TOC2"/>
            <w:tabs>
              <w:tab w:val="right" w:leader="dot" w:pos="9350"/>
            </w:tabs>
            <w:rPr>
              <w:rFonts w:eastAsiaTheme="minorEastAsia" w:cs="Arial"/>
              <w:noProof/>
            </w:rPr>
          </w:pPr>
          <w:hyperlink w:anchor="_Toc57199016" w:history="1">
            <w:r w:rsidR="00F9745C" w:rsidRPr="006559C8">
              <w:rPr>
                <w:rStyle w:val="Hyperlink"/>
                <w:rFonts w:cs="Arial"/>
                <w:noProof/>
              </w:rPr>
              <w:t>Indicator 4A: Suspension and Expulsion Overall</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_Toc57199016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16</w:t>
            </w:r>
            <w:r w:rsidR="00F9745C" w:rsidRPr="006559C8">
              <w:rPr>
                <w:rFonts w:cs="Arial"/>
                <w:noProof/>
                <w:webHidden/>
              </w:rPr>
              <w:fldChar w:fldCharType="end"/>
            </w:r>
          </w:hyperlink>
        </w:p>
        <w:p w14:paraId="273148AB" w14:textId="12153BEE" w:rsidR="00F9745C" w:rsidRPr="006559C8" w:rsidRDefault="0077175F">
          <w:pPr>
            <w:pStyle w:val="TOC3"/>
            <w:tabs>
              <w:tab w:val="right" w:leader="dot" w:pos="9350"/>
            </w:tabs>
            <w:rPr>
              <w:rFonts w:ascii="Arial" w:hAnsi="Arial" w:cs="Arial"/>
              <w:noProof/>
              <w:sz w:val="24"/>
              <w:szCs w:val="24"/>
            </w:rPr>
          </w:pPr>
          <w:hyperlink w:anchor="_Toc57199017"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_Toc57199017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16</w:t>
            </w:r>
            <w:r w:rsidR="00F9745C" w:rsidRPr="006559C8">
              <w:rPr>
                <w:rFonts w:ascii="Arial" w:hAnsi="Arial" w:cs="Arial"/>
                <w:noProof/>
                <w:webHidden/>
                <w:sz w:val="24"/>
                <w:szCs w:val="24"/>
              </w:rPr>
              <w:fldChar w:fldCharType="end"/>
            </w:r>
          </w:hyperlink>
        </w:p>
        <w:p w14:paraId="28BD81F8" w14:textId="0E4B9815" w:rsidR="00F9745C" w:rsidRPr="006559C8" w:rsidRDefault="0077175F">
          <w:pPr>
            <w:pStyle w:val="TOC3"/>
            <w:tabs>
              <w:tab w:val="right" w:leader="dot" w:pos="9350"/>
            </w:tabs>
            <w:rPr>
              <w:rFonts w:ascii="Arial" w:hAnsi="Arial" w:cs="Arial"/>
              <w:noProof/>
              <w:sz w:val="24"/>
              <w:szCs w:val="24"/>
            </w:rPr>
          </w:pPr>
          <w:hyperlink w:anchor="_Toc57199018"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_Toc57199018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16</w:t>
            </w:r>
            <w:r w:rsidR="00F9745C" w:rsidRPr="006559C8">
              <w:rPr>
                <w:rFonts w:ascii="Arial" w:hAnsi="Arial" w:cs="Arial"/>
                <w:noProof/>
                <w:webHidden/>
                <w:sz w:val="24"/>
                <w:szCs w:val="24"/>
              </w:rPr>
              <w:fldChar w:fldCharType="end"/>
            </w:r>
          </w:hyperlink>
        </w:p>
        <w:p w14:paraId="092FC344" w14:textId="470790AB" w:rsidR="00F9745C" w:rsidRPr="006559C8" w:rsidRDefault="0077175F">
          <w:pPr>
            <w:pStyle w:val="TOC3"/>
            <w:tabs>
              <w:tab w:val="right" w:leader="dot" w:pos="9350"/>
            </w:tabs>
            <w:rPr>
              <w:rFonts w:ascii="Arial" w:hAnsi="Arial" w:cs="Arial"/>
              <w:noProof/>
              <w:sz w:val="24"/>
              <w:szCs w:val="24"/>
            </w:rPr>
          </w:pPr>
          <w:hyperlink w:anchor="_Toc57199019"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_Toc57199019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16</w:t>
            </w:r>
            <w:r w:rsidR="00F9745C" w:rsidRPr="006559C8">
              <w:rPr>
                <w:rFonts w:ascii="Arial" w:hAnsi="Arial" w:cs="Arial"/>
                <w:noProof/>
                <w:webHidden/>
                <w:sz w:val="24"/>
                <w:szCs w:val="24"/>
              </w:rPr>
              <w:fldChar w:fldCharType="end"/>
            </w:r>
          </w:hyperlink>
        </w:p>
        <w:p w14:paraId="0862B5B6" w14:textId="67D89845" w:rsidR="00F9745C" w:rsidRPr="006559C8" w:rsidRDefault="0077175F">
          <w:pPr>
            <w:pStyle w:val="TOC3"/>
            <w:tabs>
              <w:tab w:val="right" w:leader="dot" w:pos="9350"/>
            </w:tabs>
            <w:rPr>
              <w:rFonts w:ascii="Arial" w:hAnsi="Arial" w:cs="Arial"/>
              <w:noProof/>
              <w:sz w:val="24"/>
              <w:szCs w:val="24"/>
            </w:rPr>
          </w:pPr>
          <w:hyperlink w:anchor="_Toc57199020"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_Toc57199020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16</w:t>
            </w:r>
            <w:r w:rsidR="00F9745C" w:rsidRPr="006559C8">
              <w:rPr>
                <w:rFonts w:ascii="Arial" w:hAnsi="Arial" w:cs="Arial"/>
                <w:noProof/>
                <w:webHidden/>
                <w:sz w:val="24"/>
                <w:szCs w:val="24"/>
              </w:rPr>
              <w:fldChar w:fldCharType="end"/>
            </w:r>
          </w:hyperlink>
        </w:p>
        <w:p w14:paraId="4DE1CED3" w14:textId="58C92533" w:rsidR="00F9745C" w:rsidRPr="006559C8" w:rsidRDefault="0077175F">
          <w:pPr>
            <w:pStyle w:val="TOC3"/>
            <w:tabs>
              <w:tab w:val="right" w:leader="dot" w:pos="9350"/>
            </w:tabs>
            <w:rPr>
              <w:rFonts w:ascii="Arial" w:hAnsi="Arial" w:cs="Arial"/>
              <w:noProof/>
              <w:sz w:val="24"/>
              <w:szCs w:val="24"/>
            </w:rPr>
          </w:pPr>
          <w:hyperlink w:anchor="_Toc57199021" w:history="1">
            <w:r w:rsidR="00F9745C" w:rsidRPr="006559C8">
              <w:rPr>
                <w:rStyle w:val="Hyperlink"/>
                <w:rFonts w:ascii="Arial" w:hAnsi="Arial" w:cs="Arial"/>
                <w:noProof/>
                <w:sz w:val="24"/>
                <w:szCs w:val="24"/>
              </w:rPr>
              <w:t>Target Met: Yes</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_Toc57199021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16</w:t>
            </w:r>
            <w:r w:rsidR="00F9745C" w:rsidRPr="006559C8">
              <w:rPr>
                <w:rFonts w:ascii="Arial" w:hAnsi="Arial" w:cs="Arial"/>
                <w:noProof/>
                <w:webHidden/>
                <w:sz w:val="24"/>
                <w:szCs w:val="24"/>
              </w:rPr>
              <w:fldChar w:fldCharType="end"/>
            </w:r>
          </w:hyperlink>
        </w:p>
        <w:p w14:paraId="6AC847F8" w14:textId="77105816" w:rsidR="00F9745C" w:rsidRPr="006559C8" w:rsidRDefault="0077175F">
          <w:pPr>
            <w:pStyle w:val="TOC2"/>
            <w:tabs>
              <w:tab w:val="right" w:leader="dot" w:pos="9350"/>
            </w:tabs>
            <w:rPr>
              <w:rFonts w:eastAsiaTheme="minorEastAsia" w:cs="Arial"/>
              <w:noProof/>
            </w:rPr>
          </w:pPr>
          <w:hyperlink w:anchor="_Toc57199022" w:history="1">
            <w:r w:rsidR="00F9745C" w:rsidRPr="006559C8">
              <w:rPr>
                <w:rStyle w:val="Hyperlink"/>
                <w:rFonts w:cs="Arial"/>
                <w:noProof/>
              </w:rPr>
              <w:t>Indicator 4B: Suspension and Expulsion Rate by Race or Ethnicity</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_Toc57199022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17</w:t>
            </w:r>
            <w:r w:rsidR="00F9745C" w:rsidRPr="006559C8">
              <w:rPr>
                <w:rFonts w:cs="Arial"/>
                <w:noProof/>
                <w:webHidden/>
              </w:rPr>
              <w:fldChar w:fldCharType="end"/>
            </w:r>
          </w:hyperlink>
        </w:p>
        <w:p w14:paraId="207DF4B3" w14:textId="7B80FB4C" w:rsidR="00F9745C" w:rsidRPr="006559C8" w:rsidRDefault="0077175F">
          <w:pPr>
            <w:pStyle w:val="TOC3"/>
            <w:tabs>
              <w:tab w:val="right" w:leader="dot" w:pos="9350"/>
            </w:tabs>
            <w:rPr>
              <w:rFonts w:ascii="Arial" w:hAnsi="Arial" w:cs="Arial"/>
              <w:noProof/>
              <w:sz w:val="24"/>
              <w:szCs w:val="24"/>
            </w:rPr>
          </w:pPr>
          <w:hyperlink w:anchor="_Toc57199023"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_Toc57199023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17</w:t>
            </w:r>
            <w:r w:rsidR="00F9745C" w:rsidRPr="006559C8">
              <w:rPr>
                <w:rFonts w:ascii="Arial" w:hAnsi="Arial" w:cs="Arial"/>
                <w:noProof/>
                <w:webHidden/>
                <w:sz w:val="24"/>
                <w:szCs w:val="24"/>
              </w:rPr>
              <w:fldChar w:fldCharType="end"/>
            </w:r>
          </w:hyperlink>
        </w:p>
        <w:p w14:paraId="1B213765" w14:textId="1E50C185" w:rsidR="00F9745C" w:rsidRPr="006559C8" w:rsidRDefault="0077175F">
          <w:pPr>
            <w:pStyle w:val="TOC3"/>
            <w:tabs>
              <w:tab w:val="right" w:leader="dot" w:pos="9350"/>
            </w:tabs>
            <w:rPr>
              <w:rFonts w:ascii="Arial" w:hAnsi="Arial" w:cs="Arial"/>
              <w:noProof/>
              <w:sz w:val="24"/>
              <w:szCs w:val="24"/>
            </w:rPr>
          </w:pPr>
          <w:hyperlink w:anchor="_Toc57199024"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_Toc57199024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17</w:t>
            </w:r>
            <w:r w:rsidR="00F9745C" w:rsidRPr="006559C8">
              <w:rPr>
                <w:rFonts w:ascii="Arial" w:hAnsi="Arial" w:cs="Arial"/>
                <w:noProof/>
                <w:webHidden/>
                <w:sz w:val="24"/>
                <w:szCs w:val="24"/>
              </w:rPr>
              <w:fldChar w:fldCharType="end"/>
            </w:r>
          </w:hyperlink>
        </w:p>
        <w:p w14:paraId="6456D24A" w14:textId="5058112F" w:rsidR="00F9745C" w:rsidRPr="006559C8" w:rsidRDefault="0077175F">
          <w:pPr>
            <w:pStyle w:val="TOC3"/>
            <w:tabs>
              <w:tab w:val="right" w:leader="dot" w:pos="9350"/>
            </w:tabs>
            <w:rPr>
              <w:rFonts w:ascii="Arial" w:hAnsi="Arial" w:cs="Arial"/>
              <w:noProof/>
              <w:sz w:val="24"/>
              <w:szCs w:val="24"/>
            </w:rPr>
          </w:pPr>
          <w:hyperlink w:anchor="_Toc57199025"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_Toc57199025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17</w:t>
            </w:r>
            <w:r w:rsidR="00F9745C" w:rsidRPr="006559C8">
              <w:rPr>
                <w:rFonts w:ascii="Arial" w:hAnsi="Arial" w:cs="Arial"/>
                <w:noProof/>
                <w:webHidden/>
                <w:sz w:val="24"/>
                <w:szCs w:val="24"/>
              </w:rPr>
              <w:fldChar w:fldCharType="end"/>
            </w:r>
          </w:hyperlink>
        </w:p>
        <w:p w14:paraId="71CE4E5A" w14:textId="58E010BF" w:rsidR="00F9745C" w:rsidRPr="006559C8" w:rsidRDefault="0077175F">
          <w:pPr>
            <w:pStyle w:val="TOC3"/>
            <w:tabs>
              <w:tab w:val="right" w:leader="dot" w:pos="9350"/>
            </w:tabs>
            <w:rPr>
              <w:rFonts w:ascii="Arial" w:hAnsi="Arial" w:cs="Arial"/>
              <w:noProof/>
              <w:sz w:val="24"/>
              <w:szCs w:val="24"/>
            </w:rPr>
          </w:pPr>
          <w:hyperlink w:anchor="_Toc57199026"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_Toc57199026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17</w:t>
            </w:r>
            <w:r w:rsidR="00F9745C" w:rsidRPr="006559C8">
              <w:rPr>
                <w:rFonts w:ascii="Arial" w:hAnsi="Arial" w:cs="Arial"/>
                <w:noProof/>
                <w:webHidden/>
                <w:sz w:val="24"/>
                <w:szCs w:val="24"/>
              </w:rPr>
              <w:fldChar w:fldCharType="end"/>
            </w:r>
          </w:hyperlink>
        </w:p>
        <w:p w14:paraId="12A0BB00" w14:textId="3121DFB5" w:rsidR="00F9745C" w:rsidRPr="006559C8" w:rsidRDefault="0077175F">
          <w:pPr>
            <w:pStyle w:val="TOC3"/>
            <w:tabs>
              <w:tab w:val="right" w:leader="dot" w:pos="9350"/>
            </w:tabs>
            <w:rPr>
              <w:rFonts w:ascii="Arial" w:hAnsi="Arial" w:cs="Arial"/>
              <w:noProof/>
              <w:sz w:val="24"/>
              <w:szCs w:val="24"/>
            </w:rPr>
          </w:pPr>
          <w:hyperlink w:anchor="_Toc57199027" w:history="1">
            <w:r w:rsidR="00F9745C" w:rsidRPr="006559C8">
              <w:rPr>
                <w:rStyle w:val="Hyperlink"/>
                <w:rFonts w:ascii="Arial" w:hAnsi="Arial" w:cs="Arial"/>
                <w:noProof/>
                <w:sz w:val="24"/>
                <w:szCs w:val="24"/>
              </w:rPr>
              <w:t>Target Met: 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_Toc57199027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17</w:t>
            </w:r>
            <w:r w:rsidR="00F9745C" w:rsidRPr="006559C8">
              <w:rPr>
                <w:rFonts w:ascii="Arial" w:hAnsi="Arial" w:cs="Arial"/>
                <w:noProof/>
                <w:webHidden/>
                <w:sz w:val="24"/>
                <w:szCs w:val="24"/>
              </w:rPr>
              <w:fldChar w:fldCharType="end"/>
            </w:r>
          </w:hyperlink>
        </w:p>
        <w:p w14:paraId="3B329C7B" w14:textId="02EE1BA4" w:rsidR="00F9745C" w:rsidRPr="006559C8" w:rsidRDefault="0077175F">
          <w:pPr>
            <w:pStyle w:val="TOC2"/>
            <w:tabs>
              <w:tab w:val="right" w:leader="dot" w:pos="9350"/>
            </w:tabs>
            <w:rPr>
              <w:rFonts w:eastAsiaTheme="minorEastAsia" w:cs="Arial"/>
              <w:noProof/>
            </w:rPr>
          </w:pPr>
          <w:hyperlink w:anchor="_Toc57199028" w:history="1">
            <w:r w:rsidR="00F9745C" w:rsidRPr="006559C8">
              <w:rPr>
                <w:rStyle w:val="Hyperlink"/>
                <w:rFonts w:cs="Arial"/>
                <w:noProof/>
              </w:rPr>
              <w:t>Indicator 5: Education Environments</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_Toc57199028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18</w:t>
            </w:r>
            <w:r w:rsidR="00F9745C" w:rsidRPr="006559C8">
              <w:rPr>
                <w:rFonts w:cs="Arial"/>
                <w:noProof/>
                <w:webHidden/>
              </w:rPr>
              <w:fldChar w:fldCharType="end"/>
            </w:r>
          </w:hyperlink>
        </w:p>
        <w:p w14:paraId="1FA9FE57" w14:textId="3D5A9C72" w:rsidR="00F9745C" w:rsidRPr="006559C8" w:rsidRDefault="0077175F">
          <w:pPr>
            <w:pStyle w:val="TOC3"/>
            <w:tabs>
              <w:tab w:val="right" w:leader="dot" w:pos="9350"/>
            </w:tabs>
            <w:rPr>
              <w:rFonts w:ascii="Arial" w:hAnsi="Arial" w:cs="Arial"/>
              <w:noProof/>
              <w:sz w:val="24"/>
              <w:szCs w:val="24"/>
            </w:rPr>
          </w:pPr>
          <w:hyperlink w:anchor="_Toc57199029"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_Toc57199029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18</w:t>
            </w:r>
            <w:r w:rsidR="00F9745C" w:rsidRPr="006559C8">
              <w:rPr>
                <w:rFonts w:ascii="Arial" w:hAnsi="Arial" w:cs="Arial"/>
                <w:noProof/>
                <w:webHidden/>
                <w:sz w:val="24"/>
                <w:szCs w:val="24"/>
              </w:rPr>
              <w:fldChar w:fldCharType="end"/>
            </w:r>
          </w:hyperlink>
        </w:p>
        <w:p w14:paraId="578F1969" w14:textId="48795E65" w:rsidR="00F9745C" w:rsidRPr="006559C8" w:rsidRDefault="0077175F">
          <w:pPr>
            <w:pStyle w:val="TOC3"/>
            <w:tabs>
              <w:tab w:val="right" w:leader="dot" w:pos="9350"/>
            </w:tabs>
            <w:rPr>
              <w:rFonts w:ascii="Arial" w:hAnsi="Arial" w:cs="Arial"/>
              <w:noProof/>
              <w:sz w:val="24"/>
              <w:szCs w:val="24"/>
            </w:rPr>
          </w:pPr>
          <w:hyperlink w:anchor="_Toc57199030" w:history="1">
            <w:r w:rsidR="00F9745C" w:rsidRPr="006559C8">
              <w:rPr>
                <w:rStyle w:val="Hyperlink"/>
                <w:rFonts w:ascii="Arial" w:hAnsi="Arial" w:cs="Arial"/>
                <w:noProof/>
                <w:sz w:val="24"/>
                <w:szCs w:val="24"/>
              </w:rPr>
              <w:t>Targets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_Toc57199030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18</w:t>
            </w:r>
            <w:r w:rsidR="00F9745C" w:rsidRPr="006559C8">
              <w:rPr>
                <w:rFonts w:ascii="Arial" w:hAnsi="Arial" w:cs="Arial"/>
                <w:noProof/>
                <w:webHidden/>
                <w:sz w:val="24"/>
                <w:szCs w:val="24"/>
              </w:rPr>
              <w:fldChar w:fldCharType="end"/>
            </w:r>
          </w:hyperlink>
        </w:p>
        <w:p w14:paraId="27CEA7C3" w14:textId="0BB7EEF1" w:rsidR="00F9745C" w:rsidRPr="006559C8" w:rsidRDefault="0077175F">
          <w:pPr>
            <w:pStyle w:val="TOC3"/>
            <w:tabs>
              <w:tab w:val="right" w:leader="dot" w:pos="9350"/>
            </w:tabs>
            <w:rPr>
              <w:rFonts w:ascii="Arial" w:hAnsi="Arial" w:cs="Arial"/>
              <w:noProof/>
              <w:sz w:val="24"/>
              <w:szCs w:val="24"/>
            </w:rPr>
          </w:pPr>
          <w:hyperlink w:anchor="_Toc57199031"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_Toc57199031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18</w:t>
            </w:r>
            <w:r w:rsidR="00F9745C" w:rsidRPr="006559C8">
              <w:rPr>
                <w:rFonts w:ascii="Arial" w:hAnsi="Arial" w:cs="Arial"/>
                <w:noProof/>
                <w:webHidden/>
                <w:sz w:val="24"/>
                <w:szCs w:val="24"/>
              </w:rPr>
              <w:fldChar w:fldCharType="end"/>
            </w:r>
          </w:hyperlink>
        </w:p>
        <w:p w14:paraId="3E06BCC8" w14:textId="69D8D3DE" w:rsidR="00F9745C" w:rsidRPr="006559C8" w:rsidRDefault="0077175F">
          <w:pPr>
            <w:pStyle w:val="TOC3"/>
            <w:tabs>
              <w:tab w:val="right" w:leader="dot" w:pos="9350"/>
            </w:tabs>
            <w:rPr>
              <w:rFonts w:ascii="Arial" w:hAnsi="Arial" w:cs="Arial"/>
              <w:noProof/>
              <w:sz w:val="24"/>
              <w:szCs w:val="24"/>
            </w:rPr>
          </w:pPr>
          <w:hyperlink w:anchor="_Toc57199032"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_Toc57199032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18</w:t>
            </w:r>
            <w:r w:rsidR="00F9745C" w:rsidRPr="006559C8">
              <w:rPr>
                <w:rFonts w:ascii="Arial" w:hAnsi="Arial" w:cs="Arial"/>
                <w:noProof/>
                <w:webHidden/>
                <w:sz w:val="24"/>
                <w:szCs w:val="24"/>
              </w:rPr>
              <w:fldChar w:fldCharType="end"/>
            </w:r>
          </w:hyperlink>
        </w:p>
        <w:p w14:paraId="23850F70" w14:textId="64583FC6" w:rsidR="00F9745C" w:rsidRPr="006559C8" w:rsidRDefault="0077175F">
          <w:pPr>
            <w:pStyle w:val="TOC3"/>
            <w:tabs>
              <w:tab w:val="right" w:leader="dot" w:pos="9350"/>
            </w:tabs>
            <w:rPr>
              <w:rFonts w:ascii="Arial" w:hAnsi="Arial" w:cs="Arial"/>
              <w:noProof/>
              <w:sz w:val="24"/>
              <w:szCs w:val="24"/>
            </w:rPr>
          </w:pPr>
          <w:hyperlink w:anchor="_Toc57199033" w:history="1">
            <w:r w:rsidR="00F9745C" w:rsidRPr="006559C8">
              <w:rPr>
                <w:rStyle w:val="Hyperlink"/>
                <w:rFonts w:ascii="Arial" w:hAnsi="Arial" w:cs="Arial"/>
                <w:noProof/>
                <w:sz w:val="24"/>
                <w:szCs w:val="24"/>
              </w:rPr>
              <w:t>Target Met: 5A Yes, 5B Yes, 5C Yes</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_Toc57199033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19</w:t>
            </w:r>
            <w:r w:rsidR="00F9745C" w:rsidRPr="006559C8">
              <w:rPr>
                <w:rFonts w:ascii="Arial" w:hAnsi="Arial" w:cs="Arial"/>
                <w:noProof/>
                <w:webHidden/>
                <w:sz w:val="24"/>
                <w:szCs w:val="24"/>
              </w:rPr>
              <w:fldChar w:fldCharType="end"/>
            </w:r>
          </w:hyperlink>
        </w:p>
        <w:p w14:paraId="42ADF9CE" w14:textId="32D05557" w:rsidR="00F9745C" w:rsidRPr="006559C8" w:rsidRDefault="0077175F">
          <w:pPr>
            <w:pStyle w:val="TOC2"/>
            <w:tabs>
              <w:tab w:val="right" w:leader="dot" w:pos="9350"/>
            </w:tabs>
            <w:rPr>
              <w:rFonts w:eastAsiaTheme="minorEastAsia" w:cs="Arial"/>
              <w:noProof/>
            </w:rPr>
          </w:pPr>
          <w:hyperlink w:anchor="_Toc57199034" w:history="1">
            <w:r w:rsidR="00F9745C" w:rsidRPr="006559C8">
              <w:rPr>
                <w:rStyle w:val="Hyperlink"/>
                <w:rFonts w:cs="Arial"/>
                <w:noProof/>
              </w:rPr>
              <w:t>Indicator 6: Preschool Least Restrictive Environments</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_Toc57199034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20</w:t>
            </w:r>
            <w:r w:rsidR="00F9745C" w:rsidRPr="006559C8">
              <w:rPr>
                <w:rFonts w:cs="Arial"/>
                <w:noProof/>
                <w:webHidden/>
              </w:rPr>
              <w:fldChar w:fldCharType="end"/>
            </w:r>
          </w:hyperlink>
        </w:p>
        <w:p w14:paraId="27551D91" w14:textId="06803FB6" w:rsidR="00F9745C" w:rsidRPr="006559C8" w:rsidRDefault="0077175F">
          <w:pPr>
            <w:pStyle w:val="TOC3"/>
            <w:tabs>
              <w:tab w:val="right" w:leader="dot" w:pos="9350"/>
            </w:tabs>
            <w:rPr>
              <w:rFonts w:ascii="Arial" w:hAnsi="Arial" w:cs="Arial"/>
              <w:noProof/>
              <w:sz w:val="24"/>
              <w:szCs w:val="24"/>
            </w:rPr>
          </w:pPr>
          <w:hyperlink w:anchor="_Toc57199035"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_Toc57199035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20</w:t>
            </w:r>
            <w:r w:rsidR="00F9745C" w:rsidRPr="006559C8">
              <w:rPr>
                <w:rFonts w:ascii="Arial" w:hAnsi="Arial" w:cs="Arial"/>
                <w:noProof/>
                <w:webHidden/>
                <w:sz w:val="24"/>
                <w:szCs w:val="24"/>
              </w:rPr>
              <w:fldChar w:fldCharType="end"/>
            </w:r>
          </w:hyperlink>
        </w:p>
        <w:p w14:paraId="075C1354" w14:textId="4E9300CF" w:rsidR="00F9745C" w:rsidRPr="006559C8" w:rsidRDefault="0077175F">
          <w:pPr>
            <w:pStyle w:val="TOC3"/>
            <w:tabs>
              <w:tab w:val="right" w:leader="dot" w:pos="9350"/>
            </w:tabs>
            <w:rPr>
              <w:rFonts w:ascii="Arial" w:hAnsi="Arial" w:cs="Arial"/>
              <w:noProof/>
              <w:sz w:val="24"/>
              <w:szCs w:val="24"/>
            </w:rPr>
          </w:pPr>
          <w:hyperlink w:anchor="_Toc57199036"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_Toc57199036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20</w:t>
            </w:r>
            <w:r w:rsidR="00F9745C" w:rsidRPr="006559C8">
              <w:rPr>
                <w:rFonts w:ascii="Arial" w:hAnsi="Arial" w:cs="Arial"/>
                <w:noProof/>
                <w:webHidden/>
                <w:sz w:val="24"/>
                <w:szCs w:val="24"/>
              </w:rPr>
              <w:fldChar w:fldCharType="end"/>
            </w:r>
          </w:hyperlink>
        </w:p>
        <w:p w14:paraId="725E3436" w14:textId="0C1DBE06" w:rsidR="00F9745C" w:rsidRPr="006559C8" w:rsidRDefault="0077175F">
          <w:pPr>
            <w:pStyle w:val="TOC3"/>
            <w:tabs>
              <w:tab w:val="right" w:leader="dot" w:pos="9350"/>
            </w:tabs>
            <w:rPr>
              <w:rFonts w:ascii="Arial" w:hAnsi="Arial" w:cs="Arial"/>
              <w:noProof/>
              <w:sz w:val="24"/>
              <w:szCs w:val="24"/>
            </w:rPr>
          </w:pPr>
          <w:hyperlink w:anchor="_Toc57199037"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_Toc57199037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20</w:t>
            </w:r>
            <w:r w:rsidR="00F9745C" w:rsidRPr="006559C8">
              <w:rPr>
                <w:rFonts w:ascii="Arial" w:hAnsi="Arial" w:cs="Arial"/>
                <w:noProof/>
                <w:webHidden/>
                <w:sz w:val="24"/>
                <w:szCs w:val="24"/>
              </w:rPr>
              <w:fldChar w:fldCharType="end"/>
            </w:r>
          </w:hyperlink>
        </w:p>
        <w:p w14:paraId="2305EC63" w14:textId="6EE201BC" w:rsidR="00F9745C" w:rsidRPr="006559C8" w:rsidRDefault="0077175F">
          <w:pPr>
            <w:pStyle w:val="TOC3"/>
            <w:tabs>
              <w:tab w:val="right" w:leader="dot" w:pos="9350"/>
            </w:tabs>
            <w:rPr>
              <w:rFonts w:ascii="Arial" w:hAnsi="Arial" w:cs="Arial"/>
              <w:noProof/>
              <w:sz w:val="24"/>
              <w:szCs w:val="24"/>
            </w:rPr>
          </w:pPr>
          <w:hyperlink w:anchor="_Toc57199038"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_Toc57199038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20</w:t>
            </w:r>
            <w:r w:rsidR="00F9745C" w:rsidRPr="006559C8">
              <w:rPr>
                <w:rFonts w:ascii="Arial" w:hAnsi="Arial" w:cs="Arial"/>
                <w:noProof/>
                <w:webHidden/>
                <w:sz w:val="24"/>
                <w:szCs w:val="24"/>
              </w:rPr>
              <w:fldChar w:fldCharType="end"/>
            </w:r>
          </w:hyperlink>
        </w:p>
        <w:p w14:paraId="354A53AE" w14:textId="06A9DB8F" w:rsidR="00F9745C" w:rsidRPr="006559C8" w:rsidRDefault="0077175F">
          <w:pPr>
            <w:pStyle w:val="TOC3"/>
            <w:tabs>
              <w:tab w:val="right" w:leader="dot" w:pos="9350"/>
            </w:tabs>
            <w:rPr>
              <w:rFonts w:ascii="Arial" w:hAnsi="Arial" w:cs="Arial"/>
              <w:noProof/>
              <w:sz w:val="24"/>
              <w:szCs w:val="24"/>
            </w:rPr>
          </w:pPr>
          <w:hyperlink w:anchor="_Toc57199039" w:history="1">
            <w:r w:rsidR="00F9745C" w:rsidRPr="006559C8">
              <w:rPr>
                <w:rStyle w:val="Hyperlink"/>
                <w:rFonts w:ascii="Arial" w:hAnsi="Arial" w:cs="Arial"/>
                <w:noProof/>
                <w:sz w:val="24"/>
                <w:szCs w:val="24"/>
              </w:rPr>
              <w:t>Target Met: 6A No, 6B 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_Toc57199039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20</w:t>
            </w:r>
            <w:r w:rsidR="00F9745C" w:rsidRPr="006559C8">
              <w:rPr>
                <w:rFonts w:ascii="Arial" w:hAnsi="Arial" w:cs="Arial"/>
                <w:noProof/>
                <w:webHidden/>
                <w:sz w:val="24"/>
                <w:szCs w:val="24"/>
              </w:rPr>
              <w:fldChar w:fldCharType="end"/>
            </w:r>
          </w:hyperlink>
        </w:p>
        <w:p w14:paraId="7F78F926" w14:textId="77F929F7" w:rsidR="00F9745C" w:rsidRPr="006559C8" w:rsidRDefault="0077175F">
          <w:pPr>
            <w:pStyle w:val="TOC2"/>
            <w:tabs>
              <w:tab w:val="right" w:leader="dot" w:pos="9350"/>
            </w:tabs>
            <w:rPr>
              <w:rFonts w:eastAsiaTheme="minorEastAsia" w:cs="Arial"/>
              <w:noProof/>
            </w:rPr>
          </w:pPr>
          <w:hyperlink w:anchor="_Toc57199040" w:history="1">
            <w:r w:rsidR="00F9745C" w:rsidRPr="006559C8">
              <w:rPr>
                <w:rStyle w:val="Hyperlink"/>
                <w:rFonts w:cs="Arial"/>
                <w:bCs/>
                <w:noProof/>
              </w:rPr>
              <w:t xml:space="preserve">Indicator 7A: </w:t>
            </w:r>
            <w:r w:rsidR="00F9745C" w:rsidRPr="006559C8">
              <w:rPr>
                <w:rStyle w:val="Hyperlink"/>
                <w:rFonts w:cs="Arial"/>
                <w:noProof/>
              </w:rPr>
              <w:t>Preschool Assessment–Positive Social-Emotional Skills</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_Toc57199040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22</w:t>
            </w:r>
            <w:r w:rsidR="00F9745C" w:rsidRPr="006559C8">
              <w:rPr>
                <w:rFonts w:cs="Arial"/>
                <w:noProof/>
                <w:webHidden/>
              </w:rPr>
              <w:fldChar w:fldCharType="end"/>
            </w:r>
          </w:hyperlink>
        </w:p>
        <w:p w14:paraId="5EFB16D2" w14:textId="5342E650" w:rsidR="00F9745C" w:rsidRPr="006559C8" w:rsidRDefault="0077175F">
          <w:pPr>
            <w:pStyle w:val="TOC3"/>
            <w:tabs>
              <w:tab w:val="right" w:leader="dot" w:pos="9350"/>
            </w:tabs>
            <w:rPr>
              <w:rFonts w:ascii="Arial" w:hAnsi="Arial" w:cs="Arial"/>
              <w:noProof/>
              <w:sz w:val="24"/>
              <w:szCs w:val="24"/>
            </w:rPr>
          </w:pPr>
          <w:hyperlink w:anchor="_Toc57199041"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_Toc57199041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22</w:t>
            </w:r>
            <w:r w:rsidR="00F9745C" w:rsidRPr="006559C8">
              <w:rPr>
                <w:rFonts w:ascii="Arial" w:hAnsi="Arial" w:cs="Arial"/>
                <w:noProof/>
                <w:webHidden/>
                <w:sz w:val="24"/>
                <w:szCs w:val="24"/>
              </w:rPr>
              <w:fldChar w:fldCharType="end"/>
            </w:r>
          </w:hyperlink>
        </w:p>
        <w:p w14:paraId="61A76568" w14:textId="27898780" w:rsidR="00F9745C" w:rsidRPr="006559C8" w:rsidRDefault="0077175F">
          <w:pPr>
            <w:pStyle w:val="TOC3"/>
            <w:tabs>
              <w:tab w:val="right" w:leader="dot" w:pos="9350"/>
            </w:tabs>
            <w:rPr>
              <w:rFonts w:ascii="Arial" w:hAnsi="Arial" w:cs="Arial"/>
              <w:noProof/>
              <w:sz w:val="24"/>
              <w:szCs w:val="24"/>
            </w:rPr>
          </w:pPr>
          <w:hyperlink w:anchor="_Toc57199042" w:history="1">
            <w:r w:rsidR="00F9745C" w:rsidRPr="006559C8">
              <w:rPr>
                <w:rStyle w:val="Hyperlink"/>
                <w:rFonts w:ascii="Arial" w:hAnsi="Arial" w:cs="Arial"/>
                <w:noProof/>
                <w:sz w:val="24"/>
                <w:szCs w:val="24"/>
              </w:rPr>
              <w:t>Targets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_Toc57199042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22</w:t>
            </w:r>
            <w:r w:rsidR="00F9745C" w:rsidRPr="006559C8">
              <w:rPr>
                <w:rFonts w:ascii="Arial" w:hAnsi="Arial" w:cs="Arial"/>
                <w:noProof/>
                <w:webHidden/>
                <w:sz w:val="24"/>
                <w:szCs w:val="24"/>
              </w:rPr>
              <w:fldChar w:fldCharType="end"/>
            </w:r>
          </w:hyperlink>
        </w:p>
        <w:p w14:paraId="6DEA2EEE" w14:textId="42925D0C" w:rsidR="00F9745C" w:rsidRPr="006559C8" w:rsidRDefault="0077175F">
          <w:pPr>
            <w:pStyle w:val="TOC3"/>
            <w:tabs>
              <w:tab w:val="right" w:leader="dot" w:pos="9350"/>
            </w:tabs>
            <w:rPr>
              <w:rFonts w:ascii="Arial" w:hAnsi="Arial" w:cs="Arial"/>
              <w:noProof/>
              <w:sz w:val="24"/>
              <w:szCs w:val="24"/>
            </w:rPr>
          </w:pPr>
          <w:hyperlink w:anchor="_Toc57199043"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_Toc57199043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22</w:t>
            </w:r>
            <w:r w:rsidR="00F9745C" w:rsidRPr="006559C8">
              <w:rPr>
                <w:rFonts w:ascii="Arial" w:hAnsi="Arial" w:cs="Arial"/>
                <w:noProof/>
                <w:webHidden/>
                <w:sz w:val="24"/>
                <w:szCs w:val="24"/>
              </w:rPr>
              <w:fldChar w:fldCharType="end"/>
            </w:r>
          </w:hyperlink>
        </w:p>
        <w:p w14:paraId="4C174CBB" w14:textId="73BECCB2" w:rsidR="00F9745C" w:rsidRPr="006559C8" w:rsidRDefault="0077175F">
          <w:pPr>
            <w:pStyle w:val="TOC3"/>
            <w:tabs>
              <w:tab w:val="right" w:leader="dot" w:pos="9350"/>
            </w:tabs>
            <w:rPr>
              <w:rFonts w:ascii="Arial" w:hAnsi="Arial" w:cs="Arial"/>
              <w:noProof/>
              <w:sz w:val="24"/>
              <w:szCs w:val="24"/>
            </w:rPr>
          </w:pPr>
          <w:hyperlink w:anchor="_Toc57199044"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_Toc57199044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22</w:t>
            </w:r>
            <w:r w:rsidR="00F9745C" w:rsidRPr="006559C8">
              <w:rPr>
                <w:rFonts w:ascii="Arial" w:hAnsi="Arial" w:cs="Arial"/>
                <w:noProof/>
                <w:webHidden/>
                <w:sz w:val="24"/>
                <w:szCs w:val="24"/>
              </w:rPr>
              <w:fldChar w:fldCharType="end"/>
            </w:r>
          </w:hyperlink>
        </w:p>
        <w:p w14:paraId="34E78DE8" w14:textId="5566D9FA" w:rsidR="00F9745C" w:rsidRPr="006559C8" w:rsidRDefault="0077175F">
          <w:pPr>
            <w:pStyle w:val="TOC3"/>
            <w:tabs>
              <w:tab w:val="right" w:leader="dot" w:pos="9350"/>
            </w:tabs>
            <w:rPr>
              <w:rFonts w:ascii="Arial" w:hAnsi="Arial" w:cs="Arial"/>
              <w:noProof/>
              <w:sz w:val="24"/>
              <w:szCs w:val="24"/>
            </w:rPr>
          </w:pPr>
          <w:hyperlink w:anchor="_Toc57199045" w:history="1">
            <w:r w:rsidR="00F9745C" w:rsidRPr="006559C8">
              <w:rPr>
                <w:rStyle w:val="Hyperlink"/>
                <w:rFonts w:ascii="Arial" w:hAnsi="Arial" w:cs="Arial"/>
                <w:noProof/>
                <w:sz w:val="24"/>
                <w:szCs w:val="24"/>
              </w:rPr>
              <w:t>Target Met: 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_Toc57199045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23</w:t>
            </w:r>
            <w:r w:rsidR="00F9745C" w:rsidRPr="006559C8">
              <w:rPr>
                <w:rFonts w:ascii="Arial" w:hAnsi="Arial" w:cs="Arial"/>
                <w:noProof/>
                <w:webHidden/>
                <w:sz w:val="24"/>
                <w:szCs w:val="24"/>
              </w:rPr>
              <w:fldChar w:fldCharType="end"/>
            </w:r>
          </w:hyperlink>
        </w:p>
        <w:p w14:paraId="323BCD4E" w14:textId="2ED845C1" w:rsidR="00F9745C" w:rsidRPr="006559C8" w:rsidRDefault="0077175F">
          <w:pPr>
            <w:pStyle w:val="TOC2"/>
            <w:tabs>
              <w:tab w:val="right" w:leader="dot" w:pos="9350"/>
            </w:tabs>
            <w:rPr>
              <w:rFonts w:eastAsiaTheme="minorEastAsia" w:cs="Arial"/>
              <w:noProof/>
            </w:rPr>
          </w:pPr>
          <w:hyperlink w:anchor="_Toc57199046" w:history="1">
            <w:r w:rsidR="00F9745C" w:rsidRPr="006559C8">
              <w:rPr>
                <w:rStyle w:val="Hyperlink"/>
                <w:rFonts w:cs="Arial"/>
                <w:bCs/>
                <w:noProof/>
              </w:rPr>
              <w:t xml:space="preserve">Indicator 7B: </w:t>
            </w:r>
            <w:r w:rsidR="00F9745C" w:rsidRPr="006559C8">
              <w:rPr>
                <w:rStyle w:val="Hyperlink"/>
                <w:rFonts w:cs="Arial"/>
                <w:noProof/>
              </w:rPr>
              <w:t>Preschool Assessment–Acquisition and Use of Knowledge and Skills</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_Toc57199046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24</w:t>
            </w:r>
            <w:r w:rsidR="00F9745C" w:rsidRPr="006559C8">
              <w:rPr>
                <w:rFonts w:cs="Arial"/>
                <w:noProof/>
                <w:webHidden/>
              </w:rPr>
              <w:fldChar w:fldCharType="end"/>
            </w:r>
          </w:hyperlink>
        </w:p>
        <w:p w14:paraId="3B4002E0" w14:textId="48D3337E" w:rsidR="00F9745C" w:rsidRPr="006559C8" w:rsidRDefault="0077175F">
          <w:pPr>
            <w:pStyle w:val="TOC3"/>
            <w:tabs>
              <w:tab w:val="right" w:leader="dot" w:pos="9350"/>
            </w:tabs>
            <w:rPr>
              <w:rFonts w:ascii="Arial" w:hAnsi="Arial" w:cs="Arial"/>
              <w:noProof/>
              <w:sz w:val="24"/>
              <w:szCs w:val="24"/>
            </w:rPr>
          </w:pPr>
          <w:hyperlink w:anchor="_Toc57199047"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_Toc57199047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24</w:t>
            </w:r>
            <w:r w:rsidR="00F9745C" w:rsidRPr="006559C8">
              <w:rPr>
                <w:rFonts w:ascii="Arial" w:hAnsi="Arial" w:cs="Arial"/>
                <w:noProof/>
                <w:webHidden/>
                <w:sz w:val="24"/>
                <w:szCs w:val="24"/>
              </w:rPr>
              <w:fldChar w:fldCharType="end"/>
            </w:r>
          </w:hyperlink>
        </w:p>
        <w:p w14:paraId="21BB278A" w14:textId="4B930BBE" w:rsidR="00F9745C" w:rsidRPr="006559C8" w:rsidRDefault="0077175F">
          <w:pPr>
            <w:pStyle w:val="TOC3"/>
            <w:tabs>
              <w:tab w:val="right" w:leader="dot" w:pos="9350"/>
            </w:tabs>
            <w:rPr>
              <w:rFonts w:ascii="Arial" w:hAnsi="Arial" w:cs="Arial"/>
              <w:noProof/>
              <w:sz w:val="24"/>
              <w:szCs w:val="24"/>
            </w:rPr>
          </w:pPr>
          <w:hyperlink w:anchor="_Toc57199048" w:history="1">
            <w:r w:rsidR="00F9745C" w:rsidRPr="006559C8">
              <w:rPr>
                <w:rStyle w:val="Hyperlink"/>
                <w:rFonts w:ascii="Arial" w:hAnsi="Arial" w:cs="Arial"/>
                <w:noProof/>
                <w:sz w:val="24"/>
                <w:szCs w:val="24"/>
              </w:rPr>
              <w:t>Targets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_Toc57199048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24</w:t>
            </w:r>
            <w:r w:rsidR="00F9745C" w:rsidRPr="006559C8">
              <w:rPr>
                <w:rFonts w:ascii="Arial" w:hAnsi="Arial" w:cs="Arial"/>
                <w:noProof/>
                <w:webHidden/>
                <w:sz w:val="24"/>
                <w:szCs w:val="24"/>
              </w:rPr>
              <w:fldChar w:fldCharType="end"/>
            </w:r>
          </w:hyperlink>
        </w:p>
        <w:p w14:paraId="23E89CA5" w14:textId="2EC7F6F2" w:rsidR="00F9745C" w:rsidRPr="006559C8" w:rsidRDefault="0077175F">
          <w:pPr>
            <w:pStyle w:val="TOC3"/>
            <w:tabs>
              <w:tab w:val="right" w:leader="dot" w:pos="9350"/>
            </w:tabs>
            <w:rPr>
              <w:rFonts w:ascii="Arial" w:hAnsi="Arial" w:cs="Arial"/>
              <w:noProof/>
              <w:sz w:val="24"/>
              <w:szCs w:val="24"/>
            </w:rPr>
          </w:pPr>
          <w:hyperlink w:anchor="_Toc57199049"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_Toc57199049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24</w:t>
            </w:r>
            <w:r w:rsidR="00F9745C" w:rsidRPr="006559C8">
              <w:rPr>
                <w:rFonts w:ascii="Arial" w:hAnsi="Arial" w:cs="Arial"/>
                <w:noProof/>
                <w:webHidden/>
                <w:sz w:val="24"/>
                <w:szCs w:val="24"/>
              </w:rPr>
              <w:fldChar w:fldCharType="end"/>
            </w:r>
          </w:hyperlink>
        </w:p>
        <w:p w14:paraId="2DCE32AB" w14:textId="244841D5" w:rsidR="00F9745C" w:rsidRPr="006559C8" w:rsidRDefault="0077175F">
          <w:pPr>
            <w:pStyle w:val="TOC3"/>
            <w:tabs>
              <w:tab w:val="right" w:leader="dot" w:pos="9350"/>
            </w:tabs>
            <w:rPr>
              <w:rFonts w:ascii="Arial" w:hAnsi="Arial" w:cs="Arial"/>
              <w:noProof/>
              <w:sz w:val="24"/>
              <w:szCs w:val="24"/>
            </w:rPr>
          </w:pPr>
          <w:hyperlink w:anchor="_Toc57199050"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_Toc57199050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25</w:t>
            </w:r>
            <w:r w:rsidR="00F9745C" w:rsidRPr="006559C8">
              <w:rPr>
                <w:rFonts w:ascii="Arial" w:hAnsi="Arial" w:cs="Arial"/>
                <w:noProof/>
                <w:webHidden/>
                <w:sz w:val="24"/>
                <w:szCs w:val="24"/>
              </w:rPr>
              <w:fldChar w:fldCharType="end"/>
            </w:r>
          </w:hyperlink>
        </w:p>
        <w:p w14:paraId="5A7AA3F5" w14:textId="30606294" w:rsidR="00F9745C" w:rsidRPr="006559C8" w:rsidRDefault="0077175F">
          <w:pPr>
            <w:pStyle w:val="TOC3"/>
            <w:tabs>
              <w:tab w:val="right" w:leader="dot" w:pos="9350"/>
            </w:tabs>
            <w:rPr>
              <w:rFonts w:ascii="Arial" w:hAnsi="Arial" w:cs="Arial"/>
              <w:noProof/>
              <w:sz w:val="24"/>
              <w:szCs w:val="24"/>
            </w:rPr>
          </w:pPr>
          <w:hyperlink w:anchor="_Toc57199051" w:history="1">
            <w:r w:rsidR="00F9745C" w:rsidRPr="006559C8">
              <w:rPr>
                <w:rStyle w:val="Hyperlink"/>
                <w:rFonts w:ascii="Arial" w:hAnsi="Arial" w:cs="Arial"/>
                <w:noProof/>
                <w:sz w:val="24"/>
                <w:szCs w:val="24"/>
              </w:rPr>
              <w:t>Target Met: 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_Toc57199051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25</w:t>
            </w:r>
            <w:r w:rsidR="00F9745C" w:rsidRPr="006559C8">
              <w:rPr>
                <w:rFonts w:ascii="Arial" w:hAnsi="Arial" w:cs="Arial"/>
                <w:noProof/>
                <w:webHidden/>
                <w:sz w:val="24"/>
                <w:szCs w:val="24"/>
              </w:rPr>
              <w:fldChar w:fldCharType="end"/>
            </w:r>
          </w:hyperlink>
        </w:p>
        <w:p w14:paraId="2DF0E60A" w14:textId="3FA13CBC" w:rsidR="00F9745C" w:rsidRPr="006559C8" w:rsidRDefault="0077175F">
          <w:pPr>
            <w:pStyle w:val="TOC2"/>
            <w:tabs>
              <w:tab w:val="right" w:leader="dot" w:pos="9350"/>
            </w:tabs>
            <w:rPr>
              <w:rFonts w:eastAsiaTheme="minorEastAsia" w:cs="Arial"/>
              <w:noProof/>
            </w:rPr>
          </w:pPr>
          <w:hyperlink w:anchor="_Toc57199052" w:history="1">
            <w:r w:rsidR="00F9745C" w:rsidRPr="006559C8">
              <w:rPr>
                <w:rStyle w:val="Hyperlink"/>
                <w:rFonts w:cs="Arial"/>
                <w:bCs/>
                <w:noProof/>
              </w:rPr>
              <w:t xml:space="preserve">Indicator 7C: </w:t>
            </w:r>
            <w:r w:rsidR="00F9745C" w:rsidRPr="006559C8">
              <w:rPr>
                <w:rStyle w:val="Hyperlink"/>
                <w:rFonts w:cs="Arial"/>
                <w:noProof/>
              </w:rPr>
              <w:t>Preschool Assessment–Use of Appropriate Behaviors</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_Toc57199052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26</w:t>
            </w:r>
            <w:r w:rsidR="00F9745C" w:rsidRPr="006559C8">
              <w:rPr>
                <w:rFonts w:cs="Arial"/>
                <w:noProof/>
                <w:webHidden/>
              </w:rPr>
              <w:fldChar w:fldCharType="end"/>
            </w:r>
          </w:hyperlink>
        </w:p>
        <w:p w14:paraId="0DB5E707" w14:textId="379524EA" w:rsidR="00F9745C" w:rsidRPr="006559C8" w:rsidRDefault="0077175F">
          <w:pPr>
            <w:pStyle w:val="TOC3"/>
            <w:tabs>
              <w:tab w:val="right" w:leader="dot" w:pos="9350"/>
            </w:tabs>
            <w:rPr>
              <w:rFonts w:ascii="Arial" w:hAnsi="Arial" w:cs="Arial"/>
              <w:noProof/>
              <w:sz w:val="24"/>
              <w:szCs w:val="24"/>
            </w:rPr>
          </w:pPr>
          <w:hyperlink w:anchor="_Toc57199053"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_Toc57199053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26</w:t>
            </w:r>
            <w:r w:rsidR="00F9745C" w:rsidRPr="006559C8">
              <w:rPr>
                <w:rFonts w:ascii="Arial" w:hAnsi="Arial" w:cs="Arial"/>
                <w:noProof/>
                <w:webHidden/>
                <w:sz w:val="24"/>
                <w:szCs w:val="24"/>
              </w:rPr>
              <w:fldChar w:fldCharType="end"/>
            </w:r>
          </w:hyperlink>
        </w:p>
        <w:p w14:paraId="166C9F68" w14:textId="478B0153" w:rsidR="00F9745C" w:rsidRPr="006559C8" w:rsidRDefault="0077175F">
          <w:pPr>
            <w:pStyle w:val="TOC3"/>
            <w:tabs>
              <w:tab w:val="right" w:leader="dot" w:pos="9350"/>
            </w:tabs>
            <w:rPr>
              <w:rFonts w:ascii="Arial" w:hAnsi="Arial" w:cs="Arial"/>
              <w:noProof/>
              <w:sz w:val="24"/>
              <w:szCs w:val="24"/>
            </w:rPr>
          </w:pPr>
          <w:hyperlink w:anchor="_Toc57199054" w:history="1">
            <w:r w:rsidR="00F9745C" w:rsidRPr="006559C8">
              <w:rPr>
                <w:rStyle w:val="Hyperlink"/>
                <w:rFonts w:ascii="Arial" w:hAnsi="Arial" w:cs="Arial"/>
                <w:noProof/>
                <w:sz w:val="24"/>
                <w:szCs w:val="24"/>
              </w:rPr>
              <w:t>Targets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_Toc57199054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26</w:t>
            </w:r>
            <w:r w:rsidR="00F9745C" w:rsidRPr="006559C8">
              <w:rPr>
                <w:rFonts w:ascii="Arial" w:hAnsi="Arial" w:cs="Arial"/>
                <w:noProof/>
                <w:webHidden/>
                <w:sz w:val="24"/>
                <w:szCs w:val="24"/>
              </w:rPr>
              <w:fldChar w:fldCharType="end"/>
            </w:r>
          </w:hyperlink>
        </w:p>
        <w:p w14:paraId="602C2488" w14:textId="57743F04" w:rsidR="00F9745C" w:rsidRPr="006559C8" w:rsidRDefault="0077175F">
          <w:pPr>
            <w:pStyle w:val="TOC3"/>
            <w:tabs>
              <w:tab w:val="right" w:leader="dot" w:pos="9350"/>
            </w:tabs>
            <w:rPr>
              <w:rFonts w:ascii="Arial" w:hAnsi="Arial" w:cs="Arial"/>
              <w:noProof/>
              <w:sz w:val="24"/>
              <w:szCs w:val="24"/>
            </w:rPr>
          </w:pPr>
          <w:hyperlink w:anchor="_Toc57199055"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_Toc57199055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26</w:t>
            </w:r>
            <w:r w:rsidR="00F9745C" w:rsidRPr="006559C8">
              <w:rPr>
                <w:rFonts w:ascii="Arial" w:hAnsi="Arial" w:cs="Arial"/>
                <w:noProof/>
                <w:webHidden/>
                <w:sz w:val="24"/>
                <w:szCs w:val="24"/>
              </w:rPr>
              <w:fldChar w:fldCharType="end"/>
            </w:r>
          </w:hyperlink>
        </w:p>
        <w:p w14:paraId="188267C0" w14:textId="7716B599" w:rsidR="00F9745C" w:rsidRPr="006559C8" w:rsidRDefault="0077175F">
          <w:pPr>
            <w:pStyle w:val="TOC3"/>
            <w:tabs>
              <w:tab w:val="right" w:leader="dot" w:pos="9350"/>
            </w:tabs>
            <w:rPr>
              <w:rFonts w:ascii="Arial" w:hAnsi="Arial" w:cs="Arial"/>
              <w:noProof/>
              <w:sz w:val="24"/>
              <w:szCs w:val="24"/>
            </w:rPr>
          </w:pPr>
          <w:hyperlink w:anchor="_Toc57199056"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_Toc57199056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26</w:t>
            </w:r>
            <w:r w:rsidR="00F9745C" w:rsidRPr="006559C8">
              <w:rPr>
                <w:rFonts w:ascii="Arial" w:hAnsi="Arial" w:cs="Arial"/>
                <w:noProof/>
                <w:webHidden/>
                <w:sz w:val="24"/>
                <w:szCs w:val="24"/>
              </w:rPr>
              <w:fldChar w:fldCharType="end"/>
            </w:r>
          </w:hyperlink>
        </w:p>
        <w:p w14:paraId="5DD2EB44" w14:textId="74872A74" w:rsidR="00F9745C" w:rsidRPr="006559C8" w:rsidRDefault="0077175F">
          <w:pPr>
            <w:pStyle w:val="TOC3"/>
            <w:tabs>
              <w:tab w:val="right" w:leader="dot" w:pos="9350"/>
            </w:tabs>
            <w:rPr>
              <w:rFonts w:ascii="Arial" w:hAnsi="Arial" w:cs="Arial"/>
              <w:noProof/>
              <w:sz w:val="24"/>
              <w:szCs w:val="24"/>
            </w:rPr>
          </w:pPr>
          <w:hyperlink w:anchor="_Toc57199057" w:history="1">
            <w:r w:rsidR="00F9745C" w:rsidRPr="006559C8">
              <w:rPr>
                <w:rStyle w:val="Hyperlink"/>
                <w:rFonts w:ascii="Arial" w:hAnsi="Arial" w:cs="Arial"/>
                <w:noProof/>
                <w:sz w:val="24"/>
                <w:szCs w:val="24"/>
              </w:rPr>
              <w:t>Target Met: Yes/No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_Toc57199057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27</w:t>
            </w:r>
            <w:r w:rsidR="00F9745C" w:rsidRPr="006559C8">
              <w:rPr>
                <w:rFonts w:ascii="Arial" w:hAnsi="Arial" w:cs="Arial"/>
                <w:noProof/>
                <w:webHidden/>
                <w:sz w:val="24"/>
                <w:szCs w:val="24"/>
              </w:rPr>
              <w:fldChar w:fldCharType="end"/>
            </w:r>
          </w:hyperlink>
        </w:p>
        <w:p w14:paraId="7F988A95" w14:textId="71F37EE2" w:rsidR="00F9745C" w:rsidRPr="006559C8" w:rsidRDefault="0077175F">
          <w:pPr>
            <w:pStyle w:val="TOC2"/>
            <w:tabs>
              <w:tab w:val="right" w:leader="dot" w:pos="9350"/>
            </w:tabs>
            <w:rPr>
              <w:rFonts w:eastAsiaTheme="minorEastAsia" w:cs="Arial"/>
              <w:noProof/>
            </w:rPr>
          </w:pPr>
          <w:hyperlink w:anchor="_Toc57199058" w:history="1">
            <w:r w:rsidR="00F9745C" w:rsidRPr="006559C8">
              <w:rPr>
                <w:rStyle w:val="Hyperlink"/>
                <w:rFonts w:cs="Arial"/>
                <w:noProof/>
              </w:rPr>
              <w:t>Indicator 8: Percent of Parents Reporting the Schools Facilitated Parental Involvement</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_Toc57199058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28</w:t>
            </w:r>
            <w:r w:rsidR="00F9745C" w:rsidRPr="006559C8">
              <w:rPr>
                <w:rFonts w:cs="Arial"/>
                <w:noProof/>
                <w:webHidden/>
              </w:rPr>
              <w:fldChar w:fldCharType="end"/>
            </w:r>
          </w:hyperlink>
        </w:p>
        <w:p w14:paraId="1A097223" w14:textId="75E3EDE6" w:rsidR="00F9745C" w:rsidRPr="006559C8" w:rsidRDefault="0077175F">
          <w:pPr>
            <w:pStyle w:val="TOC3"/>
            <w:tabs>
              <w:tab w:val="right" w:leader="dot" w:pos="9350"/>
            </w:tabs>
            <w:rPr>
              <w:rFonts w:ascii="Arial" w:hAnsi="Arial" w:cs="Arial"/>
              <w:noProof/>
              <w:sz w:val="24"/>
              <w:szCs w:val="24"/>
            </w:rPr>
          </w:pPr>
          <w:hyperlink w:anchor="_Toc57199059"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_Toc57199059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28</w:t>
            </w:r>
            <w:r w:rsidR="00F9745C" w:rsidRPr="006559C8">
              <w:rPr>
                <w:rFonts w:ascii="Arial" w:hAnsi="Arial" w:cs="Arial"/>
                <w:noProof/>
                <w:webHidden/>
                <w:sz w:val="24"/>
                <w:szCs w:val="24"/>
              </w:rPr>
              <w:fldChar w:fldCharType="end"/>
            </w:r>
          </w:hyperlink>
        </w:p>
        <w:p w14:paraId="776C73DD" w14:textId="21208A19" w:rsidR="00F9745C" w:rsidRPr="006559C8" w:rsidRDefault="0077175F">
          <w:pPr>
            <w:pStyle w:val="TOC3"/>
            <w:tabs>
              <w:tab w:val="right" w:leader="dot" w:pos="9350"/>
            </w:tabs>
            <w:rPr>
              <w:rFonts w:ascii="Arial" w:hAnsi="Arial" w:cs="Arial"/>
              <w:noProof/>
              <w:sz w:val="24"/>
              <w:szCs w:val="24"/>
            </w:rPr>
          </w:pPr>
          <w:hyperlink w:anchor="_Toc57199060"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_Toc57199060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28</w:t>
            </w:r>
            <w:r w:rsidR="00F9745C" w:rsidRPr="006559C8">
              <w:rPr>
                <w:rFonts w:ascii="Arial" w:hAnsi="Arial" w:cs="Arial"/>
                <w:noProof/>
                <w:webHidden/>
                <w:sz w:val="24"/>
                <w:szCs w:val="24"/>
              </w:rPr>
              <w:fldChar w:fldCharType="end"/>
            </w:r>
          </w:hyperlink>
        </w:p>
        <w:p w14:paraId="16A5EC9C" w14:textId="4F715EF3" w:rsidR="00F9745C" w:rsidRPr="006559C8" w:rsidRDefault="0077175F">
          <w:pPr>
            <w:pStyle w:val="TOC3"/>
            <w:tabs>
              <w:tab w:val="right" w:leader="dot" w:pos="9350"/>
            </w:tabs>
            <w:rPr>
              <w:rFonts w:ascii="Arial" w:hAnsi="Arial" w:cs="Arial"/>
              <w:noProof/>
              <w:sz w:val="24"/>
              <w:szCs w:val="24"/>
            </w:rPr>
          </w:pPr>
          <w:hyperlink w:anchor="_Toc57199061"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_Toc57199061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28</w:t>
            </w:r>
            <w:r w:rsidR="00F9745C" w:rsidRPr="006559C8">
              <w:rPr>
                <w:rFonts w:ascii="Arial" w:hAnsi="Arial" w:cs="Arial"/>
                <w:noProof/>
                <w:webHidden/>
                <w:sz w:val="24"/>
                <w:szCs w:val="24"/>
              </w:rPr>
              <w:fldChar w:fldCharType="end"/>
            </w:r>
          </w:hyperlink>
        </w:p>
        <w:p w14:paraId="7672D1F1" w14:textId="789706AF" w:rsidR="00F9745C" w:rsidRPr="006559C8" w:rsidRDefault="0077175F">
          <w:pPr>
            <w:pStyle w:val="TOC3"/>
            <w:tabs>
              <w:tab w:val="right" w:leader="dot" w:pos="9350"/>
            </w:tabs>
            <w:rPr>
              <w:rFonts w:ascii="Arial" w:hAnsi="Arial" w:cs="Arial"/>
              <w:noProof/>
              <w:sz w:val="24"/>
              <w:szCs w:val="24"/>
            </w:rPr>
          </w:pPr>
          <w:hyperlink w:anchor="_Toc57199062"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_Toc57199062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28</w:t>
            </w:r>
            <w:r w:rsidR="00F9745C" w:rsidRPr="006559C8">
              <w:rPr>
                <w:rFonts w:ascii="Arial" w:hAnsi="Arial" w:cs="Arial"/>
                <w:noProof/>
                <w:webHidden/>
                <w:sz w:val="24"/>
                <w:szCs w:val="24"/>
              </w:rPr>
              <w:fldChar w:fldCharType="end"/>
            </w:r>
          </w:hyperlink>
        </w:p>
        <w:p w14:paraId="2DED1060" w14:textId="1CEF74AB" w:rsidR="00F9745C" w:rsidRPr="006559C8" w:rsidRDefault="0077175F">
          <w:pPr>
            <w:pStyle w:val="TOC3"/>
            <w:tabs>
              <w:tab w:val="right" w:leader="dot" w:pos="9350"/>
            </w:tabs>
            <w:rPr>
              <w:rFonts w:ascii="Arial" w:hAnsi="Arial" w:cs="Arial"/>
              <w:noProof/>
              <w:sz w:val="24"/>
              <w:szCs w:val="24"/>
            </w:rPr>
          </w:pPr>
          <w:hyperlink w:anchor="_Toc57199063" w:history="1">
            <w:r w:rsidR="00F9745C" w:rsidRPr="006559C8">
              <w:rPr>
                <w:rStyle w:val="Hyperlink"/>
                <w:rFonts w:ascii="Arial" w:hAnsi="Arial" w:cs="Arial"/>
                <w:noProof/>
                <w:sz w:val="24"/>
                <w:szCs w:val="24"/>
              </w:rPr>
              <w:t>Target Met: Yes</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_Toc57199063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28</w:t>
            </w:r>
            <w:r w:rsidR="00F9745C" w:rsidRPr="006559C8">
              <w:rPr>
                <w:rFonts w:ascii="Arial" w:hAnsi="Arial" w:cs="Arial"/>
                <w:noProof/>
                <w:webHidden/>
                <w:sz w:val="24"/>
                <w:szCs w:val="24"/>
              </w:rPr>
              <w:fldChar w:fldCharType="end"/>
            </w:r>
          </w:hyperlink>
        </w:p>
        <w:p w14:paraId="7A99F63B" w14:textId="2690D499" w:rsidR="00F9745C" w:rsidRPr="006559C8" w:rsidRDefault="0077175F">
          <w:pPr>
            <w:pStyle w:val="TOC2"/>
            <w:tabs>
              <w:tab w:val="right" w:leader="dot" w:pos="9350"/>
            </w:tabs>
            <w:rPr>
              <w:rFonts w:eastAsiaTheme="minorEastAsia" w:cs="Arial"/>
              <w:noProof/>
            </w:rPr>
          </w:pPr>
          <w:hyperlink w:anchor="_Toc57199064" w:history="1">
            <w:r w:rsidR="00F9745C" w:rsidRPr="006559C8">
              <w:rPr>
                <w:rStyle w:val="Hyperlink"/>
                <w:rFonts w:cs="Arial"/>
                <w:noProof/>
              </w:rPr>
              <w:t xml:space="preserve">Indicator </w:t>
            </w:r>
            <w:r w:rsidR="00F9745C" w:rsidRPr="006559C8">
              <w:rPr>
                <w:rStyle w:val="Hyperlink"/>
                <w:rFonts w:cs="Arial"/>
                <w:bCs/>
                <w:noProof/>
              </w:rPr>
              <w:t xml:space="preserve">9: </w:t>
            </w:r>
            <w:r w:rsidR="00F9745C" w:rsidRPr="006559C8">
              <w:rPr>
                <w:rStyle w:val="Hyperlink"/>
                <w:rFonts w:cs="Arial"/>
                <w:noProof/>
              </w:rPr>
              <w:t>Disproportionate Representation</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_Toc57199064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29</w:t>
            </w:r>
            <w:r w:rsidR="00F9745C" w:rsidRPr="006559C8">
              <w:rPr>
                <w:rFonts w:cs="Arial"/>
                <w:noProof/>
                <w:webHidden/>
              </w:rPr>
              <w:fldChar w:fldCharType="end"/>
            </w:r>
          </w:hyperlink>
        </w:p>
        <w:p w14:paraId="7F8840F2" w14:textId="4E4B4E40" w:rsidR="00F9745C" w:rsidRPr="006559C8" w:rsidRDefault="0077175F">
          <w:pPr>
            <w:pStyle w:val="TOC3"/>
            <w:tabs>
              <w:tab w:val="right" w:leader="dot" w:pos="9350"/>
            </w:tabs>
            <w:rPr>
              <w:rFonts w:ascii="Arial" w:hAnsi="Arial" w:cs="Arial"/>
              <w:noProof/>
              <w:sz w:val="24"/>
              <w:szCs w:val="24"/>
            </w:rPr>
          </w:pPr>
          <w:hyperlink w:anchor="_Toc57199065"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_Toc57199065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29</w:t>
            </w:r>
            <w:r w:rsidR="00F9745C" w:rsidRPr="006559C8">
              <w:rPr>
                <w:rFonts w:ascii="Arial" w:hAnsi="Arial" w:cs="Arial"/>
                <w:noProof/>
                <w:webHidden/>
                <w:sz w:val="24"/>
                <w:szCs w:val="24"/>
              </w:rPr>
              <w:fldChar w:fldCharType="end"/>
            </w:r>
          </w:hyperlink>
        </w:p>
        <w:p w14:paraId="29308C83" w14:textId="593466D2" w:rsidR="00F9745C" w:rsidRPr="006559C8" w:rsidRDefault="0077175F">
          <w:pPr>
            <w:pStyle w:val="TOC3"/>
            <w:tabs>
              <w:tab w:val="right" w:leader="dot" w:pos="9350"/>
            </w:tabs>
            <w:rPr>
              <w:rFonts w:ascii="Arial" w:hAnsi="Arial" w:cs="Arial"/>
              <w:noProof/>
              <w:sz w:val="24"/>
              <w:szCs w:val="24"/>
            </w:rPr>
          </w:pPr>
          <w:hyperlink w:anchor="_Toc57199066"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_Toc57199066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29</w:t>
            </w:r>
            <w:r w:rsidR="00F9745C" w:rsidRPr="006559C8">
              <w:rPr>
                <w:rFonts w:ascii="Arial" w:hAnsi="Arial" w:cs="Arial"/>
                <w:noProof/>
                <w:webHidden/>
                <w:sz w:val="24"/>
                <w:szCs w:val="24"/>
              </w:rPr>
              <w:fldChar w:fldCharType="end"/>
            </w:r>
          </w:hyperlink>
        </w:p>
        <w:p w14:paraId="468B3629" w14:textId="196209E6" w:rsidR="00F9745C" w:rsidRPr="006559C8" w:rsidRDefault="0077175F">
          <w:pPr>
            <w:pStyle w:val="TOC3"/>
            <w:tabs>
              <w:tab w:val="right" w:leader="dot" w:pos="9350"/>
            </w:tabs>
            <w:rPr>
              <w:rFonts w:ascii="Arial" w:hAnsi="Arial" w:cs="Arial"/>
              <w:noProof/>
              <w:sz w:val="24"/>
              <w:szCs w:val="24"/>
            </w:rPr>
          </w:pPr>
          <w:hyperlink w:anchor="_Toc57199067"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_Toc57199067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29</w:t>
            </w:r>
            <w:r w:rsidR="00F9745C" w:rsidRPr="006559C8">
              <w:rPr>
                <w:rFonts w:ascii="Arial" w:hAnsi="Arial" w:cs="Arial"/>
                <w:noProof/>
                <w:webHidden/>
                <w:sz w:val="24"/>
                <w:szCs w:val="24"/>
              </w:rPr>
              <w:fldChar w:fldCharType="end"/>
            </w:r>
          </w:hyperlink>
        </w:p>
        <w:p w14:paraId="65A9A20D" w14:textId="1215DC13" w:rsidR="00F9745C" w:rsidRPr="006559C8" w:rsidRDefault="0077175F">
          <w:pPr>
            <w:pStyle w:val="TOC3"/>
            <w:tabs>
              <w:tab w:val="right" w:leader="dot" w:pos="9350"/>
            </w:tabs>
            <w:rPr>
              <w:rFonts w:ascii="Arial" w:hAnsi="Arial" w:cs="Arial"/>
              <w:noProof/>
              <w:sz w:val="24"/>
              <w:szCs w:val="24"/>
            </w:rPr>
          </w:pPr>
          <w:hyperlink w:anchor="_Toc57199068"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_Toc57199068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29</w:t>
            </w:r>
            <w:r w:rsidR="00F9745C" w:rsidRPr="006559C8">
              <w:rPr>
                <w:rFonts w:ascii="Arial" w:hAnsi="Arial" w:cs="Arial"/>
                <w:noProof/>
                <w:webHidden/>
                <w:sz w:val="24"/>
                <w:szCs w:val="24"/>
              </w:rPr>
              <w:fldChar w:fldCharType="end"/>
            </w:r>
          </w:hyperlink>
        </w:p>
        <w:p w14:paraId="37BAC0CA" w14:textId="1BA2928F" w:rsidR="00F9745C" w:rsidRPr="006559C8" w:rsidRDefault="0077175F">
          <w:pPr>
            <w:pStyle w:val="TOC3"/>
            <w:tabs>
              <w:tab w:val="right" w:leader="dot" w:pos="9350"/>
            </w:tabs>
            <w:rPr>
              <w:rFonts w:ascii="Arial" w:hAnsi="Arial" w:cs="Arial"/>
              <w:noProof/>
              <w:sz w:val="24"/>
              <w:szCs w:val="24"/>
            </w:rPr>
          </w:pPr>
          <w:hyperlink w:anchor="_Toc57199069" w:history="1">
            <w:r w:rsidR="00F9745C" w:rsidRPr="006559C8">
              <w:rPr>
                <w:rStyle w:val="Hyperlink"/>
                <w:rFonts w:ascii="Arial" w:hAnsi="Arial" w:cs="Arial"/>
                <w:noProof/>
                <w:sz w:val="24"/>
                <w:szCs w:val="24"/>
              </w:rPr>
              <w:t>Target Met: 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_Toc57199069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29</w:t>
            </w:r>
            <w:r w:rsidR="00F9745C" w:rsidRPr="006559C8">
              <w:rPr>
                <w:rFonts w:ascii="Arial" w:hAnsi="Arial" w:cs="Arial"/>
                <w:noProof/>
                <w:webHidden/>
                <w:sz w:val="24"/>
                <w:szCs w:val="24"/>
              </w:rPr>
              <w:fldChar w:fldCharType="end"/>
            </w:r>
          </w:hyperlink>
        </w:p>
        <w:p w14:paraId="1282C6B9" w14:textId="391E353B" w:rsidR="00F9745C" w:rsidRPr="006559C8" w:rsidRDefault="0077175F">
          <w:pPr>
            <w:pStyle w:val="TOC2"/>
            <w:tabs>
              <w:tab w:val="right" w:leader="dot" w:pos="9350"/>
            </w:tabs>
            <w:rPr>
              <w:rFonts w:eastAsiaTheme="minorEastAsia" w:cs="Arial"/>
              <w:noProof/>
            </w:rPr>
          </w:pPr>
          <w:hyperlink w:anchor="_Toc57199070" w:history="1">
            <w:r w:rsidR="00F9745C" w:rsidRPr="006559C8">
              <w:rPr>
                <w:rStyle w:val="Hyperlink"/>
                <w:rFonts w:cs="Arial"/>
                <w:bCs/>
                <w:noProof/>
              </w:rPr>
              <w:t xml:space="preserve">Indicator 10: </w:t>
            </w:r>
            <w:r w:rsidR="00F9745C" w:rsidRPr="006559C8">
              <w:rPr>
                <w:rStyle w:val="Hyperlink"/>
                <w:rFonts w:cs="Arial"/>
                <w:noProof/>
              </w:rPr>
              <w:t>Disproportionate Representation by Disability Categories</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_Toc57199070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30</w:t>
            </w:r>
            <w:r w:rsidR="00F9745C" w:rsidRPr="006559C8">
              <w:rPr>
                <w:rFonts w:cs="Arial"/>
                <w:noProof/>
                <w:webHidden/>
              </w:rPr>
              <w:fldChar w:fldCharType="end"/>
            </w:r>
          </w:hyperlink>
        </w:p>
        <w:p w14:paraId="3E0E69AB" w14:textId="0732DDE7" w:rsidR="00F9745C" w:rsidRPr="006559C8" w:rsidRDefault="0077175F">
          <w:pPr>
            <w:pStyle w:val="TOC3"/>
            <w:tabs>
              <w:tab w:val="right" w:leader="dot" w:pos="9350"/>
            </w:tabs>
            <w:rPr>
              <w:rFonts w:ascii="Arial" w:hAnsi="Arial" w:cs="Arial"/>
              <w:noProof/>
              <w:sz w:val="24"/>
              <w:szCs w:val="24"/>
            </w:rPr>
          </w:pPr>
          <w:hyperlink w:anchor="_Toc57199071"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_Toc57199071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30</w:t>
            </w:r>
            <w:r w:rsidR="00F9745C" w:rsidRPr="006559C8">
              <w:rPr>
                <w:rFonts w:ascii="Arial" w:hAnsi="Arial" w:cs="Arial"/>
                <w:noProof/>
                <w:webHidden/>
                <w:sz w:val="24"/>
                <w:szCs w:val="24"/>
              </w:rPr>
              <w:fldChar w:fldCharType="end"/>
            </w:r>
          </w:hyperlink>
        </w:p>
        <w:p w14:paraId="49F8A361" w14:textId="26CF8C7D" w:rsidR="00F9745C" w:rsidRPr="006559C8" w:rsidRDefault="0077175F">
          <w:pPr>
            <w:pStyle w:val="TOC3"/>
            <w:tabs>
              <w:tab w:val="right" w:leader="dot" w:pos="9350"/>
            </w:tabs>
            <w:rPr>
              <w:rFonts w:ascii="Arial" w:hAnsi="Arial" w:cs="Arial"/>
              <w:noProof/>
              <w:sz w:val="24"/>
              <w:szCs w:val="24"/>
            </w:rPr>
          </w:pPr>
          <w:hyperlink w:anchor="_Toc57199072"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_Toc57199072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30</w:t>
            </w:r>
            <w:r w:rsidR="00F9745C" w:rsidRPr="006559C8">
              <w:rPr>
                <w:rFonts w:ascii="Arial" w:hAnsi="Arial" w:cs="Arial"/>
                <w:noProof/>
                <w:webHidden/>
                <w:sz w:val="24"/>
                <w:szCs w:val="24"/>
              </w:rPr>
              <w:fldChar w:fldCharType="end"/>
            </w:r>
          </w:hyperlink>
        </w:p>
        <w:p w14:paraId="62A0AD68" w14:textId="7E655D0B" w:rsidR="00F9745C" w:rsidRPr="006559C8" w:rsidRDefault="0077175F">
          <w:pPr>
            <w:pStyle w:val="TOC3"/>
            <w:tabs>
              <w:tab w:val="right" w:leader="dot" w:pos="9350"/>
            </w:tabs>
            <w:rPr>
              <w:rFonts w:ascii="Arial" w:hAnsi="Arial" w:cs="Arial"/>
              <w:noProof/>
              <w:sz w:val="24"/>
              <w:szCs w:val="24"/>
            </w:rPr>
          </w:pPr>
          <w:hyperlink w:anchor="_Toc57199073"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_Toc57199073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30</w:t>
            </w:r>
            <w:r w:rsidR="00F9745C" w:rsidRPr="006559C8">
              <w:rPr>
                <w:rFonts w:ascii="Arial" w:hAnsi="Arial" w:cs="Arial"/>
                <w:noProof/>
                <w:webHidden/>
                <w:sz w:val="24"/>
                <w:szCs w:val="24"/>
              </w:rPr>
              <w:fldChar w:fldCharType="end"/>
            </w:r>
          </w:hyperlink>
        </w:p>
        <w:p w14:paraId="49296192" w14:textId="29A702AD" w:rsidR="00F9745C" w:rsidRPr="006559C8" w:rsidRDefault="0077175F">
          <w:pPr>
            <w:pStyle w:val="TOC3"/>
            <w:tabs>
              <w:tab w:val="right" w:leader="dot" w:pos="9350"/>
            </w:tabs>
            <w:rPr>
              <w:rFonts w:ascii="Arial" w:hAnsi="Arial" w:cs="Arial"/>
              <w:noProof/>
              <w:sz w:val="24"/>
              <w:szCs w:val="24"/>
            </w:rPr>
          </w:pPr>
          <w:hyperlink w:anchor="_Toc57199074"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_Toc57199074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30</w:t>
            </w:r>
            <w:r w:rsidR="00F9745C" w:rsidRPr="006559C8">
              <w:rPr>
                <w:rFonts w:ascii="Arial" w:hAnsi="Arial" w:cs="Arial"/>
                <w:noProof/>
                <w:webHidden/>
                <w:sz w:val="24"/>
                <w:szCs w:val="24"/>
              </w:rPr>
              <w:fldChar w:fldCharType="end"/>
            </w:r>
          </w:hyperlink>
        </w:p>
        <w:p w14:paraId="5391025E" w14:textId="0A894914" w:rsidR="00F9745C" w:rsidRPr="006559C8" w:rsidRDefault="0077175F">
          <w:pPr>
            <w:pStyle w:val="TOC3"/>
            <w:tabs>
              <w:tab w:val="right" w:leader="dot" w:pos="9350"/>
            </w:tabs>
            <w:rPr>
              <w:rFonts w:ascii="Arial" w:hAnsi="Arial" w:cs="Arial"/>
              <w:noProof/>
              <w:sz w:val="24"/>
              <w:szCs w:val="24"/>
            </w:rPr>
          </w:pPr>
          <w:hyperlink w:anchor="_Toc57199075" w:history="1">
            <w:r w:rsidR="00F9745C" w:rsidRPr="006559C8">
              <w:rPr>
                <w:rStyle w:val="Hyperlink"/>
                <w:rFonts w:ascii="Arial" w:hAnsi="Arial" w:cs="Arial"/>
                <w:noProof/>
                <w:sz w:val="24"/>
                <w:szCs w:val="24"/>
              </w:rPr>
              <w:t>Target Met: 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_Toc57199075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30</w:t>
            </w:r>
            <w:r w:rsidR="00F9745C" w:rsidRPr="006559C8">
              <w:rPr>
                <w:rFonts w:ascii="Arial" w:hAnsi="Arial" w:cs="Arial"/>
                <w:noProof/>
                <w:webHidden/>
                <w:sz w:val="24"/>
                <w:szCs w:val="24"/>
              </w:rPr>
              <w:fldChar w:fldCharType="end"/>
            </w:r>
          </w:hyperlink>
        </w:p>
        <w:p w14:paraId="7D14B24D" w14:textId="3F55D5A1" w:rsidR="00F9745C" w:rsidRPr="006559C8" w:rsidRDefault="0077175F">
          <w:pPr>
            <w:pStyle w:val="TOC2"/>
            <w:tabs>
              <w:tab w:val="right" w:leader="dot" w:pos="9350"/>
            </w:tabs>
            <w:rPr>
              <w:rFonts w:eastAsiaTheme="minorEastAsia" w:cs="Arial"/>
              <w:noProof/>
            </w:rPr>
          </w:pPr>
          <w:hyperlink w:anchor="_Toc57199076" w:history="1">
            <w:r w:rsidR="00F9745C" w:rsidRPr="006559C8">
              <w:rPr>
                <w:rStyle w:val="Hyperlink"/>
                <w:rFonts w:cs="Arial"/>
                <w:noProof/>
              </w:rPr>
              <w:t>Indicator 11: Child Find</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_Toc57199076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31</w:t>
            </w:r>
            <w:r w:rsidR="00F9745C" w:rsidRPr="006559C8">
              <w:rPr>
                <w:rFonts w:cs="Arial"/>
                <w:noProof/>
                <w:webHidden/>
              </w:rPr>
              <w:fldChar w:fldCharType="end"/>
            </w:r>
          </w:hyperlink>
        </w:p>
        <w:p w14:paraId="1E09323B" w14:textId="25191081" w:rsidR="00F9745C" w:rsidRPr="006559C8" w:rsidRDefault="0077175F">
          <w:pPr>
            <w:pStyle w:val="TOC3"/>
            <w:tabs>
              <w:tab w:val="right" w:leader="dot" w:pos="9350"/>
            </w:tabs>
            <w:rPr>
              <w:rFonts w:ascii="Arial" w:hAnsi="Arial" w:cs="Arial"/>
              <w:noProof/>
              <w:sz w:val="24"/>
              <w:szCs w:val="24"/>
            </w:rPr>
          </w:pPr>
          <w:hyperlink w:anchor="_Toc57199077"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_Toc57199077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31</w:t>
            </w:r>
            <w:r w:rsidR="00F9745C" w:rsidRPr="006559C8">
              <w:rPr>
                <w:rFonts w:ascii="Arial" w:hAnsi="Arial" w:cs="Arial"/>
                <w:noProof/>
                <w:webHidden/>
                <w:sz w:val="24"/>
                <w:szCs w:val="24"/>
              </w:rPr>
              <w:fldChar w:fldCharType="end"/>
            </w:r>
          </w:hyperlink>
        </w:p>
        <w:p w14:paraId="61D8B775" w14:textId="3D8D4439" w:rsidR="00F9745C" w:rsidRPr="006559C8" w:rsidRDefault="0077175F">
          <w:pPr>
            <w:pStyle w:val="TOC3"/>
            <w:tabs>
              <w:tab w:val="right" w:leader="dot" w:pos="9350"/>
            </w:tabs>
            <w:rPr>
              <w:rFonts w:ascii="Arial" w:hAnsi="Arial" w:cs="Arial"/>
              <w:noProof/>
              <w:sz w:val="24"/>
              <w:szCs w:val="24"/>
            </w:rPr>
          </w:pPr>
          <w:hyperlink w:anchor="_Toc57199078"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_Toc57199078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31</w:t>
            </w:r>
            <w:r w:rsidR="00F9745C" w:rsidRPr="006559C8">
              <w:rPr>
                <w:rFonts w:ascii="Arial" w:hAnsi="Arial" w:cs="Arial"/>
                <w:noProof/>
                <w:webHidden/>
                <w:sz w:val="24"/>
                <w:szCs w:val="24"/>
              </w:rPr>
              <w:fldChar w:fldCharType="end"/>
            </w:r>
          </w:hyperlink>
        </w:p>
        <w:p w14:paraId="5202DBEB" w14:textId="3F8374F6" w:rsidR="00F9745C" w:rsidRPr="006559C8" w:rsidRDefault="0077175F">
          <w:pPr>
            <w:pStyle w:val="TOC3"/>
            <w:tabs>
              <w:tab w:val="right" w:leader="dot" w:pos="9350"/>
            </w:tabs>
            <w:rPr>
              <w:rFonts w:ascii="Arial" w:hAnsi="Arial" w:cs="Arial"/>
              <w:noProof/>
              <w:sz w:val="24"/>
              <w:szCs w:val="24"/>
            </w:rPr>
          </w:pPr>
          <w:hyperlink w:anchor="_Toc57199079"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_Toc57199079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31</w:t>
            </w:r>
            <w:r w:rsidR="00F9745C" w:rsidRPr="006559C8">
              <w:rPr>
                <w:rFonts w:ascii="Arial" w:hAnsi="Arial" w:cs="Arial"/>
                <w:noProof/>
                <w:webHidden/>
                <w:sz w:val="24"/>
                <w:szCs w:val="24"/>
              </w:rPr>
              <w:fldChar w:fldCharType="end"/>
            </w:r>
          </w:hyperlink>
        </w:p>
        <w:p w14:paraId="52BBAD19" w14:textId="0582E084" w:rsidR="00F9745C" w:rsidRPr="006559C8" w:rsidRDefault="0077175F">
          <w:pPr>
            <w:pStyle w:val="TOC3"/>
            <w:tabs>
              <w:tab w:val="right" w:leader="dot" w:pos="9350"/>
            </w:tabs>
            <w:rPr>
              <w:rFonts w:ascii="Arial" w:hAnsi="Arial" w:cs="Arial"/>
              <w:noProof/>
              <w:sz w:val="24"/>
              <w:szCs w:val="24"/>
            </w:rPr>
          </w:pPr>
          <w:hyperlink w:anchor="_Toc57199080"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_Toc57199080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31</w:t>
            </w:r>
            <w:r w:rsidR="00F9745C" w:rsidRPr="006559C8">
              <w:rPr>
                <w:rFonts w:ascii="Arial" w:hAnsi="Arial" w:cs="Arial"/>
                <w:noProof/>
                <w:webHidden/>
                <w:sz w:val="24"/>
                <w:szCs w:val="24"/>
              </w:rPr>
              <w:fldChar w:fldCharType="end"/>
            </w:r>
          </w:hyperlink>
        </w:p>
        <w:p w14:paraId="04EC730D" w14:textId="611E4F8E" w:rsidR="00F9745C" w:rsidRPr="006559C8" w:rsidRDefault="0077175F">
          <w:pPr>
            <w:pStyle w:val="TOC3"/>
            <w:tabs>
              <w:tab w:val="right" w:leader="dot" w:pos="9350"/>
            </w:tabs>
            <w:rPr>
              <w:rFonts w:ascii="Arial" w:hAnsi="Arial" w:cs="Arial"/>
              <w:noProof/>
              <w:sz w:val="24"/>
              <w:szCs w:val="24"/>
            </w:rPr>
          </w:pPr>
          <w:hyperlink w:anchor="_Toc57199081" w:history="1">
            <w:r w:rsidR="00F9745C" w:rsidRPr="006559C8">
              <w:rPr>
                <w:rStyle w:val="Hyperlink"/>
                <w:rFonts w:ascii="Arial" w:hAnsi="Arial" w:cs="Arial"/>
                <w:noProof/>
                <w:sz w:val="24"/>
                <w:szCs w:val="24"/>
              </w:rPr>
              <w:t xml:space="preserve">Target Met: </w:t>
            </w:r>
            <w:r w:rsidR="00F9745C" w:rsidRPr="006559C8">
              <w:rPr>
                <w:rStyle w:val="Hyperlink"/>
                <w:rFonts w:ascii="Arial" w:hAnsi="Arial" w:cs="Arial"/>
                <w:bCs/>
                <w:noProof/>
                <w:sz w:val="24"/>
                <w:szCs w:val="24"/>
              </w:rPr>
              <w:t>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_Toc57199081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31</w:t>
            </w:r>
            <w:r w:rsidR="00F9745C" w:rsidRPr="006559C8">
              <w:rPr>
                <w:rFonts w:ascii="Arial" w:hAnsi="Arial" w:cs="Arial"/>
                <w:noProof/>
                <w:webHidden/>
                <w:sz w:val="24"/>
                <w:szCs w:val="24"/>
              </w:rPr>
              <w:fldChar w:fldCharType="end"/>
            </w:r>
          </w:hyperlink>
        </w:p>
        <w:p w14:paraId="7E065A76" w14:textId="2ECE4DA6" w:rsidR="00F9745C" w:rsidRPr="006559C8" w:rsidRDefault="0077175F">
          <w:pPr>
            <w:pStyle w:val="TOC2"/>
            <w:tabs>
              <w:tab w:val="right" w:leader="dot" w:pos="9350"/>
            </w:tabs>
            <w:rPr>
              <w:rFonts w:eastAsiaTheme="minorEastAsia" w:cs="Arial"/>
              <w:noProof/>
            </w:rPr>
          </w:pPr>
          <w:hyperlink w:anchor="_Toc57199082" w:history="1">
            <w:r w:rsidR="00F9745C" w:rsidRPr="006559C8">
              <w:rPr>
                <w:rStyle w:val="Hyperlink"/>
                <w:rFonts w:cs="Arial"/>
                <w:noProof/>
              </w:rPr>
              <w:t>Indicator 12: Early Childhood Transition</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_Toc57199082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32</w:t>
            </w:r>
            <w:r w:rsidR="00F9745C" w:rsidRPr="006559C8">
              <w:rPr>
                <w:rFonts w:cs="Arial"/>
                <w:noProof/>
                <w:webHidden/>
              </w:rPr>
              <w:fldChar w:fldCharType="end"/>
            </w:r>
          </w:hyperlink>
        </w:p>
        <w:p w14:paraId="54C96F88" w14:textId="42AA56BC" w:rsidR="00F9745C" w:rsidRPr="006559C8" w:rsidRDefault="0077175F">
          <w:pPr>
            <w:pStyle w:val="TOC3"/>
            <w:tabs>
              <w:tab w:val="right" w:leader="dot" w:pos="9350"/>
            </w:tabs>
            <w:rPr>
              <w:rFonts w:ascii="Arial" w:hAnsi="Arial" w:cs="Arial"/>
              <w:noProof/>
              <w:sz w:val="24"/>
              <w:szCs w:val="24"/>
            </w:rPr>
          </w:pPr>
          <w:hyperlink w:anchor="_Toc57199083"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_Toc57199083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32</w:t>
            </w:r>
            <w:r w:rsidR="00F9745C" w:rsidRPr="006559C8">
              <w:rPr>
                <w:rFonts w:ascii="Arial" w:hAnsi="Arial" w:cs="Arial"/>
                <w:noProof/>
                <w:webHidden/>
                <w:sz w:val="24"/>
                <w:szCs w:val="24"/>
              </w:rPr>
              <w:fldChar w:fldCharType="end"/>
            </w:r>
          </w:hyperlink>
        </w:p>
        <w:p w14:paraId="4EC88840" w14:textId="3A35AF06" w:rsidR="00F9745C" w:rsidRPr="006559C8" w:rsidRDefault="0077175F">
          <w:pPr>
            <w:pStyle w:val="TOC3"/>
            <w:tabs>
              <w:tab w:val="right" w:leader="dot" w:pos="9350"/>
            </w:tabs>
            <w:rPr>
              <w:rFonts w:ascii="Arial" w:hAnsi="Arial" w:cs="Arial"/>
              <w:noProof/>
              <w:sz w:val="24"/>
              <w:szCs w:val="24"/>
            </w:rPr>
          </w:pPr>
          <w:hyperlink w:anchor="_Toc57199084"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_Toc57199084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32</w:t>
            </w:r>
            <w:r w:rsidR="00F9745C" w:rsidRPr="006559C8">
              <w:rPr>
                <w:rFonts w:ascii="Arial" w:hAnsi="Arial" w:cs="Arial"/>
                <w:noProof/>
                <w:webHidden/>
                <w:sz w:val="24"/>
                <w:szCs w:val="24"/>
              </w:rPr>
              <w:fldChar w:fldCharType="end"/>
            </w:r>
          </w:hyperlink>
        </w:p>
        <w:p w14:paraId="7E1FE2E7" w14:textId="7E1327BF" w:rsidR="00F9745C" w:rsidRPr="006559C8" w:rsidRDefault="0077175F">
          <w:pPr>
            <w:pStyle w:val="TOC3"/>
            <w:tabs>
              <w:tab w:val="right" w:leader="dot" w:pos="9350"/>
            </w:tabs>
            <w:rPr>
              <w:rFonts w:ascii="Arial" w:hAnsi="Arial" w:cs="Arial"/>
              <w:noProof/>
              <w:sz w:val="24"/>
              <w:szCs w:val="24"/>
            </w:rPr>
          </w:pPr>
          <w:hyperlink w:anchor="_Toc57199085"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_Toc57199085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32</w:t>
            </w:r>
            <w:r w:rsidR="00F9745C" w:rsidRPr="006559C8">
              <w:rPr>
                <w:rFonts w:ascii="Arial" w:hAnsi="Arial" w:cs="Arial"/>
                <w:noProof/>
                <w:webHidden/>
                <w:sz w:val="24"/>
                <w:szCs w:val="24"/>
              </w:rPr>
              <w:fldChar w:fldCharType="end"/>
            </w:r>
          </w:hyperlink>
        </w:p>
        <w:p w14:paraId="2850A816" w14:textId="40EB7A97" w:rsidR="00F9745C" w:rsidRPr="006559C8" w:rsidRDefault="0077175F">
          <w:pPr>
            <w:pStyle w:val="TOC3"/>
            <w:tabs>
              <w:tab w:val="right" w:leader="dot" w:pos="9350"/>
            </w:tabs>
            <w:rPr>
              <w:rFonts w:ascii="Arial" w:hAnsi="Arial" w:cs="Arial"/>
              <w:noProof/>
              <w:sz w:val="24"/>
              <w:szCs w:val="24"/>
            </w:rPr>
          </w:pPr>
          <w:hyperlink w:anchor="_Toc57199086"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_Toc57199086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32</w:t>
            </w:r>
            <w:r w:rsidR="00F9745C" w:rsidRPr="006559C8">
              <w:rPr>
                <w:rFonts w:ascii="Arial" w:hAnsi="Arial" w:cs="Arial"/>
                <w:noProof/>
                <w:webHidden/>
                <w:sz w:val="24"/>
                <w:szCs w:val="24"/>
              </w:rPr>
              <w:fldChar w:fldCharType="end"/>
            </w:r>
          </w:hyperlink>
        </w:p>
        <w:p w14:paraId="394D2AAF" w14:textId="7A4139E2" w:rsidR="00F9745C" w:rsidRPr="006559C8" w:rsidRDefault="0077175F">
          <w:pPr>
            <w:pStyle w:val="TOC3"/>
            <w:tabs>
              <w:tab w:val="right" w:leader="dot" w:pos="9350"/>
            </w:tabs>
            <w:rPr>
              <w:rFonts w:ascii="Arial" w:hAnsi="Arial" w:cs="Arial"/>
              <w:noProof/>
              <w:sz w:val="24"/>
              <w:szCs w:val="24"/>
            </w:rPr>
          </w:pPr>
          <w:hyperlink w:anchor="_Toc57199087" w:history="1">
            <w:r w:rsidR="00F9745C" w:rsidRPr="006559C8">
              <w:rPr>
                <w:rStyle w:val="Hyperlink"/>
                <w:rFonts w:ascii="Arial" w:hAnsi="Arial" w:cs="Arial"/>
                <w:noProof/>
                <w:sz w:val="24"/>
                <w:szCs w:val="24"/>
              </w:rPr>
              <w:t>Target Met: 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_Toc57199087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33</w:t>
            </w:r>
            <w:r w:rsidR="00F9745C" w:rsidRPr="006559C8">
              <w:rPr>
                <w:rFonts w:ascii="Arial" w:hAnsi="Arial" w:cs="Arial"/>
                <w:noProof/>
                <w:webHidden/>
                <w:sz w:val="24"/>
                <w:szCs w:val="24"/>
              </w:rPr>
              <w:fldChar w:fldCharType="end"/>
            </w:r>
          </w:hyperlink>
        </w:p>
        <w:p w14:paraId="606B5B7B" w14:textId="18AA7BAE" w:rsidR="00F9745C" w:rsidRPr="006559C8" w:rsidRDefault="0077175F">
          <w:pPr>
            <w:pStyle w:val="TOC2"/>
            <w:tabs>
              <w:tab w:val="right" w:leader="dot" w:pos="9350"/>
            </w:tabs>
            <w:rPr>
              <w:rFonts w:eastAsiaTheme="minorEastAsia" w:cs="Arial"/>
              <w:noProof/>
            </w:rPr>
          </w:pPr>
          <w:hyperlink w:anchor="_Toc57199088" w:history="1">
            <w:r w:rsidR="00F9745C" w:rsidRPr="006559C8">
              <w:rPr>
                <w:rStyle w:val="Hyperlink"/>
                <w:rFonts w:cs="Arial"/>
                <w:noProof/>
              </w:rPr>
              <w:t>Indicator 13: Secondary Transition</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_Toc57199088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34</w:t>
            </w:r>
            <w:r w:rsidR="00F9745C" w:rsidRPr="006559C8">
              <w:rPr>
                <w:rFonts w:cs="Arial"/>
                <w:noProof/>
                <w:webHidden/>
              </w:rPr>
              <w:fldChar w:fldCharType="end"/>
            </w:r>
          </w:hyperlink>
        </w:p>
        <w:p w14:paraId="11A16AB5" w14:textId="719E5C82" w:rsidR="00F9745C" w:rsidRPr="006559C8" w:rsidRDefault="0077175F">
          <w:pPr>
            <w:pStyle w:val="TOC3"/>
            <w:tabs>
              <w:tab w:val="right" w:leader="dot" w:pos="9350"/>
            </w:tabs>
            <w:rPr>
              <w:rFonts w:ascii="Arial" w:hAnsi="Arial" w:cs="Arial"/>
              <w:noProof/>
              <w:sz w:val="24"/>
              <w:szCs w:val="24"/>
            </w:rPr>
          </w:pPr>
          <w:hyperlink w:anchor="_Toc57199089"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_Toc57199089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34</w:t>
            </w:r>
            <w:r w:rsidR="00F9745C" w:rsidRPr="006559C8">
              <w:rPr>
                <w:rFonts w:ascii="Arial" w:hAnsi="Arial" w:cs="Arial"/>
                <w:noProof/>
                <w:webHidden/>
                <w:sz w:val="24"/>
                <w:szCs w:val="24"/>
              </w:rPr>
              <w:fldChar w:fldCharType="end"/>
            </w:r>
          </w:hyperlink>
        </w:p>
        <w:p w14:paraId="7887603E" w14:textId="31E2733E" w:rsidR="00F9745C" w:rsidRPr="006559C8" w:rsidRDefault="0077175F">
          <w:pPr>
            <w:pStyle w:val="TOC3"/>
            <w:tabs>
              <w:tab w:val="right" w:leader="dot" w:pos="9350"/>
            </w:tabs>
            <w:rPr>
              <w:rFonts w:ascii="Arial" w:hAnsi="Arial" w:cs="Arial"/>
              <w:noProof/>
              <w:sz w:val="24"/>
              <w:szCs w:val="24"/>
            </w:rPr>
          </w:pPr>
          <w:hyperlink w:anchor="_Toc57199090"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_Toc57199090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34</w:t>
            </w:r>
            <w:r w:rsidR="00F9745C" w:rsidRPr="006559C8">
              <w:rPr>
                <w:rFonts w:ascii="Arial" w:hAnsi="Arial" w:cs="Arial"/>
                <w:noProof/>
                <w:webHidden/>
                <w:sz w:val="24"/>
                <w:szCs w:val="24"/>
              </w:rPr>
              <w:fldChar w:fldCharType="end"/>
            </w:r>
          </w:hyperlink>
        </w:p>
        <w:p w14:paraId="7C841717" w14:textId="5C56117A" w:rsidR="00F9745C" w:rsidRPr="006559C8" w:rsidRDefault="0077175F">
          <w:pPr>
            <w:pStyle w:val="TOC3"/>
            <w:tabs>
              <w:tab w:val="right" w:leader="dot" w:pos="9350"/>
            </w:tabs>
            <w:rPr>
              <w:rFonts w:ascii="Arial" w:hAnsi="Arial" w:cs="Arial"/>
              <w:noProof/>
              <w:sz w:val="24"/>
              <w:szCs w:val="24"/>
            </w:rPr>
          </w:pPr>
          <w:hyperlink w:anchor="_Toc57199091"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_Toc57199091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34</w:t>
            </w:r>
            <w:r w:rsidR="00F9745C" w:rsidRPr="006559C8">
              <w:rPr>
                <w:rFonts w:ascii="Arial" w:hAnsi="Arial" w:cs="Arial"/>
                <w:noProof/>
                <w:webHidden/>
                <w:sz w:val="24"/>
                <w:szCs w:val="24"/>
              </w:rPr>
              <w:fldChar w:fldCharType="end"/>
            </w:r>
          </w:hyperlink>
        </w:p>
        <w:p w14:paraId="7276D533" w14:textId="14300E64" w:rsidR="00F9745C" w:rsidRPr="006559C8" w:rsidRDefault="0077175F">
          <w:pPr>
            <w:pStyle w:val="TOC3"/>
            <w:tabs>
              <w:tab w:val="right" w:leader="dot" w:pos="9350"/>
            </w:tabs>
            <w:rPr>
              <w:rFonts w:ascii="Arial" w:hAnsi="Arial" w:cs="Arial"/>
              <w:noProof/>
              <w:sz w:val="24"/>
              <w:szCs w:val="24"/>
            </w:rPr>
          </w:pPr>
          <w:hyperlink w:anchor="_Toc57199092"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_Toc57199092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34</w:t>
            </w:r>
            <w:r w:rsidR="00F9745C" w:rsidRPr="006559C8">
              <w:rPr>
                <w:rFonts w:ascii="Arial" w:hAnsi="Arial" w:cs="Arial"/>
                <w:noProof/>
                <w:webHidden/>
                <w:sz w:val="24"/>
                <w:szCs w:val="24"/>
              </w:rPr>
              <w:fldChar w:fldCharType="end"/>
            </w:r>
          </w:hyperlink>
        </w:p>
        <w:p w14:paraId="53DDEB81" w14:textId="3A73EAB4" w:rsidR="00F9745C" w:rsidRPr="006559C8" w:rsidRDefault="0077175F">
          <w:pPr>
            <w:pStyle w:val="TOC3"/>
            <w:tabs>
              <w:tab w:val="right" w:leader="dot" w:pos="9350"/>
            </w:tabs>
            <w:rPr>
              <w:rFonts w:ascii="Arial" w:hAnsi="Arial" w:cs="Arial"/>
              <w:noProof/>
              <w:sz w:val="24"/>
              <w:szCs w:val="24"/>
            </w:rPr>
          </w:pPr>
          <w:hyperlink w:anchor="_Toc57199093" w:history="1">
            <w:r w:rsidR="00F9745C" w:rsidRPr="006559C8">
              <w:rPr>
                <w:rStyle w:val="Hyperlink"/>
                <w:rFonts w:ascii="Arial" w:hAnsi="Arial" w:cs="Arial"/>
                <w:noProof/>
                <w:sz w:val="24"/>
                <w:szCs w:val="24"/>
              </w:rPr>
              <w:t>Target Met: 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_Toc57199093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34</w:t>
            </w:r>
            <w:r w:rsidR="00F9745C" w:rsidRPr="006559C8">
              <w:rPr>
                <w:rFonts w:ascii="Arial" w:hAnsi="Arial" w:cs="Arial"/>
                <w:noProof/>
                <w:webHidden/>
                <w:sz w:val="24"/>
                <w:szCs w:val="24"/>
              </w:rPr>
              <w:fldChar w:fldCharType="end"/>
            </w:r>
          </w:hyperlink>
        </w:p>
        <w:p w14:paraId="03A095F3" w14:textId="29F1E499" w:rsidR="00F9745C" w:rsidRPr="006559C8" w:rsidRDefault="0077175F">
          <w:pPr>
            <w:pStyle w:val="TOC2"/>
            <w:tabs>
              <w:tab w:val="right" w:leader="dot" w:pos="9350"/>
            </w:tabs>
            <w:rPr>
              <w:rFonts w:eastAsiaTheme="minorEastAsia" w:cs="Arial"/>
              <w:noProof/>
            </w:rPr>
          </w:pPr>
          <w:hyperlink w:anchor="_Toc57199094" w:history="1">
            <w:r w:rsidR="00F9745C" w:rsidRPr="006559C8">
              <w:rPr>
                <w:rStyle w:val="Hyperlink"/>
                <w:rFonts w:cs="Arial"/>
                <w:noProof/>
              </w:rPr>
              <w:t>Indicator 14: Post-school Outcomes</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_Toc57199094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36</w:t>
            </w:r>
            <w:r w:rsidR="00F9745C" w:rsidRPr="006559C8">
              <w:rPr>
                <w:rFonts w:cs="Arial"/>
                <w:noProof/>
                <w:webHidden/>
              </w:rPr>
              <w:fldChar w:fldCharType="end"/>
            </w:r>
          </w:hyperlink>
        </w:p>
        <w:p w14:paraId="42A535D6" w14:textId="7646CDC2" w:rsidR="00F9745C" w:rsidRPr="006559C8" w:rsidRDefault="0077175F">
          <w:pPr>
            <w:pStyle w:val="TOC3"/>
            <w:tabs>
              <w:tab w:val="right" w:leader="dot" w:pos="9350"/>
            </w:tabs>
            <w:rPr>
              <w:rFonts w:ascii="Arial" w:hAnsi="Arial" w:cs="Arial"/>
              <w:noProof/>
              <w:sz w:val="24"/>
              <w:szCs w:val="24"/>
            </w:rPr>
          </w:pPr>
          <w:hyperlink w:anchor="_Toc57199095"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_Toc57199095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36</w:t>
            </w:r>
            <w:r w:rsidR="00F9745C" w:rsidRPr="006559C8">
              <w:rPr>
                <w:rFonts w:ascii="Arial" w:hAnsi="Arial" w:cs="Arial"/>
                <w:noProof/>
                <w:webHidden/>
                <w:sz w:val="24"/>
                <w:szCs w:val="24"/>
              </w:rPr>
              <w:fldChar w:fldCharType="end"/>
            </w:r>
          </w:hyperlink>
        </w:p>
        <w:p w14:paraId="570F332C" w14:textId="6E239614" w:rsidR="00F9745C" w:rsidRPr="006559C8" w:rsidRDefault="0077175F">
          <w:pPr>
            <w:pStyle w:val="TOC3"/>
            <w:tabs>
              <w:tab w:val="right" w:leader="dot" w:pos="9350"/>
            </w:tabs>
            <w:rPr>
              <w:rFonts w:ascii="Arial" w:hAnsi="Arial" w:cs="Arial"/>
              <w:noProof/>
              <w:sz w:val="24"/>
              <w:szCs w:val="24"/>
            </w:rPr>
          </w:pPr>
          <w:hyperlink w:anchor="_Toc57199096"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_Toc57199096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36</w:t>
            </w:r>
            <w:r w:rsidR="00F9745C" w:rsidRPr="006559C8">
              <w:rPr>
                <w:rFonts w:ascii="Arial" w:hAnsi="Arial" w:cs="Arial"/>
                <w:noProof/>
                <w:webHidden/>
                <w:sz w:val="24"/>
                <w:szCs w:val="24"/>
              </w:rPr>
              <w:fldChar w:fldCharType="end"/>
            </w:r>
          </w:hyperlink>
        </w:p>
        <w:p w14:paraId="7D2B166B" w14:textId="2829E8FE" w:rsidR="00F9745C" w:rsidRPr="006559C8" w:rsidRDefault="0077175F">
          <w:pPr>
            <w:pStyle w:val="TOC3"/>
            <w:tabs>
              <w:tab w:val="right" w:leader="dot" w:pos="9350"/>
            </w:tabs>
            <w:rPr>
              <w:rFonts w:ascii="Arial" w:hAnsi="Arial" w:cs="Arial"/>
              <w:noProof/>
              <w:sz w:val="24"/>
              <w:szCs w:val="24"/>
            </w:rPr>
          </w:pPr>
          <w:hyperlink w:anchor="_Toc57199097"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_Toc57199097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36</w:t>
            </w:r>
            <w:r w:rsidR="00F9745C" w:rsidRPr="006559C8">
              <w:rPr>
                <w:rFonts w:ascii="Arial" w:hAnsi="Arial" w:cs="Arial"/>
                <w:noProof/>
                <w:webHidden/>
                <w:sz w:val="24"/>
                <w:szCs w:val="24"/>
              </w:rPr>
              <w:fldChar w:fldCharType="end"/>
            </w:r>
          </w:hyperlink>
        </w:p>
        <w:p w14:paraId="7907F53D" w14:textId="107237E3" w:rsidR="00F9745C" w:rsidRPr="006559C8" w:rsidRDefault="0077175F">
          <w:pPr>
            <w:pStyle w:val="TOC3"/>
            <w:tabs>
              <w:tab w:val="right" w:leader="dot" w:pos="9350"/>
            </w:tabs>
            <w:rPr>
              <w:rFonts w:ascii="Arial" w:hAnsi="Arial" w:cs="Arial"/>
              <w:noProof/>
              <w:sz w:val="24"/>
              <w:szCs w:val="24"/>
            </w:rPr>
          </w:pPr>
          <w:hyperlink w:anchor="_Toc57199098"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_Toc57199098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37</w:t>
            </w:r>
            <w:r w:rsidR="00F9745C" w:rsidRPr="006559C8">
              <w:rPr>
                <w:rFonts w:ascii="Arial" w:hAnsi="Arial" w:cs="Arial"/>
                <w:noProof/>
                <w:webHidden/>
                <w:sz w:val="24"/>
                <w:szCs w:val="24"/>
              </w:rPr>
              <w:fldChar w:fldCharType="end"/>
            </w:r>
          </w:hyperlink>
        </w:p>
        <w:p w14:paraId="4158146E" w14:textId="61154900" w:rsidR="00F9745C" w:rsidRPr="006559C8" w:rsidRDefault="0077175F">
          <w:pPr>
            <w:pStyle w:val="TOC3"/>
            <w:tabs>
              <w:tab w:val="right" w:leader="dot" w:pos="9350"/>
            </w:tabs>
            <w:rPr>
              <w:rFonts w:ascii="Arial" w:hAnsi="Arial" w:cs="Arial"/>
              <w:noProof/>
              <w:sz w:val="24"/>
              <w:szCs w:val="24"/>
            </w:rPr>
          </w:pPr>
          <w:hyperlink w:anchor="_Toc57199099" w:history="1">
            <w:r w:rsidR="00F9745C" w:rsidRPr="006559C8">
              <w:rPr>
                <w:rStyle w:val="Hyperlink"/>
                <w:rFonts w:ascii="Arial" w:hAnsi="Arial" w:cs="Arial"/>
                <w:noProof/>
                <w:sz w:val="24"/>
                <w:szCs w:val="24"/>
              </w:rPr>
              <w:t>Target Met: 14A Yes, 14B Yes, 14C Yes</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_Toc57199099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37</w:t>
            </w:r>
            <w:r w:rsidR="00F9745C" w:rsidRPr="006559C8">
              <w:rPr>
                <w:rFonts w:ascii="Arial" w:hAnsi="Arial" w:cs="Arial"/>
                <w:noProof/>
                <w:webHidden/>
                <w:sz w:val="24"/>
                <w:szCs w:val="24"/>
              </w:rPr>
              <w:fldChar w:fldCharType="end"/>
            </w:r>
          </w:hyperlink>
        </w:p>
        <w:p w14:paraId="6B148FC2" w14:textId="7C0D516A" w:rsidR="00F9745C" w:rsidRPr="006559C8" w:rsidRDefault="0077175F">
          <w:pPr>
            <w:pStyle w:val="TOC2"/>
            <w:tabs>
              <w:tab w:val="right" w:leader="dot" w:pos="9350"/>
            </w:tabs>
            <w:rPr>
              <w:rFonts w:eastAsiaTheme="minorEastAsia" w:cs="Arial"/>
              <w:noProof/>
            </w:rPr>
          </w:pPr>
          <w:hyperlink w:anchor="_Toc57199100" w:history="1">
            <w:r w:rsidR="00F9745C" w:rsidRPr="006559C8">
              <w:rPr>
                <w:rStyle w:val="Hyperlink"/>
                <w:rFonts w:cs="Arial"/>
                <w:noProof/>
              </w:rPr>
              <w:t>Indicator 15: Resolution Sessions</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_Toc57199100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38</w:t>
            </w:r>
            <w:r w:rsidR="00F9745C" w:rsidRPr="006559C8">
              <w:rPr>
                <w:rFonts w:cs="Arial"/>
                <w:noProof/>
                <w:webHidden/>
              </w:rPr>
              <w:fldChar w:fldCharType="end"/>
            </w:r>
          </w:hyperlink>
        </w:p>
        <w:p w14:paraId="0EDBF07A" w14:textId="0A5E5CDA" w:rsidR="00F9745C" w:rsidRPr="006559C8" w:rsidRDefault="0077175F">
          <w:pPr>
            <w:pStyle w:val="TOC3"/>
            <w:tabs>
              <w:tab w:val="right" w:leader="dot" w:pos="9350"/>
            </w:tabs>
            <w:rPr>
              <w:rFonts w:ascii="Arial" w:hAnsi="Arial" w:cs="Arial"/>
              <w:noProof/>
              <w:sz w:val="24"/>
              <w:szCs w:val="24"/>
            </w:rPr>
          </w:pPr>
          <w:hyperlink w:anchor="_Toc57199101"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_Toc57199101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38</w:t>
            </w:r>
            <w:r w:rsidR="00F9745C" w:rsidRPr="006559C8">
              <w:rPr>
                <w:rFonts w:ascii="Arial" w:hAnsi="Arial" w:cs="Arial"/>
                <w:noProof/>
                <w:webHidden/>
                <w:sz w:val="24"/>
                <w:szCs w:val="24"/>
              </w:rPr>
              <w:fldChar w:fldCharType="end"/>
            </w:r>
          </w:hyperlink>
        </w:p>
        <w:p w14:paraId="26A53A7C" w14:textId="34D005D4" w:rsidR="00F9745C" w:rsidRPr="006559C8" w:rsidRDefault="0077175F">
          <w:pPr>
            <w:pStyle w:val="TOC3"/>
            <w:tabs>
              <w:tab w:val="right" w:leader="dot" w:pos="9350"/>
            </w:tabs>
            <w:rPr>
              <w:rFonts w:ascii="Arial" w:hAnsi="Arial" w:cs="Arial"/>
              <w:noProof/>
              <w:sz w:val="24"/>
              <w:szCs w:val="24"/>
            </w:rPr>
          </w:pPr>
          <w:hyperlink w:anchor="_Toc57199102"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_Toc57199102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38</w:t>
            </w:r>
            <w:r w:rsidR="00F9745C" w:rsidRPr="006559C8">
              <w:rPr>
                <w:rFonts w:ascii="Arial" w:hAnsi="Arial" w:cs="Arial"/>
                <w:noProof/>
                <w:webHidden/>
                <w:sz w:val="24"/>
                <w:szCs w:val="24"/>
              </w:rPr>
              <w:fldChar w:fldCharType="end"/>
            </w:r>
          </w:hyperlink>
        </w:p>
        <w:p w14:paraId="2BC1696F" w14:textId="313CD96A" w:rsidR="00F9745C" w:rsidRPr="006559C8" w:rsidRDefault="0077175F">
          <w:pPr>
            <w:pStyle w:val="TOC3"/>
            <w:tabs>
              <w:tab w:val="right" w:leader="dot" w:pos="9350"/>
            </w:tabs>
            <w:rPr>
              <w:rFonts w:ascii="Arial" w:hAnsi="Arial" w:cs="Arial"/>
              <w:noProof/>
              <w:sz w:val="24"/>
              <w:szCs w:val="24"/>
            </w:rPr>
          </w:pPr>
          <w:hyperlink w:anchor="_Toc57199103"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_Toc57199103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38</w:t>
            </w:r>
            <w:r w:rsidR="00F9745C" w:rsidRPr="006559C8">
              <w:rPr>
                <w:rFonts w:ascii="Arial" w:hAnsi="Arial" w:cs="Arial"/>
                <w:noProof/>
                <w:webHidden/>
                <w:sz w:val="24"/>
                <w:szCs w:val="24"/>
              </w:rPr>
              <w:fldChar w:fldCharType="end"/>
            </w:r>
          </w:hyperlink>
        </w:p>
        <w:p w14:paraId="35F69E9E" w14:textId="20C2BF62" w:rsidR="00F9745C" w:rsidRPr="006559C8" w:rsidRDefault="0077175F">
          <w:pPr>
            <w:pStyle w:val="TOC3"/>
            <w:tabs>
              <w:tab w:val="right" w:leader="dot" w:pos="9350"/>
            </w:tabs>
            <w:rPr>
              <w:rFonts w:ascii="Arial" w:hAnsi="Arial" w:cs="Arial"/>
              <w:noProof/>
              <w:sz w:val="24"/>
              <w:szCs w:val="24"/>
            </w:rPr>
          </w:pPr>
          <w:hyperlink w:anchor="_Toc57199104"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_Toc57199104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38</w:t>
            </w:r>
            <w:r w:rsidR="00F9745C" w:rsidRPr="006559C8">
              <w:rPr>
                <w:rFonts w:ascii="Arial" w:hAnsi="Arial" w:cs="Arial"/>
                <w:noProof/>
                <w:webHidden/>
                <w:sz w:val="24"/>
                <w:szCs w:val="24"/>
              </w:rPr>
              <w:fldChar w:fldCharType="end"/>
            </w:r>
          </w:hyperlink>
        </w:p>
        <w:p w14:paraId="512FDE53" w14:textId="451E7F33" w:rsidR="00F9745C" w:rsidRPr="006559C8" w:rsidRDefault="0077175F">
          <w:pPr>
            <w:pStyle w:val="TOC3"/>
            <w:tabs>
              <w:tab w:val="right" w:leader="dot" w:pos="9350"/>
            </w:tabs>
            <w:rPr>
              <w:rFonts w:ascii="Arial" w:hAnsi="Arial" w:cs="Arial"/>
              <w:noProof/>
              <w:sz w:val="24"/>
              <w:szCs w:val="24"/>
            </w:rPr>
          </w:pPr>
          <w:hyperlink w:anchor="_Toc57199105" w:history="1">
            <w:r w:rsidR="00F9745C" w:rsidRPr="006559C8">
              <w:rPr>
                <w:rStyle w:val="Hyperlink"/>
                <w:rFonts w:ascii="Arial" w:hAnsi="Arial" w:cs="Arial"/>
                <w:noProof/>
                <w:sz w:val="24"/>
                <w:szCs w:val="24"/>
              </w:rPr>
              <w:t>Target Met: 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_Toc57199105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38</w:t>
            </w:r>
            <w:r w:rsidR="00F9745C" w:rsidRPr="006559C8">
              <w:rPr>
                <w:rFonts w:ascii="Arial" w:hAnsi="Arial" w:cs="Arial"/>
                <w:noProof/>
                <w:webHidden/>
                <w:sz w:val="24"/>
                <w:szCs w:val="24"/>
              </w:rPr>
              <w:fldChar w:fldCharType="end"/>
            </w:r>
          </w:hyperlink>
        </w:p>
        <w:p w14:paraId="34710892" w14:textId="48CF6010" w:rsidR="00F9745C" w:rsidRPr="006559C8" w:rsidRDefault="0077175F">
          <w:pPr>
            <w:pStyle w:val="TOC2"/>
            <w:tabs>
              <w:tab w:val="right" w:leader="dot" w:pos="9350"/>
            </w:tabs>
            <w:rPr>
              <w:rFonts w:eastAsiaTheme="minorEastAsia" w:cs="Arial"/>
              <w:noProof/>
            </w:rPr>
          </w:pPr>
          <w:hyperlink w:anchor="_Toc57199106" w:history="1">
            <w:r w:rsidR="00F9745C" w:rsidRPr="006559C8">
              <w:rPr>
                <w:rStyle w:val="Hyperlink"/>
                <w:rFonts w:cs="Arial"/>
                <w:noProof/>
              </w:rPr>
              <w:t>Indicator 16: Mediation</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_Toc57199106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39</w:t>
            </w:r>
            <w:r w:rsidR="00F9745C" w:rsidRPr="006559C8">
              <w:rPr>
                <w:rFonts w:cs="Arial"/>
                <w:noProof/>
                <w:webHidden/>
              </w:rPr>
              <w:fldChar w:fldCharType="end"/>
            </w:r>
          </w:hyperlink>
        </w:p>
        <w:p w14:paraId="6F628A86" w14:textId="5775DE35" w:rsidR="00F9745C" w:rsidRPr="006559C8" w:rsidRDefault="0077175F">
          <w:pPr>
            <w:pStyle w:val="TOC3"/>
            <w:tabs>
              <w:tab w:val="right" w:leader="dot" w:pos="9350"/>
            </w:tabs>
            <w:rPr>
              <w:rFonts w:ascii="Arial" w:hAnsi="Arial" w:cs="Arial"/>
              <w:noProof/>
              <w:sz w:val="24"/>
              <w:szCs w:val="24"/>
            </w:rPr>
          </w:pPr>
          <w:hyperlink w:anchor="_Toc57199107"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_Toc57199107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39</w:t>
            </w:r>
            <w:r w:rsidR="00F9745C" w:rsidRPr="006559C8">
              <w:rPr>
                <w:rFonts w:ascii="Arial" w:hAnsi="Arial" w:cs="Arial"/>
                <w:noProof/>
                <w:webHidden/>
                <w:sz w:val="24"/>
                <w:szCs w:val="24"/>
              </w:rPr>
              <w:fldChar w:fldCharType="end"/>
            </w:r>
          </w:hyperlink>
        </w:p>
        <w:p w14:paraId="32692D71" w14:textId="504DE15B" w:rsidR="00F9745C" w:rsidRPr="006559C8" w:rsidRDefault="0077175F">
          <w:pPr>
            <w:pStyle w:val="TOC3"/>
            <w:tabs>
              <w:tab w:val="right" w:leader="dot" w:pos="9350"/>
            </w:tabs>
            <w:rPr>
              <w:rFonts w:ascii="Arial" w:hAnsi="Arial" w:cs="Arial"/>
              <w:noProof/>
              <w:sz w:val="24"/>
              <w:szCs w:val="24"/>
            </w:rPr>
          </w:pPr>
          <w:hyperlink w:anchor="_Toc57199108" w:history="1">
            <w:r w:rsidR="00F9745C" w:rsidRPr="006559C8">
              <w:rPr>
                <w:rStyle w:val="Hyperlink"/>
                <w:rFonts w:ascii="Arial" w:hAnsi="Arial" w:cs="Arial"/>
                <w:noProof/>
                <w:sz w:val="24"/>
                <w:szCs w:val="24"/>
              </w:rPr>
              <w:t>Target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_Toc57199108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39</w:t>
            </w:r>
            <w:r w:rsidR="00F9745C" w:rsidRPr="006559C8">
              <w:rPr>
                <w:rFonts w:ascii="Arial" w:hAnsi="Arial" w:cs="Arial"/>
                <w:noProof/>
                <w:webHidden/>
                <w:sz w:val="24"/>
                <w:szCs w:val="24"/>
              </w:rPr>
              <w:fldChar w:fldCharType="end"/>
            </w:r>
          </w:hyperlink>
        </w:p>
        <w:p w14:paraId="08011E26" w14:textId="7B487EB0" w:rsidR="00F9745C" w:rsidRPr="006559C8" w:rsidRDefault="0077175F">
          <w:pPr>
            <w:pStyle w:val="TOC3"/>
            <w:tabs>
              <w:tab w:val="right" w:leader="dot" w:pos="9350"/>
            </w:tabs>
            <w:rPr>
              <w:rFonts w:ascii="Arial" w:hAnsi="Arial" w:cs="Arial"/>
              <w:noProof/>
              <w:sz w:val="24"/>
              <w:szCs w:val="24"/>
            </w:rPr>
          </w:pPr>
          <w:hyperlink w:anchor="_Toc57199109" w:history="1">
            <w:r w:rsidR="00F9745C" w:rsidRPr="006559C8">
              <w:rPr>
                <w:rStyle w:val="Hyperlink"/>
                <w:rFonts w:ascii="Arial" w:hAnsi="Arial" w:cs="Arial"/>
                <w:noProof/>
                <w:sz w:val="24"/>
                <w:szCs w:val="24"/>
              </w:rPr>
              <w:t>Measurement</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_Toc57199109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39</w:t>
            </w:r>
            <w:r w:rsidR="00F9745C" w:rsidRPr="006559C8">
              <w:rPr>
                <w:rFonts w:ascii="Arial" w:hAnsi="Arial" w:cs="Arial"/>
                <w:noProof/>
                <w:webHidden/>
                <w:sz w:val="24"/>
                <w:szCs w:val="24"/>
              </w:rPr>
              <w:fldChar w:fldCharType="end"/>
            </w:r>
          </w:hyperlink>
        </w:p>
        <w:p w14:paraId="2DEE3FF8" w14:textId="6C23DCE5" w:rsidR="00F9745C" w:rsidRPr="006559C8" w:rsidRDefault="0077175F">
          <w:pPr>
            <w:pStyle w:val="TOC3"/>
            <w:tabs>
              <w:tab w:val="right" w:leader="dot" w:pos="9350"/>
            </w:tabs>
            <w:rPr>
              <w:rFonts w:ascii="Arial" w:hAnsi="Arial" w:cs="Arial"/>
              <w:noProof/>
              <w:sz w:val="24"/>
              <w:szCs w:val="24"/>
            </w:rPr>
          </w:pPr>
          <w:hyperlink w:anchor="_Toc57199110" w:history="1">
            <w:r w:rsidR="00F9745C" w:rsidRPr="006559C8">
              <w:rPr>
                <w:rStyle w:val="Hyperlink"/>
                <w:rFonts w:ascii="Arial" w:hAnsi="Arial" w:cs="Arial"/>
                <w:noProof/>
                <w:sz w:val="24"/>
                <w:szCs w:val="24"/>
              </w:rPr>
              <w:t>Results for 2019–20</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_Toc57199110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39</w:t>
            </w:r>
            <w:r w:rsidR="00F9745C" w:rsidRPr="006559C8">
              <w:rPr>
                <w:rFonts w:ascii="Arial" w:hAnsi="Arial" w:cs="Arial"/>
                <w:noProof/>
                <w:webHidden/>
                <w:sz w:val="24"/>
                <w:szCs w:val="24"/>
              </w:rPr>
              <w:fldChar w:fldCharType="end"/>
            </w:r>
          </w:hyperlink>
        </w:p>
        <w:p w14:paraId="2818CE5C" w14:textId="4B67BEE8" w:rsidR="00F9745C" w:rsidRPr="006559C8" w:rsidRDefault="0077175F">
          <w:pPr>
            <w:pStyle w:val="TOC3"/>
            <w:tabs>
              <w:tab w:val="right" w:leader="dot" w:pos="9350"/>
            </w:tabs>
            <w:rPr>
              <w:rFonts w:ascii="Arial" w:hAnsi="Arial" w:cs="Arial"/>
              <w:noProof/>
              <w:sz w:val="24"/>
              <w:szCs w:val="24"/>
            </w:rPr>
          </w:pPr>
          <w:hyperlink w:anchor="_Toc57199111" w:history="1">
            <w:r w:rsidR="00F9745C" w:rsidRPr="006559C8">
              <w:rPr>
                <w:rStyle w:val="Hyperlink"/>
                <w:rFonts w:ascii="Arial" w:hAnsi="Arial" w:cs="Arial"/>
                <w:noProof/>
                <w:sz w:val="24"/>
                <w:szCs w:val="24"/>
              </w:rPr>
              <w:t>Target Met: No</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_Toc57199111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39</w:t>
            </w:r>
            <w:r w:rsidR="00F9745C" w:rsidRPr="006559C8">
              <w:rPr>
                <w:rFonts w:ascii="Arial" w:hAnsi="Arial" w:cs="Arial"/>
                <w:noProof/>
                <w:webHidden/>
                <w:sz w:val="24"/>
                <w:szCs w:val="24"/>
              </w:rPr>
              <w:fldChar w:fldCharType="end"/>
            </w:r>
          </w:hyperlink>
        </w:p>
        <w:p w14:paraId="5AB15AEA" w14:textId="095FA1AD" w:rsidR="00F9745C" w:rsidRPr="006559C8" w:rsidRDefault="0077175F">
          <w:pPr>
            <w:pStyle w:val="TOC2"/>
            <w:tabs>
              <w:tab w:val="right" w:leader="dot" w:pos="9350"/>
            </w:tabs>
            <w:rPr>
              <w:rFonts w:eastAsiaTheme="minorEastAsia" w:cs="Arial"/>
              <w:noProof/>
            </w:rPr>
          </w:pPr>
          <w:hyperlink w:anchor="_Toc57199112" w:history="1">
            <w:r w:rsidR="00F9745C" w:rsidRPr="006559C8">
              <w:rPr>
                <w:rStyle w:val="Hyperlink"/>
                <w:rFonts w:cs="Arial"/>
                <w:noProof/>
              </w:rPr>
              <w:t>Indicator 17: State Systemic Improvement Plan</w:t>
            </w:r>
            <w:r w:rsidR="00F9745C" w:rsidRPr="006559C8">
              <w:rPr>
                <w:rFonts w:cs="Arial"/>
                <w:noProof/>
                <w:webHidden/>
              </w:rPr>
              <w:tab/>
            </w:r>
            <w:r w:rsidR="00F9745C" w:rsidRPr="006559C8">
              <w:rPr>
                <w:rFonts w:cs="Arial"/>
                <w:noProof/>
                <w:webHidden/>
              </w:rPr>
              <w:fldChar w:fldCharType="begin"/>
            </w:r>
            <w:r w:rsidR="00F9745C" w:rsidRPr="006559C8">
              <w:rPr>
                <w:rFonts w:cs="Arial"/>
                <w:noProof/>
                <w:webHidden/>
              </w:rPr>
              <w:instrText xml:space="preserve"> PAGEREF _Toc57199112 \h </w:instrText>
            </w:r>
            <w:r w:rsidR="00F9745C" w:rsidRPr="006559C8">
              <w:rPr>
                <w:rFonts w:cs="Arial"/>
                <w:noProof/>
                <w:webHidden/>
              </w:rPr>
            </w:r>
            <w:r w:rsidR="00F9745C" w:rsidRPr="006559C8">
              <w:rPr>
                <w:rFonts w:cs="Arial"/>
                <w:noProof/>
                <w:webHidden/>
              </w:rPr>
              <w:fldChar w:fldCharType="separate"/>
            </w:r>
            <w:r w:rsidR="00F9745C" w:rsidRPr="006559C8">
              <w:rPr>
                <w:rFonts w:cs="Arial"/>
                <w:noProof/>
                <w:webHidden/>
              </w:rPr>
              <w:t>40</w:t>
            </w:r>
            <w:r w:rsidR="00F9745C" w:rsidRPr="006559C8">
              <w:rPr>
                <w:rFonts w:cs="Arial"/>
                <w:noProof/>
                <w:webHidden/>
              </w:rPr>
              <w:fldChar w:fldCharType="end"/>
            </w:r>
          </w:hyperlink>
        </w:p>
        <w:p w14:paraId="60F9A563" w14:textId="1D235BEB" w:rsidR="00F9745C" w:rsidRPr="006559C8" w:rsidRDefault="0077175F">
          <w:pPr>
            <w:pStyle w:val="TOC3"/>
            <w:tabs>
              <w:tab w:val="right" w:leader="dot" w:pos="9350"/>
            </w:tabs>
            <w:rPr>
              <w:rFonts w:ascii="Arial" w:hAnsi="Arial" w:cs="Arial"/>
              <w:noProof/>
              <w:sz w:val="24"/>
              <w:szCs w:val="24"/>
            </w:rPr>
          </w:pPr>
          <w:hyperlink w:anchor="_Toc57199113" w:history="1">
            <w:r w:rsidR="00F9745C" w:rsidRPr="006559C8">
              <w:rPr>
                <w:rStyle w:val="Hyperlink"/>
                <w:rFonts w:ascii="Arial" w:hAnsi="Arial" w:cs="Arial"/>
                <w:noProof/>
                <w:sz w:val="24"/>
                <w:szCs w:val="24"/>
              </w:rPr>
              <w:t>Description</w:t>
            </w:r>
            <w:r w:rsidR="00F9745C" w:rsidRPr="006559C8">
              <w:rPr>
                <w:rFonts w:ascii="Arial" w:hAnsi="Arial" w:cs="Arial"/>
                <w:noProof/>
                <w:webHidden/>
                <w:sz w:val="24"/>
                <w:szCs w:val="24"/>
              </w:rPr>
              <w:tab/>
            </w:r>
            <w:r w:rsidR="00F9745C" w:rsidRPr="006559C8">
              <w:rPr>
                <w:rFonts w:ascii="Arial" w:hAnsi="Arial" w:cs="Arial"/>
                <w:noProof/>
                <w:webHidden/>
                <w:sz w:val="24"/>
                <w:szCs w:val="24"/>
              </w:rPr>
              <w:fldChar w:fldCharType="begin"/>
            </w:r>
            <w:r w:rsidR="00F9745C" w:rsidRPr="006559C8">
              <w:rPr>
                <w:rFonts w:ascii="Arial" w:hAnsi="Arial" w:cs="Arial"/>
                <w:noProof/>
                <w:webHidden/>
                <w:sz w:val="24"/>
                <w:szCs w:val="24"/>
              </w:rPr>
              <w:instrText xml:space="preserve"> PAGEREF _Toc57199113 \h </w:instrText>
            </w:r>
            <w:r w:rsidR="00F9745C" w:rsidRPr="006559C8">
              <w:rPr>
                <w:rFonts w:ascii="Arial" w:hAnsi="Arial" w:cs="Arial"/>
                <w:noProof/>
                <w:webHidden/>
                <w:sz w:val="24"/>
                <w:szCs w:val="24"/>
              </w:rPr>
            </w:r>
            <w:r w:rsidR="00F9745C" w:rsidRPr="006559C8">
              <w:rPr>
                <w:rFonts w:ascii="Arial" w:hAnsi="Arial" w:cs="Arial"/>
                <w:noProof/>
                <w:webHidden/>
                <w:sz w:val="24"/>
                <w:szCs w:val="24"/>
              </w:rPr>
              <w:fldChar w:fldCharType="separate"/>
            </w:r>
            <w:r w:rsidR="00F9745C" w:rsidRPr="006559C8">
              <w:rPr>
                <w:rFonts w:ascii="Arial" w:hAnsi="Arial" w:cs="Arial"/>
                <w:noProof/>
                <w:webHidden/>
                <w:sz w:val="24"/>
                <w:szCs w:val="24"/>
              </w:rPr>
              <w:t>40</w:t>
            </w:r>
            <w:r w:rsidR="00F9745C" w:rsidRPr="006559C8">
              <w:rPr>
                <w:rFonts w:ascii="Arial" w:hAnsi="Arial" w:cs="Arial"/>
                <w:noProof/>
                <w:webHidden/>
                <w:sz w:val="24"/>
                <w:szCs w:val="24"/>
              </w:rPr>
              <w:fldChar w:fldCharType="end"/>
            </w:r>
          </w:hyperlink>
        </w:p>
        <w:p w14:paraId="64CD0297" w14:textId="2E20866E" w:rsidR="00DD5B22" w:rsidRPr="004D05E9" w:rsidRDefault="00DD5B22">
          <w:r w:rsidRPr="006559C8">
            <w:rPr>
              <w:rFonts w:cs="Arial"/>
              <w:b/>
              <w:bCs/>
              <w:noProof/>
              <w:color w:val="2B579A"/>
              <w:shd w:val="clear" w:color="auto" w:fill="E6E6E6"/>
            </w:rPr>
            <w:fldChar w:fldCharType="end"/>
          </w:r>
        </w:p>
      </w:sdtContent>
    </w:sdt>
    <w:p w14:paraId="27E953B7" w14:textId="77777777" w:rsidR="00810353" w:rsidRPr="004D05E9" w:rsidRDefault="00810353" w:rsidP="00724781">
      <w:pPr>
        <w:pStyle w:val="Heading2"/>
        <w:spacing w:before="0" w:after="240"/>
      </w:pPr>
      <w:r w:rsidRPr="004D05E9">
        <w:br w:type="page"/>
      </w:r>
    </w:p>
    <w:p w14:paraId="3D3D6CCC" w14:textId="77777777" w:rsidR="00C21F77" w:rsidRPr="004D05E9" w:rsidRDefault="00942E0B" w:rsidP="00724781">
      <w:pPr>
        <w:pStyle w:val="Heading2"/>
        <w:spacing w:before="0" w:after="240"/>
      </w:pPr>
      <w:bookmarkStart w:id="50" w:name="_Toc57198990"/>
      <w:r w:rsidRPr="004D05E9">
        <w:lastRenderedPageBreak/>
        <w:t>Special Education in California</w:t>
      </w:r>
      <w:bookmarkEnd w:id="50"/>
    </w:p>
    <w:p w14:paraId="7883955D" w14:textId="77777777" w:rsidR="00942E0B" w:rsidRPr="004D05E9" w:rsidRDefault="00942E0B" w:rsidP="00724781">
      <w:pPr>
        <w:spacing w:after="240"/>
      </w:pPr>
      <w:r w:rsidRPr="004D05E9">
        <w:t>The California Department of Education (CDE) provides</w:t>
      </w:r>
      <w:r w:rsidR="00065617" w:rsidRPr="004D05E9">
        <w:t xml:space="preserve"> state leadership and policy guidance</w:t>
      </w:r>
      <w:r w:rsidR="001F58E1" w:rsidRPr="004D05E9">
        <w:t xml:space="preserve"> to local educational agencies (LEAs)</w:t>
      </w:r>
      <w:r w:rsidR="00065617" w:rsidRPr="004D05E9">
        <w:t xml:space="preserve"> </w:t>
      </w:r>
      <w:r w:rsidR="00AF459B" w:rsidRPr="004D05E9">
        <w:t>for</w:t>
      </w:r>
      <w:r w:rsidR="00733898" w:rsidRPr="004D05E9">
        <w:t xml:space="preserve"> special education programs and services for students with disabilities, birth to twenty-two year</w:t>
      </w:r>
      <w:r w:rsidR="001F58E1" w:rsidRPr="004D05E9">
        <w:t>s</w:t>
      </w:r>
      <w:r w:rsidR="00733898" w:rsidRPr="004D05E9">
        <w:t>.</w:t>
      </w:r>
      <w:r w:rsidR="00065617" w:rsidRPr="004D05E9">
        <w:t xml:space="preserve"> Special education is defined as </w:t>
      </w:r>
      <w:r w:rsidR="00733898" w:rsidRPr="004D05E9">
        <w:t>specially</w:t>
      </w:r>
      <w:r w:rsidR="00065617" w:rsidRPr="004D05E9">
        <w:t xml:space="preserve"> designed instruction and services, at no cost to parents, to meet the unique needs of students with disabilities. Special education services are available in a var</w:t>
      </w:r>
      <w:r w:rsidR="001F58E1" w:rsidRPr="004D05E9">
        <w:t xml:space="preserve">iety of settings, including </w:t>
      </w:r>
      <w:r w:rsidR="00E4792C" w:rsidRPr="004D05E9">
        <w:t>early learning and care</w:t>
      </w:r>
      <w:r w:rsidR="00065617" w:rsidRPr="004D05E9">
        <w:t>, preschool, regular classrooms, classrooms that emphasize specially designed instruction, the commu</w:t>
      </w:r>
      <w:r w:rsidR="00724781" w:rsidRPr="004D05E9">
        <w:t>nity, and the work environment.</w:t>
      </w:r>
    </w:p>
    <w:p w14:paraId="6B060705" w14:textId="77777777" w:rsidR="00065617" w:rsidRPr="004D05E9" w:rsidRDefault="00065617" w:rsidP="00724781">
      <w:pPr>
        <w:spacing w:after="240"/>
      </w:pPr>
      <w:r w:rsidRPr="004D05E9">
        <w:t xml:space="preserve">The CDE </w:t>
      </w:r>
      <w:r w:rsidR="00AF459B" w:rsidRPr="004D05E9">
        <w:t xml:space="preserve">also </w:t>
      </w:r>
      <w:r w:rsidRPr="004D05E9">
        <w:t>provides families with information on the education of stud</w:t>
      </w:r>
      <w:r w:rsidR="00AF459B" w:rsidRPr="004D05E9">
        <w:t xml:space="preserve">ents with disabilities and </w:t>
      </w:r>
      <w:r w:rsidRPr="004D05E9">
        <w:t>works cooperatively with other state agencies to provide a range of services from family-centered services for infant and preschool children with disabilities to planned steps for transition from high school to employment and quality adult life. The CDE responds to consumer complaints and administers programs related to the federal Individuals with Disabilities Education Act</w:t>
      </w:r>
      <w:r w:rsidR="00BD254F" w:rsidRPr="004D05E9">
        <w:t xml:space="preserve"> of 2004</w:t>
      </w:r>
      <w:r w:rsidRPr="004D05E9">
        <w:t xml:space="preserve"> (IDEA) and the Every Student Succeeds Act (ESSA) for students w</w:t>
      </w:r>
      <w:r w:rsidR="00724781" w:rsidRPr="004D05E9">
        <w:t>ith disabilities in California.</w:t>
      </w:r>
    </w:p>
    <w:p w14:paraId="61483CEE" w14:textId="77777777" w:rsidR="00065617" w:rsidRPr="004D05E9" w:rsidRDefault="00065617" w:rsidP="00724781">
      <w:pPr>
        <w:pStyle w:val="Heading2"/>
        <w:spacing w:before="0" w:after="240"/>
      </w:pPr>
      <w:bookmarkStart w:id="51" w:name="_Toc57198991"/>
      <w:r w:rsidRPr="004D05E9">
        <w:t>Accountability and Data Collection</w:t>
      </w:r>
      <w:bookmarkEnd w:id="51"/>
    </w:p>
    <w:p w14:paraId="2B5668E1" w14:textId="0F3C123F" w:rsidR="00EC718B" w:rsidRPr="004D05E9" w:rsidRDefault="00065617" w:rsidP="00724781">
      <w:pPr>
        <w:spacing w:after="240"/>
      </w:pPr>
      <w:r w:rsidRPr="004D05E9">
        <w:t xml:space="preserve">In </w:t>
      </w:r>
      <w:r w:rsidR="00BD254F" w:rsidRPr="004D05E9">
        <w:t>accordance with the IDEA</w:t>
      </w:r>
      <w:r w:rsidRPr="004D05E9">
        <w:t>, California is required to report annually to the U.S. Department of Education (ED) on California’s performance and progress meeting targets defined in the State Performance Plan (SPP). This report is the State</w:t>
      </w:r>
      <w:r w:rsidR="00733898" w:rsidRPr="004D05E9">
        <w:t>’s</w:t>
      </w:r>
      <w:r w:rsidRPr="004D05E9">
        <w:t xml:space="preserve"> Annual Performance Report (APR). The APR requires the CDE to report on 17 indicators (</w:t>
      </w:r>
      <w:r w:rsidR="00BD0001" w:rsidRPr="004D05E9">
        <w:t>T</w:t>
      </w:r>
      <w:r w:rsidRPr="004D05E9">
        <w:t>able</w:t>
      </w:r>
      <w:r w:rsidR="00733898" w:rsidRPr="004D05E9">
        <w:t xml:space="preserve"> </w:t>
      </w:r>
      <w:r w:rsidRPr="004D05E9">
        <w:t xml:space="preserve">1) that examine a comprehensive array of compliance and performance requirements relating to the provision of special education and related services. </w:t>
      </w:r>
      <w:r w:rsidR="005B27E0" w:rsidRPr="004D05E9">
        <w:t>T</w:t>
      </w:r>
      <w:r w:rsidR="00FC591C" w:rsidRPr="004D05E9">
        <w:t xml:space="preserve">he California Longitudinal Pupil Achievement Data System (CALPADS) </w:t>
      </w:r>
      <w:r w:rsidR="005B27E0" w:rsidRPr="004D05E9">
        <w:t>is</w:t>
      </w:r>
      <w:r w:rsidRPr="004D05E9">
        <w:t xml:space="preserve"> the data reporting and retrieval system</w:t>
      </w:r>
      <w:r w:rsidR="00FC591C" w:rsidRPr="004D05E9">
        <w:t>s</w:t>
      </w:r>
      <w:r w:rsidRPr="004D05E9">
        <w:t xml:space="preserve"> used by the CDE</w:t>
      </w:r>
      <w:r w:rsidR="00FC591C" w:rsidRPr="004D05E9">
        <w:t xml:space="preserve"> for students with disabilities</w:t>
      </w:r>
      <w:r w:rsidRPr="004D05E9">
        <w:t xml:space="preserve">. </w:t>
      </w:r>
      <w:r w:rsidR="005B27E0" w:rsidRPr="004D05E9">
        <w:t>CALPADS</w:t>
      </w:r>
      <w:r w:rsidRPr="004D05E9">
        <w:t xml:space="preserve"> provides LEAs a statewide standard for maintaining a core of special education data at the local level that is used for accountability reporting and to meet statutory and programma</w:t>
      </w:r>
      <w:r w:rsidR="00724781" w:rsidRPr="004D05E9">
        <w:t>tic needs in special education.</w:t>
      </w:r>
    </w:p>
    <w:p w14:paraId="2D02413A" w14:textId="3FE0182F" w:rsidR="00EC718B" w:rsidRPr="004D05E9" w:rsidRDefault="00EC718B" w:rsidP="00C90330">
      <w:pPr>
        <w:spacing w:after="100" w:afterAutospacing="1"/>
      </w:pPr>
      <w:r w:rsidRPr="004D05E9">
        <w:t>The CDE is required to publish the APR for public review. The current APR reflects data collected during Federal Fiscal Year (FFY) 201</w:t>
      </w:r>
      <w:r w:rsidR="005B27E0" w:rsidRPr="004D05E9">
        <w:t>9</w:t>
      </w:r>
      <w:r w:rsidRPr="004D05E9">
        <w:t>, which is equivalent to California’s school year 201</w:t>
      </w:r>
      <w:r w:rsidR="005B27E0" w:rsidRPr="004D05E9">
        <w:t>9</w:t>
      </w:r>
      <w:r w:rsidRPr="004D05E9">
        <w:t>–</w:t>
      </w:r>
      <w:r w:rsidR="005B27E0" w:rsidRPr="004D05E9">
        <w:t>20</w:t>
      </w:r>
      <w:r w:rsidRPr="004D05E9">
        <w:t xml:space="preserve">. </w:t>
      </w:r>
      <w:r w:rsidR="00BD254F" w:rsidRPr="004D05E9">
        <w:t>I</w:t>
      </w:r>
      <w:r w:rsidRPr="004D05E9">
        <w:t>ndicators 1, 2, and 4 are reported in lag years using data from school year 201</w:t>
      </w:r>
      <w:r w:rsidR="005B27E0" w:rsidRPr="004D05E9">
        <w:t>8</w:t>
      </w:r>
      <w:r w:rsidRPr="004D05E9">
        <w:t>–1</w:t>
      </w:r>
      <w:r w:rsidR="005B27E0" w:rsidRPr="004D05E9">
        <w:t>9</w:t>
      </w:r>
      <w:r w:rsidRPr="004D05E9">
        <w:t>. The 17 federal indicators include 11 performance indicators, 5 complianc</w:t>
      </w:r>
      <w:r w:rsidR="00BD254F" w:rsidRPr="004D05E9">
        <w:t xml:space="preserve">e indicators, and 1 indicator </w:t>
      </w:r>
      <w:r w:rsidRPr="004D05E9">
        <w:t>with both performance and compliance components</w:t>
      </w:r>
      <w:r w:rsidR="001F58E1" w:rsidRPr="004D05E9">
        <w:t xml:space="preserve"> (Indicator 4)</w:t>
      </w:r>
      <w:r w:rsidRPr="004D05E9">
        <w:t xml:space="preserve">. </w:t>
      </w:r>
      <w:r w:rsidR="00141DCA" w:rsidRPr="004D05E9">
        <w:t>All compliance indicator targets are set by the ED at either 0 or 100 percent. Performance indicator targets were established based on recommendations of a stakeholder group, and approved by the State Board of Edu</w:t>
      </w:r>
      <w:r w:rsidR="00BD254F" w:rsidRPr="004D05E9">
        <w:t>cation (SBE) in November 2014 (T</w:t>
      </w:r>
      <w:r w:rsidR="00141DCA" w:rsidRPr="004D05E9">
        <w:t xml:space="preserve">able </w:t>
      </w:r>
      <w:r w:rsidR="00724781" w:rsidRPr="004D05E9">
        <w:t>5).</w:t>
      </w:r>
    </w:p>
    <w:p w14:paraId="4A8D1E78" w14:textId="77777777" w:rsidR="00141DCA" w:rsidRPr="004D05E9" w:rsidRDefault="002F6CAF" w:rsidP="00724781">
      <w:pPr>
        <w:pStyle w:val="Heading3"/>
        <w:spacing w:before="100" w:beforeAutospacing="1" w:after="240"/>
      </w:pPr>
      <w:bookmarkStart w:id="52" w:name="_Toc57198992"/>
      <w:r w:rsidRPr="004D05E9">
        <w:lastRenderedPageBreak/>
        <w:t>Table 1: California State Indicators</w:t>
      </w:r>
      <w:bookmarkEnd w:id="52"/>
    </w:p>
    <w:tbl>
      <w:tblPr>
        <w:tblStyle w:val="TableGrid"/>
        <w:tblW w:w="10648" w:type="dxa"/>
        <w:jc w:val="center"/>
        <w:tblLook w:val="0620" w:firstRow="1" w:lastRow="0" w:firstColumn="0" w:lastColumn="0" w:noHBand="1" w:noVBand="1"/>
        <w:tblDescription w:val="A list of the California State Indicators"/>
      </w:tblPr>
      <w:tblGrid>
        <w:gridCol w:w="2093"/>
        <w:gridCol w:w="657"/>
        <w:gridCol w:w="7898"/>
      </w:tblGrid>
      <w:tr w:rsidR="00141DCA" w:rsidRPr="004D05E9" w14:paraId="4F16A26D" w14:textId="77777777" w:rsidTr="00C90330">
        <w:trPr>
          <w:trHeight w:val="353"/>
          <w:tblHeader/>
          <w:jc w:val="center"/>
        </w:trPr>
        <w:tc>
          <w:tcPr>
            <w:tcW w:w="2096" w:type="dxa"/>
            <w:hideMark/>
          </w:tcPr>
          <w:p w14:paraId="22D6B79D" w14:textId="77777777" w:rsidR="00141DCA" w:rsidRPr="004D05E9" w:rsidRDefault="00141DCA" w:rsidP="00240321">
            <w:pPr>
              <w:jc w:val="center"/>
              <w:rPr>
                <w:rFonts w:cs="Arial"/>
                <w:b/>
              </w:rPr>
            </w:pPr>
            <w:r w:rsidRPr="004D05E9">
              <w:rPr>
                <w:rFonts w:cs="Arial"/>
                <w:b/>
              </w:rPr>
              <w:t>Indicator Type</w:t>
            </w:r>
          </w:p>
        </w:tc>
        <w:tc>
          <w:tcPr>
            <w:tcW w:w="620" w:type="dxa"/>
            <w:hideMark/>
          </w:tcPr>
          <w:p w14:paraId="224EC998" w14:textId="77777777" w:rsidR="00141DCA" w:rsidRPr="004D05E9" w:rsidRDefault="00141DCA" w:rsidP="00240321">
            <w:pPr>
              <w:jc w:val="center"/>
              <w:rPr>
                <w:rFonts w:cs="Arial"/>
                <w:b/>
              </w:rPr>
            </w:pPr>
            <w:r w:rsidRPr="004D05E9">
              <w:rPr>
                <w:rFonts w:cs="Arial"/>
                <w:b/>
              </w:rPr>
              <w:t>No.</w:t>
            </w:r>
          </w:p>
        </w:tc>
        <w:tc>
          <w:tcPr>
            <w:tcW w:w="7932" w:type="dxa"/>
            <w:hideMark/>
          </w:tcPr>
          <w:p w14:paraId="4398919A" w14:textId="77777777" w:rsidR="00141DCA" w:rsidRPr="004D05E9" w:rsidRDefault="00141DCA" w:rsidP="00240321">
            <w:pPr>
              <w:jc w:val="center"/>
              <w:rPr>
                <w:rFonts w:cs="Arial"/>
                <w:b/>
              </w:rPr>
            </w:pPr>
            <w:r w:rsidRPr="004D05E9">
              <w:rPr>
                <w:rFonts w:cs="Arial"/>
                <w:b/>
              </w:rPr>
              <w:t>Description</w:t>
            </w:r>
          </w:p>
        </w:tc>
      </w:tr>
      <w:tr w:rsidR="00141DCA" w:rsidRPr="004D05E9" w14:paraId="03C55B96" w14:textId="77777777" w:rsidTr="00C90330">
        <w:trPr>
          <w:trHeight w:val="288"/>
          <w:jc w:val="center"/>
        </w:trPr>
        <w:tc>
          <w:tcPr>
            <w:tcW w:w="2096" w:type="dxa"/>
            <w:hideMark/>
          </w:tcPr>
          <w:p w14:paraId="32621580" w14:textId="77777777" w:rsidR="00141DCA" w:rsidRPr="004D05E9" w:rsidRDefault="00141DCA" w:rsidP="00240321">
            <w:pPr>
              <w:rPr>
                <w:rFonts w:cs="Arial"/>
              </w:rPr>
            </w:pPr>
            <w:r w:rsidRPr="004D05E9">
              <w:rPr>
                <w:rFonts w:cs="Arial"/>
              </w:rPr>
              <w:t>Performance</w:t>
            </w:r>
          </w:p>
        </w:tc>
        <w:tc>
          <w:tcPr>
            <w:tcW w:w="620" w:type="dxa"/>
            <w:hideMark/>
          </w:tcPr>
          <w:p w14:paraId="77DFAA89" w14:textId="77777777" w:rsidR="00141DCA" w:rsidRPr="004D05E9" w:rsidRDefault="00141DCA" w:rsidP="00240321">
            <w:pPr>
              <w:tabs>
                <w:tab w:val="right" w:pos="762"/>
              </w:tabs>
              <w:jc w:val="center"/>
              <w:rPr>
                <w:rFonts w:cs="Arial"/>
              </w:rPr>
            </w:pPr>
            <w:r w:rsidRPr="004D05E9">
              <w:rPr>
                <w:rFonts w:cs="Arial"/>
              </w:rPr>
              <w:t>1</w:t>
            </w:r>
          </w:p>
        </w:tc>
        <w:tc>
          <w:tcPr>
            <w:tcW w:w="7932" w:type="dxa"/>
            <w:hideMark/>
          </w:tcPr>
          <w:p w14:paraId="5A9E3E35" w14:textId="77777777" w:rsidR="00141DCA" w:rsidRPr="004D05E9" w:rsidRDefault="00141DCA" w:rsidP="00240321">
            <w:pPr>
              <w:tabs>
                <w:tab w:val="right" w:pos="762"/>
              </w:tabs>
              <w:rPr>
                <w:rFonts w:cs="Arial"/>
              </w:rPr>
            </w:pPr>
            <w:r w:rsidRPr="004D05E9">
              <w:rPr>
                <w:rFonts w:cs="Arial"/>
              </w:rPr>
              <w:t>Graduation Rates</w:t>
            </w:r>
          </w:p>
        </w:tc>
      </w:tr>
      <w:tr w:rsidR="00141DCA" w:rsidRPr="004D05E9" w14:paraId="2701F2F4" w14:textId="77777777" w:rsidTr="00C90330">
        <w:trPr>
          <w:trHeight w:val="288"/>
          <w:jc w:val="center"/>
        </w:trPr>
        <w:tc>
          <w:tcPr>
            <w:tcW w:w="2096" w:type="dxa"/>
            <w:hideMark/>
          </w:tcPr>
          <w:p w14:paraId="45574549" w14:textId="77777777" w:rsidR="00141DCA" w:rsidRPr="004D05E9" w:rsidRDefault="00141DCA" w:rsidP="00240321">
            <w:pPr>
              <w:rPr>
                <w:rFonts w:cs="Arial"/>
              </w:rPr>
            </w:pPr>
            <w:r w:rsidRPr="004D05E9">
              <w:rPr>
                <w:rFonts w:cs="Arial"/>
              </w:rPr>
              <w:t>Performance</w:t>
            </w:r>
          </w:p>
        </w:tc>
        <w:tc>
          <w:tcPr>
            <w:tcW w:w="620" w:type="dxa"/>
            <w:hideMark/>
          </w:tcPr>
          <w:p w14:paraId="4009D969" w14:textId="77777777" w:rsidR="00141DCA" w:rsidRPr="004D05E9" w:rsidRDefault="00141DCA" w:rsidP="00240321">
            <w:pPr>
              <w:tabs>
                <w:tab w:val="right" w:pos="762"/>
              </w:tabs>
              <w:jc w:val="center"/>
              <w:rPr>
                <w:rFonts w:cs="Arial"/>
              </w:rPr>
            </w:pPr>
            <w:r w:rsidRPr="004D05E9">
              <w:rPr>
                <w:rFonts w:cs="Arial"/>
              </w:rPr>
              <w:t>2</w:t>
            </w:r>
          </w:p>
        </w:tc>
        <w:tc>
          <w:tcPr>
            <w:tcW w:w="7932" w:type="dxa"/>
            <w:hideMark/>
          </w:tcPr>
          <w:p w14:paraId="54E66D75" w14:textId="77777777" w:rsidR="00141DCA" w:rsidRPr="004D05E9" w:rsidRDefault="00141DCA" w:rsidP="00240321">
            <w:pPr>
              <w:tabs>
                <w:tab w:val="right" w:pos="762"/>
              </w:tabs>
              <w:rPr>
                <w:rFonts w:cs="Arial"/>
              </w:rPr>
            </w:pPr>
            <w:r w:rsidRPr="004D05E9">
              <w:rPr>
                <w:rFonts w:cs="Arial"/>
              </w:rPr>
              <w:t>Dropout Rates</w:t>
            </w:r>
          </w:p>
        </w:tc>
      </w:tr>
      <w:tr w:rsidR="00141DCA" w:rsidRPr="004D05E9" w14:paraId="35B4B037" w14:textId="77777777" w:rsidTr="00C90330">
        <w:trPr>
          <w:trHeight w:val="288"/>
          <w:jc w:val="center"/>
        </w:trPr>
        <w:tc>
          <w:tcPr>
            <w:tcW w:w="2096" w:type="dxa"/>
            <w:hideMark/>
          </w:tcPr>
          <w:p w14:paraId="10D23F21" w14:textId="77777777" w:rsidR="00141DCA" w:rsidRPr="004D05E9" w:rsidRDefault="00141DCA" w:rsidP="00240321">
            <w:pPr>
              <w:rPr>
                <w:rFonts w:cs="Arial"/>
              </w:rPr>
            </w:pPr>
            <w:r w:rsidRPr="004D05E9">
              <w:rPr>
                <w:rFonts w:cs="Arial"/>
              </w:rPr>
              <w:t>Performance</w:t>
            </w:r>
          </w:p>
        </w:tc>
        <w:tc>
          <w:tcPr>
            <w:tcW w:w="620" w:type="dxa"/>
            <w:hideMark/>
          </w:tcPr>
          <w:p w14:paraId="6CCC8936" w14:textId="77777777" w:rsidR="00141DCA" w:rsidRPr="004D05E9" w:rsidRDefault="00141DCA" w:rsidP="00240321">
            <w:pPr>
              <w:tabs>
                <w:tab w:val="right" w:pos="762"/>
              </w:tabs>
              <w:jc w:val="center"/>
              <w:rPr>
                <w:rFonts w:cs="Arial"/>
              </w:rPr>
            </w:pPr>
            <w:r w:rsidRPr="004D05E9">
              <w:rPr>
                <w:rFonts w:cs="Arial"/>
              </w:rPr>
              <w:t>3</w:t>
            </w:r>
          </w:p>
        </w:tc>
        <w:tc>
          <w:tcPr>
            <w:tcW w:w="7932" w:type="dxa"/>
            <w:hideMark/>
          </w:tcPr>
          <w:p w14:paraId="7DB8CD9B" w14:textId="77777777" w:rsidR="00141DCA" w:rsidRPr="004D05E9" w:rsidRDefault="00141DCA" w:rsidP="00240321">
            <w:pPr>
              <w:tabs>
                <w:tab w:val="right" w:pos="762"/>
              </w:tabs>
              <w:rPr>
                <w:rFonts w:cs="Arial"/>
              </w:rPr>
            </w:pPr>
            <w:r w:rsidRPr="004D05E9">
              <w:rPr>
                <w:rFonts w:cs="Arial"/>
              </w:rPr>
              <w:t>Statewide Assessments</w:t>
            </w:r>
          </w:p>
        </w:tc>
      </w:tr>
      <w:tr w:rsidR="00141DCA" w:rsidRPr="004D05E9" w14:paraId="06A19D6F" w14:textId="77777777" w:rsidTr="00C90330">
        <w:trPr>
          <w:trHeight w:val="288"/>
          <w:jc w:val="center"/>
        </w:trPr>
        <w:tc>
          <w:tcPr>
            <w:tcW w:w="2096" w:type="dxa"/>
            <w:hideMark/>
          </w:tcPr>
          <w:p w14:paraId="6FD90006" w14:textId="77777777" w:rsidR="00141DCA" w:rsidRPr="004D05E9" w:rsidRDefault="00141DCA" w:rsidP="00240321">
            <w:pPr>
              <w:rPr>
                <w:rFonts w:cs="Arial"/>
              </w:rPr>
            </w:pPr>
            <w:r w:rsidRPr="004D05E9">
              <w:rPr>
                <w:rFonts w:cs="Arial"/>
              </w:rPr>
              <w:t>Performance</w:t>
            </w:r>
          </w:p>
        </w:tc>
        <w:tc>
          <w:tcPr>
            <w:tcW w:w="620" w:type="dxa"/>
            <w:hideMark/>
          </w:tcPr>
          <w:p w14:paraId="72E2E268" w14:textId="77777777" w:rsidR="00141DCA" w:rsidRPr="004D05E9" w:rsidRDefault="005A1301" w:rsidP="00240321">
            <w:pPr>
              <w:tabs>
                <w:tab w:val="right" w:pos="762"/>
              </w:tabs>
              <w:jc w:val="center"/>
              <w:rPr>
                <w:rFonts w:cs="Arial"/>
              </w:rPr>
            </w:pPr>
            <w:r w:rsidRPr="004D05E9">
              <w:rPr>
                <w:rFonts w:cs="Arial"/>
              </w:rPr>
              <w:t>3A</w:t>
            </w:r>
          </w:p>
        </w:tc>
        <w:tc>
          <w:tcPr>
            <w:tcW w:w="7932" w:type="dxa"/>
            <w:hideMark/>
          </w:tcPr>
          <w:p w14:paraId="0514B648" w14:textId="77777777" w:rsidR="00141DCA" w:rsidRPr="004D05E9" w:rsidRDefault="00141DCA" w:rsidP="00240321">
            <w:pPr>
              <w:tabs>
                <w:tab w:val="right" w:pos="762"/>
              </w:tabs>
              <w:rPr>
                <w:rFonts w:cs="Arial"/>
              </w:rPr>
            </w:pPr>
            <w:r w:rsidRPr="004D05E9">
              <w:rPr>
                <w:rFonts w:cs="Arial"/>
              </w:rPr>
              <w:t>LEAs Meeting Accountability for Students with Disabilities</w:t>
            </w:r>
          </w:p>
        </w:tc>
      </w:tr>
      <w:tr w:rsidR="00141DCA" w:rsidRPr="004D05E9" w14:paraId="2436C85A" w14:textId="77777777" w:rsidTr="00C90330">
        <w:trPr>
          <w:trHeight w:val="288"/>
          <w:jc w:val="center"/>
        </w:trPr>
        <w:tc>
          <w:tcPr>
            <w:tcW w:w="2096" w:type="dxa"/>
            <w:hideMark/>
          </w:tcPr>
          <w:p w14:paraId="0121646C" w14:textId="77777777" w:rsidR="00141DCA" w:rsidRPr="004D05E9" w:rsidRDefault="00141DCA" w:rsidP="00240321">
            <w:pPr>
              <w:rPr>
                <w:rFonts w:cs="Arial"/>
              </w:rPr>
            </w:pPr>
            <w:r w:rsidRPr="004D05E9">
              <w:rPr>
                <w:rFonts w:cs="Arial"/>
              </w:rPr>
              <w:t>Performance</w:t>
            </w:r>
          </w:p>
        </w:tc>
        <w:tc>
          <w:tcPr>
            <w:tcW w:w="620" w:type="dxa"/>
            <w:hideMark/>
          </w:tcPr>
          <w:p w14:paraId="79164671" w14:textId="77777777" w:rsidR="00141DCA" w:rsidRPr="004D05E9" w:rsidRDefault="00141DCA" w:rsidP="00240321">
            <w:pPr>
              <w:tabs>
                <w:tab w:val="right" w:pos="762"/>
              </w:tabs>
              <w:jc w:val="center"/>
              <w:rPr>
                <w:rFonts w:cs="Arial"/>
                <w:b/>
              </w:rPr>
            </w:pPr>
            <w:r w:rsidRPr="004D05E9">
              <w:rPr>
                <w:rFonts w:cs="Arial"/>
              </w:rPr>
              <w:t>3B</w:t>
            </w:r>
          </w:p>
        </w:tc>
        <w:tc>
          <w:tcPr>
            <w:tcW w:w="7932" w:type="dxa"/>
            <w:hideMark/>
          </w:tcPr>
          <w:p w14:paraId="66995AA1" w14:textId="77777777" w:rsidR="00141DCA" w:rsidRPr="004D05E9" w:rsidRDefault="00141DCA" w:rsidP="00240321">
            <w:pPr>
              <w:tabs>
                <w:tab w:val="right" w:pos="762"/>
              </w:tabs>
              <w:rPr>
                <w:rFonts w:cs="Arial"/>
              </w:rPr>
            </w:pPr>
            <w:r w:rsidRPr="004D05E9">
              <w:rPr>
                <w:rFonts w:cs="Arial"/>
              </w:rPr>
              <w:t>Participation for Students with Disabilities</w:t>
            </w:r>
          </w:p>
        </w:tc>
      </w:tr>
      <w:tr w:rsidR="00141DCA" w:rsidRPr="004D05E9" w14:paraId="73C76F6D" w14:textId="77777777" w:rsidTr="00C90330">
        <w:trPr>
          <w:trHeight w:val="288"/>
          <w:jc w:val="center"/>
        </w:trPr>
        <w:tc>
          <w:tcPr>
            <w:tcW w:w="2096" w:type="dxa"/>
            <w:hideMark/>
          </w:tcPr>
          <w:p w14:paraId="64B0F3D1" w14:textId="77777777" w:rsidR="00141DCA" w:rsidRPr="004D05E9" w:rsidRDefault="00141DCA" w:rsidP="00240321">
            <w:pPr>
              <w:rPr>
                <w:rFonts w:cs="Arial"/>
              </w:rPr>
            </w:pPr>
            <w:r w:rsidRPr="004D05E9">
              <w:rPr>
                <w:rFonts w:cs="Arial"/>
              </w:rPr>
              <w:t>Performance</w:t>
            </w:r>
          </w:p>
        </w:tc>
        <w:tc>
          <w:tcPr>
            <w:tcW w:w="620" w:type="dxa"/>
            <w:hideMark/>
          </w:tcPr>
          <w:p w14:paraId="738691EF" w14:textId="77777777" w:rsidR="00141DCA" w:rsidRPr="004D05E9" w:rsidRDefault="005A1301" w:rsidP="005A1301">
            <w:pPr>
              <w:tabs>
                <w:tab w:val="right" w:pos="762"/>
              </w:tabs>
              <w:jc w:val="center"/>
              <w:rPr>
                <w:rFonts w:cs="Arial"/>
              </w:rPr>
            </w:pPr>
            <w:r w:rsidRPr="004D05E9">
              <w:rPr>
                <w:rFonts w:cs="Arial"/>
              </w:rPr>
              <w:t>3C</w:t>
            </w:r>
          </w:p>
        </w:tc>
        <w:tc>
          <w:tcPr>
            <w:tcW w:w="7932" w:type="dxa"/>
            <w:hideMark/>
          </w:tcPr>
          <w:p w14:paraId="0C996514" w14:textId="77777777" w:rsidR="00141DCA" w:rsidRPr="004D05E9" w:rsidRDefault="00141DCA" w:rsidP="00240321">
            <w:pPr>
              <w:tabs>
                <w:tab w:val="right" w:pos="762"/>
              </w:tabs>
              <w:rPr>
                <w:rFonts w:cs="Arial"/>
              </w:rPr>
            </w:pPr>
            <w:r w:rsidRPr="004D05E9">
              <w:rPr>
                <w:rFonts w:cs="Arial"/>
              </w:rPr>
              <w:t>Proficiency for Students with Disabilities</w:t>
            </w:r>
          </w:p>
        </w:tc>
      </w:tr>
      <w:tr w:rsidR="00141DCA" w:rsidRPr="004D05E9" w14:paraId="6C8E4028" w14:textId="77777777" w:rsidTr="00C90330">
        <w:trPr>
          <w:trHeight w:val="288"/>
          <w:jc w:val="center"/>
        </w:trPr>
        <w:tc>
          <w:tcPr>
            <w:tcW w:w="2096" w:type="dxa"/>
            <w:hideMark/>
          </w:tcPr>
          <w:p w14:paraId="450AAD85" w14:textId="77777777" w:rsidR="00141DCA" w:rsidRPr="004D05E9" w:rsidRDefault="00141DCA" w:rsidP="00240321">
            <w:pPr>
              <w:rPr>
                <w:rFonts w:cs="Arial"/>
              </w:rPr>
            </w:pPr>
            <w:r w:rsidRPr="004D05E9">
              <w:rPr>
                <w:rFonts w:cs="Arial"/>
              </w:rPr>
              <w:t>Combined</w:t>
            </w:r>
          </w:p>
        </w:tc>
        <w:tc>
          <w:tcPr>
            <w:tcW w:w="620" w:type="dxa"/>
            <w:hideMark/>
          </w:tcPr>
          <w:p w14:paraId="45AFAA26" w14:textId="77777777" w:rsidR="00141DCA" w:rsidRPr="004D05E9" w:rsidRDefault="00141DCA" w:rsidP="00240321">
            <w:pPr>
              <w:tabs>
                <w:tab w:val="right" w:pos="762"/>
              </w:tabs>
              <w:jc w:val="center"/>
              <w:rPr>
                <w:rFonts w:cs="Arial"/>
              </w:rPr>
            </w:pPr>
            <w:r w:rsidRPr="004D05E9">
              <w:rPr>
                <w:rFonts w:cs="Arial"/>
              </w:rPr>
              <w:t>4</w:t>
            </w:r>
          </w:p>
        </w:tc>
        <w:tc>
          <w:tcPr>
            <w:tcW w:w="7932" w:type="dxa"/>
            <w:hideMark/>
          </w:tcPr>
          <w:p w14:paraId="7F1F3DAE" w14:textId="77777777" w:rsidR="00141DCA" w:rsidRPr="004D05E9" w:rsidRDefault="00141DCA" w:rsidP="00240321">
            <w:pPr>
              <w:tabs>
                <w:tab w:val="right" w:pos="762"/>
              </w:tabs>
              <w:rPr>
                <w:rFonts w:cs="Arial"/>
              </w:rPr>
            </w:pPr>
            <w:r w:rsidRPr="004D05E9">
              <w:rPr>
                <w:rFonts w:cs="Arial"/>
              </w:rPr>
              <w:t>Suspension and Expulsion</w:t>
            </w:r>
          </w:p>
        </w:tc>
      </w:tr>
      <w:tr w:rsidR="00141DCA" w:rsidRPr="004D05E9" w14:paraId="69FF11C7" w14:textId="77777777" w:rsidTr="00C90330">
        <w:trPr>
          <w:trHeight w:val="288"/>
          <w:jc w:val="center"/>
        </w:trPr>
        <w:tc>
          <w:tcPr>
            <w:tcW w:w="2096" w:type="dxa"/>
            <w:hideMark/>
          </w:tcPr>
          <w:p w14:paraId="284039CA" w14:textId="77777777" w:rsidR="00141DCA" w:rsidRPr="004D05E9" w:rsidRDefault="00141DCA" w:rsidP="00240321">
            <w:pPr>
              <w:rPr>
                <w:rFonts w:cs="Arial"/>
              </w:rPr>
            </w:pPr>
            <w:r w:rsidRPr="004D05E9">
              <w:rPr>
                <w:rFonts w:cs="Arial"/>
              </w:rPr>
              <w:t>Performance</w:t>
            </w:r>
          </w:p>
        </w:tc>
        <w:tc>
          <w:tcPr>
            <w:tcW w:w="620" w:type="dxa"/>
            <w:hideMark/>
          </w:tcPr>
          <w:p w14:paraId="42F5CC94" w14:textId="77777777" w:rsidR="00141DCA" w:rsidRPr="004D05E9" w:rsidRDefault="00141DCA" w:rsidP="005A1301">
            <w:pPr>
              <w:tabs>
                <w:tab w:val="right" w:pos="612"/>
                <w:tab w:val="right" w:pos="762"/>
              </w:tabs>
              <w:jc w:val="center"/>
              <w:rPr>
                <w:rFonts w:cs="Arial"/>
              </w:rPr>
            </w:pPr>
            <w:r w:rsidRPr="004D05E9">
              <w:rPr>
                <w:rFonts w:cs="Arial"/>
              </w:rPr>
              <w:t>4A</w:t>
            </w:r>
          </w:p>
        </w:tc>
        <w:tc>
          <w:tcPr>
            <w:tcW w:w="7932" w:type="dxa"/>
            <w:hideMark/>
          </w:tcPr>
          <w:p w14:paraId="6AB62D91" w14:textId="77777777" w:rsidR="00141DCA" w:rsidRPr="004D05E9" w:rsidRDefault="00141DCA" w:rsidP="00240321">
            <w:pPr>
              <w:tabs>
                <w:tab w:val="right" w:pos="612"/>
                <w:tab w:val="right" w:pos="762"/>
              </w:tabs>
              <w:rPr>
                <w:rFonts w:cs="Arial"/>
              </w:rPr>
            </w:pPr>
            <w:r w:rsidRPr="004D05E9">
              <w:rPr>
                <w:rFonts w:cs="Arial"/>
              </w:rPr>
              <w:t>Rates of Suspension and Expulsion</w:t>
            </w:r>
          </w:p>
        </w:tc>
      </w:tr>
      <w:tr w:rsidR="00141DCA" w:rsidRPr="004D05E9" w14:paraId="159E61EE" w14:textId="77777777" w:rsidTr="00C90330">
        <w:trPr>
          <w:trHeight w:val="288"/>
          <w:jc w:val="center"/>
        </w:trPr>
        <w:tc>
          <w:tcPr>
            <w:tcW w:w="2096" w:type="dxa"/>
            <w:hideMark/>
          </w:tcPr>
          <w:p w14:paraId="7959F407" w14:textId="77777777" w:rsidR="00141DCA" w:rsidRPr="004D05E9" w:rsidRDefault="00141DCA" w:rsidP="00240321">
            <w:pPr>
              <w:rPr>
                <w:rFonts w:cs="Arial"/>
              </w:rPr>
            </w:pPr>
            <w:r w:rsidRPr="004D05E9">
              <w:rPr>
                <w:rFonts w:cs="Arial"/>
              </w:rPr>
              <w:t>Compliance</w:t>
            </w:r>
          </w:p>
        </w:tc>
        <w:tc>
          <w:tcPr>
            <w:tcW w:w="620" w:type="dxa"/>
            <w:hideMark/>
          </w:tcPr>
          <w:p w14:paraId="0AF3B099" w14:textId="77777777" w:rsidR="00141DCA" w:rsidRPr="004D05E9" w:rsidRDefault="00141DCA" w:rsidP="005A1301">
            <w:pPr>
              <w:tabs>
                <w:tab w:val="right" w:pos="762"/>
              </w:tabs>
              <w:jc w:val="center"/>
              <w:rPr>
                <w:rFonts w:cs="Arial"/>
              </w:rPr>
            </w:pPr>
            <w:r w:rsidRPr="004D05E9">
              <w:rPr>
                <w:rFonts w:cs="Arial"/>
              </w:rPr>
              <w:t>4B</w:t>
            </w:r>
          </w:p>
        </w:tc>
        <w:tc>
          <w:tcPr>
            <w:tcW w:w="7932" w:type="dxa"/>
            <w:hideMark/>
          </w:tcPr>
          <w:p w14:paraId="41CAA164" w14:textId="77777777" w:rsidR="00141DCA" w:rsidRPr="004D05E9" w:rsidRDefault="00141DCA" w:rsidP="00240321">
            <w:pPr>
              <w:tabs>
                <w:tab w:val="right" w:pos="762"/>
              </w:tabs>
              <w:rPr>
                <w:rFonts w:cs="Arial"/>
              </w:rPr>
            </w:pPr>
            <w:r w:rsidRPr="004D05E9">
              <w:rPr>
                <w:rFonts w:cs="Arial"/>
              </w:rPr>
              <w:t>Rates of Suspension and Expulsion by Race or Ethnicity</w:t>
            </w:r>
          </w:p>
        </w:tc>
      </w:tr>
      <w:tr w:rsidR="00141DCA" w:rsidRPr="004D05E9" w14:paraId="16B7FD51" w14:textId="77777777" w:rsidTr="00C90330">
        <w:trPr>
          <w:trHeight w:val="288"/>
          <w:jc w:val="center"/>
        </w:trPr>
        <w:tc>
          <w:tcPr>
            <w:tcW w:w="2096" w:type="dxa"/>
            <w:hideMark/>
          </w:tcPr>
          <w:p w14:paraId="781FB0D0" w14:textId="77777777" w:rsidR="00141DCA" w:rsidRPr="004D05E9" w:rsidRDefault="00141DCA" w:rsidP="00240321">
            <w:pPr>
              <w:rPr>
                <w:rFonts w:cs="Arial"/>
              </w:rPr>
            </w:pPr>
            <w:r w:rsidRPr="004D05E9">
              <w:rPr>
                <w:rFonts w:cs="Arial"/>
              </w:rPr>
              <w:t>Performance</w:t>
            </w:r>
          </w:p>
        </w:tc>
        <w:tc>
          <w:tcPr>
            <w:tcW w:w="620" w:type="dxa"/>
            <w:hideMark/>
          </w:tcPr>
          <w:p w14:paraId="72CF1518" w14:textId="77777777" w:rsidR="00141DCA" w:rsidRPr="004D05E9" w:rsidRDefault="00141DCA" w:rsidP="00240321">
            <w:pPr>
              <w:tabs>
                <w:tab w:val="right" w:pos="762"/>
              </w:tabs>
              <w:jc w:val="center"/>
              <w:rPr>
                <w:rFonts w:cs="Arial"/>
              </w:rPr>
            </w:pPr>
            <w:r w:rsidRPr="004D05E9">
              <w:rPr>
                <w:rFonts w:cs="Arial"/>
              </w:rPr>
              <w:t>5</w:t>
            </w:r>
          </w:p>
        </w:tc>
        <w:tc>
          <w:tcPr>
            <w:tcW w:w="7932" w:type="dxa"/>
            <w:hideMark/>
          </w:tcPr>
          <w:p w14:paraId="0D692B8A" w14:textId="77777777" w:rsidR="00141DCA" w:rsidRPr="004D05E9" w:rsidRDefault="00141DCA" w:rsidP="00240321">
            <w:pPr>
              <w:tabs>
                <w:tab w:val="right" w:pos="762"/>
              </w:tabs>
              <w:rPr>
                <w:rFonts w:cs="Arial"/>
              </w:rPr>
            </w:pPr>
            <w:r w:rsidRPr="004D05E9">
              <w:rPr>
                <w:rFonts w:cs="Arial"/>
              </w:rPr>
              <w:t>Education Environments</w:t>
            </w:r>
          </w:p>
        </w:tc>
      </w:tr>
      <w:tr w:rsidR="00141DCA" w:rsidRPr="004D05E9" w14:paraId="12A68DD3" w14:textId="77777777" w:rsidTr="00C90330">
        <w:trPr>
          <w:trHeight w:val="288"/>
          <w:jc w:val="center"/>
        </w:trPr>
        <w:tc>
          <w:tcPr>
            <w:tcW w:w="2096" w:type="dxa"/>
            <w:hideMark/>
          </w:tcPr>
          <w:p w14:paraId="2B7DB809" w14:textId="77777777" w:rsidR="00141DCA" w:rsidRPr="004D05E9" w:rsidRDefault="00141DCA" w:rsidP="00240321">
            <w:pPr>
              <w:rPr>
                <w:rFonts w:cs="Arial"/>
              </w:rPr>
            </w:pPr>
            <w:r w:rsidRPr="004D05E9">
              <w:rPr>
                <w:rFonts w:cs="Arial"/>
              </w:rPr>
              <w:t>Performance</w:t>
            </w:r>
          </w:p>
        </w:tc>
        <w:tc>
          <w:tcPr>
            <w:tcW w:w="620" w:type="dxa"/>
            <w:hideMark/>
          </w:tcPr>
          <w:p w14:paraId="110A002C" w14:textId="77777777" w:rsidR="00141DCA" w:rsidRPr="004D05E9" w:rsidRDefault="00141DCA" w:rsidP="005A1301">
            <w:pPr>
              <w:tabs>
                <w:tab w:val="right" w:pos="762"/>
              </w:tabs>
              <w:jc w:val="center"/>
              <w:rPr>
                <w:rFonts w:cs="Arial"/>
              </w:rPr>
            </w:pPr>
            <w:r w:rsidRPr="004D05E9">
              <w:rPr>
                <w:rFonts w:cs="Arial"/>
              </w:rPr>
              <w:t>5A</w:t>
            </w:r>
          </w:p>
        </w:tc>
        <w:tc>
          <w:tcPr>
            <w:tcW w:w="7932" w:type="dxa"/>
            <w:hideMark/>
          </w:tcPr>
          <w:p w14:paraId="47B555BA" w14:textId="77777777" w:rsidR="00141DCA" w:rsidRPr="004D05E9" w:rsidRDefault="00141DCA" w:rsidP="00240321">
            <w:pPr>
              <w:tabs>
                <w:tab w:val="right" w:pos="762"/>
              </w:tabs>
              <w:rPr>
                <w:rFonts w:cs="Arial"/>
              </w:rPr>
            </w:pPr>
            <w:r w:rsidRPr="004D05E9">
              <w:rPr>
                <w:rFonts w:cs="Arial"/>
              </w:rPr>
              <w:t>Education Environments (In Regular Class ≥ 80% of day)</w:t>
            </w:r>
          </w:p>
        </w:tc>
      </w:tr>
      <w:tr w:rsidR="00141DCA" w:rsidRPr="004D05E9" w14:paraId="628B476D" w14:textId="77777777" w:rsidTr="00C90330">
        <w:trPr>
          <w:trHeight w:val="288"/>
          <w:jc w:val="center"/>
        </w:trPr>
        <w:tc>
          <w:tcPr>
            <w:tcW w:w="2096" w:type="dxa"/>
            <w:hideMark/>
          </w:tcPr>
          <w:p w14:paraId="1A9B958C" w14:textId="77777777" w:rsidR="00141DCA" w:rsidRPr="004D05E9" w:rsidRDefault="00141DCA" w:rsidP="00240321">
            <w:pPr>
              <w:rPr>
                <w:rFonts w:cs="Arial"/>
              </w:rPr>
            </w:pPr>
            <w:r w:rsidRPr="004D05E9">
              <w:rPr>
                <w:rFonts w:cs="Arial"/>
              </w:rPr>
              <w:t>Performance</w:t>
            </w:r>
          </w:p>
        </w:tc>
        <w:tc>
          <w:tcPr>
            <w:tcW w:w="620" w:type="dxa"/>
            <w:hideMark/>
          </w:tcPr>
          <w:p w14:paraId="5DC4D0AF" w14:textId="77777777" w:rsidR="00141DCA" w:rsidRPr="004D05E9" w:rsidRDefault="00141DCA" w:rsidP="00240321">
            <w:pPr>
              <w:tabs>
                <w:tab w:val="right" w:pos="762"/>
              </w:tabs>
              <w:jc w:val="center"/>
              <w:rPr>
                <w:rFonts w:cs="Arial"/>
              </w:rPr>
            </w:pPr>
            <w:r w:rsidRPr="004D05E9">
              <w:rPr>
                <w:rFonts w:cs="Arial"/>
              </w:rPr>
              <w:t>5B</w:t>
            </w:r>
          </w:p>
        </w:tc>
        <w:tc>
          <w:tcPr>
            <w:tcW w:w="7932" w:type="dxa"/>
            <w:hideMark/>
          </w:tcPr>
          <w:p w14:paraId="6286A596" w14:textId="77777777" w:rsidR="00141DCA" w:rsidRPr="004D05E9" w:rsidRDefault="00141DCA" w:rsidP="00240321">
            <w:pPr>
              <w:tabs>
                <w:tab w:val="right" w:pos="762"/>
              </w:tabs>
              <w:rPr>
                <w:rFonts w:cs="Arial"/>
              </w:rPr>
            </w:pPr>
            <w:r w:rsidRPr="004D05E9">
              <w:rPr>
                <w:rFonts w:cs="Arial"/>
              </w:rPr>
              <w:t xml:space="preserve">Education Environments (In Regular Class &lt; 40% of day) </w:t>
            </w:r>
          </w:p>
        </w:tc>
      </w:tr>
      <w:tr w:rsidR="00141DCA" w:rsidRPr="004D05E9" w14:paraId="23A4AA6D" w14:textId="77777777" w:rsidTr="00C90330">
        <w:trPr>
          <w:trHeight w:val="288"/>
          <w:jc w:val="center"/>
        </w:trPr>
        <w:tc>
          <w:tcPr>
            <w:tcW w:w="2096" w:type="dxa"/>
            <w:hideMark/>
          </w:tcPr>
          <w:p w14:paraId="14401BEF" w14:textId="77777777" w:rsidR="00141DCA" w:rsidRPr="004D05E9" w:rsidRDefault="00141DCA" w:rsidP="00240321">
            <w:pPr>
              <w:rPr>
                <w:rFonts w:cs="Arial"/>
              </w:rPr>
            </w:pPr>
            <w:r w:rsidRPr="004D05E9">
              <w:rPr>
                <w:rFonts w:cs="Arial"/>
              </w:rPr>
              <w:t>Performance</w:t>
            </w:r>
          </w:p>
        </w:tc>
        <w:tc>
          <w:tcPr>
            <w:tcW w:w="620" w:type="dxa"/>
            <w:hideMark/>
          </w:tcPr>
          <w:p w14:paraId="7A7C528C" w14:textId="77777777" w:rsidR="00141DCA" w:rsidRPr="004D05E9" w:rsidRDefault="00141DCA" w:rsidP="005A1301">
            <w:pPr>
              <w:tabs>
                <w:tab w:val="right" w:pos="762"/>
              </w:tabs>
              <w:jc w:val="center"/>
              <w:rPr>
                <w:rFonts w:cs="Arial"/>
              </w:rPr>
            </w:pPr>
            <w:r w:rsidRPr="004D05E9">
              <w:rPr>
                <w:rFonts w:cs="Arial"/>
              </w:rPr>
              <w:t>5C</w:t>
            </w:r>
          </w:p>
        </w:tc>
        <w:tc>
          <w:tcPr>
            <w:tcW w:w="7932" w:type="dxa"/>
            <w:hideMark/>
          </w:tcPr>
          <w:p w14:paraId="0E77C3F1" w14:textId="77777777" w:rsidR="00141DCA" w:rsidRPr="004D05E9" w:rsidRDefault="00141DCA" w:rsidP="00240321">
            <w:pPr>
              <w:tabs>
                <w:tab w:val="right" w:pos="762"/>
              </w:tabs>
              <w:rPr>
                <w:rFonts w:cs="Arial"/>
              </w:rPr>
            </w:pPr>
            <w:r w:rsidRPr="004D05E9">
              <w:rPr>
                <w:rFonts w:cs="Arial"/>
              </w:rPr>
              <w:t xml:space="preserve">Education Environments (Served in separate school or </w:t>
            </w:r>
            <w:proofErr w:type="gramStart"/>
            <w:r w:rsidRPr="004D05E9">
              <w:rPr>
                <w:rFonts w:cs="Arial"/>
              </w:rPr>
              <w:t>other</w:t>
            </w:r>
            <w:proofErr w:type="gramEnd"/>
            <w:r w:rsidRPr="004D05E9">
              <w:rPr>
                <w:rFonts w:cs="Arial"/>
              </w:rPr>
              <w:t xml:space="preserve"> placement) </w:t>
            </w:r>
          </w:p>
        </w:tc>
      </w:tr>
      <w:tr w:rsidR="00141DCA" w:rsidRPr="004D05E9" w14:paraId="79DA1917" w14:textId="77777777" w:rsidTr="00C90330">
        <w:trPr>
          <w:trHeight w:val="288"/>
          <w:jc w:val="center"/>
        </w:trPr>
        <w:tc>
          <w:tcPr>
            <w:tcW w:w="2096" w:type="dxa"/>
            <w:hideMark/>
          </w:tcPr>
          <w:p w14:paraId="7F2AE213" w14:textId="77777777" w:rsidR="00141DCA" w:rsidRPr="004D05E9" w:rsidRDefault="00141DCA" w:rsidP="00240321">
            <w:pPr>
              <w:rPr>
                <w:rFonts w:cs="Arial"/>
              </w:rPr>
            </w:pPr>
            <w:r w:rsidRPr="004D05E9">
              <w:rPr>
                <w:rFonts w:cs="Arial"/>
              </w:rPr>
              <w:t>Performance</w:t>
            </w:r>
          </w:p>
        </w:tc>
        <w:tc>
          <w:tcPr>
            <w:tcW w:w="620" w:type="dxa"/>
            <w:hideMark/>
          </w:tcPr>
          <w:p w14:paraId="2B2FE1DF" w14:textId="77777777" w:rsidR="00141DCA" w:rsidRPr="004D05E9" w:rsidRDefault="00141DCA" w:rsidP="00240321">
            <w:pPr>
              <w:tabs>
                <w:tab w:val="right" w:pos="762"/>
              </w:tabs>
              <w:jc w:val="center"/>
              <w:rPr>
                <w:rFonts w:cs="Arial"/>
              </w:rPr>
            </w:pPr>
            <w:r w:rsidRPr="004D05E9">
              <w:rPr>
                <w:rFonts w:cs="Arial"/>
              </w:rPr>
              <w:t>6</w:t>
            </w:r>
          </w:p>
        </w:tc>
        <w:tc>
          <w:tcPr>
            <w:tcW w:w="7932" w:type="dxa"/>
            <w:hideMark/>
          </w:tcPr>
          <w:p w14:paraId="66F9024C" w14:textId="77777777" w:rsidR="00141DCA" w:rsidRPr="004D05E9" w:rsidRDefault="00141DCA" w:rsidP="00240321">
            <w:pPr>
              <w:tabs>
                <w:tab w:val="right" w:pos="762"/>
              </w:tabs>
              <w:rPr>
                <w:rFonts w:cs="Arial"/>
              </w:rPr>
            </w:pPr>
            <w:r w:rsidRPr="004D05E9">
              <w:rPr>
                <w:rFonts w:cs="Arial"/>
              </w:rPr>
              <w:t>Preschool Environments</w:t>
            </w:r>
          </w:p>
        </w:tc>
      </w:tr>
      <w:tr w:rsidR="00141DCA" w:rsidRPr="004D05E9" w14:paraId="4C16BF27" w14:textId="77777777" w:rsidTr="00C90330">
        <w:trPr>
          <w:trHeight w:val="288"/>
          <w:jc w:val="center"/>
        </w:trPr>
        <w:tc>
          <w:tcPr>
            <w:tcW w:w="2096" w:type="dxa"/>
            <w:hideMark/>
          </w:tcPr>
          <w:p w14:paraId="3F016E62" w14:textId="77777777" w:rsidR="00141DCA" w:rsidRPr="004D05E9" w:rsidRDefault="00141DCA" w:rsidP="00240321">
            <w:pPr>
              <w:rPr>
                <w:rFonts w:cs="Arial"/>
              </w:rPr>
            </w:pPr>
            <w:r w:rsidRPr="004D05E9">
              <w:rPr>
                <w:rFonts w:cs="Arial"/>
              </w:rPr>
              <w:t>Performance</w:t>
            </w:r>
          </w:p>
        </w:tc>
        <w:tc>
          <w:tcPr>
            <w:tcW w:w="620" w:type="dxa"/>
          </w:tcPr>
          <w:p w14:paraId="34F47627" w14:textId="77777777" w:rsidR="00141DCA" w:rsidRPr="004D05E9" w:rsidRDefault="00141DCA" w:rsidP="00240321">
            <w:pPr>
              <w:tabs>
                <w:tab w:val="right" w:pos="762"/>
              </w:tabs>
              <w:jc w:val="center"/>
              <w:rPr>
                <w:rFonts w:cs="Arial"/>
              </w:rPr>
            </w:pPr>
            <w:r w:rsidRPr="004D05E9">
              <w:rPr>
                <w:rFonts w:cs="Arial"/>
              </w:rPr>
              <w:t>6A</w:t>
            </w:r>
          </w:p>
        </w:tc>
        <w:tc>
          <w:tcPr>
            <w:tcW w:w="7932" w:type="dxa"/>
            <w:hideMark/>
          </w:tcPr>
          <w:p w14:paraId="216573C3" w14:textId="77777777" w:rsidR="00141DCA" w:rsidRPr="004D05E9" w:rsidRDefault="00141DCA" w:rsidP="00240321">
            <w:pPr>
              <w:tabs>
                <w:tab w:val="right" w:pos="762"/>
              </w:tabs>
              <w:rPr>
                <w:rFonts w:cs="Arial"/>
              </w:rPr>
            </w:pPr>
            <w:r w:rsidRPr="004D05E9">
              <w:rPr>
                <w:rFonts w:cs="Arial"/>
              </w:rPr>
              <w:t>Preschool Environments: Services in the regular childhood program</w:t>
            </w:r>
          </w:p>
        </w:tc>
      </w:tr>
      <w:tr w:rsidR="00141DCA" w:rsidRPr="004D05E9" w14:paraId="22E73721" w14:textId="77777777" w:rsidTr="00C90330">
        <w:trPr>
          <w:trHeight w:val="288"/>
          <w:jc w:val="center"/>
        </w:trPr>
        <w:tc>
          <w:tcPr>
            <w:tcW w:w="2096" w:type="dxa"/>
            <w:hideMark/>
          </w:tcPr>
          <w:p w14:paraId="1FB027AB" w14:textId="77777777" w:rsidR="00141DCA" w:rsidRPr="004D05E9" w:rsidRDefault="00141DCA" w:rsidP="00240321">
            <w:pPr>
              <w:rPr>
                <w:rFonts w:cs="Arial"/>
              </w:rPr>
            </w:pPr>
            <w:r w:rsidRPr="004D05E9">
              <w:rPr>
                <w:rFonts w:cs="Arial"/>
              </w:rPr>
              <w:t>Performance</w:t>
            </w:r>
          </w:p>
        </w:tc>
        <w:tc>
          <w:tcPr>
            <w:tcW w:w="620" w:type="dxa"/>
          </w:tcPr>
          <w:p w14:paraId="43EE7F32" w14:textId="77777777" w:rsidR="00141DCA" w:rsidRPr="004D05E9" w:rsidRDefault="00141DCA" w:rsidP="00240321">
            <w:pPr>
              <w:tabs>
                <w:tab w:val="right" w:pos="762"/>
              </w:tabs>
              <w:jc w:val="center"/>
              <w:rPr>
                <w:rFonts w:cs="Arial"/>
              </w:rPr>
            </w:pPr>
            <w:r w:rsidRPr="004D05E9">
              <w:rPr>
                <w:rFonts w:cs="Arial"/>
              </w:rPr>
              <w:t>6B</w:t>
            </w:r>
          </w:p>
        </w:tc>
        <w:tc>
          <w:tcPr>
            <w:tcW w:w="7932" w:type="dxa"/>
            <w:hideMark/>
          </w:tcPr>
          <w:p w14:paraId="2F928438" w14:textId="77777777" w:rsidR="00141DCA" w:rsidRPr="004D05E9" w:rsidRDefault="00141DCA" w:rsidP="00240321">
            <w:pPr>
              <w:tabs>
                <w:tab w:val="right" w:pos="762"/>
              </w:tabs>
              <w:rPr>
                <w:rFonts w:cs="Arial"/>
              </w:rPr>
            </w:pPr>
            <w:r w:rsidRPr="004D05E9">
              <w:rPr>
                <w:rFonts w:cs="Arial"/>
              </w:rPr>
              <w:t>Preschool Environments: Separate special education class, school, or facility</w:t>
            </w:r>
          </w:p>
        </w:tc>
      </w:tr>
      <w:tr w:rsidR="00141DCA" w:rsidRPr="004D05E9" w14:paraId="1F1CB66D" w14:textId="77777777" w:rsidTr="00C90330">
        <w:trPr>
          <w:trHeight w:val="288"/>
          <w:jc w:val="center"/>
        </w:trPr>
        <w:tc>
          <w:tcPr>
            <w:tcW w:w="2096" w:type="dxa"/>
            <w:hideMark/>
          </w:tcPr>
          <w:p w14:paraId="1B3ABE37" w14:textId="77777777" w:rsidR="00141DCA" w:rsidRPr="004D05E9" w:rsidRDefault="00141DCA" w:rsidP="00240321">
            <w:pPr>
              <w:rPr>
                <w:rFonts w:cs="Arial"/>
              </w:rPr>
            </w:pPr>
            <w:r w:rsidRPr="004D05E9">
              <w:rPr>
                <w:rFonts w:cs="Arial"/>
              </w:rPr>
              <w:t>Performance</w:t>
            </w:r>
          </w:p>
        </w:tc>
        <w:tc>
          <w:tcPr>
            <w:tcW w:w="620" w:type="dxa"/>
            <w:hideMark/>
          </w:tcPr>
          <w:p w14:paraId="379FF390" w14:textId="77777777" w:rsidR="00141DCA" w:rsidRPr="004D05E9" w:rsidRDefault="00141DCA" w:rsidP="00240321">
            <w:pPr>
              <w:tabs>
                <w:tab w:val="right" w:pos="762"/>
              </w:tabs>
              <w:jc w:val="center"/>
              <w:rPr>
                <w:rFonts w:cs="Arial"/>
              </w:rPr>
            </w:pPr>
            <w:r w:rsidRPr="004D05E9">
              <w:rPr>
                <w:rFonts w:cs="Arial"/>
              </w:rPr>
              <w:t>7</w:t>
            </w:r>
          </w:p>
        </w:tc>
        <w:tc>
          <w:tcPr>
            <w:tcW w:w="7932" w:type="dxa"/>
            <w:hideMark/>
          </w:tcPr>
          <w:p w14:paraId="0E4F9BE7" w14:textId="77777777" w:rsidR="00141DCA" w:rsidRPr="004D05E9" w:rsidRDefault="00141DCA" w:rsidP="00240321">
            <w:pPr>
              <w:tabs>
                <w:tab w:val="right" w:pos="762"/>
              </w:tabs>
              <w:rPr>
                <w:rFonts w:cs="Arial"/>
              </w:rPr>
            </w:pPr>
            <w:r w:rsidRPr="004D05E9">
              <w:rPr>
                <w:rFonts w:cs="Arial"/>
              </w:rPr>
              <w:t>Preschool Outcomes</w:t>
            </w:r>
          </w:p>
        </w:tc>
      </w:tr>
      <w:tr w:rsidR="00141DCA" w:rsidRPr="004D05E9" w14:paraId="5F133AA3" w14:textId="77777777" w:rsidTr="00C90330">
        <w:trPr>
          <w:trHeight w:val="288"/>
          <w:jc w:val="center"/>
        </w:trPr>
        <w:tc>
          <w:tcPr>
            <w:tcW w:w="2096" w:type="dxa"/>
            <w:hideMark/>
          </w:tcPr>
          <w:p w14:paraId="2B8F2E58" w14:textId="77777777" w:rsidR="00141DCA" w:rsidRPr="004D05E9" w:rsidRDefault="00141DCA" w:rsidP="00240321">
            <w:pPr>
              <w:rPr>
                <w:rFonts w:cs="Arial"/>
              </w:rPr>
            </w:pPr>
            <w:r w:rsidRPr="004D05E9">
              <w:rPr>
                <w:rFonts w:cs="Arial"/>
              </w:rPr>
              <w:t>Performance</w:t>
            </w:r>
          </w:p>
        </w:tc>
        <w:tc>
          <w:tcPr>
            <w:tcW w:w="620" w:type="dxa"/>
            <w:hideMark/>
          </w:tcPr>
          <w:p w14:paraId="2EF1A908" w14:textId="77777777" w:rsidR="00141DCA" w:rsidRPr="004D05E9" w:rsidRDefault="00141DCA" w:rsidP="00240321">
            <w:pPr>
              <w:jc w:val="center"/>
              <w:rPr>
                <w:rFonts w:cs="Arial"/>
              </w:rPr>
            </w:pPr>
            <w:r w:rsidRPr="004D05E9">
              <w:rPr>
                <w:rFonts w:cs="Arial"/>
              </w:rPr>
              <w:t>7A</w:t>
            </w:r>
          </w:p>
        </w:tc>
        <w:tc>
          <w:tcPr>
            <w:tcW w:w="7932" w:type="dxa"/>
            <w:hideMark/>
          </w:tcPr>
          <w:p w14:paraId="07EE6131" w14:textId="77777777" w:rsidR="00141DCA" w:rsidRPr="004D05E9" w:rsidRDefault="00141DCA" w:rsidP="00240321">
            <w:pPr>
              <w:rPr>
                <w:rFonts w:cs="Arial"/>
              </w:rPr>
            </w:pPr>
            <w:r w:rsidRPr="004D05E9">
              <w:rPr>
                <w:rFonts w:cs="Arial"/>
              </w:rPr>
              <w:t>Preschool Outcomes: Positive social-emotional skills</w:t>
            </w:r>
          </w:p>
        </w:tc>
      </w:tr>
      <w:tr w:rsidR="00141DCA" w:rsidRPr="004D05E9" w14:paraId="1F30A461" w14:textId="77777777" w:rsidTr="00C90330">
        <w:trPr>
          <w:trHeight w:val="288"/>
          <w:jc w:val="center"/>
        </w:trPr>
        <w:tc>
          <w:tcPr>
            <w:tcW w:w="2096" w:type="dxa"/>
            <w:hideMark/>
          </w:tcPr>
          <w:p w14:paraId="7FBD7500" w14:textId="77777777" w:rsidR="00141DCA" w:rsidRPr="004D05E9" w:rsidRDefault="00141DCA" w:rsidP="00240321">
            <w:pPr>
              <w:rPr>
                <w:rFonts w:cs="Arial"/>
              </w:rPr>
            </w:pPr>
            <w:r w:rsidRPr="004D05E9">
              <w:rPr>
                <w:rFonts w:cs="Arial"/>
              </w:rPr>
              <w:t>Performance</w:t>
            </w:r>
          </w:p>
        </w:tc>
        <w:tc>
          <w:tcPr>
            <w:tcW w:w="620" w:type="dxa"/>
            <w:hideMark/>
          </w:tcPr>
          <w:p w14:paraId="223E6F85" w14:textId="77777777" w:rsidR="00141DCA" w:rsidRPr="004D05E9" w:rsidRDefault="00141DCA" w:rsidP="00240321">
            <w:pPr>
              <w:jc w:val="center"/>
              <w:rPr>
                <w:rFonts w:cs="Arial"/>
              </w:rPr>
            </w:pPr>
            <w:r w:rsidRPr="004D05E9">
              <w:rPr>
                <w:rFonts w:cs="Arial"/>
              </w:rPr>
              <w:t>7B</w:t>
            </w:r>
          </w:p>
        </w:tc>
        <w:tc>
          <w:tcPr>
            <w:tcW w:w="7932" w:type="dxa"/>
            <w:hideMark/>
          </w:tcPr>
          <w:p w14:paraId="50491828" w14:textId="77777777" w:rsidR="00141DCA" w:rsidRPr="004D05E9" w:rsidRDefault="00141DCA" w:rsidP="00240321">
            <w:pPr>
              <w:rPr>
                <w:rFonts w:cs="Arial"/>
              </w:rPr>
            </w:pPr>
            <w:r w:rsidRPr="004D05E9">
              <w:rPr>
                <w:rFonts w:cs="Arial"/>
              </w:rPr>
              <w:t>Preschool Outcomes: Acquisition/use of knowledge and skills</w:t>
            </w:r>
          </w:p>
        </w:tc>
      </w:tr>
      <w:tr w:rsidR="00141DCA" w:rsidRPr="004D05E9" w14:paraId="2E3104C8" w14:textId="77777777" w:rsidTr="00C90330">
        <w:trPr>
          <w:trHeight w:val="288"/>
          <w:jc w:val="center"/>
        </w:trPr>
        <w:tc>
          <w:tcPr>
            <w:tcW w:w="2096" w:type="dxa"/>
          </w:tcPr>
          <w:p w14:paraId="281EDBA8" w14:textId="77777777" w:rsidR="00141DCA" w:rsidRPr="004D05E9" w:rsidRDefault="00141DCA" w:rsidP="00240321">
            <w:pPr>
              <w:rPr>
                <w:rFonts w:cs="Arial"/>
              </w:rPr>
            </w:pPr>
            <w:r w:rsidRPr="004D05E9">
              <w:rPr>
                <w:rFonts w:cs="Arial"/>
              </w:rPr>
              <w:t>Performance</w:t>
            </w:r>
          </w:p>
        </w:tc>
        <w:tc>
          <w:tcPr>
            <w:tcW w:w="620" w:type="dxa"/>
            <w:hideMark/>
          </w:tcPr>
          <w:p w14:paraId="42DD7B45" w14:textId="77777777" w:rsidR="00141DCA" w:rsidRPr="004D05E9" w:rsidRDefault="00141DCA" w:rsidP="00240321">
            <w:pPr>
              <w:jc w:val="center"/>
              <w:rPr>
                <w:rFonts w:cs="Arial"/>
              </w:rPr>
            </w:pPr>
            <w:r w:rsidRPr="004D05E9">
              <w:rPr>
                <w:rFonts w:cs="Arial"/>
              </w:rPr>
              <w:t>7C</w:t>
            </w:r>
          </w:p>
        </w:tc>
        <w:tc>
          <w:tcPr>
            <w:tcW w:w="7932" w:type="dxa"/>
            <w:hideMark/>
          </w:tcPr>
          <w:p w14:paraId="45CEEB98" w14:textId="77777777" w:rsidR="00141DCA" w:rsidRPr="004D05E9" w:rsidRDefault="00141DCA" w:rsidP="00240321">
            <w:pPr>
              <w:rPr>
                <w:rFonts w:cs="Arial"/>
              </w:rPr>
            </w:pPr>
            <w:r w:rsidRPr="004D05E9">
              <w:rPr>
                <w:rFonts w:cs="Arial"/>
              </w:rPr>
              <w:t>Preschool Outcomes: Use of Appropriate Behaviors</w:t>
            </w:r>
          </w:p>
        </w:tc>
      </w:tr>
      <w:tr w:rsidR="00141DCA" w:rsidRPr="004D05E9" w14:paraId="20506431" w14:textId="77777777" w:rsidTr="00C90330">
        <w:trPr>
          <w:trHeight w:val="288"/>
          <w:jc w:val="center"/>
        </w:trPr>
        <w:tc>
          <w:tcPr>
            <w:tcW w:w="2096" w:type="dxa"/>
            <w:hideMark/>
          </w:tcPr>
          <w:p w14:paraId="299128FA" w14:textId="77777777" w:rsidR="00141DCA" w:rsidRPr="004D05E9" w:rsidRDefault="00141DCA" w:rsidP="00240321">
            <w:pPr>
              <w:rPr>
                <w:rFonts w:cs="Arial"/>
              </w:rPr>
            </w:pPr>
            <w:r w:rsidRPr="004D05E9">
              <w:rPr>
                <w:rFonts w:cs="Arial"/>
              </w:rPr>
              <w:t>Performance</w:t>
            </w:r>
          </w:p>
        </w:tc>
        <w:tc>
          <w:tcPr>
            <w:tcW w:w="620" w:type="dxa"/>
            <w:hideMark/>
          </w:tcPr>
          <w:p w14:paraId="40DDBAC3" w14:textId="77777777" w:rsidR="00141DCA" w:rsidRPr="004D05E9" w:rsidRDefault="00141DCA" w:rsidP="00240321">
            <w:pPr>
              <w:jc w:val="center"/>
              <w:rPr>
                <w:rFonts w:cs="Arial"/>
              </w:rPr>
            </w:pPr>
            <w:r w:rsidRPr="004D05E9">
              <w:rPr>
                <w:rFonts w:cs="Arial"/>
              </w:rPr>
              <w:t>8</w:t>
            </w:r>
          </w:p>
        </w:tc>
        <w:tc>
          <w:tcPr>
            <w:tcW w:w="7932" w:type="dxa"/>
            <w:hideMark/>
          </w:tcPr>
          <w:p w14:paraId="1552B0AC" w14:textId="77777777" w:rsidR="00141DCA" w:rsidRPr="004D05E9" w:rsidRDefault="00141DCA" w:rsidP="00240321">
            <w:pPr>
              <w:rPr>
                <w:rFonts w:cs="Arial"/>
              </w:rPr>
            </w:pPr>
            <w:r w:rsidRPr="004D05E9">
              <w:rPr>
                <w:rFonts w:cs="Arial"/>
              </w:rPr>
              <w:t>Parent Involvement</w:t>
            </w:r>
          </w:p>
        </w:tc>
      </w:tr>
      <w:tr w:rsidR="00141DCA" w:rsidRPr="004D05E9" w14:paraId="27FC031F" w14:textId="77777777" w:rsidTr="00C90330">
        <w:trPr>
          <w:trHeight w:val="288"/>
          <w:jc w:val="center"/>
        </w:trPr>
        <w:tc>
          <w:tcPr>
            <w:tcW w:w="2096" w:type="dxa"/>
            <w:hideMark/>
          </w:tcPr>
          <w:p w14:paraId="47207DFF" w14:textId="77777777" w:rsidR="00141DCA" w:rsidRPr="004D05E9" w:rsidRDefault="00141DCA" w:rsidP="00240321">
            <w:pPr>
              <w:rPr>
                <w:rFonts w:cs="Arial"/>
              </w:rPr>
            </w:pPr>
            <w:r w:rsidRPr="004D05E9">
              <w:rPr>
                <w:rFonts w:cs="Arial"/>
              </w:rPr>
              <w:t>Compliance</w:t>
            </w:r>
          </w:p>
        </w:tc>
        <w:tc>
          <w:tcPr>
            <w:tcW w:w="620" w:type="dxa"/>
            <w:hideMark/>
          </w:tcPr>
          <w:p w14:paraId="448E8371" w14:textId="77777777" w:rsidR="00141DCA" w:rsidRPr="004D05E9" w:rsidRDefault="00141DCA" w:rsidP="00240321">
            <w:pPr>
              <w:jc w:val="center"/>
              <w:rPr>
                <w:rFonts w:cs="Arial"/>
              </w:rPr>
            </w:pPr>
            <w:r w:rsidRPr="004D05E9">
              <w:rPr>
                <w:rFonts w:cs="Arial"/>
              </w:rPr>
              <w:t>9</w:t>
            </w:r>
          </w:p>
        </w:tc>
        <w:tc>
          <w:tcPr>
            <w:tcW w:w="7932" w:type="dxa"/>
            <w:hideMark/>
          </w:tcPr>
          <w:p w14:paraId="2A555DCB" w14:textId="77777777" w:rsidR="00141DCA" w:rsidRPr="004D05E9" w:rsidRDefault="00141DCA" w:rsidP="00240321">
            <w:pPr>
              <w:rPr>
                <w:rFonts w:cs="Arial"/>
              </w:rPr>
            </w:pPr>
            <w:r w:rsidRPr="004D05E9">
              <w:rPr>
                <w:rFonts w:cs="Arial"/>
              </w:rPr>
              <w:t xml:space="preserve">Disproportionate Representation </w:t>
            </w:r>
          </w:p>
        </w:tc>
      </w:tr>
      <w:tr w:rsidR="00141DCA" w:rsidRPr="004D05E9" w14:paraId="6699D9B3" w14:textId="77777777" w:rsidTr="00C90330">
        <w:trPr>
          <w:trHeight w:val="288"/>
          <w:jc w:val="center"/>
        </w:trPr>
        <w:tc>
          <w:tcPr>
            <w:tcW w:w="2096" w:type="dxa"/>
            <w:hideMark/>
          </w:tcPr>
          <w:p w14:paraId="0A1095F4" w14:textId="77777777" w:rsidR="00141DCA" w:rsidRPr="004D05E9" w:rsidRDefault="00141DCA" w:rsidP="00240321">
            <w:pPr>
              <w:rPr>
                <w:rFonts w:cs="Arial"/>
              </w:rPr>
            </w:pPr>
            <w:r w:rsidRPr="004D05E9">
              <w:rPr>
                <w:rFonts w:cs="Arial"/>
              </w:rPr>
              <w:t>Compliance</w:t>
            </w:r>
          </w:p>
        </w:tc>
        <w:tc>
          <w:tcPr>
            <w:tcW w:w="620" w:type="dxa"/>
            <w:hideMark/>
          </w:tcPr>
          <w:p w14:paraId="39557560" w14:textId="77777777" w:rsidR="00141DCA" w:rsidRPr="004D05E9" w:rsidRDefault="00141DCA" w:rsidP="00240321">
            <w:pPr>
              <w:jc w:val="center"/>
              <w:rPr>
                <w:rFonts w:cs="Arial"/>
              </w:rPr>
            </w:pPr>
            <w:r w:rsidRPr="004D05E9">
              <w:rPr>
                <w:rFonts w:cs="Arial"/>
              </w:rPr>
              <w:t>10</w:t>
            </w:r>
          </w:p>
        </w:tc>
        <w:tc>
          <w:tcPr>
            <w:tcW w:w="7932" w:type="dxa"/>
            <w:hideMark/>
          </w:tcPr>
          <w:p w14:paraId="1E84C582" w14:textId="77777777" w:rsidR="00141DCA" w:rsidRPr="004D05E9" w:rsidRDefault="00141DCA" w:rsidP="00240321">
            <w:pPr>
              <w:rPr>
                <w:rFonts w:cs="Arial"/>
              </w:rPr>
            </w:pPr>
            <w:r w:rsidRPr="004D05E9">
              <w:rPr>
                <w:rFonts w:cs="Arial"/>
              </w:rPr>
              <w:t>Disproportionate Representation in Specific Disability Categories</w:t>
            </w:r>
          </w:p>
        </w:tc>
      </w:tr>
      <w:tr w:rsidR="00141DCA" w:rsidRPr="004D05E9" w14:paraId="6C7F29C4" w14:textId="77777777" w:rsidTr="00C90330">
        <w:trPr>
          <w:trHeight w:val="288"/>
          <w:jc w:val="center"/>
        </w:trPr>
        <w:tc>
          <w:tcPr>
            <w:tcW w:w="2096" w:type="dxa"/>
            <w:hideMark/>
          </w:tcPr>
          <w:p w14:paraId="3741A130" w14:textId="77777777" w:rsidR="00141DCA" w:rsidRPr="004D05E9" w:rsidRDefault="00141DCA" w:rsidP="00240321">
            <w:pPr>
              <w:rPr>
                <w:rFonts w:cs="Arial"/>
              </w:rPr>
            </w:pPr>
            <w:r w:rsidRPr="004D05E9">
              <w:rPr>
                <w:rFonts w:cs="Arial"/>
              </w:rPr>
              <w:t>Compliance</w:t>
            </w:r>
          </w:p>
        </w:tc>
        <w:tc>
          <w:tcPr>
            <w:tcW w:w="620" w:type="dxa"/>
            <w:hideMark/>
          </w:tcPr>
          <w:p w14:paraId="6BD17D42" w14:textId="77777777" w:rsidR="00141DCA" w:rsidRPr="004D05E9" w:rsidRDefault="00141DCA" w:rsidP="00240321">
            <w:pPr>
              <w:jc w:val="center"/>
              <w:rPr>
                <w:rFonts w:cs="Arial"/>
              </w:rPr>
            </w:pPr>
            <w:r w:rsidRPr="004D05E9">
              <w:rPr>
                <w:rFonts w:cs="Arial"/>
              </w:rPr>
              <w:t>11</w:t>
            </w:r>
          </w:p>
        </w:tc>
        <w:tc>
          <w:tcPr>
            <w:tcW w:w="7932" w:type="dxa"/>
            <w:hideMark/>
          </w:tcPr>
          <w:p w14:paraId="5EBF5079" w14:textId="77777777" w:rsidR="00141DCA" w:rsidRPr="004D05E9" w:rsidRDefault="00141DCA" w:rsidP="00240321">
            <w:pPr>
              <w:rPr>
                <w:rFonts w:cs="Arial"/>
              </w:rPr>
            </w:pPr>
            <w:r w:rsidRPr="004D05E9">
              <w:rPr>
                <w:rFonts w:cs="Arial"/>
              </w:rPr>
              <w:t>Child Find</w:t>
            </w:r>
          </w:p>
        </w:tc>
      </w:tr>
      <w:tr w:rsidR="00141DCA" w:rsidRPr="004D05E9" w14:paraId="09295BA1" w14:textId="77777777" w:rsidTr="00C90330">
        <w:trPr>
          <w:trHeight w:val="288"/>
          <w:jc w:val="center"/>
        </w:trPr>
        <w:tc>
          <w:tcPr>
            <w:tcW w:w="2096" w:type="dxa"/>
            <w:hideMark/>
          </w:tcPr>
          <w:p w14:paraId="65722F0D" w14:textId="77777777" w:rsidR="00141DCA" w:rsidRPr="004D05E9" w:rsidRDefault="00141DCA" w:rsidP="00240321">
            <w:pPr>
              <w:rPr>
                <w:rFonts w:cs="Arial"/>
              </w:rPr>
            </w:pPr>
            <w:r w:rsidRPr="004D05E9">
              <w:rPr>
                <w:rFonts w:cs="Arial"/>
              </w:rPr>
              <w:t>Compliance</w:t>
            </w:r>
          </w:p>
        </w:tc>
        <w:tc>
          <w:tcPr>
            <w:tcW w:w="620" w:type="dxa"/>
            <w:hideMark/>
          </w:tcPr>
          <w:p w14:paraId="6883E075" w14:textId="77777777" w:rsidR="00141DCA" w:rsidRPr="004D05E9" w:rsidRDefault="00141DCA" w:rsidP="00240321">
            <w:pPr>
              <w:jc w:val="center"/>
              <w:rPr>
                <w:rFonts w:cs="Arial"/>
              </w:rPr>
            </w:pPr>
            <w:r w:rsidRPr="004D05E9">
              <w:rPr>
                <w:rFonts w:cs="Arial"/>
              </w:rPr>
              <w:t>12</w:t>
            </w:r>
          </w:p>
        </w:tc>
        <w:tc>
          <w:tcPr>
            <w:tcW w:w="7932" w:type="dxa"/>
            <w:hideMark/>
          </w:tcPr>
          <w:p w14:paraId="2646E76F" w14:textId="77777777" w:rsidR="00141DCA" w:rsidRPr="004D05E9" w:rsidRDefault="00141DCA" w:rsidP="00240321">
            <w:pPr>
              <w:rPr>
                <w:rFonts w:cs="Arial"/>
              </w:rPr>
            </w:pPr>
            <w:r w:rsidRPr="004D05E9">
              <w:rPr>
                <w:rFonts w:cs="Arial"/>
              </w:rPr>
              <w:t>Early Childhood Transition</w:t>
            </w:r>
          </w:p>
        </w:tc>
      </w:tr>
      <w:tr w:rsidR="00141DCA" w:rsidRPr="004D05E9" w14:paraId="3121DF2A" w14:textId="77777777" w:rsidTr="00C90330">
        <w:trPr>
          <w:trHeight w:val="288"/>
          <w:jc w:val="center"/>
        </w:trPr>
        <w:tc>
          <w:tcPr>
            <w:tcW w:w="2096" w:type="dxa"/>
            <w:hideMark/>
          </w:tcPr>
          <w:p w14:paraId="12ACDBD9" w14:textId="77777777" w:rsidR="00141DCA" w:rsidRPr="004D05E9" w:rsidRDefault="00141DCA" w:rsidP="00240321">
            <w:pPr>
              <w:rPr>
                <w:rFonts w:cs="Arial"/>
              </w:rPr>
            </w:pPr>
            <w:r w:rsidRPr="004D05E9">
              <w:rPr>
                <w:rFonts w:cs="Arial"/>
              </w:rPr>
              <w:t>Compliance</w:t>
            </w:r>
          </w:p>
        </w:tc>
        <w:tc>
          <w:tcPr>
            <w:tcW w:w="620" w:type="dxa"/>
            <w:hideMark/>
          </w:tcPr>
          <w:p w14:paraId="0C7ADBB1" w14:textId="77777777" w:rsidR="00141DCA" w:rsidRPr="004D05E9" w:rsidRDefault="00141DCA" w:rsidP="00240321">
            <w:pPr>
              <w:jc w:val="center"/>
              <w:rPr>
                <w:rFonts w:cs="Arial"/>
              </w:rPr>
            </w:pPr>
            <w:r w:rsidRPr="004D05E9">
              <w:rPr>
                <w:rFonts w:cs="Arial"/>
              </w:rPr>
              <w:t>13</w:t>
            </w:r>
          </w:p>
        </w:tc>
        <w:tc>
          <w:tcPr>
            <w:tcW w:w="7932" w:type="dxa"/>
            <w:hideMark/>
          </w:tcPr>
          <w:p w14:paraId="604AD031" w14:textId="77777777" w:rsidR="00141DCA" w:rsidRPr="004D05E9" w:rsidRDefault="00141DCA" w:rsidP="00240321">
            <w:pPr>
              <w:rPr>
                <w:rFonts w:cs="Arial"/>
              </w:rPr>
            </w:pPr>
            <w:r w:rsidRPr="004D05E9">
              <w:rPr>
                <w:rFonts w:cs="Arial"/>
              </w:rPr>
              <w:t>Secondary Transition</w:t>
            </w:r>
          </w:p>
        </w:tc>
      </w:tr>
      <w:tr w:rsidR="00141DCA" w:rsidRPr="004D05E9" w14:paraId="6BDAB8D7" w14:textId="77777777" w:rsidTr="00C90330">
        <w:trPr>
          <w:trHeight w:val="288"/>
          <w:jc w:val="center"/>
        </w:trPr>
        <w:tc>
          <w:tcPr>
            <w:tcW w:w="2096" w:type="dxa"/>
            <w:hideMark/>
          </w:tcPr>
          <w:p w14:paraId="7B7B0F4B" w14:textId="77777777" w:rsidR="00141DCA" w:rsidRPr="004D05E9" w:rsidRDefault="00141DCA" w:rsidP="00240321">
            <w:pPr>
              <w:rPr>
                <w:rFonts w:cs="Arial"/>
              </w:rPr>
            </w:pPr>
            <w:r w:rsidRPr="004D05E9">
              <w:rPr>
                <w:rFonts w:cs="Arial"/>
              </w:rPr>
              <w:t>Performance</w:t>
            </w:r>
          </w:p>
        </w:tc>
        <w:tc>
          <w:tcPr>
            <w:tcW w:w="620" w:type="dxa"/>
            <w:hideMark/>
          </w:tcPr>
          <w:p w14:paraId="3B06A390" w14:textId="77777777" w:rsidR="00141DCA" w:rsidRPr="004D05E9" w:rsidRDefault="00141DCA" w:rsidP="00240321">
            <w:pPr>
              <w:jc w:val="center"/>
              <w:rPr>
                <w:rFonts w:cs="Arial"/>
              </w:rPr>
            </w:pPr>
            <w:r w:rsidRPr="004D05E9">
              <w:rPr>
                <w:rFonts w:cs="Arial"/>
              </w:rPr>
              <w:t>14</w:t>
            </w:r>
          </w:p>
        </w:tc>
        <w:tc>
          <w:tcPr>
            <w:tcW w:w="7932" w:type="dxa"/>
            <w:hideMark/>
          </w:tcPr>
          <w:p w14:paraId="08BD93C6" w14:textId="77777777" w:rsidR="00141DCA" w:rsidRPr="004D05E9" w:rsidRDefault="00141DCA" w:rsidP="00240321">
            <w:pPr>
              <w:rPr>
                <w:rFonts w:cs="Arial"/>
              </w:rPr>
            </w:pPr>
            <w:r w:rsidRPr="004D05E9">
              <w:rPr>
                <w:rFonts w:cs="Arial"/>
              </w:rPr>
              <w:t>Post-school Outcomes</w:t>
            </w:r>
          </w:p>
        </w:tc>
      </w:tr>
      <w:tr w:rsidR="00141DCA" w:rsidRPr="004D05E9" w14:paraId="335245B5" w14:textId="77777777" w:rsidTr="00C90330">
        <w:trPr>
          <w:trHeight w:val="288"/>
          <w:jc w:val="center"/>
        </w:trPr>
        <w:tc>
          <w:tcPr>
            <w:tcW w:w="2096" w:type="dxa"/>
            <w:hideMark/>
          </w:tcPr>
          <w:p w14:paraId="40F20CDD" w14:textId="77777777" w:rsidR="00141DCA" w:rsidRPr="004D05E9" w:rsidRDefault="00141DCA" w:rsidP="00240321">
            <w:pPr>
              <w:rPr>
                <w:rFonts w:cs="Arial"/>
              </w:rPr>
            </w:pPr>
            <w:r w:rsidRPr="004D05E9">
              <w:rPr>
                <w:rFonts w:cs="Arial"/>
              </w:rPr>
              <w:t>Performance</w:t>
            </w:r>
          </w:p>
        </w:tc>
        <w:tc>
          <w:tcPr>
            <w:tcW w:w="620" w:type="dxa"/>
            <w:hideMark/>
          </w:tcPr>
          <w:p w14:paraId="20E43E66" w14:textId="77777777" w:rsidR="00141DCA" w:rsidRPr="004D05E9" w:rsidRDefault="005A1301" w:rsidP="00240321">
            <w:pPr>
              <w:jc w:val="center"/>
              <w:rPr>
                <w:rFonts w:cs="Arial"/>
              </w:rPr>
            </w:pPr>
            <w:r w:rsidRPr="004D05E9">
              <w:rPr>
                <w:rFonts w:cs="Arial"/>
              </w:rPr>
              <w:t>14A</w:t>
            </w:r>
          </w:p>
        </w:tc>
        <w:tc>
          <w:tcPr>
            <w:tcW w:w="7932" w:type="dxa"/>
            <w:hideMark/>
          </w:tcPr>
          <w:p w14:paraId="6F3A86CC" w14:textId="77777777" w:rsidR="00141DCA" w:rsidRPr="004D05E9" w:rsidRDefault="00141DCA" w:rsidP="00240321">
            <w:pPr>
              <w:rPr>
                <w:rFonts w:cs="Arial"/>
              </w:rPr>
            </w:pPr>
            <w:r w:rsidRPr="004D05E9">
              <w:rPr>
                <w:rFonts w:cs="Arial"/>
              </w:rPr>
              <w:t xml:space="preserve">Enrolled in higher education within one year of leaving high </w:t>
            </w:r>
            <w:r w:rsidRPr="004D05E9">
              <w:rPr>
                <w:rFonts w:cs="Arial"/>
              </w:rPr>
              <w:br/>
              <w:t>school</w:t>
            </w:r>
          </w:p>
        </w:tc>
      </w:tr>
      <w:tr w:rsidR="00141DCA" w:rsidRPr="004D05E9" w14:paraId="30E9A286" w14:textId="77777777" w:rsidTr="00C90330">
        <w:trPr>
          <w:trHeight w:val="288"/>
          <w:jc w:val="center"/>
        </w:trPr>
        <w:tc>
          <w:tcPr>
            <w:tcW w:w="2096" w:type="dxa"/>
            <w:hideMark/>
          </w:tcPr>
          <w:p w14:paraId="7649057F" w14:textId="77777777" w:rsidR="00141DCA" w:rsidRPr="004D05E9" w:rsidRDefault="00141DCA" w:rsidP="00240321">
            <w:pPr>
              <w:rPr>
                <w:rFonts w:cs="Arial"/>
              </w:rPr>
            </w:pPr>
            <w:r w:rsidRPr="004D05E9">
              <w:rPr>
                <w:rFonts w:cs="Arial"/>
              </w:rPr>
              <w:t>Performance</w:t>
            </w:r>
          </w:p>
        </w:tc>
        <w:tc>
          <w:tcPr>
            <w:tcW w:w="620" w:type="dxa"/>
            <w:hideMark/>
          </w:tcPr>
          <w:p w14:paraId="6A64C3AF" w14:textId="77777777" w:rsidR="00141DCA" w:rsidRPr="004D05E9" w:rsidRDefault="005A1301" w:rsidP="00240321">
            <w:pPr>
              <w:jc w:val="center"/>
              <w:rPr>
                <w:rFonts w:cs="Arial"/>
              </w:rPr>
            </w:pPr>
            <w:r w:rsidRPr="004D05E9">
              <w:rPr>
                <w:rFonts w:cs="Arial"/>
              </w:rPr>
              <w:t>14B</w:t>
            </w:r>
          </w:p>
        </w:tc>
        <w:tc>
          <w:tcPr>
            <w:tcW w:w="7932" w:type="dxa"/>
            <w:hideMark/>
          </w:tcPr>
          <w:p w14:paraId="36B3F5CE" w14:textId="77777777" w:rsidR="00141DCA" w:rsidRPr="004D05E9" w:rsidRDefault="00141DCA" w:rsidP="00240321">
            <w:pPr>
              <w:rPr>
                <w:rFonts w:cs="Arial"/>
              </w:rPr>
            </w:pPr>
            <w:r w:rsidRPr="004D05E9">
              <w:rPr>
                <w:rFonts w:cs="Arial"/>
              </w:rPr>
              <w:t>Enrolled in higher education or competitively employed within one year of leaving high school</w:t>
            </w:r>
          </w:p>
        </w:tc>
      </w:tr>
      <w:tr w:rsidR="00141DCA" w:rsidRPr="004D05E9" w14:paraId="5CD58AEA" w14:textId="77777777" w:rsidTr="00C90330">
        <w:trPr>
          <w:trHeight w:val="288"/>
          <w:jc w:val="center"/>
        </w:trPr>
        <w:tc>
          <w:tcPr>
            <w:tcW w:w="2096" w:type="dxa"/>
            <w:hideMark/>
          </w:tcPr>
          <w:p w14:paraId="0E0CBB7C" w14:textId="77777777" w:rsidR="00141DCA" w:rsidRPr="004D05E9" w:rsidRDefault="00141DCA" w:rsidP="00240321">
            <w:pPr>
              <w:rPr>
                <w:rFonts w:cs="Arial"/>
              </w:rPr>
            </w:pPr>
            <w:r w:rsidRPr="004D05E9">
              <w:rPr>
                <w:rFonts w:cs="Arial"/>
              </w:rPr>
              <w:t>Performance</w:t>
            </w:r>
          </w:p>
        </w:tc>
        <w:tc>
          <w:tcPr>
            <w:tcW w:w="620" w:type="dxa"/>
            <w:hideMark/>
          </w:tcPr>
          <w:p w14:paraId="19813E7E" w14:textId="77777777" w:rsidR="00141DCA" w:rsidRPr="004D05E9" w:rsidRDefault="00141DCA" w:rsidP="005A1301">
            <w:pPr>
              <w:jc w:val="center"/>
              <w:rPr>
                <w:rFonts w:cs="Arial"/>
              </w:rPr>
            </w:pPr>
            <w:r w:rsidRPr="004D05E9">
              <w:rPr>
                <w:rFonts w:cs="Arial"/>
              </w:rPr>
              <w:t>14C</w:t>
            </w:r>
          </w:p>
        </w:tc>
        <w:tc>
          <w:tcPr>
            <w:tcW w:w="7932" w:type="dxa"/>
            <w:hideMark/>
          </w:tcPr>
          <w:p w14:paraId="0E473554" w14:textId="77777777" w:rsidR="00141DCA" w:rsidRPr="004D05E9" w:rsidRDefault="00141DCA" w:rsidP="00240321">
            <w:pPr>
              <w:rPr>
                <w:rFonts w:cs="Arial"/>
              </w:rPr>
            </w:pPr>
            <w:r w:rsidRPr="004D05E9">
              <w:rPr>
                <w:rFonts w:cs="Arial"/>
              </w:rPr>
              <w:t>Enrolled in higher education or in some other postsecondary education or training program; or competitively employed or in some other employment within one year of leaving high school</w:t>
            </w:r>
          </w:p>
        </w:tc>
      </w:tr>
      <w:tr w:rsidR="00141DCA" w:rsidRPr="004D05E9" w14:paraId="7DB622B1" w14:textId="77777777" w:rsidTr="00C90330">
        <w:trPr>
          <w:trHeight w:val="288"/>
          <w:jc w:val="center"/>
        </w:trPr>
        <w:tc>
          <w:tcPr>
            <w:tcW w:w="2096" w:type="dxa"/>
            <w:hideMark/>
          </w:tcPr>
          <w:p w14:paraId="073F2414" w14:textId="77777777" w:rsidR="00141DCA" w:rsidRPr="004D05E9" w:rsidRDefault="00141DCA" w:rsidP="00240321">
            <w:pPr>
              <w:rPr>
                <w:rFonts w:cs="Arial"/>
              </w:rPr>
            </w:pPr>
            <w:r w:rsidRPr="004D05E9">
              <w:rPr>
                <w:rFonts w:cs="Arial"/>
              </w:rPr>
              <w:t>Performance</w:t>
            </w:r>
          </w:p>
        </w:tc>
        <w:tc>
          <w:tcPr>
            <w:tcW w:w="620" w:type="dxa"/>
            <w:hideMark/>
          </w:tcPr>
          <w:p w14:paraId="1C57CA6A" w14:textId="77777777" w:rsidR="00141DCA" w:rsidRPr="004D05E9" w:rsidRDefault="00141DCA" w:rsidP="00240321">
            <w:pPr>
              <w:jc w:val="center"/>
              <w:rPr>
                <w:rFonts w:cs="Arial"/>
              </w:rPr>
            </w:pPr>
            <w:r w:rsidRPr="004D05E9">
              <w:rPr>
                <w:rFonts w:cs="Arial"/>
              </w:rPr>
              <w:t>15</w:t>
            </w:r>
          </w:p>
        </w:tc>
        <w:tc>
          <w:tcPr>
            <w:tcW w:w="7932" w:type="dxa"/>
            <w:hideMark/>
          </w:tcPr>
          <w:p w14:paraId="6EFD125B" w14:textId="77777777" w:rsidR="00141DCA" w:rsidRPr="004D05E9" w:rsidRDefault="00141DCA" w:rsidP="00240321">
            <w:pPr>
              <w:rPr>
                <w:rFonts w:cs="Arial"/>
              </w:rPr>
            </w:pPr>
            <w:r w:rsidRPr="004D05E9">
              <w:rPr>
                <w:rFonts w:cs="Arial"/>
              </w:rPr>
              <w:t>Resolution Sessions</w:t>
            </w:r>
          </w:p>
        </w:tc>
      </w:tr>
      <w:tr w:rsidR="00141DCA" w:rsidRPr="004D05E9" w14:paraId="6E6DA2AA" w14:textId="77777777" w:rsidTr="00C90330">
        <w:trPr>
          <w:trHeight w:val="288"/>
          <w:jc w:val="center"/>
        </w:trPr>
        <w:tc>
          <w:tcPr>
            <w:tcW w:w="2096" w:type="dxa"/>
            <w:hideMark/>
          </w:tcPr>
          <w:p w14:paraId="4F5DE765" w14:textId="77777777" w:rsidR="00141DCA" w:rsidRPr="004D05E9" w:rsidRDefault="00141DCA" w:rsidP="00240321">
            <w:pPr>
              <w:rPr>
                <w:rFonts w:cs="Arial"/>
              </w:rPr>
            </w:pPr>
            <w:r w:rsidRPr="004D05E9">
              <w:rPr>
                <w:rFonts w:cs="Arial"/>
              </w:rPr>
              <w:t>Performance</w:t>
            </w:r>
          </w:p>
        </w:tc>
        <w:tc>
          <w:tcPr>
            <w:tcW w:w="620" w:type="dxa"/>
            <w:hideMark/>
          </w:tcPr>
          <w:p w14:paraId="6082FAB6" w14:textId="77777777" w:rsidR="00141DCA" w:rsidRPr="004D05E9" w:rsidRDefault="00141DCA" w:rsidP="00240321">
            <w:pPr>
              <w:jc w:val="center"/>
              <w:rPr>
                <w:rFonts w:cs="Arial"/>
              </w:rPr>
            </w:pPr>
            <w:r w:rsidRPr="004D05E9">
              <w:rPr>
                <w:rFonts w:cs="Arial"/>
              </w:rPr>
              <w:t>16</w:t>
            </w:r>
          </w:p>
        </w:tc>
        <w:tc>
          <w:tcPr>
            <w:tcW w:w="7932" w:type="dxa"/>
            <w:hideMark/>
          </w:tcPr>
          <w:p w14:paraId="1BD8FCF9" w14:textId="77777777" w:rsidR="00141DCA" w:rsidRPr="004D05E9" w:rsidRDefault="00141DCA" w:rsidP="00240321">
            <w:pPr>
              <w:rPr>
                <w:rFonts w:cs="Arial"/>
              </w:rPr>
            </w:pPr>
            <w:r w:rsidRPr="004D05E9">
              <w:rPr>
                <w:rFonts w:cs="Arial"/>
              </w:rPr>
              <w:t>Mediation</w:t>
            </w:r>
          </w:p>
        </w:tc>
      </w:tr>
      <w:tr w:rsidR="00141DCA" w:rsidRPr="004D05E9" w14:paraId="33252BF1" w14:textId="77777777" w:rsidTr="00C90330">
        <w:trPr>
          <w:trHeight w:val="560"/>
          <w:jc w:val="center"/>
        </w:trPr>
        <w:tc>
          <w:tcPr>
            <w:tcW w:w="2096" w:type="dxa"/>
            <w:hideMark/>
          </w:tcPr>
          <w:p w14:paraId="7F063529" w14:textId="77777777" w:rsidR="00141DCA" w:rsidRPr="004D05E9" w:rsidRDefault="00141DCA" w:rsidP="00240321">
            <w:pPr>
              <w:rPr>
                <w:rFonts w:cs="Arial"/>
              </w:rPr>
            </w:pPr>
            <w:r w:rsidRPr="004D05E9">
              <w:rPr>
                <w:rFonts w:cs="Arial"/>
              </w:rPr>
              <w:t>Performance</w:t>
            </w:r>
          </w:p>
        </w:tc>
        <w:tc>
          <w:tcPr>
            <w:tcW w:w="620" w:type="dxa"/>
            <w:hideMark/>
          </w:tcPr>
          <w:p w14:paraId="2C326B32" w14:textId="77777777" w:rsidR="00141DCA" w:rsidRPr="004D05E9" w:rsidRDefault="00141DCA" w:rsidP="00240321">
            <w:pPr>
              <w:jc w:val="center"/>
              <w:rPr>
                <w:rFonts w:cs="Arial"/>
              </w:rPr>
            </w:pPr>
            <w:r w:rsidRPr="004D05E9">
              <w:rPr>
                <w:rFonts w:cs="Arial"/>
              </w:rPr>
              <w:t>17</w:t>
            </w:r>
          </w:p>
        </w:tc>
        <w:tc>
          <w:tcPr>
            <w:tcW w:w="7932" w:type="dxa"/>
            <w:hideMark/>
          </w:tcPr>
          <w:p w14:paraId="25471609" w14:textId="77777777" w:rsidR="00141DCA" w:rsidRPr="004D05E9" w:rsidRDefault="00141DCA" w:rsidP="00240321">
            <w:pPr>
              <w:rPr>
                <w:rFonts w:cs="Arial"/>
              </w:rPr>
            </w:pPr>
            <w:r w:rsidRPr="004D05E9">
              <w:rPr>
                <w:rFonts w:cs="Arial"/>
              </w:rPr>
              <w:t>State Systemic Improvement Plan</w:t>
            </w:r>
          </w:p>
        </w:tc>
      </w:tr>
    </w:tbl>
    <w:p w14:paraId="341379C5" w14:textId="77777777" w:rsidR="00141DCA" w:rsidRPr="004D05E9" w:rsidRDefault="00141DCA" w:rsidP="00724781">
      <w:pPr>
        <w:pStyle w:val="Heading2"/>
        <w:spacing w:after="240"/>
      </w:pPr>
      <w:bookmarkStart w:id="53" w:name="_Toc57198993"/>
      <w:r w:rsidRPr="004D05E9">
        <w:lastRenderedPageBreak/>
        <w:t>Overview of Population and Services</w:t>
      </w:r>
      <w:bookmarkEnd w:id="53"/>
    </w:p>
    <w:p w14:paraId="6A333D66" w14:textId="7912B8C1" w:rsidR="00B765AE" w:rsidRPr="004D05E9" w:rsidRDefault="00B765AE" w:rsidP="00724781">
      <w:pPr>
        <w:spacing w:after="240"/>
      </w:pPr>
      <w:r w:rsidRPr="004D05E9">
        <w:t xml:space="preserve">During </w:t>
      </w:r>
      <w:r w:rsidR="00733898" w:rsidRPr="004D05E9">
        <w:t>F</w:t>
      </w:r>
      <w:r w:rsidR="00553CB3" w:rsidRPr="004D05E9">
        <w:t>FY 201</w:t>
      </w:r>
      <w:r w:rsidR="005B27E0" w:rsidRPr="004D05E9">
        <w:t>9</w:t>
      </w:r>
      <w:r w:rsidR="00553CB3" w:rsidRPr="004D05E9">
        <w:t xml:space="preserve"> a total of </w:t>
      </w:r>
      <w:r w:rsidR="005B27E0" w:rsidRPr="004D05E9">
        <w:t>804,101</w:t>
      </w:r>
      <w:r w:rsidRPr="004D05E9">
        <w:t xml:space="preserve"> students from birth t</w:t>
      </w:r>
      <w:r w:rsidR="00733898" w:rsidRPr="004D05E9">
        <w:t>o twenty-two years received</w:t>
      </w:r>
      <w:r w:rsidRPr="004D05E9">
        <w:t xml:space="preserve"> special education</w:t>
      </w:r>
      <w:r w:rsidR="00AF459B" w:rsidRPr="004D05E9">
        <w:t xml:space="preserve"> from</w:t>
      </w:r>
      <w:r w:rsidR="00FC591C" w:rsidRPr="004D05E9">
        <w:t xml:space="preserve"> LEAs</w:t>
      </w:r>
      <w:r w:rsidRPr="004D05E9">
        <w:t>.</w:t>
      </w:r>
      <w:r w:rsidR="0075297B" w:rsidRPr="004D05E9">
        <w:t xml:space="preserve"> There are 6,</w:t>
      </w:r>
      <w:r w:rsidR="005B27E0" w:rsidRPr="004D05E9">
        <w:t>163,001</w:t>
      </w:r>
      <w:r w:rsidR="0075297B" w:rsidRPr="004D05E9">
        <w:t xml:space="preserve"> kindergarten through </w:t>
      </w:r>
      <w:r w:rsidR="00BD0001" w:rsidRPr="004D05E9">
        <w:t>grade twelve</w:t>
      </w:r>
      <w:r w:rsidR="0075297B" w:rsidRPr="004D05E9">
        <w:t xml:space="preserve"> students enrolled in California</w:t>
      </w:r>
      <w:r w:rsidR="00717C0D" w:rsidRPr="004D05E9">
        <w:t>;</w:t>
      </w:r>
      <w:r w:rsidR="0075297B" w:rsidRPr="004D05E9">
        <w:t xml:space="preserve"> students with disabilities comprise </w:t>
      </w:r>
      <w:r w:rsidR="005B27E0" w:rsidRPr="004D05E9">
        <w:t>12.2</w:t>
      </w:r>
      <w:r w:rsidR="0075297B" w:rsidRPr="004D05E9">
        <w:t xml:space="preserve"> percent of that population</w:t>
      </w:r>
      <w:r w:rsidR="00733898" w:rsidRPr="004D05E9">
        <w:t>.</w:t>
      </w:r>
      <w:r w:rsidR="003420DA" w:rsidRPr="004D05E9">
        <w:t xml:space="preserve"> A</w:t>
      </w:r>
      <w:r w:rsidRPr="004D05E9">
        <w:t>lmost half of students with disabilities in California (4</w:t>
      </w:r>
      <w:r w:rsidR="005C2690" w:rsidRPr="004D05E9">
        <w:t>9</w:t>
      </w:r>
      <w:r w:rsidRPr="004D05E9">
        <w:t xml:space="preserve"> percent) are betw</w:t>
      </w:r>
      <w:r w:rsidR="0075297B" w:rsidRPr="004D05E9">
        <w:t>een six and twelve years of age;</w:t>
      </w:r>
      <w:r w:rsidRPr="004D05E9">
        <w:t xml:space="preserve"> over two-thirds of students with dis</w:t>
      </w:r>
      <w:r w:rsidR="0075297B" w:rsidRPr="004D05E9">
        <w:t>abilities are male (6</w:t>
      </w:r>
      <w:r w:rsidR="00A93420" w:rsidRPr="004D05E9">
        <w:t>7</w:t>
      </w:r>
      <w:r w:rsidR="0075297B" w:rsidRPr="004D05E9">
        <w:t xml:space="preserve"> percent); and</w:t>
      </w:r>
      <w:r w:rsidRPr="004D05E9">
        <w:t xml:space="preserve"> a quarter are English-language learners (</w:t>
      </w:r>
      <w:r w:rsidR="00A93420" w:rsidRPr="004D05E9">
        <w:t>2</w:t>
      </w:r>
      <w:r w:rsidR="00041099" w:rsidRPr="004D05E9">
        <w:t>5</w:t>
      </w:r>
      <w:r w:rsidRPr="004D05E9">
        <w:t xml:space="preserve"> percent). Of all students with disabilities, Hispanic/Latino students represent the greatest numbers of students in need of</w:t>
      </w:r>
      <w:r w:rsidR="00AF459B" w:rsidRPr="004D05E9">
        <w:t xml:space="preserve"> special education and related</w:t>
      </w:r>
      <w:r w:rsidRPr="004D05E9">
        <w:t xml:space="preserve"> services (5</w:t>
      </w:r>
      <w:r w:rsidR="005C2690" w:rsidRPr="004D05E9">
        <w:t>0</w:t>
      </w:r>
      <w:r w:rsidRPr="004D05E9">
        <w:t xml:space="preserve"> percent) followed by </w:t>
      </w:r>
      <w:r w:rsidR="00717C0D" w:rsidRPr="004D05E9">
        <w:t>w</w:t>
      </w:r>
      <w:r w:rsidRPr="004D05E9">
        <w:t>hite students (2</w:t>
      </w:r>
      <w:r w:rsidR="005C2690" w:rsidRPr="004D05E9">
        <w:t>8</w:t>
      </w:r>
      <w:r w:rsidRPr="004D05E9">
        <w:t xml:space="preserve"> percent). All tables and figures are based on students with disabilit</w:t>
      </w:r>
      <w:r w:rsidR="00724781" w:rsidRPr="004D05E9">
        <w:t>ies birth to twenty-two years.</w:t>
      </w:r>
    </w:p>
    <w:p w14:paraId="4AC77328" w14:textId="0EDD1D0A" w:rsidR="00B765AE" w:rsidRPr="004D05E9" w:rsidRDefault="00B765AE" w:rsidP="00724781">
      <w:pPr>
        <w:spacing w:after="240"/>
      </w:pPr>
      <w:r w:rsidRPr="004D05E9">
        <w:t>Cali</w:t>
      </w:r>
      <w:r w:rsidR="0075297B" w:rsidRPr="004D05E9">
        <w:t>fornia students identified as having</w:t>
      </w:r>
      <w:r w:rsidRPr="004D05E9">
        <w:t xml:space="preserve"> </w:t>
      </w:r>
      <w:r w:rsidR="00AF459B" w:rsidRPr="004D05E9">
        <w:t xml:space="preserve">at </w:t>
      </w:r>
      <w:r w:rsidRPr="004D05E9">
        <w:t xml:space="preserve">least one disability are eligible for </w:t>
      </w:r>
      <w:r w:rsidR="00BD254F" w:rsidRPr="004D05E9">
        <w:t>individualized services to meet their unique</w:t>
      </w:r>
      <w:r w:rsidRPr="004D05E9">
        <w:t xml:space="preserve"> needs. There are 1</w:t>
      </w:r>
      <w:r w:rsidR="00287A7A" w:rsidRPr="004D05E9">
        <w:t>4</w:t>
      </w:r>
      <w:r w:rsidRPr="004D05E9">
        <w:t xml:space="preserve"> </w:t>
      </w:r>
      <w:r w:rsidR="00BD254F" w:rsidRPr="004D05E9">
        <w:t>disability</w:t>
      </w:r>
      <w:r w:rsidRPr="004D05E9">
        <w:t xml:space="preserve"> categories</w:t>
      </w:r>
      <w:r w:rsidR="009E43CB" w:rsidRPr="004D05E9">
        <w:t>, as displayed in Table 2. The most common primary disability catego</w:t>
      </w:r>
      <w:r w:rsidR="00FC591C" w:rsidRPr="004D05E9">
        <w:t xml:space="preserve">ry designation for students is </w:t>
      </w:r>
      <w:r w:rsidR="009E43CB" w:rsidRPr="004D05E9">
        <w:t>Specific Learning</w:t>
      </w:r>
      <w:r w:rsidR="00FC591C" w:rsidRPr="004D05E9">
        <w:t xml:space="preserve"> Disability</w:t>
      </w:r>
      <w:r w:rsidR="009E43CB" w:rsidRPr="004D05E9">
        <w:t xml:space="preserve"> (</w:t>
      </w:r>
      <w:r w:rsidR="00F936D1" w:rsidRPr="004D05E9">
        <w:t>3</w:t>
      </w:r>
      <w:r w:rsidR="00DD7E22" w:rsidRPr="004D05E9">
        <w:t>7.</w:t>
      </w:r>
      <w:r w:rsidR="005C2690" w:rsidRPr="004D05E9">
        <w:t>16</w:t>
      </w:r>
      <w:r w:rsidR="009E43CB" w:rsidRPr="004D05E9">
        <w:t xml:space="preserve"> percent</w:t>
      </w:r>
      <w:r w:rsidR="00FC591C" w:rsidRPr="004D05E9">
        <w:t xml:space="preserve">), followed by </w:t>
      </w:r>
      <w:r w:rsidR="009E43CB" w:rsidRPr="004D05E9">
        <w:t xml:space="preserve">Speech or Language Impairment </w:t>
      </w:r>
      <w:r w:rsidR="00F936D1" w:rsidRPr="004D05E9">
        <w:t>(20.</w:t>
      </w:r>
      <w:r w:rsidR="00DD7E22" w:rsidRPr="004D05E9">
        <w:t>7</w:t>
      </w:r>
      <w:r w:rsidR="005C2690" w:rsidRPr="004D05E9">
        <w:t>8</w:t>
      </w:r>
      <w:r w:rsidR="009E43CB" w:rsidRPr="004D05E9">
        <w:t xml:space="preserve"> percent).</w:t>
      </w:r>
    </w:p>
    <w:p w14:paraId="60999E18" w14:textId="77777777" w:rsidR="003420DA" w:rsidRPr="004D05E9" w:rsidRDefault="003420DA" w:rsidP="00724781">
      <w:pPr>
        <w:pStyle w:val="Heading3"/>
        <w:spacing w:before="0" w:after="240"/>
      </w:pPr>
      <w:bookmarkStart w:id="54" w:name="_Toc57198994"/>
      <w:r w:rsidRPr="004D05E9">
        <w:t>Table 2: Enrollment of Students with Disabilities by Disability Type</w:t>
      </w:r>
      <w:bookmarkEnd w:id="54"/>
    </w:p>
    <w:tbl>
      <w:tblPr>
        <w:tblStyle w:val="TableGrid"/>
        <w:tblW w:w="0" w:type="auto"/>
        <w:tblLook w:val="04A0" w:firstRow="1" w:lastRow="0" w:firstColumn="1" w:lastColumn="0" w:noHBand="0" w:noVBand="1"/>
        <w:tblDescription w:val="A table listing how many students are in each disability category."/>
      </w:tblPr>
      <w:tblGrid>
        <w:gridCol w:w="4405"/>
        <w:gridCol w:w="2520"/>
        <w:gridCol w:w="2425"/>
      </w:tblGrid>
      <w:tr w:rsidR="003420DA" w:rsidRPr="004D05E9" w14:paraId="5F90655C" w14:textId="77777777" w:rsidTr="000E0698">
        <w:trPr>
          <w:cantSplit/>
          <w:tblHeader/>
        </w:trPr>
        <w:tc>
          <w:tcPr>
            <w:tcW w:w="4405" w:type="dxa"/>
          </w:tcPr>
          <w:p w14:paraId="0052F363" w14:textId="77777777" w:rsidR="003420DA" w:rsidRPr="004D05E9" w:rsidRDefault="003420DA" w:rsidP="003420DA">
            <w:pPr>
              <w:rPr>
                <w:b/>
              </w:rPr>
            </w:pPr>
            <w:r w:rsidRPr="004D05E9">
              <w:rPr>
                <w:b/>
              </w:rPr>
              <w:t>Disability</w:t>
            </w:r>
          </w:p>
        </w:tc>
        <w:tc>
          <w:tcPr>
            <w:tcW w:w="2520" w:type="dxa"/>
          </w:tcPr>
          <w:p w14:paraId="094FC953" w14:textId="77777777" w:rsidR="003420DA" w:rsidRPr="004D05E9" w:rsidRDefault="003420DA" w:rsidP="00177DA0">
            <w:pPr>
              <w:jc w:val="right"/>
              <w:rPr>
                <w:b/>
              </w:rPr>
            </w:pPr>
            <w:r w:rsidRPr="004D05E9">
              <w:rPr>
                <w:b/>
              </w:rPr>
              <w:t>Number of Students</w:t>
            </w:r>
          </w:p>
        </w:tc>
        <w:tc>
          <w:tcPr>
            <w:tcW w:w="2425" w:type="dxa"/>
          </w:tcPr>
          <w:p w14:paraId="54EB3D02" w14:textId="77777777" w:rsidR="00177DA0" w:rsidRPr="004D05E9" w:rsidRDefault="003420DA" w:rsidP="00177DA0">
            <w:pPr>
              <w:jc w:val="right"/>
              <w:rPr>
                <w:b/>
              </w:rPr>
            </w:pPr>
            <w:r w:rsidRPr="004D05E9">
              <w:rPr>
                <w:b/>
              </w:rPr>
              <w:t>Percentage</w:t>
            </w:r>
          </w:p>
        </w:tc>
      </w:tr>
      <w:tr w:rsidR="003420DA" w:rsidRPr="004D05E9" w14:paraId="3E8CB275" w14:textId="77777777" w:rsidTr="000E0698">
        <w:trPr>
          <w:cantSplit/>
        </w:trPr>
        <w:tc>
          <w:tcPr>
            <w:tcW w:w="4405" w:type="dxa"/>
          </w:tcPr>
          <w:p w14:paraId="418D5DB4" w14:textId="77777777" w:rsidR="003420DA" w:rsidRPr="004D05E9" w:rsidRDefault="00177DA0" w:rsidP="003420DA">
            <w:r w:rsidRPr="004D05E9">
              <w:t>Specific Learning Disability (SLD)</w:t>
            </w:r>
          </w:p>
        </w:tc>
        <w:tc>
          <w:tcPr>
            <w:tcW w:w="2520" w:type="dxa"/>
          </w:tcPr>
          <w:p w14:paraId="67508FB7" w14:textId="4F819440" w:rsidR="003420DA" w:rsidRPr="004D05E9" w:rsidRDefault="005C2690" w:rsidP="00177DA0">
            <w:pPr>
              <w:jc w:val="right"/>
            </w:pPr>
            <w:r w:rsidRPr="004D05E9">
              <w:t>298,800</w:t>
            </w:r>
          </w:p>
        </w:tc>
        <w:tc>
          <w:tcPr>
            <w:tcW w:w="2425" w:type="dxa"/>
          </w:tcPr>
          <w:p w14:paraId="18A64AB5" w14:textId="72FD7E47" w:rsidR="003420DA" w:rsidRPr="004D05E9" w:rsidRDefault="005C2690" w:rsidP="00177DA0">
            <w:pPr>
              <w:jc w:val="right"/>
            </w:pPr>
            <w:r w:rsidRPr="004D05E9">
              <w:t>37.16</w:t>
            </w:r>
          </w:p>
        </w:tc>
      </w:tr>
      <w:tr w:rsidR="003420DA" w:rsidRPr="004D05E9" w14:paraId="25BFE037" w14:textId="77777777" w:rsidTr="000E0698">
        <w:trPr>
          <w:cantSplit/>
        </w:trPr>
        <w:tc>
          <w:tcPr>
            <w:tcW w:w="4405" w:type="dxa"/>
          </w:tcPr>
          <w:p w14:paraId="36A70EE4" w14:textId="77777777" w:rsidR="003420DA" w:rsidRPr="004D05E9" w:rsidRDefault="00177DA0" w:rsidP="003420DA">
            <w:r w:rsidRPr="004D05E9">
              <w:t>Speech or Language Impairment (SLI)</w:t>
            </w:r>
          </w:p>
        </w:tc>
        <w:tc>
          <w:tcPr>
            <w:tcW w:w="2520" w:type="dxa"/>
          </w:tcPr>
          <w:p w14:paraId="41F3193E" w14:textId="2C9A9F60" w:rsidR="003420DA" w:rsidRPr="004D05E9" w:rsidRDefault="005C2690" w:rsidP="00177DA0">
            <w:pPr>
              <w:jc w:val="right"/>
            </w:pPr>
            <w:r w:rsidRPr="004D05E9">
              <w:t>167,054</w:t>
            </w:r>
          </w:p>
        </w:tc>
        <w:tc>
          <w:tcPr>
            <w:tcW w:w="2425" w:type="dxa"/>
          </w:tcPr>
          <w:p w14:paraId="261C4641" w14:textId="4A793888" w:rsidR="003420DA" w:rsidRPr="004D05E9" w:rsidRDefault="005C2690" w:rsidP="00177DA0">
            <w:pPr>
              <w:jc w:val="right"/>
            </w:pPr>
            <w:r w:rsidRPr="004D05E9">
              <w:t>20.78</w:t>
            </w:r>
          </w:p>
        </w:tc>
      </w:tr>
      <w:tr w:rsidR="003420DA" w:rsidRPr="004D05E9" w14:paraId="1E885016" w14:textId="77777777" w:rsidTr="000E0698">
        <w:trPr>
          <w:cantSplit/>
        </w:trPr>
        <w:tc>
          <w:tcPr>
            <w:tcW w:w="4405" w:type="dxa"/>
          </w:tcPr>
          <w:p w14:paraId="4D096516" w14:textId="77777777" w:rsidR="003420DA" w:rsidRPr="004D05E9" w:rsidRDefault="00177DA0" w:rsidP="003420DA">
            <w:r w:rsidRPr="004D05E9">
              <w:t>Autism (AUT)</w:t>
            </w:r>
          </w:p>
        </w:tc>
        <w:tc>
          <w:tcPr>
            <w:tcW w:w="2520" w:type="dxa"/>
          </w:tcPr>
          <w:p w14:paraId="7C77E54A" w14:textId="15C02A0B" w:rsidR="003420DA" w:rsidRPr="004D05E9" w:rsidRDefault="005C2690" w:rsidP="00177DA0">
            <w:pPr>
              <w:jc w:val="right"/>
            </w:pPr>
            <w:r w:rsidRPr="004D05E9">
              <w:t>125,308</w:t>
            </w:r>
          </w:p>
        </w:tc>
        <w:tc>
          <w:tcPr>
            <w:tcW w:w="2425" w:type="dxa"/>
          </w:tcPr>
          <w:p w14:paraId="1EA44218" w14:textId="2B3F5CD5" w:rsidR="003420DA" w:rsidRPr="004D05E9" w:rsidRDefault="005C2690" w:rsidP="00177DA0">
            <w:pPr>
              <w:jc w:val="right"/>
            </w:pPr>
            <w:r w:rsidRPr="004D05E9">
              <w:t>15.58</w:t>
            </w:r>
          </w:p>
        </w:tc>
      </w:tr>
      <w:tr w:rsidR="003420DA" w:rsidRPr="004D05E9" w14:paraId="5C05A818" w14:textId="77777777" w:rsidTr="000E0698">
        <w:trPr>
          <w:cantSplit/>
        </w:trPr>
        <w:tc>
          <w:tcPr>
            <w:tcW w:w="4405" w:type="dxa"/>
          </w:tcPr>
          <w:p w14:paraId="6E752CC3" w14:textId="77777777" w:rsidR="003420DA" w:rsidRPr="004D05E9" w:rsidRDefault="00177DA0" w:rsidP="003420DA">
            <w:r w:rsidRPr="004D05E9">
              <w:t>Other Health Impairment (OHI)</w:t>
            </w:r>
          </w:p>
        </w:tc>
        <w:tc>
          <w:tcPr>
            <w:tcW w:w="2520" w:type="dxa"/>
          </w:tcPr>
          <w:p w14:paraId="20432DB4" w14:textId="6F739974" w:rsidR="003420DA" w:rsidRPr="004D05E9" w:rsidRDefault="005C2690" w:rsidP="00177DA0">
            <w:pPr>
              <w:jc w:val="right"/>
            </w:pPr>
            <w:r w:rsidRPr="004D05E9">
              <w:t>109,327</w:t>
            </w:r>
          </w:p>
        </w:tc>
        <w:tc>
          <w:tcPr>
            <w:tcW w:w="2425" w:type="dxa"/>
          </w:tcPr>
          <w:p w14:paraId="4C3D056B" w14:textId="3DB6F4E6" w:rsidR="003420DA" w:rsidRPr="004D05E9" w:rsidRDefault="005C2690" w:rsidP="00177DA0">
            <w:pPr>
              <w:jc w:val="right"/>
            </w:pPr>
            <w:r w:rsidRPr="004D05E9">
              <w:t>13.60</w:t>
            </w:r>
          </w:p>
        </w:tc>
      </w:tr>
      <w:tr w:rsidR="003420DA" w:rsidRPr="004D05E9" w14:paraId="6AA7DA16" w14:textId="77777777" w:rsidTr="000E0698">
        <w:trPr>
          <w:cantSplit/>
        </w:trPr>
        <w:tc>
          <w:tcPr>
            <w:tcW w:w="4405" w:type="dxa"/>
          </w:tcPr>
          <w:p w14:paraId="600E92D5" w14:textId="77777777" w:rsidR="003420DA" w:rsidRPr="004D05E9" w:rsidRDefault="00177DA0" w:rsidP="003420DA">
            <w:r w:rsidRPr="004D05E9">
              <w:t>Intellectual Disability (ID)</w:t>
            </w:r>
          </w:p>
        </w:tc>
        <w:tc>
          <w:tcPr>
            <w:tcW w:w="2520" w:type="dxa"/>
          </w:tcPr>
          <w:p w14:paraId="2A23E7B9" w14:textId="095839CF" w:rsidR="003420DA" w:rsidRPr="004D05E9" w:rsidRDefault="005C2690" w:rsidP="00177DA0">
            <w:pPr>
              <w:jc w:val="right"/>
            </w:pPr>
            <w:r w:rsidRPr="004D05E9">
              <w:t>42,885</w:t>
            </w:r>
          </w:p>
        </w:tc>
        <w:tc>
          <w:tcPr>
            <w:tcW w:w="2425" w:type="dxa"/>
          </w:tcPr>
          <w:p w14:paraId="3E7D5EBA" w14:textId="5C338CA4" w:rsidR="003420DA" w:rsidRPr="004D05E9" w:rsidRDefault="005C2690" w:rsidP="00177DA0">
            <w:pPr>
              <w:jc w:val="right"/>
            </w:pPr>
            <w:r w:rsidRPr="004D05E9">
              <w:t>5.33</w:t>
            </w:r>
          </w:p>
        </w:tc>
      </w:tr>
      <w:tr w:rsidR="003420DA" w:rsidRPr="004D05E9" w14:paraId="61493738" w14:textId="77777777" w:rsidTr="000E0698">
        <w:trPr>
          <w:cantSplit/>
        </w:trPr>
        <w:tc>
          <w:tcPr>
            <w:tcW w:w="4405" w:type="dxa"/>
          </w:tcPr>
          <w:p w14:paraId="44667A00" w14:textId="77777777" w:rsidR="003420DA" w:rsidRPr="004D05E9" w:rsidRDefault="00177DA0" w:rsidP="003420DA">
            <w:r w:rsidRPr="004D05E9">
              <w:t>Emotional Disturbance (ED)</w:t>
            </w:r>
          </w:p>
        </w:tc>
        <w:tc>
          <w:tcPr>
            <w:tcW w:w="2520" w:type="dxa"/>
          </w:tcPr>
          <w:p w14:paraId="2A631D14" w14:textId="53CEF7EA" w:rsidR="003420DA" w:rsidRPr="004D05E9" w:rsidRDefault="005C2690" w:rsidP="00177DA0">
            <w:pPr>
              <w:jc w:val="right"/>
            </w:pPr>
            <w:r w:rsidRPr="004D05E9">
              <w:t>25,536</w:t>
            </w:r>
          </w:p>
        </w:tc>
        <w:tc>
          <w:tcPr>
            <w:tcW w:w="2425" w:type="dxa"/>
          </w:tcPr>
          <w:p w14:paraId="375F6241" w14:textId="02CB38BD" w:rsidR="003420DA" w:rsidRPr="004D05E9" w:rsidRDefault="005C2690" w:rsidP="00177DA0">
            <w:pPr>
              <w:jc w:val="right"/>
            </w:pPr>
            <w:r w:rsidRPr="004D05E9">
              <w:t>3.18</w:t>
            </w:r>
          </w:p>
        </w:tc>
      </w:tr>
      <w:tr w:rsidR="003420DA" w:rsidRPr="004D05E9" w14:paraId="46DC21D0" w14:textId="77777777" w:rsidTr="000E0698">
        <w:trPr>
          <w:cantSplit/>
        </w:trPr>
        <w:tc>
          <w:tcPr>
            <w:tcW w:w="4405" w:type="dxa"/>
          </w:tcPr>
          <w:p w14:paraId="50D856DB" w14:textId="77777777" w:rsidR="003420DA" w:rsidRPr="004D05E9" w:rsidRDefault="00DD7E22" w:rsidP="00177DA0">
            <w:r w:rsidRPr="004D05E9">
              <w:t>Hard of Hearing (HH)</w:t>
            </w:r>
          </w:p>
        </w:tc>
        <w:tc>
          <w:tcPr>
            <w:tcW w:w="2520" w:type="dxa"/>
          </w:tcPr>
          <w:p w14:paraId="1688DE89" w14:textId="153ED425" w:rsidR="003420DA" w:rsidRPr="004D05E9" w:rsidRDefault="005C2690" w:rsidP="00177DA0">
            <w:pPr>
              <w:jc w:val="right"/>
            </w:pPr>
            <w:r w:rsidRPr="004D05E9">
              <w:t>10,183</w:t>
            </w:r>
          </w:p>
        </w:tc>
        <w:tc>
          <w:tcPr>
            <w:tcW w:w="2425" w:type="dxa"/>
          </w:tcPr>
          <w:p w14:paraId="1BCDF27B" w14:textId="17C0E041" w:rsidR="003420DA" w:rsidRPr="004D05E9" w:rsidRDefault="005C2690" w:rsidP="00177DA0">
            <w:pPr>
              <w:jc w:val="right"/>
            </w:pPr>
            <w:r w:rsidRPr="004D05E9">
              <w:t>1.27</w:t>
            </w:r>
          </w:p>
        </w:tc>
      </w:tr>
      <w:tr w:rsidR="003420DA" w:rsidRPr="004D05E9" w14:paraId="7011DCCF" w14:textId="77777777" w:rsidTr="000E0698">
        <w:trPr>
          <w:cantSplit/>
        </w:trPr>
        <w:tc>
          <w:tcPr>
            <w:tcW w:w="4405" w:type="dxa"/>
          </w:tcPr>
          <w:p w14:paraId="060A0D32" w14:textId="77777777" w:rsidR="003420DA" w:rsidRPr="004D05E9" w:rsidRDefault="00DD7E22" w:rsidP="003420DA">
            <w:r w:rsidRPr="004D05E9">
              <w:t>Orthopedic Impairment (OI)</w:t>
            </w:r>
          </w:p>
        </w:tc>
        <w:tc>
          <w:tcPr>
            <w:tcW w:w="2520" w:type="dxa"/>
          </w:tcPr>
          <w:p w14:paraId="4AA8E877" w14:textId="7EC9C8DC" w:rsidR="003420DA" w:rsidRPr="004D05E9" w:rsidRDefault="005C2690" w:rsidP="00177DA0">
            <w:pPr>
              <w:jc w:val="right"/>
            </w:pPr>
            <w:r w:rsidRPr="004D05E9">
              <w:t>8,855</w:t>
            </w:r>
          </w:p>
        </w:tc>
        <w:tc>
          <w:tcPr>
            <w:tcW w:w="2425" w:type="dxa"/>
          </w:tcPr>
          <w:p w14:paraId="4CEB0B00" w14:textId="70279531" w:rsidR="003420DA" w:rsidRPr="004D05E9" w:rsidRDefault="005C2690" w:rsidP="00177DA0">
            <w:pPr>
              <w:jc w:val="right"/>
            </w:pPr>
            <w:r w:rsidRPr="004D05E9">
              <w:t>1.10</w:t>
            </w:r>
          </w:p>
        </w:tc>
      </w:tr>
      <w:tr w:rsidR="003420DA" w:rsidRPr="004D05E9" w14:paraId="491AB78B" w14:textId="77777777" w:rsidTr="000E0698">
        <w:trPr>
          <w:cantSplit/>
        </w:trPr>
        <w:tc>
          <w:tcPr>
            <w:tcW w:w="4405" w:type="dxa"/>
          </w:tcPr>
          <w:p w14:paraId="7850DAEC" w14:textId="77777777" w:rsidR="003420DA" w:rsidRPr="004D05E9" w:rsidRDefault="00177DA0" w:rsidP="003420DA">
            <w:r w:rsidRPr="004D05E9">
              <w:t>Multiple Disability (MD)</w:t>
            </w:r>
          </w:p>
        </w:tc>
        <w:tc>
          <w:tcPr>
            <w:tcW w:w="2520" w:type="dxa"/>
          </w:tcPr>
          <w:p w14:paraId="50EB74F6" w14:textId="2C6FF6EF" w:rsidR="003420DA" w:rsidRPr="004D05E9" w:rsidRDefault="005C2690" w:rsidP="00177DA0">
            <w:pPr>
              <w:jc w:val="right"/>
            </w:pPr>
            <w:r w:rsidRPr="004D05E9">
              <w:t>7,890</w:t>
            </w:r>
          </w:p>
        </w:tc>
        <w:tc>
          <w:tcPr>
            <w:tcW w:w="2425" w:type="dxa"/>
          </w:tcPr>
          <w:p w14:paraId="73F2EA7D" w14:textId="2CA83005" w:rsidR="003420DA" w:rsidRPr="004D05E9" w:rsidRDefault="005C2690" w:rsidP="00177DA0">
            <w:pPr>
              <w:jc w:val="right"/>
            </w:pPr>
            <w:r w:rsidRPr="004D05E9">
              <w:t>0.98</w:t>
            </w:r>
          </w:p>
        </w:tc>
      </w:tr>
      <w:tr w:rsidR="00177DA0" w:rsidRPr="004D05E9" w14:paraId="3947C264" w14:textId="77777777" w:rsidTr="000E0698">
        <w:trPr>
          <w:cantSplit/>
        </w:trPr>
        <w:tc>
          <w:tcPr>
            <w:tcW w:w="4405" w:type="dxa"/>
          </w:tcPr>
          <w:p w14:paraId="21002C56" w14:textId="1C7E1F2B" w:rsidR="00177DA0" w:rsidRPr="004D05E9" w:rsidRDefault="005C2690" w:rsidP="003420DA">
            <w:r w:rsidRPr="004D05E9">
              <w:t>Deafness (DEAF)</w:t>
            </w:r>
          </w:p>
        </w:tc>
        <w:tc>
          <w:tcPr>
            <w:tcW w:w="2520" w:type="dxa"/>
          </w:tcPr>
          <w:p w14:paraId="1EB194BE" w14:textId="42AACCA2" w:rsidR="00177DA0" w:rsidRPr="004D05E9" w:rsidRDefault="005C2690" w:rsidP="00177DA0">
            <w:pPr>
              <w:jc w:val="right"/>
            </w:pPr>
            <w:r w:rsidRPr="004D05E9">
              <w:t>3,127</w:t>
            </w:r>
          </w:p>
        </w:tc>
        <w:tc>
          <w:tcPr>
            <w:tcW w:w="2425" w:type="dxa"/>
          </w:tcPr>
          <w:p w14:paraId="1DA40B07" w14:textId="74945695" w:rsidR="00177DA0" w:rsidRPr="004D05E9" w:rsidRDefault="005C2690" w:rsidP="00177DA0">
            <w:pPr>
              <w:jc w:val="right"/>
            </w:pPr>
            <w:r w:rsidRPr="004D05E9">
              <w:t>0.39</w:t>
            </w:r>
          </w:p>
        </w:tc>
      </w:tr>
      <w:tr w:rsidR="003420DA" w:rsidRPr="004D05E9" w14:paraId="47282062" w14:textId="77777777" w:rsidTr="000E0698">
        <w:trPr>
          <w:cantSplit/>
        </w:trPr>
        <w:tc>
          <w:tcPr>
            <w:tcW w:w="4405" w:type="dxa"/>
          </w:tcPr>
          <w:p w14:paraId="10F94EAC" w14:textId="24E1832B" w:rsidR="003420DA" w:rsidRPr="004D05E9" w:rsidRDefault="005C2690" w:rsidP="003420DA">
            <w:r w:rsidRPr="004D05E9">
              <w:t>Visual Impairment (VI)</w:t>
            </w:r>
          </w:p>
        </w:tc>
        <w:tc>
          <w:tcPr>
            <w:tcW w:w="2520" w:type="dxa"/>
          </w:tcPr>
          <w:p w14:paraId="474BD5E1" w14:textId="4954EEE5" w:rsidR="003420DA" w:rsidRPr="004D05E9" w:rsidRDefault="005C2690" w:rsidP="00177DA0">
            <w:pPr>
              <w:jc w:val="right"/>
            </w:pPr>
            <w:r w:rsidRPr="004D05E9">
              <w:t>3,119</w:t>
            </w:r>
          </w:p>
        </w:tc>
        <w:tc>
          <w:tcPr>
            <w:tcW w:w="2425" w:type="dxa"/>
          </w:tcPr>
          <w:p w14:paraId="4358F7D3" w14:textId="7F116C66" w:rsidR="003420DA" w:rsidRPr="004D05E9" w:rsidRDefault="005C2690" w:rsidP="00177DA0">
            <w:pPr>
              <w:jc w:val="right"/>
            </w:pPr>
            <w:r w:rsidRPr="004D05E9">
              <w:t>0.39</w:t>
            </w:r>
          </w:p>
        </w:tc>
      </w:tr>
      <w:tr w:rsidR="003420DA" w:rsidRPr="004D05E9" w14:paraId="4967838C" w14:textId="77777777" w:rsidTr="000E0698">
        <w:trPr>
          <w:cantSplit/>
        </w:trPr>
        <w:tc>
          <w:tcPr>
            <w:tcW w:w="4405" w:type="dxa"/>
          </w:tcPr>
          <w:p w14:paraId="696F3B6C" w14:textId="77777777" w:rsidR="003420DA" w:rsidRPr="004D05E9" w:rsidRDefault="00177DA0" w:rsidP="003420DA">
            <w:r w:rsidRPr="004D05E9">
              <w:t>Traumatic Brain Injury (TBI)</w:t>
            </w:r>
          </w:p>
        </w:tc>
        <w:tc>
          <w:tcPr>
            <w:tcW w:w="2520" w:type="dxa"/>
          </w:tcPr>
          <w:p w14:paraId="6B4786AF" w14:textId="12BD7435" w:rsidR="003420DA" w:rsidRPr="004D05E9" w:rsidRDefault="005C2690" w:rsidP="00177DA0">
            <w:pPr>
              <w:jc w:val="right"/>
            </w:pPr>
            <w:r w:rsidRPr="004D05E9">
              <w:t>1,490</w:t>
            </w:r>
          </w:p>
        </w:tc>
        <w:tc>
          <w:tcPr>
            <w:tcW w:w="2425" w:type="dxa"/>
          </w:tcPr>
          <w:p w14:paraId="3206C95B" w14:textId="77777777" w:rsidR="003420DA" w:rsidRPr="004D05E9" w:rsidRDefault="00177DA0" w:rsidP="00177DA0">
            <w:pPr>
              <w:jc w:val="right"/>
            </w:pPr>
            <w:r w:rsidRPr="004D05E9">
              <w:t>0.</w:t>
            </w:r>
            <w:r w:rsidR="00DD7E22" w:rsidRPr="004D05E9">
              <w:t>19</w:t>
            </w:r>
          </w:p>
        </w:tc>
      </w:tr>
      <w:tr w:rsidR="003420DA" w:rsidRPr="004D05E9" w14:paraId="04AB6798" w14:textId="77777777" w:rsidTr="000E0698">
        <w:trPr>
          <w:cantSplit/>
        </w:trPr>
        <w:tc>
          <w:tcPr>
            <w:tcW w:w="4405" w:type="dxa"/>
          </w:tcPr>
          <w:p w14:paraId="232E6362" w14:textId="77777777" w:rsidR="003420DA" w:rsidRPr="004D05E9" w:rsidRDefault="00177DA0" w:rsidP="00177DA0">
            <w:r w:rsidRPr="004D05E9">
              <w:t>Established Medical Disability (EMD)</w:t>
            </w:r>
          </w:p>
        </w:tc>
        <w:tc>
          <w:tcPr>
            <w:tcW w:w="2520" w:type="dxa"/>
          </w:tcPr>
          <w:p w14:paraId="45A7720E" w14:textId="4E7E6A42" w:rsidR="003420DA" w:rsidRPr="004D05E9" w:rsidRDefault="005C2690" w:rsidP="00177DA0">
            <w:pPr>
              <w:jc w:val="right"/>
            </w:pPr>
            <w:r w:rsidRPr="004D05E9">
              <w:t>441</w:t>
            </w:r>
          </w:p>
        </w:tc>
        <w:tc>
          <w:tcPr>
            <w:tcW w:w="2425" w:type="dxa"/>
          </w:tcPr>
          <w:p w14:paraId="43CF598E" w14:textId="1C020133" w:rsidR="003420DA" w:rsidRPr="004D05E9" w:rsidRDefault="005C2690" w:rsidP="00177DA0">
            <w:pPr>
              <w:jc w:val="right"/>
            </w:pPr>
            <w:r w:rsidRPr="004D05E9">
              <w:t>0.05</w:t>
            </w:r>
          </w:p>
        </w:tc>
      </w:tr>
      <w:tr w:rsidR="003420DA" w:rsidRPr="004D05E9" w14:paraId="08AF45A1" w14:textId="77777777" w:rsidTr="000E0698">
        <w:trPr>
          <w:cantSplit/>
        </w:trPr>
        <w:tc>
          <w:tcPr>
            <w:tcW w:w="4405" w:type="dxa"/>
          </w:tcPr>
          <w:p w14:paraId="3EB1DEE0" w14:textId="77777777" w:rsidR="003420DA" w:rsidRPr="004D05E9" w:rsidRDefault="00177DA0" w:rsidP="003420DA">
            <w:r w:rsidRPr="004D05E9">
              <w:t>Deaf Blindness (DB)</w:t>
            </w:r>
          </w:p>
        </w:tc>
        <w:tc>
          <w:tcPr>
            <w:tcW w:w="2520" w:type="dxa"/>
          </w:tcPr>
          <w:p w14:paraId="48C01B1B" w14:textId="544F36B4" w:rsidR="003420DA" w:rsidRPr="004D05E9" w:rsidRDefault="005C2690" w:rsidP="00177DA0">
            <w:pPr>
              <w:jc w:val="right"/>
            </w:pPr>
            <w:r w:rsidRPr="004D05E9">
              <w:t>86</w:t>
            </w:r>
          </w:p>
        </w:tc>
        <w:tc>
          <w:tcPr>
            <w:tcW w:w="2425" w:type="dxa"/>
          </w:tcPr>
          <w:p w14:paraId="0CDCAB96" w14:textId="77777777" w:rsidR="003420DA" w:rsidRPr="004D05E9" w:rsidRDefault="00177DA0" w:rsidP="00177DA0">
            <w:pPr>
              <w:jc w:val="right"/>
            </w:pPr>
            <w:r w:rsidRPr="004D05E9">
              <w:t>0.01</w:t>
            </w:r>
          </w:p>
        </w:tc>
      </w:tr>
      <w:tr w:rsidR="0075297B" w:rsidRPr="004D05E9" w14:paraId="10D77B02" w14:textId="77777777" w:rsidTr="000E0698">
        <w:trPr>
          <w:cantSplit/>
        </w:trPr>
        <w:tc>
          <w:tcPr>
            <w:tcW w:w="4405" w:type="dxa"/>
          </w:tcPr>
          <w:p w14:paraId="470EE470" w14:textId="77777777" w:rsidR="0075297B" w:rsidRPr="004D05E9" w:rsidRDefault="0075297B" w:rsidP="003420DA">
            <w:r w:rsidRPr="004D05E9">
              <w:t>Totals</w:t>
            </w:r>
          </w:p>
        </w:tc>
        <w:tc>
          <w:tcPr>
            <w:tcW w:w="2520" w:type="dxa"/>
          </w:tcPr>
          <w:p w14:paraId="215E8A4F" w14:textId="0D9B423B" w:rsidR="0075297B" w:rsidRPr="004D05E9" w:rsidRDefault="005C2690" w:rsidP="00177DA0">
            <w:pPr>
              <w:jc w:val="right"/>
            </w:pPr>
            <w:r w:rsidRPr="004D05E9">
              <w:t>804,101</w:t>
            </w:r>
          </w:p>
        </w:tc>
        <w:tc>
          <w:tcPr>
            <w:tcW w:w="2425" w:type="dxa"/>
          </w:tcPr>
          <w:p w14:paraId="42ECC893" w14:textId="77777777" w:rsidR="0075297B" w:rsidRPr="004D05E9" w:rsidRDefault="0075297B" w:rsidP="00177DA0">
            <w:pPr>
              <w:jc w:val="right"/>
            </w:pPr>
            <w:r w:rsidRPr="004D05E9">
              <w:t>100.0</w:t>
            </w:r>
          </w:p>
        </w:tc>
      </w:tr>
    </w:tbl>
    <w:p w14:paraId="3596B9C5" w14:textId="329F60A9" w:rsidR="00F936D1" w:rsidRPr="004D05E9" w:rsidRDefault="00F936D1" w:rsidP="00724781">
      <w:pPr>
        <w:spacing w:after="240"/>
      </w:pPr>
      <w:r w:rsidRPr="004D05E9">
        <w:t>CA</w:t>
      </w:r>
      <w:r w:rsidR="005C2690" w:rsidRPr="004D05E9">
        <w:t>LPADS</w:t>
      </w:r>
      <w:r w:rsidRPr="004D05E9">
        <w:t xml:space="preserve">, </w:t>
      </w:r>
      <w:r w:rsidR="005C2690" w:rsidRPr="004D05E9">
        <w:t>Fall 2019</w:t>
      </w:r>
    </w:p>
    <w:p w14:paraId="6B262C95" w14:textId="2117FC9B" w:rsidR="006E41D5" w:rsidRPr="004D05E9" w:rsidRDefault="00F936D1" w:rsidP="00724781">
      <w:pPr>
        <w:spacing w:after="240"/>
      </w:pPr>
      <w:r w:rsidRPr="004D05E9">
        <w:t>Students with disabilities in California receive a variety of services to address their unique needs. During FFY 201</w:t>
      </w:r>
      <w:r w:rsidR="002F49D7" w:rsidRPr="004D05E9">
        <w:t>9</w:t>
      </w:r>
      <w:r w:rsidRPr="004D05E9">
        <w:t>–</w:t>
      </w:r>
      <w:r w:rsidR="002F49D7" w:rsidRPr="004D05E9">
        <w:t>20</w:t>
      </w:r>
      <w:r w:rsidRPr="004D05E9">
        <w:t xml:space="preserve">, there were </w:t>
      </w:r>
      <w:r w:rsidR="00970CEF" w:rsidRPr="004D05E9">
        <w:t>2,722,250</w:t>
      </w:r>
      <w:r w:rsidRPr="004D05E9">
        <w:t xml:space="preserve"> services provided to California’s students with disabilities, many receiving multiple</w:t>
      </w:r>
      <w:r w:rsidR="0075297B" w:rsidRPr="004D05E9">
        <w:t xml:space="preserve"> services. Table 4 lists the most commonly provided</w:t>
      </w:r>
      <w:r w:rsidRPr="004D05E9">
        <w:t xml:space="preserve"> services to students. The most common service provided was Specialized Academic Instruction (3</w:t>
      </w:r>
      <w:r w:rsidR="00970CEF" w:rsidRPr="004D05E9">
        <w:t>5.64</w:t>
      </w:r>
      <w:r w:rsidRPr="004D05E9">
        <w:t xml:space="preserve"> percent) followed by Language and Speech (</w:t>
      </w:r>
      <w:r w:rsidR="00970CEF" w:rsidRPr="004D05E9">
        <w:t>20.97</w:t>
      </w:r>
      <w:r w:rsidRPr="004D05E9">
        <w:t xml:space="preserve"> percent)</w:t>
      </w:r>
      <w:r w:rsidR="006E41D5" w:rsidRPr="004D05E9">
        <w:t>.</w:t>
      </w:r>
    </w:p>
    <w:p w14:paraId="32893462" w14:textId="491852E7" w:rsidR="006E41D5" w:rsidRPr="004D05E9" w:rsidRDefault="006E41D5" w:rsidP="004D7261">
      <w:pPr>
        <w:pStyle w:val="Heading3"/>
        <w:spacing w:before="0" w:after="240"/>
      </w:pPr>
      <w:bookmarkStart w:id="55" w:name="_Toc57198995"/>
      <w:r w:rsidRPr="004D05E9">
        <w:lastRenderedPageBreak/>
        <w:t xml:space="preserve">Table </w:t>
      </w:r>
      <w:r w:rsidR="00A9723C" w:rsidRPr="004D05E9">
        <w:t>3</w:t>
      </w:r>
      <w:r w:rsidRPr="004D05E9">
        <w:t>: Services Provided to Students with Disabilities</w:t>
      </w:r>
      <w:bookmarkEnd w:id="55"/>
    </w:p>
    <w:tbl>
      <w:tblPr>
        <w:tblStyle w:val="TableGrid"/>
        <w:tblW w:w="0" w:type="auto"/>
        <w:tblLook w:val="04A0" w:firstRow="1" w:lastRow="0" w:firstColumn="1" w:lastColumn="0" w:noHBand="0" w:noVBand="1"/>
        <w:tblDescription w:val="Top 5 services provided to students with disabilities. "/>
      </w:tblPr>
      <w:tblGrid>
        <w:gridCol w:w="3775"/>
        <w:gridCol w:w="3150"/>
        <w:gridCol w:w="2425"/>
      </w:tblGrid>
      <w:tr w:rsidR="006E41D5" w:rsidRPr="004D05E9" w14:paraId="2D1FEADD" w14:textId="77777777" w:rsidTr="005A1301">
        <w:trPr>
          <w:cantSplit/>
          <w:tblHeader/>
        </w:trPr>
        <w:tc>
          <w:tcPr>
            <w:tcW w:w="3775" w:type="dxa"/>
          </w:tcPr>
          <w:p w14:paraId="54AB6EF0" w14:textId="77777777" w:rsidR="006E41D5" w:rsidRPr="004D05E9" w:rsidRDefault="006E41D5" w:rsidP="006E41D5">
            <w:pPr>
              <w:jc w:val="both"/>
              <w:rPr>
                <w:b/>
              </w:rPr>
            </w:pPr>
            <w:r w:rsidRPr="004D05E9">
              <w:rPr>
                <w:b/>
              </w:rPr>
              <w:t>Services</w:t>
            </w:r>
          </w:p>
        </w:tc>
        <w:tc>
          <w:tcPr>
            <w:tcW w:w="3150" w:type="dxa"/>
          </w:tcPr>
          <w:p w14:paraId="4FCBD723" w14:textId="77777777" w:rsidR="006E41D5" w:rsidRPr="004D05E9" w:rsidRDefault="006E41D5" w:rsidP="006E41D5">
            <w:pPr>
              <w:jc w:val="both"/>
              <w:rPr>
                <w:b/>
              </w:rPr>
            </w:pPr>
            <w:r w:rsidRPr="004D05E9">
              <w:rPr>
                <w:b/>
              </w:rPr>
              <w:t>Number of Students</w:t>
            </w:r>
          </w:p>
        </w:tc>
        <w:tc>
          <w:tcPr>
            <w:tcW w:w="2425" w:type="dxa"/>
          </w:tcPr>
          <w:p w14:paraId="5A092D69" w14:textId="77777777" w:rsidR="006E41D5" w:rsidRPr="004D05E9" w:rsidRDefault="006E41D5" w:rsidP="006E41D5">
            <w:pPr>
              <w:jc w:val="both"/>
              <w:rPr>
                <w:b/>
              </w:rPr>
            </w:pPr>
            <w:r w:rsidRPr="004D05E9">
              <w:rPr>
                <w:b/>
              </w:rPr>
              <w:t>Percentage</w:t>
            </w:r>
          </w:p>
        </w:tc>
      </w:tr>
      <w:tr w:rsidR="006E41D5" w:rsidRPr="004D05E9" w14:paraId="617F8923" w14:textId="77777777" w:rsidTr="005A1301">
        <w:trPr>
          <w:cantSplit/>
        </w:trPr>
        <w:tc>
          <w:tcPr>
            <w:tcW w:w="3775" w:type="dxa"/>
          </w:tcPr>
          <w:p w14:paraId="3C81F255" w14:textId="77777777" w:rsidR="006E41D5" w:rsidRPr="004D05E9" w:rsidRDefault="006E41D5" w:rsidP="006E41D5">
            <w:pPr>
              <w:jc w:val="both"/>
            </w:pPr>
            <w:r w:rsidRPr="004D05E9">
              <w:t>Specialized Academic Instruction</w:t>
            </w:r>
          </w:p>
        </w:tc>
        <w:tc>
          <w:tcPr>
            <w:tcW w:w="3150" w:type="dxa"/>
          </w:tcPr>
          <w:p w14:paraId="603A7CBF" w14:textId="1AB6B660" w:rsidR="006E41D5" w:rsidRPr="004D05E9" w:rsidRDefault="00222FD5" w:rsidP="006E41D5">
            <w:pPr>
              <w:jc w:val="right"/>
            </w:pPr>
            <w:r w:rsidRPr="004D05E9">
              <w:t>970,089</w:t>
            </w:r>
          </w:p>
        </w:tc>
        <w:tc>
          <w:tcPr>
            <w:tcW w:w="2425" w:type="dxa"/>
          </w:tcPr>
          <w:p w14:paraId="3ED08B5F" w14:textId="0F8DF54C" w:rsidR="006E41D5" w:rsidRPr="004D05E9" w:rsidRDefault="00222FD5" w:rsidP="006E41D5">
            <w:pPr>
              <w:jc w:val="right"/>
            </w:pPr>
            <w:r w:rsidRPr="004D05E9">
              <w:t>35.64</w:t>
            </w:r>
          </w:p>
        </w:tc>
      </w:tr>
      <w:tr w:rsidR="006E41D5" w:rsidRPr="004D05E9" w14:paraId="1E7111C6" w14:textId="77777777" w:rsidTr="005A1301">
        <w:trPr>
          <w:cantSplit/>
        </w:trPr>
        <w:tc>
          <w:tcPr>
            <w:tcW w:w="3775" w:type="dxa"/>
          </w:tcPr>
          <w:p w14:paraId="74BCE472" w14:textId="77777777" w:rsidR="006E41D5" w:rsidRPr="004D05E9" w:rsidRDefault="006E41D5" w:rsidP="006E41D5">
            <w:pPr>
              <w:jc w:val="both"/>
            </w:pPr>
            <w:r w:rsidRPr="004D05E9">
              <w:t>Language and Speech</w:t>
            </w:r>
          </w:p>
        </w:tc>
        <w:tc>
          <w:tcPr>
            <w:tcW w:w="3150" w:type="dxa"/>
          </w:tcPr>
          <w:p w14:paraId="0D94D65D" w14:textId="5D866812" w:rsidR="006E41D5" w:rsidRPr="004D05E9" w:rsidRDefault="00970CEF" w:rsidP="006E41D5">
            <w:pPr>
              <w:jc w:val="right"/>
            </w:pPr>
            <w:r w:rsidRPr="004D05E9">
              <w:t>570,864</w:t>
            </w:r>
          </w:p>
        </w:tc>
        <w:tc>
          <w:tcPr>
            <w:tcW w:w="2425" w:type="dxa"/>
          </w:tcPr>
          <w:p w14:paraId="21F06576" w14:textId="2CF17A80" w:rsidR="006E41D5" w:rsidRPr="004D05E9" w:rsidRDefault="006E41D5" w:rsidP="006E41D5">
            <w:pPr>
              <w:jc w:val="right"/>
            </w:pPr>
            <w:r w:rsidRPr="004D05E9">
              <w:t>20.</w:t>
            </w:r>
            <w:r w:rsidR="00970CEF" w:rsidRPr="004D05E9">
              <w:t>97</w:t>
            </w:r>
          </w:p>
        </w:tc>
      </w:tr>
      <w:tr w:rsidR="006E41D5" w:rsidRPr="004D05E9" w14:paraId="453BD6CB" w14:textId="77777777" w:rsidTr="005A1301">
        <w:trPr>
          <w:cantSplit/>
        </w:trPr>
        <w:tc>
          <w:tcPr>
            <w:tcW w:w="3775" w:type="dxa"/>
          </w:tcPr>
          <w:p w14:paraId="72C38B5B" w14:textId="77777777" w:rsidR="006E41D5" w:rsidRPr="004D05E9" w:rsidRDefault="006E41D5" w:rsidP="006E41D5">
            <w:pPr>
              <w:jc w:val="both"/>
            </w:pPr>
            <w:r w:rsidRPr="004D05E9">
              <w:t>Vocational/Career</w:t>
            </w:r>
          </w:p>
        </w:tc>
        <w:tc>
          <w:tcPr>
            <w:tcW w:w="3150" w:type="dxa"/>
          </w:tcPr>
          <w:p w14:paraId="52C60543" w14:textId="65F1FE34" w:rsidR="006E41D5" w:rsidRPr="004D05E9" w:rsidRDefault="00970CEF" w:rsidP="006E41D5">
            <w:pPr>
              <w:jc w:val="right"/>
            </w:pPr>
            <w:r w:rsidRPr="004D05E9">
              <w:t>538,987</w:t>
            </w:r>
          </w:p>
        </w:tc>
        <w:tc>
          <w:tcPr>
            <w:tcW w:w="2425" w:type="dxa"/>
          </w:tcPr>
          <w:p w14:paraId="11C4C810" w14:textId="69D8A87A" w:rsidR="006E41D5" w:rsidRPr="004D05E9" w:rsidRDefault="00970CEF" w:rsidP="006E41D5">
            <w:pPr>
              <w:jc w:val="right"/>
            </w:pPr>
            <w:r w:rsidRPr="004D05E9">
              <w:t>19.79</w:t>
            </w:r>
          </w:p>
        </w:tc>
      </w:tr>
      <w:tr w:rsidR="006E41D5" w:rsidRPr="004D05E9" w14:paraId="5D735503" w14:textId="77777777" w:rsidTr="005A1301">
        <w:trPr>
          <w:cantSplit/>
        </w:trPr>
        <w:tc>
          <w:tcPr>
            <w:tcW w:w="3775" w:type="dxa"/>
          </w:tcPr>
          <w:p w14:paraId="23AC0071" w14:textId="77777777" w:rsidR="006E41D5" w:rsidRPr="004D05E9" w:rsidRDefault="006E41D5" w:rsidP="006E41D5">
            <w:pPr>
              <w:jc w:val="both"/>
            </w:pPr>
            <w:r w:rsidRPr="004D05E9">
              <w:t>Mental Health Services</w:t>
            </w:r>
          </w:p>
        </w:tc>
        <w:tc>
          <w:tcPr>
            <w:tcW w:w="3150" w:type="dxa"/>
          </w:tcPr>
          <w:p w14:paraId="1899A899" w14:textId="15B0D5CD" w:rsidR="006E41D5" w:rsidRPr="004D05E9" w:rsidRDefault="00970CEF" w:rsidP="006E41D5">
            <w:pPr>
              <w:jc w:val="right"/>
            </w:pPr>
            <w:r w:rsidRPr="004D05E9">
              <w:t>252,220</w:t>
            </w:r>
          </w:p>
        </w:tc>
        <w:tc>
          <w:tcPr>
            <w:tcW w:w="2425" w:type="dxa"/>
          </w:tcPr>
          <w:p w14:paraId="59E5BC3D" w14:textId="613A6B61" w:rsidR="006E41D5" w:rsidRPr="004D05E9" w:rsidRDefault="00970CEF" w:rsidP="006E41D5">
            <w:pPr>
              <w:jc w:val="right"/>
            </w:pPr>
            <w:r w:rsidRPr="004D05E9">
              <w:t>9.26</w:t>
            </w:r>
          </w:p>
        </w:tc>
      </w:tr>
      <w:tr w:rsidR="006E41D5" w:rsidRPr="004D05E9" w14:paraId="5C9563F0" w14:textId="77777777" w:rsidTr="005A1301">
        <w:trPr>
          <w:cantSplit/>
        </w:trPr>
        <w:tc>
          <w:tcPr>
            <w:tcW w:w="3775" w:type="dxa"/>
          </w:tcPr>
          <w:p w14:paraId="2C9140AA" w14:textId="77777777" w:rsidR="006E41D5" w:rsidRPr="004D05E9" w:rsidRDefault="006E41D5" w:rsidP="006E41D5">
            <w:pPr>
              <w:jc w:val="both"/>
            </w:pPr>
            <w:r w:rsidRPr="004D05E9">
              <w:t>All Other Services</w:t>
            </w:r>
          </w:p>
        </w:tc>
        <w:tc>
          <w:tcPr>
            <w:tcW w:w="3150" w:type="dxa"/>
          </w:tcPr>
          <w:p w14:paraId="5B6A74CD" w14:textId="2D4F5D94" w:rsidR="006E41D5" w:rsidRPr="004D05E9" w:rsidRDefault="00970CEF" w:rsidP="006E41D5">
            <w:pPr>
              <w:jc w:val="right"/>
            </w:pPr>
            <w:r w:rsidRPr="004D05E9">
              <w:t>390,081</w:t>
            </w:r>
          </w:p>
        </w:tc>
        <w:tc>
          <w:tcPr>
            <w:tcW w:w="2425" w:type="dxa"/>
          </w:tcPr>
          <w:p w14:paraId="1E0FBB69" w14:textId="7A823191" w:rsidR="006E41D5" w:rsidRPr="004D05E9" w:rsidRDefault="00970CEF" w:rsidP="006E41D5">
            <w:pPr>
              <w:jc w:val="right"/>
            </w:pPr>
            <w:r w:rsidRPr="004D05E9">
              <w:t>14.32</w:t>
            </w:r>
          </w:p>
        </w:tc>
      </w:tr>
      <w:tr w:rsidR="0075297B" w:rsidRPr="004D05E9" w14:paraId="315442B5" w14:textId="77777777" w:rsidTr="005A1301">
        <w:trPr>
          <w:cantSplit/>
        </w:trPr>
        <w:tc>
          <w:tcPr>
            <w:tcW w:w="3775" w:type="dxa"/>
          </w:tcPr>
          <w:p w14:paraId="6A27E240" w14:textId="77777777" w:rsidR="0075297B" w:rsidRPr="004D05E9" w:rsidRDefault="0075297B" w:rsidP="006E41D5">
            <w:pPr>
              <w:jc w:val="both"/>
            </w:pPr>
            <w:r w:rsidRPr="004D05E9">
              <w:t>Total</w:t>
            </w:r>
          </w:p>
        </w:tc>
        <w:tc>
          <w:tcPr>
            <w:tcW w:w="3150" w:type="dxa"/>
          </w:tcPr>
          <w:p w14:paraId="171F98F4" w14:textId="5DBF4249" w:rsidR="0075297B" w:rsidRPr="004D05E9" w:rsidRDefault="00970CEF" w:rsidP="006E41D5">
            <w:pPr>
              <w:jc w:val="right"/>
            </w:pPr>
            <w:r w:rsidRPr="004D05E9">
              <w:t>2,722,250</w:t>
            </w:r>
          </w:p>
        </w:tc>
        <w:tc>
          <w:tcPr>
            <w:tcW w:w="2425" w:type="dxa"/>
          </w:tcPr>
          <w:p w14:paraId="323B8B1A" w14:textId="77777777" w:rsidR="0075297B" w:rsidRPr="004D05E9" w:rsidRDefault="0075297B" w:rsidP="006E41D5">
            <w:pPr>
              <w:jc w:val="right"/>
            </w:pPr>
            <w:r w:rsidRPr="004D05E9">
              <w:t>100.0</w:t>
            </w:r>
          </w:p>
        </w:tc>
      </w:tr>
    </w:tbl>
    <w:p w14:paraId="088FE091" w14:textId="0D9A5D8A" w:rsidR="006E41D5" w:rsidRPr="004D05E9" w:rsidRDefault="00222FD5" w:rsidP="00724781">
      <w:pPr>
        <w:spacing w:after="240"/>
      </w:pPr>
      <w:r w:rsidRPr="004D05E9">
        <w:t>CALPADS Fall 2019</w:t>
      </w:r>
    </w:p>
    <w:p w14:paraId="12A6C0BE" w14:textId="77777777" w:rsidR="006E41D5" w:rsidRPr="004D05E9" w:rsidRDefault="004E14A0" w:rsidP="00724781">
      <w:pPr>
        <w:pStyle w:val="Heading2"/>
        <w:spacing w:before="0" w:after="240"/>
      </w:pPr>
      <w:bookmarkStart w:id="56" w:name="_Toc57198996"/>
      <w:r w:rsidRPr="004D05E9">
        <w:t>201</w:t>
      </w:r>
      <w:r w:rsidR="00897FCF" w:rsidRPr="004D05E9">
        <w:t>8</w:t>
      </w:r>
      <w:r w:rsidRPr="004D05E9">
        <w:t>–1</w:t>
      </w:r>
      <w:r w:rsidR="00897FCF" w:rsidRPr="004D05E9">
        <w:t>9</w:t>
      </w:r>
      <w:r w:rsidRPr="004D05E9">
        <w:t xml:space="preserve"> Annual Performance Report Indicators</w:t>
      </w:r>
      <w:bookmarkEnd w:id="56"/>
    </w:p>
    <w:p w14:paraId="223CF6FE" w14:textId="0CBD5E94" w:rsidR="00D40B8D" w:rsidRPr="004D05E9" w:rsidRDefault="004E14A0" w:rsidP="004D7261">
      <w:pPr>
        <w:spacing w:after="480"/>
      </w:pPr>
      <w:r w:rsidRPr="004D05E9">
        <w:t>During FFY 201</w:t>
      </w:r>
      <w:r w:rsidR="00AF26D8" w:rsidRPr="004D05E9">
        <w:t>9</w:t>
      </w:r>
      <w:r w:rsidRPr="004D05E9">
        <w:t xml:space="preserve">, California met </w:t>
      </w:r>
      <w:r w:rsidR="00BC295E" w:rsidRPr="004D05E9">
        <w:t>25</w:t>
      </w:r>
      <w:r w:rsidRPr="004D05E9">
        <w:t xml:space="preserve"> percent of the 16 indicators. Table 5 identifies each indicator, its target, the FFY 201</w:t>
      </w:r>
      <w:r w:rsidR="00AF26D8" w:rsidRPr="004D05E9">
        <w:t>9</w:t>
      </w:r>
      <w:r w:rsidRPr="004D05E9">
        <w:t xml:space="preserve"> state results, and whether or not the targe</w:t>
      </w:r>
      <w:r w:rsidR="00BD254F" w:rsidRPr="004D05E9">
        <w:t>t was met. The pages following T</w:t>
      </w:r>
      <w:r w:rsidRPr="004D05E9">
        <w:t>able 5 provide an overview of each individual indicator, including a description of the indicator, the</w:t>
      </w:r>
      <w:r w:rsidR="0075297B" w:rsidRPr="004D05E9">
        <w:t xml:space="preserve"> target, the data collected,</w:t>
      </w:r>
      <w:r w:rsidRPr="004D05E9">
        <w:t xml:space="preserve"> the results</w:t>
      </w:r>
      <w:r w:rsidR="0075297B" w:rsidRPr="004D05E9">
        <w:t>, and whether there was an increase or decrease in the results from prior year</w:t>
      </w:r>
      <w:r w:rsidR="00724781" w:rsidRPr="004D05E9">
        <w:t>.</w:t>
      </w:r>
    </w:p>
    <w:p w14:paraId="17DC2A12" w14:textId="7A5B4F86" w:rsidR="00D40B8D" w:rsidRPr="004D05E9" w:rsidRDefault="00D40B8D" w:rsidP="00724781">
      <w:pPr>
        <w:pStyle w:val="Heading3"/>
        <w:spacing w:before="0" w:after="240"/>
      </w:pPr>
      <w:bookmarkStart w:id="57" w:name="_Toc57198997"/>
      <w:r w:rsidRPr="004D05E9">
        <w:t xml:space="preserve">Table </w:t>
      </w:r>
      <w:r w:rsidR="00A9723C" w:rsidRPr="004D05E9">
        <w:t>4</w:t>
      </w:r>
      <w:r w:rsidRPr="004D05E9">
        <w:t>: Federal Fiscal Year 201</w:t>
      </w:r>
      <w:r w:rsidR="00AF26D8" w:rsidRPr="004D05E9">
        <w:t>9</w:t>
      </w:r>
      <w:r w:rsidRPr="004D05E9">
        <w:t xml:space="preserve"> Indicators, Target, Results, and Change</w:t>
      </w:r>
      <w:bookmarkEnd w:id="57"/>
    </w:p>
    <w:tbl>
      <w:tblPr>
        <w:tblStyle w:val="TableGrid"/>
        <w:tblW w:w="9895" w:type="dxa"/>
        <w:tblLayout w:type="fixed"/>
        <w:tblLook w:val="04A0" w:firstRow="1" w:lastRow="0" w:firstColumn="1" w:lastColumn="0" w:noHBand="0" w:noVBand="1"/>
        <w:tblDescription w:val="A list of 16 indicators with the targets, results, and change from prior year."/>
      </w:tblPr>
      <w:tblGrid>
        <w:gridCol w:w="3415"/>
        <w:gridCol w:w="1980"/>
        <w:gridCol w:w="1710"/>
        <w:gridCol w:w="1080"/>
        <w:gridCol w:w="1710"/>
      </w:tblGrid>
      <w:tr w:rsidR="00D40B8D" w:rsidRPr="004D05E9" w14:paraId="427DA524" w14:textId="77777777" w:rsidTr="00BC295E">
        <w:trPr>
          <w:cantSplit/>
          <w:tblHeader/>
        </w:trPr>
        <w:tc>
          <w:tcPr>
            <w:tcW w:w="3415" w:type="dxa"/>
            <w:vAlign w:val="bottom"/>
          </w:tcPr>
          <w:p w14:paraId="7446A610" w14:textId="77777777" w:rsidR="00D40B8D" w:rsidRPr="004D05E9" w:rsidRDefault="00D40B8D" w:rsidP="0075297B">
            <w:pPr>
              <w:jc w:val="center"/>
              <w:rPr>
                <w:b/>
              </w:rPr>
            </w:pPr>
            <w:r w:rsidRPr="004D05E9">
              <w:rPr>
                <w:b/>
              </w:rPr>
              <w:t>Indicators</w:t>
            </w:r>
          </w:p>
        </w:tc>
        <w:tc>
          <w:tcPr>
            <w:tcW w:w="1980" w:type="dxa"/>
            <w:vAlign w:val="bottom"/>
          </w:tcPr>
          <w:p w14:paraId="555DB67D" w14:textId="77777777" w:rsidR="00D40B8D" w:rsidRPr="004D05E9" w:rsidRDefault="00D40B8D" w:rsidP="0075297B">
            <w:pPr>
              <w:jc w:val="center"/>
              <w:rPr>
                <w:b/>
              </w:rPr>
            </w:pPr>
            <w:r w:rsidRPr="004D05E9">
              <w:rPr>
                <w:b/>
              </w:rPr>
              <w:t>Target</w:t>
            </w:r>
            <w:r w:rsidR="009E0766" w:rsidRPr="004D05E9">
              <w:rPr>
                <w:b/>
              </w:rPr>
              <w:t>s</w:t>
            </w:r>
          </w:p>
        </w:tc>
        <w:tc>
          <w:tcPr>
            <w:tcW w:w="1710" w:type="dxa"/>
            <w:vAlign w:val="bottom"/>
          </w:tcPr>
          <w:p w14:paraId="072EAADC" w14:textId="77777777" w:rsidR="00D40B8D" w:rsidRPr="004D05E9" w:rsidRDefault="00D40B8D" w:rsidP="0075297B">
            <w:pPr>
              <w:jc w:val="center"/>
              <w:rPr>
                <w:b/>
              </w:rPr>
            </w:pPr>
            <w:r w:rsidRPr="004D05E9">
              <w:rPr>
                <w:b/>
              </w:rPr>
              <w:t>Results</w:t>
            </w:r>
          </w:p>
        </w:tc>
        <w:tc>
          <w:tcPr>
            <w:tcW w:w="1080" w:type="dxa"/>
            <w:vAlign w:val="bottom"/>
          </w:tcPr>
          <w:p w14:paraId="245D7E69" w14:textId="77777777" w:rsidR="00D40B8D" w:rsidRPr="004D05E9" w:rsidRDefault="00D40B8D" w:rsidP="0075297B">
            <w:pPr>
              <w:jc w:val="center"/>
              <w:rPr>
                <w:b/>
              </w:rPr>
            </w:pPr>
            <w:r w:rsidRPr="004D05E9">
              <w:rPr>
                <w:b/>
              </w:rPr>
              <w:t>Met Target</w:t>
            </w:r>
          </w:p>
        </w:tc>
        <w:tc>
          <w:tcPr>
            <w:tcW w:w="1710" w:type="dxa"/>
            <w:vAlign w:val="bottom"/>
          </w:tcPr>
          <w:p w14:paraId="31C7365F" w14:textId="77777777" w:rsidR="00D40B8D" w:rsidRPr="004D05E9" w:rsidRDefault="00D40B8D" w:rsidP="0075297B">
            <w:pPr>
              <w:jc w:val="center"/>
              <w:rPr>
                <w:b/>
              </w:rPr>
            </w:pPr>
            <w:r w:rsidRPr="004D05E9">
              <w:rPr>
                <w:b/>
              </w:rPr>
              <w:t>Change from Prior Year</w:t>
            </w:r>
          </w:p>
        </w:tc>
      </w:tr>
      <w:tr w:rsidR="00D40B8D" w:rsidRPr="004D05E9" w14:paraId="1DF065AF" w14:textId="77777777" w:rsidTr="00BC295E">
        <w:trPr>
          <w:cantSplit/>
        </w:trPr>
        <w:tc>
          <w:tcPr>
            <w:tcW w:w="3415" w:type="dxa"/>
          </w:tcPr>
          <w:p w14:paraId="69352C9E" w14:textId="77777777" w:rsidR="00D40B8D" w:rsidRPr="004D05E9" w:rsidRDefault="0054271F" w:rsidP="0054271F">
            <w:r w:rsidRPr="004D05E9">
              <w:t>1 Graduation</w:t>
            </w:r>
          </w:p>
        </w:tc>
        <w:tc>
          <w:tcPr>
            <w:tcW w:w="1980" w:type="dxa"/>
            <w:vAlign w:val="bottom"/>
          </w:tcPr>
          <w:p w14:paraId="37FDA1BC" w14:textId="77777777" w:rsidR="00D40B8D" w:rsidRPr="004D05E9" w:rsidRDefault="0054271F" w:rsidP="0075297B">
            <w:pPr>
              <w:jc w:val="center"/>
            </w:pPr>
            <w:r w:rsidRPr="004D05E9">
              <w:t>90%</w:t>
            </w:r>
          </w:p>
        </w:tc>
        <w:tc>
          <w:tcPr>
            <w:tcW w:w="1710" w:type="dxa"/>
            <w:vAlign w:val="bottom"/>
          </w:tcPr>
          <w:p w14:paraId="18327833" w14:textId="6515D7C9" w:rsidR="00D40B8D" w:rsidRPr="004D05E9" w:rsidRDefault="002F49D7" w:rsidP="00935FD0">
            <w:pPr>
              <w:jc w:val="center"/>
            </w:pPr>
            <w:r w:rsidRPr="004D05E9">
              <w:t>67.7</w:t>
            </w:r>
            <w:r w:rsidR="00935FD0" w:rsidRPr="004D05E9">
              <w:t>%</w:t>
            </w:r>
          </w:p>
        </w:tc>
        <w:tc>
          <w:tcPr>
            <w:tcW w:w="1080" w:type="dxa"/>
            <w:vAlign w:val="bottom"/>
          </w:tcPr>
          <w:p w14:paraId="6339FA44" w14:textId="77777777" w:rsidR="00D40B8D" w:rsidRPr="004D05E9" w:rsidRDefault="004B2429" w:rsidP="00935FD0">
            <w:pPr>
              <w:jc w:val="center"/>
            </w:pPr>
            <w:r w:rsidRPr="004D05E9">
              <w:t>No</w:t>
            </w:r>
          </w:p>
        </w:tc>
        <w:tc>
          <w:tcPr>
            <w:tcW w:w="1710" w:type="dxa"/>
            <w:vAlign w:val="bottom"/>
          </w:tcPr>
          <w:p w14:paraId="4242F651" w14:textId="440CF2FA" w:rsidR="00D40B8D" w:rsidRPr="004D05E9" w:rsidRDefault="00535229" w:rsidP="00935FD0">
            <w:pPr>
              <w:jc w:val="center"/>
            </w:pPr>
            <w:r w:rsidRPr="004D05E9">
              <w:t>+1.</w:t>
            </w:r>
            <w:r w:rsidR="002F49D7" w:rsidRPr="004D05E9">
              <w:t>4</w:t>
            </w:r>
            <w:r w:rsidR="00935FD0" w:rsidRPr="004D05E9">
              <w:t>%</w:t>
            </w:r>
          </w:p>
        </w:tc>
      </w:tr>
      <w:tr w:rsidR="00D40B8D" w:rsidRPr="004D05E9" w14:paraId="510B875B" w14:textId="77777777" w:rsidTr="00BC295E">
        <w:trPr>
          <w:cantSplit/>
        </w:trPr>
        <w:tc>
          <w:tcPr>
            <w:tcW w:w="3415" w:type="dxa"/>
          </w:tcPr>
          <w:p w14:paraId="2A799F66" w14:textId="77777777" w:rsidR="00D40B8D" w:rsidRPr="004D05E9" w:rsidRDefault="0054271F" w:rsidP="00D40B8D">
            <w:r w:rsidRPr="004D05E9">
              <w:t>2 Drop Out</w:t>
            </w:r>
          </w:p>
        </w:tc>
        <w:tc>
          <w:tcPr>
            <w:tcW w:w="1980" w:type="dxa"/>
            <w:vAlign w:val="bottom"/>
          </w:tcPr>
          <w:p w14:paraId="16E4E812" w14:textId="7106B0CE" w:rsidR="00D40B8D" w:rsidRPr="004D05E9" w:rsidRDefault="0054271F" w:rsidP="00935FD0">
            <w:pPr>
              <w:jc w:val="center"/>
            </w:pPr>
            <w:r w:rsidRPr="004D05E9">
              <w:rPr>
                <w:rFonts w:eastAsia="Calibri" w:cs="Arial"/>
              </w:rPr>
              <w:t>≤</w:t>
            </w:r>
            <w:r w:rsidR="002F49D7" w:rsidRPr="004D05E9">
              <w:rPr>
                <w:rFonts w:eastAsia="Calibri" w:cs="Arial"/>
              </w:rPr>
              <w:t>9</w:t>
            </w:r>
            <w:r w:rsidRPr="004D05E9">
              <w:rPr>
                <w:rFonts w:eastAsia="Calibri" w:cs="Arial"/>
              </w:rPr>
              <w:t>.72%</w:t>
            </w:r>
          </w:p>
        </w:tc>
        <w:tc>
          <w:tcPr>
            <w:tcW w:w="1710" w:type="dxa"/>
            <w:vAlign w:val="bottom"/>
          </w:tcPr>
          <w:p w14:paraId="66A7B01C" w14:textId="421A48AC" w:rsidR="00D40B8D" w:rsidRPr="004D05E9" w:rsidRDefault="002F49D7" w:rsidP="00935FD0">
            <w:pPr>
              <w:jc w:val="center"/>
            </w:pPr>
            <w:r w:rsidRPr="004D05E9">
              <w:t>15.41</w:t>
            </w:r>
            <w:r w:rsidR="00935FD0" w:rsidRPr="004D05E9">
              <w:t>%</w:t>
            </w:r>
          </w:p>
        </w:tc>
        <w:tc>
          <w:tcPr>
            <w:tcW w:w="1080" w:type="dxa"/>
            <w:vAlign w:val="bottom"/>
          </w:tcPr>
          <w:p w14:paraId="4A1C1D81" w14:textId="77777777" w:rsidR="00D40B8D" w:rsidRPr="004D05E9" w:rsidRDefault="004B2429" w:rsidP="00935FD0">
            <w:pPr>
              <w:jc w:val="center"/>
            </w:pPr>
            <w:r w:rsidRPr="004D05E9">
              <w:t>No</w:t>
            </w:r>
          </w:p>
        </w:tc>
        <w:tc>
          <w:tcPr>
            <w:tcW w:w="1710" w:type="dxa"/>
            <w:vAlign w:val="bottom"/>
          </w:tcPr>
          <w:p w14:paraId="33A4B6F4" w14:textId="7D902F3D" w:rsidR="00D40B8D" w:rsidRPr="004D05E9" w:rsidRDefault="002F49D7" w:rsidP="00935FD0">
            <w:pPr>
              <w:jc w:val="center"/>
            </w:pPr>
            <w:r w:rsidRPr="004D05E9">
              <w:t>+4.17</w:t>
            </w:r>
            <w:r w:rsidR="00935FD0" w:rsidRPr="004D05E9">
              <w:t>%</w:t>
            </w:r>
          </w:p>
        </w:tc>
      </w:tr>
      <w:tr w:rsidR="00D40B8D" w:rsidRPr="004D05E9" w14:paraId="2A8709F1" w14:textId="77777777" w:rsidTr="001845FE">
        <w:trPr>
          <w:cantSplit/>
        </w:trPr>
        <w:tc>
          <w:tcPr>
            <w:tcW w:w="3415" w:type="dxa"/>
          </w:tcPr>
          <w:p w14:paraId="42548A4C" w14:textId="77777777" w:rsidR="00D40B8D" w:rsidRPr="004D05E9" w:rsidRDefault="0054271F" w:rsidP="00D40B8D">
            <w:r w:rsidRPr="004D05E9">
              <w:t>3 Statewide Assessment</w:t>
            </w:r>
          </w:p>
        </w:tc>
        <w:tc>
          <w:tcPr>
            <w:tcW w:w="1980" w:type="dxa"/>
            <w:shd w:val="clear" w:color="auto" w:fill="auto"/>
            <w:vAlign w:val="bottom"/>
          </w:tcPr>
          <w:p w14:paraId="404A5017" w14:textId="421CFF82" w:rsidR="00D40B8D" w:rsidRPr="004D05E9" w:rsidRDefault="001845FE" w:rsidP="00935FD0">
            <w:pPr>
              <w:jc w:val="center"/>
            </w:pPr>
            <w:r>
              <w:t>N/A</w:t>
            </w:r>
          </w:p>
        </w:tc>
        <w:tc>
          <w:tcPr>
            <w:tcW w:w="1710" w:type="dxa"/>
            <w:shd w:val="clear" w:color="auto" w:fill="auto"/>
            <w:vAlign w:val="bottom"/>
          </w:tcPr>
          <w:p w14:paraId="7DEF4AF5" w14:textId="76EB29C1" w:rsidR="00D40B8D" w:rsidRPr="004D05E9" w:rsidRDefault="001845FE" w:rsidP="00935FD0">
            <w:pPr>
              <w:jc w:val="center"/>
            </w:pPr>
            <w:r>
              <w:t>N/A</w:t>
            </w:r>
          </w:p>
        </w:tc>
        <w:tc>
          <w:tcPr>
            <w:tcW w:w="1080" w:type="dxa"/>
            <w:shd w:val="clear" w:color="auto" w:fill="auto"/>
            <w:vAlign w:val="bottom"/>
          </w:tcPr>
          <w:p w14:paraId="601B9994" w14:textId="36ADCCF8" w:rsidR="00D40B8D" w:rsidRPr="004D05E9" w:rsidRDefault="001845FE" w:rsidP="00935FD0">
            <w:pPr>
              <w:jc w:val="center"/>
            </w:pPr>
            <w:r>
              <w:t>N/A</w:t>
            </w:r>
          </w:p>
        </w:tc>
        <w:tc>
          <w:tcPr>
            <w:tcW w:w="1710" w:type="dxa"/>
            <w:shd w:val="clear" w:color="auto" w:fill="auto"/>
            <w:vAlign w:val="bottom"/>
          </w:tcPr>
          <w:p w14:paraId="1DDFB748" w14:textId="449D29AC" w:rsidR="00D40B8D" w:rsidRPr="004D05E9" w:rsidRDefault="001845FE" w:rsidP="00935FD0">
            <w:pPr>
              <w:jc w:val="center"/>
            </w:pPr>
            <w:r>
              <w:t>N/A</w:t>
            </w:r>
          </w:p>
        </w:tc>
      </w:tr>
      <w:tr w:rsidR="00D40B8D" w:rsidRPr="004D05E9" w14:paraId="50E853BF" w14:textId="77777777" w:rsidTr="001845FE">
        <w:trPr>
          <w:cantSplit/>
        </w:trPr>
        <w:tc>
          <w:tcPr>
            <w:tcW w:w="3415" w:type="dxa"/>
          </w:tcPr>
          <w:p w14:paraId="199532A7" w14:textId="77777777" w:rsidR="00D40B8D" w:rsidRPr="004D05E9" w:rsidRDefault="0054271F" w:rsidP="00D40B8D">
            <w:r w:rsidRPr="004D05E9">
              <w:t>3B Participation</w:t>
            </w:r>
          </w:p>
        </w:tc>
        <w:tc>
          <w:tcPr>
            <w:tcW w:w="1980" w:type="dxa"/>
            <w:shd w:val="clear" w:color="auto" w:fill="auto"/>
            <w:vAlign w:val="bottom"/>
          </w:tcPr>
          <w:p w14:paraId="0BC4EAD1" w14:textId="77777777" w:rsidR="00D40B8D" w:rsidRPr="004D05E9" w:rsidRDefault="0054271F" w:rsidP="00935FD0">
            <w:pPr>
              <w:jc w:val="center"/>
            </w:pPr>
            <w:r w:rsidRPr="004D05E9">
              <w:t>95% ELA/Math</w:t>
            </w:r>
          </w:p>
        </w:tc>
        <w:tc>
          <w:tcPr>
            <w:tcW w:w="1710" w:type="dxa"/>
            <w:shd w:val="clear" w:color="auto" w:fill="auto"/>
            <w:vAlign w:val="bottom"/>
          </w:tcPr>
          <w:p w14:paraId="1C71059B" w14:textId="349D5175" w:rsidR="00D40B8D" w:rsidRPr="004D05E9" w:rsidRDefault="002F49D7" w:rsidP="00935FD0">
            <w:pPr>
              <w:jc w:val="center"/>
            </w:pPr>
            <w:r w:rsidRPr="004D05E9">
              <w:t>Waived for FFY 2019</w:t>
            </w:r>
          </w:p>
        </w:tc>
        <w:tc>
          <w:tcPr>
            <w:tcW w:w="1080" w:type="dxa"/>
            <w:shd w:val="clear" w:color="auto" w:fill="auto"/>
            <w:vAlign w:val="bottom"/>
          </w:tcPr>
          <w:p w14:paraId="36F0CF32" w14:textId="5120BDF4" w:rsidR="00D40B8D" w:rsidRPr="004D05E9" w:rsidRDefault="002F49D7" w:rsidP="00935FD0">
            <w:pPr>
              <w:jc w:val="center"/>
            </w:pPr>
            <w:r w:rsidRPr="004D05E9">
              <w:t>N/A</w:t>
            </w:r>
          </w:p>
        </w:tc>
        <w:tc>
          <w:tcPr>
            <w:tcW w:w="1710" w:type="dxa"/>
            <w:shd w:val="clear" w:color="auto" w:fill="auto"/>
            <w:vAlign w:val="bottom"/>
          </w:tcPr>
          <w:p w14:paraId="4F497A5E" w14:textId="6237BA19" w:rsidR="00D40B8D" w:rsidRPr="004D05E9" w:rsidRDefault="002F49D7" w:rsidP="00935FD0">
            <w:pPr>
              <w:jc w:val="center"/>
            </w:pPr>
            <w:r w:rsidRPr="004D05E9">
              <w:t>N/A</w:t>
            </w:r>
          </w:p>
        </w:tc>
      </w:tr>
      <w:tr w:rsidR="00D40B8D" w:rsidRPr="004D05E9" w14:paraId="255E8EF7" w14:textId="77777777" w:rsidTr="001845FE">
        <w:trPr>
          <w:cantSplit/>
        </w:trPr>
        <w:tc>
          <w:tcPr>
            <w:tcW w:w="3415" w:type="dxa"/>
          </w:tcPr>
          <w:p w14:paraId="7BE199EE" w14:textId="77777777" w:rsidR="00D40B8D" w:rsidRPr="004D05E9" w:rsidRDefault="0054271F" w:rsidP="00D40B8D">
            <w:r w:rsidRPr="004D05E9">
              <w:t>3C Elementary, High, and Unified Districts</w:t>
            </w:r>
          </w:p>
        </w:tc>
        <w:tc>
          <w:tcPr>
            <w:tcW w:w="1980" w:type="dxa"/>
            <w:shd w:val="clear" w:color="auto" w:fill="auto"/>
            <w:vAlign w:val="bottom"/>
          </w:tcPr>
          <w:p w14:paraId="18DB2D9C" w14:textId="310D015D" w:rsidR="00D40B8D" w:rsidRPr="004D05E9" w:rsidRDefault="002F49D7" w:rsidP="00935FD0">
            <w:pPr>
              <w:jc w:val="center"/>
            </w:pPr>
            <w:r w:rsidRPr="004D05E9">
              <w:t>16</w:t>
            </w:r>
            <w:r w:rsidR="0054271F" w:rsidRPr="004D05E9">
              <w:t>.9% ELA, 1</w:t>
            </w:r>
            <w:r w:rsidRPr="004D05E9">
              <w:t>4</w:t>
            </w:r>
            <w:r w:rsidR="0054271F" w:rsidRPr="004D05E9">
              <w:t>.6% Math</w:t>
            </w:r>
          </w:p>
        </w:tc>
        <w:tc>
          <w:tcPr>
            <w:tcW w:w="1710" w:type="dxa"/>
            <w:shd w:val="clear" w:color="auto" w:fill="auto"/>
            <w:vAlign w:val="bottom"/>
          </w:tcPr>
          <w:p w14:paraId="2B716DC0" w14:textId="46B2D7F7" w:rsidR="00D40B8D" w:rsidRPr="004D05E9" w:rsidRDefault="002F49D7" w:rsidP="00935FD0">
            <w:pPr>
              <w:jc w:val="center"/>
            </w:pPr>
            <w:r w:rsidRPr="004D05E9">
              <w:t>Waived for FFY 2019</w:t>
            </w:r>
          </w:p>
        </w:tc>
        <w:tc>
          <w:tcPr>
            <w:tcW w:w="1080" w:type="dxa"/>
            <w:shd w:val="clear" w:color="auto" w:fill="auto"/>
            <w:vAlign w:val="bottom"/>
          </w:tcPr>
          <w:p w14:paraId="398C1B71" w14:textId="34E0D9F1" w:rsidR="00D40B8D" w:rsidRPr="004D05E9" w:rsidRDefault="002F49D7" w:rsidP="00935FD0">
            <w:pPr>
              <w:jc w:val="center"/>
            </w:pPr>
            <w:r w:rsidRPr="004D05E9">
              <w:t>N/A</w:t>
            </w:r>
          </w:p>
        </w:tc>
        <w:tc>
          <w:tcPr>
            <w:tcW w:w="1710" w:type="dxa"/>
            <w:shd w:val="clear" w:color="auto" w:fill="auto"/>
            <w:vAlign w:val="bottom"/>
          </w:tcPr>
          <w:p w14:paraId="4F059CD6" w14:textId="343F293A" w:rsidR="00D40B8D" w:rsidRPr="004D05E9" w:rsidRDefault="002F49D7" w:rsidP="00935FD0">
            <w:pPr>
              <w:jc w:val="center"/>
            </w:pPr>
            <w:r w:rsidRPr="004D05E9">
              <w:t>N/A</w:t>
            </w:r>
          </w:p>
        </w:tc>
      </w:tr>
      <w:tr w:rsidR="00D40B8D" w:rsidRPr="004D05E9" w14:paraId="4D95FDED" w14:textId="77777777" w:rsidTr="001845FE">
        <w:trPr>
          <w:cantSplit/>
        </w:trPr>
        <w:tc>
          <w:tcPr>
            <w:tcW w:w="3415" w:type="dxa"/>
          </w:tcPr>
          <w:p w14:paraId="379F6FAD" w14:textId="77777777" w:rsidR="00D40B8D" w:rsidRPr="004D05E9" w:rsidRDefault="0054271F" w:rsidP="00D40B8D">
            <w:r w:rsidRPr="004D05E9">
              <w:t>4 Suspension/Expulsion</w:t>
            </w:r>
          </w:p>
        </w:tc>
        <w:tc>
          <w:tcPr>
            <w:tcW w:w="1980" w:type="dxa"/>
            <w:shd w:val="clear" w:color="auto" w:fill="auto"/>
            <w:vAlign w:val="bottom"/>
          </w:tcPr>
          <w:p w14:paraId="7A8C006F" w14:textId="5C5494AF" w:rsidR="00D40B8D" w:rsidRPr="004D05E9" w:rsidRDefault="001845FE" w:rsidP="00935FD0">
            <w:pPr>
              <w:jc w:val="center"/>
            </w:pPr>
            <w:r>
              <w:t>N/A</w:t>
            </w:r>
          </w:p>
        </w:tc>
        <w:tc>
          <w:tcPr>
            <w:tcW w:w="1710" w:type="dxa"/>
            <w:shd w:val="clear" w:color="auto" w:fill="auto"/>
            <w:vAlign w:val="bottom"/>
          </w:tcPr>
          <w:p w14:paraId="67F99231" w14:textId="33D8D850" w:rsidR="00D40B8D" w:rsidRPr="004D05E9" w:rsidRDefault="001845FE" w:rsidP="00935FD0">
            <w:pPr>
              <w:jc w:val="center"/>
            </w:pPr>
            <w:r>
              <w:t>N/A</w:t>
            </w:r>
          </w:p>
        </w:tc>
        <w:tc>
          <w:tcPr>
            <w:tcW w:w="1080" w:type="dxa"/>
            <w:shd w:val="clear" w:color="auto" w:fill="auto"/>
            <w:vAlign w:val="bottom"/>
          </w:tcPr>
          <w:p w14:paraId="6C6A42FB" w14:textId="20EF4DA1" w:rsidR="00D40B8D" w:rsidRPr="004D05E9" w:rsidRDefault="001845FE" w:rsidP="00935FD0">
            <w:pPr>
              <w:jc w:val="center"/>
            </w:pPr>
            <w:r>
              <w:t>N/A</w:t>
            </w:r>
          </w:p>
        </w:tc>
        <w:tc>
          <w:tcPr>
            <w:tcW w:w="1710" w:type="dxa"/>
            <w:shd w:val="clear" w:color="auto" w:fill="auto"/>
            <w:vAlign w:val="bottom"/>
          </w:tcPr>
          <w:p w14:paraId="43988793" w14:textId="1781E7CB" w:rsidR="00D40B8D" w:rsidRPr="004D05E9" w:rsidRDefault="001845FE" w:rsidP="00935FD0">
            <w:pPr>
              <w:jc w:val="center"/>
            </w:pPr>
            <w:r>
              <w:t>N/A</w:t>
            </w:r>
          </w:p>
        </w:tc>
      </w:tr>
      <w:tr w:rsidR="00D40B8D" w:rsidRPr="004D05E9" w14:paraId="2AC09EC1" w14:textId="77777777" w:rsidTr="001845FE">
        <w:trPr>
          <w:cantSplit/>
        </w:trPr>
        <w:tc>
          <w:tcPr>
            <w:tcW w:w="3415" w:type="dxa"/>
          </w:tcPr>
          <w:p w14:paraId="0E3B39AE" w14:textId="77777777" w:rsidR="00D40B8D" w:rsidRPr="004D05E9" w:rsidRDefault="0054271F" w:rsidP="00D40B8D">
            <w:r w:rsidRPr="004D05E9">
              <w:t>4A Suspension and Expulsion Rate Overall</w:t>
            </w:r>
          </w:p>
        </w:tc>
        <w:tc>
          <w:tcPr>
            <w:tcW w:w="1980" w:type="dxa"/>
            <w:shd w:val="clear" w:color="auto" w:fill="auto"/>
            <w:vAlign w:val="bottom"/>
          </w:tcPr>
          <w:p w14:paraId="11206DC1" w14:textId="77777777" w:rsidR="00D40B8D" w:rsidRPr="004D05E9" w:rsidRDefault="0054271F" w:rsidP="00935FD0">
            <w:pPr>
              <w:jc w:val="center"/>
            </w:pPr>
            <w:r w:rsidRPr="004D05E9">
              <w:rPr>
                <w:rFonts w:cs="Arial"/>
              </w:rPr>
              <w:t>≤</w:t>
            </w:r>
            <w:r w:rsidRPr="004D05E9">
              <w:t>10%</w:t>
            </w:r>
          </w:p>
        </w:tc>
        <w:tc>
          <w:tcPr>
            <w:tcW w:w="1710" w:type="dxa"/>
            <w:shd w:val="clear" w:color="auto" w:fill="auto"/>
            <w:vAlign w:val="bottom"/>
          </w:tcPr>
          <w:p w14:paraId="241F38AA" w14:textId="7B7C72B1" w:rsidR="00D40B8D" w:rsidRPr="004D05E9" w:rsidRDefault="002F49D7" w:rsidP="00935FD0">
            <w:pPr>
              <w:jc w:val="center"/>
            </w:pPr>
            <w:r w:rsidRPr="004D05E9">
              <w:t>2.51</w:t>
            </w:r>
            <w:r w:rsidR="00935FD0" w:rsidRPr="004D05E9">
              <w:t>%</w:t>
            </w:r>
          </w:p>
        </w:tc>
        <w:tc>
          <w:tcPr>
            <w:tcW w:w="1080" w:type="dxa"/>
            <w:shd w:val="clear" w:color="auto" w:fill="auto"/>
            <w:vAlign w:val="bottom"/>
          </w:tcPr>
          <w:p w14:paraId="5CCDAA66" w14:textId="77777777" w:rsidR="00D40B8D" w:rsidRPr="004D05E9" w:rsidRDefault="004C2D01" w:rsidP="00935FD0">
            <w:pPr>
              <w:jc w:val="center"/>
            </w:pPr>
            <w:r w:rsidRPr="004D05E9">
              <w:t>Yes</w:t>
            </w:r>
          </w:p>
        </w:tc>
        <w:tc>
          <w:tcPr>
            <w:tcW w:w="1710" w:type="dxa"/>
            <w:shd w:val="clear" w:color="auto" w:fill="auto"/>
            <w:vAlign w:val="bottom"/>
          </w:tcPr>
          <w:p w14:paraId="590EE052" w14:textId="109005AE" w:rsidR="00D40B8D" w:rsidRPr="004D05E9" w:rsidRDefault="002F49D7" w:rsidP="00935FD0">
            <w:pPr>
              <w:jc w:val="center"/>
            </w:pPr>
            <w:r w:rsidRPr="004D05E9">
              <w:t>+1.10</w:t>
            </w:r>
            <w:r w:rsidR="00935FD0" w:rsidRPr="004D05E9">
              <w:t>%</w:t>
            </w:r>
          </w:p>
        </w:tc>
      </w:tr>
      <w:tr w:rsidR="00D40B8D" w:rsidRPr="004D05E9" w14:paraId="7D8F6AE1" w14:textId="77777777" w:rsidTr="001845FE">
        <w:trPr>
          <w:cantSplit/>
        </w:trPr>
        <w:tc>
          <w:tcPr>
            <w:tcW w:w="3415" w:type="dxa"/>
          </w:tcPr>
          <w:p w14:paraId="3A971A58" w14:textId="77777777" w:rsidR="00D40B8D" w:rsidRPr="004D05E9" w:rsidRDefault="0054271F" w:rsidP="00D40B8D">
            <w:r w:rsidRPr="004D05E9">
              <w:t>4B Suspension and Expulsion Rate by Race/Ethnicity</w:t>
            </w:r>
          </w:p>
        </w:tc>
        <w:tc>
          <w:tcPr>
            <w:tcW w:w="1980" w:type="dxa"/>
            <w:shd w:val="clear" w:color="auto" w:fill="auto"/>
            <w:vAlign w:val="bottom"/>
          </w:tcPr>
          <w:p w14:paraId="51DA7FB4" w14:textId="77777777" w:rsidR="00D40B8D" w:rsidRPr="004D05E9" w:rsidRDefault="0054271F" w:rsidP="00935FD0">
            <w:pPr>
              <w:jc w:val="center"/>
            </w:pPr>
            <w:r w:rsidRPr="004D05E9">
              <w:t>0%</w:t>
            </w:r>
          </w:p>
        </w:tc>
        <w:tc>
          <w:tcPr>
            <w:tcW w:w="1710" w:type="dxa"/>
            <w:shd w:val="clear" w:color="auto" w:fill="auto"/>
            <w:vAlign w:val="bottom"/>
          </w:tcPr>
          <w:p w14:paraId="4661FF25" w14:textId="4250DD58" w:rsidR="00D40B8D" w:rsidRPr="004D05E9" w:rsidRDefault="00FA0321" w:rsidP="00935FD0">
            <w:pPr>
              <w:jc w:val="center"/>
            </w:pPr>
            <w:r w:rsidRPr="004D05E9">
              <w:t>4.07%</w:t>
            </w:r>
          </w:p>
        </w:tc>
        <w:tc>
          <w:tcPr>
            <w:tcW w:w="1080" w:type="dxa"/>
            <w:shd w:val="clear" w:color="auto" w:fill="auto"/>
            <w:vAlign w:val="bottom"/>
          </w:tcPr>
          <w:p w14:paraId="388617B7" w14:textId="3753CC4F" w:rsidR="00D40B8D" w:rsidRPr="004D05E9" w:rsidRDefault="007B22FA" w:rsidP="00935FD0">
            <w:pPr>
              <w:jc w:val="center"/>
            </w:pPr>
            <w:r w:rsidRPr="004D05E9">
              <w:t>No</w:t>
            </w:r>
          </w:p>
        </w:tc>
        <w:tc>
          <w:tcPr>
            <w:tcW w:w="1710" w:type="dxa"/>
            <w:shd w:val="clear" w:color="auto" w:fill="auto"/>
            <w:vAlign w:val="bottom"/>
          </w:tcPr>
          <w:p w14:paraId="0B48A931" w14:textId="01E3095D" w:rsidR="00D40B8D" w:rsidRPr="004D05E9" w:rsidRDefault="00FA0321" w:rsidP="00935FD0">
            <w:pPr>
              <w:jc w:val="center"/>
            </w:pPr>
            <w:r w:rsidRPr="004D05E9">
              <w:t>-0.79%</w:t>
            </w:r>
          </w:p>
        </w:tc>
      </w:tr>
      <w:tr w:rsidR="00D40B8D" w:rsidRPr="004D05E9" w14:paraId="7F14B91E" w14:textId="77777777" w:rsidTr="001845FE">
        <w:trPr>
          <w:cantSplit/>
        </w:trPr>
        <w:tc>
          <w:tcPr>
            <w:tcW w:w="3415" w:type="dxa"/>
          </w:tcPr>
          <w:p w14:paraId="02042EC8" w14:textId="77777777" w:rsidR="00D40B8D" w:rsidRPr="004D05E9" w:rsidRDefault="0054271F" w:rsidP="00D40B8D">
            <w:r w:rsidRPr="004D05E9">
              <w:t>5 Education Environments</w:t>
            </w:r>
          </w:p>
        </w:tc>
        <w:tc>
          <w:tcPr>
            <w:tcW w:w="1980" w:type="dxa"/>
            <w:shd w:val="clear" w:color="auto" w:fill="auto"/>
            <w:vAlign w:val="bottom"/>
          </w:tcPr>
          <w:p w14:paraId="758357A4" w14:textId="6DA6031A" w:rsidR="00D40B8D" w:rsidRPr="004D05E9" w:rsidRDefault="001845FE" w:rsidP="00935FD0">
            <w:pPr>
              <w:jc w:val="center"/>
            </w:pPr>
            <w:r>
              <w:t>N/A</w:t>
            </w:r>
          </w:p>
        </w:tc>
        <w:tc>
          <w:tcPr>
            <w:tcW w:w="1710" w:type="dxa"/>
            <w:shd w:val="clear" w:color="auto" w:fill="auto"/>
            <w:vAlign w:val="bottom"/>
          </w:tcPr>
          <w:p w14:paraId="4AC61622" w14:textId="14D1EAAB" w:rsidR="00D40B8D" w:rsidRPr="004D05E9" w:rsidRDefault="001845FE" w:rsidP="00935FD0">
            <w:pPr>
              <w:jc w:val="center"/>
            </w:pPr>
            <w:r>
              <w:t>N/A</w:t>
            </w:r>
          </w:p>
        </w:tc>
        <w:tc>
          <w:tcPr>
            <w:tcW w:w="1080" w:type="dxa"/>
            <w:shd w:val="clear" w:color="auto" w:fill="auto"/>
            <w:vAlign w:val="bottom"/>
          </w:tcPr>
          <w:p w14:paraId="2C4BE1F5" w14:textId="54245D17" w:rsidR="00D40B8D" w:rsidRPr="004D05E9" w:rsidRDefault="001845FE" w:rsidP="00935FD0">
            <w:pPr>
              <w:jc w:val="center"/>
            </w:pPr>
            <w:r>
              <w:t>N/A</w:t>
            </w:r>
          </w:p>
        </w:tc>
        <w:tc>
          <w:tcPr>
            <w:tcW w:w="1710" w:type="dxa"/>
            <w:shd w:val="clear" w:color="auto" w:fill="auto"/>
            <w:vAlign w:val="bottom"/>
          </w:tcPr>
          <w:p w14:paraId="7628320B" w14:textId="12141353" w:rsidR="00D40B8D" w:rsidRPr="004D05E9" w:rsidRDefault="001845FE" w:rsidP="00935FD0">
            <w:pPr>
              <w:jc w:val="center"/>
            </w:pPr>
            <w:r>
              <w:t>N/A</w:t>
            </w:r>
          </w:p>
        </w:tc>
      </w:tr>
      <w:tr w:rsidR="00D40B8D" w:rsidRPr="004D05E9" w14:paraId="0693B7EF" w14:textId="77777777" w:rsidTr="001845FE">
        <w:trPr>
          <w:cantSplit/>
        </w:trPr>
        <w:tc>
          <w:tcPr>
            <w:tcW w:w="3415" w:type="dxa"/>
          </w:tcPr>
          <w:p w14:paraId="590EAE1B" w14:textId="77777777" w:rsidR="00D40B8D" w:rsidRPr="004D05E9" w:rsidRDefault="0054271F" w:rsidP="00D40B8D">
            <w:r w:rsidRPr="004D05E9">
              <w:t xml:space="preserve">5A Regular Class 80 </w:t>
            </w:r>
            <w:r w:rsidR="008164AA" w:rsidRPr="004D05E9">
              <w:t>P</w:t>
            </w:r>
            <w:r w:rsidRPr="004D05E9">
              <w:t xml:space="preserve">ercent or </w:t>
            </w:r>
            <w:r w:rsidR="008164AA" w:rsidRPr="004D05E9">
              <w:t>M</w:t>
            </w:r>
            <w:r w:rsidRPr="004D05E9">
              <w:t>ore</w:t>
            </w:r>
          </w:p>
        </w:tc>
        <w:tc>
          <w:tcPr>
            <w:tcW w:w="1980" w:type="dxa"/>
            <w:shd w:val="clear" w:color="auto" w:fill="auto"/>
            <w:vAlign w:val="bottom"/>
          </w:tcPr>
          <w:p w14:paraId="233A258A" w14:textId="4655C014" w:rsidR="00D40B8D" w:rsidRPr="004D05E9" w:rsidRDefault="00935FD0" w:rsidP="00935FD0">
            <w:pPr>
              <w:jc w:val="center"/>
            </w:pPr>
            <w:r w:rsidRPr="004D05E9">
              <w:rPr>
                <w:rFonts w:cs="Arial"/>
                <w:sz w:val="20"/>
                <w:szCs w:val="20"/>
              </w:rPr>
              <w:t>≥</w:t>
            </w:r>
            <w:r w:rsidR="0054271F" w:rsidRPr="004D05E9">
              <w:t>5</w:t>
            </w:r>
            <w:r w:rsidR="002F49D7" w:rsidRPr="004D05E9">
              <w:t>3</w:t>
            </w:r>
            <w:r w:rsidR="0054271F" w:rsidRPr="004D05E9">
              <w:t>.2%</w:t>
            </w:r>
          </w:p>
        </w:tc>
        <w:tc>
          <w:tcPr>
            <w:tcW w:w="1710" w:type="dxa"/>
            <w:shd w:val="clear" w:color="auto" w:fill="auto"/>
            <w:vAlign w:val="bottom"/>
          </w:tcPr>
          <w:p w14:paraId="08BEEFE9" w14:textId="2840C75E" w:rsidR="00D40B8D" w:rsidRPr="004D05E9" w:rsidRDefault="002F49D7" w:rsidP="00935FD0">
            <w:pPr>
              <w:jc w:val="center"/>
            </w:pPr>
            <w:r w:rsidRPr="004D05E9">
              <w:t>58.37</w:t>
            </w:r>
            <w:r w:rsidR="00935FD0" w:rsidRPr="004D05E9">
              <w:t>%</w:t>
            </w:r>
          </w:p>
        </w:tc>
        <w:tc>
          <w:tcPr>
            <w:tcW w:w="1080" w:type="dxa"/>
            <w:shd w:val="clear" w:color="auto" w:fill="auto"/>
            <w:vAlign w:val="bottom"/>
          </w:tcPr>
          <w:p w14:paraId="200669C8" w14:textId="77777777" w:rsidR="00D40B8D" w:rsidRPr="004D05E9" w:rsidRDefault="007728D4" w:rsidP="00935FD0">
            <w:pPr>
              <w:jc w:val="center"/>
            </w:pPr>
            <w:r w:rsidRPr="004D05E9">
              <w:t>Yes</w:t>
            </w:r>
          </w:p>
        </w:tc>
        <w:tc>
          <w:tcPr>
            <w:tcW w:w="1710" w:type="dxa"/>
            <w:shd w:val="clear" w:color="auto" w:fill="auto"/>
            <w:vAlign w:val="bottom"/>
          </w:tcPr>
          <w:p w14:paraId="3114D09C" w14:textId="523ABC24" w:rsidR="00D40B8D" w:rsidRPr="004D05E9" w:rsidRDefault="00535229" w:rsidP="000B3641">
            <w:pPr>
              <w:jc w:val="center"/>
            </w:pPr>
            <w:r w:rsidRPr="004D05E9">
              <w:t>+</w:t>
            </w:r>
            <w:r w:rsidR="002F49D7" w:rsidRPr="004D05E9">
              <w:t>1.49</w:t>
            </w:r>
            <w:r w:rsidR="00935FD0" w:rsidRPr="004D05E9">
              <w:t>%</w:t>
            </w:r>
          </w:p>
        </w:tc>
      </w:tr>
      <w:tr w:rsidR="00D40B8D" w:rsidRPr="004D05E9" w14:paraId="3453D2D4" w14:textId="77777777" w:rsidTr="00BC295E">
        <w:trPr>
          <w:cantSplit/>
        </w:trPr>
        <w:tc>
          <w:tcPr>
            <w:tcW w:w="3415" w:type="dxa"/>
          </w:tcPr>
          <w:p w14:paraId="6C03F555" w14:textId="77777777" w:rsidR="00D40B8D" w:rsidRPr="004D05E9" w:rsidRDefault="0054271F" w:rsidP="00D40B8D">
            <w:r w:rsidRPr="004D05E9">
              <w:t xml:space="preserve">5B Regular Class </w:t>
            </w:r>
            <w:r w:rsidR="008164AA" w:rsidRPr="004D05E9">
              <w:t>L</w:t>
            </w:r>
            <w:r w:rsidRPr="004D05E9">
              <w:t xml:space="preserve">ess than 40 </w:t>
            </w:r>
            <w:r w:rsidR="008164AA" w:rsidRPr="004D05E9">
              <w:t>P</w:t>
            </w:r>
            <w:r w:rsidRPr="004D05E9">
              <w:t xml:space="preserve">ercent </w:t>
            </w:r>
          </w:p>
        </w:tc>
        <w:tc>
          <w:tcPr>
            <w:tcW w:w="1980" w:type="dxa"/>
            <w:vAlign w:val="bottom"/>
          </w:tcPr>
          <w:p w14:paraId="6EE7AFD8" w14:textId="585E1A7D" w:rsidR="00D40B8D" w:rsidRPr="004D05E9" w:rsidRDefault="00935FD0" w:rsidP="00935FD0">
            <w:pPr>
              <w:jc w:val="center"/>
            </w:pPr>
            <w:r w:rsidRPr="004D05E9">
              <w:rPr>
                <w:rFonts w:cs="Arial"/>
              </w:rPr>
              <w:t>≤</w:t>
            </w:r>
            <w:r w:rsidR="0054271F" w:rsidRPr="004D05E9">
              <w:t>2</w:t>
            </w:r>
            <w:r w:rsidR="002F49D7" w:rsidRPr="004D05E9">
              <w:t>0</w:t>
            </w:r>
            <w:r w:rsidR="0054271F" w:rsidRPr="004D05E9">
              <w:t>.6%</w:t>
            </w:r>
          </w:p>
        </w:tc>
        <w:tc>
          <w:tcPr>
            <w:tcW w:w="1710" w:type="dxa"/>
            <w:vAlign w:val="bottom"/>
          </w:tcPr>
          <w:p w14:paraId="4951D5F3" w14:textId="75C08DD6" w:rsidR="00D40B8D" w:rsidRPr="004D05E9" w:rsidRDefault="002F49D7" w:rsidP="00935FD0">
            <w:pPr>
              <w:jc w:val="center"/>
            </w:pPr>
            <w:r w:rsidRPr="004D05E9">
              <w:t>18.20</w:t>
            </w:r>
            <w:r w:rsidR="00935FD0" w:rsidRPr="004D05E9">
              <w:t>%</w:t>
            </w:r>
          </w:p>
        </w:tc>
        <w:tc>
          <w:tcPr>
            <w:tcW w:w="1080" w:type="dxa"/>
            <w:vAlign w:val="bottom"/>
          </w:tcPr>
          <w:p w14:paraId="63899514" w14:textId="77777777" w:rsidR="00D40B8D" w:rsidRPr="004D05E9" w:rsidRDefault="007728D4" w:rsidP="00935FD0">
            <w:pPr>
              <w:jc w:val="center"/>
            </w:pPr>
            <w:r w:rsidRPr="004D05E9">
              <w:t>Yes</w:t>
            </w:r>
          </w:p>
        </w:tc>
        <w:tc>
          <w:tcPr>
            <w:tcW w:w="1710" w:type="dxa"/>
            <w:vAlign w:val="bottom"/>
          </w:tcPr>
          <w:p w14:paraId="30291D3F" w14:textId="65214806" w:rsidR="00D40B8D" w:rsidRPr="004D05E9" w:rsidRDefault="00535229" w:rsidP="000B3641">
            <w:pPr>
              <w:jc w:val="center"/>
            </w:pPr>
            <w:r w:rsidRPr="004D05E9">
              <w:t>-</w:t>
            </w:r>
            <w:r w:rsidR="002F49D7" w:rsidRPr="004D05E9">
              <w:t>1.33</w:t>
            </w:r>
            <w:r w:rsidR="00935FD0" w:rsidRPr="004D05E9">
              <w:t>%</w:t>
            </w:r>
          </w:p>
        </w:tc>
      </w:tr>
      <w:tr w:rsidR="00D40B8D" w:rsidRPr="004D05E9" w14:paraId="56B5B36D" w14:textId="77777777" w:rsidTr="00BC295E">
        <w:trPr>
          <w:cantSplit/>
        </w:trPr>
        <w:tc>
          <w:tcPr>
            <w:tcW w:w="3415" w:type="dxa"/>
          </w:tcPr>
          <w:p w14:paraId="0ECBD9CC" w14:textId="77777777" w:rsidR="00D40B8D" w:rsidRPr="004D05E9" w:rsidRDefault="0054271F" w:rsidP="00D40B8D">
            <w:r w:rsidRPr="004D05E9">
              <w:t xml:space="preserve">5C Separate </w:t>
            </w:r>
            <w:r w:rsidR="008164AA" w:rsidRPr="004D05E9">
              <w:t>S</w:t>
            </w:r>
            <w:r w:rsidRPr="004D05E9">
              <w:t xml:space="preserve">chools, </w:t>
            </w:r>
            <w:r w:rsidR="008164AA" w:rsidRPr="004D05E9">
              <w:t>R</w:t>
            </w:r>
            <w:r w:rsidRPr="004D05E9">
              <w:t xml:space="preserve">esidential </w:t>
            </w:r>
            <w:r w:rsidR="008164AA" w:rsidRPr="004D05E9">
              <w:t>F</w:t>
            </w:r>
            <w:r w:rsidRPr="004D05E9">
              <w:t xml:space="preserve">acilitates, or </w:t>
            </w:r>
            <w:r w:rsidR="008164AA" w:rsidRPr="004D05E9">
              <w:t>H</w:t>
            </w:r>
            <w:r w:rsidRPr="004D05E9">
              <w:t>omebound/</w:t>
            </w:r>
            <w:r w:rsidR="008164AA" w:rsidRPr="004D05E9">
              <w:t>H</w:t>
            </w:r>
            <w:r w:rsidRPr="004D05E9">
              <w:t xml:space="preserve">ospital </w:t>
            </w:r>
            <w:r w:rsidR="008164AA" w:rsidRPr="004D05E9">
              <w:t>P</w:t>
            </w:r>
            <w:r w:rsidRPr="004D05E9">
              <w:t>lacements</w:t>
            </w:r>
          </w:p>
        </w:tc>
        <w:tc>
          <w:tcPr>
            <w:tcW w:w="1980" w:type="dxa"/>
            <w:vAlign w:val="bottom"/>
          </w:tcPr>
          <w:p w14:paraId="3D6F253A" w14:textId="2E84AF12" w:rsidR="00D40B8D" w:rsidRPr="004D05E9" w:rsidRDefault="00935FD0" w:rsidP="00935FD0">
            <w:pPr>
              <w:jc w:val="center"/>
            </w:pPr>
            <w:r w:rsidRPr="004D05E9">
              <w:rPr>
                <w:rFonts w:cs="Arial"/>
              </w:rPr>
              <w:t>≤</w:t>
            </w:r>
            <w:r w:rsidR="00AB058B" w:rsidRPr="004D05E9">
              <w:t>3.</w:t>
            </w:r>
            <w:r w:rsidR="002F49D7" w:rsidRPr="004D05E9">
              <w:t>6</w:t>
            </w:r>
            <w:r w:rsidR="0054271F" w:rsidRPr="004D05E9">
              <w:t>%</w:t>
            </w:r>
          </w:p>
        </w:tc>
        <w:tc>
          <w:tcPr>
            <w:tcW w:w="1710" w:type="dxa"/>
            <w:vAlign w:val="bottom"/>
          </w:tcPr>
          <w:p w14:paraId="6BF3EBCC" w14:textId="333D15F0" w:rsidR="00D40B8D" w:rsidRPr="004D05E9" w:rsidRDefault="00327849" w:rsidP="00935FD0">
            <w:pPr>
              <w:jc w:val="center"/>
            </w:pPr>
            <w:r w:rsidRPr="004D05E9">
              <w:t>3.1</w:t>
            </w:r>
            <w:r w:rsidR="002F49D7" w:rsidRPr="004D05E9">
              <w:t>8</w:t>
            </w:r>
            <w:r w:rsidR="00935FD0" w:rsidRPr="004D05E9">
              <w:t>%</w:t>
            </w:r>
          </w:p>
        </w:tc>
        <w:tc>
          <w:tcPr>
            <w:tcW w:w="1080" w:type="dxa"/>
            <w:vAlign w:val="bottom"/>
          </w:tcPr>
          <w:p w14:paraId="07A9E720" w14:textId="77777777" w:rsidR="00D40B8D" w:rsidRPr="004D05E9" w:rsidRDefault="007728D4" w:rsidP="00935FD0">
            <w:pPr>
              <w:jc w:val="center"/>
            </w:pPr>
            <w:r w:rsidRPr="004D05E9">
              <w:t>Yes</w:t>
            </w:r>
          </w:p>
        </w:tc>
        <w:tc>
          <w:tcPr>
            <w:tcW w:w="1710" w:type="dxa"/>
            <w:vAlign w:val="bottom"/>
          </w:tcPr>
          <w:p w14:paraId="1C146D66" w14:textId="63F554E7" w:rsidR="00D40B8D" w:rsidRPr="004D05E9" w:rsidRDefault="002F49D7" w:rsidP="000B3641">
            <w:pPr>
              <w:jc w:val="center"/>
            </w:pPr>
            <w:r w:rsidRPr="004D05E9">
              <w:t>+0.08</w:t>
            </w:r>
            <w:r w:rsidR="00935FD0" w:rsidRPr="004D05E9">
              <w:t>%</w:t>
            </w:r>
          </w:p>
        </w:tc>
      </w:tr>
      <w:tr w:rsidR="00D40B8D" w:rsidRPr="004D05E9" w14:paraId="120CA029" w14:textId="77777777" w:rsidTr="001845FE">
        <w:trPr>
          <w:cantSplit/>
          <w:trHeight w:val="836"/>
        </w:trPr>
        <w:tc>
          <w:tcPr>
            <w:tcW w:w="3415" w:type="dxa"/>
          </w:tcPr>
          <w:p w14:paraId="13B1407B" w14:textId="77777777" w:rsidR="00D40B8D" w:rsidRPr="004D05E9" w:rsidRDefault="0054271F" w:rsidP="00D40B8D">
            <w:r w:rsidRPr="004D05E9">
              <w:lastRenderedPageBreak/>
              <w:t>6 Preschool Least Restrictive Environments</w:t>
            </w:r>
          </w:p>
        </w:tc>
        <w:tc>
          <w:tcPr>
            <w:tcW w:w="1980" w:type="dxa"/>
            <w:shd w:val="clear" w:color="auto" w:fill="auto"/>
            <w:vAlign w:val="bottom"/>
          </w:tcPr>
          <w:p w14:paraId="12036708" w14:textId="27361412" w:rsidR="00D40B8D" w:rsidRPr="004D05E9" w:rsidRDefault="001845FE" w:rsidP="00935FD0">
            <w:pPr>
              <w:jc w:val="center"/>
            </w:pPr>
            <w:r>
              <w:t>N/A</w:t>
            </w:r>
          </w:p>
        </w:tc>
        <w:tc>
          <w:tcPr>
            <w:tcW w:w="1710" w:type="dxa"/>
            <w:shd w:val="clear" w:color="auto" w:fill="auto"/>
            <w:vAlign w:val="bottom"/>
          </w:tcPr>
          <w:p w14:paraId="27946829" w14:textId="60ACC3DD" w:rsidR="00D40B8D" w:rsidRPr="004D05E9" w:rsidRDefault="001845FE" w:rsidP="00935FD0">
            <w:pPr>
              <w:jc w:val="center"/>
            </w:pPr>
            <w:r>
              <w:t>N/A</w:t>
            </w:r>
          </w:p>
        </w:tc>
        <w:tc>
          <w:tcPr>
            <w:tcW w:w="1080" w:type="dxa"/>
            <w:shd w:val="clear" w:color="auto" w:fill="auto"/>
            <w:vAlign w:val="bottom"/>
          </w:tcPr>
          <w:p w14:paraId="036CC6F6" w14:textId="5EE2E082" w:rsidR="00D40B8D" w:rsidRPr="004D05E9" w:rsidRDefault="001845FE" w:rsidP="00935FD0">
            <w:pPr>
              <w:jc w:val="center"/>
            </w:pPr>
            <w:r>
              <w:t>N/A</w:t>
            </w:r>
          </w:p>
        </w:tc>
        <w:tc>
          <w:tcPr>
            <w:tcW w:w="1710" w:type="dxa"/>
            <w:shd w:val="clear" w:color="auto" w:fill="auto"/>
            <w:vAlign w:val="bottom"/>
          </w:tcPr>
          <w:p w14:paraId="7F198B94" w14:textId="40CBB24B" w:rsidR="00D40B8D" w:rsidRPr="004D05E9" w:rsidRDefault="001845FE" w:rsidP="00935FD0">
            <w:pPr>
              <w:jc w:val="center"/>
            </w:pPr>
            <w:r>
              <w:t>N/A</w:t>
            </w:r>
          </w:p>
        </w:tc>
      </w:tr>
      <w:tr w:rsidR="00D40B8D" w:rsidRPr="004D05E9" w14:paraId="0195120E" w14:textId="77777777" w:rsidTr="001845FE">
        <w:trPr>
          <w:cantSplit/>
        </w:trPr>
        <w:tc>
          <w:tcPr>
            <w:tcW w:w="3415" w:type="dxa"/>
          </w:tcPr>
          <w:p w14:paraId="0968EDE2" w14:textId="77777777" w:rsidR="00D40B8D" w:rsidRPr="004D05E9" w:rsidRDefault="00902E54" w:rsidP="00D40B8D">
            <w:r w:rsidRPr="004D05E9">
              <w:t>6A Regular Preschool</w:t>
            </w:r>
          </w:p>
        </w:tc>
        <w:tc>
          <w:tcPr>
            <w:tcW w:w="1980" w:type="dxa"/>
            <w:shd w:val="clear" w:color="auto" w:fill="auto"/>
            <w:vAlign w:val="bottom"/>
          </w:tcPr>
          <w:p w14:paraId="197AB84B" w14:textId="2006BD49" w:rsidR="00D40B8D" w:rsidRPr="004D05E9" w:rsidRDefault="00935FD0" w:rsidP="00935FD0">
            <w:pPr>
              <w:jc w:val="center"/>
            </w:pPr>
            <w:r w:rsidRPr="004D05E9">
              <w:rPr>
                <w:rFonts w:cs="Arial"/>
                <w:sz w:val="20"/>
                <w:szCs w:val="20"/>
              </w:rPr>
              <w:t>&gt;</w:t>
            </w:r>
            <w:r w:rsidR="00902E54" w:rsidRPr="004D05E9">
              <w:t>3</w:t>
            </w:r>
            <w:r w:rsidR="00D9742D" w:rsidRPr="004D05E9">
              <w:t>6</w:t>
            </w:r>
            <w:r w:rsidR="00902E54" w:rsidRPr="004D05E9">
              <w:t>.9%</w:t>
            </w:r>
          </w:p>
        </w:tc>
        <w:tc>
          <w:tcPr>
            <w:tcW w:w="1710" w:type="dxa"/>
            <w:shd w:val="clear" w:color="auto" w:fill="auto"/>
            <w:vAlign w:val="bottom"/>
          </w:tcPr>
          <w:p w14:paraId="13FCC9C6" w14:textId="09706811" w:rsidR="00D40B8D" w:rsidRPr="004D05E9" w:rsidRDefault="00D851C9" w:rsidP="00935FD0">
            <w:pPr>
              <w:jc w:val="center"/>
            </w:pPr>
            <w:r w:rsidRPr="004D05E9">
              <w:t>34.45</w:t>
            </w:r>
            <w:r w:rsidR="00935FD0" w:rsidRPr="004D05E9">
              <w:t>%</w:t>
            </w:r>
          </w:p>
        </w:tc>
        <w:tc>
          <w:tcPr>
            <w:tcW w:w="1080" w:type="dxa"/>
            <w:shd w:val="clear" w:color="auto" w:fill="auto"/>
            <w:vAlign w:val="bottom"/>
          </w:tcPr>
          <w:p w14:paraId="63D57111" w14:textId="59947CE0" w:rsidR="00D40B8D" w:rsidRPr="004D05E9" w:rsidRDefault="002E63CD" w:rsidP="00935FD0">
            <w:pPr>
              <w:jc w:val="center"/>
            </w:pPr>
            <w:r w:rsidRPr="004D05E9">
              <w:t>No</w:t>
            </w:r>
          </w:p>
        </w:tc>
        <w:tc>
          <w:tcPr>
            <w:tcW w:w="1710" w:type="dxa"/>
            <w:shd w:val="clear" w:color="auto" w:fill="auto"/>
            <w:vAlign w:val="bottom"/>
          </w:tcPr>
          <w:p w14:paraId="0E5F859A" w14:textId="15AB1067" w:rsidR="00D40B8D" w:rsidRPr="004D05E9" w:rsidRDefault="00535229" w:rsidP="00935FD0">
            <w:pPr>
              <w:jc w:val="center"/>
            </w:pPr>
            <w:r w:rsidRPr="004D05E9">
              <w:t>-</w:t>
            </w:r>
            <w:r w:rsidR="00D851C9" w:rsidRPr="004D05E9">
              <w:t>2.05</w:t>
            </w:r>
            <w:r w:rsidR="00935FD0" w:rsidRPr="004D05E9">
              <w:t>%</w:t>
            </w:r>
          </w:p>
        </w:tc>
      </w:tr>
      <w:tr w:rsidR="00D40B8D" w:rsidRPr="004D05E9" w14:paraId="52112C8F" w14:textId="77777777" w:rsidTr="001845FE">
        <w:trPr>
          <w:cantSplit/>
        </w:trPr>
        <w:tc>
          <w:tcPr>
            <w:tcW w:w="3415" w:type="dxa"/>
          </w:tcPr>
          <w:p w14:paraId="4EE263E6" w14:textId="77777777" w:rsidR="00D40B8D" w:rsidRPr="004D05E9" w:rsidRDefault="00902E54" w:rsidP="00D40B8D">
            <w:r w:rsidRPr="004D05E9">
              <w:t xml:space="preserve">6B Separate Schools or </w:t>
            </w:r>
            <w:r w:rsidR="008164AA" w:rsidRPr="004D05E9">
              <w:t>C</w:t>
            </w:r>
            <w:r w:rsidRPr="004D05E9">
              <w:t>lasses</w:t>
            </w:r>
          </w:p>
        </w:tc>
        <w:tc>
          <w:tcPr>
            <w:tcW w:w="1980" w:type="dxa"/>
            <w:shd w:val="clear" w:color="auto" w:fill="auto"/>
            <w:vAlign w:val="bottom"/>
          </w:tcPr>
          <w:p w14:paraId="5E1F4CF7" w14:textId="1B7D4E62" w:rsidR="00D40B8D" w:rsidRPr="004D05E9" w:rsidRDefault="00935FD0" w:rsidP="00935FD0">
            <w:pPr>
              <w:jc w:val="center"/>
            </w:pPr>
            <w:r w:rsidRPr="004D05E9">
              <w:rPr>
                <w:rFonts w:cs="Arial"/>
                <w:sz w:val="20"/>
                <w:szCs w:val="20"/>
              </w:rPr>
              <w:t>&lt;</w:t>
            </w:r>
            <w:r w:rsidR="00902E54" w:rsidRPr="004D05E9">
              <w:t>3</w:t>
            </w:r>
            <w:r w:rsidR="00D9742D" w:rsidRPr="004D05E9">
              <w:t>0</w:t>
            </w:r>
            <w:r w:rsidR="00902E54" w:rsidRPr="004D05E9">
              <w:t>.4%</w:t>
            </w:r>
          </w:p>
        </w:tc>
        <w:tc>
          <w:tcPr>
            <w:tcW w:w="1710" w:type="dxa"/>
            <w:shd w:val="clear" w:color="auto" w:fill="auto"/>
            <w:vAlign w:val="bottom"/>
          </w:tcPr>
          <w:p w14:paraId="71D87FF0" w14:textId="1698DD1E" w:rsidR="00D40B8D" w:rsidRPr="004D05E9" w:rsidRDefault="00D851C9" w:rsidP="00935FD0">
            <w:pPr>
              <w:jc w:val="center"/>
            </w:pPr>
            <w:r w:rsidRPr="004D05E9">
              <w:t>35.76</w:t>
            </w:r>
            <w:r w:rsidR="00935FD0" w:rsidRPr="004D05E9">
              <w:t>%</w:t>
            </w:r>
          </w:p>
        </w:tc>
        <w:tc>
          <w:tcPr>
            <w:tcW w:w="1080" w:type="dxa"/>
            <w:shd w:val="clear" w:color="auto" w:fill="auto"/>
            <w:vAlign w:val="bottom"/>
          </w:tcPr>
          <w:p w14:paraId="19B0FCB9" w14:textId="77777777" w:rsidR="00D40B8D" w:rsidRPr="004D05E9" w:rsidRDefault="007728D4" w:rsidP="00935FD0">
            <w:pPr>
              <w:jc w:val="center"/>
            </w:pPr>
            <w:r w:rsidRPr="004D05E9">
              <w:t>No</w:t>
            </w:r>
          </w:p>
        </w:tc>
        <w:tc>
          <w:tcPr>
            <w:tcW w:w="1710" w:type="dxa"/>
            <w:shd w:val="clear" w:color="auto" w:fill="auto"/>
            <w:vAlign w:val="bottom"/>
          </w:tcPr>
          <w:p w14:paraId="35DBF34A" w14:textId="56349586" w:rsidR="00D40B8D" w:rsidRPr="004D05E9" w:rsidRDefault="002E63CD" w:rsidP="00935FD0">
            <w:pPr>
              <w:jc w:val="center"/>
            </w:pPr>
            <w:r w:rsidRPr="004D05E9">
              <w:t>+</w:t>
            </w:r>
            <w:r w:rsidR="00D851C9" w:rsidRPr="004D05E9">
              <w:t>1.96</w:t>
            </w:r>
            <w:r w:rsidR="00935FD0" w:rsidRPr="004D05E9">
              <w:t>%</w:t>
            </w:r>
          </w:p>
        </w:tc>
      </w:tr>
      <w:tr w:rsidR="00D40B8D" w:rsidRPr="004D05E9" w14:paraId="57175C30" w14:textId="77777777" w:rsidTr="001845FE">
        <w:trPr>
          <w:cantSplit/>
        </w:trPr>
        <w:tc>
          <w:tcPr>
            <w:tcW w:w="3415" w:type="dxa"/>
          </w:tcPr>
          <w:p w14:paraId="77E73925" w14:textId="77777777" w:rsidR="00D40B8D" w:rsidRPr="004D05E9" w:rsidRDefault="00902E54" w:rsidP="00D40B8D">
            <w:r w:rsidRPr="004D05E9">
              <w:t>7 Preschool Assessment</w:t>
            </w:r>
          </w:p>
        </w:tc>
        <w:tc>
          <w:tcPr>
            <w:tcW w:w="1980" w:type="dxa"/>
            <w:shd w:val="clear" w:color="auto" w:fill="auto"/>
            <w:vAlign w:val="bottom"/>
          </w:tcPr>
          <w:p w14:paraId="7C88406A" w14:textId="6183C3A2" w:rsidR="00D40B8D" w:rsidRPr="004D05E9" w:rsidRDefault="001845FE" w:rsidP="00935FD0">
            <w:pPr>
              <w:jc w:val="center"/>
            </w:pPr>
            <w:r>
              <w:t>N/A</w:t>
            </w:r>
          </w:p>
        </w:tc>
        <w:tc>
          <w:tcPr>
            <w:tcW w:w="1710" w:type="dxa"/>
            <w:shd w:val="clear" w:color="auto" w:fill="auto"/>
            <w:vAlign w:val="bottom"/>
          </w:tcPr>
          <w:p w14:paraId="121C2C01" w14:textId="16F4F645" w:rsidR="00D40B8D" w:rsidRPr="004D05E9" w:rsidRDefault="001845FE" w:rsidP="00935FD0">
            <w:pPr>
              <w:jc w:val="center"/>
            </w:pPr>
            <w:r>
              <w:t>N/A</w:t>
            </w:r>
          </w:p>
        </w:tc>
        <w:tc>
          <w:tcPr>
            <w:tcW w:w="1080" w:type="dxa"/>
            <w:shd w:val="clear" w:color="auto" w:fill="auto"/>
            <w:vAlign w:val="bottom"/>
          </w:tcPr>
          <w:p w14:paraId="5DD0E1D3" w14:textId="4E98756E" w:rsidR="00D40B8D" w:rsidRPr="004D05E9" w:rsidRDefault="001845FE" w:rsidP="00935FD0">
            <w:pPr>
              <w:jc w:val="center"/>
            </w:pPr>
            <w:r>
              <w:t>N/A</w:t>
            </w:r>
          </w:p>
        </w:tc>
        <w:tc>
          <w:tcPr>
            <w:tcW w:w="1710" w:type="dxa"/>
            <w:shd w:val="clear" w:color="auto" w:fill="auto"/>
            <w:vAlign w:val="bottom"/>
          </w:tcPr>
          <w:p w14:paraId="31745616" w14:textId="49DDD7EC" w:rsidR="00D40B8D" w:rsidRPr="004D05E9" w:rsidRDefault="001845FE" w:rsidP="00935FD0">
            <w:pPr>
              <w:jc w:val="center"/>
            </w:pPr>
            <w:r>
              <w:t>N/A</w:t>
            </w:r>
          </w:p>
        </w:tc>
      </w:tr>
      <w:tr w:rsidR="00D40B8D" w:rsidRPr="004D05E9" w14:paraId="3D9D484B" w14:textId="77777777" w:rsidTr="001845FE">
        <w:trPr>
          <w:cantSplit/>
        </w:trPr>
        <w:tc>
          <w:tcPr>
            <w:tcW w:w="3415" w:type="dxa"/>
          </w:tcPr>
          <w:p w14:paraId="3638813E" w14:textId="77777777" w:rsidR="00D40B8D" w:rsidRPr="004D05E9" w:rsidRDefault="00902E54" w:rsidP="00902E54">
            <w:r w:rsidRPr="004D05E9">
              <w:t>7A Positive Social-Emotional Skills</w:t>
            </w:r>
          </w:p>
        </w:tc>
        <w:tc>
          <w:tcPr>
            <w:tcW w:w="1980" w:type="dxa"/>
            <w:shd w:val="clear" w:color="auto" w:fill="auto"/>
            <w:vAlign w:val="bottom"/>
          </w:tcPr>
          <w:p w14:paraId="30C2FF44" w14:textId="28F92405" w:rsidR="00D40B8D" w:rsidRPr="004D05E9" w:rsidRDefault="00902E54" w:rsidP="00935FD0">
            <w:pPr>
              <w:jc w:val="center"/>
            </w:pPr>
            <w:r w:rsidRPr="004D05E9">
              <w:t>8</w:t>
            </w:r>
            <w:r w:rsidR="00F53FF7" w:rsidRPr="004D05E9">
              <w:t>5</w:t>
            </w:r>
            <w:r w:rsidRPr="004D05E9">
              <w:t>.2%/</w:t>
            </w:r>
            <w:r w:rsidR="00AB058B" w:rsidRPr="004D05E9">
              <w:t>8</w:t>
            </w:r>
            <w:r w:rsidR="00F53FF7" w:rsidRPr="004D05E9">
              <w:t>1</w:t>
            </w:r>
            <w:r w:rsidRPr="004D05E9">
              <w:t>.5%</w:t>
            </w:r>
          </w:p>
        </w:tc>
        <w:tc>
          <w:tcPr>
            <w:tcW w:w="1710" w:type="dxa"/>
            <w:shd w:val="clear" w:color="auto" w:fill="auto"/>
            <w:vAlign w:val="bottom"/>
          </w:tcPr>
          <w:p w14:paraId="43C7A214" w14:textId="55305265" w:rsidR="00D40B8D" w:rsidRPr="004D05E9" w:rsidRDefault="00BC295E" w:rsidP="00935FD0">
            <w:pPr>
              <w:jc w:val="center"/>
            </w:pPr>
            <w:r w:rsidRPr="004D05E9">
              <w:rPr>
                <w:rFonts w:cs="Arial"/>
              </w:rPr>
              <w:t>79.5%/76.8%</w:t>
            </w:r>
          </w:p>
        </w:tc>
        <w:tc>
          <w:tcPr>
            <w:tcW w:w="1080" w:type="dxa"/>
            <w:shd w:val="clear" w:color="auto" w:fill="auto"/>
            <w:vAlign w:val="bottom"/>
          </w:tcPr>
          <w:p w14:paraId="5CA1B2F4" w14:textId="209F0694" w:rsidR="00D40B8D" w:rsidRPr="004D05E9" w:rsidRDefault="00B94B64" w:rsidP="00935FD0">
            <w:pPr>
              <w:jc w:val="center"/>
            </w:pPr>
            <w:r w:rsidRPr="004D05E9">
              <w:t>No</w:t>
            </w:r>
            <w:r w:rsidR="00BC295E" w:rsidRPr="004D05E9">
              <w:t>/No</w:t>
            </w:r>
          </w:p>
        </w:tc>
        <w:tc>
          <w:tcPr>
            <w:tcW w:w="1710" w:type="dxa"/>
            <w:shd w:val="clear" w:color="auto" w:fill="auto"/>
            <w:vAlign w:val="bottom"/>
          </w:tcPr>
          <w:p w14:paraId="425B24BD" w14:textId="71CBD4C5" w:rsidR="00D40B8D" w:rsidRPr="004D05E9" w:rsidRDefault="00BC295E" w:rsidP="00935FD0">
            <w:pPr>
              <w:jc w:val="center"/>
            </w:pPr>
            <w:r w:rsidRPr="004D05E9">
              <w:rPr>
                <w:rFonts w:cs="Arial"/>
              </w:rPr>
              <w:t>+3.5%/+0.1%</w:t>
            </w:r>
          </w:p>
        </w:tc>
      </w:tr>
      <w:tr w:rsidR="00BC295E" w:rsidRPr="004D05E9" w14:paraId="778464CE" w14:textId="77777777" w:rsidTr="001845FE">
        <w:trPr>
          <w:cantSplit/>
        </w:trPr>
        <w:tc>
          <w:tcPr>
            <w:tcW w:w="3415" w:type="dxa"/>
          </w:tcPr>
          <w:p w14:paraId="55EB32B9" w14:textId="77777777" w:rsidR="00BC295E" w:rsidRPr="004D05E9" w:rsidRDefault="00BC295E" w:rsidP="00BC295E">
            <w:r w:rsidRPr="004D05E9">
              <w:t>7B Use of Knowledge and Skills</w:t>
            </w:r>
          </w:p>
        </w:tc>
        <w:tc>
          <w:tcPr>
            <w:tcW w:w="1980" w:type="dxa"/>
            <w:shd w:val="clear" w:color="auto" w:fill="auto"/>
            <w:vAlign w:val="bottom"/>
          </w:tcPr>
          <w:p w14:paraId="3B05B601" w14:textId="7215F16D" w:rsidR="00BC295E" w:rsidRPr="004D05E9" w:rsidRDefault="00BC295E" w:rsidP="00BC295E">
            <w:pPr>
              <w:jc w:val="center"/>
            </w:pPr>
            <w:r w:rsidRPr="004D05E9">
              <w:t>82.7%/80.57%</w:t>
            </w:r>
          </w:p>
        </w:tc>
        <w:tc>
          <w:tcPr>
            <w:tcW w:w="1710" w:type="dxa"/>
            <w:shd w:val="clear" w:color="auto" w:fill="auto"/>
            <w:vAlign w:val="bottom"/>
          </w:tcPr>
          <w:p w14:paraId="65241330" w14:textId="51BEEE14" w:rsidR="00BC295E" w:rsidRPr="004D05E9" w:rsidRDefault="00BC295E" w:rsidP="00BC295E">
            <w:pPr>
              <w:jc w:val="center"/>
            </w:pPr>
            <w:r w:rsidRPr="004D05E9">
              <w:rPr>
                <w:rFonts w:cs="Arial"/>
              </w:rPr>
              <w:t>78.1%/76.4%</w:t>
            </w:r>
          </w:p>
        </w:tc>
        <w:tc>
          <w:tcPr>
            <w:tcW w:w="1080" w:type="dxa"/>
            <w:shd w:val="clear" w:color="auto" w:fill="auto"/>
            <w:vAlign w:val="bottom"/>
          </w:tcPr>
          <w:p w14:paraId="3400F593" w14:textId="3A44825F" w:rsidR="00BC295E" w:rsidRPr="004D05E9" w:rsidRDefault="00BC295E" w:rsidP="00BC295E">
            <w:pPr>
              <w:jc w:val="center"/>
            </w:pPr>
            <w:r w:rsidRPr="004D05E9">
              <w:t>No/No</w:t>
            </w:r>
          </w:p>
        </w:tc>
        <w:tc>
          <w:tcPr>
            <w:tcW w:w="1710" w:type="dxa"/>
            <w:shd w:val="clear" w:color="auto" w:fill="auto"/>
            <w:vAlign w:val="bottom"/>
          </w:tcPr>
          <w:p w14:paraId="23D9D9C7" w14:textId="744B2B44" w:rsidR="00BC295E" w:rsidRPr="004D05E9" w:rsidRDefault="00BC295E" w:rsidP="00BC295E">
            <w:pPr>
              <w:jc w:val="center"/>
            </w:pPr>
            <w:r w:rsidRPr="004D05E9">
              <w:rPr>
                <w:rFonts w:cs="Arial"/>
              </w:rPr>
              <w:t>+2.9%/+0.2%</w:t>
            </w:r>
          </w:p>
        </w:tc>
      </w:tr>
      <w:tr w:rsidR="00BC295E" w:rsidRPr="004D05E9" w14:paraId="72B58A2E" w14:textId="77777777" w:rsidTr="001845FE">
        <w:trPr>
          <w:cantSplit/>
        </w:trPr>
        <w:tc>
          <w:tcPr>
            <w:tcW w:w="3415" w:type="dxa"/>
          </w:tcPr>
          <w:p w14:paraId="2D1C37E9" w14:textId="77777777" w:rsidR="00BC295E" w:rsidRPr="004D05E9" w:rsidRDefault="00BC295E" w:rsidP="00BC295E">
            <w:r w:rsidRPr="004D05E9">
              <w:t>7C Use of Appropriate Behaviors</w:t>
            </w:r>
          </w:p>
        </w:tc>
        <w:tc>
          <w:tcPr>
            <w:tcW w:w="1980" w:type="dxa"/>
            <w:shd w:val="clear" w:color="auto" w:fill="auto"/>
            <w:vAlign w:val="bottom"/>
          </w:tcPr>
          <w:p w14:paraId="2E99AFE6" w14:textId="09EF625B" w:rsidR="00BC295E" w:rsidRPr="004D05E9" w:rsidRDefault="00BC295E" w:rsidP="00BC295E">
            <w:pPr>
              <w:jc w:val="center"/>
            </w:pPr>
            <w:r w:rsidRPr="004D05E9">
              <w:t>76.70%/79.45%</w:t>
            </w:r>
          </w:p>
        </w:tc>
        <w:tc>
          <w:tcPr>
            <w:tcW w:w="1710" w:type="dxa"/>
            <w:shd w:val="clear" w:color="auto" w:fill="auto"/>
            <w:vAlign w:val="bottom"/>
          </w:tcPr>
          <w:p w14:paraId="58FDE49E" w14:textId="0A4A568C" w:rsidR="00BC295E" w:rsidRPr="004D05E9" w:rsidRDefault="00BC295E" w:rsidP="00BC295E">
            <w:pPr>
              <w:jc w:val="center"/>
            </w:pPr>
            <w:r w:rsidRPr="004D05E9">
              <w:rPr>
                <w:rFonts w:cs="Arial"/>
              </w:rPr>
              <w:t>79.4%/77.8%</w:t>
            </w:r>
          </w:p>
        </w:tc>
        <w:tc>
          <w:tcPr>
            <w:tcW w:w="1080" w:type="dxa"/>
            <w:shd w:val="clear" w:color="auto" w:fill="auto"/>
            <w:vAlign w:val="bottom"/>
          </w:tcPr>
          <w:p w14:paraId="1F3867FA" w14:textId="7E5ADC07" w:rsidR="00BC295E" w:rsidRPr="004D05E9" w:rsidRDefault="00BC295E" w:rsidP="00BC295E">
            <w:pPr>
              <w:jc w:val="center"/>
            </w:pPr>
            <w:r w:rsidRPr="004D05E9">
              <w:t>Yes/No</w:t>
            </w:r>
          </w:p>
        </w:tc>
        <w:tc>
          <w:tcPr>
            <w:tcW w:w="1710" w:type="dxa"/>
            <w:shd w:val="clear" w:color="auto" w:fill="auto"/>
            <w:vAlign w:val="bottom"/>
          </w:tcPr>
          <w:p w14:paraId="51F9AED9" w14:textId="57B42AAD" w:rsidR="00BC295E" w:rsidRPr="004D05E9" w:rsidRDefault="00BC295E" w:rsidP="00BC295E">
            <w:pPr>
              <w:jc w:val="center"/>
            </w:pPr>
            <w:r w:rsidRPr="004D05E9">
              <w:rPr>
                <w:rFonts w:cs="Arial"/>
              </w:rPr>
              <w:t>+4.0%/+1.1%</w:t>
            </w:r>
          </w:p>
        </w:tc>
      </w:tr>
      <w:tr w:rsidR="00BC295E" w:rsidRPr="004D05E9" w14:paraId="502BB9F0" w14:textId="77777777" w:rsidTr="001845FE">
        <w:trPr>
          <w:cantSplit/>
        </w:trPr>
        <w:tc>
          <w:tcPr>
            <w:tcW w:w="3415" w:type="dxa"/>
          </w:tcPr>
          <w:p w14:paraId="3982EE43" w14:textId="77777777" w:rsidR="00BC295E" w:rsidRPr="004D05E9" w:rsidRDefault="00BC295E" w:rsidP="00BC295E">
            <w:r w:rsidRPr="004D05E9">
              <w:t xml:space="preserve">8 Parent Involvement </w:t>
            </w:r>
          </w:p>
        </w:tc>
        <w:tc>
          <w:tcPr>
            <w:tcW w:w="1980" w:type="dxa"/>
            <w:shd w:val="clear" w:color="auto" w:fill="auto"/>
            <w:vAlign w:val="bottom"/>
          </w:tcPr>
          <w:p w14:paraId="6EFB5B60" w14:textId="79DA25F7" w:rsidR="00BC295E" w:rsidRPr="004D05E9" w:rsidRDefault="00BC295E" w:rsidP="00BC295E">
            <w:pPr>
              <w:jc w:val="center"/>
            </w:pPr>
            <w:r w:rsidRPr="004D05E9">
              <w:t>94.0%</w:t>
            </w:r>
          </w:p>
        </w:tc>
        <w:tc>
          <w:tcPr>
            <w:tcW w:w="1710" w:type="dxa"/>
            <w:shd w:val="clear" w:color="auto" w:fill="auto"/>
            <w:vAlign w:val="bottom"/>
          </w:tcPr>
          <w:p w14:paraId="3BED6650" w14:textId="6B1D7265" w:rsidR="00BC295E" w:rsidRPr="004D05E9" w:rsidRDefault="00BC295E" w:rsidP="00BC295E">
            <w:pPr>
              <w:jc w:val="center"/>
            </w:pPr>
            <w:r w:rsidRPr="004D05E9">
              <w:t>99.60%</w:t>
            </w:r>
          </w:p>
        </w:tc>
        <w:tc>
          <w:tcPr>
            <w:tcW w:w="1080" w:type="dxa"/>
            <w:shd w:val="clear" w:color="auto" w:fill="auto"/>
            <w:vAlign w:val="bottom"/>
          </w:tcPr>
          <w:p w14:paraId="1D7AEF65" w14:textId="77777777" w:rsidR="00BC295E" w:rsidRPr="004D05E9" w:rsidRDefault="00BC295E" w:rsidP="00BC295E">
            <w:pPr>
              <w:jc w:val="center"/>
            </w:pPr>
            <w:r w:rsidRPr="004D05E9">
              <w:t>Yes</w:t>
            </w:r>
          </w:p>
        </w:tc>
        <w:tc>
          <w:tcPr>
            <w:tcW w:w="1710" w:type="dxa"/>
            <w:shd w:val="clear" w:color="auto" w:fill="auto"/>
            <w:vAlign w:val="bottom"/>
          </w:tcPr>
          <w:p w14:paraId="103EB17D" w14:textId="1BF79D83" w:rsidR="00BC295E" w:rsidRPr="004D05E9" w:rsidRDefault="00BC295E" w:rsidP="00BC295E">
            <w:pPr>
              <w:jc w:val="center"/>
            </w:pPr>
            <w:r w:rsidRPr="004D05E9">
              <w:t>+0.03%</w:t>
            </w:r>
          </w:p>
        </w:tc>
      </w:tr>
      <w:tr w:rsidR="00BC295E" w:rsidRPr="004D05E9" w14:paraId="6621212D" w14:textId="77777777" w:rsidTr="001845FE">
        <w:trPr>
          <w:cantSplit/>
        </w:trPr>
        <w:tc>
          <w:tcPr>
            <w:tcW w:w="3415" w:type="dxa"/>
          </w:tcPr>
          <w:p w14:paraId="38890880" w14:textId="77777777" w:rsidR="00BC295E" w:rsidRPr="004D05E9" w:rsidRDefault="00BC295E" w:rsidP="00BC295E">
            <w:r w:rsidRPr="004D05E9">
              <w:t>9 Disproportionate Representation</w:t>
            </w:r>
          </w:p>
        </w:tc>
        <w:tc>
          <w:tcPr>
            <w:tcW w:w="1980" w:type="dxa"/>
            <w:shd w:val="clear" w:color="auto" w:fill="auto"/>
            <w:vAlign w:val="bottom"/>
          </w:tcPr>
          <w:p w14:paraId="7C17E7F2" w14:textId="77777777" w:rsidR="00BC295E" w:rsidRPr="004D05E9" w:rsidRDefault="00BC295E" w:rsidP="00BC295E">
            <w:pPr>
              <w:jc w:val="center"/>
            </w:pPr>
            <w:r w:rsidRPr="004D05E9">
              <w:t>0%</w:t>
            </w:r>
          </w:p>
        </w:tc>
        <w:tc>
          <w:tcPr>
            <w:tcW w:w="1710" w:type="dxa"/>
            <w:shd w:val="clear" w:color="auto" w:fill="auto"/>
            <w:vAlign w:val="bottom"/>
          </w:tcPr>
          <w:p w14:paraId="3C2A19C3" w14:textId="3CCE8A85" w:rsidR="00BC295E" w:rsidRPr="004D05E9" w:rsidRDefault="00FA0321" w:rsidP="00BC295E">
            <w:pPr>
              <w:jc w:val="center"/>
            </w:pPr>
            <w:r w:rsidRPr="004D05E9">
              <w:t>2.05%</w:t>
            </w:r>
          </w:p>
        </w:tc>
        <w:tc>
          <w:tcPr>
            <w:tcW w:w="1080" w:type="dxa"/>
            <w:shd w:val="clear" w:color="auto" w:fill="auto"/>
            <w:vAlign w:val="bottom"/>
          </w:tcPr>
          <w:p w14:paraId="362B2894" w14:textId="77777777" w:rsidR="00BC295E" w:rsidRPr="004D05E9" w:rsidRDefault="00BC295E" w:rsidP="00BC295E">
            <w:pPr>
              <w:jc w:val="center"/>
            </w:pPr>
            <w:r w:rsidRPr="004D05E9">
              <w:t>No</w:t>
            </w:r>
          </w:p>
        </w:tc>
        <w:tc>
          <w:tcPr>
            <w:tcW w:w="1710" w:type="dxa"/>
            <w:shd w:val="clear" w:color="auto" w:fill="auto"/>
            <w:vAlign w:val="bottom"/>
          </w:tcPr>
          <w:p w14:paraId="30C08E55" w14:textId="53A29F81" w:rsidR="00BC295E" w:rsidRPr="004D05E9" w:rsidRDefault="00FA0321" w:rsidP="00BC295E">
            <w:pPr>
              <w:jc w:val="center"/>
            </w:pPr>
            <w:r w:rsidRPr="004D05E9">
              <w:t>+0.45%</w:t>
            </w:r>
          </w:p>
        </w:tc>
      </w:tr>
      <w:tr w:rsidR="00BC295E" w:rsidRPr="004D05E9" w14:paraId="6A824E6D" w14:textId="77777777" w:rsidTr="001845FE">
        <w:trPr>
          <w:cantSplit/>
        </w:trPr>
        <w:tc>
          <w:tcPr>
            <w:tcW w:w="3415" w:type="dxa"/>
          </w:tcPr>
          <w:p w14:paraId="2002B46F" w14:textId="77777777" w:rsidR="00BC295E" w:rsidRPr="004D05E9" w:rsidRDefault="00BC295E" w:rsidP="00BC295E">
            <w:r w:rsidRPr="004D05E9">
              <w:t>10 Disproportional Representation by Disability Category</w:t>
            </w:r>
          </w:p>
        </w:tc>
        <w:tc>
          <w:tcPr>
            <w:tcW w:w="1980" w:type="dxa"/>
            <w:shd w:val="clear" w:color="auto" w:fill="auto"/>
            <w:vAlign w:val="bottom"/>
          </w:tcPr>
          <w:p w14:paraId="22D0CE2F" w14:textId="77777777" w:rsidR="00BC295E" w:rsidRPr="004D05E9" w:rsidRDefault="00BC295E" w:rsidP="00BC295E">
            <w:pPr>
              <w:jc w:val="center"/>
            </w:pPr>
            <w:r w:rsidRPr="004D05E9">
              <w:t>0%</w:t>
            </w:r>
          </w:p>
        </w:tc>
        <w:tc>
          <w:tcPr>
            <w:tcW w:w="1710" w:type="dxa"/>
            <w:shd w:val="clear" w:color="auto" w:fill="auto"/>
            <w:vAlign w:val="bottom"/>
          </w:tcPr>
          <w:p w14:paraId="3F829BF8" w14:textId="01846D30" w:rsidR="00BC295E" w:rsidRPr="004D05E9" w:rsidRDefault="00FA0321" w:rsidP="00BC295E">
            <w:pPr>
              <w:jc w:val="center"/>
            </w:pPr>
            <w:r w:rsidRPr="004D05E9">
              <w:t>14.11%</w:t>
            </w:r>
          </w:p>
        </w:tc>
        <w:tc>
          <w:tcPr>
            <w:tcW w:w="1080" w:type="dxa"/>
            <w:shd w:val="clear" w:color="auto" w:fill="auto"/>
            <w:vAlign w:val="bottom"/>
          </w:tcPr>
          <w:p w14:paraId="10A64A18" w14:textId="77777777" w:rsidR="00BC295E" w:rsidRPr="004D05E9" w:rsidRDefault="00BC295E" w:rsidP="00BC295E">
            <w:pPr>
              <w:jc w:val="center"/>
            </w:pPr>
            <w:r w:rsidRPr="004D05E9">
              <w:t>No</w:t>
            </w:r>
          </w:p>
        </w:tc>
        <w:tc>
          <w:tcPr>
            <w:tcW w:w="1710" w:type="dxa"/>
            <w:shd w:val="clear" w:color="auto" w:fill="auto"/>
            <w:vAlign w:val="bottom"/>
          </w:tcPr>
          <w:p w14:paraId="56753BC1" w14:textId="2106B22A" w:rsidR="00BC295E" w:rsidRPr="004D05E9" w:rsidRDefault="00FA0321" w:rsidP="00BC295E">
            <w:pPr>
              <w:jc w:val="center"/>
            </w:pPr>
            <w:r w:rsidRPr="004D05E9">
              <w:t>+4.2%</w:t>
            </w:r>
          </w:p>
        </w:tc>
      </w:tr>
      <w:tr w:rsidR="00BC295E" w:rsidRPr="004D05E9" w14:paraId="47E3A897" w14:textId="77777777" w:rsidTr="001845FE">
        <w:trPr>
          <w:cantSplit/>
        </w:trPr>
        <w:tc>
          <w:tcPr>
            <w:tcW w:w="3415" w:type="dxa"/>
          </w:tcPr>
          <w:p w14:paraId="24079A58" w14:textId="77777777" w:rsidR="00BC295E" w:rsidRPr="004D05E9" w:rsidRDefault="00BC295E" w:rsidP="00BC295E">
            <w:r w:rsidRPr="004D05E9">
              <w:t>11 Child Find</w:t>
            </w:r>
          </w:p>
        </w:tc>
        <w:tc>
          <w:tcPr>
            <w:tcW w:w="1980" w:type="dxa"/>
            <w:shd w:val="clear" w:color="auto" w:fill="auto"/>
            <w:vAlign w:val="bottom"/>
          </w:tcPr>
          <w:p w14:paraId="52B8E747" w14:textId="77777777" w:rsidR="00BC295E" w:rsidRPr="004D05E9" w:rsidRDefault="00BC295E" w:rsidP="00BC295E">
            <w:pPr>
              <w:jc w:val="center"/>
            </w:pPr>
            <w:r w:rsidRPr="004D05E9">
              <w:t>100%</w:t>
            </w:r>
          </w:p>
        </w:tc>
        <w:tc>
          <w:tcPr>
            <w:tcW w:w="1710" w:type="dxa"/>
            <w:shd w:val="clear" w:color="auto" w:fill="auto"/>
            <w:vAlign w:val="bottom"/>
          </w:tcPr>
          <w:p w14:paraId="1A8D694F" w14:textId="0872188A" w:rsidR="00BC295E" w:rsidRPr="004D05E9" w:rsidRDefault="00BC295E" w:rsidP="00BC295E">
            <w:pPr>
              <w:jc w:val="center"/>
            </w:pPr>
            <w:r w:rsidRPr="004D05E9">
              <w:t>96.22%</w:t>
            </w:r>
          </w:p>
        </w:tc>
        <w:tc>
          <w:tcPr>
            <w:tcW w:w="1080" w:type="dxa"/>
            <w:shd w:val="clear" w:color="auto" w:fill="auto"/>
            <w:vAlign w:val="bottom"/>
          </w:tcPr>
          <w:p w14:paraId="3E0DBF5C" w14:textId="77777777" w:rsidR="00BC295E" w:rsidRPr="004D05E9" w:rsidRDefault="00BC295E" w:rsidP="00BC295E">
            <w:pPr>
              <w:jc w:val="center"/>
            </w:pPr>
            <w:r w:rsidRPr="004D05E9">
              <w:t>No</w:t>
            </w:r>
          </w:p>
        </w:tc>
        <w:tc>
          <w:tcPr>
            <w:tcW w:w="1710" w:type="dxa"/>
            <w:shd w:val="clear" w:color="auto" w:fill="auto"/>
            <w:vAlign w:val="bottom"/>
          </w:tcPr>
          <w:p w14:paraId="30730716" w14:textId="1330ECC8" w:rsidR="00BC295E" w:rsidRPr="004D05E9" w:rsidRDefault="00BC295E" w:rsidP="00BC295E">
            <w:pPr>
              <w:jc w:val="center"/>
            </w:pPr>
            <w:r w:rsidRPr="004D05E9">
              <w:t>+0.05%</w:t>
            </w:r>
          </w:p>
        </w:tc>
      </w:tr>
      <w:tr w:rsidR="00BC295E" w:rsidRPr="004D05E9" w14:paraId="687DABED" w14:textId="77777777" w:rsidTr="001845FE">
        <w:trPr>
          <w:cantSplit/>
        </w:trPr>
        <w:tc>
          <w:tcPr>
            <w:tcW w:w="3415" w:type="dxa"/>
          </w:tcPr>
          <w:p w14:paraId="03C77B48" w14:textId="77777777" w:rsidR="00BC295E" w:rsidRPr="004D05E9" w:rsidRDefault="00BC295E" w:rsidP="00BC295E">
            <w:r w:rsidRPr="004D05E9">
              <w:t>12 Early Childhood Transition</w:t>
            </w:r>
          </w:p>
        </w:tc>
        <w:tc>
          <w:tcPr>
            <w:tcW w:w="1980" w:type="dxa"/>
            <w:shd w:val="clear" w:color="auto" w:fill="auto"/>
            <w:vAlign w:val="bottom"/>
          </w:tcPr>
          <w:p w14:paraId="16D12524" w14:textId="77777777" w:rsidR="00BC295E" w:rsidRPr="004D05E9" w:rsidRDefault="00BC295E" w:rsidP="00BC295E">
            <w:pPr>
              <w:jc w:val="center"/>
            </w:pPr>
            <w:r w:rsidRPr="004D05E9">
              <w:t>100%</w:t>
            </w:r>
          </w:p>
        </w:tc>
        <w:tc>
          <w:tcPr>
            <w:tcW w:w="1710" w:type="dxa"/>
            <w:shd w:val="clear" w:color="auto" w:fill="auto"/>
            <w:vAlign w:val="bottom"/>
          </w:tcPr>
          <w:p w14:paraId="708AA174" w14:textId="4555152B" w:rsidR="00BC295E" w:rsidRPr="004D05E9" w:rsidRDefault="00BC295E" w:rsidP="00BC295E">
            <w:pPr>
              <w:jc w:val="center"/>
            </w:pPr>
            <w:r w:rsidRPr="004D05E9">
              <w:t>87.63%</w:t>
            </w:r>
          </w:p>
        </w:tc>
        <w:tc>
          <w:tcPr>
            <w:tcW w:w="1080" w:type="dxa"/>
            <w:shd w:val="clear" w:color="auto" w:fill="auto"/>
            <w:vAlign w:val="bottom"/>
          </w:tcPr>
          <w:p w14:paraId="1160D502" w14:textId="77777777" w:rsidR="00BC295E" w:rsidRPr="004D05E9" w:rsidRDefault="00BC295E" w:rsidP="00BC295E">
            <w:pPr>
              <w:jc w:val="center"/>
            </w:pPr>
            <w:r w:rsidRPr="004D05E9">
              <w:t>No</w:t>
            </w:r>
          </w:p>
        </w:tc>
        <w:tc>
          <w:tcPr>
            <w:tcW w:w="1710" w:type="dxa"/>
            <w:shd w:val="clear" w:color="auto" w:fill="auto"/>
            <w:vAlign w:val="bottom"/>
          </w:tcPr>
          <w:p w14:paraId="4AD85690" w14:textId="59A97B8B" w:rsidR="00BC295E" w:rsidRPr="004D05E9" w:rsidRDefault="00BC295E" w:rsidP="00BC295E">
            <w:pPr>
              <w:jc w:val="center"/>
            </w:pPr>
            <w:r w:rsidRPr="004D05E9">
              <w:t>-1.97%</w:t>
            </w:r>
          </w:p>
        </w:tc>
      </w:tr>
      <w:tr w:rsidR="00BC295E" w:rsidRPr="004D05E9" w14:paraId="0EFD4798" w14:textId="77777777" w:rsidTr="001845FE">
        <w:trPr>
          <w:cantSplit/>
        </w:trPr>
        <w:tc>
          <w:tcPr>
            <w:tcW w:w="3415" w:type="dxa"/>
          </w:tcPr>
          <w:p w14:paraId="3839863B" w14:textId="77777777" w:rsidR="00BC295E" w:rsidRPr="004D05E9" w:rsidRDefault="00BC295E" w:rsidP="00BC295E">
            <w:r w:rsidRPr="004D05E9">
              <w:t>13 Secondary Transition</w:t>
            </w:r>
          </w:p>
        </w:tc>
        <w:tc>
          <w:tcPr>
            <w:tcW w:w="1980" w:type="dxa"/>
            <w:shd w:val="clear" w:color="auto" w:fill="auto"/>
            <w:vAlign w:val="bottom"/>
          </w:tcPr>
          <w:p w14:paraId="11DF44D3" w14:textId="77777777" w:rsidR="00BC295E" w:rsidRPr="004D05E9" w:rsidRDefault="00BC295E" w:rsidP="00BC295E">
            <w:pPr>
              <w:jc w:val="center"/>
            </w:pPr>
            <w:r w:rsidRPr="004D05E9">
              <w:t>100%</w:t>
            </w:r>
          </w:p>
        </w:tc>
        <w:tc>
          <w:tcPr>
            <w:tcW w:w="1710" w:type="dxa"/>
            <w:shd w:val="clear" w:color="auto" w:fill="auto"/>
            <w:vAlign w:val="bottom"/>
          </w:tcPr>
          <w:p w14:paraId="3D601FC1" w14:textId="33B25BA0" w:rsidR="00BC295E" w:rsidRPr="004D05E9" w:rsidRDefault="00BC295E" w:rsidP="00BC295E">
            <w:pPr>
              <w:jc w:val="center"/>
            </w:pPr>
            <w:r w:rsidRPr="004D05E9">
              <w:t>96.35%</w:t>
            </w:r>
          </w:p>
        </w:tc>
        <w:tc>
          <w:tcPr>
            <w:tcW w:w="1080" w:type="dxa"/>
            <w:shd w:val="clear" w:color="auto" w:fill="auto"/>
            <w:vAlign w:val="bottom"/>
          </w:tcPr>
          <w:p w14:paraId="2BAF056F" w14:textId="77777777" w:rsidR="00BC295E" w:rsidRPr="004D05E9" w:rsidRDefault="00BC295E" w:rsidP="00BC295E">
            <w:pPr>
              <w:jc w:val="center"/>
            </w:pPr>
            <w:r w:rsidRPr="004D05E9">
              <w:t>No</w:t>
            </w:r>
          </w:p>
        </w:tc>
        <w:tc>
          <w:tcPr>
            <w:tcW w:w="1710" w:type="dxa"/>
            <w:shd w:val="clear" w:color="auto" w:fill="auto"/>
            <w:vAlign w:val="bottom"/>
          </w:tcPr>
          <w:p w14:paraId="74703063" w14:textId="1425CEFB" w:rsidR="00BC295E" w:rsidRPr="004D05E9" w:rsidRDefault="00BC295E" w:rsidP="00BC295E">
            <w:pPr>
              <w:jc w:val="center"/>
            </w:pPr>
            <w:r w:rsidRPr="004D05E9">
              <w:t>-3.07%</w:t>
            </w:r>
          </w:p>
        </w:tc>
      </w:tr>
      <w:tr w:rsidR="00BC295E" w:rsidRPr="004D05E9" w14:paraId="4588E4F4" w14:textId="77777777" w:rsidTr="001845FE">
        <w:trPr>
          <w:cantSplit/>
        </w:trPr>
        <w:tc>
          <w:tcPr>
            <w:tcW w:w="3415" w:type="dxa"/>
          </w:tcPr>
          <w:p w14:paraId="25B04EFD" w14:textId="77777777" w:rsidR="00BC295E" w:rsidRPr="004D05E9" w:rsidRDefault="00BC295E" w:rsidP="00BC295E">
            <w:r w:rsidRPr="004D05E9">
              <w:t>14 Post-school Outcomes</w:t>
            </w:r>
          </w:p>
        </w:tc>
        <w:tc>
          <w:tcPr>
            <w:tcW w:w="1980" w:type="dxa"/>
            <w:shd w:val="clear" w:color="auto" w:fill="auto"/>
            <w:vAlign w:val="bottom"/>
          </w:tcPr>
          <w:p w14:paraId="77D2FF4C" w14:textId="5EB16634" w:rsidR="00BC295E" w:rsidRPr="004D05E9" w:rsidRDefault="001845FE" w:rsidP="00BC295E">
            <w:pPr>
              <w:jc w:val="center"/>
            </w:pPr>
            <w:r>
              <w:t>N/A</w:t>
            </w:r>
          </w:p>
        </w:tc>
        <w:tc>
          <w:tcPr>
            <w:tcW w:w="1710" w:type="dxa"/>
            <w:shd w:val="clear" w:color="auto" w:fill="auto"/>
            <w:vAlign w:val="bottom"/>
          </w:tcPr>
          <w:p w14:paraId="7498FA12" w14:textId="56AAC131" w:rsidR="00BC295E" w:rsidRPr="004D05E9" w:rsidRDefault="001845FE" w:rsidP="00BC295E">
            <w:pPr>
              <w:jc w:val="center"/>
            </w:pPr>
            <w:r>
              <w:t>N/A</w:t>
            </w:r>
          </w:p>
        </w:tc>
        <w:tc>
          <w:tcPr>
            <w:tcW w:w="1080" w:type="dxa"/>
            <w:shd w:val="clear" w:color="auto" w:fill="auto"/>
            <w:vAlign w:val="bottom"/>
          </w:tcPr>
          <w:p w14:paraId="2BBE814C" w14:textId="6FC248A5" w:rsidR="00BC295E" w:rsidRPr="004D05E9" w:rsidRDefault="001845FE" w:rsidP="00BC295E">
            <w:pPr>
              <w:jc w:val="center"/>
            </w:pPr>
            <w:r>
              <w:t>N/A</w:t>
            </w:r>
          </w:p>
        </w:tc>
        <w:tc>
          <w:tcPr>
            <w:tcW w:w="1710" w:type="dxa"/>
            <w:shd w:val="clear" w:color="auto" w:fill="auto"/>
            <w:vAlign w:val="bottom"/>
          </w:tcPr>
          <w:p w14:paraId="467304B8" w14:textId="0B69C599" w:rsidR="00BC295E" w:rsidRPr="004D05E9" w:rsidRDefault="001845FE" w:rsidP="00BC295E">
            <w:pPr>
              <w:jc w:val="center"/>
            </w:pPr>
            <w:r>
              <w:t>N/A</w:t>
            </w:r>
          </w:p>
        </w:tc>
      </w:tr>
      <w:tr w:rsidR="00BC295E" w:rsidRPr="004D05E9" w14:paraId="4348F224" w14:textId="77777777" w:rsidTr="001845FE">
        <w:trPr>
          <w:cantSplit/>
        </w:trPr>
        <w:tc>
          <w:tcPr>
            <w:tcW w:w="3415" w:type="dxa"/>
          </w:tcPr>
          <w:p w14:paraId="2FC443E0" w14:textId="77777777" w:rsidR="00BC295E" w:rsidRPr="004D05E9" w:rsidRDefault="00BC295E" w:rsidP="00BC295E">
            <w:r w:rsidRPr="004D05E9">
              <w:t>14A Enrolled in Higher Education</w:t>
            </w:r>
          </w:p>
        </w:tc>
        <w:tc>
          <w:tcPr>
            <w:tcW w:w="1980" w:type="dxa"/>
            <w:shd w:val="clear" w:color="auto" w:fill="auto"/>
            <w:vAlign w:val="bottom"/>
          </w:tcPr>
          <w:p w14:paraId="176CBD0C" w14:textId="2C8B43A6" w:rsidR="00BC295E" w:rsidRPr="004D05E9" w:rsidRDefault="00BC295E" w:rsidP="00BC295E">
            <w:pPr>
              <w:jc w:val="center"/>
            </w:pPr>
            <w:r w:rsidRPr="004D05E9">
              <w:t>55.30%</w:t>
            </w:r>
          </w:p>
        </w:tc>
        <w:tc>
          <w:tcPr>
            <w:tcW w:w="1710" w:type="dxa"/>
            <w:shd w:val="clear" w:color="auto" w:fill="auto"/>
            <w:vAlign w:val="bottom"/>
          </w:tcPr>
          <w:p w14:paraId="419D3293" w14:textId="0354ED6B" w:rsidR="00BC295E" w:rsidRPr="004D05E9" w:rsidRDefault="00BC295E" w:rsidP="00BC295E">
            <w:pPr>
              <w:jc w:val="center"/>
            </w:pPr>
            <w:r w:rsidRPr="004D05E9">
              <w:t>56.7%</w:t>
            </w:r>
          </w:p>
        </w:tc>
        <w:tc>
          <w:tcPr>
            <w:tcW w:w="1080" w:type="dxa"/>
            <w:shd w:val="clear" w:color="auto" w:fill="auto"/>
            <w:vAlign w:val="bottom"/>
          </w:tcPr>
          <w:p w14:paraId="46AA1A9A" w14:textId="77777777" w:rsidR="00BC295E" w:rsidRPr="004D05E9" w:rsidRDefault="00BC295E" w:rsidP="00BC295E">
            <w:pPr>
              <w:jc w:val="center"/>
            </w:pPr>
            <w:r w:rsidRPr="004D05E9">
              <w:t>Yes</w:t>
            </w:r>
          </w:p>
        </w:tc>
        <w:tc>
          <w:tcPr>
            <w:tcW w:w="1710" w:type="dxa"/>
            <w:shd w:val="clear" w:color="auto" w:fill="auto"/>
            <w:vAlign w:val="bottom"/>
          </w:tcPr>
          <w:p w14:paraId="06CB60B0" w14:textId="6C83805E" w:rsidR="00BC295E" w:rsidRPr="004D05E9" w:rsidRDefault="00BC295E" w:rsidP="00BC295E">
            <w:pPr>
              <w:jc w:val="center"/>
            </w:pPr>
            <w:r w:rsidRPr="004D05E9">
              <w:t>+2.0%</w:t>
            </w:r>
          </w:p>
        </w:tc>
      </w:tr>
      <w:tr w:rsidR="00BC295E" w:rsidRPr="004D05E9" w14:paraId="456A2AF9" w14:textId="77777777" w:rsidTr="001845FE">
        <w:trPr>
          <w:cantSplit/>
        </w:trPr>
        <w:tc>
          <w:tcPr>
            <w:tcW w:w="3415" w:type="dxa"/>
          </w:tcPr>
          <w:p w14:paraId="607E1D60" w14:textId="77777777" w:rsidR="00BC295E" w:rsidRPr="004D05E9" w:rsidRDefault="00BC295E" w:rsidP="00BC295E">
            <w:r w:rsidRPr="004D05E9">
              <w:t>14B Enrolled in Higher Education or Competitively Employed within a Year</w:t>
            </w:r>
          </w:p>
        </w:tc>
        <w:tc>
          <w:tcPr>
            <w:tcW w:w="1980" w:type="dxa"/>
            <w:shd w:val="clear" w:color="auto" w:fill="auto"/>
            <w:vAlign w:val="bottom"/>
          </w:tcPr>
          <w:p w14:paraId="6139E4F5" w14:textId="53D35C6C" w:rsidR="00BC295E" w:rsidRPr="004D05E9" w:rsidRDefault="00BC295E" w:rsidP="00BC295E">
            <w:pPr>
              <w:jc w:val="center"/>
            </w:pPr>
            <w:r w:rsidRPr="004D05E9">
              <w:t>75.4%</w:t>
            </w:r>
          </w:p>
        </w:tc>
        <w:tc>
          <w:tcPr>
            <w:tcW w:w="1710" w:type="dxa"/>
            <w:shd w:val="clear" w:color="auto" w:fill="auto"/>
            <w:vAlign w:val="bottom"/>
          </w:tcPr>
          <w:p w14:paraId="0511793A" w14:textId="5100B4AE" w:rsidR="00BC295E" w:rsidRPr="004D05E9" w:rsidRDefault="00BC295E" w:rsidP="00BC295E">
            <w:pPr>
              <w:jc w:val="center"/>
            </w:pPr>
            <w:r w:rsidRPr="004D05E9">
              <w:t>75.9%</w:t>
            </w:r>
          </w:p>
        </w:tc>
        <w:tc>
          <w:tcPr>
            <w:tcW w:w="1080" w:type="dxa"/>
            <w:shd w:val="clear" w:color="auto" w:fill="auto"/>
            <w:vAlign w:val="bottom"/>
          </w:tcPr>
          <w:p w14:paraId="0A6460F8" w14:textId="4D2CE3FB" w:rsidR="00BC295E" w:rsidRPr="004D05E9" w:rsidRDefault="00BC295E" w:rsidP="00BC295E">
            <w:pPr>
              <w:jc w:val="center"/>
            </w:pPr>
            <w:r w:rsidRPr="004D05E9">
              <w:t>Yes</w:t>
            </w:r>
          </w:p>
        </w:tc>
        <w:tc>
          <w:tcPr>
            <w:tcW w:w="1710" w:type="dxa"/>
            <w:shd w:val="clear" w:color="auto" w:fill="auto"/>
            <w:vAlign w:val="bottom"/>
          </w:tcPr>
          <w:p w14:paraId="47E8B4BA" w14:textId="5C9132AA" w:rsidR="00BC295E" w:rsidRPr="004D05E9" w:rsidRDefault="00BC295E" w:rsidP="00BC295E">
            <w:pPr>
              <w:jc w:val="center"/>
            </w:pPr>
            <w:r w:rsidRPr="004D05E9">
              <w:t>+5.3%</w:t>
            </w:r>
          </w:p>
        </w:tc>
      </w:tr>
      <w:tr w:rsidR="00BC295E" w:rsidRPr="004D05E9" w14:paraId="244E1375" w14:textId="77777777" w:rsidTr="001845FE">
        <w:trPr>
          <w:cantSplit/>
        </w:trPr>
        <w:tc>
          <w:tcPr>
            <w:tcW w:w="3415" w:type="dxa"/>
          </w:tcPr>
          <w:p w14:paraId="14FF5F69" w14:textId="77777777" w:rsidR="00BC295E" w:rsidRPr="004D05E9" w:rsidRDefault="00BC295E" w:rsidP="00BC295E">
            <w:r w:rsidRPr="004D05E9">
              <w:t>14C Enrolled in Higher Education, Postsecondary Education or Training or Competitively Employed</w:t>
            </w:r>
          </w:p>
        </w:tc>
        <w:tc>
          <w:tcPr>
            <w:tcW w:w="1980" w:type="dxa"/>
            <w:shd w:val="clear" w:color="auto" w:fill="auto"/>
            <w:vAlign w:val="bottom"/>
          </w:tcPr>
          <w:p w14:paraId="23FC0787" w14:textId="42897A51" w:rsidR="00BC295E" w:rsidRPr="004D05E9" w:rsidRDefault="00BC295E" w:rsidP="00BC295E">
            <w:pPr>
              <w:jc w:val="center"/>
            </w:pPr>
            <w:r w:rsidRPr="004D05E9">
              <w:t>84.0%</w:t>
            </w:r>
          </w:p>
        </w:tc>
        <w:tc>
          <w:tcPr>
            <w:tcW w:w="1710" w:type="dxa"/>
            <w:shd w:val="clear" w:color="auto" w:fill="auto"/>
            <w:vAlign w:val="bottom"/>
          </w:tcPr>
          <w:p w14:paraId="16B98B5B" w14:textId="63797043" w:rsidR="00BC295E" w:rsidRPr="004D05E9" w:rsidRDefault="00BC295E" w:rsidP="00BC295E">
            <w:pPr>
              <w:jc w:val="center"/>
            </w:pPr>
            <w:r w:rsidRPr="004D05E9">
              <w:t>94.1%</w:t>
            </w:r>
          </w:p>
        </w:tc>
        <w:tc>
          <w:tcPr>
            <w:tcW w:w="1080" w:type="dxa"/>
            <w:shd w:val="clear" w:color="auto" w:fill="auto"/>
            <w:vAlign w:val="bottom"/>
          </w:tcPr>
          <w:p w14:paraId="6723D635" w14:textId="77777777" w:rsidR="00BC295E" w:rsidRPr="004D05E9" w:rsidRDefault="00BC295E" w:rsidP="00BC295E">
            <w:pPr>
              <w:jc w:val="center"/>
            </w:pPr>
            <w:r w:rsidRPr="004D05E9">
              <w:t>Yes</w:t>
            </w:r>
          </w:p>
        </w:tc>
        <w:tc>
          <w:tcPr>
            <w:tcW w:w="1710" w:type="dxa"/>
            <w:shd w:val="clear" w:color="auto" w:fill="auto"/>
            <w:vAlign w:val="bottom"/>
          </w:tcPr>
          <w:p w14:paraId="64DD9947" w14:textId="7691BD99" w:rsidR="00BC295E" w:rsidRPr="004D05E9" w:rsidRDefault="00BC295E" w:rsidP="00BC295E">
            <w:pPr>
              <w:jc w:val="center"/>
            </w:pPr>
            <w:r w:rsidRPr="004D05E9">
              <w:t>+4.8%</w:t>
            </w:r>
          </w:p>
        </w:tc>
      </w:tr>
      <w:tr w:rsidR="00BC295E" w:rsidRPr="004D05E9" w14:paraId="36A4BBC4" w14:textId="77777777" w:rsidTr="001845FE">
        <w:trPr>
          <w:cantSplit/>
        </w:trPr>
        <w:tc>
          <w:tcPr>
            <w:tcW w:w="3415" w:type="dxa"/>
          </w:tcPr>
          <w:p w14:paraId="624D4119" w14:textId="77777777" w:rsidR="00BC295E" w:rsidRPr="004D05E9" w:rsidRDefault="00BC295E" w:rsidP="00BC295E">
            <w:r w:rsidRPr="004D05E9">
              <w:t>15 Resolution Sessions</w:t>
            </w:r>
          </w:p>
        </w:tc>
        <w:tc>
          <w:tcPr>
            <w:tcW w:w="1980" w:type="dxa"/>
            <w:shd w:val="clear" w:color="auto" w:fill="auto"/>
            <w:vAlign w:val="bottom"/>
          </w:tcPr>
          <w:p w14:paraId="48C754DE" w14:textId="6D14A5DA" w:rsidR="00BC295E" w:rsidRPr="004D05E9" w:rsidRDefault="00BC295E" w:rsidP="00BC295E">
            <w:pPr>
              <w:jc w:val="center"/>
            </w:pPr>
            <w:r w:rsidRPr="004D05E9">
              <w:t>61%</w:t>
            </w:r>
          </w:p>
        </w:tc>
        <w:tc>
          <w:tcPr>
            <w:tcW w:w="1710" w:type="dxa"/>
            <w:shd w:val="clear" w:color="auto" w:fill="auto"/>
            <w:vAlign w:val="bottom"/>
          </w:tcPr>
          <w:p w14:paraId="220F9AFF" w14:textId="73F73C34" w:rsidR="00BC295E" w:rsidRPr="004D05E9" w:rsidRDefault="00BC295E" w:rsidP="00BC295E">
            <w:pPr>
              <w:jc w:val="center"/>
            </w:pPr>
            <w:r w:rsidRPr="004D05E9">
              <w:t>25.93%</w:t>
            </w:r>
          </w:p>
        </w:tc>
        <w:tc>
          <w:tcPr>
            <w:tcW w:w="1080" w:type="dxa"/>
            <w:shd w:val="clear" w:color="auto" w:fill="auto"/>
            <w:vAlign w:val="bottom"/>
          </w:tcPr>
          <w:p w14:paraId="4BB9F404" w14:textId="77777777" w:rsidR="00BC295E" w:rsidRPr="004D05E9" w:rsidRDefault="00BC295E" w:rsidP="00BC295E">
            <w:pPr>
              <w:jc w:val="center"/>
            </w:pPr>
            <w:r w:rsidRPr="004D05E9">
              <w:t>No</w:t>
            </w:r>
          </w:p>
        </w:tc>
        <w:tc>
          <w:tcPr>
            <w:tcW w:w="1710" w:type="dxa"/>
            <w:shd w:val="clear" w:color="auto" w:fill="auto"/>
            <w:vAlign w:val="bottom"/>
          </w:tcPr>
          <w:p w14:paraId="37D30CF4" w14:textId="25221FE6" w:rsidR="00BC295E" w:rsidRPr="004D05E9" w:rsidRDefault="00BC295E" w:rsidP="00BC295E">
            <w:pPr>
              <w:jc w:val="center"/>
            </w:pPr>
            <w:r w:rsidRPr="004D05E9">
              <w:t>+4.4%</w:t>
            </w:r>
          </w:p>
        </w:tc>
      </w:tr>
      <w:tr w:rsidR="00BC295E" w:rsidRPr="004D05E9" w14:paraId="447E042C" w14:textId="77777777" w:rsidTr="001845FE">
        <w:trPr>
          <w:cantSplit/>
        </w:trPr>
        <w:tc>
          <w:tcPr>
            <w:tcW w:w="3415" w:type="dxa"/>
          </w:tcPr>
          <w:p w14:paraId="68C420D9" w14:textId="77777777" w:rsidR="00BC295E" w:rsidRPr="004D05E9" w:rsidRDefault="00BC295E" w:rsidP="00BC295E">
            <w:r w:rsidRPr="004D05E9">
              <w:t>16 Mediation</w:t>
            </w:r>
          </w:p>
        </w:tc>
        <w:tc>
          <w:tcPr>
            <w:tcW w:w="1980" w:type="dxa"/>
            <w:shd w:val="clear" w:color="auto" w:fill="auto"/>
            <w:vAlign w:val="bottom"/>
          </w:tcPr>
          <w:p w14:paraId="472D0C15" w14:textId="40AB8056" w:rsidR="00BC295E" w:rsidRPr="004D05E9" w:rsidRDefault="00BC295E" w:rsidP="00BC295E">
            <w:pPr>
              <w:jc w:val="center"/>
            </w:pPr>
            <w:r w:rsidRPr="004D05E9">
              <w:t>61%</w:t>
            </w:r>
          </w:p>
        </w:tc>
        <w:tc>
          <w:tcPr>
            <w:tcW w:w="1710" w:type="dxa"/>
            <w:shd w:val="clear" w:color="auto" w:fill="auto"/>
            <w:vAlign w:val="bottom"/>
          </w:tcPr>
          <w:p w14:paraId="26356702" w14:textId="22D13CE4" w:rsidR="00BC295E" w:rsidRPr="004D05E9" w:rsidRDefault="00BC295E" w:rsidP="00BC295E">
            <w:pPr>
              <w:jc w:val="center"/>
            </w:pPr>
            <w:r w:rsidRPr="004D05E9">
              <w:t>53.19%</w:t>
            </w:r>
          </w:p>
        </w:tc>
        <w:tc>
          <w:tcPr>
            <w:tcW w:w="1080" w:type="dxa"/>
            <w:shd w:val="clear" w:color="auto" w:fill="auto"/>
            <w:vAlign w:val="bottom"/>
          </w:tcPr>
          <w:p w14:paraId="69BD8859" w14:textId="190F48D4" w:rsidR="00BC295E" w:rsidRPr="004D05E9" w:rsidRDefault="00BC295E" w:rsidP="00BC295E">
            <w:pPr>
              <w:jc w:val="center"/>
            </w:pPr>
            <w:r w:rsidRPr="004D05E9">
              <w:t>No</w:t>
            </w:r>
          </w:p>
        </w:tc>
        <w:tc>
          <w:tcPr>
            <w:tcW w:w="1710" w:type="dxa"/>
            <w:shd w:val="clear" w:color="auto" w:fill="auto"/>
            <w:vAlign w:val="bottom"/>
          </w:tcPr>
          <w:p w14:paraId="2724A942" w14:textId="3085D05F" w:rsidR="00BC295E" w:rsidRPr="004D05E9" w:rsidRDefault="00BC295E" w:rsidP="00BC295E">
            <w:pPr>
              <w:jc w:val="center"/>
            </w:pPr>
            <w:r w:rsidRPr="004D05E9">
              <w:t>-9.0%</w:t>
            </w:r>
          </w:p>
        </w:tc>
      </w:tr>
      <w:tr w:rsidR="00BC295E" w:rsidRPr="004D05E9" w14:paraId="56E1FF39" w14:textId="77777777" w:rsidTr="001845FE">
        <w:trPr>
          <w:cantSplit/>
        </w:trPr>
        <w:tc>
          <w:tcPr>
            <w:tcW w:w="3415" w:type="dxa"/>
          </w:tcPr>
          <w:p w14:paraId="3172D27E" w14:textId="77777777" w:rsidR="00BC295E" w:rsidRPr="004D05E9" w:rsidRDefault="00BC295E" w:rsidP="00BC295E">
            <w:r w:rsidRPr="004D05E9">
              <w:t>17 State Systemic Improvement Plan</w:t>
            </w:r>
          </w:p>
        </w:tc>
        <w:tc>
          <w:tcPr>
            <w:tcW w:w="1980" w:type="dxa"/>
            <w:shd w:val="clear" w:color="auto" w:fill="auto"/>
            <w:vAlign w:val="bottom"/>
          </w:tcPr>
          <w:p w14:paraId="1D0202B1" w14:textId="73CE4889" w:rsidR="00BC295E" w:rsidRPr="004D05E9" w:rsidRDefault="001845FE" w:rsidP="00BC295E">
            <w:pPr>
              <w:jc w:val="center"/>
            </w:pPr>
            <w:r>
              <w:t>N/A</w:t>
            </w:r>
          </w:p>
        </w:tc>
        <w:tc>
          <w:tcPr>
            <w:tcW w:w="1710" w:type="dxa"/>
            <w:shd w:val="clear" w:color="auto" w:fill="auto"/>
            <w:vAlign w:val="bottom"/>
          </w:tcPr>
          <w:p w14:paraId="712E0EBF" w14:textId="4BC19453" w:rsidR="00BC295E" w:rsidRPr="004D05E9" w:rsidRDefault="001845FE" w:rsidP="00BC295E">
            <w:pPr>
              <w:jc w:val="center"/>
            </w:pPr>
            <w:r>
              <w:t>N/A</w:t>
            </w:r>
          </w:p>
        </w:tc>
        <w:tc>
          <w:tcPr>
            <w:tcW w:w="1080" w:type="dxa"/>
            <w:shd w:val="clear" w:color="auto" w:fill="auto"/>
            <w:vAlign w:val="bottom"/>
          </w:tcPr>
          <w:p w14:paraId="0EF8BC69" w14:textId="5C640500" w:rsidR="00BC295E" w:rsidRPr="004D05E9" w:rsidRDefault="001845FE" w:rsidP="00BC295E">
            <w:pPr>
              <w:jc w:val="center"/>
            </w:pPr>
            <w:r>
              <w:t>N/A</w:t>
            </w:r>
          </w:p>
        </w:tc>
        <w:tc>
          <w:tcPr>
            <w:tcW w:w="1710" w:type="dxa"/>
            <w:shd w:val="clear" w:color="auto" w:fill="auto"/>
            <w:vAlign w:val="bottom"/>
          </w:tcPr>
          <w:p w14:paraId="7760C7E8" w14:textId="0420AA78" w:rsidR="00BC295E" w:rsidRPr="004D05E9" w:rsidRDefault="001845FE" w:rsidP="00BC295E">
            <w:pPr>
              <w:jc w:val="center"/>
            </w:pPr>
            <w:r>
              <w:t>N/A</w:t>
            </w:r>
          </w:p>
        </w:tc>
      </w:tr>
    </w:tbl>
    <w:p w14:paraId="370915EF" w14:textId="1897ABD3" w:rsidR="00BF7FEA" w:rsidRPr="004D05E9" w:rsidRDefault="00BF7FEA" w:rsidP="00BF7FEA">
      <w:pPr>
        <w:pStyle w:val="Heading2"/>
        <w:spacing w:before="0" w:after="240"/>
      </w:pPr>
      <w:r w:rsidRPr="004D05E9">
        <w:br w:type="page"/>
      </w:r>
    </w:p>
    <w:p w14:paraId="26CAFA95" w14:textId="100AAA2A" w:rsidR="000C4926" w:rsidRPr="004D05E9" w:rsidRDefault="00F53FF7" w:rsidP="00724781">
      <w:pPr>
        <w:pStyle w:val="Heading2"/>
        <w:spacing w:before="6240" w:after="240"/>
        <w:jc w:val="center"/>
      </w:pPr>
      <w:bookmarkStart w:id="58" w:name="_Toc57198998"/>
      <w:r w:rsidRPr="004D05E9">
        <w:lastRenderedPageBreak/>
        <w:t>I</w:t>
      </w:r>
      <w:r w:rsidR="000C4926" w:rsidRPr="004D05E9">
        <w:t>ndicator 1: Graduation Rate</w:t>
      </w:r>
      <w:bookmarkEnd w:id="58"/>
    </w:p>
    <w:p w14:paraId="53FBF195" w14:textId="77777777" w:rsidR="000C4926" w:rsidRPr="004D05E9" w:rsidRDefault="000C4926" w:rsidP="00724781">
      <w:pPr>
        <w:pStyle w:val="Heading3"/>
        <w:spacing w:before="0" w:after="240"/>
      </w:pPr>
      <w:bookmarkStart w:id="59" w:name="_Toc57198999"/>
      <w:r w:rsidRPr="004D05E9">
        <w:t>Description</w:t>
      </w:r>
      <w:bookmarkEnd w:id="59"/>
    </w:p>
    <w:p w14:paraId="036FB79A" w14:textId="076D9EFD" w:rsidR="000C4926" w:rsidRPr="004D05E9" w:rsidRDefault="000C4926" w:rsidP="00724781">
      <w:pPr>
        <w:spacing w:after="240"/>
        <w:rPr>
          <w:rFonts w:cs="Arial"/>
        </w:rPr>
      </w:pPr>
      <w:r w:rsidRPr="004D05E9">
        <w:rPr>
          <w:rFonts w:cs="Arial"/>
        </w:rPr>
        <w:t xml:space="preserve">Indicator 1 is a performance indicator that measures the percent of youth with individualized education programs (IEPs) graduating from high school with a regular diploma (20 United States Code [U.S.C.] </w:t>
      </w:r>
      <w:r w:rsidR="00C72D38" w:rsidRPr="004D05E9">
        <w:rPr>
          <w:rFonts w:cs="Arial"/>
        </w:rPr>
        <w:t xml:space="preserve">Section </w:t>
      </w:r>
      <w:r w:rsidRPr="004D05E9">
        <w:rPr>
          <w:rFonts w:cs="Arial"/>
        </w:rPr>
        <w:t>1416 [a][3][A]). The calculation methods for this indicator were revised in 2008–09 and again in 2009–10, to align with reporting criteria under Title I of the Elementary and Secondary Education Act (ESEA). A new reporting methodology was implemented for the FFY 2012 APR. T</w:t>
      </w:r>
      <w:r w:rsidR="0032175B" w:rsidRPr="004D05E9">
        <w:rPr>
          <w:rFonts w:cs="Arial"/>
        </w:rPr>
        <w:t>he graduation rate uses the</w:t>
      </w:r>
      <w:r w:rsidRPr="004D05E9">
        <w:rPr>
          <w:rFonts w:cs="Arial"/>
        </w:rPr>
        <w:t xml:space="preserve"> </w:t>
      </w:r>
      <w:r w:rsidR="007728D4" w:rsidRPr="004D05E9">
        <w:rPr>
          <w:rFonts w:cs="Arial"/>
        </w:rPr>
        <w:t>four-year</w:t>
      </w:r>
      <w:r w:rsidR="0032175B" w:rsidRPr="004D05E9">
        <w:rPr>
          <w:rFonts w:cs="Arial"/>
        </w:rPr>
        <w:t xml:space="preserve"> adjusted</w:t>
      </w:r>
      <w:r w:rsidRPr="004D05E9">
        <w:rPr>
          <w:rFonts w:cs="Arial"/>
        </w:rPr>
        <w:t xml:space="preserve"> cohort</w:t>
      </w:r>
      <w:r w:rsidR="00AF459B" w:rsidRPr="004D05E9">
        <w:rPr>
          <w:rFonts w:cs="Arial"/>
        </w:rPr>
        <w:t>.</w:t>
      </w:r>
      <w:r w:rsidR="0032175B" w:rsidRPr="004D05E9">
        <w:rPr>
          <w:rFonts w:cs="Arial"/>
        </w:rPr>
        <w:t xml:space="preserve"> The four-year adjusted cohort is the number of students who graduate from high school in four years with a regular high school diploma, divided by the number of students who form the adjusted cohort for the graduating class</w:t>
      </w:r>
      <w:r w:rsidR="00832047" w:rsidRPr="004D05E9">
        <w:rPr>
          <w:rFonts w:cs="Arial"/>
        </w:rPr>
        <w:t>.</w:t>
      </w:r>
    </w:p>
    <w:p w14:paraId="6FE33395" w14:textId="7A116E1E" w:rsidR="000C4926" w:rsidRPr="004D05E9" w:rsidRDefault="000A108D" w:rsidP="00724781">
      <w:pPr>
        <w:pStyle w:val="Heading3"/>
        <w:spacing w:before="0" w:after="240"/>
      </w:pPr>
      <w:bookmarkStart w:id="60" w:name="_Toc57199000"/>
      <w:r w:rsidRPr="004D05E9">
        <w:t>Target for 201</w:t>
      </w:r>
      <w:r w:rsidR="00BD2C7A" w:rsidRPr="004D05E9">
        <w:t>9</w:t>
      </w:r>
      <w:r w:rsidR="000C4926" w:rsidRPr="004D05E9">
        <w:t>–</w:t>
      </w:r>
      <w:r w:rsidR="00BD2C7A" w:rsidRPr="004D05E9">
        <w:t>20</w:t>
      </w:r>
      <w:bookmarkEnd w:id="60"/>
    </w:p>
    <w:p w14:paraId="7A3ED482" w14:textId="2EFC38C4" w:rsidR="000C4926" w:rsidRPr="004D05E9" w:rsidRDefault="00907236" w:rsidP="00724781">
      <w:pPr>
        <w:spacing w:after="240"/>
        <w:rPr>
          <w:rFonts w:cs="Arial"/>
          <w:bCs/>
        </w:rPr>
      </w:pPr>
      <w:r w:rsidRPr="004D05E9">
        <w:rPr>
          <w:rFonts w:cs="Arial"/>
        </w:rPr>
        <w:t>Targeting a</w:t>
      </w:r>
      <w:r w:rsidR="00AF459B" w:rsidRPr="004D05E9">
        <w:rPr>
          <w:rFonts w:cs="Arial"/>
        </w:rPr>
        <w:t xml:space="preserve"> </w:t>
      </w:r>
      <w:r w:rsidR="000C4926" w:rsidRPr="004D05E9">
        <w:rPr>
          <w:rFonts w:cs="Arial"/>
        </w:rPr>
        <w:t>201</w:t>
      </w:r>
      <w:r w:rsidR="00BD2C7A" w:rsidRPr="004D05E9">
        <w:rPr>
          <w:rFonts w:cs="Arial"/>
        </w:rPr>
        <w:t>9</w:t>
      </w:r>
      <w:r w:rsidR="000C4926" w:rsidRPr="004D05E9">
        <w:rPr>
          <w:rFonts w:cs="Arial"/>
        </w:rPr>
        <w:t xml:space="preserve"> graduation rate of 90 percent or more</w:t>
      </w:r>
      <w:r w:rsidR="00287A7A" w:rsidRPr="004D05E9">
        <w:rPr>
          <w:rFonts w:cs="Arial"/>
        </w:rPr>
        <w:t xml:space="preserve">. </w:t>
      </w:r>
      <w:r w:rsidR="00AF459B" w:rsidRPr="004D05E9">
        <w:rPr>
          <w:rFonts w:cs="Arial"/>
          <w:bCs/>
        </w:rPr>
        <w:t>This target</w:t>
      </w:r>
      <w:r w:rsidR="00287A7A" w:rsidRPr="004D05E9">
        <w:rPr>
          <w:rFonts w:cs="Arial"/>
          <w:bCs/>
        </w:rPr>
        <w:t xml:space="preserve"> </w:t>
      </w:r>
      <w:r w:rsidR="007728D4" w:rsidRPr="004D05E9">
        <w:rPr>
          <w:rFonts w:cs="Arial"/>
          <w:bCs/>
        </w:rPr>
        <w:t>represents</w:t>
      </w:r>
      <w:r w:rsidR="00287A7A" w:rsidRPr="004D05E9">
        <w:rPr>
          <w:rFonts w:cs="Arial"/>
          <w:bCs/>
        </w:rPr>
        <w:t xml:space="preserve"> changes approved by the SBE and the </w:t>
      </w:r>
      <w:r w:rsidR="001F58E1" w:rsidRPr="004D05E9">
        <w:rPr>
          <w:rFonts w:cs="Arial"/>
          <w:bCs/>
        </w:rPr>
        <w:t>Office of Special Education Programs (</w:t>
      </w:r>
      <w:r w:rsidR="00287A7A" w:rsidRPr="004D05E9">
        <w:rPr>
          <w:rFonts w:cs="Arial"/>
          <w:bCs/>
        </w:rPr>
        <w:t>OSEP</w:t>
      </w:r>
      <w:r w:rsidR="001F58E1" w:rsidRPr="004D05E9">
        <w:rPr>
          <w:rFonts w:cs="Arial"/>
          <w:bCs/>
        </w:rPr>
        <w:t>)</w:t>
      </w:r>
      <w:r w:rsidR="00287A7A" w:rsidRPr="004D05E9">
        <w:rPr>
          <w:rFonts w:cs="Arial"/>
          <w:bCs/>
        </w:rPr>
        <w:t xml:space="preserve"> in FFY 2014 and will be in effect for FFY</w:t>
      </w:r>
      <w:r w:rsidR="003A7E90" w:rsidRPr="004D05E9">
        <w:rPr>
          <w:rFonts w:cs="Arial"/>
          <w:bCs/>
        </w:rPr>
        <w:t>s</w:t>
      </w:r>
      <w:r w:rsidR="00287A7A" w:rsidRPr="004D05E9">
        <w:rPr>
          <w:rFonts w:cs="Arial"/>
          <w:bCs/>
        </w:rPr>
        <w:t xml:space="preserve"> 2013–1</w:t>
      </w:r>
      <w:r w:rsidR="00C8424B" w:rsidRPr="004D05E9">
        <w:rPr>
          <w:rFonts w:cs="Arial"/>
          <w:bCs/>
        </w:rPr>
        <w:t>9</w:t>
      </w:r>
      <w:r w:rsidR="00287A7A" w:rsidRPr="004D05E9">
        <w:rPr>
          <w:rFonts w:cs="Arial"/>
          <w:bCs/>
        </w:rPr>
        <w:t>.</w:t>
      </w:r>
    </w:p>
    <w:p w14:paraId="576B8951" w14:textId="77777777" w:rsidR="000C4926" w:rsidRPr="004D05E9" w:rsidRDefault="000C4926" w:rsidP="00724781">
      <w:pPr>
        <w:pStyle w:val="Heading3"/>
        <w:spacing w:before="0" w:after="240"/>
      </w:pPr>
      <w:bookmarkStart w:id="61" w:name="_Toc57199001"/>
      <w:r w:rsidRPr="004D05E9">
        <w:t>Measurement</w:t>
      </w:r>
      <w:bookmarkEnd w:id="61"/>
    </w:p>
    <w:p w14:paraId="537FDFA3" w14:textId="151837BB" w:rsidR="000C4926" w:rsidRPr="004D05E9" w:rsidRDefault="0032175B" w:rsidP="00724781">
      <w:pPr>
        <w:spacing w:after="240"/>
        <w:rPr>
          <w:rFonts w:cs="Arial"/>
        </w:rPr>
      </w:pPr>
      <w:r w:rsidRPr="004D05E9">
        <w:rPr>
          <w:rFonts w:cs="Arial"/>
        </w:rPr>
        <w:t>D</w:t>
      </w:r>
      <w:r w:rsidR="000C4926" w:rsidRPr="004D05E9">
        <w:rPr>
          <w:rFonts w:cs="Arial"/>
        </w:rPr>
        <w:t xml:space="preserve">ata are reported in lag years using </w:t>
      </w:r>
      <w:r w:rsidR="00BD254F" w:rsidRPr="004D05E9">
        <w:rPr>
          <w:rFonts w:cs="Arial"/>
        </w:rPr>
        <w:t xml:space="preserve">the </w:t>
      </w:r>
      <w:r w:rsidR="001F58E1" w:rsidRPr="004D05E9">
        <w:rPr>
          <w:rFonts w:cs="Arial"/>
        </w:rPr>
        <w:t>CA</w:t>
      </w:r>
      <w:r w:rsidR="00C8424B" w:rsidRPr="004D05E9">
        <w:rPr>
          <w:rFonts w:cs="Arial"/>
        </w:rPr>
        <w:t>SEMIS</w:t>
      </w:r>
      <w:r w:rsidR="000C4926" w:rsidRPr="004D05E9">
        <w:rPr>
          <w:rFonts w:cs="Arial"/>
        </w:rPr>
        <w:t xml:space="preserve"> data from FFY 201</w:t>
      </w:r>
      <w:r w:rsidR="00BD2C7A" w:rsidRPr="004D05E9">
        <w:rPr>
          <w:rFonts w:cs="Arial"/>
        </w:rPr>
        <w:t>8</w:t>
      </w:r>
      <w:r w:rsidR="000C4926" w:rsidRPr="004D05E9">
        <w:rPr>
          <w:rFonts w:cs="Arial"/>
        </w:rPr>
        <w:t xml:space="preserve"> (201</w:t>
      </w:r>
      <w:r w:rsidR="00BD2C7A" w:rsidRPr="004D05E9">
        <w:rPr>
          <w:rFonts w:cs="Arial"/>
        </w:rPr>
        <w:t>8</w:t>
      </w:r>
      <w:r w:rsidR="000C4926" w:rsidRPr="004D05E9">
        <w:rPr>
          <w:rFonts w:cs="Arial"/>
        </w:rPr>
        <w:t>–1</w:t>
      </w:r>
      <w:r w:rsidR="00BD2C7A" w:rsidRPr="004D05E9">
        <w:rPr>
          <w:rFonts w:cs="Arial"/>
        </w:rPr>
        <w:t>9</w:t>
      </w:r>
      <w:r w:rsidR="000C4926" w:rsidRPr="004D05E9">
        <w:rPr>
          <w:rFonts w:cs="Arial"/>
        </w:rPr>
        <w:t xml:space="preserve">). </w:t>
      </w:r>
      <w:r w:rsidRPr="004D05E9">
        <w:rPr>
          <w:rFonts w:cs="Arial"/>
        </w:rPr>
        <w:t>The graduation rate is calculated by the number of students with IEPs graduating with a regular diploma divided by number of students with IEPs eligible to graduate.</w:t>
      </w:r>
    </w:p>
    <w:p w14:paraId="6BB349AD" w14:textId="53E9C3CD" w:rsidR="000C4926" w:rsidRPr="004D05E9" w:rsidRDefault="000C4926" w:rsidP="00724781">
      <w:pPr>
        <w:pStyle w:val="Heading3"/>
        <w:spacing w:before="0" w:after="240"/>
      </w:pPr>
      <w:bookmarkStart w:id="62" w:name="_Toc57199002"/>
      <w:r w:rsidRPr="004D05E9">
        <w:t>Results for 201</w:t>
      </w:r>
      <w:r w:rsidR="00BD2C7A" w:rsidRPr="004D05E9">
        <w:t>9</w:t>
      </w:r>
      <w:r w:rsidRPr="004D05E9">
        <w:t>−</w:t>
      </w:r>
      <w:r w:rsidR="00BD2C7A" w:rsidRPr="004D05E9">
        <w:t>20</w:t>
      </w:r>
      <w:bookmarkEnd w:id="62"/>
    </w:p>
    <w:p w14:paraId="581E6D67" w14:textId="60C31E2F" w:rsidR="000C4926" w:rsidRPr="004D05E9" w:rsidRDefault="000C4926" w:rsidP="00724781">
      <w:pPr>
        <w:spacing w:after="240"/>
        <w:rPr>
          <w:rFonts w:cs="Arial"/>
          <w:b/>
          <w:bCs/>
        </w:rPr>
      </w:pPr>
      <w:r w:rsidRPr="004D05E9">
        <w:rPr>
          <w:rFonts w:cs="Arial"/>
        </w:rPr>
        <w:t>The graduation rate for FFY 201</w:t>
      </w:r>
      <w:r w:rsidR="00BD2C7A" w:rsidRPr="004D05E9">
        <w:rPr>
          <w:rFonts w:cs="Arial"/>
        </w:rPr>
        <w:t>9</w:t>
      </w:r>
      <w:r w:rsidR="0032175B" w:rsidRPr="004D05E9">
        <w:rPr>
          <w:rFonts w:cs="Arial"/>
        </w:rPr>
        <w:t xml:space="preserve"> demonstrated</w:t>
      </w:r>
      <w:r w:rsidR="00BD254F" w:rsidRPr="004D05E9">
        <w:rPr>
          <w:rFonts w:cs="Arial"/>
        </w:rPr>
        <w:t xml:space="preserve"> </w:t>
      </w:r>
      <w:r w:rsidR="00BD2C7A" w:rsidRPr="004D05E9">
        <w:rPr>
          <w:rFonts w:cs="Arial"/>
        </w:rPr>
        <w:t>67.7</w:t>
      </w:r>
      <w:r w:rsidRPr="004D05E9">
        <w:rPr>
          <w:rFonts w:cs="Arial"/>
        </w:rPr>
        <w:t xml:space="preserve"> percent of students with disabilities graduated with a high school diploma.</w:t>
      </w:r>
    </w:p>
    <w:p w14:paraId="2257F67D" w14:textId="77777777" w:rsidR="000C4926" w:rsidRPr="004D05E9" w:rsidRDefault="000C4926" w:rsidP="00724781">
      <w:pPr>
        <w:pStyle w:val="Heading3"/>
        <w:spacing w:before="0" w:after="240"/>
      </w:pPr>
      <w:bookmarkStart w:id="63" w:name="_Toc57199003"/>
      <w:r w:rsidRPr="004D05E9">
        <w:t>Target Met: No</w:t>
      </w:r>
      <w:bookmarkEnd w:id="63"/>
    </w:p>
    <w:p w14:paraId="16619B2D" w14:textId="65E41C02" w:rsidR="000C4926" w:rsidRPr="004D05E9" w:rsidRDefault="000C4926" w:rsidP="004D7261">
      <w:pPr>
        <w:widowControl w:val="0"/>
        <w:overflowPunct w:val="0"/>
        <w:autoSpaceDE w:val="0"/>
        <w:autoSpaceDN w:val="0"/>
        <w:adjustRightInd w:val="0"/>
        <w:rPr>
          <w:rFonts w:cs="Arial"/>
          <w:b/>
          <w:bCs/>
        </w:rPr>
      </w:pPr>
      <w:r w:rsidRPr="004D05E9">
        <w:rPr>
          <w:rFonts w:cs="Arial"/>
          <w:b/>
          <w:bCs/>
        </w:rPr>
        <w:t>Graduation Rate Targets and Results for FFY</w:t>
      </w:r>
      <w:r w:rsidR="00907236" w:rsidRPr="004D05E9">
        <w:rPr>
          <w:rFonts w:cs="Arial"/>
          <w:b/>
          <w:bCs/>
        </w:rPr>
        <w:t>s</w:t>
      </w:r>
      <w:r w:rsidRPr="004D05E9">
        <w:rPr>
          <w:rFonts w:cs="Arial"/>
          <w:b/>
          <w:bCs/>
        </w:rPr>
        <w:t xml:space="preserve"> 2013–1</w:t>
      </w:r>
      <w:r w:rsidR="00653EC6" w:rsidRPr="004D05E9">
        <w:rPr>
          <w:rFonts w:cs="Arial"/>
          <w:b/>
          <w:bCs/>
        </w:rPr>
        <w:t>9</w:t>
      </w:r>
    </w:p>
    <w:tbl>
      <w:tblPr>
        <w:tblStyle w:val="TableGrid"/>
        <w:tblW w:w="0" w:type="auto"/>
        <w:tblLook w:val="04A0" w:firstRow="1" w:lastRow="0" w:firstColumn="1" w:lastColumn="0" w:noHBand="0" w:noVBand="1"/>
        <w:tblDescription w:val="Indicator 1 Targets and Results"/>
      </w:tblPr>
      <w:tblGrid>
        <w:gridCol w:w="1440"/>
        <w:gridCol w:w="828"/>
        <w:gridCol w:w="1008"/>
        <w:gridCol w:w="1008"/>
        <w:gridCol w:w="1008"/>
        <w:gridCol w:w="1008"/>
        <w:gridCol w:w="1008"/>
        <w:gridCol w:w="1008"/>
      </w:tblGrid>
      <w:tr w:rsidR="00BD2C7A" w:rsidRPr="004D05E9" w14:paraId="3BCB9D91" w14:textId="3E443BE2" w:rsidTr="00B0350E">
        <w:trPr>
          <w:cantSplit/>
          <w:tblHeader/>
        </w:trPr>
        <w:tc>
          <w:tcPr>
            <w:tcW w:w="1440" w:type="dxa"/>
            <w:hideMark/>
          </w:tcPr>
          <w:p w14:paraId="398ACDA3" w14:textId="77777777" w:rsidR="00BD2C7A" w:rsidRPr="004D05E9" w:rsidRDefault="00BD2C7A" w:rsidP="00FD74B6">
            <w:pPr>
              <w:widowControl w:val="0"/>
              <w:overflowPunct w:val="0"/>
              <w:autoSpaceDE w:val="0"/>
              <w:autoSpaceDN w:val="0"/>
              <w:adjustRightInd w:val="0"/>
              <w:jc w:val="center"/>
              <w:rPr>
                <w:rFonts w:cs="Arial"/>
                <w:b/>
                <w:bCs/>
              </w:rPr>
            </w:pPr>
            <w:r w:rsidRPr="004D05E9">
              <w:rPr>
                <w:rFonts w:cs="Arial"/>
                <w:b/>
                <w:bCs/>
              </w:rPr>
              <w:t>Indicator 1</w:t>
            </w:r>
          </w:p>
        </w:tc>
        <w:tc>
          <w:tcPr>
            <w:tcW w:w="828" w:type="dxa"/>
            <w:hideMark/>
          </w:tcPr>
          <w:p w14:paraId="1CFFBA36" w14:textId="77777777" w:rsidR="00BD2C7A" w:rsidRPr="004D05E9" w:rsidRDefault="00BD2C7A" w:rsidP="00FD74B6">
            <w:pPr>
              <w:widowControl w:val="0"/>
              <w:overflowPunct w:val="0"/>
              <w:autoSpaceDE w:val="0"/>
              <w:autoSpaceDN w:val="0"/>
              <w:adjustRightInd w:val="0"/>
              <w:jc w:val="center"/>
              <w:rPr>
                <w:rFonts w:cs="Arial"/>
                <w:b/>
                <w:bCs/>
              </w:rPr>
            </w:pPr>
            <w:r w:rsidRPr="004D05E9">
              <w:rPr>
                <w:rFonts w:cs="Arial"/>
                <w:b/>
                <w:bCs/>
              </w:rPr>
              <w:t>2013</w:t>
            </w:r>
          </w:p>
        </w:tc>
        <w:tc>
          <w:tcPr>
            <w:tcW w:w="1008" w:type="dxa"/>
            <w:hideMark/>
          </w:tcPr>
          <w:p w14:paraId="199774D9" w14:textId="77777777" w:rsidR="00BD2C7A" w:rsidRPr="004D05E9" w:rsidRDefault="00BD2C7A" w:rsidP="00FD74B6">
            <w:pPr>
              <w:widowControl w:val="0"/>
              <w:overflowPunct w:val="0"/>
              <w:autoSpaceDE w:val="0"/>
              <w:autoSpaceDN w:val="0"/>
              <w:adjustRightInd w:val="0"/>
              <w:jc w:val="center"/>
              <w:rPr>
                <w:rFonts w:cs="Arial"/>
                <w:b/>
                <w:bCs/>
              </w:rPr>
            </w:pPr>
            <w:r w:rsidRPr="004D05E9">
              <w:rPr>
                <w:rFonts w:cs="Arial"/>
                <w:b/>
                <w:bCs/>
              </w:rPr>
              <w:t>2014</w:t>
            </w:r>
          </w:p>
        </w:tc>
        <w:tc>
          <w:tcPr>
            <w:tcW w:w="1008" w:type="dxa"/>
            <w:hideMark/>
          </w:tcPr>
          <w:p w14:paraId="626A6A64" w14:textId="77777777" w:rsidR="00BD2C7A" w:rsidRPr="004D05E9" w:rsidRDefault="00BD2C7A" w:rsidP="00FD74B6">
            <w:pPr>
              <w:widowControl w:val="0"/>
              <w:overflowPunct w:val="0"/>
              <w:autoSpaceDE w:val="0"/>
              <w:autoSpaceDN w:val="0"/>
              <w:adjustRightInd w:val="0"/>
              <w:jc w:val="center"/>
              <w:rPr>
                <w:rFonts w:cs="Arial"/>
                <w:b/>
                <w:bCs/>
              </w:rPr>
            </w:pPr>
            <w:r w:rsidRPr="004D05E9">
              <w:rPr>
                <w:rFonts w:cs="Arial"/>
                <w:b/>
                <w:bCs/>
              </w:rPr>
              <w:t>2015</w:t>
            </w:r>
          </w:p>
        </w:tc>
        <w:tc>
          <w:tcPr>
            <w:tcW w:w="1008" w:type="dxa"/>
            <w:hideMark/>
          </w:tcPr>
          <w:p w14:paraId="27807C0F" w14:textId="77777777" w:rsidR="00BD2C7A" w:rsidRPr="004D05E9" w:rsidRDefault="00BD2C7A" w:rsidP="00FD74B6">
            <w:pPr>
              <w:widowControl w:val="0"/>
              <w:overflowPunct w:val="0"/>
              <w:autoSpaceDE w:val="0"/>
              <w:autoSpaceDN w:val="0"/>
              <w:adjustRightInd w:val="0"/>
              <w:jc w:val="center"/>
              <w:rPr>
                <w:rFonts w:cs="Arial"/>
                <w:b/>
                <w:bCs/>
              </w:rPr>
            </w:pPr>
            <w:r w:rsidRPr="004D05E9">
              <w:rPr>
                <w:rFonts w:cs="Arial"/>
                <w:b/>
                <w:bCs/>
              </w:rPr>
              <w:t>2016</w:t>
            </w:r>
          </w:p>
        </w:tc>
        <w:tc>
          <w:tcPr>
            <w:tcW w:w="1008" w:type="dxa"/>
            <w:hideMark/>
          </w:tcPr>
          <w:p w14:paraId="07241D5A" w14:textId="77777777" w:rsidR="00BD2C7A" w:rsidRPr="004D05E9" w:rsidRDefault="00BD2C7A" w:rsidP="00FD74B6">
            <w:pPr>
              <w:widowControl w:val="0"/>
              <w:overflowPunct w:val="0"/>
              <w:autoSpaceDE w:val="0"/>
              <w:autoSpaceDN w:val="0"/>
              <w:adjustRightInd w:val="0"/>
              <w:jc w:val="center"/>
              <w:rPr>
                <w:rFonts w:cs="Arial"/>
                <w:b/>
                <w:bCs/>
              </w:rPr>
            </w:pPr>
            <w:r w:rsidRPr="004D05E9">
              <w:rPr>
                <w:rFonts w:cs="Arial"/>
                <w:b/>
                <w:bCs/>
              </w:rPr>
              <w:t>2017</w:t>
            </w:r>
          </w:p>
        </w:tc>
        <w:tc>
          <w:tcPr>
            <w:tcW w:w="1008" w:type="dxa"/>
            <w:hideMark/>
          </w:tcPr>
          <w:p w14:paraId="0F86A744" w14:textId="77777777" w:rsidR="00BD2C7A" w:rsidRPr="004D05E9" w:rsidRDefault="00BD2C7A" w:rsidP="00FD74B6">
            <w:pPr>
              <w:widowControl w:val="0"/>
              <w:overflowPunct w:val="0"/>
              <w:autoSpaceDE w:val="0"/>
              <w:autoSpaceDN w:val="0"/>
              <w:adjustRightInd w:val="0"/>
              <w:jc w:val="center"/>
              <w:rPr>
                <w:rFonts w:cs="Arial"/>
                <w:b/>
                <w:bCs/>
              </w:rPr>
            </w:pPr>
            <w:r w:rsidRPr="004D05E9">
              <w:rPr>
                <w:rFonts w:cs="Arial"/>
                <w:b/>
                <w:bCs/>
              </w:rPr>
              <w:t>2018</w:t>
            </w:r>
          </w:p>
        </w:tc>
        <w:tc>
          <w:tcPr>
            <w:tcW w:w="1008" w:type="dxa"/>
          </w:tcPr>
          <w:p w14:paraId="5ABA1508" w14:textId="131BEE38" w:rsidR="00BD2C7A" w:rsidRPr="004D05E9" w:rsidRDefault="00BD2C7A" w:rsidP="00FD74B6">
            <w:pPr>
              <w:widowControl w:val="0"/>
              <w:overflowPunct w:val="0"/>
              <w:autoSpaceDE w:val="0"/>
              <w:autoSpaceDN w:val="0"/>
              <w:adjustRightInd w:val="0"/>
              <w:jc w:val="center"/>
              <w:rPr>
                <w:rFonts w:cs="Arial"/>
                <w:b/>
                <w:bCs/>
              </w:rPr>
            </w:pPr>
            <w:r w:rsidRPr="004D05E9">
              <w:rPr>
                <w:rFonts w:cs="Arial"/>
                <w:b/>
                <w:bCs/>
              </w:rPr>
              <w:t>2019</w:t>
            </w:r>
          </w:p>
        </w:tc>
      </w:tr>
      <w:tr w:rsidR="00BD2C7A" w:rsidRPr="004D05E9" w14:paraId="6889108A" w14:textId="2FC5BC22" w:rsidTr="00B0350E">
        <w:trPr>
          <w:cantSplit/>
        </w:trPr>
        <w:tc>
          <w:tcPr>
            <w:tcW w:w="1440" w:type="dxa"/>
            <w:hideMark/>
          </w:tcPr>
          <w:p w14:paraId="0D68908E"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Target</w:t>
            </w:r>
          </w:p>
        </w:tc>
        <w:tc>
          <w:tcPr>
            <w:tcW w:w="828" w:type="dxa"/>
            <w:hideMark/>
          </w:tcPr>
          <w:p w14:paraId="7F7E58FF"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90%</w:t>
            </w:r>
          </w:p>
        </w:tc>
        <w:tc>
          <w:tcPr>
            <w:tcW w:w="1008" w:type="dxa"/>
            <w:hideMark/>
          </w:tcPr>
          <w:p w14:paraId="2D291E6E"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90%</w:t>
            </w:r>
          </w:p>
        </w:tc>
        <w:tc>
          <w:tcPr>
            <w:tcW w:w="1008" w:type="dxa"/>
            <w:hideMark/>
          </w:tcPr>
          <w:p w14:paraId="1D813C1A"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90%</w:t>
            </w:r>
          </w:p>
        </w:tc>
        <w:tc>
          <w:tcPr>
            <w:tcW w:w="1008" w:type="dxa"/>
            <w:hideMark/>
          </w:tcPr>
          <w:p w14:paraId="01EB78A2"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90%</w:t>
            </w:r>
          </w:p>
        </w:tc>
        <w:tc>
          <w:tcPr>
            <w:tcW w:w="1008" w:type="dxa"/>
            <w:hideMark/>
          </w:tcPr>
          <w:p w14:paraId="417F8165"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90%</w:t>
            </w:r>
          </w:p>
        </w:tc>
        <w:tc>
          <w:tcPr>
            <w:tcW w:w="1008" w:type="dxa"/>
            <w:hideMark/>
          </w:tcPr>
          <w:p w14:paraId="5393CF6B"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90%</w:t>
            </w:r>
          </w:p>
        </w:tc>
        <w:tc>
          <w:tcPr>
            <w:tcW w:w="1008" w:type="dxa"/>
          </w:tcPr>
          <w:p w14:paraId="4FCF313A" w14:textId="78802F8B"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90%</w:t>
            </w:r>
          </w:p>
        </w:tc>
      </w:tr>
      <w:tr w:rsidR="00BD2C7A" w:rsidRPr="004D05E9" w14:paraId="1A400845" w14:textId="5AA065D8" w:rsidTr="00B0350E">
        <w:trPr>
          <w:cantSplit/>
        </w:trPr>
        <w:tc>
          <w:tcPr>
            <w:tcW w:w="1440" w:type="dxa"/>
            <w:hideMark/>
          </w:tcPr>
          <w:p w14:paraId="6D4C61B6"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Result</w:t>
            </w:r>
          </w:p>
        </w:tc>
        <w:tc>
          <w:tcPr>
            <w:tcW w:w="828" w:type="dxa"/>
            <w:hideMark/>
          </w:tcPr>
          <w:p w14:paraId="264D6C52" w14:textId="77777777" w:rsidR="00BD2C7A" w:rsidRPr="004D05E9" w:rsidRDefault="00BD2C7A" w:rsidP="00FD74B6">
            <w:pPr>
              <w:widowControl w:val="0"/>
              <w:tabs>
                <w:tab w:val="center" w:pos="306"/>
              </w:tabs>
              <w:overflowPunct w:val="0"/>
              <w:autoSpaceDE w:val="0"/>
              <w:autoSpaceDN w:val="0"/>
              <w:adjustRightInd w:val="0"/>
              <w:rPr>
                <w:rFonts w:cs="Arial"/>
                <w:bCs/>
              </w:rPr>
            </w:pPr>
            <w:r w:rsidRPr="004D05E9">
              <w:rPr>
                <w:rFonts w:cs="Arial"/>
                <w:bCs/>
              </w:rPr>
              <w:t>61.8</w:t>
            </w:r>
          </w:p>
        </w:tc>
        <w:tc>
          <w:tcPr>
            <w:tcW w:w="1008" w:type="dxa"/>
            <w:hideMark/>
          </w:tcPr>
          <w:p w14:paraId="03413A2B"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62.2%</w:t>
            </w:r>
          </w:p>
        </w:tc>
        <w:tc>
          <w:tcPr>
            <w:tcW w:w="1008" w:type="dxa"/>
            <w:hideMark/>
          </w:tcPr>
          <w:p w14:paraId="786135D2"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64.5%</w:t>
            </w:r>
          </w:p>
        </w:tc>
        <w:tc>
          <w:tcPr>
            <w:tcW w:w="1008" w:type="dxa"/>
            <w:hideMark/>
          </w:tcPr>
          <w:p w14:paraId="445AADF4"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65.5%</w:t>
            </w:r>
          </w:p>
        </w:tc>
        <w:tc>
          <w:tcPr>
            <w:tcW w:w="1008" w:type="dxa"/>
            <w:hideMark/>
          </w:tcPr>
          <w:p w14:paraId="65D0535D"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65.0%</w:t>
            </w:r>
          </w:p>
        </w:tc>
        <w:tc>
          <w:tcPr>
            <w:tcW w:w="1008" w:type="dxa"/>
            <w:hideMark/>
          </w:tcPr>
          <w:p w14:paraId="041AFBF1" w14:textId="77777777" w:rsidR="00BD2C7A" w:rsidRPr="004D05E9" w:rsidRDefault="00BD2C7A" w:rsidP="000E0698">
            <w:pPr>
              <w:widowControl w:val="0"/>
              <w:tabs>
                <w:tab w:val="left" w:pos="255"/>
                <w:tab w:val="center" w:pos="396"/>
              </w:tabs>
              <w:overflowPunct w:val="0"/>
              <w:autoSpaceDE w:val="0"/>
              <w:autoSpaceDN w:val="0"/>
              <w:adjustRightInd w:val="0"/>
              <w:jc w:val="center"/>
              <w:rPr>
                <w:rFonts w:cs="Arial"/>
                <w:bCs/>
              </w:rPr>
            </w:pPr>
            <w:r w:rsidRPr="004D05E9">
              <w:rPr>
                <w:rFonts w:cs="Arial"/>
                <w:bCs/>
              </w:rPr>
              <w:t>66.3%</w:t>
            </w:r>
          </w:p>
        </w:tc>
        <w:tc>
          <w:tcPr>
            <w:tcW w:w="1008" w:type="dxa"/>
          </w:tcPr>
          <w:p w14:paraId="566FFF43" w14:textId="3D5FA1CB" w:rsidR="00BD2C7A" w:rsidRPr="004D05E9" w:rsidRDefault="00BD2C7A" w:rsidP="000E0698">
            <w:pPr>
              <w:widowControl w:val="0"/>
              <w:tabs>
                <w:tab w:val="left" w:pos="255"/>
                <w:tab w:val="center" w:pos="396"/>
              </w:tabs>
              <w:overflowPunct w:val="0"/>
              <w:autoSpaceDE w:val="0"/>
              <w:autoSpaceDN w:val="0"/>
              <w:adjustRightInd w:val="0"/>
              <w:jc w:val="center"/>
              <w:rPr>
                <w:rFonts w:cs="Arial"/>
                <w:bCs/>
              </w:rPr>
            </w:pPr>
            <w:r w:rsidRPr="004D05E9">
              <w:rPr>
                <w:rFonts w:cs="Arial"/>
                <w:bCs/>
              </w:rPr>
              <w:t>67.7%</w:t>
            </w:r>
          </w:p>
        </w:tc>
      </w:tr>
      <w:tr w:rsidR="00BD2C7A" w:rsidRPr="004D05E9" w14:paraId="43AA6E96" w14:textId="21A0877B" w:rsidTr="00B0350E">
        <w:trPr>
          <w:cantSplit/>
        </w:trPr>
        <w:tc>
          <w:tcPr>
            <w:tcW w:w="1440" w:type="dxa"/>
            <w:hideMark/>
          </w:tcPr>
          <w:p w14:paraId="258A0FFE"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Target Met</w:t>
            </w:r>
          </w:p>
        </w:tc>
        <w:tc>
          <w:tcPr>
            <w:tcW w:w="828" w:type="dxa"/>
            <w:hideMark/>
          </w:tcPr>
          <w:p w14:paraId="3C943D58"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No</w:t>
            </w:r>
          </w:p>
        </w:tc>
        <w:tc>
          <w:tcPr>
            <w:tcW w:w="1008" w:type="dxa"/>
            <w:hideMark/>
          </w:tcPr>
          <w:p w14:paraId="1E022A0B"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No</w:t>
            </w:r>
          </w:p>
        </w:tc>
        <w:tc>
          <w:tcPr>
            <w:tcW w:w="1008" w:type="dxa"/>
            <w:hideMark/>
          </w:tcPr>
          <w:p w14:paraId="5413B000"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No</w:t>
            </w:r>
          </w:p>
        </w:tc>
        <w:tc>
          <w:tcPr>
            <w:tcW w:w="1008" w:type="dxa"/>
            <w:hideMark/>
          </w:tcPr>
          <w:p w14:paraId="1253DF32"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No</w:t>
            </w:r>
          </w:p>
        </w:tc>
        <w:tc>
          <w:tcPr>
            <w:tcW w:w="1008" w:type="dxa"/>
            <w:hideMark/>
          </w:tcPr>
          <w:p w14:paraId="36A649EC"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No</w:t>
            </w:r>
          </w:p>
        </w:tc>
        <w:tc>
          <w:tcPr>
            <w:tcW w:w="1008" w:type="dxa"/>
            <w:hideMark/>
          </w:tcPr>
          <w:p w14:paraId="246EA486" w14:textId="77777777"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No</w:t>
            </w:r>
          </w:p>
        </w:tc>
        <w:tc>
          <w:tcPr>
            <w:tcW w:w="1008" w:type="dxa"/>
          </w:tcPr>
          <w:p w14:paraId="267A40DE" w14:textId="79F3CD25" w:rsidR="00BD2C7A" w:rsidRPr="004D05E9" w:rsidRDefault="00BD2C7A" w:rsidP="00FD74B6">
            <w:pPr>
              <w:widowControl w:val="0"/>
              <w:overflowPunct w:val="0"/>
              <w:autoSpaceDE w:val="0"/>
              <w:autoSpaceDN w:val="0"/>
              <w:adjustRightInd w:val="0"/>
              <w:jc w:val="center"/>
              <w:rPr>
                <w:rFonts w:cs="Arial"/>
                <w:bCs/>
              </w:rPr>
            </w:pPr>
            <w:r w:rsidRPr="004D05E9">
              <w:rPr>
                <w:rFonts w:cs="Arial"/>
                <w:bCs/>
              </w:rPr>
              <w:t>No</w:t>
            </w:r>
          </w:p>
        </w:tc>
      </w:tr>
    </w:tbl>
    <w:p w14:paraId="7C615C63" w14:textId="77777777" w:rsidR="00866377" w:rsidRPr="004D05E9" w:rsidRDefault="00866377" w:rsidP="00D33AA1">
      <w:pPr>
        <w:spacing w:before="840"/>
      </w:pPr>
      <w:r w:rsidRPr="004D05E9">
        <w:br w:type="page"/>
      </w:r>
    </w:p>
    <w:p w14:paraId="3E223162" w14:textId="77777777" w:rsidR="000C4926" w:rsidRPr="004D05E9" w:rsidRDefault="000C4926" w:rsidP="00724781">
      <w:pPr>
        <w:pStyle w:val="Heading2"/>
        <w:spacing w:before="1440" w:after="240"/>
        <w:jc w:val="center"/>
      </w:pPr>
      <w:bookmarkStart w:id="64" w:name="_Toc57199004"/>
      <w:r w:rsidRPr="004D05E9">
        <w:lastRenderedPageBreak/>
        <w:t>Indicator 2: Dropout Rate</w:t>
      </w:r>
      <w:bookmarkEnd w:id="64"/>
    </w:p>
    <w:p w14:paraId="40CD5A56" w14:textId="77777777" w:rsidR="000C4926" w:rsidRPr="004D05E9" w:rsidRDefault="000C4926" w:rsidP="00724781">
      <w:pPr>
        <w:pStyle w:val="Heading3"/>
        <w:spacing w:before="0" w:after="240"/>
      </w:pPr>
      <w:bookmarkStart w:id="65" w:name="_Toc57199005"/>
      <w:r w:rsidRPr="004D05E9">
        <w:t>Description</w:t>
      </w:r>
      <w:bookmarkEnd w:id="65"/>
    </w:p>
    <w:p w14:paraId="210F7800" w14:textId="77777777" w:rsidR="000C4926" w:rsidRPr="004D05E9" w:rsidRDefault="000C4926" w:rsidP="00724781">
      <w:pPr>
        <w:spacing w:after="240"/>
        <w:rPr>
          <w:rFonts w:cs="Arial"/>
        </w:rPr>
      </w:pPr>
      <w:r w:rsidRPr="004D05E9">
        <w:rPr>
          <w:rFonts w:cs="Arial"/>
        </w:rPr>
        <w:t xml:space="preserve">Indicator 2 is a performance indicator that measures the percent of students with disabilities dropping out of high school (20 U.S.C. </w:t>
      </w:r>
      <w:r w:rsidR="00C72D38" w:rsidRPr="004D05E9">
        <w:rPr>
          <w:rFonts w:cs="Arial"/>
        </w:rPr>
        <w:t xml:space="preserve">Section </w:t>
      </w:r>
      <w:r w:rsidRPr="004D05E9">
        <w:rPr>
          <w:rFonts w:cs="Arial"/>
        </w:rPr>
        <w:t>1416 [a]</w:t>
      </w:r>
      <w:r w:rsidR="0032175B" w:rsidRPr="004D05E9">
        <w:rPr>
          <w:rFonts w:cs="Arial"/>
        </w:rPr>
        <w:t>[3][A]). The calculation methodology</w:t>
      </w:r>
      <w:r w:rsidR="00AF459B" w:rsidRPr="004D05E9">
        <w:rPr>
          <w:rFonts w:cs="Arial"/>
        </w:rPr>
        <w:t xml:space="preserve"> for this indicator was</w:t>
      </w:r>
      <w:r w:rsidRPr="004D05E9">
        <w:rPr>
          <w:rFonts w:cs="Arial"/>
        </w:rPr>
        <w:t xml:space="preserve"> revised in 2009–10 to create a more rigorous target and approved by the </w:t>
      </w:r>
      <w:r w:rsidR="00187846" w:rsidRPr="004D05E9">
        <w:rPr>
          <w:rFonts w:cs="Arial"/>
        </w:rPr>
        <w:t>OSEP</w:t>
      </w:r>
      <w:r w:rsidRPr="004D05E9">
        <w:rPr>
          <w:rFonts w:cs="Arial"/>
        </w:rPr>
        <w:t xml:space="preserve"> in April 2010. Dropout rates are calculated from data reported for grades nine </w:t>
      </w:r>
      <w:r w:rsidR="0032175B" w:rsidRPr="004D05E9">
        <w:rPr>
          <w:rFonts w:cs="Arial"/>
        </w:rPr>
        <w:t>through twelve. The CDE uses an</w:t>
      </w:r>
      <w:r w:rsidRPr="004D05E9">
        <w:rPr>
          <w:rFonts w:cs="Arial"/>
        </w:rPr>
        <w:t xml:space="preserve"> annual (one-ye</w:t>
      </w:r>
      <w:r w:rsidR="0050464D" w:rsidRPr="004D05E9">
        <w:rPr>
          <w:rFonts w:cs="Arial"/>
        </w:rPr>
        <w:t xml:space="preserve">ar) dropout rate. </w:t>
      </w:r>
    </w:p>
    <w:p w14:paraId="697B5AE9" w14:textId="2578A59B" w:rsidR="000C4926" w:rsidRPr="004D05E9" w:rsidRDefault="000C4926" w:rsidP="00724781">
      <w:pPr>
        <w:pStyle w:val="Heading3"/>
        <w:spacing w:before="0" w:after="240"/>
      </w:pPr>
      <w:bookmarkStart w:id="66" w:name="_Toc57199006"/>
      <w:r w:rsidRPr="004D05E9">
        <w:t>Target for 201</w:t>
      </w:r>
      <w:r w:rsidR="00C8424B" w:rsidRPr="004D05E9">
        <w:t>9</w:t>
      </w:r>
      <w:r w:rsidRPr="004D05E9">
        <w:t>–</w:t>
      </w:r>
      <w:r w:rsidR="00C8424B" w:rsidRPr="004D05E9">
        <w:t>20</w:t>
      </w:r>
      <w:bookmarkEnd w:id="66"/>
    </w:p>
    <w:p w14:paraId="3C5B7E5A" w14:textId="507A5198" w:rsidR="000C4926" w:rsidRPr="004D05E9" w:rsidRDefault="000C4926" w:rsidP="00724781">
      <w:pPr>
        <w:spacing w:after="240"/>
        <w:rPr>
          <w:rFonts w:cs="Arial"/>
        </w:rPr>
      </w:pPr>
      <w:r w:rsidRPr="004D05E9">
        <w:rPr>
          <w:rFonts w:cs="Arial"/>
        </w:rPr>
        <w:t xml:space="preserve">No more than </w:t>
      </w:r>
      <w:r w:rsidR="00C8424B" w:rsidRPr="004D05E9">
        <w:rPr>
          <w:rFonts w:cs="Arial"/>
        </w:rPr>
        <w:t>9</w:t>
      </w:r>
      <w:r w:rsidRPr="004D05E9">
        <w:rPr>
          <w:rFonts w:cs="Arial"/>
        </w:rPr>
        <w:t>.72 percent of students with disabilities will drop out of high school. These targets represent changes approved by the SBE and the OSEP in FFY 2014 and will be in effect for FFY</w:t>
      </w:r>
      <w:r w:rsidR="003A7E90" w:rsidRPr="004D05E9">
        <w:rPr>
          <w:rFonts w:cs="Arial"/>
        </w:rPr>
        <w:t>s</w:t>
      </w:r>
      <w:r w:rsidRPr="004D05E9">
        <w:rPr>
          <w:rFonts w:cs="Arial"/>
        </w:rPr>
        <w:t xml:space="preserve"> 2013–1</w:t>
      </w:r>
      <w:r w:rsidR="00C8424B" w:rsidRPr="004D05E9">
        <w:rPr>
          <w:rFonts w:cs="Arial"/>
        </w:rPr>
        <w:t>9</w:t>
      </w:r>
      <w:r w:rsidRPr="004D05E9">
        <w:rPr>
          <w:rFonts w:cs="Arial"/>
        </w:rPr>
        <w:t>.</w:t>
      </w:r>
    </w:p>
    <w:p w14:paraId="1D0B1724" w14:textId="77777777" w:rsidR="000C4926" w:rsidRPr="004D05E9" w:rsidRDefault="000C4926" w:rsidP="00724781">
      <w:pPr>
        <w:pStyle w:val="Heading3"/>
        <w:spacing w:before="0" w:after="240"/>
      </w:pPr>
      <w:bookmarkStart w:id="67" w:name="_Toc57199007"/>
      <w:r w:rsidRPr="004D05E9">
        <w:t>Measurement</w:t>
      </w:r>
      <w:bookmarkEnd w:id="67"/>
    </w:p>
    <w:p w14:paraId="4D838EC1" w14:textId="42747707" w:rsidR="000C4926" w:rsidRPr="004D05E9" w:rsidRDefault="000C4926" w:rsidP="00724781">
      <w:pPr>
        <w:spacing w:after="240"/>
        <w:rPr>
          <w:rFonts w:cs="Arial"/>
        </w:rPr>
      </w:pPr>
      <w:r w:rsidRPr="004D05E9">
        <w:rPr>
          <w:rFonts w:cs="Arial"/>
        </w:rPr>
        <w:t>The data are reported in lag years using CA</w:t>
      </w:r>
      <w:r w:rsidR="00C8424B" w:rsidRPr="004D05E9">
        <w:rPr>
          <w:rFonts w:cs="Arial"/>
        </w:rPr>
        <w:t>SEMIS</w:t>
      </w:r>
      <w:r w:rsidRPr="004D05E9">
        <w:rPr>
          <w:rFonts w:cs="Arial"/>
        </w:rPr>
        <w:t xml:space="preserve"> data from FFY 201</w:t>
      </w:r>
      <w:r w:rsidR="00C8424B" w:rsidRPr="004D05E9">
        <w:rPr>
          <w:rFonts w:cs="Arial"/>
        </w:rPr>
        <w:t xml:space="preserve">8 </w:t>
      </w:r>
      <w:r w:rsidRPr="004D05E9">
        <w:rPr>
          <w:rFonts w:cs="Arial"/>
        </w:rPr>
        <w:t>(201</w:t>
      </w:r>
      <w:r w:rsidR="00C8424B" w:rsidRPr="004D05E9">
        <w:rPr>
          <w:rFonts w:cs="Arial"/>
        </w:rPr>
        <w:t>8</w:t>
      </w:r>
      <w:r w:rsidRPr="004D05E9">
        <w:rPr>
          <w:rFonts w:cs="Arial"/>
        </w:rPr>
        <w:t>−</w:t>
      </w:r>
      <w:r w:rsidR="7F824268" w:rsidRPr="004D05E9">
        <w:rPr>
          <w:rFonts w:eastAsia="Arial" w:cs="Arial"/>
        </w:rPr>
        <w:t>1</w:t>
      </w:r>
      <w:r w:rsidR="00C8424B" w:rsidRPr="004D05E9">
        <w:rPr>
          <w:rFonts w:cs="Arial"/>
        </w:rPr>
        <w:t>9</w:t>
      </w:r>
      <w:r w:rsidR="0050464D" w:rsidRPr="004D05E9">
        <w:rPr>
          <w:rFonts w:cs="Arial"/>
        </w:rPr>
        <w:t>). The CDE uses an</w:t>
      </w:r>
      <w:r w:rsidRPr="004D05E9">
        <w:rPr>
          <w:rFonts w:cs="Arial"/>
        </w:rPr>
        <w:t xml:space="preserve"> annual (one-year) dropout rate.</w:t>
      </w:r>
    </w:p>
    <w:p w14:paraId="4B085150" w14:textId="1B762A1D" w:rsidR="000C4926" w:rsidRPr="004D05E9" w:rsidRDefault="000C4926" w:rsidP="00724781">
      <w:pPr>
        <w:pStyle w:val="Heading3"/>
        <w:spacing w:before="0" w:after="240"/>
      </w:pPr>
      <w:bookmarkStart w:id="68" w:name="_Toc57199008"/>
      <w:r w:rsidRPr="004D05E9">
        <w:t>Results for 201</w:t>
      </w:r>
      <w:r w:rsidR="00C8424B" w:rsidRPr="004D05E9">
        <w:t>9</w:t>
      </w:r>
      <w:r w:rsidRPr="004D05E9">
        <w:t>–</w:t>
      </w:r>
      <w:r w:rsidR="00C8424B" w:rsidRPr="004D05E9">
        <w:t>20</w:t>
      </w:r>
      <w:bookmarkEnd w:id="68"/>
    </w:p>
    <w:p w14:paraId="192443AE" w14:textId="5E416CEB" w:rsidR="000C4926" w:rsidRPr="004D05E9" w:rsidRDefault="000C4926" w:rsidP="00724781">
      <w:pPr>
        <w:spacing w:after="240"/>
        <w:rPr>
          <w:rFonts w:cs="Arial"/>
        </w:rPr>
      </w:pPr>
      <w:r w:rsidRPr="004D05E9">
        <w:rPr>
          <w:rFonts w:cs="Arial"/>
        </w:rPr>
        <w:t>For FFY 201</w:t>
      </w:r>
      <w:r w:rsidR="00C8424B" w:rsidRPr="004D05E9">
        <w:rPr>
          <w:rFonts w:cs="Arial"/>
        </w:rPr>
        <w:t>9</w:t>
      </w:r>
      <w:r w:rsidRPr="004D05E9">
        <w:rPr>
          <w:rFonts w:cs="Arial"/>
        </w:rPr>
        <w:t xml:space="preserve">, the </w:t>
      </w:r>
      <w:r w:rsidR="00907236" w:rsidRPr="004D05E9">
        <w:rPr>
          <w:rFonts w:cs="Arial"/>
        </w:rPr>
        <w:t>d</w:t>
      </w:r>
      <w:r w:rsidRPr="004D05E9">
        <w:rPr>
          <w:rFonts w:cs="Arial"/>
        </w:rPr>
        <w:t xml:space="preserve">ropout </w:t>
      </w:r>
      <w:r w:rsidR="00F43C04" w:rsidRPr="004D05E9">
        <w:rPr>
          <w:rFonts w:cs="Arial"/>
        </w:rPr>
        <w:t>r</w:t>
      </w:r>
      <w:r w:rsidRPr="004D05E9">
        <w:rPr>
          <w:rFonts w:cs="Arial"/>
        </w:rPr>
        <w:t xml:space="preserve">ate was </w:t>
      </w:r>
      <w:r w:rsidR="00C8424B" w:rsidRPr="004D05E9">
        <w:rPr>
          <w:rFonts w:cs="Arial"/>
        </w:rPr>
        <w:t>15.41</w:t>
      </w:r>
      <w:r w:rsidR="00B01604" w:rsidRPr="004D05E9">
        <w:rPr>
          <w:rFonts w:cs="Arial"/>
        </w:rPr>
        <w:t xml:space="preserve"> </w:t>
      </w:r>
      <w:r w:rsidRPr="004D05E9">
        <w:rPr>
          <w:rFonts w:cs="Arial"/>
        </w:rPr>
        <w:t>percent.</w:t>
      </w:r>
    </w:p>
    <w:p w14:paraId="1F4526FB" w14:textId="77777777" w:rsidR="000C4926" w:rsidRPr="004D05E9" w:rsidRDefault="000C4926" w:rsidP="00724781">
      <w:pPr>
        <w:pStyle w:val="Heading3"/>
        <w:spacing w:before="0" w:after="240"/>
      </w:pPr>
      <w:bookmarkStart w:id="69" w:name="_Toc57199009"/>
      <w:r w:rsidRPr="004D05E9">
        <w:t xml:space="preserve">Target Met: </w:t>
      </w:r>
      <w:r w:rsidR="007728D4" w:rsidRPr="004D05E9">
        <w:t>No</w:t>
      </w:r>
      <w:bookmarkEnd w:id="69"/>
    </w:p>
    <w:p w14:paraId="6A6F1680" w14:textId="0CE6E3E4" w:rsidR="000C4926" w:rsidRPr="004D05E9" w:rsidRDefault="00907236" w:rsidP="004D7261">
      <w:pPr>
        <w:widowControl w:val="0"/>
        <w:overflowPunct w:val="0"/>
        <w:autoSpaceDE w:val="0"/>
        <w:autoSpaceDN w:val="0"/>
        <w:adjustRightInd w:val="0"/>
        <w:rPr>
          <w:rFonts w:cs="Arial"/>
          <w:b/>
          <w:bCs/>
        </w:rPr>
      </w:pPr>
      <w:r w:rsidRPr="004D05E9">
        <w:rPr>
          <w:rFonts w:cs="Arial"/>
          <w:b/>
          <w:bCs/>
        </w:rPr>
        <w:t>Dropo</w:t>
      </w:r>
      <w:r w:rsidR="000C4926" w:rsidRPr="004D05E9">
        <w:rPr>
          <w:rFonts w:cs="Arial"/>
          <w:b/>
          <w:bCs/>
        </w:rPr>
        <w:t>ut Rate Targets and Results for FFY</w:t>
      </w:r>
      <w:r w:rsidR="000B3B74" w:rsidRPr="004D05E9">
        <w:rPr>
          <w:rFonts w:cs="Arial"/>
          <w:b/>
          <w:bCs/>
        </w:rPr>
        <w:t>s</w:t>
      </w:r>
      <w:r w:rsidR="000C4926" w:rsidRPr="004D05E9">
        <w:rPr>
          <w:rFonts w:cs="Arial"/>
          <w:b/>
          <w:bCs/>
        </w:rPr>
        <w:t xml:space="preserve"> 2013–1</w:t>
      </w:r>
      <w:r w:rsidR="00C8424B" w:rsidRPr="004D05E9">
        <w:rPr>
          <w:rFonts w:cs="Arial"/>
          <w:b/>
          <w:bCs/>
        </w:rPr>
        <w:t>9</w:t>
      </w:r>
    </w:p>
    <w:tbl>
      <w:tblPr>
        <w:tblStyle w:val="TableGrid"/>
        <w:tblW w:w="0" w:type="auto"/>
        <w:tblLook w:val="04A0" w:firstRow="1" w:lastRow="0" w:firstColumn="1" w:lastColumn="0" w:noHBand="0" w:noVBand="1"/>
        <w:tblDescription w:val="Indicator 2 Targets and Results"/>
      </w:tblPr>
      <w:tblGrid>
        <w:gridCol w:w="1497"/>
        <w:gridCol w:w="1137"/>
        <w:gridCol w:w="1138"/>
        <w:gridCol w:w="1137"/>
        <w:gridCol w:w="1137"/>
        <w:gridCol w:w="1137"/>
        <w:gridCol w:w="1137"/>
        <w:gridCol w:w="1030"/>
      </w:tblGrid>
      <w:tr w:rsidR="00C8424B" w:rsidRPr="004D05E9" w14:paraId="57C222F7" w14:textId="6784CFC3" w:rsidTr="00C8424B">
        <w:trPr>
          <w:cantSplit/>
          <w:tblHeader/>
        </w:trPr>
        <w:tc>
          <w:tcPr>
            <w:tcW w:w="1505" w:type="dxa"/>
            <w:hideMark/>
          </w:tcPr>
          <w:p w14:paraId="42BF292E" w14:textId="77777777" w:rsidR="00C8424B" w:rsidRPr="004D05E9" w:rsidRDefault="00C8424B" w:rsidP="00FD74B6">
            <w:pPr>
              <w:widowControl w:val="0"/>
              <w:overflowPunct w:val="0"/>
              <w:autoSpaceDE w:val="0"/>
              <w:autoSpaceDN w:val="0"/>
              <w:adjustRightInd w:val="0"/>
              <w:jc w:val="center"/>
              <w:rPr>
                <w:rFonts w:cs="Arial"/>
                <w:b/>
                <w:bCs/>
              </w:rPr>
            </w:pPr>
            <w:r w:rsidRPr="004D05E9">
              <w:rPr>
                <w:rFonts w:cs="Arial"/>
                <w:b/>
                <w:bCs/>
              </w:rPr>
              <w:t>Indicator 2</w:t>
            </w:r>
          </w:p>
        </w:tc>
        <w:tc>
          <w:tcPr>
            <w:tcW w:w="1140" w:type="dxa"/>
            <w:hideMark/>
          </w:tcPr>
          <w:p w14:paraId="3A9BAD24" w14:textId="77777777" w:rsidR="00C8424B" w:rsidRPr="004D05E9" w:rsidRDefault="00C8424B" w:rsidP="00FD74B6">
            <w:pPr>
              <w:widowControl w:val="0"/>
              <w:overflowPunct w:val="0"/>
              <w:autoSpaceDE w:val="0"/>
              <w:autoSpaceDN w:val="0"/>
              <w:adjustRightInd w:val="0"/>
              <w:jc w:val="center"/>
              <w:rPr>
                <w:rFonts w:cs="Arial"/>
                <w:b/>
                <w:bCs/>
              </w:rPr>
            </w:pPr>
            <w:r w:rsidRPr="004D05E9">
              <w:rPr>
                <w:rFonts w:cs="Arial"/>
                <w:b/>
                <w:bCs/>
              </w:rPr>
              <w:t>2013</w:t>
            </w:r>
          </w:p>
        </w:tc>
        <w:tc>
          <w:tcPr>
            <w:tcW w:w="1141" w:type="dxa"/>
            <w:hideMark/>
          </w:tcPr>
          <w:p w14:paraId="014E1958" w14:textId="77777777" w:rsidR="00C8424B" w:rsidRPr="004D05E9" w:rsidRDefault="00C8424B" w:rsidP="00FD74B6">
            <w:pPr>
              <w:widowControl w:val="0"/>
              <w:overflowPunct w:val="0"/>
              <w:autoSpaceDE w:val="0"/>
              <w:autoSpaceDN w:val="0"/>
              <w:adjustRightInd w:val="0"/>
              <w:jc w:val="center"/>
              <w:rPr>
                <w:rFonts w:cs="Arial"/>
                <w:b/>
                <w:bCs/>
              </w:rPr>
            </w:pPr>
            <w:r w:rsidRPr="004D05E9">
              <w:rPr>
                <w:rFonts w:cs="Arial"/>
                <w:b/>
                <w:bCs/>
              </w:rPr>
              <w:t>2014</w:t>
            </w:r>
          </w:p>
        </w:tc>
        <w:tc>
          <w:tcPr>
            <w:tcW w:w="1141" w:type="dxa"/>
            <w:hideMark/>
          </w:tcPr>
          <w:p w14:paraId="2C2F0196" w14:textId="77777777" w:rsidR="00C8424B" w:rsidRPr="004D05E9" w:rsidRDefault="00C8424B" w:rsidP="00FD74B6">
            <w:pPr>
              <w:widowControl w:val="0"/>
              <w:overflowPunct w:val="0"/>
              <w:autoSpaceDE w:val="0"/>
              <w:autoSpaceDN w:val="0"/>
              <w:adjustRightInd w:val="0"/>
              <w:jc w:val="center"/>
              <w:rPr>
                <w:rFonts w:cs="Arial"/>
                <w:b/>
                <w:bCs/>
              </w:rPr>
            </w:pPr>
            <w:r w:rsidRPr="004D05E9">
              <w:rPr>
                <w:rFonts w:cs="Arial"/>
                <w:b/>
                <w:bCs/>
              </w:rPr>
              <w:t>2015</w:t>
            </w:r>
          </w:p>
        </w:tc>
        <w:tc>
          <w:tcPr>
            <w:tcW w:w="1141" w:type="dxa"/>
            <w:hideMark/>
          </w:tcPr>
          <w:p w14:paraId="225CAF50" w14:textId="77777777" w:rsidR="00C8424B" w:rsidRPr="004D05E9" w:rsidRDefault="00C8424B" w:rsidP="00FD74B6">
            <w:pPr>
              <w:widowControl w:val="0"/>
              <w:overflowPunct w:val="0"/>
              <w:autoSpaceDE w:val="0"/>
              <w:autoSpaceDN w:val="0"/>
              <w:adjustRightInd w:val="0"/>
              <w:jc w:val="center"/>
              <w:rPr>
                <w:rFonts w:cs="Arial"/>
                <w:b/>
                <w:bCs/>
              </w:rPr>
            </w:pPr>
            <w:r w:rsidRPr="004D05E9">
              <w:rPr>
                <w:rFonts w:cs="Arial"/>
                <w:b/>
                <w:bCs/>
              </w:rPr>
              <w:t>2016</w:t>
            </w:r>
          </w:p>
        </w:tc>
        <w:tc>
          <w:tcPr>
            <w:tcW w:w="1141" w:type="dxa"/>
            <w:hideMark/>
          </w:tcPr>
          <w:p w14:paraId="58BE4A8B" w14:textId="77777777" w:rsidR="00C8424B" w:rsidRPr="004D05E9" w:rsidRDefault="00C8424B" w:rsidP="00FD74B6">
            <w:pPr>
              <w:widowControl w:val="0"/>
              <w:overflowPunct w:val="0"/>
              <w:autoSpaceDE w:val="0"/>
              <w:autoSpaceDN w:val="0"/>
              <w:adjustRightInd w:val="0"/>
              <w:jc w:val="center"/>
              <w:rPr>
                <w:rFonts w:cs="Arial"/>
                <w:b/>
                <w:bCs/>
              </w:rPr>
            </w:pPr>
            <w:r w:rsidRPr="004D05E9">
              <w:rPr>
                <w:rFonts w:cs="Arial"/>
                <w:b/>
                <w:bCs/>
              </w:rPr>
              <w:t>2017</w:t>
            </w:r>
          </w:p>
        </w:tc>
        <w:tc>
          <w:tcPr>
            <w:tcW w:w="1141" w:type="dxa"/>
            <w:hideMark/>
          </w:tcPr>
          <w:p w14:paraId="173E9AB7" w14:textId="77777777" w:rsidR="00C8424B" w:rsidRPr="004D05E9" w:rsidRDefault="00C8424B" w:rsidP="00FD74B6">
            <w:pPr>
              <w:widowControl w:val="0"/>
              <w:overflowPunct w:val="0"/>
              <w:autoSpaceDE w:val="0"/>
              <w:autoSpaceDN w:val="0"/>
              <w:adjustRightInd w:val="0"/>
              <w:jc w:val="center"/>
              <w:rPr>
                <w:rFonts w:cs="Arial"/>
                <w:b/>
                <w:bCs/>
              </w:rPr>
            </w:pPr>
            <w:r w:rsidRPr="004D05E9">
              <w:rPr>
                <w:rFonts w:cs="Arial"/>
                <w:b/>
                <w:bCs/>
              </w:rPr>
              <w:t>2018</w:t>
            </w:r>
          </w:p>
        </w:tc>
        <w:tc>
          <w:tcPr>
            <w:tcW w:w="1000" w:type="dxa"/>
          </w:tcPr>
          <w:p w14:paraId="6D235BB5" w14:textId="1F716033" w:rsidR="00C8424B" w:rsidRPr="004D05E9" w:rsidRDefault="00C8424B" w:rsidP="00FD74B6">
            <w:pPr>
              <w:widowControl w:val="0"/>
              <w:overflowPunct w:val="0"/>
              <w:autoSpaceDE w:val="0"/>
              <w:autoSpaceDN w:val="0"/>
              <w:adjustRightInd w:val="0"/>
              <w:jc w:val="center"/>
              <w:rPr>
                <w:rFonts w:cs="Arial"/>
                <w:b/>
                <w:bCs/>
              </w:rPr>
            </w:pPr>
            <w:r w:rsidRPr="004D05E9">
              <w:rPr>
                <w:rFonts w:cs="Arial"/>
                <w:b/>
                <w:bCs/>
              </w:rPr>
              <w:t>2019</w:t>
            </w:r>
          </w:p>
        </w:tc>
      </w:tr>
      <w:tr w:rsidR="00C8424B" w:rsidRPr="004D05E9" w14:paraId="44F936C4" w14:textId="00820FDD" w:rsidTr="00C8424B">
        <w:trPr>
          <w:cantSplit/>
        </w:trPr>
        <w:tc>
          <w:tcPr>
            <w:tcW w:w="1505" w:type="dxa"/>
            <w:hideMark/>
          </w:tcPr>
          <w:p w14:paraId="4DC43851"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Target</w:t>
            </w:r>
          </w:p>
        </w:tc>
        <w:tc>
          <w:tcPr>
            <w:tcW w:w="1140" w:type="dxa"/>
            <w:hideMark/>
          </w:tcPr>
          <w:p w14:paraId="7BB16C6A"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15.72%</w:t>
            </w:r>
          </w:p>
        </w:tc>
        <w:tc>
          <w:tcPr>
            <w:tcW w:w="1141" w:type="dxa"/>
            <w:hideMark/>
          </w:tcPr>
          <w:p w14:paraId="60991B69"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14.72%</w:t>
            </w:r>
          </w:p>
        </w:tc>
        <w:tc>
          <w:tcPr>
            <w:tcW w:w="1141" w:type="dxa"/>
            <w:hideMark/>
          </w:tcPr>
          <w:p w14:paraId="6CBD838D"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13.72%</w:t>
            </w:r>
          </w:p>
        </w:tc>
        <w:tc>
          <w:tcPr>
            <w:tcW w:w="1141" w:type="dxa"/>
            <w:hideMark/>
          </w:tcPr>
          <w:p w14:paraId="3D6CB474"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12.72%</w:t>
            </w:r>
          </w:p>
        </w:tc>
        <w:tc>
          <w:tcPr>
            <w:tcW w:w="1141" w:type="dxa"/>
            <w:hideMark/>
          </w:tcPr>
          <w:p w14:paraId="0E53A647"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11.72%</w:t>
            </w:r>
          </w:p>
        </w:tc>
        <w:tc>
          <w:tcPr>
            <w:tcW w:w="1141" w:type="dxa"/>
            <w:hideMark/>
          </w:tcPr>
          <w:p w14:paraId="3A1EA6FE"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10.72%</w:t>
            </w:r>
          </w:p>
        </w:tc>
        <w:tc>
          <w:tcPr>
            <w:tcW w:w="1000" w:type="dxa"/>
          </w:tcPr>
          <w:p w14:paraId="18A75459" w14:textId="5DCC0A53"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9.72%</w:t>
            </w:r>
          </w:p>
        </w:tc>
      </w:tr>
      <w:tr w:rsidR="00C8424B" w:rsidRPr="004D05E9" w14:paraId="64AC5E4D" w14:textId="665BA39C" w:rsidTr="00C8424B">
        <w:trPr>
          <w:cantSplit/>
        </w:trPr>
        <w:tc>
          <w:tcPr>
            <w:tcW w:w="1505" w:type="dxa"/>
            <w:hideMark/>
          </w:tcPr>
          <w:p w14:paraId="27B6C489"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Result</w:t>
            </w:r>
          </w:p>
        </w:tc>
        <w:tc>
          <w:tcPr>
            <w:tcW w:w="1140" w:type="dxa"/>
            <w:hideMark/>
          </w:tcPr>
          <w:p w14:paraId="299E929D"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15.7%</w:t>
            </w:r>
          </w:p>
        </w:tc>
        <w:tc>
          <w:tcPr>
            <w:tcW w:w="1141" w:type="dxa"/>
            <w:hideMark/>
          </w:tcPr>
          <w:p w14:paraId="436B5884"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17.5%</w:t>
            </w:r>
          </w:p>
        </w:tc>
        <w:tc>
          <w:tcPr>
            <w:tcW w:w="1141" w:type="dxa"/>
            <w:hideMark/>
          </w:tcPr>
          <w:p w14:paraId="082FA4BC"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14.4%</w:t>
            </w:r>
          </w:p>
        </w:tc>
        <w:tc>
          <w:tcPr>
            <w:tcW w:w="1141" w:type="dxa"/>
            <w:hideMark/>
          </w:tcPr>
          <w:p w14:paraId="26CF7F8A"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13.7%</w:t>
            </w:r>
          </w:p>
        </w:tc>
        <w:tc>
          <w:tcPr>
            <w:tcW w:w="1141" w:type="dxa"/>
            <w:hideMark/>
          </w:tcPr>
          <w:p w14:paraId="015C904D"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11.3%</w:t>
            </w:r>
          </w:p>
        </w:tc>
        <w:tc>
          <w:tcPr>
            <w:tcW w:w="1141" w:type="dxa"/>
            <w:hideMark/>
          </w:tcPr>
          <w:p w14:paraId="5718922B"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11.2%</w:t>
            </w:r>
          </w:p>
        </w:tc>
        <w:tc>
          <w:tcPr>
            <w:tcW w:w="1000" w:type="dxa"/>
          </w:tcPr>
          <w:p w14:paraId="64A095BD" w14:textId="6EB4530F"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15.41%</w:t>
            </w:r>
          </w:p>
        </w:tc>
      </w:tr>
      <w:tr w:rsidR="00C8424B" w:rsidRPr="004D05E9" w14:paraId="3DBE64A1" w14:textId="7F9D51C4" w:rsidTr="00C8424B">
        <w:trPr>
          <w:cantSplit/>
        </w:trPr>
        <w:tc>
          <w:tcPr>
            <w:tcW w:w="1505" w:type="dxa"/>
            <w:hideMark/>
          </w:tcPr>
          <w:p w14:paraId="43AA9DBE"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Target Met</w:t>
            </w:r>
          </w:p>
        </w:tc>
        <w:tc>
          <w:tcPr>
            <w:tcW w:w="1140" w:type="dxa"/>
            <w:hideMark/>
          </w:tcPr>
          <w:p w14:paraId="03725FD6"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Yes</w:t>
            </w:r>
          </w:p>
        </w:tc>
        <w:tc>
          <w:tcPr>
            <w:tcW w:w="1141" w:type="dxa"/>
            <w:hideMark/>
          </w:tcPr>
          <w:p w14:paraId="55D3581A"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No</w:t>
            </w:r>
          </w:p>
        </w:tc>
        <w:tc>
          <w:tcPr>
            <w:tcW w:w="1141" w:type="dxa"/>
            <w:hideMark/>
          </w:tcPr>
          <w:p w14:paraId="27E7C29A"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No</w:t>
            </w:r>
          </w:p>
        </w:tc>
        <w:tc>
          <w:tcPr>
            <w:tcW w:w="1141" w:type="dxa"/>
            <w:hideMark/>
          </w:tcPr>
          <w:p w14:paraId="012149AB"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No</w:t>
            </w:r>
          </w:p>
        </w:tc>
        <w:tc>
          <w:tcPr>
            <w:tcW w:w="1141" w:type="dxa"/>
            <w:hideMark/>
          </w:tcPr>
          <w:p w14:paraId="7513CFAD"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Yes</w:t>
            </w:r>
          </w:p>
        </w:tc>
        <w:tc>
          <w:tcPr>
            <w:tcW w:w="1141" w:type="dxa"/>
            <w:hideMark/>
          </w:tcPr>
          <w:p w14:paraId="141326A6" w14:textId="77777777"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No</w:t>
            </w:r>
          </w:p>
        </w:tc>
        <w:tc>
          <w:tcPr>
            <w:tcW w:w="1000" w:type="dxa"/>
          </w:tcPr>
          <w:p w14:paraId="5156D1CD" w14:textId="2E6ACC2B" w:rsidR="00C8424B" w:rsidRPr="004D05E9" w:rsidRDefault="00C8424B" w:rsidP="00FD74B6">
            <w:pPr>
              <w:widowControl w:val="0"/>
              <w:overflowPunct w:val="0"/>
              <w:autoSpaceDE w:val="0"/>
              <w:autoSpaceDN w:val="0"/>
              <w:adjustRightInd w:val="0"/>
              <w:jc w:val="center"/>
              <w:rPr>
                <w:rFonts w:cs="Arial"/>
                <w:bCs/>
              </w:rPr>
            </w:pPr>
            <w:r w:rsidRPr="004D05E9">
              <w:rPr>
                <w:rFonts w:cs="Arial"/>
                <w:bCs/>
              </w:rPr>
              <w:t>No</w:t>
            </w:r>
          </w:p>
        </w:tc>
      </w:tr>
    </w:tbl>
    <w:p w14:paraId="4C27426A" w14:textId="77777777" w:rsidR="000C4926" w:rsidRPr="004D05E9" w:rsidRDefault="000C4926" w:rsidP="000C4926">
      <w:r w:rsidRPr="004D05E9">
        <w:br w:type="page"/>
      </w:r>
    </w:p>
    <w:p w14:paraId="192BB2C1" w14:textId="77777777" w:rsidR="00A50851" w:rsidRPr="004D05E9" w:rsidRDefault="00A50851" w:rsidP="00724781">
      <w:pPr>
        <w:pStyle w:val="Heading2"/>
        <w:spacing w:after="240"/>
        <w:jc w:val="center"/>
      </w:pPr>
      <w:bookmarkStart w:id="70" w:name="_Toc57199010"/>
      <w:r w:rsidRPr="004D05E9">
        <w:lastRenderedPageBreak/>
        <w:t>Indicator 3: Statewide Assessment</w:t>
      </w:r>
      <w:bookmarkEnd w:id="70"/>
    </w:p>
    <w:p w14:paraId="3C754C36" w14:textId="77777777" w:rsidR="00A50851" w:rsidRPr="004D05E9" w:rsidRDefault="00A50851" w:rsidP="00724781">
      <w:pPr>
        <w:pStyle w:val="Heading3"/>
        <w:spacing w:before="0" w:after="240"/>
        <w:rPr>
          <w:rFonts w:cs="Arial"/>
          <w:bCs/>
        </w:rPr>
      </w:pPr>
      <w:bookmarkStart w:id="71" w:name="_Toc57199011"/>
      <w:r w:rsidRPr="004D05E9">
        <w:t>Description</w:t>
      </w:r>
      <w:bookmarkStart w:id="72" w:name="i3"/>
      <w:bookmarkEnd w:id="71"/>
      <w:bookmarkEnd w:id="72"/>
    </w:p>
    <w:p w14:paraId="7AF992FF" w14:textId="77777777" w:rsidR="00A50851" w:rsidRPr="004D05E9" w:rsidRDefault="00A50851" w:rsidP="00724781">
      <w:pPr>
        <w:spacing w:after="240"/>
        <w:rPr>
          <w:rFonts w:cs="Arial"/>
        </w:rPr>
      </w:pPr>
      <w:r w:rsidRPr="004D05E9">
        <w:rPr>
          <w:rFonts w:cs="Arial"/>
        </w:rPr>
        <w:t>Indicator 3 is a performance indicator that measures the participation and performance of students with disabilities on statewide assessments including</w:t>
      </w:r>
      <w:r w:rsidR="0050464D" w:rsidRPr="004D05E9">
        <w:rPr>
          <w:rFonts w:cs="Arial"/>
        </w:rPr>
        <w:t>: p</w:t>
      </w:r>
      <w:r w:rsidRPr="004D05E9">
        <w:rPr>
          <w:rFonts w:cs="Arial"/>
        </w:rPr>
        <w:t>articipation rate for s</w:t>
      </w:r>
      <w:r w:rsidR="00AF459B" w:rsidRPr="004D05E9">
        <w:rPr>
          <w:rFonts w:cs="Arial"/>
        </w:rPr>
        <w:t>tudents with disabilities; and</w:t>
      </w:r>
      <w:r w:rsidR="0050464D" w:rsidRPr="004D05E9">
        <w:rPr>
          <w:rFonts w:cs="Arial"/>
        </w:rPr>
        <w:t xml:space="preserve"> </w:t>
      </w:r>
      <w:r w:rsidR="00AF459B" w:rsidRPr="004D05E9">
        <w:rPr>
          <w:rFonts w:cs="Arial"/>
        </w:rPr>
        <w:t>rate of</w:t>
      </w:r>
      <w:r w:rsidRPr="004D05E9">
        <w:rPr>
          <w:rFonts w:cs="Arial"/>
        </w:rPr>
        <w:t xml:space="preserve"> students with disabilities </w:t>
      </w:r>
      <w:r w:rsidR="00F16863" w:rsidRPr="004D05E9">
        <w:rPr>
          <w:rFonts w:cs="Arial"/>
        </w:rPr>
        <w:t xml:space="preserve">meeting standards </w:t>
      </w:r>
      <w:r w:rsidRPr="004D05E9">
        <w:rPr>
          <w:rFonts w:cs="Arial"/>
        </w:rPr>
        <w:t>against grade-level, modified, and alternate academic achievement standards (20 U.S.C. 1416</w:t>
      </w:r>
      <w:r w:rsidR="002A11EB" w:rsidRPr="004D05E9">
        <w:rPr>
          <w:rFonts w:cs="Arial"/>
        </w:rPr>
        <w:t xml:space="preserve"> Section</w:t>
      </w:r>
      <w:r w:rsidRPr="004D05E9">
        <w:rPr>
          <w:rFonts w:cs="Arial"/>
        </w:rPr>
        <w:t xml:space="preserve"> [a][3][A]).</w:t>
      </w:r>
    </w:p>
    <w:p w14:paraId="5389499B" w14:textId="35BA2B96" w:rsidR="00A50851" w:rsidRPr="004D05E9" w:rsidRDefault="00A50851" w:rsidP="00724781">
      <w:pPr>
        <w:pStyle w:val="Heading3"/>
        <w:spacing w:before="0" w:after="240"/>
      </w:pPr>
      <w:bookmarkStart w:id="73" w:name="_Toc57199012"/>
      <w:r w:rsidRPr="004D05E9">
        <w:t>Targets for 201</w:t>
      </w:r>
      <w:r w:rsidR="00C8424B" w:rsidRPr="004D05E9">
        <w:t>9</w:t>
      </w:r>
      <w:r w:rsidRPr="004D05E9">
        <w:t>–</w:t>
      </w:r>
      <w:r w:rsidR="00C8424B" w:rsidRPr="004D05E9">
        <w:t>20</w:t>
      </w:r>
      <w:bookmarkEnd w:id="73"/>
    </w:p>
    <w:p w14:paraId="54D99AA5" w14:textId="6AD1EB57" w:rsidR="00A50851" w:rsidRPr="004D05E9" w:rsidRDefault="0050464D" w:rsidP="00724781">
      <w:pPr>
        <w:spacing w:after="240"/>
        <w:rPr>
          <w:rFonts w:cs="Arial"/>
          <w:b/>
          <w:bCs/>
        </w:rPr>
      </w:pPr>
      <w:r w:rsidRPr="004D05E9">
        <w:rPr>
          <w:rFonts w:cs="Arial"/>
          <w:bCs/>
        </w:rPr>
        <w:t>T</w:t>
      </w:r>
      <w:r w:rsidR="00A50851" w:rsidRPr="004D05E9">
        <w:rPr>
          <w:rFonts w:cs="Arial"/>
          <w:bCs/>
        </w:rPr>
        <w:t>argets represent changes approved by the SBE and the OSEP in FFY 2014 and will be in effect for FFY</w:t>
      </w:r>
      <w:r w:rsidR="003A7E90" w:rsidRPr="004D05E9">
        <w:rPr>
          <w:rFonts w:cs="Arial"/>
          <w:bCs/>
        </w:rPr>
        <w:t>s</w:t>
      </w:r>
      <w:r w:rsidR="00A50851" w:rsidRPr="004D05E9">
        <w:rPr>
          <w:rFonts w:cs="Arial"/>
          <w:bCs/>
        </w:rPr>
        <w:t xml:space="preserve"> 2013–1</w:t>
      </w:r>
      <w:r w:rsidR="00C8424B" w:rsidRPr="004D05E9">
        <w:rPr>
          <w:rFonts w:cs="Arial"/>
          <w:bCs/>
        </w:rPr>
        <w:t>9</w:t>
      </w:r>
      <w:r w:rsidR="00A50851" w:rsidRPr="004D05E9">
        <w:rPr>
          <w:rFonts w:cs="Arial"/>
          <w:bCs/>
        </w:rPr>
        <w:t>.</w:t>
      </w:r>
    </w:p>
    <w:p w14:paraId="3B0E95E4" w14:textId="1AF22691" w:rsidR="00A50851" w:rsidRPr="004D05E9" w:rsidRDefault="00A50851" w:rsidP="00A50851">
      <w:pPr>
        <w:spacing w:after="240"/>
        <w:ind w:left="900" w:hanging="540"/>
        <w:rPr>
          <w:rFonts w:cs="Arial"/>
        </w:rPr>
      </w:pPr>
      <w:r w:rsidRPr="004D05E9">
        <w:rPr>
          <w:rFonts w:cs="Arial"/>
        </w:rPr>
        <w:t>3</w:t>
      </w:r>
      <w:r w:rsidR="73692D9F" w:rsidRPr="004D05E9">
        <w:rPr>
          <w:rFonts w:cs="Arial"/>
        </w:rPr>
        <w:t xml:space="preserve">A. </w:t>
      </w:r>
      <w:r w:rsidR="0099429E" w:rsidRPr="004D05E9">
        <w:rPr>
          <w:rFonts w:cs="Arial"/>
        </w:rPr>
        <w:t xml:space="preserve"> </w:t>
      </w:r>
      <w:r w:rsidR="73692D9F" w:rsidRPr="004D05E9">
        <w:rPr>
          <w:rFonts w:cs="Arial"/>
        </w:rPr>
        <w:t>This</w:t>
      </w:r>
      <w:r w:rsidRPr="004D05E9">
        <w:rPr>
          <w:rFonts w:cs="Arial"/>
        </w:rPr>
        <w:t xml:space="preserve"> indicator is not currently reported per direction from the </w:t>
      </w:r>
      <w:r w:rsidR="00187846" w:rsidRPr="004D05E9">
        <w:rPr>
          <w:rFonts w:cs="Arial"/>
        </w:rPr>
        <w:t>ED</w:t>
      </w:r>
      <w:r w:rsidRPr="004D05E9">
        <w:rPr>
          <w:rFonts w:cs="Arial"/>
        </w:rPr>
        <w:t>.</w:t>
      </w:r>
      <w:r w:rsidR="00AF459B" w:rsidRPr="004D05E9">
        <w:rPr>
          <w:rFonts w:cs="Arial"/>
        </w:rPr>
        <w:t xml:space="preserve"> This indicator is no longer used as it was a calculated percentage tied to Adequate Yearly Progress</w:t>
      </w:r>
      <w:r w:rsidR="00187846" w:rsidRPr="004D05E9">
        <w:rPr>
          <w:rFonts w:cs="Arial"/>
        </w:rPr>
        <w:t xml:space="preserve"> (AYP)</w:t>
      </w:r>
      <w:r w:rsidR="00724781" w:rsidRPr="004D05E9">
        <w:rPr>
          <w:rFonts w:cs="Arial"/>
        </w:rPr>
        <w:t xml:space="preserve"> which no longer exists.</w:t>
      </w:r>
    </w:p>
    <w:p w14:paraId="39991F86" w14:textId="56BE53C1" w:rsidR="00A50851" w:rsidRPr="004D05E9" w:rsidRDefault="00A50851" w:rsidP="00A50851">
      <w:pPr>
        <w:spacing w:after="240"/>
        <w:ind w:left="900" w:hanging="540"/>
        <w:rPr>
          <w:rFonts w:cs="Arial"/>
        </w:rPr>
      </w:pPr>
      <w:r w:rsidRPr="004D05E9">
        <w:rPr>
          <w:rFonts w:cs="Arial"/>
        </w:rPr>
        <w:t>3</w:t>
      </w:r>
      <w:r w:rsidR="39A4BE74" w:rsidRPr="004D05E9">
        <w:rPr>
          <w:rFonts w:cs="Arial"/>
        </w:rPr>
        <w:t xml:space="preserve">B. </w:t>
      </w:r>
      <w:r w:rsidR="0099429E" w:rsidRPr="004D05E9">
        <w:rPr>
          <w:rFonts w:cs="Arial"/>
        </w:rPr>
        <w:t xml:space="preserve"> </w:t>
      </w:r>
      <w:r w:rsidR="39A4BE74" w:rsidRPr="004D05E9">
        <w:rPr>
          <w:rFonts w:cs="Arial"/>
        </w:rPr>
        <w:t>The</w:t>
      </w:r>
      <w:r w:rsidRPr="004D05E9">
        <w:rPr>
          <w:rFonts w:cs="Arial"/>
        </w:rPr>
        <w:t xml:space="preserve"> annual benchmark and target for participation on statew</w:t>
      </w:r>
      <w:r w:rsidR="0050464D" w:rsidRPr="004D05E9">
        <w:rPr>
          <w:rFonts w:cs="Arial"/>
        </w:rPr>
        <w:t xml:space="preserve">ide assessments in </w:t>
      </w:r>
      <w:r w:rsidR="00187846" w:rsidRPr="004D05E9">
        <w:rPr>
          <w:rFonts w:cs="Arial"/>
        </w:rPr>
        <w:t>English Language Arts (</w:t>
      </w:r>
      <w:r w:rsidR="0050464D" w:rsidRPr="004D05E9">
        <w:rPr>
          <w:rFonts w:cs="Arial"/>
        </w:rPr>
        <w:t>ELA</w:t>
      </w:r>
      <w:r w:rsidR="00187846" w:rsidRPr="004D05E9">
        <w:rPr>
          <w:rFonts w:cs="Arial"/>
        </w:rPr>
        <w:t>)</w:t>
      </w:r>
      <w:r w:rsidR="0050464D" w:rsidRPr="004D05E9">
        <w:rPr>
          <w:rFonts w:cs="Arial"/>
        </w:rPr>
        <w:t xml:space="preserve"> and math is</w:t>
      </w:r>
      <w:r w:rsidRPr="004D05E9">
        <w:rPr>
          <w:rFonts w:cs="Arial"/>
        </w:rPr>
        <w:t xml:space="preserve"> 95 percent (rounded to nearest whole number), as established under ESEA.</w:t>
      </w:r>
    </w:p>
    <w:p w14:paraId="425B2D66" w14:textId="5E9FF89A" w:rsidR="00A50851" w:rsidRPr="004D05E9" w:rsidRDefault="00A50851" w:rsidP="33007713">
      <w:pPr>
        <w:spacing w:after="240"/>
        <w:ind w:left="900" w:hanging="540"/>
        <w:rPr>
          <w:rFonts w:cs="Arial"/>
        </w:rPr>
      </w:pPr>
      <w:r w:rsidRPr="004D05E9">
        <w:rPr>
          <w:rFonts w:cs="Arial"/>
        </w:rPr>
        <w:t>3</w:t>
      </w:r>
      <w:r w:rsidR="719EC270" w:rsidRPr="004D05E9">
        <w:rPr>
          <w:rFonts w:cs="Arial"/>
        </w:rPr>
        <w:t xml:space="preserve">C. </w:t>
      </w:r>
      <w:r w:rsidR="0099429E" w:rsidRPr="004D05E9">
        <w:rPr>
          <w:rFonts w:cs="Arial"/>
        </w:rPr>
        <w:t xml:space="preserve"> </w:t>
      </w:r>
      <w:r w:rsidR="719EC270" w:rsidRPr="004D05E9">
        <w:rPr>
          <w:rFonts w:cs="Arial"/>
        </w:rPr>
        <w:t>Consistent</w:t>
      </w:r>
      <w:r w:rsidRPr="004D05E9">
        <w:rPr>
          <w:rFonts w:cs="Arial"/>
        </w:rPr>
        <w:t xml:space="preserve"> with the ESEA accountability framework, the 2016–17 annual benchmarks for the percent</w:t>
      </w:r>
      <w:r w:rsidR="0050464D" w:rsidRPr="004D05E9">
        <w:rPr>
          <w:rFonts w:cs="Arial"/>
        </w:rPr>
        <w:t xml:space="preserve"> of students with disabil</w:t>
      </w:r>
      <w:r w:rsidR="00AC1F54" w:rsidRPr="004D05E9">
        <w:rPr>
          <w:rFonts w:cs="Arial"/>
        </w:rPr>
        <w:t>it</w:t>
      </w:r>
      <w:r w:rsidR="0050464D" w:rsidRPr="004D05E9">
        <w:rPr>
          <w:rFonts w:cs="Arial"/>
        </w:rPr>
        <w:t>ies</w:t>
      </w:r>
      <w:r w:rsidRPr="004D05E9">
        <w:rPr>
          <w:rFonts w:cs="Arial"/>
        </w:rPr>
        <w:t xml:space="preserve"> proficient on statewide assessments are broken down by subject and student group.</w:t>
      </w:r>
      <w:r w:rsidR="0050464D" w:rsidRPr="004D05E9">
        <w:rPr>
          <w:rFonts w:cs="Arial"/>
        </w:rPr>
        <w:t xml:space="preserve"> The targets for each student group </w:t>
      </w:r>
      <w:r w:rsidR="67A4651B" w:rsidRPr="004D05E9">
        <w:rPr>
          <w:rFonts w:cs="Arial"/>
        </w:rPr>
        <w:t>are</w:t>
      </w:r>
      <w:r w:rsidR="0050464D" w:rsidRPr="004D05E9">
        <w:rPr>
          <w:rFonts w:cs="Arial"/>
        </w:rPr>
        <w:t xml:space="preserve"> listed below.</w:t>
      </w:r>
    </w:p>
    <w:p w14:paraId="3EE9741A" w14:textId="7E78A841" w:rsidR="00A50851" w:rsidRPr="004D05E9" w:rsidRDefault="00A50851" w:rsidP="00A50851">
      <w:pPr>
        <w:jc w:val="center"/>
        <w:rPr>
          <w:rFonts w:cs="Arial"/>
          <w:bCs/>
        </w:rPr>
      </w:pPr>
      <w:r w:rsidRPr="004D05E9">
        <w:rPr>
          <w:rFonts w:cs="Arial"/>
          <w:bCs/>
        </w:rPr>
        <w:t>ELA = 1</w:t>
      </w:r>
      <w:r w:rsidR="00C8424B" w:rsidRPr="004D05E9">
        <w:rPr>
          <w:rFonts w:cs="Arial"/>
          <w:bCs/>
        </w:rPr>
        <w:t>6</w:t>
      </w:r>
      <w:r w:rsidRPr="004D05E9">
        <w:rPr>
          <w:rFonts w:cs="Arial"/>
          <w:bCs/>
        </w:rPr>
        <w:t>.9 percent</w:t>
      </w:r>
    </w:p>
    <w:p w14:paraId="1D17DF51" w14:textId="0AB3DB17" w:rsidR="00A50851" w:rsidRPr="004D05E9" w:rsidRDefault="00A50851" w:rsidP="00724781">
      <w:pPr>
        <w:spacing w:after="240"/>
        <w:jc w:val="center"/>
        <w:rPr>
          <w:rFonts w:cs="Arial"/>
          <w:bCs/>
        </w:rPr>
      </w:pPr>
      <w:r w:rsidRPr="004D05E9">
        <w:rPr>
          <w:rFonts w:cs="Arial"/>
          <w:bCs/>
        </w:rPr>
        <w:t>Math = 1</w:t>
      </w:r>
      <w:r w:rsidR="00C8424B" w:rsidRPr="004D05E9">
        <w:rPr>
          <w:rFonts w:cs="Arial"/>
          <w:bCs/>
        </w:rPr>
        <w:t>4</w:t>
      </w:r>
      <w:r w:rsidRPr="004D05E9">
        <w:rPr>
          <w:rFonts w:cs="Arial"/>
          <w:bCs/>
        </w:rPr>
        <w:t>.6 percent</w:t>
      </w:r>
    </w:p>
    <w:p w14:paraId="37DEE00C" w14:textId="77777777" w:rsidR="00A50851" w:rsidRPr="004D05E9" w:rsidRDefault="00A50851" w:rsidP="00724781">
      <w:pPr>
        <w:pStyle w:val="Heading3"/>
        <w:spacing w:before="0" w:after="240"/>
      </w:pPr>
      <w:bookmarkStart w:id="74" w:name="_Toc57199013"/>
      <w:r w:rsidRPr="004D05E9">
        <w:t>Measurement</w:t>
      </w:r>
      <w:bookmarkEnd w:id="74"/>
    </w:p>
    <w:p w14:paraId="7C45F9FB" w14:textId="77777777" w:rsidR="00A50851" w:rsidRPr="004D05E9" w:rsidRDefault="00A50851" w:rsidP="00724781">
      <w:pPr>
        <w:pStyle w:val="Header"/>
        <w:tabs>
          <w:tab w:val="left" w:pos="720"/>
        </w:tabs>
        <w:spacing w:after="240"/>
        <w:rPr>
          <w:rFonts w:cs="Arial"/>
          <w:kern w:val="24"/>
        </w:rPr>
      </w:pPr>
      <w:r w:rsidRPr="004D05E9">
        <w:rPr>
          <w:rFonts w:cs="Arial"/>
          <w:kern w:val="24"/>
        </w:rPr>
        <w:t>Participation rate percent</w:t>
      </w:r>
      <w:r w:rsidR="00AC1F54" w:rsidRPr="004D05E9">
        <w:rPr>
          <w:rFonts w:cs="Arial"/>
          <w:kern w:val="24"/>
        </w:rPr>
        <w:t>age</w:t>
      </w:r>
      <w:r w:rsidRPr="004D05E9">
        <w:rPr>
          <w:rFonts w:cs="Arial"/>
          <w:kern w:val="24"/>
        </w:rPr>
        <w:t xml:space="preserve"> equals the number of students with disabilities participating in the </w:t>
      </w:r>
      <w:r w:rsidR="001A0FF3" w:rsidRPr="004D05E9">
        <w:rPr>
          <w:rFonts w:cs="Arial"/>
          <w:kern w:val="24"/>
        </w:rPr>
        <w:t>California Assessment of Student P</w:t>
      </w:r>
      <w:r w:rsidR="00187846" w:rsidRPr="004D05E9">
        <w:rPr>
          <w:rFonts w:cs="Arial"/>
          <w:kern w:val="24"/>
        </w:rPr>
        <w:t>erformance and Progress</w:t>
      </w:r>
      <w:r w:rsidRPr="004D05E9">
        <w:rPr>
          <w:rFonts w:cs="Arial"/>
          <w:kern w:val="24"/>
        </w:rPr>
        <w:t xml:space="preserve"> tests divided by the total number of students with disabilities enrolled on the first day of testing, calculated s</w:t>
      </w:r>
      <w:r w:rsidR="00724781" w:rsidRPr="004D05E9">
        <w:rPr>
          <w:rFonts w:cs="Arial"/>
          <w:kern w:val="24"/>
        </w:rPr>
        <w:t>eparately for reading and math.</w:t>
      </w:r>
    </w:p>
    <w:p w14:paraId="23941948" w14:textId="77777777" w:rsidR="00A50851" w:rsidRPr="004D05E9" w:rsidRDefault="00A50851" w:rsidP="00724781">
      <w:pPr>
        <w:spacing w:after="600"/>
        <w:rPr>
          <w:rFonts w:cs="Arial"/>
          <w:kern w:val="24"/>
        </w:rPr>
      </w:pPr>
      <w:r w:rsidRPr="004D05E9">
        <w:rPr>
          <w:rFonts w:cs="Arial"/>
          <w:kern w:val="24"/>
        </w:rPr>
        <w:t>Proficiency rate percent</w:t>
      </w:r>
      <w:r w:rsidR="00AC1F54" w:rsidRPr="004D05E9">
        <w:rPr>
          <w:rFonts w:cs="Arial"/>
          <w:kern w:val="24"/>
        </w:rPr>
        <w:t>age</w:t>
      </w:r>
      <w:r w:rsidRPr="004D05E9">
        <w:rPr>
          <w:rFonts w:cs="Arial"/>
          <w:kern w:val="24"/>
        </w:rPr>
        <w:t xml:space="preserve"> equals</w:t>
      </w:r>
      <w:r w:rsidR="00187846" w:rsidRPr="004D05E9">
        <w:rPr>
          <w:rFonts w:cs="Arial"/>
          <w:kern w:val="24"/>
        </w:rPr>
        <w:t xml:space="preserve"> the</w:t>
      </w:r>
      <w:r w:rsidRPr="004D05E9">
        <w:rPr>
          <w:rFonts w:cs="Arial"/>
          <w:kern w:val="24"/>
        </w:rPr>
        <w:t xml:space="preserve"> number of students with disabilities scoring at or above proficient</w:t>
      </w:r>
      <w:r w:rsidR="00CA2639" w:rsidRPr="004D05E9">
        <w:rPr>
          <w:rFonts w:cs="Arial"/>
          <w:kern w:val="24"/>
        </w:rPr>
        <w:t xml:space="preserve"> against grade level and alternate academic achievement standards</w:t>
      </w:r>
      <w:r w:rsidRPr="004D05E9">
        <w:rPr>
          <w:rFonts w:cs="Arial"/>
          <w:kern w:val="24"/>
        </w:rPr>
        <w:t xml:space="preserve"> divided by the total number of students with disabilities </w:t>
      </w:r>
      <w:r w:rsidR="00CA2639" w:rsidRPr="004D05E9">
        <w:rPr>
          <w:rFonts w:cs="Arial"/>
          <w:kern w:val="24"/>
        </w:rPr>
        <w:t>who received a valid score and for whom a p</w:t>
      </w:r>
      <w:r w:rsidR="000B3B74" w:rsidRPr="004D05E9">
        <w:rPr>
          <w:rFonts w:cs="Arial"/>
          <w:kern w:val="24"/>
        </w:rPr>
        <w:t>roficiency level was assigned, and c</w:t>
      </w:r>
      <w:r w:rsidRPr="004D05E9">
        <w:rPr>
          <w:rFonts w:cs="Arial"/>
          <w:kern w:val="24"/>
        </w:rPr>
        <w:t>alculated separately for reading and math.</w:t>
      </w:r>
    </w:p>
    <w:p w14:paraId="039AA5D1" w14:textId="324FE2E6" w:rsidR="0050464D" w:rsidRPr="004D05E9" w:rsidRDefault="00A50851" w:rsidP="00724781">
      <w:pPr>
        <w:pStyle w:val="Heading3"/>
        <w:spacing w:before="0" w:after="240"/>
      </w:pPr>
      <w:bookmarkStart w:id="75" w:name="_Toc57199014"/>
      <w:r w:rsidRPr="004D05E9">
        <w:lastRenderedPageBreak/>
        <w:t>Results for 201</w:t>
      </w:r>
      <w:r w:rsidR="00B0350E" w:rsidRPr="004D05E9">
        <w:t>9</w:t>
      </w:r>
      <w:r w:rsidRPr="004D05E9">
        <w:t>–</w:t>
      </w:r>
      <w:r w:rsidR="00B0350E" w:rsidRPr="004D05E9">
        <w:t>20</w:t>
      </w:r>
      <w:bookmarkEnd w:id="75"/>
    </w:p>
    <w:p w14:paraId="5ED8016A" w14:textId="37673488" w:rsidR="0050464D" w:rsidRPr="004D05E9" w:rsidRDefault="0050464D" w:rsidP="00724781">
      <w:pPr>
        <w:pStyle w:val="Heading3"/>
        <w:spacing w:before="0" w:after="240"/>
      </w:pPr>
      <w:bookmarkStart w:id="76" w:name="_Toc57199015"/>
      <w:r w:rsidRPr="004D05E9">
        <w:t>Target Met: 3A Not Reported</w:t>
      </w:r>
      <w:r w:rsidR="00DC0D28" w:rsidRPr="004D05E9">
        <w:t>,</w:t>
      </w:r>
      <w:r w:rsidRPr="004D05E9">
        <w:t xml:space="preserve"> 3B No</w:t>
      </w:r>
      <w:r w:rsidR="00C8424B" w:rsidRPr="004D05E9">
        <w:t>t Reported</w:t>
      </w:r>
      <w:r w:rsidR="00DC0D28" w:rsidRPr="004D05E9">
        <w:t>,</w:t>
      </w:r>
      <w:r w:rsidRPr="004D05E9">
        <w:t xml:space="preserve"> </w:t>
      </w:r>
      <w:r w:rsidR="00F63F32" w:rsidRPr="004D05E9">
        <w:t>3C</w:t>
      </w:r>
      <w:r w:rsidRPr="004D05E9">
        <w:t xml:space="preserve"> </w:t>
      </w:r>
      <w:r w:rsidR="00C8424B" w:rsidRPr="004D05E9">
        <w:t>Not Reported</w:t>
      </w:r>
      <w:bookmarkEnd w:id="76"/>
    </w:p>
    <w:p w14:paraId="0D571D4D" w14:textId="60E91D82" w:rsidR="008702A6" w:rsidRPr="004D05E9" w:rsidRDefault="008702A6" w:rsidP="008702A6">
      <w:r w:rsidRPr="004D05E9">
        <w:t xml:space="preserve">Indicator 3, by OSEP direction, has been waived for the FFY 2019 APR. Due to the nationwide </w:t>
      </w:r>
      <w:r w:rsidR="00B01604" w:rsidRPr="004D05E9">
        <w:t xml:space="preserve">Covid-19 </w:t>
      </w:r>
      <w:r w:rsidRPr="004D05E9">
        <w:t>pandemic Statewide assessments were not administered and there is no data for this indicator.</w:t>
      </w:r>
    </w:p>
    <w:p w14:paraId="71A47828" w14:textId="77777777" w:rsidR="008702A6" w:rsidRPr="004D05E9" w:rsidRDefault="008702A6" w:rsidP="008702A6"/>
    <w:p w14:paraId="1FBB2C15" w14:textId="00C1C08D" w:rsidR="00A50851" w:rsidRPr="004D05E9" w:rsidRDefault="00A50851" w:rsidP="00A50851">
      <w:pPr>
        <w:numPr>
          <w:ilvl w:val="0"/>
          <w:numId w:val="10"/>
        </w:numPr>
        <w:ind w:left="360"/>
        <w:rPr>
          <w:rFonts w:cs="Arial"/>
          <w:bCs/>
        </w:rPr>
      </w:pPr>
      <w:r w:rsidRPr="004D05E9">
        <w:rPr>
          <w:rFonts w:cs="Arial"/>
          <w:bCs/>
        </w:rPr>
        <w:t>In FFY 201</w:t>
      </w:r>
      <w:r w:rsidR="00C8424B" w:rsidRPr="004D05E9">
        <w:rPr>
          <w:rFonts w:cs="Arial"/>
          <w:bCs/>
        </w:rPr>
        <w:t>9</w:t>
      </w:r>
      <w:r w:rsidRPr="004D05E9">
        <w:rPr>
          <w:rFonts w:cs="Arial"/>
          <w:bCs/>
        </w:rPr>
        <w:t xml:space="preserve"> for Target A, the results are as follows:</w:t>
      </w:r>
    </w:p>
    <w:p w14:paraId="6A96DCAC" w14:textId="77777777" w:rsidR="00A50851" w:rsidRPr="004D05E9" w:rsidRDefault="00A50851" w:rsidP="00A50851">
      <w:pPr>
        <w:ind w:left="360"/>
        <w:rPr>
          <w:rFonts w:cs="Arial"/>
          <w:b/>
          <w:bCs/>
        </w:rPr>
      </w:pPr>
      <w:r w:rsidRPr="004D05E9">
        <w:rPr>
          <w:rFonts w:cs="Arial"/>
          <w:b/>
          <w:bCs/>
        </w:rPr>
        <w:t>P</w:t>
      </w:r>
      <w:r w:rsidR="0050464D" w:rsidRPr="004D05E9">
        <w:rPr>
          <w:rFonts w:cs="Arial"/>
          <w:b/>
          <w:bCs/>
        </w:rPr>
        <w:t xml:space="preserve">ercent of LEAs Meeting AYP for </w:t>
      </w:r>
      <w:r w:rsidR="000B3B74" w:rsidRPr="004D05E9">
        <w:rPr>
          <w:rFonts w:cs="Arial"/>
          <w:b/>
          <w:bCs/>
        </w:rPr>
        <w:t>D</w:t>
      </w:r>
      <w:r w:rsidRPr="004D05E9">
        <w:rPr>
          <w:rFonts w:cs="Arial"/>
          <w:b/>
          <w:bCs/>
        </w:rPr>
        <w:t xml:space="preserve">isability </w:t>
      </w:r>
      <w:r w:rsidR="000B3B74" w:rsidRPr="004D05E9">
        <w:rPr>
          <w:rFonts w:cs="Arial"/>
          <w:b/>
          <w:bCs/>
        </w:rPr>
        <w:t>S</w:t>
      </w:r>
      <w:r w:rsidRPr="004D05E9">
        <w:rPr>
          <w:rFonts w:cs="Arial"/>
          <w:b/>
          <w:bCs/>
        </w:rPr>
        <w:t xml:space="preserve">tudent </w:t>
      </w:r>
      <w:r w:rsidR="000B3B74" w:rsidRPr="004D05E9">
        <w:rPr>
          <w:rFonts w:cs="Arial"/>
          <w:b/>
          <w:bCs/>
        </w:rPr>
        <w:t>G</w:t>
      </w:r>
      <w:r w:rsidRPr="004D05E9">
        <w:rPr>
          <w:rFonts w:cs="Arial"/>
          <w:b/>
          <w:bCs/>
        </w:rPr>
        <w:t>roup (3A)</w:t>
      </w:r>
    </w:p>
    <w:tbl>
      <w:tblPr>
        <w:tblStyle w:val="TableGrid"/>
        <w:tblW w:w="7965" w:type="dxa"/>
        <w:tblLook w:val="01E0" w:firstRow="1" w:lastRow="1" w:firstColumn="1" w:lastColumn="1" w:noHBand="0" w:noVBand="0"/>
        <w:tblDescription w:val="Indicator 3A Targets and Results"/>
      </w:tblPr>
      <w:tblGrid>
        <w:gridCol w:w="1631"/>
        <w:gridCol w:w="884"/>
        <w:gridCol w:w="1030"/>
        <w:gridCol w:w="884"/>
        <w:gridCol w:w="884"/>
        <w:gridCol w:w="884"/>
        <w:gridCol w:w="884"/>
        <w:gridCol w:w="884"/>
      </w:tblGrid>
      <w:tr w:rsidR="008702A6" w:rsidRPr="004D05E9" w14:paraId="32BF3C10" w14:textId="7F46535F" w:rsidTr="008702A6">
        <w:trPr>
          <w:cantSplit/>
          <w:trHeight w:val="287"/>
          <w:tblHeader/>
        </w:trPr>
        <w:tc>
          <w:tcPr>
            <w:tcW w:w="1631" w:type="dxa"/>
            <w:hideMark/>
          </w:tcPr>
          <w:p w14:paraId="389C916B" w14:textId="77777777" w:rsidR="008702A6" w:rsidRPr="004D05E9" w:rsidRDefault="008702A6" w:rsidP="00FD74B6">
            <w:pPr>
              <w:rPr>
                <w:rFonts w:cs="Arial"/>
                <w:b/>
              </w:rPr>
            </w:pPr>
            <w:r w:rsidRPr="004D05E9">
              <w:rPr>
                <w:rFonts w:cs="Arial"/>
                <w:b/>
              </w:rPr>
              <w:t>Indicator 3A</w:t>
            </w:r>
          </w:p>
        </w:tc>
        <w:tc>
          <w:tcPr>
            <w:tcW w:w="884" w:type="dxa"/>
            <w:hideMark/>
          </w:tcPr>
          <w:p w14:paraId="69839507" w14:textId="77777777" w:rsidR="008702A6" w:rsidRPr="004D05E9" w:rsidRDefault="008702A6" w:rsidP="00FD74B6">
            <w:pPr>
              <w:jc w:val="center"/>
              <w:rPr>
                <w:rFonts w:cs="Arial"/>
                <w:b/>
              </w:rPr>
            </w:pPr>
            <w:r w:rsidRPr="004D05E9">
              <w:rPr>
                <w:rFonts w:cs="Arial"/>
                <w:b/>
                <w:bCs/>
              </w:rPr>
              <w:t>2013</w:t>
            </w:r>
          </w:p>
        </w:tc>
        <w:tc>
          <w:tcPr>
            <w:tcW w:w="1030" w:type="dxa"/>
            <w:hideMark/>
          </w:tcPr>
          <w:p w14:paraId="77F9219B" w14:textId="77777777" w:rsidR="008702A6" w:rsidRPr="004D05E9" w:rsidRDefault="008702A6" w:rsidP="00FD74B6">
            <w:pPr>
              <w:jc w:val="center"/>
              <w:rPr>
                <w:rFonts w:cs="Arial"/>
                <w:b/>
              </w:rPr>
            </w:pPr>
            <w:r w:rsidRPr="004D05E9">
              <w:rPr>
                <w:rFonts w:cs="Arial"/>
                <w:b/>
                <w:bCs/>
              </w:rPr>
              <w:t>2014</w:t>
            </w:r>
          </w:p>
        </w:tc>
        <w:tc>
          <w:tcPr>
            <w:tcW w:w="884" w:type="dxa"/>
            <w:hideMark/>
          </w:tcPr>
          <w:p w14:paraId="2B8B1F03" w14:textId="77777777" w:rsidR="008702A6" w:rsidRPr="004D05E9" w:rsidRDefault="008702A6" w:rsidP="00FD74B6">
            <w:pPr>
              <w:jc w:val="center"/>
              <w:rPr>
                <w:rFonts w:cs="Arial"/>
                <w:b/>
                <w:bCs/>
              </w:rPr>
            </w:pPr>
            <w:r w:rsidRPr="004D05E9">
              <w:rPr>
                <w:rFonts w:cs="Arial"/>
                <w:b/>
                <w:bCs/>
              </w:rPr>
              <w:t>2015</w:t>
            </w:r>
          </w:p>
        </w:tc>
        <w:tc>
          <w:tcPr>
            <w:tcW w:w="884" w:type="dxa"/>
            <w:hideMark/>
          </w:tcPr>
          <w:p w14:paraId="1331788E" w14:textId="77777777" w:rsidR="008702A6" w:rsidRPr="004D05E9" w:rsidRDefault="008702A6" w:rsidP="00FD74B6">
            <w:pPr>
              <w:jc w:val="center"/>
              <w:rPr>
                <w:rFonts w:cs="Arial"/>
                <w:b/>
                <w:bCs/>
              </w:rPr>
            </w:pPr>
            <w:r w:rsidRPr="004D05E9">
              <w:rPr>
                <w:rFonts w:cs="Arial"/>
                <w:b/>
                <w:bCs/>
              </w:rPr>
              <w:t>2016</w:t>
            </w:r>
          </w:p>
        </w:tc>
        <w:tc>
          <w:tcPr>
            <w:tcW w:w="884" w:type="dxa"/>
            <w:hideMark/>
          </w:tcPr>
          <w:p w14:paraId="6BEA977B" w14:textId="77777777" w:rsidR="008702A6" w:rsidRPr="004D05E9" w:rsidRDefault="008702A6" w:rsidP="00FD74B6">
            <w:pPr>
              <w:jc w:val="center"/>
              <w:rPr>
                <w:rFonts w:cs="Arial"/>
                <w:b/>
                <w:bCs/>
              </w:rPr>
            </w:pPr>
            <w:r w:rsidRPr="004D05E9">
              <w:rPr>
                <w:rFonts w:cs="Arial"/>
                <w:b/>
                <w:bCs/>
              </w:rPr>
              <w:t>2017</w:t>
            </w:r>
          </w:p>
        </w:tc>
        <w:tc>
          <w:tcPr>
            <w:tcW w:w="884" w:type="dxa"/>
            <w:hideMark/>
          </w:tcPr>
          <w:p w14:paraId="21C236DB" w14:textId="77777777" w:rsidR="008702A6" w:rsidRPr="004D05E9" w:rsidRDefault="008702A6" w:rsidP="00FD74B6">
            <w:pPr>
              <w:jc w:val="center"/>
              <w:rPr>
                <w:rFonts w:cs="Arial"/>
                <w:b/>
                <w:bCs/>
              </w:rPr>
            </w:pPr>
            <w:r w:rsidRPr="004D05E9">
              <w:rPr>
                <w:rFonts w:cs="Arial"/>
                <w:b/>
                <w:bCs/>
              </w:rPr>
              <w:t>2018</w:t>
            </w:r>
          </w:p>
        </w:tc>
        <w:tc>
          <w:tcPr>
            <w:tcW w:w="884" w:type="dxa"/>
          </w:tcPr>
          <w:p w14:paraId="47F951CE" w14:textId="5FED615D" w:rsidR="008702A6" w:rsidRPr="004D05E9" w:rsidRDefault="008702A6" w:rsidP="00FD74B6">
            <w:pPr>
              <w:jc w:val="center"/>
              <w:rPr>
                <w:rFonts w:cs="Arial"/>
                <w:b/>
                <w:bCs/>
              </w:rPr>
            </w:pPr>
            <w:r w:rsidRPr="004D05E9">
              <w:rPr>
                <w:rFonts w:cs="Arial"/>
                <w:b/>
                <w:bCs/>
              </w:rPr>
              <w:t>2019</w:t>
            </w:r>
          </w:p>
        </w:tc>
      </w:tr>
      <w:tr w:rsidR="008702A6" w:rsidRPr="004D05E9" w14:paraId="7B2B4FD5" w14:textId="42C43410" w:rsidTr="008702A6">
        <w:trPr>
          <w:cantSplit/>
        </w:trPr>
        <w:tc>
          <w:tcPr>
            <w:tcW w:w="1631" w:type="dxa"/>
            <w:hideMark/>
          </w:tcPr>
          <w:p w14:paraId="6D6FF6BE" w14:textId="77777777" w:rsidR="008702A6" w:rsidRPr="004D05E9" w:rsidRDefault="008702A6" w:rsidP="00FD74B6">
            <w:pPr>
              <w:rPr>
                <w:rFonts w:cs="Arial"/>
              </w:rPr>
            </w:pPr>
            <w:r w:rsidRPr="004D05E9">
              <w:rPr>
                <w:rFonts w:cs="Arial"/>
              </w:rPr>
              <w:t>Target</w:t>
            </w:r>
          </w:p>
        </w:tc>
        <w:tc>
          <w:tcPr>
            <w:tcW w:w="884" w:type="dxa"/>
            <w:hideMark/>
          </w:tcPr>
          <w:p w14:paraId="7B59DB6B" w14:textId="77777777" w:rsidR="008702A6" w:rsidRPr="004D05E9" w:rsidRDefault="008702A6" w:rsidP="00FD74B6">
            <w:pPr>
              <w:jc w:val="center"/>
              <w:rPr>
                <w:rFonts w:cs="Arial"/>
              </w:rPr>
            </w:pPr>
            <w:r w:rsidRPr="004D05E9">
              <w:rPr>
                <w:rFonts w:cs="Arial"/>
              </w:rPr>
              <w:t>58%</w:t>
            </w:r>
          </w:p>
        </w:tc>
        <w:tc>
          <w:tcPr>
            <w:tcW w:w="1030" w:type="dxa"/>
            <w:hideMark/>
          </w:tcPr>
          <w:p w14:paraId="41439693" w14:textId="77777777" w:rsidR="008702A6" w:rsidRPr="004D05E9" w:rsidRDefault="008702A6" w:rsidP="00FD74B6">
            <w:pPr>
              <w:jc w:val="center"/>
              <w:rPr>
                <w:rFonts w:cs="Arial"/>
              </w:rPr>
            </w:pPr>
            <w:r w:rsidRPr="004D05E9">
              <w:rPr>
                <w:rFonts w:cs="Arial"/>
              </w:rPr>
              <w:t>59%</w:t>
            </w:r>
          </w:p>
        </w:tc>
        <w:tc>
          <w:tcPr>
            <w:tcW w:w="884" w:type="dxa"/>
            <w:hideMark/>
          </w:tcPr>
          <w:p w14:paraId="58F4653C" w14:textId="77777777" w:rsidR="008702A6" w:rsidRPr="004D05E9" w:rsidRDefault="008702A6" w:rsidP="00FD74B6">
            <w:pPr>
              <w:jc w:val="center"/>
              <w:rPr>
                <w:rFonts w:cs="Arial"/>
              </w:rPr>
            </w:pPr>
            <w:r w:rsidRPr="004D05E9">
              <w:rPr>
                <w:rFonts w:cs="Arial"/>
              </w:rPr>
              <w:t>*</w:t>
            </w:r>
          </w:p>
        </w:tc>
        <w:tc>
          <w:tcPr>
            <w:tcW w:w="884" w:type="dxa"/>
            <w:hideMark/>
          </w:tcPr>
          <w:p w14:paraId="32DC94DA" w14:textId="77777777" w:rsidR="008702A6" w:rsidRPr="004D05E9" w:rsidRDefault="008702A6" w:rsidP="00FD74B6">
            <w:pPr>
              <w:jc w:val="center"/>
              <w:rPr>
                <w:rFonts w:cs="Arial"/>
              </w:rPr>
            </w:pPr>
            <w:r w:rsidRPr="004D05E9">
              <w:rPr>
                <w:rFonts w:cs="Arial"/>
              </w:rPr>
              <w:t>*</w:t>
            </w:r>
          </w:p>
        </w:tc>
        <w:tc>
          <w:tcPr>
            <w:tcW w:w="884" w:type="dxa"/>
            <w:hideMark/>
          </w:tcPr>
          <w:p w14:paraId="534731CE" w14:textId="77777777" w:rsidR="008702A6" w:rsidRPr="004D05E9" w:rsidRDefault="008702A6" w:rsidP="00FD74B6">
            <w:pPr>
              <w:jc w:val="center"/>
              <w:rPr>
                <w:rFonts w:cs="Arial"/>
              </w:rPr>
            </w:pPr>
            <w:r w:rsidRPr="004D05E9">
              <w:rPr>
                <w:rFonts w:cs="Arial"/>
              </w:rPr>
              <w:t>*</w:t>
            </w:r>
          </w:p>
        </w:tc>
        <w:tc>
          <w:tcPr>
            <w:tcW w:w="884" w:type="dxa"/>
            <w:hideMark/>
          </w:tcPr>
          <w:p w14:paraId="6D4E9808" w14:textId="77777777" w:rsidR="008702A6" w:rsidRPr="004D05E9" w:rsidRDefault="008702A6" w:rsidP="00FD74B6">
            <w:pPr>
              <w:jc w:val="center"/>
              <w:rPr>
                <w:rFonts w:cs="Arial"/>
              </w:rPr>
            </w:pPr>
            <w:r w:rsidRPr="004D05E9">
              <w:rPr>
                <w:rFonts w:cs="Arial"/>
              </w:rPr>
              <w:t>*</w:t>
            </w:r>
          </w:p>
        </w:tc>
        <w:tc>
          <w:tcPr>
            <w:tcW w:w="884" w:type="dxa"/>
          </w:tcPr>
          <w:p w14:paraId="7C0E16B0" w14:textId="30BD044D" w:rsidR="008702A6" w:rsidRPr="004D05E9" w:rsidRDefault="008702A6" w:rsidP="00FD74B6">
            <w:pPr>
              <w:jc w:val="center"/>
              <w:rPr>
                <w:rFonts w:cs="Arial"/>
              </w:rPr>
            </w:pPr>
            <w:r w:rsidRPr="004D05E9">
              <w:rPr>
                <w:rFonts w:cs="Arial"/>
              </w:rPr>
              <w:t>*</w:t>
            </w:r>
          </w:p>
        </w:tc>
      </w:tr>
      <w:tr w:rsidR="008702A6" w:rsidRPr="004D05E9" w14:paraId="4CCEBFE7" w14:textId="438945B7" w:rsidTr="008702A6">
        <w:trPr>
          <w:cantSplit/>
        </w:trPr>
        <w:tc>
          <w:tcPr>
            <w:tcW w:w="1631" w:type="dxa"/>
            <w:hideMark/>
          </w:tcPr>
          <w:p w14:paraId="47A291FE" w14:textId="77777777" w:rsidR="008702A6" w:rsidRPr="004D05E9" w:rsidRDefault="008702A6" w:rsidP="00FD74B6">
            <w:pPr>
              <w:rPr>
                <w:rFonts w:cs="Arial"/>
              </w:rPr>
            </w:pPr>
            <w:r w:rsidRPr="004D05E9">
              <w:rPr>
                <w:rFonts w:cs="Arial"/>
              </w:rPr>
              <w:t>Result</w:t>
            </w:r>
          </w:p>
        </w:tc>
        <w:tc>
          <w:tcPr>
            <w:tcW w:w="884" w:type="dxa"/>
            <w:hideMark/>
          </w:tcPr>
          <w:p w14:paraId="42C7A19A" w14:textId="77777777" w:rsidR="008702A6" w:rsidRPr="004D05E9" w:rsidRDefault="008702A6" w:rsidP="00FD74B6">
            <w:pPr>
              <w:jc w:val="center"/>
              <w:rPr>
                <w:rFonts w:cs="Arial"/>
              </w:rPr>
            </w:pPr>
            <w:r w:rsidRPr="004D05E9">
              <w:rPr>
                <w:rFonts w:cs="Arial"/>
              </w:rPr>
              <w:t>17%</w:t>
            </w:r>
          </w:p>
        </w:tc>
        <w:tc>
          <w:tcPr>
            <w:tcW w:w="1030" w:type="dxa"/>
            <w:hideMark/>
          </w:tcPr>
          <w:p w14:paraId="7F8F7319" w14:textId="77777777" w:rsidR="008702A6" w:rsidRPr="004D05E9" w:rsidRDefault="008702A6" w:rsidP="00FD74B6">
            <w:pPr>
              <w:jc w:val="center"/>
              <w:rPr>
                <w:rFonts w:cs="Arial"/>
              </w:rPr>
            </w:pPr>
            <w:r w:rsidRPr="004D05E9">
              <w:rPr>
                <w:rFonts w:cs="Arial"/>
              </w:rPr>
              <w:t>78.5%</w:t>
            </w:r>
          </w:p>
        </w:tc>
        <w:tc>
          <w:tcPr>
            <w:tcW w:w="884" w:type="dxa"/>
            <w:hideMark/>
          </w:tcPr>
          <w:p w14:paraId="3D3F8456" w14:textId="77777777" w:rsidR="008702A6" w:rsidRPr="004D05E9" w:rsidRDefault="008702A6" w:rsidP="00FD74B6">
            <w:pPr>
              <w:jc w:val="center"/>
              <w:rPr>
                <w:rFonts w:cs="Arial"/>
              </w:rPr>
            </w:pPr>
            <w:r w:rsidRPr="004D05E9">
              <w:rPr>
                <w:rFonts w:cs="Arial"/>
              </w:rPr>
              <w:t>*</w:t>
            </w:r>
          </w:p>
        </w:tc>
        <w:tc>
          <w:tcPr>
            <w:tcW w:w="884" w:type="dxa"/>
            <w:hideMark/>
          </w:tcPr>
          <w:p w14:paraId="48C4B3A1"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w:t>
            </w:r>
          </w:p>
        </w:tc>
        <w:tc>
          <w:tcPr>
            <w:tcW w:w="884" w:type="dxa"/>
            <w:hideMark/>
          </w:tcPr>
          <w:p w14:paraId="3D2BFFE7"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w:t>
            </w:r>
          </w:p>
        </w:tc>
        <w:tc>
          <w:tcPr>
            <w:tcW w:w="884" w:type="dxa"/>
            <w:hideMark/>
          </w:tcPr>
          <w:p w14:paraId="5C0527A5"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w:t>
            </w:r>
          </w:p>
        </w:tc>
        <w:tc>
          <w:tcPr>
            <w:tcW w:w="884" w:type="dxa"/>
          </w:tcPr>
          <w:p w14:paraId="044446FD" w14:textId="5E5ADDCE"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w:t>
            </w:r>
          </w:p>
        </w:tc>
      </w:tr>
      <w:tr w:rsidR="008702A6" w:rsidRPr="004D05E9" w14:paraId="2CA6AE6A" w14:textId="4A6412A7" w:rsidTr="008702A6">
        <w:trPr>
          <w:cantSplit/>
        </w:trPr>
        <w:tc>
          <w:tcPr>
            <w:tcW w:w="1631" w:type="dxa"/>
            <w:hideMark/>
          </w:tcPr>
          <w:p w14:paraId="32A4EE64" w14:textId="77777777" w:rsidR="008702A6" w:rsidRPr="004D05E9" w:rsidRDefault="008702A6" w:rsidP="00FD74B6">
            <w:pPr>
              <w:rPr>
                <w:rFonts w:cs="Arial"/>
              </w:rPr>
            </w:pPr>
            <w:r w:rsidRPr="004D05E9">
              <w:rPr>
                <w:rFonts w:cs="Arial"/>
              </w:rPr>
              <w:t>Target Met</w:t>
            </w:r>
          </w:p>
        </w:tc>
        <w:tc>
          <w:tcPr>
            <w:tcW w:w="884" w:type="dxa"/>
            <w:hideMark/>
          </w:tcPr>
          <w:p w14:paraId="7C5A3443" w14:textId="77777777" w:rsidR="008702A6" w:rsidRPr="004D05E9" w:rsidRDefault="008702A6" w:rsidP="00FD74B6">
            <w:pPr>
              <w:jc w:val="center"/>
              <w:rPr>
                <w:rFonts w:cs="Arial"/>
              </w:rPr>
            </w:pPr>
            <w:r w:rsidRPr="004D05E9">
              <w:rPr>
                <w:rFonts w:cs="Arial"/>
              </w:rPr>
              <w:t>No</w:t>
            </w:r>
          </w:p>
        </w:tc>
        <w:tc>
          <w:tcPr>
            <w:tcW w:w="1030" w:type="dxa"/>
            <w:hideMark/>
          </w:tcPr>
          <w:p w14:paraId="2B93E88D" w14:textId="77777777" w:rsidR="008702A6" w:rsidRPr="004D05E9" w:rsidRDefault="008702A6" w:rsidP="00FD74B6">
            <w:pPr>
              <w:jc w:val="center"/>
              <w:rPr>
                <w:rFonts w:cs="Arial"/>
              </w:rPr>
            </w:pPr>
            <w:r w:rsidRPr="004D05E9">
              <w:rPr>
                <w:rFonts w:cs="Arial"/>
              </w:rPr>
              <w:t>Yes</w:t>
            </w:r>
          </w:p>
        </w:tc>
        <w:tc>
          <w:tcPr>
            <w:tcW w:w="884" w:type="dxa"/>
            <w:hideMark/>
          </w:tcPr>
          <w:p w14:paraId="644D2696" w14:textId="77777777" w:rsidR="008702A6" w:rsidRPr="004D05E9" w:rsidRDefault="008702A6" w:rsidP="00FD74B6">
            <w:pPr>
              <w:jc w:val="center"/>
              <w:rPr>
                <w:rFonts w:cs="Arial"/>
              </w:rPr>
            </w:pPr>
            <w:r w:rsidRPr="004D05E9">
              <w:rPr>
                <w:rFonts w:cs="Arial"/>
              </w:rPr>
              <w:t>*</w:t>
            </w:r>
          </w:p>
        </w:tc>
        <w:tc>
          <w:tcPr>
            <w:tcW w:w="884" w:type="dxa"/>
            <w:hideMark/>
          </w:tcPr>
          <w:p w14:paraId="7ECE3FA0"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w:t>
            </w:r>
          </w:p>
        </w:tc>
        <w:tc>
          <w:tcPr>
            <w:tcW w:w="884" w:type="dxa"/>
            <w:hideMark/>
          </w:tcPr>
          <w:p w14:paraId="496BD5FC"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w:t>
            </w:r>
          </w:p>
        </w:tc>
        <w:tc>
          <w:tcPr>
            <w:tcW w:w="884" w:type="dxa"/>
            <w:hideMark/>
          </w:tcPr>
          <w:p w14:paraId="48FCFDF0"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w:t>
            </w:r>
          </w:p>
        </w:tc>
        <w:tc>
          <w:tcPr>
            <w:tcW w:w="884" w:type="dxa"/>
          </w:tcPr>
          <w:p w14:paraId="7C2C7A17" w14:textId="5EFC0DE3"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w:t>
            </w:r>
          </w:p>
        </w:tc>
      </w:tr>
    </w:tbl>
    <w:p w14:paraId="117DE443" w14:textId="77777777" w:rsidR="00A50851" w:rsidRPr="004D05E9" w:rsidRDefault="00A50851" w:rsidP="000B3B74">
      <w:pPr>
        <w:spacing w:after="240"/>
        <w:rPr>
          <w:rFonts w:cs="Arial"/>
        </w:rPr>
      </w:pPr>
      <w:r w:rsidRPr="004D05E9">
        <w:rPr>
          <w:rFonts w:cs="Arial"/>
        </w:rPr>
        <w:t xml:space="preserve">* </w:t>
      </w:r>
      <w:r w:rsidR="0004605E" w:rsidRPr="004D05E9">
        <w:rPr>
          <w:rFonts w:cs="Arial"/>
        </w:rPr>
        <w:t>This indicator is not currently reported per direction from the E</w:t>
      </w:r>
      <w:r w:rsidR="000B3B74" w:rsidRPr="004D05E9">
        <w:rPr>
          <w:rFonts w:cs="Arial"/>
        </w:rPr>
        <w:t>D</w:t>
      </w:r>
      <w:r w:rsidR="0004605E" w:rsidRPr="004D05E9">
        <w:rPr>
          <w:rFonts w:cs="Arial"/>
        </w:rPr>
        <w:t>.</w:t>
      </w:r>
    </w:p>
    <w:p w14:paraId="1F54C64F" w14:textId="1AFEB76B" w:rsidR="00A50851" w:rsidRPr="004D05E9" w:rsidRDefault="00A50851" w:rsidP="00A50851">
      <w:pPr>
        <w:numPr>
          <w:ilvl w:val="0"/>
          <w:numId w:val="10"/>
        </w:numPr>
        <w:ind w:left="360"/>
        <w:rPr>
          <w:rFonts w:cs="Arial"/>
        </w:rPr>
      </w:pPr>
      <w:r w:rsidRPr="004D05E9">
        <w:rPr>
          <w:rFonts w:cs="Arial"/>
        </w:rPr>
        <w:t>In FFY 201</w:t>
      </w:r>
      <w:r w:rsidR="00C8424B" w:rsidRPr="004D05E9">
        <w:rPr>
          <w:rFonts w:cs="Arial"/>
        </w:rPr>
        <w:t>9</w:t>
      </w:r>
      <w:r w:rsidRPr="004D05E9">
        <w:rPr>
          <w:rFonts w:cs="Arial"/>
        </w:rPr>
        <w:t xml:space="preserve"> for Target B, the results are as follows:</w:t>
      </w:r>
    </w:p>
    <w:p w14:paraId="12489939" w14:textId="77777777" w:rsidR="00A50851" w:rsidRPr="004D05E9" w:rsidRDefault="00A50851" w:rsidP="00A50851">
      <w:pPr>
        <w:ind w:left="360"/>
        <w:rPr>
          <w:rFonts w:cs="Arial"/>
          <w:b/>
        </w:rPr>
      </w:pPr>
      <w:r w:rsidRPr="004D05E9">
        <w:rPr>
          <w:rFonts w:cs="Arial"/>
          <w:b/>
          <w:bCs/>
        </w:rPr>
        <w:t>Percent of Participation for Students with IEPs (3B)</w:t>
      </w:r>
    </w:p>
    <w:tbl>
      <w:tblPr>
        <w:tblStyle w:val="TableGrid"/>
        <w:tblW w:w="8208" w:type="dxa"/>
        <w:tblLook w:val="01E0" w:firstRow="1" w:lastRow="1" w:firstColumn="1" w:lastColumn="1" w:noHBand="0" w:noVBand="0"/>
        <w:tblDescription w:val="Indicator 3B Targets and Results"/>
      </w:tblPr>
      <w:tblGrid>
        <w:gridCol w:w="1797"/>
        <w:gridCol w:w="1029"/>
        <w:gridCol w:w="897"/>
        <w:gridCol w:w="897"/>
        <w:gridCol w:w="897"/>
        <w:gridCol w:w="897"/>
        <w:gridCol w:w="897"/>
        <w:gridCol w:w="897"/>
      </w:tblGrid>
      <w:tr w:rsidR="008702A6" w:rsidRPr="004D05E9" w14:paraId="33F79776" w14:textId="079727EB" w:rsidTr="008702A6">
        <w:trPr>
          <w:cantSplit/>
          <w:tblHeader/>
        </w:trPr>
        <w:tc>
          <w:tcPr>
            <w:tcW w:w="1797" w:type="dxa"/>
            <w:hideMark/>
          </w:tcPr>
          <w:p w14:paraId="062ACEFE" w14:textId="77777777" w:rsidR="008702A6" w:rsidRPr="004D05E9" w:rsidRDefault="008702A6" w:rsidP="00FD74B6">
            <w:pPr>
              <w:rPr>
                <w:rFonts w:cs="Arial"/>
                <w:b/>
              </w:rPr>
            </w:pPr>
            <w:r w:rsidRPr="004D05E9">
              <w:rPr>
                <w:rFonts w:cs="Arial"/>
                <w:b/>
              </w:rPr>
              <w:t>Indicator 3B</w:t>
            </w:r>
          </w:p>
        </w:tc>
        <w:tc>
          <w:tcPr>
            <w:tcW w:w="1029" w:type="dxa"/>
            <w:hideMark/>
          </w:tcPr>
          <w:p w14:paraId="33538AFD" w14:textId="77777777" w:rsidR="008702A6" w:rsidRPr="004D05E9" w:rsidRDefault="008702A6" w:rsidP="00FD74B6">
            <w:pPr>
              <w:jc w:val="center"/>
              <w:rPr>
                <w:rFonts w:cs="Arial"/>
                <w:b/>
              </w:rPr>
            </w:pPr>
            <w:r w:rsidRPr="004D05E9">
              <w:rPr>
                <w:rFonts w:cs="Arial"/>
                <w:b/>
                <w:bCs/>
              </w:rPr>
              <w:t>2013*</w:t>
            </w:r>
          </w:p>
        </w:tc>
        <w:tc>
          <w:tcPr>
            <w:tcW w:w="897" w:type="dxa"/>
            <w:hideMark/>
          </w:tcPr>
          <w:p w14:paraId="2707E5E7" w14:textId="77777777" w:rsidR="008702A6" w:rsidRPr="004D05E9" w:rsidRDefault="008702A6" w:rsidP="00FD74B6">
            <w:pPr>
              <w:jc w:val="center"/>
              <w:rPr>
                <w:rFonts w:cs="Arial"/>
                <w:b/>
              </w:rPr>
            </w:pPr>
            <w:r w:rsidRPr="004D05E9">
              <w:rPr>
                <w:rFonts w:cs="Arial"/>
                <w:b/>
                <w:bCs/>
              </w:rPr>
              <w:t>2014</w:t>
            </w:r>
          </w:p>
        </w:tc>
        <w:tc>
          <w:tcPr>
            <w:tcW w:w="897" w:type="dxa"/>
            <w:hideMark/>
          </w:tcPr>
          <w:p w14:paraId="750B8829" w14:textId="77777777" w:rsidR="008702A6" w:rsidRPr="004D05E9" w:rsidRDefault="008702A6" w:rsidP="00FD74B6">
            <w:pPr>
              <w:jc w:val="center"/>
              <w:rPr>
                <w:rFonts w:cs="Arial"/>
                <w:b/>
                <w:bCs/>
              </w:rPr>
            </w:pPr>
            <w:r w:rsidRPr="004D05E9">
              <w:rPr>
                <w:rFonts w:cs="Arial"/>
                <w:b/>
                <w:bCs/>
              </w:rPr>
              <w:t>2015</w:t>
            </w:r>
          </w:p>
        </w:tc>
        <w:tc>
          <w:tcPr>
            <w:tcW w:w="897" w:type="dxa"/>
            <w:hideMark/>
          </w:tcPr>
          <w:p w14:paraId="56738467" w14:textId="77777777" w:rsidR="008702A6" w:rsidRPr="004D05E9" w:rsidRDefault="008702A6" w:rsidP="00FD74B6">
            <w:pPr>
              <w:jc w:val="center"/>
              <w:rPr>
                <w:rFonts w:cs="Arial"/>
                <w:b/>
                <w:bCs/>
              </w:rPr>
            </w:pPr>
            <w:r w:rsidRPr="004D05E9">
              <w:rPr>
                <w:rFonts w:cs="Arial"/>
                <w:b/>
                <w:bCs/>
              </w:rPr>
              <w:t>2016</w:t>
            </w:r>
          </w:p>
        </w:tc>
        <w:tc>
          <w:tcPr>
            <w:tcW w:w="897" w:type="dxa"/>
            <w:hideMark/>
          </w:tcPr>
          <w:p w14:paraId="28AB58D5" w14:textId="77777777" w:rsidR="008702A6" w:rsidRPr="004D05E9" w:rsidRDefault="008702A6" w:rsidP="00FD74B6">
            <w:pPr>
              <w:jc w:val="center"/>
              <w:rPr>
                <w:rFonts w:cs="Arial"/>
                <w:b/>
                <w:bCs/>
              </w:rPr>
            </w:pPr>
            <w:r w:rsidRPr="004D05E9">
              <w:rPr>
                <w:rFonts w:cs="Arial"/>
                <w:b/>
                <w:bCs/>
              </w:rPr>
              <w:t>2017</w:t>
            </w:r>
          </w:p>
        </w:tc>
        <w:tc>
          <w:tcPr>
            <w:tcW w:w="897" w:type="dxa"/>
            <w:hideMark/>
          </w:tcPr>
          <w:p w14:paraId="507BAF0E" w14:textId="77777777" w:rsidR="008702A6" w:rsidRPr="004D05E9" w:rsidRDefault="008702A6" w:rsidP="00FD74B6">
            <w:pPr>
              <w:jc w:val="center"/>
              <w:rPr>
                <w:rFonts w:cs="Arial"/>
                <w:b/>
                <w:bCs/>
              </w:rPr>
            </w:pPr>
            <w:r w:rsidRPr="004D05E9">
              <w:rPr>
                <w:rFonts w:cs="Arial"/>
                <w:b/>
                <w:bCs/>
              </w:rPr>
              <w:t>2018</w:t>
            </w:r>
          </w:p>
        </w:tc>
        <w:tc>
          <w:tcPr>
            <w:tcW w:w="897" w:type="dxa"/>
          </w:tcPr>
          <w:p w14:paraId="4CE31B51" w14:textId="114998A5" w:rsidR="008702A6" w:rsidRPr="004D05E9" w:rsidRDefault="008702A6" w:rsidP="00FD74B6">
            <w:pPr>
              <w:jc w:val="center"/>
              <w:rPr>
                <w:rFonts w:cs="Arial"/>
                <w:b/>
                <w:bCs/>
              </w:rPr>
            </w:pPr>
            <w:r w:rsidRPr="004D05E9">
              <w:rPr>
                <w:rFonts w:cs="Arial"/>
                <w:b/>
                <w:bCs/>
              </w:rPr>
              <w:t>2019</w:t>
            </w:r>
          </w:p>
        </w:tc>
      </w:tr>
      <w:tr w:rsidR="008702A6" w:rsidRPr="004D05E9" w14:paraId="7D05032A" w14:textId="3F9BCE10" w:rsidTr="008702A6">
        <w:trPr>
          <w:cantSplit/>
          <w:trHeight w:val="260"/>
        </w:trPr>
        <w:tc>
          <w:tcPr>
            <w:tcW w:w="1797" w:type="dxa"/>
            <w:hideMark/>
          </w:tcPr>
          <w:p w14:paraId="3C7A4882" w14:textId="77777777" w:rsidR="008702A6" w:rsidRPr="004D05E9" w:rsidRDefault="008702A6" w:rsidP="00FD74B6">
            <w:pPr>
              <w:rPr>
                <w:rFonts w:cs="Arial"/>
              </w:rPr>
            </w:pPr>
            <w:r w:rsidRPr="004D05E9">
              <w:rPr>
                <w:rFonts w:cs="Arial"/>
              </w:rPr>
              <w:t>ELA Target</w:t>
            </w:r>
          </w:p>
        </w:tc>
        <w:tc>
          <w:tcPr>
            <w:tcW w:w="1029" w:type="dxa"/>
            <w:hideMark/>
          </w:tcPr>
          <w:p w14:paraId="3A3C775F" w14:textId="77777777" w:rsidR="008702A6" w:rsidRPr="004D05E9" w:rsidRDefault="008702A6" w:rsidP="00FD74B6">
            <w:pPr>
              <w:jc w:val="center"/>
              <w:rPr>
                <w:rFonts w:cs="Arial"/>
              </w:rPr>
            </w:pPr>
            <w:r w:rsidRPr="004D05E9">
              <w:rPr>
                <w:rFonts w:cs="Arial"/>
              </w:rPr>
              <w:t>95%</w:t>
            </w:r>
          </w:p>
        </w:tc>
        <w:tc>
          <w:tcPr>
            <w:tcW w:w="897" w:type="dxa"/>
            <w:hideMark/>
          </w:tcPr>
          <w:p w14:paraId="3CBC50AD" w14:textId="77777777" w:rsidR="008702A6" w:rsidRPr="004D05E9" w:rsidRDefault="008702A6" w:rsidP="00FD74B6">
            <w:pPr>
              <w:jc w:val="center"/>
              <w:rPr>
                <w:rFonts w:ascii="Calibri" w:hAnsi="Calibri"/>
                <w:sz w:val="22"/>
                <w:szCs w:val="22"/>
              </w:rPr>
            </w:pPr>
            <w:r w:rsidRPr="004D05E9">
              <w:rPr>
                <w:rFonts w:cs="Arial"/>
              </w:rPr>
              <w:t>95%</w:t>
            </w:r>
          </w:p>
        </w:tc>
        <w:tc>
          <w:tcPr>
            <w:tcW w:w="897" w:type="dxa"/>
            <w:hideMark/>
          </w:tcPr>
          <w:p w14:paraId="1F6FDC89" w14:textId="77777777" w:rsidR="008702A6" w:rsidRPr="004D05E9" w:rsidRDefault="008702A6" w:rsidP="00FD74B6">
            <w:pPr>
              <w:jc w:val="center"/>
            </w:pPr>
            <w:r w:rsidRPr="004D05E9">
              <w:rPr>
                <w:rFonts w:cs="Arial"/>
              </w:rPr>
              <w:t>95%</w:t>
            </w:r>
          </w:p>
        </w:tc>
        <w:tc>
          <w:tcPr>
            <w:tcW w:w="897" w:type="dxa"/>
            <w:hideMark/>
          </w:tcPr>
          <w:p w14:paraId="216C2586" w14:textId="77777777" w:rsidR="008702A6" w:rsidRPr="004D05E9" w:rsidRDefault="008702A6" w:rsidP="00FD74B6">
            <w:pPr>
              <w:jc w:val="center"/>
            </w:pPr>
            <w:r w:rsidRPr="004D05E9">
              <w:rPr>
                <w:rFonts w:cs="Arial"/>
              </w:rPr>
              <w:t>95%</w:t>
            </w:r>
          </w:p>
        </w:tc>
        <w:tc>
          <w:tcPr>
            <w:tcW w:w="897" w:type="dxa"/>
            <w:hideMark/>
          </w:tcPr>
          <w:p w14:paraId="4CE85088" w14:textId="77777777" w:rsidR="008702A6" w:rsidRPr="004D05E9" w:rsidRDefault="008702A6" w:rsidP="00FD74B6">
            <w:pPr>
              <w:jc w:val="center"/>
            </w:pPr>
            <w:r w:rsidRPr="004D05E9">
              <w:rPr>
                <w:rFonts w:cs="Arial"/>
              </w:rPr>
              <w:t>95%</w:t>
            </w:r>
          </w:p>
        </w:tc>
        <w:tc>
          <w:tcPr>
            <w:tcW w:w="897" w:type="dxa"/>
            <w:hideMark/>
          </w:tcPr>
          <w:p w14:paraId="07665CDB" w14:textId="77777777" w:rsidR="008702A6" w:rsidRPr="004D05E9" w:rsidRDefault="008702A6" w:rsidP="00FD74B6">
            <w:pPr>
              <w:jc w:val="center"/>
            </w:pPr>
            <w:r w:rsidRPr="004D05E9">
              <w:rPr>
                <w:rFonts w:cs="Arial"/>
              </w:rPr>
              <w:t>95%</w:t>
            </w:r>
          </w:p>
        </w:tc>
        <w:tc>
          <w:tcPr>
            <w:tcW w:w="897" w:type="dxa"/>
          </w:tcPr>
          <w:p w14:paraId="573D1B45" w14:textId="06FA990E" w:rsidR="008702A6" w:rsidRPr="004D05E9" w:rsidRDefault="008702A6" w:rsidP="00FD74B6">
            <w:pPr>
              <w:jc w:val="center"/>
              <w:rPr>
                <w:rFonts w:cs="Arial"/>
              </w:rPr>
            </w:pPr>
            <w:r w:rsidRPr="004D05E9">
              <w:rPr>
                <w:rFonts w:cs="Arial"/>
              </w:rPr>
              <w:t>95%</w:t>
            </w:r>
          </w:p>
        </w:tc>
      </w:tr>
      <w:tr w:rsidR="008702A6" w:rsidRPr="004D05E9" w14:paraId="24782E29" w14:textId="5E4C0FA4" w:rsidTr="008702A6">
        <w:trPr>
          <w:cantSplit/>
          <w:trHeight w:val="278"/>
        </w:trPr>
        <w:tc>
          <w:tcPr>
            <w:tcW w:w="1797" w:type="dxa"/>
            <w:hideMark/>
          </w:tcPr>
          <w:p w14:paraId="445758A5" w14:textId="77777777" w:rsidR="008702A6" w:rsidRPr="004D05E9" w:rsidRDefault="008702A6" w:rsidP="00FD74B6">
            <w:pPr>
              <w:rPr>
                <w:rFonts w:cs="Arial"/>
              </w:rPr>
            </w:pPr>
            <w:r w:rsidRPr="004D05E9">
              <w:rPr>
                <w:rFonts w:cs="Arial"/>
              </w:rPr>
              <w:t>Result</w:t>
            </w:r>
          </w:p>
        </w:tc>
        <w:tc>
          <w:tcPr>
            <w:tcW w:w="1029" w:type="dxa"/>
            <w:hideMark/>
          </w:tcPr>
          <w:p w14:paraId="65F08B7B" w14:textId="77777777" w:rsidR="008702A6" w:rsidRPr="004D05E9" w:rsidRDefault="008702A6" w:rsidP="00FD74B6">
            <w:pPr>
              <w:jc w:val="center"/>
              <w:rPr>
                <w:rFonts w:cs="Arial"/>
              </w:rPr>
            </w:pPr>
            <w:r w:rsidRPr="004D05E9">
              <w:rPr>
                <w:rFonts w:cs="Arial"/>
              </w:rPr>
              <w:t>18%</w:t>
            </w:r>
          </w:p>
        </w:tc>
        <w:tc>
          <w:tcPr>
            <w:tcW w:w="897" w:type="dxa"/>
            <w:hideMark/>
          </w:tcPr>
          <w:p w14:paraId="5823C9D8" w14:textId="77777777" w:rsidR="008702A6" w:rsidRPr="004D05E9" w:rsidRDefault="008702A6" w:rsidP="00FD74B6">
            <w:pPr>
              <w:jc w:val="center"/>
              <w:rPr>
                <w:rFonts w:cs="Arial"/>
              </w:rPr>
            </w:pPr>
            <w:r w:rsidRPr="004D05E9">
              <w:rPr>
                <w:rFonts w:cs="Arial"/>
              </w:rPr>
              <w:t>94.2%</w:t>
            </w:r>
          </w:p>
        </w:tc>
        <w:tc>
          <w:tcPr>
            <w:tcW w:w="897" w:type="dxa"/>
            <w:hideMark/>
          </w:tcPr>
          <w:p w14:paraId="70034D57" w14:textId="77777777" w:rsidR="008702A6" w:rsidRPr="004D05E9" w:rsidRDefault="008702A6" w:rsidP="00FD74B6">
            <w:pPr>
              <w:jc w:val="center"/>
              <w:rPr>
                <w:rFonts w:cs="Arial"/>
              </w:rPr>
            </w:pPr>
            <w:r w:rsidRPr="004D05E9">
              <w:rPr>
                <w:rFonts w:cs="Arial"/>
              </w:rPr>
              <w:t>93.4%</w:t>
            </w:r>
          </w:p>
        </w:tc>
        <w:tc>
          <w:tcPr>
            <w:tcW w:w="897" w:type="dxa"/>
            <w:hideMark/>
          </w:tcPr>
          <w:p w14:paraId="49BAF5B2"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95.0%</w:t>
            </w:r>
          </w:p>
        </w:tc>
        <w:tc>
          <w:tcPr>
            <w:tcW w:w="897" w:type="dxa"/>
          </w:tcPr>
          <w:p w14:paraId="24708781"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94.1%</w:t>
            </w:r>
          </w:p>
        </w:tc>
        <w:tc>
          <w:tcPr>
            <w:tcW w:w="897" w:type="dxa"/>
            <w:hideMark/>
          </w:tcPr>
          <w:p w14:paraId="0C0B318A" w14:textId="77777777" w:rsidR="008702A6" w:rsidRPr="004D05E9" w:rsidRDefault="008702A6" w:rsidP="00FD74B6">
            <w:pPr>
              <w:widowControl w:val="0"/>
              <w:tabs>
                <w:tab w:val="left" w:pos="255"/>
                <w:tab w:val="center" w:pos="396"/>
              </w:tabs>
              <w:overflowPunct w:val="0"/>
              <w:autoSpaceDE w:val="0"/>
              <w:autoSpaceDN w:val="0"/>
              <w:adjustRightInd w:val="0"/>
              <w:jc w:val="center"/>
              <w:rPr>
                <w:rFonts w:cs="Arial"/>
                <w:bCs/>
              </w:rPr>
            </w:pPr>
            <w:r w:rsidRPr="004D05E9">
              <w:rPr>
                <w:rFonts w:cs="Arial"/>
                <w:bCs/>
              </w:rPr>
              <w:t>94.5%</w:t>
            </w:r>
          </w:p>
        </w:tc>
        <w:tc>
          <w:tcPr>
            <w:tcW w:w="897" w:type="dxa"/>
          </w:tcPr>
          <w:p w14:paraId="2700DDCC" w14:textId="08D1773F" w:rsidR="008702A6" w:rsidRPr="004D05E9" w:rsidRDefault="008702A6" w:rsidP="00FD74B6">
            <w:pPr>
              <w:widowControl w:val="0"/>
              <w:tabs>
                <w:tab w:val="left" w:pos="255"/>
                <w:tab w:val="center" w:pos="396"/>
              </w:tabs>
              <w:overflowPunct w:val="0"/>
              <w:autoSpaceDE w:val="0"/>
              <w:autoSpaceDN w:val="0"/>
              <w:adjustRightInd w:val="0"/>
              <w:jc w:val="center"/>
              <w:rPr>
                <w:rFonts w:cs="Arial"/>
                <w:bCs/>
              </w:rPr>
            </w:pPr>
            <w:r w:rsidRPr="004D05E9">
              <w:rPr>
                <w:rFonts w:cs="Arial"/>
                <w:bCs/>
              </w:rPr>
              <w:t>N/A</w:t>
            </w:r>
          </w:p>
        </w:tc>
      </w:tr>
      <w:tr w:rsidR="008702A6" w:rsidRPr="004D05E9" w14:paraId="5846E05B" w14:textId="67499F11" w:rsidTr="008702A6">
        <w:trPr>
          <w:cantSplit/>
          <w:trHeight w:val="278"/>
        </w:trPr>
        <w:tc>
          <w:tcPr>
            <w:tcW w:w="1797" w:type="dxa"/>
            <w:hideMark/>
          </w:tcPr>
          <w:p w14:paraId="318FA91F" w14:textId="77777777" w:rsidR="008702A6" w:rsidRPr="004D05E9" w:rsidRDefault="008702A6" w:rsidP="00FD74B6">
            <w:pPr>
              <w:rPr>
                <w:rFonts w:cs="Arial"/>
              </w:rPr>
            </w:pPr>
            <w:r w:rsidRPr="004D05E9">
              <w:rPr>
                <w:rFonts w:cs="Arial"/>
              </w:rPr>
              <w:t>Target Met</w:t>
            </w:r>
          </w:p>
        </w:tc>
        <w:tc>
          <w:tcPr>
            <w:tcW w:w="1029" w:type="dxa"/>
            <w:hideMark/>
          </w:tcPr>
          <w:p w14:paraId="6F57D603" w14:textId="77777777" w:rsidR="008702A6" w:rsidRPr="004D05E9" w:rsidRDefault="008702A6" w:rsidP="00FD74B6">
            <w:pPr>
              <w:jc w:val="center"/>
              <w:rPr>
                <w:rFonts w:cs="Arial"/>
              </w:rPr>
            </w:pPr>
            <w:r w:rsidRPr="004D05E9">
              <w:rPr>
                <w:rFonts w:cs="Arial"/>
              </w:rPr>
              <w:t>No</w:t>
            </w:r>
          </w:p>
        </w:tc>
        <w:tc>
          <w:tcPr>
            <w:tcW w:w="897" w:type="dxa"/>
            <w:hideMark/>
          </w:tcPr>
          <w:p w14:paraId="17BA236F" w14:textId="77777777" w:rsidR="008702A6" w:rsidRPr="004D05E9" w:rsidRDefault="008702A6" w:rsidP="00FD74B6">
            <w:pPr>
              <w:jc w:val="center"/>
              <w:rPr>
                <w:rFonts w:cs="Arial"/>
              </w:rPr>
            </w:pPr>
            <w:r w:rsidRPr="004D05E9">
              <w:rPr>
                <w:rFonts w:cs="Arial"/>
              </w:rPr>
              <w:t>No</w:t>
            </w:r>
          </w:p>
        </w:tc>
        <w:tc>
          <w:tcPr>
            <w:tcW w:w="897" w:type="dxa"/>
            <w:hideMark/>
          </w:tcPr>
          <w:p w14:paraId="5AEE13FE" w14:textId="77777777" w:rsidR="008702A6" w:rsidRPr="004D05E9" w:rsidRDefault="008702A6" w:rsidP="00FD74B6">
            <w:pPr>
              <w:jc w:val="center"/>
              <w:rPr>
                <w:rFonts w:cs="Arial"/>
              </w:rPr>
            </w:pPr>
            <w:r w:rsidRPr="004D05E9">
              <w:rPr>
                <w:rFonts w:cs="Arial"/>
              </w:rPr>
              <w:t>No</w:t>
            </w:r>
          </w:p>
        </w:tc>
        <w:tc>
          <w:tcPr>
            <w:tcW w:w="897" w:type="dxa"/>
            <w:hideMark/>
          </w:tcPr>
          <w:p w14:paraId="7A81D9BA"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Yes</w:t>
            </w:r>
          </w:p>
        </w:tc>
        <w:tc>
          <w:tcPr>
            <w:tcW w:w="897" w:type="dxa"/>
            <w:hideMark/>
          </w:tcPr>
          <w:p w14:paraId="628AA855"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No</w:t>
            </w:r>
          </w:p>
        </w:tc>
        <w:tc>
          <w:tcPr>
            <w:tcW w:w="897" w:type="dxa"/>
            <w:hideMark/>
          </w:tcPr>
          <w:p w14:paraId="7C68B724" w14:textId="77777777" w:rsidR="008702A6" w:rsidRPr="004D05E9" w:rsidRDefault="008702A6" w:rsidP="00FD74B6">
            <w:pPr>
              <w:widowControl w:val="0"/>
              <w:tabs>
                <w:tab w:val="left" w:pos="255"/>
                <w:tab w:val="center" w:pos="396"/>
              </w:tabs>
              <w:overflowPunct w:val="0"/>
              <w:autoSpaceDE w:val="0"/>
              <w:autoSpaceDN w:val="0"/>
              <w:adjustRightInd w:val="0"/>
              <w:jc w:val="center"/>
              <w:rPr>
                <w:rFonts w:cs="Arial"/>
                <w:bCs/>
              </w:rPr>
            </w:pPr>
            <w:r w:rsidRPr="004D05E9">
              <w:rPr>
                <w:rFonts w:cs="Arial"/>
                <w:bCs/>
              </w:rPr>
              <w:t>No</w:t>
            </w:r>
          </w:p>
        </w:tc>
        <w:tc>
          <w:tcPr>
            <w:tcW w:w="897" w:type="dxa"/>
          </w:tcPr>
          <w:p w14:paraId="0E6845B7" w14:textId="4895C15E" w:rsidR="008702A6" w:rsidRPr="004D05E9" w:rsidRDefault="008702A6" w:rsidP="00FD74B6">
            <w:pPr>
              <w:widowControl w:val="0"/>
              <w:tabs>
                <w:tab w:val="left" w:pos="255"/>
                <w:tab w:val="center" w:pos="396"/>
              </w:tabs>
              <w:overflowPunct w:val="0"/>
              <w:autoSpaceDE w:val="0"/>
              <w:autoSpaceDN w:val="0"/>
              <w:adjustRightInd w:val="0"/>
              <w:jc w:val="center"/>
              <w:rPr>
                <w:rFonts w:cs="Arial"/>
                <w:bCs/>
              </w:rPr>
            </w:pPr>
            <w:r w:rsidRPr="004D05E9">
              <w:rPr>
                <w:rFonts w:cs="Arial"/>
                <w:bCs/>
              </w:rPr>
              <w:t>N/A</w:t>
            </w:r>
          </w:p>
        </w:tc>
      </w:tr>
      <w:tr w:rsidR="008702A6" w:rsidRPr="004D05E9" w14:paraId="093F7782" w14:textId="51473E98" w:rsidTr="008702A6">
        <w:trPr>
          <w:cantSplit/>
          <w:trHeight w:val="278"/>
        </w:trPr>
        <w:tc>
          <w:tcPr>
            <w:tcW w:w="1797" w:type="dxa"/>
            <w:hideMark/>
          </w:tcPr>
          <w:p w14:paraId="3219DBB3" w14:textId="77777777" w:rsidR="008702A6" w:rsidRPr="004D05E9" w:rsidRDefault="008702A6" w:rsidP="00FD74B6">
            <w:pPr>
              <w:rPr>
                <w:rFonts w:cs="Arial"/>
              </w:rPr>
            </w:pPr>
            <w:r w:rsidRPr="004D05E9">
              <w:rPr>
                <w:rFonts w:cs="Arial"/>
              </w:rPr>
              <w:t>Math Target</w:t>
            </w:r>
          </w:p>
        </w:tc>
        <w:tc>
          <w:tcPr>
            <w:tcW w:w="1029" w:type="dxa"/>
            <w:hideMark/>
          </w:tcPr>
          <w:p w14:paraId="250E374C" w14:textId="77777777" w:rsidR="008702A6" w:rsidRPr="004D05E9" w:rsidRDefault="008702A6" w:rsidP="00FD74B6">
            <w:pPr>
              <w:jc w:val="center"/>
              <w:rPr>
                <w:rFonts w:ascii="Calibri" w:hAnsi="Calibri"/>
                <w:sz w:val="22"/>
                <w:szCs w:val="22"/>
              </w:rPr>
            </w:pPr>
            <w:r w:rsidRPr="004D05E9">
              <w:rPr>
                <w:rFonts w:cs="Arial"/>
              </w:rPr>
              <w:t>95%</w:t>
            </w:r>
          </w:p>
        </w:tc>
        <w:tc>
          <w:tcPr>
            <w:tcW w:w="897" w:type="dxa"/>
            <w:hideMark/>
          </w:tcPr>
          <w:p w14:paraId="2D6C2D36" w14:textId="77777777" w:rsidR="008702A6" w:rsidRPr="004D05E9" w:rsidRDefault="008702A6" w:rsidP="00FD74B6">
            <w:pPr>
              <w:jc w:val="center"/>
            </w:pPr>
            <w:r w:rsidRPr="004D05E9">
              <w:rPr>
                <w:rFonts w:cs="Arial"/>
              </w:rPr>
              <w:t>95%</w:t>
            </w:r>
          </w:p>
        </w:tc>
        <w:tc>
          <w:tcPr>
            <w:tcW w:w="897" w:type="dxa"/>
            <w:hideMark/>
          </w:tcPr>
          <w:p w14:paraId="2A0F38DA" w14:textId="77777777" w:rsidR="008702A6" w:rsidRPr="004D05E9" w:rsidRDefault="008702A6" w:rsidP="00FD74B6">
            <w:pPr>
              <w:jc w:val="center"/>
            </w:pPr>
            <w:r w:rsidRPr="004D05E9">
              <w:rPr>
                <w:rFonts w:cs="Arial"/>
              </w:rPr>
              <w:t>95%</w:t>
            </w:r>
          </w:p>
        </w:tc>
        <w:tc>
          <w:tcPr>
            <w:tcW w:w="897" w:type="dxa"/>
            <w:hideMark/>
          </w:tcPr>
          <w:p w14:paraId="2504BA92" w14:textId="77777777" w:rsidR="008702A6" w:rsidRPr="004D05E9" w:rsidRDefault="008702A6" w:rsidP="00FD74B6">
            <w:pPr>
              <w:jc w:val="center"/>
            </w:pPr>
            <w:r w:rsidRPr="004D05E9">
              <w:rPr>
                <w:rFonts w:cs="Arial"/>
              </w:rPr>
              <w:t>95%</w:t>
            </w:r>
          </w:p>
        </w:tc>
        <w:tc>
          <w:tcPr>
            <w:tcW w:w="897" w:type="dxa"/>
            <w:hideMark/>
          </w:tcPr>
          <w:p w14:paraId="41762F6E" w14:textId="77777777" w:rsidR="008702A6" w:rsidRPr="004D05E9" w:rsidRDefault="008702A6" w:rsidP="00FD74B6">
            <w:pPr>
              <w:jc w:val="center"/>
            </w:pPr>
            <w:r w:rsidRPr="004D05E9">
              <w:rPr>
                <w:rFonts w:cs="Arial"/>
              </w:rPr>
              <w:t>95%</w:t>
            </w:r>
          </w:p>
        </w:tc>
        <w:tc>
          <w:tcPr>
            <w:tcW w:w="897" w:type="dxa"/>
            <w:hideMark/>
          </w:tcPr>
          <w:p w14:paraId="6E06783C" w14:textId="77777777" w:rsidR="008702A6" w:rsidRPr="004D05E9" w:rsidRDefault="008702A6" w:rsidP="00FD74B6">
            <w:pPr>
              <w:jc w:val="center"/>
            </w:pPr>
            <w:r w:rsidRPr="004D05E9">
              <w:rPr>
                <w:rFonts w:cs="Arial"/>
              </w:rPr>
              <w:t>95%</w:t>
            </w:r>
          </w:p>
        </w:tc>
        <w:tc>
          <w:tcPr>
            <w:tcW w:w="897" w:type="dxa"/>
          </w:tcPr>
          <w:p w14:paraId="35392124" w14:textId="56CE5AE4" w:rsidR="008702A6" w:rsidRPr="004D05E9" w:rsidRDefault="008702A6" w:rsidP="00FD74B6">
            <w:pPr>
              <w:jc w:val="center"/>
              <w:rPr>
                <w:rFonts w:cs="Arial"/>
              </w:rPr>
            </w:pPr>
            <w:r w:rsidRPr="004D05E9">
              <w:rPr>
                <w:rFonts w:cs="Arial"/>
              </w:rPr>
              <w:t>95%</w:t>
            </w:r>
          </w:p>
        </w:tc>
      </w:tr>
      <w:tr w:rsidR="008702A6" w:rsidRPr="004D05E9" w14:paraId="3E300C8B" w14:textId="6BB92656" w:rsidTr="008702A6">
        <w:trPr>
          <w:cantSplit/>
          <w:trHeight w:val="188"/>
        </w:trPr>
        <w:tc>
          <w:tcPr>
            <w:tcW w:w="1797" w:type="dxa"/>
            <w:hideMark/>
          </w:tcPr>
          <w:p w14:paraId="62D8644E" w14:textId="77777777" w:rsidR="008702A6" w:rsidRPr="004D05E9" w:rsidRDefault="008702A6" w:rsidP="00FD74B6">
            <w:pPr>
              <w:rPr>
                <w:rFonts w:cs="Arial"/>
              </w:rPr>
            </w:pPr>
            <w:r w:rsidRPr="004D05E9">
              <w:rPr>
                <w:rFonts w:cs="Arial"/>
              </w:rPr>
              <w:t>Result</w:t>
            </w:r>
          </w:p>
        </w:tc>
        <w:tc>
          <w:tcPr>
            <w:tcW w:w="1029" w:type="dxa"/>
            <w:hideMark/>
          </w:tcPr>
          <w:p w14:paraId="228CF960" w14:textId="77777777" w:rsidR="008702A6" w:rsidRPr="004D05E9" w:rsidRDefault="008702A6" w:rsidP="00FD74B6">
            <w:pPr>
              <w:jc w:val="center"/>
              <w:rPr>
                <w:rFonts w:cs="Arial"/>
              </w:rPr>
            </w:pPr>
            <w:r w:rsidRPr="004D05E9">
              <w:rPr>
                <w:rFonts w:cs="Arial"/>
              </w:rPr>
              <w:t>13%</w:t>
            </w:r>
          </w:p>
        </w:tc>
        <w:tc>
          <w:tcPr>
            <w:tcW w:w="897" w:type="dxa"/>
            <w:hideMark/>
          </w:tcPr>
          <w:p w14:paraId="1547A714" w14:textId="77777777" w:rsidR="008702A6" w:rsidRPr="004D05E9" w:rsidRDefault="008702A6" w:rsidP="00FD74B6">
            <w:pPr>
              <w:jc w:val="center"/>
              <w:rPr>
                <w:rFonts w:cs="Arial"/>
              </w:rPr>
            </w:pPr>
            <w:r w:rsidRPr="004D05E9">
              <w:rPr>
                <w:rFonts w:cs="Arial"/>
              </w:rPr>
              <w:t>93.8%</w:t>
            </w:r>
          </w:p>
        </w:tc>
        <w:tc>
          <w:tcPr>
            <w:tcW w:w="897" w:type="dxa"/>
            <w:hideMark/>
          </w:tcPr>
          <w:p w14:paraId="78E15D83" w14:textId="77777777" w:rsidR="008702A6" w:rsidRPr="004D05E9" w:rsidRDefault="008702A6" w:rsidP="00FD74B6">
            <w:pPr>
              <w:jc w:val="center"/>
              <w:rPr>
                <w:rFonts w:cs="Arial"/>
              </w:rPr>
            </w:pPr>
            <w:r w:rsidRPr="004D05E9">
              <w:rPr>
                <w:rFonts w:cs="Arial"/>
              </w:rPr>
              <w:t>94.6%</w:t>
            </w:r>
          </w:p>
        </w:tc>
        <w:tc>
          <w:tcPr>
            <w:tcW w:w="897" w:type="dxa"/>
            <w:hideMark/>
          </w:tcPr>
          <w:p w14:paraId="78CD7415"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94.7%</w:t>
            </w:r>
          </w:p>
        </w:tc>
        <w:tc>
          <w:tcPr>
            <w:tcW w:w="897" w:type="dxa"/>
            <w:hideMark/>
          </w:tcPr>
          <w:p w14:paraId="7CEB2F74"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93.8%</w:t>
            </w:r>
          </w:p>
        </w:tc>
        <w:tc>
          <w:tcPr>
            <w:tcW w:w="897" w:type="dxa"/>
            <w:hideMark/>
          </w:tcPr>
          <w:p w14:paraId="65886FA5" w14:textId="77777777" w:rsidR="008702A6" w:rsidRPr="004D05E9" w:rsidRDefault="008702A6" w:rsidP="00FD74B6">
            <w:pPr>
              <w:widowControl w:val="0"/>
              <w:tabs>
                <w:tab w:val="left" w:pos="255"/>
                <w:tab w:val="center" w:pos="396"/>
              </w:tabs>
              <w:overflowPunct w:val="0"/>
              <w:autoSpaceDE w:val="0"/>
              <w:autoSpaceDN w:val="0"/>
              <w:adjustRightInd w:val="0"/>
              <w:jc w:val="center"/>
              <w:rPr>
                <w:rFonts w:cs="Arial"/>
                <w:bCs/>
              </w:rPr>
            </w:pPr>
            <w:r w:rsidRPr="004D05E9">
              <w:rPr>
                <w:rFonts w:cs="Arial"/>
                <w:bCs/>
              </w:rPr>
              <w:t>94.1%</w:t>
            </w:r>
          </w:p>
        </w:tc>
        <w:tc>
          <w:tcPr>
            <w:tcW w:w="897" w:type="dxa"/>
          </w:tcPr>
          <w:p w14:paraId="39009D4A" w14:textId="109A418D" w:rsidR="008702A6" w:rsidRPr="004D05E9" w:rsidRDefault="008702A6" w:rsidP="00FD74B6">
            <w:pPr>
              <w:widowControl w:val="0"/>
              <w:tabs>
                <w:tab w:val="left" w:pos="255"/>
                <w:tab w:val="center" w:pos="396"/>
              </w:tabs>
              <w:overflowPunct w:val="0"/>
              <w:autoSpaceDE w:val="0"/>
              <w:autoSpaceDN w:val="0"/>
              <w:adjustRightInd w:val="0"/>
              <w:jc w:val="center"/>
              <w:rPr>
                <w:rFonts w:cs="Arial"/>
                <w:bCs/>
              </w:rPr>
            </w:pPr>
            <w:r w:rsidRPr="004D05E9">
              <w:rPr>
                <w:rFonts w:cs="Arial"/>
                <w:bCs/>
              </w:rPr>
              <w:t>N/A</w:t>
            </w:r>
          </w:p>
        </w:tc>
      </w:tr>
      <w:tr w:rsidR="008702A6" w:rsidRPr="004D05E9" w14:paraId="5F50124F" w14:textId="679EF706" w:rsidTr="008702A6">
        <w:trPr>
          <w:cantSplit/>
          <w:trHeight w:val="278"/>
        </w:trPr>
        <w:tc>
          <w:tcPr>
            <w:tcW w:w="1797" w:type="dxa"/>
            <w:hideMark/>
          </w:tcPr>
          <w:p w14:paraId="545E1726" w14:textId="77777777" w:rsidR="008702A6" w:rsidRPr="004D05E9" w:rsidRDefault="008702A6" w:rsidP="00FD74B6">
            <w:pPr>
              <w:rPr>
                <w:rFonts w:cs="Arial"/>
              </w:rPr>
            </w:pPr>
            <w:r w:rsidRPr="004D05E9">
              <w:rPr>
                <w:rFonts w:cs="Arial"/>
              </w:rPr>
              <w:t>Target Met</w:t>
            </w:r>
          </w:p>
        </w:tc>
        <w:tc>
          <w:tcPr>
            <w:tcW w:w="1029" w:type="dxa"/>
            <w:hideMark/>
          </w:tcPr>
          <w:p w14:paraId="38AAE0CD" w14:textId="77777777" w:rsidR="008702A6" w:rsidRPr="004D05E9" w:rsidRDefault="008702A6" w:rsidP="00FD74B6">
            <w:pPr>
              <w:jc w:val="center"/>
              <w:rPr>
                <w:rFonts w:cs="Arial"/>
              </w:rPr>
            </w:pPr>
            <w:r w:rsidRPr="004D05E9">
              <w:rPr>
                <w:rFonts w:cs="Arial"/>
              </w:rPr>
              <w:t>No</w:t>
            </w:r>
          </w:p>
        </w:tc>
        <w:tc>
          <w:tcPr>
            <w:tcW w:w="897" w:type="dxa"/>
            <w:hideMark/>
          </w:tcPr>
          <w:p w14:paraId="0E7EE3B4" w14:textId="77777777" w:rsidR="008702A6" w:rsidRPr="004D05E9" w:rsidRDefault="008702A6" w:rsidP="00FD74B6">
            <w:pPr>
              <w:jc w:val="center"/>
              <w:rPr>
                <w:rFonts w:cs="Arial"/>
              </w:rPr>
            </w:pPr>
            <w:r w:rsidRPr="004D05E9">
              <w:rPr>
                <w:rFonts w:cs="Arial"/>
              </w:rPr>
              <w:t>No</w:t>
            </w:r>
          </w:p>
        </w:tc>
        <w:tc>
          <w:tcPr>
            <w:tcW w:w="897" w:type="dxa"/>
            <w:hideMark/>
          </w:tcPr>
          <w:p w14:paraId="34F231F4" w14:textId="77777777" w:rsidR="008702A6" w:rsidRPr="004D05E9" w:rsidRDefault="008702A6" w:rsidP="00FD74B6">
            <w:pPr>
              <w:jc w:val="center"/>
              <w:rPr>
                <w:rFonts w:cs="Arial"/>
              </w:rPr>
            </w:pPr>
            <w:r w:rsidRPr="004D05E9">
              <w:rPr>
                <w:rFonts w:cs="Arial"/>
              </w:rPr>
              <w:t>No</w:t>
            </w:r>
          </w:p>
        </w:tc>
        <w:tc>
          <w:tcPr>
            <w:tcW w:w="897" w:type="dxa"/>
            <w:hideMark/>
          </w:tcPr>
          <w:p w14:paraId="4A733502"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No</w:t>
            </w:r>
          </w:p>
        </w:tc>
        <w:tc>
          <w:tcPr>
            <w:tcW w:w="897" w:type="dxa"/>
            <w:hideMark/>
          </w:tcPr>
          <w:p w14:paraId="40C55FA0"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No</w:t>
            </w:r>
          </w:p>
        </w:tc>
        <w:tc>
          <w:tcPr>
            <w:tcW w:w="897" w:type="dxa"/>
            <w:hideMark/>
          </w:tcPr>
          <w:p w14:paraId="6EF2450E" w14:textId="77777777" w:rsidR="008702A6" w:rsidRPr="004D05E9" w:rsidRDefault="008702A6" w:rsidP="00FD74B6">
            <w:pPr>
              <w:widowControl w:val="0"/>
              <w:tabs>
                <w:tab w:val="left" w:pos="255"/>
                <w:tab w:val="center" w:pos="396"/>
              </w:tabs>
              <w:overflowPunct w:val="0"/>
              <w:autoSpaceDE w:val="0"/>
              <w:autoSpaceDN w:val="0"/>
              <w:adjustRightInd w:val="0"/>
              <w:jc w:val="center"/>
              <w:rPr>
                <w:rFonts w:cs="Arial"/>
                <w:bCs/>
              </w:rPr>
            </w:pPr>
            <w:r w:rsidRPr="004D05E9">
              <w:rPr>
                <w:rFonts w:cs="Arial"/>
                <w:bCs/>
              </w:rPr>
              <w:t>No</w:t>
            </w:r>
          </w:p>
        </w:tc>
        <w:tc>
          <w:tcPr>
            <w:tcW w:w="897" w:type="dxa"/>
          </w:tcPr>
          <w:p w14:paraId="58778489" w14:textId="7AD8C18F" w:rsidR="008702A6" w:rsidRPr="004D05E9" w:rsidRDefault="008702A6" w:rsidP="00FD74B6">
            <w:pPr>
              <w:widowControl w:val="0"/>
              <w:tabs>
                <w:tab w:val="left" w:pos="255"/>
                <w:tab w:val="center" w:pos="396"/>
              </w:tabs>
              <w:overflowPunct w:val="0"/>
              <w:autoSpaceDE w:val="0"/>
              <w:autoSpaceDN w:val="0"/>
              <w:adjustRightInd w:val="0"/>
              <w:jc w:val="center"/>
              <w:rPr>
                <w:rFonts w:cs="Arial"/>
                <w:bCs/>
              </w:rPr>
            </w:pPr>
            <w:r w:rsidRPr="004D05E9">
              <w:rPr>
                <w:rFonts w:cs="Arial"/>
                <w:bCs/>
              </w:rPr>
              <w:t>N/A</w:t>
            </w:r>
          </w:p>
        </w:tc>
      </w:tr>
    </w:tbl>
    <w:p w14:paraId="1DDB5404" w14:textId="77777777" w:rsidR="00A50851" w:rsidRPr="004D05E9" w:rsidRDefault="00A50851" w:rsidP="000B3B74">
      <w:pPr>
        <w:spacing w:after="240"/>
        <w:rPr>
          <w:rFonts w:cs="Arial"/>
        </w:rPr>
      </w:pPr>
      <w:r w:rsidRPr="004D05E9">
        <w:rPr>
          <w:rFonts w:cs="Arial"/>
        </w:rPr>
        <w:t>*Pilot year for California Assessment of Student Performance and Progress, only California Alternate Performance Assessment data was included.</w:t>
      </w:r>
    </w:p>
    <w:p w14:paraId="75A8080C" w14:textId="5E7BCC31" w:rsidR="00A50851" w:rsidRPr="004D05E9" w:rsidRDefault="00A50851" w:rsidP="00A50851">
      <w:pPr>
        <w:numPr>
          <w:ilvl w:val="0"/>
          <w:numId w:val="10"/>
        </w:numPr>
        <w:ind w:left="360"/>
        <w:rPr>
          <w:rFonts w:cs="Arial"/>
        </w:rPr>
      </w:pPr>
      <w:r w:rsidRPr="004D05E9">
        <w:rPr>
          <w:rFonts w:cs="Arial"/>
        </w:rPr>
        <w:t>In FFY 201</w:t>
      </w:r>
      <w:r w:rsidR="00C8424B" w:rsidRPr="004D05E9">
        <w:rPr>
          <w:rFonts w:cs="Arial"/>
        </w:rPr>
        <w:t>9</w:t>
      </w:r>
      <w:r w:rsidRPr="004D05E9">
        <w:rPr>
          <w:rFonts w:cs="Arial"/>
        </w:rPr>
        <w:t xml:space="preserve"> for Target C (Proficiency), the results are as follows:</w:t>
      </w:r>
    </w:p>
    <w:p w14:paraId="4A49B53D" w14:textId="77777777" w:rsidR="00A50851" w:rsidRPr="004D05E9" w:rsidRDefault="00A50851" w:rsidP="00A50851">
      <w:pPr>
        <w:ind w:left="360"/>
        <w:rPr>
          <w:rFonts w:cs="Arial"/>
          <w:b/>
        </w:rPr>
      </w:pPr>
      <w:r w:rsidRPr="004D05E9">
        <w:rPr>
          <w:rFonts w:cs="Arial"/>
          <w:b/>
        </w:rPr>
        <w:t>Percent Proficient for Students with Disabilities (3C)</w:t>
      </w:r>
    </w:p>
    <w:tbl>
      <w:tblPr>
        <w:tblStyle w:val="TableGrid"/>
        <w:tblW w:w="0" w:type="auto"/>
        <w:tblLook w:val="04A0" w:firstRow="1" w:lastRow="0" w:firstColumn="1" w:lastColumn="0" w:noHBand="0" w:noVBand="1"/>
        <w:tblDescription w:val="Indicator 3C Targets and Results"/>
      </w:tblPr>
      <w:tblGrid>
        <w:gridCol w:w="2520"/>
        <w:gridCol w:w="1260"/>
        <w:gridCol w:w="1080"/>
        <w:gridCol w:w="1080"/>
        <w:gridCol w:w="1170"/>
        <w:gridCol w:w="1080"/>
        <w:gridCol w:w="1026"/>
      </w:tblGrid>
      <w:tr w:rsidR="00A50851" w:rsidRPr="004D05E9" w14:paraId="3D8FCADA" w14:textId="77777777" w:rsidTr="000E0698">
        <w:trPr>
          <w:cantSplit/>
          <w:tblHeader/>
        </w:trPr>
        <w:tc>
          <w:tcPr>
            <w:tcW w:w="2520" w:type="dxa"/>
            <w:vAlign w:val="center"/>
            <w:hideMark/>
          </w:tcPr>
          <w:p w14:paraId="08BABFE7" w14:textId="77777777" w:rsidR="00A50851" w:rsidRPr="004D05E9" w:rsidRDefault="00A50851" w:rsidP="00FD74B6">
            <w:pPr>
              <w:jc w:val="center"/>
              <w:rPr>
                <w:rFonts w:cs="Arial"/>
                <w:b/>
              </w:rPr>
            </w:pPr>
            <w:r w:rsidRPr="004D05E9">
              <w:rPr>
                <w:rFonts w:cs="Arial"/>
                <w:b/>
              </w:rPr>
              <w:t>Type of LEA</w:t>
            </w:r>
          </w:p>
        </w:tc>
        <w:tc>
          <w:tcPr>
            <w:tcW w:w="1260" w:type="dxa"/>
            <w:vAlign w:val="center"/>
            <w:hideMark/>
          </w:tcPr>
          <w:p w14:paraId="7F60B31E" w14:textId="77777777" w:rsidR="00A50851" w:rsidRPr="004D05E9" w:rsidRDefault="00A50851" w:rsidP="00FD74B6">
            <w:pPr>
              <w:jc w:val="center"/>
              <w:rPr>
                <w:rFonts w:cs="Arial"/>
                <w:b/>
              </w:rPr>
            </w:pPr>
            <w:r w:rsidRPr="004D05E9">
              <w:rPr>
                <w:rFonts w:cs="Arial"/>
                <w:b/>
              </w:rPr>
              <w:t>ELA Target</w:t>
            </w:r>
          </w:p>
        </w:tc>
        <w:tc>
          <w:tcPr>
            <w:tcW w:w="1080" w:type="dxa"/>
            <w:vAlign w:val="center"/>
            <w:hideMark/>
          </w:tcPr>
          <w:p w14:paraId="3BC47A90" w14:textId="77777777" w:rsidR="00A50851" w:rsidRPr="004D05E9" w:rsidRDefault="00A50851" w:rsidP="00FD74B6">
            <w:pPr>
              <w:jc w:val="center"/>
              <w:rPr>
                <w:rFonts w:cs="Arial"/>
                <w:b/>
              </w:rPr>
            </w:pPr>
            <w:r w:rsidRPr="004D05E9">
              <w:rPr>
                <w:rFonts w:cs="Arial"/>
                <w:b/>
              </w:rPr>
              <w:t>ELA Result</w:t>
            </w:r>
          </w:p>
        </w:tc>
        <w:tc>
          <w:tcPr>
            <w:tcW w:w="1080" w:type="dxa"/>
            <w:vAlign w:val="center"/>
            <w:hideMark/>
          </w:tcPr>
          <w:p w14:paraId="7B9EB91B" w14:textId="77777777" w:rsidR="00A50851" w:rsidRPr="004D05E9" w:rsidRDefault="00A50851" w:rsidP="00FD74B6">
            <w:pPr>
              <w:jc w:val="center"/>
              <w:rPr>
                <w:rFonts w:cs="Arial"/>
                <w:b/>
              </w:rPr>
            </w:pPr>
            <w:r w:rsidRPr="004D05E9">
              <w:rPr>
                <w:rFonts w:cs="Arial"/>
                <w:b/>
              </w:rPr>
              <w:t>Target Met</w:t>
            </w:r>
          </w:p>
        </w:tc>
        <w:tc>
          <w:tcPr>
            <w:tcW w:w="1170" w:type="dxa"/>
            <w:vAlign w:val="center"/>
            <w:hideMark/>
          </w:tcPr>
          <w:p w14:paraId="13303600" w14:textId="77777777" w:rsidR="00A50851" w:rsidRPr="004D05E9" w:rsidRDefault="00A50851" w:rsidP="00FD74B6">
            <w:pPr>
              <w:jc w:val="center"/>
              <w:rPr>
                <w:rFonts w:cs="Arial"/>
                <w:b/>
              </w:rPr>
            </w:pPr>
            <w:r w:rsidRPr="004D05E9">
              <w:rPr>
                <w:rFonts w:cs="Arial"/>
                <w:b/>
              </w:rPr>
              <w:t>Math Target</w:t>
            </w:r>
          </w:p>
        </w:tc>
        <w:tc>
          <w:tcPr>
            <w:tcW w:w="1080" w:type="dxa"/>
            <w:vAlign w:val="center"/>
            <w:hideMark/>
          </w:tcPr>
          <w:p w14:paraId="3B9454C6" w14:textId="77777777" w:rsidR="00A50851" w:rsidRPr="004D05E9" w:rsidRDefault="00A50851" w:rsidP="00FD74B6">
            <w:pPr>
              <w:jc w:val="center"/>
              <w:rPr>
                <w:rFonts w:cs="Arial"/>
                <w:b/>
              </w:rPr>
            </w:pPr>
            <w:r w:rsidRPr="004D05E9">
              <w:rPr>
                <w:rFonts w:cs="Arial"/>
                <w:b/>
              </w:rPr>
              <w:t>Math Result</w:t>
            </w:r>
          </w:p>
        </w:tc>
        <w:tc>
          <w:tcPr>
            <w:tcW w:w="1026" w:type="dxa"/>
            <w:vAlign w:val="center"/>
            <w:hideMark/>
          </w:tcPr>
          <w:p w14:paraId="4485014D" w14:textId="77777777" w:rsidR="00A50851" w:rsidRPr="004D05E9" w:rsidRDefault="00A50851" w:rsidP="00FD74B6">
            <w:pPr>
              <w:jc w:val="center"/>
              <w:rPr>
                <w:rFonts w:cs="Arial"/>
                <w:b/>
              </w:rPr>
            </w:pPr>
            <w:r w:rsidRPr="004D05E9">
              <w:rPr>
                <w:rFonts w:cs="Arial"/>
                <w:b/>
              </w:rPr>
              <w:t>Target Met</w:t>
            </w:r>
          </w:p>
        </w:tc>
      </w:tr>
      <w:tr w:rsidR="00A50851" w:rsidRPr="004D05E9" w14:paraId="76547EE1" w14:textId="77777777" w:rsidTr="008702A6">
        <w:trPr>
          <w:cantSplit/>
        </w:trPr>
        <w:tc>
          <w:tcPr>
            <w:tcW w:w="2520" w:type="dxa"/>
            <w:vAlign w:val="center"/>
            <w:hideMark/>
          </w:tcPr>
          <w:p w14:paraId="5065EBE7" w14:textId="77777777" w:rsidR="00A50851" w:rsidRPr="004D05E9" w:rsidRDefault="00A50851" w:rsidP="00FD74B6">
            <w:pPr>
              <w:rPr>
                <w:rFonts w:cs="Arial"/>
              </w:rPr>
            </w:pPr>
            <w:r w:rsidRPr="004D05E9">
              <w:rPr>
                <w:rFonts w:cs="Arial"/>
              </w:rPr>
              <w:t>Elementary School Districts</w:t>
            </w:r>
          </w:p>
        </w:tc>
        <w:tc>
          <w:tcPr>
            <w:tcW w:w="1260" w:type="dxa"/>
            <w:shd w:val="clear" w:color="auto" w:fill="auto"/>
            <w:vAlign w:val="center"/>
            <w:hideMark/>
          </w:tcPr>
          <w:p w14:paraId="7117ED88" w14:textId="171F9554" w:rsidR="00A50851" w:rsidRPr="004D05E9" w:rsidRDefault="00A50851" w:rsidP="0004605E">
            <w:pPr>
              <w:jc w:val="center"/>
              <w:rPr>
                <w:rFonts w:cs="Arial"/>
              </w:rPr>
            </w:pPr>
            <w:r w:rsidRPr="004D05E9">
              <w:rPr>
                <w:rFonts w:cs="Arial"/>
              </w:rPr>
              <w:t>1</w:t>
            </w:r>
            <w:r w:rsidR="008702A6" w:rsidRPr="004D05E9">
              <w:rPr>
                <w:rFonts w:cs="Arial"/>
              </w:rPr>
              <w:t>6</w:t>
            </w:r>
            <w:r w:rsidRPr="004D05E9">
              <w:rPr>
                <w:rFonts w:cs="Arial"/>
              </w:rPr>
              <w:t>.0%</w:t>
            </w:r>
          </w:p>
        </w:tc>
        <w:tc>
          <w:tcPr>
            <w:tcW w:w="1080" w:type="dxa"/>
            <w:shd w:val="clear" w:color="auto" w:fill="auto"/>
            <w:vAlign w:val="center"/>
          </w:tcPr>
          <w:p w14:paraId="3E007AD5" w14:textId="32FCCACB" w:rsidR="00A50851" w:rsidRPr="004D05E9" w:rsidRDefault="008702A6" w:rsidP="00FD74B6">
            <w:pPr>
              <w:jc w:val="center"/>
              <w:rPr>
                <w:rFonts w:cs="Arial"/>
              </w:rPr>
            </w:pPr>
            <w:r w:rsidRPr="004D05E9">
              <w:rPr>
                <w:rFonts w:cs="Arial"/>
                <w:bCs/>
              </w:rPr>
              <w:t>N/A</w:t>
            </w:r>
          </w:p>
        </w:tc>
        <w:tc>
          <w:tcPr>
            <w:tcW w:w="1080" w:type="dxa"/>
            <w:shd w:val="clear" w:color="auto" w:fill="auto"/>
            <w:vAlign w:val="center"/>
          </w:tcPr>
          <w:p w14:paraId="3375241B" w14:textId="26FCA27E" w:rsidR="00A50851" w:rsidRPr="004D05E9" w:rsidRDefault="008702A6" w:rsidP="00FD74B6">
            <w:pPr>
              <w:jc w:val="center"/>
              <w:rPr>
                <w:rFonts w:cs="Arial"/>
              </w:rPr>
            </w:pPr>
            <w:r w:rsidRPr="004D05E9">
              <w:rPr>
                <w:rFonts w:cs="Arial"/>
                <w:bCs/>
              </w:rPr>
              <w:t>N/A</w:t>
            </w:r>
          </w:p>
        </w:tc>
        <w:tc>
          <w:tcPr>
            <w:tcW w:w="1170" w:type="dxa"/>
            <w:shd w:val="clear" w:color="auto" w:fill="auto"/>
            <w:vAlign w:val="center"/>
            <w:hideMark/>
          </w:tcPr>
          <w:p w14:paraId="2FF6FAC6" w14:textId="4EB32858" w:rsidR="00A50851" w:rsidRPr="004D05E9" w:rsidRDefault="00A50851" w:rsidP="0004605E">
            <w:pPr>
              <w:jc w:val="center"/>
              <w:rPr>
                <w:rFonts w:cs="Arial"/>
              </w:rPr>
            </w:pPr>
            <w:r w:rsidRPr="004D05E9">
              <w:rPr>
                <w:rFonts w:cs="Arial"/>
              </w:rPr>
              <w:t>1</w:t>
            </w:r>
            <w:r w:rsidR="008702A6" w:rsidRPr="004D05E9">
              <w:rPr>
                <w:rFonts w:cs="Arial"/>
              </w:rPr>
              <w:t>4</w:t>
            </w:r>
            <w:r w:rsidRPr="004D05E9">
              <w:rPr>
                <w:rFonts w:cs="Arial"/>
              </w:rPr>
              <w:t>.6%</w:t>
            </w:r>
          </w:p>
        </w:tc>
        <w:tc>
          <w:tcPr>
            <w:tcW w:w="1080" w:type="dxa"/>
            <w:shd w:val="clear" w:color="auto" w:fill="auto"/>
            <w:vAlign w:val="center"/>
          </w:tcPr>
          <w:p w14:paraId="30FF450A" w14:textId="44F27FF5" w:rsidR="00A50851" w:rsidRPr="004D05E9" w:rsidRDefault="008702A6" w:rsidP="00FD74B6">
            <w:pPr>
              <w:jc w:val="center"/>
              <w:rPr>
                <w:rFonts w:cs="Arial"/>
              </w:rPr>
            </w:pPr>
            <w:r w:rsidRPr="004D05E9">
              <w:rPr>
                <w:rFonts w:cs="Arial"/>
                <w:bCs/>
              </w:rPr>
              <w:t>N/A</w:t>
            </w:r>
          </w:p>
        </w:tc>
        <w:tc>
          <w:tcPr>
            <w:tcW w:w="1026" w:type="dxa"/>
            <w:shd w:val="clear" w:color="auto" w:fill="auto"/>
            <w:vAlign w:val="center"/>
          </w:tcPr>
          <w:p w14:paraId="4C085292" w14:textId="2623BF16" w:rsidR="0039784D" w:rsidRPr="004D05E9" w:rsidRDefault="008702A6" w:rsidP="0039784D">
            <w:pPr>
              <w:jc w:val="center"/>
              <w:rPr>
                <w:rFonts w:cs="Arial"/>
              </w:rPr>
            </w:pPr>
            <w:r w:rsidRPr="004D05E9">
              <w:rPr>
                <w:rFonts w:cs="Arial"/>
                <w:bCs/>
              </w:rPr>
              <w:t>N/A</w:t>
            </w:r>
          </w:p>
        </w:tc>
      </w:tr>
      <w:tr w:rsidR="00A50851" w:rsidRPr="004D05E9" w14:paraId="73AADE68" w14:textId="77777777" w:rsidTr="008702A6">
        <w:trPr>
          <w:cantSplit/>
        </w:trPr>
        <w:tc>
          <w:tcPr>
            <w:tcW w:w="2520" w:type="dxa"/>
            <w:vAlign w:val="center"/>
            <w:hideMark/>
          </w:tcPr>
          <w:p w14:paraId="229487C2" w14:textId="77777777" w:rsidR="00A50851" w:rsidRPr="004D05E9" w:rsidRDefault="00A50851" w:rsidP="00FD74B6">
            <w:pPr>
              <w:rPr>
                <w:rFonts w:cs="Arial"/>
              </w:rPr>
            </w:pPr>
            <w:r w:rsidRPr="004D05E9">
              <w:rPr>
                <w:rFonts w:cs="Arial"/>
              </w:rPr>
              <w:t>High School Districts</w:t>
            </w:r>
          </w:p>
        </w:tc>
        <w:tc>
          <w:tcPr>
            <w:tcW w:w="1260" w:type="dxa"/>
            <w:shd w:val="clear" w:color="auto" w:fill="auto"/>
            <w:vAlign w:val="center"/>
            <w:hideMark/>
          </w:tcPr>
          <w:p w14:paraId="3728E76F" w14:textId="5A6F6824" w:rsidR="00A50851" w:rsidRPr="004D05E9" w:rsidRDefault="0004605E" w:rsidP="00FD74B6">
            <w:pPr>
              <w:jc w:val="center"/>
              <w:rPr>
                <w:rFonts w:cs="Arial"/>
              </w:rPr>
            </w:pPr>
            <w:r w:rsidRPr="004D05E9">
              <w:rPr>
                <w:rFonts w:cs="Arial"/>
              </w:rPr>
              <w:t>1</w:t>
            </w:r>
            <w:r w:rsidR="008702A6" w:rsidRPr="004D05E9">
              <w:rPr>
                <w:rFonts w:cs="Arial"/>
              </w:rPr>
              <w:t>6</w:t>
            </w:r>
            <w:r w:rsidR="00A50851" w:rsidRPr="004D05E9">
              <w:rPr>
                <w:rFonts w:cs="Arial"/>
              </w:rPr>
              <w:t>.9%</w:t>
            </w:r>
          </w:p>
        </w:tc>
        <w:tc>
          <w:tcPr>
            <w:tcW w:w="1080" w:type="dxa"/>
            <w:shd w:val="clear" w:color="auto" w:fill="auto"/>
            <w:vAlign w:val="center"/>
          </w:tcPr>
          <w:p w14:paraId="37434B84" w14:textId="446663BE" w:rsidR="00A50851" w:rsidRPr="004D05E9" w:rsidRDefault="008702A6" w:rsidP="00FD74B6">
            <w:pPr>
              <w:jc w:val="center"/>
              <w:rPr>
                <w:rFonts w:cs="Arial"/>
              </w:rPr>
            </w:pPr>
            <w:r w:rsidRPr="004D05E9">
              <w:rPr>
                <w:rFonts w:cs="Arial"/>
                <w:bCs/>
              </w:rPr>
              <w:t>N/A</w:t>
            </w:r>
          </w:p>
        </w:tc>
        <w:tc>
          <w:tcPr>
            <w:tcW w:w="1080" w:type="dxa"/>
            <w:shd w:val="clear" w:color="auto" w:fill="auto"/>
            <w:vAlign w:val="center"/>
          </w:tcPr>
          <w:p w14:paraId="2BB4D7A7" w14:textId="270D4512" w:rsidR="00A50851" w:rsidRPr="004D05E9" w:rsidRDefault="008702A6" w:rsidP="00FD74B6">
            <w:pPr>
              <w:jc w:val="center"/>
              <w:rPr>
                <w:rFonts w:cs="Arial"/>
              </w:rPr>
            </w:pPr>
            <w:r w:rsidRPr="004D05E9">
              <w:rPr>
                <w:rFonts w:cs="Arial"/>
                <w:bCs/>
              </w:rPr>
              <w:t>N/A</w:t>
            </w:r>
          </w:p>
        </w:tc>
        <w:tc>
          <w:tcPr>
            <w:tcW w:w="1170" w:type="dxa"/>
            <w:shd w:val="clear" w:color="auto" w:fill="auto"/>
            <w:vAlign w:val="center"/>
            <w:hideMark/>
          </w:tcPr>
          <w:p w14:paraId="53C1ED32" w14:textId="3B31A0F4" w:rsidR="00A50851" w:rsidRPr="004D05E9" w:rsidRDefault="0004605E" w:rsidP="00FD74B6">
            <w:pPr>
              <w:jc w:val="center"/>
              <w:rPr>
                <w:rFonts w:cs="Arial"/>
              </w:rPr>
            </w:pPr>
            <w:r w:rsidRPr="004D05E9">
              <w:rPr>
                <w:rFonts w:cs="Arial"/>
              </w:rPr>
              <w:t>1</w:t>
            </w:r>
            <w:r w:rsidR="008702A6" w:rsidRPr="004D05E9">
              <w:rPr>
                <w:rFonts w:cs="Arial"/>
              </w:rPr>
              <w:t>4</w:t>
            </w:r>
            <w:r w:rsidR="00A50851" w:rsidRPr="004D05E9">
              <w:rPr>
                <w:rFonts w:cs="Arial"/>
              </w:rPr>
              <w:t>.6%</w:t>
            </w:r>
          </w:p>
        </w:tc>
        <w:tc>
          <w:tcPr>
            <w:tcW w:w="1080" w:type="dxa"/>
            <w:shd w:val="clear" w:color="auto" w:fill="auto"/>
            <w:vAlign w:val="center"/>
          </w:tcPr>
          <w:p w14:paraId="51B57499" w14:textId="431F7D3C" w:rsidR="00A50851" w:rsidRPr="004D05E9" w:rsidRDefault="008702A6" w:rsidP="00FD74B6">
            <w:pPr>
              <w:jc w:val="center"/>
              <w:rPr>
                <w:rFonts w:cs="Arial"/>
              </w:rPr>
            </w:pPr>
            <w:r w:rsidRPr="004D05E9">
              <w:rPr>
                <w:rFonts w:cs="Arial"/>
                <w:bCs/>
              </w:rPr>
              <w:t>N/A</w:t>
            </w:r>
          </w:p>
        </w:tc>
        <w:tc>
          <w:tcPr>
            <w:tcW w:w="1026" w:type="dxa"/>
            <w:shd w:val="clear" w:color="auto" w:fill="auto"/>
            <w:vAlign w:val="center"/>
          </w:tcPr>
          <w:p w14:paraId="3946FED4" w14:textId="2A143B65" w:rsidR="00A50851" w:rsidRPr="004D05E9" w:rsidRDefault="008702A6" w:rsidP="00FD74B6">
            <w:pPr>
              <w:jc w:val="center"/>
              <w:rPr>
                <w:rFonts w:cs="Arial"/>
              </w:rPr>
            </w:pPr>
            <w:r w:rsidRPr="004D05E9">
              <w:rPr>
                <w:rFonts w:cs="Arial"/>
                <w:bCs/>
              </w:rPr>
              <w:t>N/A</w:t>
            </w:r>
          </w:p>
        </w:tc>
      </w:tr>
      <w:tr w:rsidR="00A50851" w:rsidRPr="004D05E9" w14:paraId="0BF18A74" w14:textId="77777777" w:rsidTr="008702A6">
        <w:trPr>
          <w:cantSplit/>
        </w:trPr>
        <w:tc>
          <w:tcPr>
            <w:tcW w:w="2520" w:type="dxa"/>
            <w:vAlign w:val="center"/>
            <w:hideMark/>
          </w:tcPr>
          <w:p w14:paraId="7D234259" w14:textId="77777777" w:rsidR="00A50851" w:rsidRPr="004D05E9" w:rsidRDefault="00A50851" w:rsidP="00FD74B6">
            <w:pPr>
              <w:rPr>
                <w:rFonts w:cs="Arial"/>
              </w:rPr>
            </w:pPr>
            <w:r w:rsidRPr="004D05E9">
              <w:rPr>
                <w:rFonts w:cs="Arial"/>
              </w:rPr>
              <w:t>Unified School Districts and County Offices of Education</w:t>
            </w:r>
          </w:p>
        </w:tc>
        <w:tc>
          <w:tcPr>
            <w:tcW w:w="1260" w:type="dxa"/>
            <w:shd w:val="clear" w:color="auto" w:fill="auto"/>
            <w:vAlign w:val="center"/>
            <w:hideMark/>
          </w:tcPr>
          <w:p w14:paraId="4CB5593A" w14:textId="7EA71E27" w:rsidR="00A50851" w:rsidRPr="004D05E9" w:rsidRDefault="0004605E" w:rsidP="00FD74B6">
            <w:pPr>
              <w:jc w:val="center"/>
              <w:rPr>
                <w:rFonts w:cs="Arial"/>
              </w:rPr>
            </w:pPr>
            <w:r w:rsidRPr="004D05E9">
              <w:rPr>
                <w:rFonts w:cs="Arial"/>
              </w:rPr>
              <w:t>1</w:t>
            </w:r>
            <w:r w:rsidR="008702A6" w:rsidRPr="004D05E9">
              <w:rPr>
                <w:rFonts w:cs="Arial"/>
              </w:rPr>
              <w:t>6</w:t>
            </w:r>
            <w:r w:rsidR="00A50851" w:rsidRPr="004D05E9">
              <w:rPr>
                <w:rFonts w:cs="Arial"/>
              </w:rPr>
              <w:t>.9%</w:t>
            </w:r>
          </w:p>
        </w:tc>
        <w:tc>
          <w:tcPr>
            <w:tcW w:w="1080" w:type="dxa"/>
            <w:shd w:val="clear" w:color="auto" w:fill="auto"/>
            <w:vAlign w:val="center"/>
          </w:tcPr>
          <w:p w14:paraId="642CDA83" w14:textId="7EC3C4F0" w:rsidR="00A50851" w:rsidRPr="004D05E9" w:rsidRDefault="008702A6" w:rsidP="00FD74B6">
            <w:pPr>
              <w:jc w:val="center"/>
              <w:rPr>
                <w:rFonts w:cs="Arial"/>
              </w:rPr>
            </w:pPr>
            <w:r w:rsidRPr="004D05E9">
              <w:rPr>
                <w:rFonts w:cs="Arial"/>
                <w:bCs/>
              </w:rPr>
              <w:t>N/A</w:t>
            </w:r>
          </w:p>
        </w:tc>
        <w:tc>
          <w:tcPr>
            <w:tcW w:w="1080" w:type="dxa"/>
            <w:shd w:val="clear" w:color="auto" w:fill="auto"/>
            <w:vAlign w:val="center"/>
          </w:tcPr>
          <w:p w14:paraId="27C7C8A1" w14:textId="7E8CE896" w:rsidR="00A50851" w:rsidRPr="004D05E9" w:rsidRDefault="008702A6" w:rsidP="00FD74B6">
            <w:pPr>
              <w:jc w:val="center"/>
              <w:rPr>
                <w:rFonts w:cs="Arial"/>
              </w:rPr>
            </w:pPr>
            <w:r w:rsidRPr="004D05E9">
              <w:rPr>
                <w:rFonts w:cs="Arial"/>
                <w:bCs/>
              </w:rPr>
              <w:t>N/A</w:t>
            </w:r>
          </w:p>
        </w:tc>
        <w:tc>
          <w:tcPr>
            <w:tcW w:w="1170" w:type="dxa"/>
            <w:shd w:val="clear" w:color="auto" w:fill="auto"/>
            <w:vAlign w:val="center"/>
            <w:hideMark/>
          </w:tcPr>
          <w:p w14:paraId="366897B0" w14:textId="4ECE6364" w:rsidR="00A50851" w:rsidRPr="004D05E9" w:rsidRDefault="0004605E" w:rsidP="00FD74B6">
            <w:pPr>
              <w:jc w:val="center"/>
              <w:rPr>
                <w:rFonts w:cs="Arial"/>
              </w:rPr>
            </w:pPr>
            <w:r w:rsidRPr="004D05E9">
              <w:rPr>
                <w:rFonts w:cs="Arial"/>
              </w:rPr>
              <w:t>1</w:t>
            </w:r>
            <w:r w:rsidR="008702A6" w:rsidRPr="004D05E9">
              <w:rPr>
                <w:rFonts w:cs="Arial"/>
              </w:rPr>
              <w:t>4</w:t>
            </w:r>
            <w:r w:rsidR="00A50851" w:rsidRPr="004D05E9">
              <w:rPr>
                <w:rFonts w:cs="Arial"/>
              </w:rPr>
              <w:t>.6%</w:t>
            </w:r>
          </w:p>
        </w:tc>
        <w:tc>
          <w:tcPr>
            <w:tcW w:w="1080" w:type="dxa"/>
            <w:shd w:val="clear" w:color="auto" w:fill="auto"/>
            <w:vAlign w:val="center"/>
          </w:tcPr>
          <w:p w14:paraId="6590148D" w14:textId="14CFAF83" w:rsidR="00A50851" w:rsidRPr="004D05E9" w:rsidRDefault="008702A6" w:rsidP="00FD74B6">
            <w:pPr>
              <w:jc w:val="center"/>
              <w:rPr>
                <w:rFonts w:cs="Arial"/>
              </w:rPr>
            </w:pPr>
            <w:r w:rsidRPr="004D05E9">
              <w:rPr>
                <w:rFonts w:cs="Arial"/>
                <w:bCs/>
              </w:rPr>
              <w:t>N/A</w:t>
            </w:r>
          </w:p>
        </w:tc>
        <w:tc>
          <w:tcPr>
            <w:tcW w:w="1026" w:type="dxa"/>
            <w:shd w:val="clear" w:color="auto" w:fill="auto"/>
            <w:vAlign w:val="center"/>
          </w:tcPr>
          <w:p w14:paraId="6371485A" w14:textId="653747F0" w:rsidR="00A50851" w:rsidRPr="004D05E9" w:rsidRDefault="008702A6" w:rsidP="00FD74B6">
            <w:pPr>
              <w:jc w:val="center"/>
              <w:rPr>
                <w:rFonts w:cs="Arial"/>
              </w:rPr>
            </w:pPr>
            <w:r w:rsidRPr="004D05E9">
              <w:rPr>
                <w:rFonts w:cs="Arial"/>
                <w:bCs/>
              </w:rPr>
              <w:t>N/A</w:t>
            </w:r>
          </w:p>
        </w:tc>
      </w:tr>
    </w:tbl>
    <w:p w14:paraId="4C592AE1" w14:textId="77777777" w:rsidR="00F63F32" w:rsidRPr="004D05E9" w:rsidRDefault="00F63F32" w:rsidP="00866377">
      <w:r w:rsidRPr="004D05E9">
        <w:br w:type="page"/>
      </w:r>
    </w:p>
    <w:p w14:paraId="13CED00F" w14:textId="77777777" w:rsidR="00FD74B6" w:rsidRPr="004D05E9" w:rsidRDefault="00FD74B6" w:rsidP="00724781">
      <w:pPr>
        <w:pStyle w:val="Heading2"/>
        <w:spacing w:before="0" w:after="240"/>
        <w:jc w:val="center"/>
      </w:pPr>
      <w:bookmarkStart w:id="77" w:name="_Toc57199016"/>
      <w:r w:rsidRPr="004D05E9">
        <w:lastRenderedPageBreak/>
        <w:t>Indicator 4A: Suspension and Expulsion Overall</w:t>
      </w:r>
      <w:bookmarkEnd w:id="77"/>
    </w:p>
    <w:p w14:paraId="00108C85" w14:textId="77777777" w:rsidR="00FD74B6" w:rsidRPr="004D05E9" w:rsidRDefault="00FD74B6" w:rsidP="00724781">
      <w:pPr>
        <w:pStyle w:val="Heading3"/>
        <w:spacing w:before="0" w:after="240"/>
      </w:pPr>
      <w:bookmarkStart w:id="78" w:name="_Toc57199017"/>
      <w:r w:rsidRPr="004D05E9">
        <w:t>Description</w:t>
      </w:r>
      <w:bookmarkEnd w:id="78"/>
    </w:p>
    <w:p w14:paraId="15EB7F38" w14:textId="332943C9" w:rsidR="00FD74B6" w:rsidRPr="004D05E9" w:rsidRDefault="00FD74B6" w:rsidP="00724781">
      <w:pPr>
        <w:spacing w:after="240"/>
        <w:rPr>
          <w:rFonts w:cs="Arial"/>
        </w:rPr>
      </w:pPr>
      <w:r w:rsidRPr="004D05E9">
        <w:rPr>
          <w:rFonts w:cs="Arial"/>
        </w:rPr>
        <w:t xml:space="preserve">Indicator 4A is a performance indicator that measures the percent of LEAs that have a significant discrepancy in the rate of suspensions and expulsions of greater than 10 days in a school year for students with disabilities (20 U.S.C. </w:t>
      </w:r>
      <w:r w:rsidR="002A11EB" w:rsidRPr="004D05E9">
        <w:rPr>
          <w:rFonts w:cs="Arial"/>
        </w:rPr>
        <w:t xml:space="preserve">Section </w:t>
      </w:r>
      <w:r w:rsidRPr="004D05E9">
        <w:rPr>
          <w:rFonts w:cs="Arial"/>
        </w:rPr>
        <w:t>1416[a][3][A] and 1412[a][22]). An LEA is considered to have a significant discrepancy if the district</w:t>
      </w:r>
      <w:r w:rsidR="1126A427" w:rsidRPr="004D05E9">
        <w:rPr>
          <w:rFonts w:cs="Arial"/>
        </w:rPr>
        <w:t>-</w:t>
      </w:r>
      <w:r w:rsidRPr="004D05E9">
        <w:rPr>
          <w:rFonts w:cs="Arial"/>
        </w:rPr>
        <w:t xml:space="preserve">wide rate for suspension and expulsion exceeds the statewide rate for suspension and expulsion. </w:t>
      </w:r>
      <w:r w:rsidR="00470214" w:rsidRPr="004D05E9">
        <w:rPr>
          <w:rFonts w:cs="Arial"/>
        </w:rPr>
        <w:t xml:space="preserve">The statewide rate is the number of students with IEPs </w:t>
      </w:r>
      <w:r w:rsidR="0074503D" w:rsidRPr="004D05E9">
        <w:rPr>
          <w:rFonts w:cs="Arial"/>
        </w:rPr>
        <w:t>who were disciplined</w:t>
      </w:r>
      <w:r w:rsidR="00617891" w:rsidRPr="004D05E9">
        <w:rPr>
          <w:rFonts w:cs="Arial"/>
        </w:rPr>
        <w:t xml:space="preserve"> greater than 10 days divided by the number of students with IEPs in the state. </w:t>
      </w:r>
      <w:r w:rsidRPr="004D05E9">
        <w:rPr>
          <w:rFonts w:cs="Arial"/>
        </w:rPr>
        <w:t xml:space="preserve">LEAs identified to have a significant discrepancy are required to review policies, procedures, and practices related to the development and implementation of IEPs, the use of positive behavioral interventions and supports, and procedural safeguards. </w:t>
      </w:r>
    </w:p>
    <w:p w14:paraId="067C43F7" w14:textId="03471CAF" w:rsidR="00FD74B6" w:rsidRPr="004D05E9" w:rsidRDefault="00FD74B6" w:rsidP="00724781">
      <w:pPr>
        <w:pStyle w:val="Heading3"/>
        <w:spacing w:before="0" w:after="240"/>
      </w:pPr>
      <w:bookmarkStart w:id="79" w:name="_Toc57199018"/>
      <w:r w:rsidRPr="004D05E9">
        <w:t>Target for 201</w:t>
      </w:r>
      <w:r w:rsidR="008702A6" w:rsidRPr="004D05E9">
        <w:t>9</w:t>
      </w:r>
      <w:r w:rsidRPr="004D05E9">
        <w:t>–</w:t>
      </w:r>
      <w:r w:rsidR="008702A6" w:rsidRPr="004D05E9">
        <w:t>20</w:t>
      </w:r>
      <w:bookmarkEnd w:id="79"/>
    </w:p>
    <w:p w14:paraId="684819D6" w14:textId="3488E8EB" w:rsidR="00FD74B6" w:rsidRPr="004D05E9" w:rsidRDefault="00FD74B6" w:rsidP="00724781">
      <w:pPr>
        <w:spacing w:after="240"/>
        <w:rPr>
          <w:rFonts w:cs="Arial"/>
          <w:bCs/>
        </w:rPr>
      </w:pPr>
      <w:r w:rsidRPr="004D05E9">
        <w:rPr>
          <w:rFonts w:cs="Arial"/>
        </w:rPr>
        <w:t xml:space="preserve">No more than 10 percent of LEAs will have rates of suspensions and expulsions of students with disabilities for greater than 10 days in a school year. </w:t>
      </w:r>
      <w:r w:rsidRPr="004D05E9">
        <w:rPr>
          <w:rFonts w:cs="Arial"/>
          <w:bCs/>
        </w:rPr>
        <w:t>These targets represent changes approved by the SBE and the OSEP in FFY 2014 and will be in effect for FFY</w:t>
      </w:r>
      <w:r w:rsidR="003A7E90" w:rsidRPr="004D05E9">
        <w:rPr>
          <w:rFonts w:cs="Arial"/>
          <w:bCs/>
        </w:rPr>
        <w:t>s</w:t>
      </w:r>
      <w:r w:rsidRPr="004D05E9">
        <w:rPr>
          <w:rFonts w:cs="Arial"/>
          <w:bCs/>
        </w:rPr>
        <w:t xml:space="preserve"> 2013–1</w:t>
      </w:r>
      <w:r w:rsidR="008702A6" w:rsidRPr="004D05E9">
        <w:rPr>
          <w:rFonts w:cs="Arial"/>
          <w:bCs/>
        </w:rPr>
        <w:t>9</w:t>
      </w:r>
      <w:r w:rsidRPr="004D05E9">
        <w:rPr>
          <w:rFonts w:cs="Arial"/>
          <w:bCs/>
        </w:rPr>
        <w:t>.</w:t>
      </w:r>
    </w:p>
    <w:p w14:paraId="31141CD9" w14:textId="77777777" w:rsidR="00FD74B6" w:rsidRPr="004D05E9" w:rsidRDefault="00FD74B6" w:rsidP="00724781">
      <w:pPr>
        <w:pStyle w:val="Heading3"/>
        <w:spacing w:before="0" w:after="240"/>
      </w:pPr>
      <w:bookmarkStart w:id="80" w:name="_Toc57199019"/>
      <w:r w:rsidRPr="004D05E9">
        <w:t>Measurement</w:t>
      </w:r>
      <w:bookmarkEnd w:id="80"/>
    </w:p>
    <w:p w14:paraId="6BA38CFE" w14:textId="05D7C0D3" w:rsidR="00FD74B6" w:rsidRPr="004D05E9" w:rsidRDefault="00A211F6" w:rsidP="00724781">
      <w:pPr>
        <w:tabs>
          <w:tab w:val="left" w:pos="720"/>
          <w:tab w:val="center" w:pos="4680"/>
          <w:tab w:val="right" w:pos="9360"/>
        </w:tabs>
        <w:spacing w:after="240"/>
        <w:rPr>
          <w:rFonts w:cs="Arial"/>
        </w:rPr>
      </w:pPr>
      <w:r w:rsidRPr="004D05E9">
        <w:rPr>
          <w:rFonts w:cs="Arial"/>
        </w:rPr>
        <w:t xml:space="preserve">The data are reported </w:t>
      </w:r>
      <w:r w:rsidR="00FD74B6" w:rsidRPr="004D05E9">
        <w:rPr>
          <w:rFonts w:cs="Arial"/>
        </w:rPr>
        <w:t>using the CALPADS data from the FFY 201</w:t>
      </w:r>
      <w:r w:rsidR="008702A6" w:rsidRPr="004D05E9">
        <w:rPr>
          <w:rFonts w:cs="Arial"/>
        </w:rPr>
        <w:t>8</w:t>
      </w:r>
      <w:r w:rsidR="00FD74B6" w:rsidRPr="004D05E9">
        <w:rPr>
          <w:rFonts w:cs="Arial"/>
        </w:rPr>
        <w:t xml:space="preserve"> </w:t>
      </w:r>
      <w:r w:rsidRPr="004D05E9">
        <w:rPr>
          <w:rFonts w:cs="Arial"/>
        </w:rPr>
        <w:t>(lag year</w:t>
      </w:r>
      <w:r w:rsidR="00FD74B6" w:rsidRPr="004D05E9">
        <w:rPr>
          <w:rFonts w:cs="Arial"/>
        </w:rPr>
        <w:t>). The percent is calculated by the number of LEAs that have a significant discrepancy in the rates of suspensions and expulsions of students with IEPs for greater than 10 days in a school year divided by the number of LEAs i</w:t>
      </w:r>
      <w:r w:rsidR="00724781" w:rsidRPr="004D05E9">
        <w:rPr>
          <w:rFonts w:cs="Arial"/>
        </w:rPr>
        <w:t>n the state, multiplied by 100.</w:t>
      </w:r>
    </w:p>
    <w:p w14:paraId="7C64D625" w14:textId="520EA653" w:rsidR="00FD74B6" w:rsidRPr="004D05E9" w:rsidRDefault="00FD74B6" w:rsidP="00724781">
      <w:pPr>
        <w:pStyle w:val="Heading3"/>
        <w:spacing w:before="0" w:after="240"/>
      </w:pPr>
      <w:bookmarkStart w:id="81" w:name="_Toc57199020"/>
      <w:r w:rsidRPr="004D05E9">
        <w:t>Results for 201</w:t>
      </w:r>
      <w:r w:rsidR="008702A6" w:rsidRPr="004D05E9">
        <w:t>9</w:t>
      </w:r>
      <w:r w:rsidRPr="004D05E9">
        <w:t>–</w:t>
      </w:r>
      <w:r w:rsidR="008702A6" w:rsidRPr="004D05E9">
        <w:t>20</w:t>
      </w:r>
      <w:bookmarkEnd w:id="81"/>
    </w:p>
    <w:p w14:paraId="43783C9B" w14:textId="372DD3FD" w:rsidR="00FD74B6" w:rsidRPr="004D05E9" w:rsidRDefault="00FD74B6" w:rsidP="00724781">
      <w:pPr>
        <w:spacing w:after="240"/>
        <w:rPr>
          <w:rFonts w:cs="Arial"/>
        </w:rPr>
      </w:pPr>
      <w:r w:rsidRPr="004D05E9">
        <w:rPr>
          <w:rFonts w:cs="Arial"/>
        </w:rPr>
        <w:t>In FFY 201</w:t>
      </w:r>
      <w:r w:rsidR="00365CEA" w:rsidRPr="004D05E9">
        <w:rPr>
          <w:rFonts w:cs="Arial"/>
        </w:rPr>
        <w:t>9</w:t>
      </w:r>
      <w:r w:rsidRPr="004D05E9">
        <w:rPr>
          <w:rFonts w:cs="Arial"/>
        </w:rPr>
        <w:t xml:space="preserve">, there were </w:t>
      </w:r>
      <w:r w:rsidR="008702A6" w:rsidRPr="004D05E9">
        <w:rPr>
          <w:rFonts w:cs="Arial"/>
        </w:rPr>
        <w:t>29</w:t>
      </w:r>
      <w:r w:rsidRPr="004D05E9">
        <w:rPr>
          <w:rFonts w:cs="Arial"/>
        </w:rPr>
        <w:t xml:space="preserve"> LEAs (</w:t>
      </w:r>
      <w:r w:rsidR="008702A6" w:rsidRPr="004D05E9">
        <w:rPr>
          <w:rFonts w:cs="Arial"/>
        </w:rPr>
        <w:t>2.51</w:t>
      </w:r>
      <w:r w:rsidRPr="004D05E9">
        <w:rPr>
          <w:rFonts w:cs="Arial"/>
        </w:rPr>
        <w:t xml:space="preserve"> percent) that had a rate of suspension and expulsion for</w:t>
      </w:r>
      <w:r w:rsidR="001A0FF3" w:rsidRPr="004D05E9">
        <w:rPr>
          <w:rFonts w:cs="Arial"/>
        </w:rPr>
        <w:t xml:space="preserve"> more than 10 days of</w:t>
      </w:r>
      <w:r w:rsidRPr="004D05E9">
        <w:rPr>
          <w:rFonts w:cs="Arial"/>
        </w:rPr>
        <w:t xml:space="preserve"> students with disabilities greater than the statewide rate.</w:t>
      </w:r>
    </w:p>
    <w:p w14:paraId="76B9E730" w14:textId="77777777" w:rsidR="00FD74B6" w:rsidRPr="004D05E9" w:rsidRDefault="00FD74B6" w:rsidP="00724781">
      <w:pPr>
        <w:pStyle w:val="Heading3"/>
        <w:spacing w:before="0" w:after="240"/>
      </w:pPr>
      <w:bookmarkStart w:id="82" w:name="_Toc57199021"/>
      <w:r w:rsidRPr="004D05E9">
        <w:t>Target Met: Yes</w:t>
      </w:r>
      <w:bookmarkEnd w:id="82"/>
    </w:p>
    <w:p w14:paraId="40767A6F" w14:textId="4E5C2772" w:rsidR="00FD74B6" w:rsidRPr="004D05E9" w:rsidRDefault="00FD74B6" w:rsidP="004D7261">
      <w:pPr>
        <w:widowControl w:val="0"/>
        <w:overflowPunct w:val="0"/>
        <w:autoSpaceDE w:val="0"/>
        <w:autoSpaceDN w:val="0"/>
        <w:adjustRightInd w:val="0"/>
        <w:rPr>
          <w:rFonts w:cs="Arial"/>
          <w:b/>
          <w:bCs/>
        </w:rPr>
      </w:pPr>
      <w:r w:rsidRPr="004D05E9">
        <w:rPr>
          <w:rFonts w:cs="Arial"/>
          <w:b/>
          <w:bCs/>
        </w:rPr>
        <w:t>Suspension and Expulsion Targets and Results for FFY</w:t>
      </w:r>
      <w:r w:rsidR="00DC0D28" w:rsidRPr="004D05E9">
        <w:rPr>
          <w:rFonts w:cs="Arial"/>
          <w:b/>
          <w:bCs/>
        </w:rPr>
        <w:t>s</w:t>
      </w:r>
      <w:r w:rsidRPr="004D05E9">
        <w:rPr>
          <w:rFonts w:cs="Arial"/>
          <w:b/>
          <w:bCs/>
        </w:rPr>
        <w:t xml:space="preserve"> 2013–1</w:t>
      </w:r>
      <w:r w:rsidR="008702A6" w:rsidRPr="004D05E9">
        <w:rPr>
          <w:rFonts w:cs="Arial"/>
          <w:b/>
          <w:bCs/>
        </w:rPr>
        <w:t>9</w:t>
      </w:r>
    </w:p>
    <w:tbl>
      <w:tblPr>
        <w:tblStyle w:val="TableGrid1"/>
        <w:tblW w:w="0" w:type="auto"/>
        <w:tblLook w:val="04A0" w:firstRow="1" w:lastRow="0" w:firstColumn="1" w:lastColumn="0" w:noHBand="0" w:noVBand="1"/>
        <w:tblDescription w:val="Indicator 4A Targets and Results"/>
      </w:tblPr>
      <w:tblGrid>
        <w:gridCol w:w="1728"/>
        <w:gridCol w:w="962"/>
        <w:gridCol w:w="962"/>
        <w:gridCol w:w="962"/>
        <w:gridCol w:w="962"/>
        <w:gridCol w:w="962"/>
        <w:gridCol w:w="962"/>
        <w:gridCol w:w="962"/>
      </w:tblGrid>
      <w:tr w:rsidR="008702A6" w:rsidRPr="004D05E9" w14:paraId="240EFB00" w14:textId="483F4A38" w:rsidTr="00463712">
        <w:trPr>
          <w:cantSplit/>
          <w:tblHeader/>
        </w:trPr>
        <w:tc>
          <w:tcPr>
            <w:tcW w:w="1728" w:type="dxa"/>
            <w:hideMark/>
          </w:tcPr>
          <w:p w14:paraId="1C43BF68" w14:textId="77777777" w:rsidR="008702A6" w:rsidRPr="004D05E9" w:rsidRDefault="008702A6" w:rsidP="00FD74B6">
            <w:pPr>
              <w:widowControl w:val="0"/>
              <w:overflowPunct w:val="0"/>
              <w:autoSpaceDE w:val="0"/>
              <w:autoSpaceDN w:val="0"/>
              <w:adjustRightInd w:val="0"/>
              <w:jc w:val="center"/>
              <w:rPr>
                <w:rFonts w:cs="Arial"/>
                <w:b/>
                <w:bCs/>
              </w:rPr>
            </w:pPr>
            <w:r w:rsidRPr="004D05E9">
              <w:rPr>
                <w:rFonts w:cs="Arial"/>
                <w:b/>
                <w:bCs/>
              </w:rPr>
              <w:t>Indicator 4A</w:t>
            </w:r>
          </w:p>
        </w:tc>
        <w:tc>
          <w:tcPr>
            <w:tcW w:w="962" w:type="dxa"/>
            <w:hideMark/>
          </w:tcPr>
          <w:p w14:paraId="6E12AC68" w14:textId="77777777" w:rsidR="008702A6" w:rsidRPr="004D05E9" w:rsidRDefault="008702A6" w:rsidP="00FD74B6">
            <w:pPr>
              <w:widowControl w:val="0"/>
              <w:overflowPunct w:val="0"/>
              <w:autoSpaceDE w:val="0"/>
              <w:autoSpaceDN w:val="0"/>
              <w:adjustRightInd w:val="0"/>
              <w:jc w:val="center"/>
              <w:rPr>
                <w:rFonts w:cs="Arial"/>
                <w:b/>
                <w:bCs/>
              </w:rPr>
            </w:pPr>
            <w:r w:rsidRPr="004D05E9">
              <w:rPr>
                <w:rFonts w:cs="Arial"/>
                <w:b/>
                <w:bCs/>
              </w:rPr>
              <w:t>2013</w:t>
            </w:r>
          </w:p>
        </w:tc>
        <w:tc>
          <w:tcPr>
            <w:tcW w:w="962" w:type="dxa"/>
            <w:hideMark/>
          </w:tcPr>
          <w:p w14:paraId="5D6CF163" w14:textId="77777777" w:rsidR="008702A6" w:rsidRPr="004D05E9" w:rsidRDefault="008702A6" w:rsidP="00FD74B6">
            <w:pPr>
              <w:widowControl w:val="0"/>
              <w:overflowPunct w:val="0"/>
              <w:autoSpaceDE w:val="0"/>
              <w:autoSpaceDN w:val="0"/>
              <w:adjustRightInd w:val="0"/>
              <w:jc w:val="center"/>
              <w:rPr>
                <w:rFonts w:cs="Arial"/>
                <w:b/>
                <w:bCs/>
              </w:rPr>
            </w:pPr>
            <w:r w:rsidRPr="004D05E9">
              <w:rPr>
                <w:rFonts w:cs="Arial"/>
                <w:b/>
                <w:bCs/>
              </w:rPr>
              <w:t>2014</w:t>
            </w:r>
          </w:p>
        </w:tc>
        <w:tc>
          <w:tcPr>
            <w:tcW w:w="962" w:type="dxa"/>
            <w:hideMark/>
          </w:tcPr>
          <w:p w14:paraId="37755A7A" w14:textId="77777777" w:rsidR="008702A6" w:rsidRPr="004D05E9" w:rsidRDefault="008702A6" w:rsidP="00FD74B6">
            <w:pPr>
              <w:widowControl w:val="0"/>
              <w:overflowPunct w:val="0"/>
              <w:autoSpaceDE w:val="0"/>
              <w:autoSpaceDN w:val="0"/>
              <w:adjustRightInd w:val="0"/>
              <w:jc w:val="center"/>
              <w:rPr>
                <w:rFonts w:cs="Arial"/>
                <w:b/>
                <w:bCs/>
              </w:rPr>
            </w:pPr>
            <w:r w:rsidRPr="004D05E9">
              <w:rPr>
                <w:rFonts w:cs="Arial"/>
                <w:b/>
                <w:bCs/>
              </w:rPr>
              <w:t>2015</w:t>
            </w:r>
          </w:p>
        </w:tc>
        <w:tc>
          <w:tcPr>
            <w:tcW w:w="962" w:type="dxa"/>
            <w:hideMark/>
          </w:tcPr>
          <w:p w14:paraId="2C1CC94C" w14:textId="77777777" w:rsidR="008702A6" w:rsidRPr="004D05E9" w:rsidRDefault="008702A6" w:rsidP="00FD74B6">
            <w:pPr>
              <w:widowControl w:val="0"/>
              <w:overflowPunct w:val="0"/>
              <w:autoSpaceDE w:val="0"/>
              <w:autoSpaceDN w:val="0"/>
              <w:adjustRightInd w:val="0"/>
              <w:jc w:val="center"/>
              <w:rPr>
                <w:rFonts w:cs="Arial"/>
                <w:b/>
                <w:bCs/>
              </w:rPr>
            </w:pPr>
            <w:r w:rsidRPr="004D05E9">
              <w:rPr>
                <w:rFonts w:cs="Arial"/>
                <w:b/>
                <w:bCs/>
              </w:rPr>
              <w:t>2016</w:t>
            </w:r>
          </w:p>
        </w:tc>
        <w:tc>
          <w:tcPr>
            <w:tcW w:w="962" w:type="dxa"/>
            <w:hideMark/>
          </w:tcPr>
          <w:p w14:paraId="67632D51" w14:textId="77777777" w:rsidR="008702A6" w:rsidRPr="004D05E9" w:rsidRDefault="008702A6" w:rsidP="00FD74B6">
            <w:pPr>
              <w:widowControl w:val="0"/>
              <w:overflowPunct w:val="0"/>
              <w:autoSpaceDE w:val="0"/>
              <w:autoSpaceDN w:val="0"/>
              <w:adjustRightInd w:val="0"/>
              <w:jc w:val="center"/>
              <w:rPr>
                <w:rFonts w:cs="Arial"/>
                <w:b/>
                <w:bCs/>
              </w:rPr>
            </w:pPr>
            <w:r w:rsidRPr="004D05E9">
              <w:rPr>
                <w:rFonts w:cs="Arial"/>
                <w:b/>
                <w:bCs/>
              </w:rPr>
              <w:t>2017</w:t>
            </w:r>
          </w:p>
        </w:tc>
        <w:tc>
          <w:tcPr>
            <w:tcW w:w="962" w:type="dxa"/>
            <w:hideMark/>
          </w:tcPr>
          <w:p w14:paraId="62CE6BEB" w14:textId="77777777" w:rsidR="008702A6" w:rsidRPr="004D05E9" w:rsidRDefault="008702A6" w:rsidP="00FD74B6">
            <w:pPr>
              <w:widowControl w:val="0"/>
              <w:overflowPunct w:val="0"/>
              <w:autoSpaceDE w:val="0"/>
              <w:autoSpaceDN w:val="0"/>
              <w:adjustRightInd w:val="0"/>
              <w:jc w:val="center"/>
              <w:rPr>
                <w:rFonts w:cs="Arial"/>
                <w:b/>
                <w:bCs/>
              </w:rPr>
            </w:pPr>
            <w:r w:rsidRPr="004D05E9">
              <w:rPr>
                <w:rFonts w:cs="Arial"/>
                <w:b/>
                <w:bCs/>
              </w:rPr>
              <w:t>2018</w:t>
            </w:r>
          </w:p>
        </w:tc>
        <w:tc>
          <w:tcPr>
            <w:tcW w:w="962" w:type="dxa"/>
          </w:tcPr>
          <w:p w14:paraId="3F0F1C70" w14:textId="714BD314" w:rsidR="008702A6" w:rsidRPr="004D05E9" w:rsidRDefault="008702A6" w:rsidP="00FD74B6">
            <w:pPr>
              <w:widowControl w:val="0"/>
              <w:overflowPunct w:val="0"/>
              <w:autoSpaceDE w:val="0"/>
              <w:autoSpaceDN w:val="0"/>
              <w:adjustRightInd w:val="0"/>
              <w:jc w:val="center"/>
              <w:rPr>
                <w:rFonts w:cs="Arial"/>
                <w:b/>
                <w:bCs/>
              </w:rPr>
            </w:pPr>
            <w:r w:rsidRPr="004D05E9">
              <w:rPr>
                <w:rFonts w:cs="Arial"/>
                <w:b/>
                <w:bCs/>
              </w:rPr>
              <w:t>2019</w:t>
            </w:r>
          </w:p>
        </w:tc>
      </w:tr>
      <w:tr w:rsidR="008702A6" w:rsidRPr="004D05E9" w14:paraId="462BC38C" w14:textId="41C2C336" w:rsidTr="00463712">
        <w:trPr>
          <w:cantSplit/>
        </w:trPr>
        <w:tc>
          <w:tcPr>
            <w:tcW w:w="1728" w:type="dxa"/>
            <w:hideMark/>
          </w:tcPr>
          <w:p w14:paraId="6DC006AA"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Target</w:t>
            </w:r>
          </w:p>
        </w:tc>
        <w:tc>
          <w:tcPr>
            <w:tcW w:w="962" w:type="dxa"/>
            <w:hideMark/>
          </w:tcPr>
          <w:p w14:paraId="7ACC9586"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≤10%</w:t>
            </w:r>
          </w:p>
        </w:tc>
        <w:tc>
          <w:tcPr>
            <w:tcW w:w="962" w:type="dxa"/>
            <w:hideMark/>
          </w:tcPr>
          <w:p w14:paraId="159139EE"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≤10%</w:t>
            </w:r>
          </w:p>
        </w:tc>
        <w:tc>
          <w:tcPr>
            <w:tcW w:w="962" w:type="dxa"/>
            <w:hideMark/>
          </w:tcPr>
          <w:p w14:paraId="7F6829DC"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≤10%</w:t>
            </w:r>
          </w:p>
        </w:tc>
        <w:tc>
          <w:tcPr>
            <w:tcW w:w="962" w:type="dxa"/>
            <w:hideMark/>
          </w:tcPr>
          <w:p w14:paraId="5A1AEB49"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≤10%</w:t>
            </w:r>
          </w:p>
        </w:tc>
        <w:tc>
          <w:tcPr>
            <w:tcW w:w="962" w:type="dxa"/>
            <w:hideMark/>
          </w:tcPr>
          <w:p w14:paraId="55C12DDA"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≤10%</w:t>
            </w:r>
          </w:p>
        </w:tc>
        <w:tc>
          <w:tcPr>
            <w:tcW w:w="962" w:type="dxa"/>
            <w:hideMark/>
          </w:tcPr>
          <w:p w14:paraId="6F08F855"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≤10%</w:t>
            </w:r>
          </w:p>
        </w:tc>
        <w:tc>
          <w:tcPr>
            <w:tcW w:w="962" w:type="dxa"/>
          </w:tcPr>
          <w:p w14:paraId="67C7D63E" w14:textId="67047A1E"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≤10%</w:t>
            </w:r>
          </w:p>
        </w:tc>
      </w:tr>
      <w:tr w:rsidR="008702A6" w:rsidRPr="004D05E9" w14:paraId="3770BF45" w14:textId="7872EA60" w:rsidTr="00463712">
        <w:trPr>
          <w:cantSplit/>
        </w:trPr>
        <w:tc>
          <w:tcPr>
            <w:tcW w:w="1728" w:type="dxa"/>
            <w:hideMark/>
          </w:tcPr>
          <w:p w14:paraId="17F9B6A4"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Result</w:t>
            </w:r>
          </w:p>
        </w:tc>
        <w:tc>
          <w:tcPr>
            <w:tcW w:w="962" w:type="dxa"/>
            <w:hideMark/>
          </w:tcPr>
          <w:p w14:paraId="61E070D1"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1.2%</w:t>
            </w:r>
          </w:p>
        </w:tc>
        <w:tc>
          <w:tcPr>
            <w:tcW w:w="962" w:type="dxa"/>
            <w:hideMark/>
          </w:tcPr>
          <w:p w14:paraId="7A54E773"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2.1%</w:t>
            </w:r>
          </w:p>
        </w:tc>
        <w:tc>
          <w:tcPr>
            <w:tcW w:w="962" w:type="dxa"/>
            <w:hideMark/>
          </w:tcPr>
          <w:p w14:paraId="26402BB4"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2.3%</w:t>
            </w:r>
          </w:p>
        </w:tc>
        <w:tc>
          <w:tcPr>
            <w:tcW w:w="962" w:type="dxa"/>
            <w:hideMark/>
          </w:tcPr>
          <w:p w14:paraId="06D954DD"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3.2%</w:t>
            </w:r>
          </w:p>
        </w:tc>
        <w:tc>
          <w:tcPr>
            <w:tcW w:w="962" w:type="dxa"/>
            <w:hideMark/>
          </w:tcPr>
          <w:p w14:paraId="5A9945CD"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3.6%</w:t>
            </w:r>
          </w:p>
        </w:tc>
        <w:tc>
          <w:tcPr>
            <w:tcW w:w="962" w:type="dxa"/>
            <w:hideMark/>
          </w:tcPr>
          <w:p w14:paraId="4517A70F"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1.4%</w:t>
            </w:r>
          </w:p>
        </w:tc>
        <w:tc>
          <w:tcPr>
            <w:tcW w:w="962" w:type="dxa"/>
          </w:tcPr>
          <w:p w14:paraId="6B966D9E" w14:textId="357350B1"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2.5%</w:t>
            </w:r>
          </w:p>
        </w:tc>
      </w:tr>
      <w:tr w:rsidR="008702A6" w:rsidRPr="004D05E9" w14:paraId="55CB0865" w14:textId="04F83346" w:rsidTr="00463712">
        <w:trPr>
          <w:cantSplit/>
        </w:trPr>
        <w:tc>
          <w:tcPr>
            <w:tcW w:w="1728" w:type="dxa"/>
            <w:hideMark/>
          </w:tcPr>
          <w:p w14:paraId="7B668537"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Target Met</w:t>
            </w:r>
          </w:p>
        </w:tc>
        <w:tc>
          <w:tcPr>
            <w:tcW w:w="962" w:type="dxa"/>
            <w:hideMark/>
          </w:tcPr>
          <w:p w14:paraId="2711964E"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Yes</w:t>
            </w:r>
          </w:p>
        </w:tc>
        <w:tc>
          <w:tcPr>
            <w:tcW w:w="962" w:type="dxa"/>
            <w:hideMark/>
          </w:tcPr>
          <w:p w14:paraId="68BFE39C"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Yes</w:t>
            </w:r>
          </w:p>
        </w:tc>
        <w:tc>
          <w:tcPr>
            <w:tcW w:w="962" w:type="dxa"/>
            <w:hideMark/>
          </w:tcPr>
          <w:p w14:paraId="248BB722"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Yes</w:t>
            </w:r>
          </w:p>
        </w:tc>
        <w:tc>
          <w:tcPr>
            <w:tcW w:w="962" w:type="dxa"/>
            <w:hideMark/>
          </w:tcPr>
          <w:p w14:paraId="1EFD5691"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Yes</w:t>
            </w:r>
          </w:p>
        </w:tc>
        <w:tc>
          <w:tcPr>
            <w:tcW w:w="962" w:type="dxa"/>
            <w:hideMark/>
          </w:tcPr>
          <w:p w14:paraId="77EEA987"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Yes</w:t>
            </w:r>
          </w:p>
        </w:tc>
        <w:tc>
          <w:tcPr>
            <w:tcW w:w="962" w:type="dxa"/>
            <w:hideMark/>
          </w:tcPr>
          <w:p w14:paraId="19EA8A5E" w14:textId="77777777"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Yes</w:t>
            </w:r>
          </w:p>
        </w:tc>
        <w:tc>
          <w:tcPr>
            <w:tcW w:w="962" w:type="dxa"/>
          </w:tcPr>
          <w:p w14:paraId="40D3B50F" w14:textId="089C26C2" w:rsidR="008702A6" w:rsidRPr="004D05E9" w:rsidRDefault="008702A6" w:rsidP="00FD74B6">
            <w:pPr>
              <w:widowControl w:val="0"/>
              <w:overflowPunct w:val="0"/>
              <w:autoSpaceDE w:val="0"/>
              <w:autoSpaceDN w:val="0"/>
              <w:adjustRightInd w:val="0"/>
              <w:jc w:val="center"/>
              <w:rPr>
                <w:rFonts w:cs="Arial"/>
                <w:bCs/>
              </w:rPr>
            </w:pPr>
            <w:r w:rsidRPr="004D05E9">
              <w:rPr>
                <w:rFonts w:cs="Arial"/>
                <w:bCs/>
              </w:rPr>
              <w:t>Yes</w:t>
            </w:r>
          </w:p>
        </w:tc>
      </w:tr>
    </w:tbl>
    <w:p w14:paraId="690DF922" w14:textId="77777777" w:rsidR="00FD74B6" w:rsidRPr="004D05E9" w:rsidRDefault="00FD74B6" w:rsidP="00FD74B6">
      <w:r w:rsidRPr="004D05E9">
        <w:br w:type="page"/>
      </w:r>
    </w:p>
    <w:p w14:paraId="581B8383" w14:textId="77777777" w:rsidR="00FD74B6" w:rsidRPr="004D05E9" w:rsidRDefault="00FD74B6" w:rsidP="00724781">
      <w:pPr>
        <w:pStyle w:val="Heading2"/>
        <w:spacing w:before="0" w:after="240"/>
        <w:jc w:val="center"/>
        <w:rPr>
          <w:rFonts w:cs="Arial"/>
        </w:rPr>
      </w:pPr>
      <w:bookmarkStart w:id="83" w:name="_Toc57199022"/>
      <w:r w:rsidRPr="004D05E9">
        <w:lastRenderedPageBreak/>
        <w:t>Indicator 4B: Suspension and Expulsion Rate by Race or Ethnicity</w:t>
      </w:r>
      <w:bookmarkEnd w:id="83"/>
    </w:p>
    <w:p w14:paraId="32912397" w14:textId="77777777" w:rsidR="00FD74B6" w:rsidRPr="004D05E9" w:rsidRDefault="00FD74B6" w:rsidP="00724781">
      <w:pPr>
        <w:pStyle w:val="Heading3"/>
        <w:spacing w:before="0" w:after="240"/>
      </w:pPr>
      <w:bookmarkStart w:id="84" w:name="_Toc57199023"/>
      <w:r w:rsidRPr="004D05E9">
        <w:t>Description</w:t>
      </w:r>
      <w:bookmarkEnd w:id="84"/>
    </w:p>
    <w:p w14:paraId="050F1A05" w14:textId="77777777" w:rsidR="00FD74B6" w:rsidRPr="004D05E9" w:rsidRDefault="00FD74B6" w:rsidP="00FD74B6">
      <w:pPr>
        <w:tabs>
          <w:tab w:val="left" w:pos="720"/>
          <w:tab w:val="center" w:pos="4680"/>
          <w:tab w:val="right" w:pos="9360"/>
        </w:tabs>
        <w:rPr>
          <w:rFonts w:cs="Arial"/>
        </w:rPr>
      </w:pPr>
      <w:r w:rsidRPr="004D05E9">
        <w:rPr>
          <w:rFonts w:cs="Arial"/>
        </w:rPr>
        <w:t xml:space="preserve">Indicator 4B is a compliance indicator that measures the percent of LEAs that have:  </w:t>
      </w:r>
    </w:p>
    <w:p w14:paraId="2F65F434" w14:textId="77777777" w:rsidR="00FD74B6" w:rsidRPr="004D05E9" w:rsidRDefault="00FD74B6" w:rsidP="00724781">
      <w:pPr>
        <w:tabs>
          <w:tab w:val="left" w:pos="720"/>
          <w:tab w:val="center" w:pos="4680"/>
          <w:tab w:val="right" w:pos="9360"/>
        </w:tabs>
        <w:spacing w:after="240"/>
        <w:rPr>
          <w:rFonts w:cs="Arial"/>
        </w:rPr>
      </w:pPr>
      <w:r w:rsidRPr="004D05E9">
        <w:rPr>
          <w:rFonts w:cs="Arial"/>
        </w:rPr>
        <w:t xml:space="preserve">(1) significant discrepancy, by race or ethnicity, in the rate of suspensions and expulsions of greater than 10 days in a school year for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 (20 U.S.C. </w:t>
      </w:r>
      <w:r w:rsidR="002A11EB" w:rsidRPr="004D05E9">
        <w:rPr>
          <w:rFonts w:cs="Arial"/>
        </w:rPr>
        <w:t xml:space="preserve">Section </w:t>
      </w:r>
      <w:r w:rsidRPr="004D05E9">
        <w:rPr>
          <w:rFonts w:cs="Arial"/>
        </w:rPr>
        <w:t>1416[a][3][A] and 1412[a][22]).</w:t>
      </w:r>
    </w:p>
    <w:p w14:paraId="7556462E" w14:textId="17DB0D18" w:rsidR="00FD74B6" w:rsidRPr="004D05E9" w:rsidRDefault="00FD74B6" w:rsidP="00724781">
      <w:pPr>
        <w:pStyle w:val="Heading3"/>
        <w:spacing w:before="0" w:after="240"/>
      </w:pPr>
      <w:bookmarkStart w:id="85" w:name="_Toc57199024"/>
      <w:r w:rsidRPr="004D05E9">
        <w:t>Target for 201</w:t>
      </w:r>
      <w:r w:rsidR="00365CEA" w:rsidRPr="004D05E9">
        <w:t>9</w:t>
      </w:r>
      <w:r w:rsidRPr="004D05E9">
        <w:t>–</w:t>
      </w:r>
      <w:r w:rsidR="00365CEA" w:rsidRPr="004D05E9">
        <w:t>20</w:t>
      </w:r>
      <w:bookmarkEnd w:id="85"/>
    </w:p>
    <w:p w14:paraId="09CF4402" w14:textId="77777777" w:rsidR="00FD74B6" w:rsidRPr="004D05E9" w:rsidRDefault="00FD74B6" w:rsidP="00724781">
      <w:pPr>
        <w:spacing w:after="240"/>
        <w:rPr>
          <w:rFonts w:cs="Arial"/>
          <w:bCs/>
        </w:rPr>
      </w:pPr>
      <w:r w:rsidRPr="004D05E9">
        <w:rPr>
          <w:rFonts w:cs="Arial"/>
          <w:bCs/>
        </w:rPr>
        <w:t>Zero percent of LEAs will have a significant discrepancy</w:t>
      </w:r>
      <w:r w:rsidRPr="004D05E9">
        <w:rPr>
          <w:rFonts w:cs="Arial"/>
          <w:b/>
          <w:bCs/>
        </w:rPr>
        <w:t xml:space="preserve"> </w:t>
      </w:r>
      <w:r w:rsidRPr="004D05E9">
        <w:rPr>
          <w:rFonts w:cs="Arial"/>
        </w:rPr>
        <w:t>in the rates of suspensions and expulsions for greater than 10 days in a school year for students with disabilities by race</w:t>
      </w:r>
      <w:r w:rsidRPr="004D05E9">
        <w:rPr>
          <w:rFonts w:cs="Arial"/>
          <w:bCs/>
        </w:rPr>
        <w:t>.</w:t>
      </w:r>
    </w:p>
    <w:p w14:paraId="6F70A66A" w14:textId="77777777" w:rsidR="00FD74B6" w:rsidRPr="004D05E9" w:rsidRDefault="00FD74B6" w:rsidP="00724781">
      <w:pPr>
        <w:pStyle w:val="Heading3"/>
        <w:spacing w:before="0" w:after="240"/>
      </w:pPr>
      <w:bookmarkStart w:id="86" w:name="_Toc57199025"/>
      <w:r w:rsidRPr="004D05E9">
        <w:t>Measurement</w:t>
      </w:r>
      <w:bookmarkEnd w:id="86"/>
    </w:p>
    <w:p w14:paraId="4FAD185C" w14:textId="025F7B05" w:rsidR="00FD74B6" w:rsidRPr="004D05E9" w:rsidRDefault="00FD74B6" w:rsidP="00724781">
      <w:pPr>
        <w:tabs>
          <w:tab w:val="left" w:pos="720"/>
          <w:tab w:val="center" w:pos="4680"/>
          <w:tab w:val="right" w:pos="9360"/>
        </w:tabs>
        <w:spacing w:after="240"/>
        <w:rPr>
          <w:rFonts w:cs="Arial"/>
        </w:rPr>
      </w:pPr>
      <w:r w:rsidRPr="004D05E9">
        <w:rPr>
          <w:rFonts w:cs="Arial"/>
        </w:rPr>
        <w:t>The data are reported using the CALPADS data from FFY 201</w:t>
      </w:r>
      <w:r w:rsidR="00365CEA" w:rsidRPr="004D05E9">
        <w:rPr>
          <w:rFonts w:cs="Arial"/>
        </w:rPr>
        <w:t>8</w:t>
      </w:r>
      <w:r w:rsidRPr="004D05E9">
        <w:rPr>
          <w:rFonts w:cs="Arial"/>
        </w:rPr>
        <w:t xml:space="preserve"> </w:t>
      </w:r>
      <w:r w:rsidR="00A211F6" w:rsidRPr="004D05E9">
        <w:rPr>
          <w:rFonts w:cs="Arial"/>
        </w:rPr>
        <w:t>(lag year</w:t>
      </w:r>
      <w:r w:rsidRPr="004D05E9">
        <w:rPr>
          <w:rFonts w:cs="Arial"/>
        </w:rPr>
        <w:t>). This percent is calculated by the number of LEAs that have: (1) A significant discrepancy, by race or ethnicity, in the rates of suspensions and expulsions of greater than 10 days in a school year of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 divided by the number of LEAs i</w:t>
      </w:r>
      <w:r w:rsidR="00724781" w:rsidRPr="004D05E9">
        <w:rPr>
          <w:rFonts w:cs="Arial"/>
        </w:rPr>
        <w:t>n the state, multiplied by 100.</w:t>
      </w:r>
    </w:p>
    <w:p w14:paraId="3E8C51F8" w14:textId="33CA9C4C" w:rsidR="00FD74B6" w:rsidRPr="004D05E9" w:rsidRDefault="00FD74B6" w:rsidP="00724781">
      <w:pPr>
        <w:pStyle w:val="Heading3"/>
        <w:spacing w:before="0" w:after="240"/>
        <w:rPr>
          <w:rFonts w:cs="Arial"/>
        </w:rPr>
      </w:pPr>
      <w:bookmarkStart w:id="87" w:name="_Toc57199026"/>
      <w:r w:rsidRPr="004D05E9">
        <w:t>Results for 201</w:t>
      </w:r>
      <w:r w:rsidR="00365CEA" w:rsidRPr="004D05E9">
        <w:t>9</w:t>
      </w:r>
      <w:r w:rsidRPr="004D05E9">
        <w:t>–</w:t>
      </w:r>
      <w:r w:rsidR="00365CEA" w:rsidRPr="004D05E9">
        <w:t>20</w:t>
      </w:r>
      <w:bookmarkEnd w:id="87"/>
    </w:p>
    <w:p w14:paraId="28317B0D" w14:textId="0FFBD312" w:rsidR="00FD74B6" w:rsidRPr="004D05E9" w:rsidRDefault="00FD74B6" w:rsidP="00724781">
      <w:pPr>
        <w:spacing w:after="240"/>
        <w:rPr>
          <w:rFonts w:cs="Arial"/>
        </w:rPr>
      </w:pPr>
      <w:r w:rsidRPr="004D05E9">
        <w:rPr>
          <w:rFonts w:cs="Arial"/>
        </w:rPr>
        <w:t>In FFY 201</w:t>
      </w:r>
      <w:r w:rsidR="00365CEA" w:rsidRPr="004D05E9">
        <w:rPr>
          <w:rFonts w:cs="Arial"/>
        </w:rPr>
        <w:t>9</w:t>
      </w:r>
      <w:r w:rsidRPr="004D05E9">
        <w:rPr>
          <w:rFonts w:cs="Arial"/>
        </w:rPr>
        <w:t xml:space="preserve">, </w:t>
      </w:r>
      <w:r w:rsidR="00FA0321" w:rsidRPr="004D05E9">
        <w:rPr>
          <w:rFonts w:cs="Arial"/>
        </w:rPr>
        <w:t xml:space="preserve">4.07 </w:t>
      </w:r>
      <w:r w:rsidRPr="004D05E9">
        <w:rPr>
          <w:rFonts w:cs="Arial"/>
        </w:rPr>
        <w:t>percent of LEAs had a significant discrepancy</w:t>
      </w:r>
      <w:r w:rsidRPr="004D05E9">
        <w:rPr>
          <w:rFonts w:cs="Arial"/>
          <w:b/>
          <w:bCs/>
        </w:rPr>
        <w:t xml:space="preserve"> </w:t>
      </w:r>
      <w:r w:rsidRPr="004D05E9">
        <w:rPr>
          <w:rFonts w:cs="Arial"/>
        </w:rPr>
        <w:t>in the rates of suspensions and expulsions for greater than 10 days in a school year for students with disabilities by race.</w:t>
      </w:r>
    </w:p>
    <w:p w14:paraId="0D4A610A" w14:textId="77777777" w:rsidR="00FD74B6" w:rsidRPr="004D05E9" w:rsidRDefault="00FD74B6" w:rsidP="00724781">
      <w:pPr>
        <w:pStyle w:val="Heading3"/>
        <w:spacing w:before="0" w:after="240"/>
      </w:pPr>
      <w:bookmarkStart w:id="88" w:name="_Toc57199027"/>
      <w:r w:rsidRPr="004D05E9">
        <w:t>Target Met:</w:t>
      </w:r>
      <w:r w:rsidR="00B244E1" w:rsidRPr="004D05E9">
        <w:t xml:space="preserve"> </w:t>
      </w:r>
      <w:r w:rsidR="00A22BB3" w:rsidRPr="004D05E9">
        <w:t>No</w:t>
      </w:r>
      <w:bookmarkEnd w:id="88"/>
    </w:p>
    <w:p w14:paraId="459A73A4" w14:textId="6A8297BC" w:rsidR="00FD74B6" w:rsidRPr="004D05E9" w:rsidRDefault="00FD74B6" w:rsidP="00FF2892">
      <w:pPr>
        <w:widowControl w:val="0"/>
        <w:overflowPunct w:val="0"/>
        <w:autoSpaceDE w:val="0"/>
        <w:autoSpaceDN w:val="0"/>
        <w:adjustRightInd w:val="0"/>
        <w:rPr>
          <w:rFonts w:cs="Arial"/>
          <w:b/>
          <w:bCs/>
        </w:rPr>
      </w:pPr>
      <w:r w:rsidRPr="004D05E9">
        <w:rPr>
          <w:rFonts w:cs="Arial"/>
          <w:b/>
          <w:bCs/>
        </w:rPr>
        <w:t>Suspension/Expulsion by Race or Ethnicity Targets and Results for FFY</w:t>
      </w:r>
      <w:r w:rsidR="00E55C3A" w:rsidRPr="004D05E9">
        <w:rPr>
          <w:rFonts w:cs="Arial"/>
          <w:b/>
          <w:bCs/>
        </w:rPr>
        <w:t>s</w:t>
      </w:r>
      <w:r w:rsidRPr="004D05E9">
        <w:rPr>
          <w:rFonts w:cs="Arial"/>
          <w:b/>
          <w:bCs/>
        </w:rPr>
        <w:t xml:space="preserve"> 2013–1</w:t>
      </w:r>
      <w:r w:rsidR="00365CEA" w:rsidRPr="004D05E9">
        <w:rPr>
          <w:rFonts w:cs="Arial"/>
          <w:b/>
          <w:bCs/>
        </w:rPr>
        <w:t>9</w:t>
      </w:r>
    </w:p>
    <w:tbl>
      <w:tblPr>
        <w:tblStyle w:val="TableGrid2"/>
        <w:tblW w:w="0" w:type="auto"/>
        <w:tblLook w:val="04A0" w:firstRow="1" w:lastRow="0" w:firstColumn="1" w:lastColumn="0" w:noHBand="0" w:noVBand="1"/>
        <w:tblDescription w:val="Indicator 4B Targets and Results"/>
      </w:tblPr>
      <w:tblGrid>
        <w:gridCol w:w="1737"/>
        <w:gridCol w:w="897"/>
        <w:gridCol w:w="897"/>
        <w:gridCol w:w="897"/>
        <w:gridCol w:w="884"/>
        <w:gridCol w:w="884"/>
        <w:gridCol w:w="884"/>
        <w:gridCol w:w="884"/>
      </w:tblGrid>
      <w:tr w:rsidR="00365CEA" w:rsidRPr="004D05E9" w14:paraId="5FA43F0E" w14:textId="53B2F230" w:rsidTr="00463712">
        <w:trPr>
          <w:cantSplit/>
          <w:tblHeader/>
        </w:trPr>
        <w:tc>
          <w:tcPr>
            <w:tcW w:w="1737" w:type="dxa"/>
            <w:hideMark/>
          </w:tcPr>
          <w:p w14:paraId="51533DB5"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Indicator 4B</w:t>
            </w:r>
          </w:p>
        </w:tc>
        <w:tc>
          <w:tcPr>
            <w:tcW w:w="897" w:type="dxa"/>
            <w:hideMark/>
          </w:tcPr>
          <w:p w14:paraId="01732E83"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2013</w:t>
            </w:r>
          </w:p>
        </w:tc>
        <w:tc>
          <w:tcPr>
            <w:tcW w:w="897" w:type="dxa"/>
            <w:hideMark/>
          </w:tcPr>
          <w:p w14:paraId="3ACBFE54"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2014</w:t>
            </w:r>
          </w:p>
        </w:tc>
        <w:tc>
          <w:tcPr>
            <w:tcW w:w="897" w:type="dxa"/>
            <w:hideMark/>
          </w:tcPr>
          <w:p w14:paraId="3EE8B2D6"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2015</w:t>
            </w:r>
          </w:p>
        </w:tc>
        <w:tc>
          <w:tcPr>
            <w:tcW w:w="884" w:type="dxa"/>
            <w:hideMark/>
          </w:tcPr>
          <w:p w14:paraId="00218447"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2016</w:t>
            </w:r>
          </w:p>
        </w:tc>
        <w:tc>
          <w:tcPr>
            <w:tcW w:w="884" w:type="dxa"/>
            <w:hideMark/>
          </w:tcPr>
          <w:p w14:paraId="20DC44AD"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2017</w:t>
            </w:r>
          </w:p>
        </w:tc>
        <w:tc>
          <w:tcPr>
            <w:tcW w:w="884" w:type="dxa"/>
            <w:hideMark/>
          </w:tcPr>
          <w:p w14:paraId="3D43731F"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2018</w:t>
            </w:r>
          </w:p>
        </w:tc>
        <w:tc>
          <w:tcPr>
            <w:tcW w:w="884" w:type="dxa"/>
          </w:tcPr>
          <w:p w14:paraId="1301EF49" w14:textId="275F7978"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2019</w:t>
            </w:r>
          </w:p>
        </w:tc>
      </w:tr>
      <w:tr w:rsidR="00365CEA" w:rsidRPr="004D05E9" w14:paraId="426E69EE" w14:textId="4C4580CF" w:rsidTr="00463712">
        <w:trPr>
          <w:cantSplit/>
        </w:trPr>
        <w:tc>
          <w:tcPr>
            <w:tcW w:w="1737" w:type="dxa"/>
            <w:hideMark/>
          </w:tcPr>
          <w:p w14:paraId="3B13F146"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Target</w:t>
            </w:r>
          </w:p>
        </w:tc>
        <w:tc>
          <w:tcPr>
            <w:tcW w:w="897" w:type="dxa"/>
            <w:hideMark/>
          </w:tcPr>
          <w:p w14:paraId="071BE792"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0%</w:t>
            </w:r>
          </w:p>
        </w:tc>
        <w:tc>
          <w:tcPr>
            <w:tcW w:w="897" w:type="dxa"/>
            <w:hideMark/>
          </w:tcPr>
          <w:p w14:paraId="548F770C"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0%</w:t>
            </w:r>
          </w:p>
        </w:tc>
        <w:tc>
          <w:tcPr>
            <w:tcW w:w="897" w:type="dxa"/>
            <w:hideMark/>
          </w:tcPr>
          <w:p w14:paraId="1ED6EB3E"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0%</w:t>
            </w:r>
          </w:p>
        </w:tc>
        <w:tc>
          <w:tcPr>
            <w:tcW w:w="884" w:type="dxa"/>
            <w:hideMark/>
          </w:tcPr>
          <w:p w14:paraId="360B61DF"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0%</w:t>
            </w:r>
          </w:p>
        </w:tc>
        <w:tc>
          <w:tcPr>
            <w:tcW w:w="884" w:type="dxa"/>
            <w:hideMark/>
          </w:tcPr>
          <w:p w14:paraId="6DB67243"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0%</w:t>
            </w:r>
          </w:p>
        </w:tc>
        <w:tc>
          <w:tcPr>
            <w:tcW w:w="884" w:type="dxa"/>
            <w:hideMark/>
          </w:tcPr>
          <w:p w14:paraId="0B4A74C5"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0%</w:t>
            </w:r>
          </w:p>
        </w:tc>
        <w:tc>
          <w:tcPr>
            <w:tcW w:w="884" w:type="dxa"/>
          </w:tcPr>
          <w:p w14:paraId="216B755E" w14:textId="32B532D4"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0%</w:t>
            </w:r>
          </w:p>
        </w:tc>
      </w:tr>
      <w:tr w:rsidR="00365CEA" w:rsidRPr="004D05E9" w14:paraId="6031F591" w14:textId="32826DC4" w:rsidTr="00463712">
        <w:trPr>
          <w:cantSplit/>
        </w:trPr>
        <w:tc>
          <w:tcPr>
            <w:tcW w:w="1737" w:type="dxa"/>
            <w:hideMark/>
          </w:tcPr>
          <w:p w14:paraId="20E2AA6D"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Result</w:t>
            </w:r>
          </w:p>
        </w:tc>
        <w:tc>
          <w:tcPr>
            <w:tcW w:w="897" w:type="dxa"/>
            <w:hideMark/>
          </w:tcPr>
          <w:p w14:paraId="32B0DEB5"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1.8%</w:t>
            </w:r>
          </w:p>
        </w:tc>
        <w:tc>
          <w:tcPr>
            <w:tcW w:w="897" w:type="dxa"/>
            <w:hideMark/>
          </w:tcPr>
          <w:p w14:paraId="465C87B1"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2.3%</w:t>
            </w:r>
          </w:p>
        </w:tc>
        <w:tc>
          <w:tcPr>
            <w:tcW w:w="897" w:type="dxa"/>
            <w:shd w:val="clear" w:color="auto" w:fill="auto"/>
            <w:hideMark/>
          </w:tcPr>
          <w:p w14:paraId="66CE6525"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5.7%</w:t>
            </w:r>
          </w:p>
        </w:tc>
        <w:tc>
          <w:tcPr>
            <w:tcW w:w="884" w:type="dxa"/>
            <w:shd w:val="clear" w:color="auto" w:fill="auto"/>
            <w:hideMark/>
          </w:tcPr>
          <w:p w14:paraId="170B2019"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2.7%</w:t>
            </w:r>
          </w:p>
        </w:tc>
        <w:tc>
          <w:tcPr>
            <w:tcW w:w="884" w:type="dxa"/>
            <w:hideMark/>
          </w:tcPr>
          <w:p w14:paraId="20DB28E3"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6.3%</w:t>
            </w:r>
          </w:p>
        </w:tc>
        <w:tc>
          <w:tcPr>
            <w:tcW w:w="884" w:type="dxa"/>
            <w:hideMark/>
          </w:tcPr>
          <w:p w14:paraId="12BC6316"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4.8%</w:t>
            </w:r>
          </w:p>
        </w:tc>
        <w:tc>
          <w:tcPr>
            <w:tcW w:w="884" w:type="dxa"/>
          </w:tcPr>
          <w:p w14:paraId="50B9D124" w14:textId="7EF4EE67" w:rsidR="00365CEA" w:rsidRPr="004D05E9" w:rsidRDefault="00FA0321" w:rsidP="00365CEA">
            <w:pPr>
              <w:widowControl w:val="0"/>
              <w:overflowPunct w:val="0"/>
              <w:autoSpaceDE w:val="0"/>
              <w:autoSpaceDN w:val="0"/>
              <w:adjustRightInd w:val="0"/>
              <w:jc w:val="center"/>
              <w:rPr>
                <w:rFonts w:cs="Arial"/>
                <w:bCs/>
              </w:rPr>
            </w:pPr>
            <w:r w:rsidRPr="004D05E9">
              <w:rPr>
                <w:rFonts w:cs="Arial"/>
                <w:bCs/>
              </w:rPr>
              <w:t>4.0%</w:t>
            </w:r>
          </w:p>
        </w:tc>
      </w:tr>
      <w:tr w:rsidR="00365CEA" w:rsidRPr="004D05E9" w14:paraId="712F8339" w14:textId="03994339" w:rsidTr="00463712">
        <w:trPr>
          <w:cantSplit/>
        </w:trPr>
        <w:tc>
          <w:tcPr>
            <w:tcW w:w="1737" w:type="dxa"/>
            <w:hideMark/>
          </w:tcPr>
          <w:p w14:paraId="77A6ACD0"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Target Met</w:t>
            </w:r>
          </w:p>
        </w:tc>
        <w:tc>
          <w:tcPr>
            <w:tcW w:w="897" w:type="dxa"/>
            <w:hideMark/>
          </w:tcPr>
          <w:p w14:paraId="5040B267"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No</w:t>
            </w:r>
          </w:p>
        </w:tc>
        <w:tc>
          <w:tcPr>
            <w:tcW w:w="897" w:type="dxa"/>
            <w:hideMark/>
          </w:tcPr>
          <w:p w14:paraId="5D090996"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No</w:t>
            </w:r>
          </w:p>
        </w:tc>
        <w:tc>
          <w:tcPr>
            <w:tcW w:w="897" w:type="dxa"/>
            <w:hideMark/>
          </w:tcPr>
          <w:p w14:paraId="3EC1961C"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No</w:t>
            </w:r>
          </w:p>
        </w:tc>
        <w:tc>
          <w:tcPr>
            <w:tcW w:w="884" w:type="dxa"/>
            <w:hideMark/>
          </w:tcPr>
          <w:p w14:paraId="23A8891D" w14:textId="77777777" w:rsidR="00365CEA" w:rsidRPr="004D05E9" w:rsidRDefault="00365CEA" w:rsidP="00365CEA">
            <w:pPr>
              <w:jc w:val="center"/>
              <w:rPr>
                <w:rFonts w:ascii="Calibri" w:hAnsi="Calibri"/>
                <w:sz w:val="22"/>
                <w:szCs w:val="22"/>
              </w:rPr>
            </w:pPr>
            <w:r w:rsidRPr="004D05E9">
              <w:t>No</w:t>
            </w:r>
          </w:p>
        </w:tc>
        <w:tc>
          <w:tcPr>
            <w:tcW w:w="884" w:type="dxa"/>
            <w:hideMark/>
          </w:tcPr>
          <w:p w14:paraId="13A0E851" w14:textId="77777777" w:rsidR="00365CEA" w:rsidRPr="004D05E9" w:rsidRDefault="00365CEA" w:rsidP="00365CEA">
            <w:pPr>
              <w:jc w:val="center"/>
            </w:pPr>
            <w:r w:rsidRPr="004D05E9">
              <w:t>No</w:t>
            </w:r>
          </w:p>
        </w:tc>
        <w:tc>
          <w:tcPr>
            <w:tcW w:w="884" w:type="dxa"/>
            <w:hideMark/>
          </w:tcPr>
          <w:p w14:paraId="1EFD298B" w14:textId="77777777" w:rsidR="00365CEA" w:rsidRPr="004D05E9" w:rsidRDefault="00365CEA" w:rsidP="00365CEA">
            <w:pPr>
              <w:jc w:val="center"/>
            </w:pPr>
            <w:r w:rsidRPr="004D05E9">
              <w:t>No</w:t>
            </w:r>
          </w:p>
        </w:tc>
        <w:tc>
          <w:tcPr>
            <w:tcW w:w="884" w:type="dxa"/>
          </w:tcPr>
          <w:p w14:paraId="29B49FD3" w14:textId="7A6A94BE" w:rsidR="00365CEA" w:rsidRPr="004D05E9" w:rsidRDefault="00365CEA" w:rsidP="00365CEA">
            <w:pPr>
              <w:jc w:val="center"/>
            </w:pPr>
            <w:r w:rsidRPr="004D05E9">
              <w:t>No</w:t>
            </w:r>
          </w:p>
        </w:tc>
      </w:tr>
    </w:tbl>
    <w:p w14:paraId="46CA17B8" w14:textId="77777777" w:rsidR="00FD74B6" w:rsidRPr="004D05E9" w:rsidRDefault="00FD74B6" w:rsidP="00724781">
      <w:pPr>
        <w:pStyle w:val="Heading2"/>
        <w:spacing w:before="840" w:after="240"/>
        <w:jc w:val="center"/>
      </w:pPr>
      <w:bookmarkStart w:id="89" w:name="_Toc57199028"/>
      <w:r w:rsidRPr="004D05E9">
        <w:lastRenderedPageBreak/>
        <w:t>Indicator 5: Education Environments</w:t>
      </w:r>
      <w:bookmarkEnd w:id="89"/>
    </w:p>
    <w:p w14:paraId="51FCCAFB" w14:textId="77777777" w:rsidR="00FD74B6" w:rsidRPr="004D05E9" w:rsidRDefault="00FD74B6" w:rsidP="00724781">
      <w:pPr>
        <w:pStyle w:val="Heading3"/>
        <w:spacing w:before="0" w:after="240"/>
      </w:pPr>
      <w:bookmarkStart w:id="90" w:name="_Toc57199029"/>
      <w:r w:rsidRPr="004D05E9">
        <w:t>Description</w:t>
      </w:r>
      <w:bookmarkEnd w:id="90"/>
    </w:p>
    <w:p w14:paraId="6A03D08E" w14:textId="77777777" w:rsidR="00FD74B6" w:rsidRPr="004D05E9" w:rsidRDefault="00FD74B6" w:rsidP="00724781">
      <w:pPr>
        <w:spacing w:after="240"/>
        <w:rPr>
          <w:rFonts w:cs="Arial"/>
        </w:rPr>
      </w:pPr>
      <w:r w:rsidRPr="004D05E9">
        <w:rPr>
          <w:rFonts w:cs="Arial"/>
        </w:rPr>
        <w:t>Indicator 5 is a performance indicator that measures the percent of students with disabilities, ages six to twenty-two, served inside the regular class 80 percent or more of the day; inside the regular class less than 40 percent of the day, and served in public or private separate schools</w:t>
      </w:r>
      <w:r w:rsidRPr="004D05E9">
        <w:rPr>
          <w:rFonts w:cs="Arial"/>
          <w:caps/>
        </w:rPr>
        <w:t xml:space="preserve">, </w:t>
      </w:r>
      <w:r w:rsidRPr="004D05E9">
        <w:rPr>
          <w:rFonts w:cs="Arial"/>
        </w:rPr>
        <w:t>residential facilities, or homebound/hospital placement.</w:t>
      </w:r>
    </w:p>
    <w:p w14:paraId="2F64BB77" w14:textId="62AC6A09" w:rsidR="00FD74B6" w:rsidRPr="004D05E9" w:rsidRDefault="00FD74B6" w:rsidP="00724781">
      <w:pPr>
        <w:pStyle w:val="Heading3"/>
        <w:spacing w:before="0" w:after="240"/>
      </w:pPr>
      <w:bookmarkStart w:id="91" w:name="_Toc57199030"/>
      <w:r w:rsidRPr="004D05E9">
        <w:t>Targets for 201</w:t>
      </w:r>
      <w:r w:rsidR="00365CEA" w:rsidRPr="004D05E9">
        <w:t>9</w:t>
      </w:r>
      <w:r w:rsidRPr="004D05E9">
        <w:t>–</w:t>
      </w:r>
      <w:r w:rsidR="00365CEA" w:rsidRPr="004D05E9">
        <w:t>20</w:t>
      </w:r>
      <w:bookmarkEnd w:id="91"/>
    </w:p>
    <w:p w14:paraId="4678A2F1" w14:textId="69AB2872" w:rsidR="00FD74B6" w:rsidRPr="004D05E9" w:rsidRDefault="00FD74B6" w:rsidP="00724781">
      <w:pPr>
        <w:spacing w:after="240"/>
        <w:rPr>
          <w:rFonts w:cs="Arial"/>
          <w:bCs/>
        </w:rPr>
      </w:pPr>
      <w:r w:rsidRPr="004D05E9">
        <w:rPr>
          <w:rFonts w:cs="Arial"/>
          <w:bCs/>
        </w:rPr>
        <w:t>These targets represent changes approved by the SBE and the OSEP in FFY 2014 and will be in effect for FFY</w:t>
      </w:r>
      <w:r w:rsidR="003A7E90" w:rsidRPr="004D05E9">
        <w:rPr>
          <w:rFonts w:cs="Arial"/>
          <w:bCs/>
        </w:rPr>
        <w:t>s</w:t>
      </w:r>
      <w:r w:rsidRPr="004D05E9">
        <w:rPr>
          <w:rFonts w:cs="Arial"/>
          <w:bCs/>
        </w:rPr>
        <w:t xml:space="preserve"> 2013–1</w:t>
      </w:r>
      <w:r w:rsidR="00365CEA" w:rsidRPr="004D05E9">
        <w:rPr>
          <w:rFonts w:cs="Arial"/>
          <w:bCs/>
        </w:rPr>
        <w:t>9</w:t>
      </w:r>
      <w:r w:rsidRPr="004D05E9">
        <w:rPr>
          <w:rFonts w:cs="Arial"/>
          <w:bCs/>
        </w:rPr>
        <w:t>.</w:t>
      </w:r>
    </w:p>
    <w:p w14:paraId="1D0FC1CF" w14:textId="1714F3D7" w:rsidR="00FD74B6" w:rsidRPr="004D05E9" w:rsidRDefault="00FD74B6" w:rsidP="00FD74B6">
      <w:pPr>
        <w:spacing w:after="240"/>
        <w:ind w:left="900" w:hanging="540"/>
        <w:rPr>
          <w:rFonts w:cs="Arial"/>
        </w:rPr>
      </w:pPr>
      <w:r w:rsidRPr="004D05E9">
        <w:rPr>
          <w:rFonts w:cs="Arial"/>
        </w:rPr>
        <w:t>5A.</w:t>
      </w:r>
      <w:r w:rsidRPr="004D05E9">
        <w:rPr>
          <w:rFonts w:cs="Arial"/>
        </w:rPr>
        <w:tab/>
      </w:r>
      <w:r w:rsidR="00187846" w:rsidRPr="004D05E9">
        <w:rPr>
          <w:rFonts w:cs="Arial"/>
        </w:rPr>
        <w:t xml:space="preserve">A target of </w:t>
      </w:r>
      <w:r w:rsidRPr="004D05E9">
        <w:rPr>
          <w:rFonts w:cs="Arial"/>
        </w:rPr>
        <w:t>5</w:t>
      </w:r>
      <w:r w:rsidR="00365CEA" w:rsidRPr="004D05E9">
        <w:rPr>
          <w:rFonts w:cs="Arial"/>
        </w:rPr>
        <w:t>3</w:t>
      </w:r>
      <w:r w:rsidRPr="004D05E9">
        <w:rPr>
          <w:rFonts w:cs="Arial"/>
        </w:rPr>
        <w:t>.2 percent or more of students with disabilities will be in regular class 80 percent of the day or more;</w:t>
      </w:r>
    </w:p>
    <w:p w14:paraId="008AD5E7" w14:textId="39177B97" w:rsidR="00FD74B6" w:rsidRPr="004D05E9" w:rsidRDefault="00FD74B6" w:rsidP="00FD74B6">
      <w:pPr>
        <w:spacing w:after="240"/>
        <w:ind w:left="900" w:hanging="540"/>
        <w:rPr>
          <w:rFonts w:cs="Arial"/>
        </w:rPr>
      </w:pPr>
      <w:r w:rsidRPr="004D05E9">
        <w:rPr>
          <w:rFonts w:cs="Arial"/>
        </w:rPr>
        <w:t>5</w:t>
      </w:r>
      <w:r w:rsidR="099C3ACF" w:rsidRPr="004D05E9">
        <w:rPr>
          <w:rFonts w:cs="Arial"/>
        </w:rPr>
        <w:t>B.</w:t>
      </w:r>
      <w:r w:rsidR="0099429E" w:rsidRPr="004D05E9">
        <w:rPr>
          <w:rFonts w:cs="Arial"/>
        </w:rPr>
        <w:t xml:space="preserve"> </w:t>
      </w:r>
      <w:r w:rsidR="099C3ACF" w:rsidRPr="004D05E9">
        <w:rPr>
          <w:rFonts w:cs="Arial"/>
        </w:rPr>
        <w:t xml:space="preserve"> No</w:t>
      </w:r>
      <w:r w:rsidRPr="004D05E9">
        <w:rPr>
          <w:rFonts w:cs="Arial"/>
        </w:rPr>
        <w:t xml:space="preserve"> more than 2</w:t>
      </w:r>
      <w:r w:rsidR="00365CEA" w:rsidRPr="004D05E9">
        <w:rPr>
          <w:rFonts w:cs="Arial"/>
        </w:rPr>
        <w:t>0</w:t>
      </w:r>
      <w:r w:rsidRPr="004D05E9">
        <w:rPr>
          <w:rFonts w:cs="Arial"/>
        </w:rPr>
        <w:t xml:space="preserve">.6 percent of students with disabilities will be removed from regular class more than 60 percent of the day; </w:t>
      </w:r>
      <w:r w:rsidRPr="004D05E9">
        <w:rPr>
          <w:rFonts w:cs="Arial"/>
          <w:b/>
          <w:bCs/>
        </w:rPr>
        <w:t>and</w:t>
      </w:r>
    </w:p>
    <w:p w14:paraId="693CBF21" w14:textId="54ED1BD5" w:rsidR="00FD74B6" w:rsidRPr="004D05E9" w:rsidRDefault="00FD74B6" w:rsidP="00724781">
      <w:pPr>
        <w:spacing w:after="240"/>
        <w:ind w:left="900" w:hanging="540"/>
        <w:rPr>
          <w:rFonts w:cs="Arial"/>
        </w:rPr>
      </w:pPr>
      <w:r w:rsidRPr="004D05E9">
        <w:rPr>
          <w:rFonts w:cs="Arial"/>
        </w:rPr>
        <w:t>5</w:t>
      </w:r>
      <w:r w:rsidR="4AC05583" w:rsidRPr="004D05E9">
        <w:rPr>
          <w:rFonts w:cs="Arial"/>
        </w:rPr>
        <w:t xml:space="preserve">C. </w:t>
      </w:r>
      <w:r w:rsidR="0099429E" w:rsidRPr="004D05E9">
        <w:rPr>
          <w:rFonts w:cs="Arial"/>
        </w:rPr>
        <w:t>.</w:t>
      </w:r>
      <w:r w:rsidR="4AC05583" w:rsidRPr="004D05E9">
        <w:rPr>
          <w:rFonts w:cs="Arial"/>
        </w:rPr>
        <w:t>No</w:t>
      </w:r>
      <w:r w:rsidRPr="004D05E9">
        <w:rPr>
          <w:rFonts w:cs="Arial"/>
        </w:rPr>
        <w:t xml:space="preserve"> more than </w:t>
      </w:r>
      <w:r w:rsidR="007728D4" w:rsidRPr="004D05E9">
        <w:rPr>
          <w:rFonts w:cs="Arial"/>
        </w:rPr>
        <w:t>3.</w:t>
      </w:r>
      <w:r w:rsidR="00365CEA" w:rsidRPr="004D05E9">
        <w:rPr>
          <w:rFonts w:cs="Arial"/>
        </w:rPr>
        <w:t>6</w:t>
      </w:r>
      <w:r w:rsidRPr="004D05E9">
        <w:rPr>
          <w:rFonts w:cs="Arial"/>
        </w:rPr>
        <w:t xml:space="preserve"> percent of students with disabilities are served in public or private separate schools, residential placements, or homebound/hospital placements.</w:t>
      </w:r>
    </w:p>
    <w:p w14:paraId="5A7D4861" w14:textId="77777777" w:rsidR="00FD74B6" w:rsidRPr="004D05E9" w:rsidRDefault="00FD74B6" w:rsidP="00724781">
      <w:pPr>
        <w:pStyle w:val="Heading3"/>
        <w:spacing w:before="0" w:after="240"/>
      </w:pPr>
      <w:bookmarkStart w:id="92" w:name="_Toc57199031"/>
      <w:r w:rsidRPr="004D05E9">
        <w:t>Measurement</w:t>
      </w:r>
      <w:bookmarkEnd w:id="92"/>
    </w:p>
    <w:p w14:paraId="134E8C0E" w14:textId="27519B43" w:rsidR="00FD74B6" w:rsidRPr="004D05E9" w:rsidRDefault="00FD74B6" w:rsidP="00FD74B6">
      <w:pPr>
        <w:tabs>
          <w:tab w:val="left" w:pos="720"/>
          <w:tab w:val="center" w:pos="4680"/>
          <w:tab w:val="right" w:pos="9360"/>
        </w:tabs>
        <w:spacing w:after="240"/>
        <w:ind w:left="900" w:hanging="540"/>
        <w:rPr>
          <w:rFonts w:cs="Arial"/>
        </w:rPr>
      </w:pPr>
      <w:r w:rsidRPr="004D05E9">
        <w:rPr>
          <w:rFonts w:cs="Arial"/>
        </w:rPr>
        <w:t>5</w:t>
      </w:r>
      <w:r w:rsidR="4A66CF6C" w:rsidRPr="004D05E9">
        <w:rPr>
          <w:rFonts w:cs="Arial"/>
        </w:rPr>
        <w:t xml:space="preserve">A. </w:t>
      </w:r>
      <w:r w:rsidR="0099429E" w:rsidRPr="004D05E9">
        <w:rPr>
          <w:rFonts w:cs="Arial"/>
        </w:rPr>
        <w:t>.</w:t>
      </w:r>
      <w:r w:rsidR="4A66CF6C" w:rsidRPr="004D05E9">
        <w:rPr>
          <w:rFonts w:cs="Arial"/>
        </w:rPr>
        <w:t>The</w:t>
      </w:r>
      <w:r w:rsidRPr="004D05E9">
        <w:rPr>
          <w:rFonts w:cs="Arial"/>
        </w:rPr>
        <w:tab/>
        <w:t xml:space="preserve"> number of students with disabilities served inside the regular class 80 percent or more of the day divided by t</w:t>
      </w:r>
      <w:r w:rsidR="00187846" w:rsidRPr="004D05E9">
        <w:rPr>
          <w:rFonts w:cs="Arial"/>
        </w:rPr>
        <w:t>he total number of students age</w:t>
      </w:r>
      <w:r w:rsidRPr="004D05E9">
        <w:rPr>
          <w:rFonts w:cs="Arial"/>
        </w:rPr>
        <w:t xml:space="preserve"> six to twenty-two with disabilities.</w:t>
      </w:r>
    </w:p>
    <w:p w14:paraId="475FAE42" w14:textId="00BE2DDD" w:rsidR="00FD74B6" w:rsidRPr="004D05E9" w:rsidRDefault="00FD74B6" w:rsidP="00FD74B6">
      <w:pPr>
        <w:tabs>
          <w:tab w:val="left" w:pos="720"/>
          <w:tab w:val="center" w:pos="4680"/>
          <w:tab w:val="right" w:pos="9360"/>
        </w:tabs>
        <w:spacing w:after="240"/>
        <w:ind w:left="900" w:hanging="540"/>
        <w:rPr>
          <w:rFonts w:cs="Arial"/>
        </w:rPr>
      </w:pPr>
      <w:r w:rsidRPr="004D05E9">
        <w:rPr>
          <w:rFonts w:cs="Arial"/>
        </w:rPr>
        <w:t>5</w:t>
      </w:r>
      <w:r w:rsidR="0FC6D2BC" w:rsidRPr="004D05E9">
        <w:rPr>
          <w:rFonts w:cs="Arial"/>
        </w:rPr>
        <w:t xml:space="preserve">B. </w:t>
      </w:r>
      <w:r w:rsidR="0099429E" w:rsidRPr="004D05E9">
        <w:rPr>
          <w:rFonts w:cs="Arial"/>
        </w:rPr>
        <w:t xml:space="preserve"> </w:t>
      </w:r>
      <w:r w:rsidR="0FC6D2BC" w:rsidRPr="004D05E9">
        <w:rPr>
          <w:rFonts w:cs="Arial"/>
        </w:rPr>
        <w:t>The</w:t>
      </w:r>
      <w:r w:rsidRPr="004D05E9">
        <w:rPr>
          <w:rFonts w:cs="Arial"/>
        </w:rPr>
        <w:tab/>
        <w:t xml:space="preserve"> number of students with disabilities served inside the regular class less than 40 percent of the day divided by t</w:t>
      </w:r>
      <w:r w:rsidR="00187846" w:rsidRPr="004D05E9">
        <w:rPr>
          <w:rFonts w:cs="Arial"/>
        </w:rPr>
        <w:t>he total number of students age</w:t>
      </w:r>
      <w:r w:rsidRPr="004D05E9">
        <w:rPr>
          <w:rFonts w:cs="Arial"/>
        </w:rPr>
        <w:t xml:space="preserve"> six to twenty-two with disabilities.</w:t>
      </w:r>
    </w:p>
    <w:p w14:paraId="3CACE428" w14:textId="77777777" w:rsidR="00FD74B6" w:rsidRPr="004D05E9" w:rsidRDefault="00FD74B6" w:rsidP="00724781">
      <w:pPr>
        <w:tabs>
          <w:tab w:val="left" w:pos="810"/>
          <w:tab w:val="center" w:pos="4680"/>
          <w:tab w:val="right" w:pos="9360"/>
        </w:tabs>
        <w:spacing w:after="240"/>
        <w:ind w:left="900" w:hanging="540"/>
        <w:rPr>
          <w:rFonts w:cs="Arial"/>
        </w:rPr>
      </w:pPr>
      <w:r w:rsidRPr="004D05E9">
        <w:rPr>
          <w:rFonts w:cs="Arial"/>
        </w:rPr>
        <w:t>5C.</w:t>
      </w:r>
      <w:r w:rsidRPr="004D05E9">
        <w:rPr>
          <w:rFonts w:cs="Arial"/>
        </w:rPr>
        <w:tab/>
        <w:t xml:space="preserve"> The number of students with disabilities served in public or private separate schools, residential facilities, or homebound/hospital placements divided by the total number of students ages six to twenty-two with disabilities.</w:t>
      </w:r>
    </w:p>
    <w:p w14:paraId="4FB9A5A0" w14:textId="020ACD52" w:rsidR="00FD74B6" w:rsidRPr="004D05E9" w:rsidRDefault="00FD74B6" w:rsidP="00724781">
      <w:pPr>
        <w:pStyle w:val="Heading3"/>
        <w:spacing w:before="0" w:after="240"/>
      </w:pPr>
      <w:bookmarkStart w:id="93" w:name="_Toc57199032"/>
      <w:r w:rsidRPr="004D05E9">
        <w:t>Results for 201</w:t>
      </w:r>
      <w:r w:rsidR="00365CEA" w:rsidRPr="004D05E9">
        <w:t>9</w:t>
      </w:r>
      <w:r w:rsidRPr="004D05E9">
        <w:t>–</w:t>
      </w:r>
      <w:r w:rsidR="00365CEA" w:rsidRPr="004D05E9">
        <w:t>20</w:t>
      </w:r>
      <w:bookmarkEnd w:id="93"/>
    </w:p>
    <w:p w14:paraId="2013D5D3" w14:textId="5648474D" w:rsidR="00FD74B6" w:rsidRPr="004D05E9" w:rsidRDefault="00FD74B6" w:rsidP="00FD74B6">
      <w:pPr>
        <w:spacing w:after="100" w:afterAutospacing="1"/>
        <w:rPr>
          <w:rFonts w:cs="Arial"/>
        </w:rPr>
      </w:pPr>
      <w:r w:rsidRPr="004D05E9">
        <w:rPr>
          <w:rFonts w:cs="Arial"/>
        </w:rPr>
        <w:t>California did meet the targets for 5A (</w:t>
      </w:r>
      <w:r w:rsidR="00365CEA" w:rsidRPr="004D05E9">
        <w:rPr>
          <w:rFonts w:cs="Arial"/>
        </w:rPr>
        <w:t>58.37</w:t>
      </w:r>
      <w:r w:rsidRPr="004D05E9">
        <w:rPr>
          <w:rFonts w:cs="Arial"/>
        </w:rPr>
        <w:t xml:space="preserve"> percent of students were in regular class 80 percent of the day or more); for 5B, (</w:t>
      </w:r>
      <w:r w:rsidR="00365CEA" w:rsidRPr="004D05E9">
        <w:rPr>
          <w:rFonts w:cs="Arial"/>
        </w:rPr>
        <w:t>18.20</w:t>
      </w:r>
      <w:r w:rsidRPr="004D05E9">
        <w:rPr>
          <w:rFonts w:cs="Arial"/>
        </w:rPr>
        <w:t xml:space="preserve"> percent of students were in regular class less than 40 percent of the day); and for 5C, (3.</w:t>
      </w:r>
      <w:r w:rsidR="004D0347" w:rsidRPr="004D05E9">
        <w:rPr>
          <w:rFonts w:cs="Arial"/>
        </w:rPr>
        <w:t>1</w:t>
      </w:r>
      <w:r w:rsidR="00365CEA" w:rsidRPr="004D05E9">
        <w:rPr>
          <w:rFonts w:cs="Arial"/>
        </w:rPr>
        <w:t>8</w:t>
      </w:r>
      <w:r w:rsidRPr="004D05E9">
        <w:rPr>
          <w:rFonts w:cs="Arial"/>
        </w:rPr>
        <w:t xml:space="preserve"> percent of students were served in public or private separate schools and facilities).</w:t>
      </w:r>
    </w:p>
    <w:p w14:paraId="33FECC4E" w14:textId="77777777" w:rsidR="007A3AC8" w:rsidRPr="004D05E9" w:rsidRDefault="00FD74B6" w:rsidP="00724781">
      <w:pPr>
        <w:pStyle w:val="Heading3"/>
        <w:spacing w:before="240" w:after="240"/>
      </w:pPr>
      <w:bookmarkStart w:id="94" w:name="_Toc57199033"/>
      <w:r w:rsidRPr="004D05E9">
        <w:lastRenderedPageBreak/>
        <w:t>Target Met: 5A Yes</w:t>
      </w:r>
      <w:r w:rsidR="00DC0D28" w:rsidRPr="004D05E9">
        <w:t>,</w:t>
      </w:r>
      <w:r w:rsidRPr="004D05E9">
        <w:t xml:space="preserve"> 5B Yes</w:t>
      </w:r>
      <w:r w:rsidR="00DC0D28" w:rsidRPr="004D05E9">
        <w:t>,</w:t>
      </w:r>
      <w:r w:rsidRPr="004D05E9">
        <w:t xml:space="preserve"> 5C Yes</w:t>
      </w:r>
      <w:bookmarkEnd w:id="94"/>
    </w:p>
    <w:p w14:paraId="3A188A0C" w14:textId="26604DAD" w:rsidR="00FD74B6" w:rsidRPr="004D05E9" w:rsidRDefault="00FD74B6" w:rsidP="004D7261">
      <w:pPr>
        <w:widowControl w:val="0"/>
        <w:overflowPunct w:val="0"/>
        <w:autoSpaceDE w:val="0"/>
        <w:autoSpaceDN w:val="0"/>
        <w:adjustRightInd w:val="0"/>
        <w:spacing w:before="100" w:beforeAutospacing="1"/>
        <w:rPr>
          <w:rFonts w:cs="Arial"/>
          <w:b/>
          <w:bCs/>
        </w:rPr>
      </w:pPr>
      <w:r w:rsidRPr="004D05E9">
        <w:rPr>
          <w:rFonts w:cs="Arial"/>
          <w:b/>
          <w:bCs/>
        </w:rPr>
        <w:t>Education Environment Targets and Results for FFY</w:t>
      </w:r>
      <w:r w:rsidR="004D3223" w:rsidRPr="004D05E9">
        <w:rPr>
          <w:rFonts w:cs="Arial"/>
          <w:b/>
          <w:bCs/>
        </w:rPr>
        <w:t>s</w:t>
      </w:r>
      <w:r w:rsidRPr="004D05E9">
        <w:rPr>
          <w:rFonts w:cs="Arial"/>
          <w:b/>
          <w:bCs/>
        </w:rPr>
        <w:t xml:space="preserve"> 2013–1</w:t>
      </w:r>
      <w:r w:rsidR="00365CEA" w:rsidRPr="004D05E9">
        <w:rPr>
          <w:rFonts w:cs="Arial"/>
          <w:b/>
          <w:bCs/>
        </w:rPr>
        <w:t>9</w:t>
      </w:r>
    </w:p>
    <w:tbl>
      <w:tblPr>
        <w:tblStyle w:val="TableGrid3"/>
        <w:tblW w:w="0" w:type="auto"/>
        <w:tblLook w:val="04A0" w:firstRow="1" w:lastRow="0" w:firstColumn="1" w:lastColumn="0" w:noHBand="0" w:noVBand="1"/>
        <w:tblDescription w:val="Indicator 5 Targets and Results"/>
      </w:tblPr>
      <w:tblGrid>
        <w:gridCol w:w="2492"/>
        <w:gridCol w:w="979"/>
        <w:gridCol w:w="979"/>
        <w:gridCol w:w="1063"/>
        <w:gridCol w:w="980"/>
        <w:gridCol w:w="980"/>
        <w:gridCol w:w="980"/>
        <w:gridCol w:w="897"/>
      </w:tblGrid>
      <w:tr w:rsidR="00365CEA" w:rsidRPr="004D05E9" w14:paraId="5A1FE86F" w14:textId="4BB0E133" w:rsidTr="00365CEA">
        <w:trPr>
          <w:cantSplit/>
          <w:tblHeader/>
        </w:trPr>
        <w:tc>
          <w:tcPr>
            <w:tcW w:w="2564" w:type="dxa"/>
            <w:hideMark/>
          </w:tcPr>
          <w:p w14:paraId="5A74C75F" w14:textId="77777777" w:rsidR="00365CEA" w:rsidRPr="004D05E9" w:rsidRDefault="00365CEA" w:rsidP="00FD74B6">
            <w:pPr>
              <w:widowControl w:val="0"/>
              <w:overflowPunct w:val="0"/>
              <w:autoSpaceDE w:val="0"/>
              <w:autoSpaceDN w:val="0"/>
              <w:adjustRightInd w:val="0"/>
              <w:jc w:val="center"/>
              <w:rPr>
                <w:rFonts w:cs="Arial"/>
                <w:b/>
                <w:bCs/>
              </w:rPr>
            </w:pPr>
            <w:bookmarkStart w:id="95" w:name="OLE_LINK1"/>
            <w:r w:rsidRPr="004D05E9">
              <w:rPr>
                <w:rFonts w:cs="Arial"/>
                <w:b/>
                <w:bCs/>
              </w:rPr>
              <w:t>Indicator 5</w:t>
            </w:r>
          </w:p>
        </w:tc>
        <w:tc>
          <w:tcPr>
            <w:tcW w:w="984" w:type="dxa"/>
            <w:hideMark/>
          </w:tcPr>
          <w:p w14:paraId="4D117F9F"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2013</w:t>
            </w:r>
          </w:p>
        </w:tc>
        <w:tc>
          <w:tcPr>
            <w:tcW w:w="984" w:type="dxa"/>
            <w:hideMark/>
          </w:tcPr>
          <w:p w14:paraId="3359D71F"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2014</w:t>
            </w:r>
          </w:p>
        </w:tc>
        <w:tc>
          <w:tcPr>
            <w:tcW w:w="1073" w:type="dxa"/>
            <w:hideMark/>
          </w:tcPr>
          <w:p w14:paraId="189E8A5E"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2015</w:t>
            </w:r>
          </w:p>
        </w:tc>
        <w:tc>
          <w:tcPr>
            <w:tcW w:w="985" w:type="dxa"/>
            <w:hideMark/>
          </w:tcPr>
          <w:p w14:paraId="152F0447"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2016</w:t>
            </w:r>
          </w:p>
        </w:tc>
        <w:tc>
          <w:tcPr>
            <w:tcW w:w="985" w:type="dxa"/>
            <w:hideMark/>
          </w:tcPr>
          <w:p w14:paraId="47C3E040"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2017</w:t>
            </w:r>
          </w:p>
        </w:tc>
        <w:tc>
          <w:tcPr>
            <w:tcW w:w="985" w:type="dxa"/>
            <w:hideMark/>
          </w:tcPr>
          <w:p w14:paraId="407EC387"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2018</w:t>
            </w:r>
          </w:p>
        </w:tc>
        <w:tc>
          <w:tcPr>
            <w:tcW w:w="790" w:type="dxa"/>
          </w:tcPr>
          <w:p w14:paraId="5BBC4029" w14:textId="234BEC4F"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2019</w:t>
            </w:r>
          </w:p>
        </w:tc>
      </w:tr>
      <w:tr w:rsidR="00365CEA" w:rsidRPr="004D05E9" w14:paraId="7B9B1CE5" w14:textId="5FF64E8B" w:rsidTr="00365CEA">
        <w:trPr>
          <w:cantSplit/>
        </w:trPr>
        <w:tc>
          <w:tcPr>
            <w:tcW w:w="2564" w:type="dxa"/>
            <w:hideMark/>
          </w:tcPr>
          <w:p w14:paraId="1524D4BA"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5A Target &gt; 80%</w:t>
            </w:r>
          </w:p>
        </w:tc>
        <w:tc>
          <w:tcPr>
            <w:tcW w:w="984" w:type="dxa"/>
            <w:hideMark/>
          </w:tcPr>
          <w:p w14:paraId="41019459"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49.2%</w:t>
            </w:r>
          </w:p>
        </w:tc>
        <w:tc>
          <w:tcPr>
            <w:tcW w:w="984" w:type="dxa"/>
            <w:hideMark/>
          </w:tcPr>
          <w:p w14:paraId="74A4FDAF"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49.2%</w:t>
            </w:r>
          </w:p>
        </w:tc>
        <w:tc>
          <w:tcPr>
            <w:tcW w:w="1073" w:type="dxa"/>
            <w:hideMark/>
          </w:tcPr>
          <w:p w14:paraId="78A51D3B"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49.2%</w:t>
            </w:r>
          </w:p>
        </w:tc>
        <w:tc>
          <w:tcPr>
            <w:tcW w:w="985" w:type="dxa"/>
            <w:hideMark/>
          </w:tcPr>
          <w:p w14:paraId="715F479B"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50.2%</w:t>
            </w:r>
          </w:p>
        </w:tc>
        <w:tc>
          <w:tcPr>
            <w:tcW w:w="985" w:type="dxa"/>
            <w:hideMark/>
          </w:tcPr>
          <w:p w14:paraId="6F4B0A27"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51.2%</w:t>
            </w:r>
          </w:p>
        </w:tc>
        <w:tc>
          <w:tcPr>
            <w:tcW w:w="985" w:type="dxa"/>
            <w:hideMark/>
          </w:tcPr>
          <w:p w14:paraId="2CD17C52"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52.2%</w:t>
            </w:r>
          </w:p>
        </w:tc>
        <w:tc>
          <w:tcPr>
            <w:tcW w:w="790" w:type="dxa"/>
          </w:tcPr>
          <w:p w14:paraId="073008AF" w14:textId="47692A9E"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53.2%</w:t>
            </w:r>
          </w:p>
        </w:tc>
      </w:tr>
      <w:tr w:rsidR="00365CEA" w:rsidRPr="004D05E9" w14:paraId="6B55D5F5" w14:textId="58C9E169" w:rsidTr="00365CEA">
        <w:trPr>
          <w:cantSplit/>
        </w:trPr>
        <w:tc>
          <w:tcPr>
            <w:tcW w:w="2564" w:type="dxa"/>
            <w:hideMark/>
          </w:tcPr>
          <w:p w14:paraId="08B0657F"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Result</w:t>
            </w:r>
          </w:p>
        </w:tc>
        <w:tc>
          <w:tcPr>
            <w:tcW w:w="984" w:type="dxa"/>
            <w:hideMark/>
          </w:tcPr>
          <w:p w14:paraId="7232669E"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56.3%</w:t>
            </w:r>
          </w:p>
        </w:tc>
        <w:tc>
          <w:tcPr>
            <w:tcW w:w="984" w:type="dxa"/>
            <w:hideMark/>
          </w:tcPr>
          <w:p w14:paraId="12979F0E"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53.3%</w:t>
            </w:r>
          </w:p>
        </w:tc>
        <w:tc>
          <w:tcPr>
            <w:tcW w:w="1073" w:type="dxa"/>
            <w:hideMark/>
          </w:tcPr>
          <w:p w14:paraId="5DBDA60A"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54.0%</w:t>
            </w:r>
          </w:p>
        </w:tc>
        <w:tc>
          <w:tcPr>
            <w:tcW w:w="985" w:type="dxa"/>
            <w:hideMark/>
          </w:tcPr>
          <w:p w14:paraId="4F97B230"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54.9%</w:t>
            </w:r>
          </w:p>
        </w:tc>
        <w:tc>
          <w:tcPr>
            <w:tcW w:w="985" w:type="dxa"/>
            <w:hideMark/>
          </w:tcPr>
          <w:p w14:paraId="099BAC24"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56.1%</w:t>
            </w:r>
          </w:p>
        </w:tc>
        <w:tc>
          <w:tcPr>
            <w:tcW w:w="985" w:type="dxa"/>
            <w:hideMark/>
          </w:tcPr>
          <w:p w14:paraId="3427863E"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56.8%</w:t>
            </w:r>
          </w:p>
        </w:tc>
        <w:tc>
          <w:tcPr>
            <w:tcW w:w="790" w:type="dxa"/>
          </w:tcPr>
          <w:p w14:paraId="53D9700E" w14:textId="2A728831"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58.3%</w:t>
            </w:r>
          </w:p>
        </w:tc>
      </w:tr>
      <w:tr w:rsidR="00365CEA" w:rsidRPr="004D05E9" w14:paraId="456EFF63" w14:textId="57ACAD0A" w:rsidTr="00365CEA">
        <w:trPr>
          <w:cantSplit/>
        </w:trPr>
        <w:tc>
          <w:tcPr>
            <w:tcW w:w="2564" w:type="dxa"/>
            <w:hideMark/>
          </w:tcPr>
          <w:p w14:paraId="56FE0540"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Target Met</w:t>
            </w:r>
          </w:p>
        </w:tc>
        <w:tc>
          <w:tcPr>
            <w:tcW w:w="984" w:type="dxa"/>
            <w:hideMark/>
          </w:tcPr>
          <w:p w14:paraId="6A1C3BCB"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4" w:type="dxa"/>
            <w:hideMark/>
          </w:tcPr>
          <w:p w14:paraId="582EC8E4"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1073" w:type="dxa"/>
            <w:hideMark/>
          </w:tcPr>
          <w:p w14:paraId="15DDAD1F"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5" w:type="dxa"/>
            <w:hideMark/>
          </w:tcPr>
          <w:p w14:paraId="74472D04"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5" w:type="dxa"/>
            <w:hideMark/>
          </w:tcPr>
          <w:p w14:paraId="6996D97A"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5" w:type="dxa"/>
            <w:hideMark/>
          </w:tcPr>
          <w:p w14:paraId="5B22143B"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790" w:type="dxa"/>
          </w:tcPr>
          <w:p w14:paraId="16773E50" w14:textId="67BB953A"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r>
      <w:tr w:rsidR="00365CEA" w:rsidRPr="004D05E9" w14:paraId="50194427" w14:textId="779E4931" w:rsidTr="00365CEA">
        <w:trPr>
          <w:cantSplit/>
        </w:trPr>
        <w:tc>
          <w:tcPr>
            <w:tcW w:w="2564" w:type="dxa"/>
            <w:hideMark/>
          </w:tcPr>
          <w:p w14:paraId="4E485EA4"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5B Target &lt; 40%</w:t>
            </w:r>
          </w:p>
        </w:tc>
        <w:tc>
          <w:tcPr>
            <w:tcW w:w="984" w:type="dxa"/>
            <w:hideMark/>
          </w:tcPr>
          <w:p w14:paraId="4963A613"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24.6%</w:t>
            </w:r>
          </w:p>
        </w:tc>
        <w:tc>
          <w:tcPr>
            <w:tcW w:w="984" w:type="dxa"/>
            <w:hideMark/>
          </w:tcPr>
          <w:p w14:paraId="0EE70158"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24.6%</w:t>
            </w:r>
          </w:p>
        </w:tc>
        <w:tc>
          <w:tcPr>
            <w:tcW w:w="1073" w:type="dxa"/>
            <w:hideMark/>
          </w:tcPr>
          <w:p w14:paraId="4F2B49A9"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24.6%</w:t>
            </w:r>
          </w:p>
        </w:tc>
        <w:tc>
          <w:tcPr>
            <w:tcW w:w="985" w:type="dxa"/>
            <w:hideMark/>
          </w:tcPr>
          <w:p w14:paraId="4AB5B72E"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23.6%</w:t>
            </w:r>
          </w:p>
        </w:tc>
        <w:tc>
          <w:tcPr>
            <w:tcW w:w="985" w:type="dxa"/>
            <w:hideMark/>
          </w:tcPr>
          <w:p w14:paraId="384130EF"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22.6%</w:t>
            </w:r>
          </w:p>
        </w:tc>
        <w:tc>
          <w:tcPr>
            <w:tcW w:w="985" w:type="dxa"/>
            <w:hideMark/>
          </w:tcPr>
          <w:p w14:paraId="37FF16C5"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21.6%</w:t>
            </w:r>
          </w:p>
        </w:tc>
        <w:tc>
          <w:tcPr>
            <w:tcW w:w="790" w:type="dxa"/>
          </w:tcPr>
          <w:p w14:paraId="0E6ADD9B" w14:textId="6BCF8025"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20.6%</w:t>
            </w:r>
          </w:p>
        </w:tc>
      </w:tr>
      <w:tr w:rsidR="00365CEA" w:rsidRPr="004D05E9" w14:paraId="2C47AFFD" w14:textId="34C44014" w:rsidTr="00365CEA">
        <w:trPr>
          <w:cantSplit/>
        </w:trPr>
        <w:tc>
          <w:tcPr>
            <w:tcW w:w="2564" w:type="dxa"/>
            <w:hideMark/>
          </w:tcPr>
          <w:p w14:paraId="74587C08"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Result</w:t>
            </w:r>
          </w:p>
        </w:tc>
        <w:tc>
          <w:tcPr>
            <w:tcW w:w="984" w:type="dxa"/>
            <w:hideMark/>
          </w:tcPr>
          <w:p w14:paraId="019B4661"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23.6%</w:t>
            </w:r>
          </w:p>
        </w:tc>
        <w:tc>
          <w:tcPr>
            <w:tcW w:w="984" w:type="dxa"/>
            <w:hideMark/>
          </w:tcPr>
          <w:p w14:paraId="3CE7BA4D"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22%</w:t>
            </w:r>
          </w:p>
        </w:tc>
        <w:tc>
          <w:tcPr>
            <w:tcW w:w="1073" w:type="dxa"/>
            <w:hideMark/>
          </w:tcPr>
          <w:p w14:paraId="20E2E542"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21.5%</w:t>
            </w:r>
          </w:p>
        </w:tc>
        <w:tc>
          <w:tcPr>
            <w:tcW w:w="985" w:type="dxa"/>
            <w:hideMark/>
          </w:tcPr>
          <w:p w14:paraId="3B81C648"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20.6%</w:t>
            </w:r>
          </w:p>
        </w:tc>
        <w:tc>
          <w:tcPr>
            <w:tcW w:w="985" w:type="dxa"/>
            <w:hideMark/>
          </w:tcPr>
          <w:p w14:paraId="7CA07F8F"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19.8%</w:t>
            </w:r>
          </w:p>
        </w:tc>
        <w:tc>
          <w:tcPr>
            <w:tcW w:w="985" w:type="dxa"/>
            <w:hideMark/>
          </w:tcPr>
          <w:p w14:paraId="344A9520"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19.5%</w:t>
            </w:r>
          </w:p>
        </w:tc>
        <w:tc>
          <w:tcPr>
            <w:tcW w:w="790" w:type="dxa"/>
          </w:tcPr>
          <w:p w14:paraId="67DAFEA7" w14:textId="2BE6B23F"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18.2%</w:t>
            </w:r>
          </w:p>
        </w:tc>
      </w:tr>
      <w:tr w:rsidR="00365CEA" w:rsidRPr="004D05E9" w14:paraId="3224B1EB" w14:textId="57684022" w:rsidTr="00365CEA">
        <w:trPr>
          <w:cantSplit/>
        </w:trPr>
        <w:tc>
          <w:tcPr>
            <w:tcW w:w="2564" w:type="dxa"/>
            <w:hideMark/>
          </w:tcPr>
          <w:p w14:paraId="55373BB3"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Target Met</w:t>
            </w:r>
          </w:p>
        </w:tc>
        <w:tc>
          <w:tcPr>
            <w:tcW w:w="984" w:type="dxa"/>
            <w:hideMark/>
          </w:tcPr>
          <w:p w14:paraId="42FA241C"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4" w:type="dxa"/>
            <w:hideMark/>
          </w:tcPr>
          <w:p w14:paraId="11481719"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1073" w:type="dxa"/>
            <w:hideMark/>
          </w:tcPr>
          <w:p w14:paraId="15AAD428"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5" w:type="dxa"/>
            <w:hideMark/>
          </w:tcPr>
          <w:p w14:paraId="5599AD3D"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5" w:type="dxa"/>
            <w:hideMark/>
          </w:tcPr>
          <w:p w14:paraId="0397EB89"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5" w:type="dxa"/>
            <w:hideMark/>
          </w:tcPr>
          <w:p w14:paraId="7633893C"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790" w:type="dxa"/>
          </w:tcPr>
          <w:p w14:paraId="55712EAB" w14:textId="23730348"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Yes</w:t>
            </w:r>
          </w:p>
        </w:tc>
      </w:tr>
      <w:tr w:rsidR="00365CEA" w:rsidRPr="004D05E9" w14:paraId="5F046A71" w14:textId="7218398C" w:rsidTr="00365CEA">
        <w:trPr>
          <w:cantSplit/>
        </w:trPr>
        <w:tc>
          <w:tcPr>
            <w:tcW w:w="2564" w:type="dxa"/>
            <w:hideMark/>
          </w:tcPr>
          <w:p w14:paraId="44CA463C"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 xml:space="preserve">5C Target Separate School </w:t>
            </w:r>
          </w:p>
        </w:tc>
        <w:tc>
          <w:tcPr>
            <w:tcW w:w="984" w:type="dxa"/>
            <w:hideMark/>
          </w:tcPr>
          <w:p w14:paraId="1EF538AD"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4.4%</w:t>
            </w:r>
          </w:p>
        </w:tc>
        <w:tc>
          <w:tcPr>
            <w:tcW w:w="984" w:type="dxa"/>
            <w:hideMark/>
          </w:tcPr>
          <w:p w14:paraId="408C0643"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4.4%</w:t>
            </w:r>
          </w:p>
        </w:tc>
        <w:tc>
          <w:tcPr>
            <w:tcW w:w="1073" w:type="dxa"/>
            <w:hideMark/>
          </w:tcPr>
          <w:p w14:paraId="56D901C5"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4.4%</w:t>
            </w:r>
          </w:p>
        </w:tc>
        <w:tc>
          <w:tcPr>
            <w:tcW w:w="985" w:type="dxa"/>
            <w:hideMark/>
          </w:tcPr>
          <w:p w14:paraId="5E25BCB4"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4.2%</w:t>
            </w:r>
          </w:p>
        </w:tc>
        <w:tc>
          <w:tcPr>
            <w:tcW w:w="985" w:type="dxa"/>
            <w:hideMark/>
          </w:tcPr>
          <w:p w14:paraId="68C532EF"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4%</w:t>
            </w:r>
          </w:p>
        </w:tc>
        <w:tc>
          <w:tcPr>
            <w:tcW w:w="985" w:type="dxa"/>
            <w:hideMark/>
          </w:tcPr>
          <w:p w14:paraId="703FEA17"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3.8%</w:t>
            </w:r>
          </w:p>
        </w:tc>
        <w:tc>
          <w:tcPr>
            <w:tcW w:w="790" w:type="dxa"/>
          </w:tcPr>
          <w:p w14:paraId="2664B17D" w14:textId="161714D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3.6%</w:t>
            </w:r>
          </w:p>
        </w:tc>
      </w:tr>
      <w:tr w:rsidR="00365CEA" w:rsidRPr="004D05E9" w14:paraId="6FF04B64" w14:textId="7FF9C52C" w:rsidTr="00365CEA">
        <w:trPr>
          <w:cantSplit/>
        </w:trPr>
        <w:tc>
          <w:tcPr>
            <w:tcW w:w="2564" w:type="dxa"/>
            <w:hideMark/>
          </w:tcPr>
          <w:p w14:paraId="47745514"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Result</w:t>
            </w:r>
          </w:p>
        </w:tc>
        <w:tc>
          <w:tcPr>
            <w:tcW w:w="984" w:type="dxa"/>
            <w:hideMark/>
          </w:tcPr>
          <w:p w14:paraId="54F0CCE9"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3.9%</w:t>
            </w:r>
          </w:p>
        </w:tc>
        <w:tc>
          <w:tcPr>
            <w:tcW w:w="984" w:type="dxa"/>
            <w:hideMark/>
          </w:tcPr>
          <w:p w14:paraId="34F1EF05"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3.3%</w:t>
            </w:r>
          </w:p>
        </w:tc>
        <w:tc>
          <w:tcPr>
            <w:tcW w:w="1073" w:type="dxa"/>
            <w:hideMark/>
          </w:tcPr>
          <w:p w14:paraId="406B6DA1"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3.6%</w:t>
            </w:r>
          </w:p>
        </w:tc>
        <w:tc>
          <w:tcPr>
            <w:tcW w:w="985" w:type="dxa"/>
            <w:hideMark/>
          </w:tcPr>
          <w:p w14:paraId="74599905"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3.5%</w:t>
            </w:r>
          </w:p>
        </w:tc>
        <w:tc>
          <w:tcPr>
            <w:tcW w:w="985" w:type="dxa"/>
            <w:hideMark/>
          </w:tcPr>
          <w:p w14:paraId="2C50455C"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3.4%</w:t>
            </w:r>
          </w:p>
        </w:tc>
        <w:tc>
          <w:tcPr>
            <w:tcW w:w="985" w:type="dxa"/>
            <w:hideMark/>
          </w:tcPr>
          <w:p w14:paraId="1E81ADAB" w14:textId="145DA180"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3.1%</w:t>
            </w:r>
          </w:p>
        </w:tc>
        <w:tc>
          <w:tcPr>
            <w:tcW w:w="790" w:type="dxa"/>
          </w:tcPr>
          <w:p w14:paraId="2C0E351A" w14:textId="6DC0B145"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3.1%</w:t>
            </w:r>
          </w:p>
        </w:tc>
      </w:tr>
      <w:tr w:rsidR="00365CEA" w:rsidRPr="004D05E9" w14:paraId="50CF44A8" w14:textId="3817F3B2" w:rsidTr="00365CEA">
        <w:trPr>
          <w:cantSplit/>
        </w:trPr>
        <w:tc>
          <w:tcPr>
            <w:tcW w:w="2564" w:type="dxa"/>
            <w:hideMark/>
          </w:tcPr>
          <w:p w14:paraId="70892619"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Target Met</w:t>
            </w:r>
          </w:p>
        </w:tc>
        <w:tc>
          <w:tcPr>
            <w:tcW w:w="984" w:type="dxa"/>
            <w:hideMark/>
          </w:tcPr>
          <w:p w14:paraId="58878724"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4" w:type="dxa"/>
            <w:hideMark/>
          </w:tcPr>
          <w:p w14:paraId="625845DF"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1073" w:type="dxa"/>
            <w:hideMark/>
          </w:tcPr>
          <w:p w14:paraId="6F7D5506"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5" w:type="dxa"/>
            <w:hideMark/>
          </w:tcPr>
          <w:p w14:paraId="3633BF4A"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5" w:type="dxa"/>
            <w:hideMark/>
          </w:tcPr>
          <w:p w14:paraId="7A3E5A50"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5" w:type="dxa"/>
            <w:hideMark/>
          </w:tcPr>
          <w:p w14:paraId="451BA680"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790" w:type="dxa"/>
          </w:tcPr>
          <w:p w14:paraId="09ECD7EC" w14:textId="4D4BD0B4"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bookmarkEnd w:id="95"/>
      </w:tr>
    </w:tbl>
    <w:p w14:paraId="3A89B7CD" w14:textId="77777777" w:rsidR="00FD74B6" w:rsidRPr="004D05E9" w:rsidRDefault="00FD74B6" w:rsidP="00724781">
      <w:pPr>
        <w:pStyle w:val="Heading2"/>
        <w:spacing w:before="8760" w:after="240"/>
        <w:jc w:val="center"/>
      </w:pPr>
      <w:bookmarkStart w:id="96" w:name="_Toc57199034"/>
      <w:r w:rsidRPr="004D05E9">
        <w:lastRenderedPageBreak/>
        <w:t>Indicator 6: Preschool Least Restrictive Environments</w:t>
      </w:r>
      <w:bookmarkEnd w:id="96"/>
    </w:p>
    <w:p w14:paraId="505CF3FC" w14:textId="77777777" w:rsidR="00FD74B6" w:rsidRPr="004D05E9" w:rsidRDefault="00FD74B6" w:rsidP="00724781">
      <w:pPr>
        <w:pStyle w:val="Heading3"/>
        <w:spacing w:after="240"/>
      </w:pPr>
      <w:bookmarkStart w:id="97" w:name="_Toc57199035"/>
      <w:r w:rsidRPr="004D05E9">
        <w:t>Description</w:t>
      </w:r>
      <w:bookmarkEnd w:id="97"/>
    </w:p>
    <w:p w14:paraId="1908F373" w14:textId="77777777" w:rsidR="00FD74B6" w:rsidRPr="004D05E9" w:rsidRDefault="00FD74B6" w:rsidP="00724781">
      <w:pPr>
        <w:spacing w:after="240"/>
        <w:rPr>
          <w:rFonts w:cs="Arial"/>
          <w:b/>
          <w:bCs/>
        </w:rPr>
      </w:pPr>
      <w:r w:rsidRPr="004D05E9">
        <w:rPr>
          <w:rFonts w:cs="Arial"/>
        </w:rPr>
        <w:t xml:space="preserve">Indicator 6 is a performance indicator that measures the percent of children with disabilities ages three through five years, attending a regular early childhood program and receiving the majority of special education and related service in the regular early childhood program; as well as children with disabilities attending a separate special education class, separate school, or residential facility (20 U.S.C. </w:t>
      </w:r>
      <w:r w:rsidR="002A11EB" w:rsidRPr="004D05E9">
        <w:rPr>
          <w:rFonts w:cs="Arial"/>
        </w:rPr>
        <w:t xml:space="preserve">Section </w:t>
      </w:r>
      <w:r w:rsidRPr="004D05E9">
        <w:rPr>
          <w:rFonts w:cs="Arial"/>
        </w:rPr>
        <w:t>1416[a][3][A]).</w:t>
      </w:r>
    </w:p>
    <w:p w14:paraId="077041A5" w14:textId="6BAA724F" w:rsidR="00FD74B6" w:rsidRPr="004D05E9" w:rsidRDefault="00FD74B6" w:rsidP="00724781">
      <w:pPr>
        <w:pStyle w:val="Heading3"/>
        <w:spacing w:before="0" w:after="240"/>
      </w:pPr>
      <w:bookmarkStart w:id="98" w:name="_Toc57199036"/>
      <w:r w:rsidRPr="004D05E9">
        <w:t>Target for 201</w:t>
      </w:r>
      <w:r w:rsidR="00365CEA" w:rsidRPr="004D05E9">
        <w:t>9</w:t>
      </w:r>
      <w:r w:rsidRPr="004D05E9">
        <w:t>–</w:t>
      </w:r>
      <w:r w:rsidR="00365CEA" w:rsidRPr="004D05E9">
        <w:t>20</w:t>
      </w:r>
      <w:bookmarkEnd w:id="98"/>
    </w:p>
    <w:p w14:paraId="789319A0" w14:textId="0BF774A3" w:rsidR="00FD74B6" w:rsidRPr="004D05E9" w:rsidRDefault="00FD74B6" w:rsidP="00724781">
      <w:pPr>
        <w:spacing w:after="240"/>
        <w:rPr>
          <w:rFonts w:cs="Arial"/>
          <w:b/>
          <w:bCs/>
        </w:rPr>
      </w:pPr>
      <w:r w:rsidRPr="004D05E9">
        <w:rPr>
          <w:rFonts w:cs="Arial"/>
          <w:bCs/>
        </w:rPr>
        <w:t>These targets represent changes approved by the SBE and the OSEP in FFY 2014 and will be in effect for FFY</w:t>
      </w:r>
      <w:r w:rsidR="003A7E90" w:rsidRPr="004D05E9">
        <w:rPr>
          <w:rFonts w:cs="Arial"/>
          <w:bCs/>
        </w:rPr>
        <w:t>s</w:t>
      </w:r>
      <w:r w:rsidRPr="004D05E9">
        <w:rPr>
          <w:rFonts w:cs="Arial"/>
          <w:bCs/>
        </w:rPr>
        <w:t xml:space="preserve"> 2013–1</w:t>
      </w:r>
      <w:r w:rsidR="00365CEA" w:rsidRPr="004D05E9">
        <w:rPr>
          <w:rFonts w:cs="Arial"/>
          <w:bCs/>
        </w:rPr>
        <w:t>9</w:t>
      </w:r>
      <w:r w:rsidRPr="004D05E9">
        <w:rPr>
          <w:rFonts w:cs="Arial"/>
          <w:bCs/>
        </w:rPr>
        <w:t>.</w:t>
      </w:r>
    </w:p>
    <w:p w14:paraId="3E4B024A" w14:textId="1C496C5D" w:rsidR="00FD74B6" w:rsidRPr="004D05E9" w:rsidRDefault="007F7D72" w:rsidP="007F7D72">
      <w:pPr>
        <w:spacing w:after="240"/>
        <w:ind w:left="720" w:hanging="450"/>
        <w:rPr>
          <w:rFonts w:cs="Arial"/>
        </w:rPr>
      </w:pPr>
      <w:r w:rsidRPr="004D05E9">
        <w:rPr>
          <w:rFonts w:cs="Arial"/>
        </w:rPr>
        <w:t xml:space="preserve">6A. </w:t>
      </w:r>
      <w:r w:rsidR="00187846" w:rsidRPr="004D05E9">
        <w:rPr>
          <w:rFonts w:cs="Arial"/>
        </w:rPr>
        <w:t xml:space="preserve">A target of </w:t>
      </w:r>
      <w:r w:rsidR="00FD74B6" w:rsidRPr="004D05E9">
        <w:rPr>
          <w:rFonts w:cs="Arial"/>
        </w:rPr>
        <w:t>3</w:t>
      </w:r>
      <w:r w:rsidR="00365CEA" w:rsidRPr="004D05E9">
        <w:rPr>
          <w:rFonts w:cs="Arial"/>
        </w:rPr>
        <w:t>6</w:t>
      </w:r>
      <w:r w:rsidR="00FD74B6" w:rsidRPr="004D05E9">
        <w:rPr>
          <w:rFonts w:cs="Arial"/>
        </w:rPr>
        <w:t>.9 percent or more of children with disabilities will be served in settings w</w:t>
      </w:r>
      <w:r w:rsidR="00724781" w:rsidRPr="004D05E9">
        <w:rPr>
          <w:rFonts w:cs="Arial"/>
        </w:rPr>
        <w:t>ith typically developing peers.</w:t>
      </w:r>
    </w:p>
    <w:p w14:paraId="5EA3B1C3" w14:textId="6820EA72" w:rsidR="00FD74B6" w:rsidRPr="004D05E9" w:rsidRDefault="007F7D72" w:rsidP="007F7D72">
      <w:pPr>
        <w:spacing w:after="240"/>
        <w:ind w:left="720" w:hanging="450"/>
        <w:rPr>
          <w:rFonts w:cs="Arial"/>
        </w:rPr>
      </w:pPr>
      <w:r w:rsidRPr="004D05E9">
        <w:rPr>
          <w:rFonts w:cs="Arial"/>
        </w:rPr>
        <w:t xml:space="preserve">6B. </w:t>
      </w:r>
      <w:r w:rsidR="00FD74B6" w:rsidRPr="004D05E9">
        <w:rPr>
          <w:rFonts w:cs="Arial"/>
        </w:rPr>
        <w:t>No more than 3</w:t>
      </w:r>
      <w:r w:rsidR="00365CEA" w:rsidRPr="004D05E9">
        <w:rPr>
          <w:rFonts w:cs="Arial"/>
        </w:rPr>
        <w:t>0</w:t>
      </w:r>
      <w:r w:rsidR="00FD74B6" w:rsidRPr="004D05E9">
        <w:rPr>
          <w:rFonts w:cs="Arial"/>
        </w:rPr>
        <w:t>.4 percent of children with disabilities will be served in a separate special education class, separate s</w:t>
      </w:r>
      <w:r w:rsidR="00724781" w:rsidRPr="004D05E9">
        <w:rPr>
          <w:rFonts w:cs="Arial"/>
        </w:rPr>
        <w:t>chool, or residential facility.</w:t>
      </w:r>
    </w:p>
    <w:p w14:paraId="48E780B9" w14:textId="77777777" w:rsidR="00FD74B6" w:rsidRPr="004D05E9" w:rsidRDefault="00FD74B6" w:rsidP="00724781">
      <w:pPr>
        <w:pStyle w:val="Heading3"/>
        <w:spacing w:before="0" w:after="240"/>
      </w:pPr>
      <w:bookmarkStart w:id="99" w:name="_Toc57199037"/>
      <w:r w:rsidRPr="004D05E9">
        <w:t>Measurement</w:t>
      </w:r>
      <w:bookmarkEnd w:id="99"/>
    </w:p>
    <w:p w14:paraId="74420ED9" w14:textId="77777777" w:rsidR="00FD74B6" w:rsidRPr="004D05E9" w:rsidRDefault="007F7D72" w:rsidP="007F7D72">
      <w:pPr>
        <w:widowControl w:val="0"/>
        <w:overflowPunct w:val="0"/>
        <w:autoSpaceDE w:val="0"/>
        <w:autoSpaceDN w:val="0"/>
        <w:adjustRightInd w:val="0"/>
        <w:spacing w:after="240"/>
        <w:ind w:left="720" w:hanging="450"/>
        <w:rPr>
          <w:rFonts w:cs="Arial"/>
        </w:rPr>
      </w:pPr>
      <w:r w:rsidRPr="004D05E9">
        <w:t xml:space="preserve">6A. </w:t>
      </w:r>
      <w:r w:rsidR="00187846" w:rsidRPr="004D05E9">
        <w:t>Percent = (</w:t>
      </w:r>
      <w:r w:rsidR="00FD74B6" w:rsidRPr="004D05E9">
        <w:t>number of children ages three through five with IEPs attending a regular early childhood program and receiving the majority of special education and related services in the regular early childhood program</w:t>
      </w:r>
      <w:r w:rsidR="00187846" w:rsidRPr="004D05E9">
        <w:t>)</w:t>
      </w:r>
      <w:r w:rsidR="00FD74B6" w:rsidRPr="004D05E9">
        <w:t xml:space="preserve"> divided by the </w:t>
      </w:r>
      <w:r w:rsidR="00187846" w:rsidRPr="004D05E9">
        <w:t>(</w:t>
      </w:r>
      <w:r w:rsidR="00FD74B6" w:rsidRPr="004D05E9">
        <w:t>total number of children ag</w:t>
      </w:r>
      <w:r w:rsidR="00187846" w:rsidRPr="004D05E9">
        <w:t>es three through five with IEPs</w:t>
      </w:r>
      <w:r w:rsidR="00FD74B6" w:rsidRPr="004D05E9">
        <w:t>), multiplied by 100.</w:t>
      </w:r>
    </w:p>
    <w:p w14:paraId="25408C47" w14:textId="77777777" w:rsidR="00FD74B6" w:rsidRPr="004D05E9" w:rsidRDefault="007F7D72" w:rsidP="007F7D72">
      <w:pPr>
        <w:widowControl w:val="0"/>
        <w:overflowPunct w:val="0"/>
        <w:autoSpaceDE w:val="0"/>
        <w:autoSpaceDN w:val="0"/>
        <w:adjustRightInd w:val="0"/>
        <w:spacing w:after="240"/>
        <w:ind w:left="720" w:hanging="450"/>
        <w:rPr>
          <w:rFonts w:cs="Arial"/>
        </w:rPr>
      </w:pPr>
      <w:r w:rsidRPr="004D05E9">
        <w:t xml:space="preserve">6B. </w:t>
      </w:r>
      <w:r w:rsidR="00187846" w:rsidRPr="004D05E9">
        <w:t>Percent = (</w:t>
      </w:r>
      <w:r w:rsidR="00FD74B6" w:rsidRPr="004D05E9">
        <w:t>number of children ages three through five with IEPs attending a separate special education class, separate school, or residential facility</w:t>
      </w:r>
      <w:r w:rsidR="00187846" w:rsidRPr="004D05E9">
        <w:t>) divided by the (</w:t>
      </w:r>
      <w:r w:rsidR="00FD74B6" w:rsidRPr="004D05E9">
        <w:t>total number of children ages three through five with IEPs), multiplied by 100.</w:t>
      </w:r>
    </w:p>
    <w:p w14:paraId="38523392" w14:textId="100D71A0" w:rsidR="00FD74B6" w:rsidRPr="004D05E9" w:rsidRDefault="00FD74B6" w:rsidP="00724781">
      <w:pPr>
        <w:pStyle w:val="Heading3"/>
        <w:spacing w:before="0" w:after="240"/>
      </w:pPr>
      <w:bookmarkStart w:id="100" w:name="_Toc57199038"/>
      <w:r w:rsidRPr="004D05E9">
        <w:t>Results for 201</w:t>
      </w:r>
      <w:r w:rsidR="00365CEA" w:rsidRPr="004D05E9">
        <w:t>9</w:t>
      </w:r>
      <w:r w:rsidRPr="004D05E9">
        <w:t>–</w:t>
      </w:r>
      <w:r w:rsidR="00365CEA" w:rsidRPr="004D05E9">
        <w:t>20</w:t>
      </w:r>
      <w:bookmarkEnd w:id="100"/>
    </w:p>
    <w:p w14:paraId="44912F39" w14:textId="18CA6320" w:rsidR="00FD74B6" w:rsidRPr="004D05E9" w:rsidRDefault="007F7D72" w:rsidP="007F7D72">
      <w:pPr>
        <w:spacing w:after="240"/>
        <w:ind w:left="720" w:hanging="450"/>
        <w:rPr>
          <w:rFonts w:cs="Arial"/>
        </w:rPr>
      </w:pPr>
      <w:r w:rsidRPr="004D05E9">
        <w:rPr>
          <w:rFonts w:cs="Arial"/>
        </w:rPr>
        <w:t xml:space="preserve">6A. </w:t>
      </w:r>
      <w:r w:rsidR="00C90330" w:rsidRPr="004D05E9">
        <w:rPr>
          <w:rFonts w:cs="Arial"/>
        </w:rPr>
        <w:t>For FFY 201</w:t>
      </w:r>
      <w:r w:rsidR="00365CEA" w:rsidRPr="004D05E9">
        <w:rPr>
          <w:rFonts w:cs="Arial"/>
        </w:rPr>
        <w:t>9</w:t>
      </w:r>
      <w:r w:rsidR="00902D7E" w:rsidRPr="004D05E9">
        <w:rPr>
          <w:rFonts w:cs="Arial"/>
        </w:rPr>
        <w:t>,</w:t>
      </w:r>
      <w:r w:rsidR="00C90330" w:rsidRPr="004D05E9">
        <w:rPr>
          <w:rFonts w:cs="Arial"/>
        </w:rPr>
        <w:t xml:space="preserve"> </w:t>
      </w:r>
      <w:r w:rsidR="002B0CA0" w:rsidRPr="004D05E9">
        <w:rPr>
          <w:rFonts w:cs="Arial"/>
        </w:rPr>
        <w:t>34.45</w:t>
      </w:r>
      <w:r w:rsidR="00FD74B6" w:rsidRPr="004D05E9">
        <w:rPr>
          <w:rFonts w:cs="Arial"/>
        </w:rPr>
        <w:t xml:space="preserve"> percent of children ages three through five attended a regular early childhood program and received the majority of special education and related services in the regular early childhood program.</w:t>
      </w:r>
    </w:p>
    <w:p w14:paraId="10CD669E" w14:textId="6FA87E87" w:rsidR="00FD74B6" w:rsidRPr="004D05E9" w:rsidRDefault="007F7D72" w:rsidP="007F7D72">
      <w:pPr>
        <w:spacing w:after="240"/>
        <w:ind w:left="720" w:hanging="450"/>
        <w:rPr>
          <w:rFonts w:cs="Arial"/>
        </w:rPr>
      </w:pPr>
      <w:r w:rsidRPr="004D05E9">
        <w:rPr>
          <w:rFonts w:cs="Arial"/>
        </w:rPr>
        <w:t xml:space="preserve">6B. </w:t>
      </w:r>
      <w:r w:rsidR="00C90330" w:rsidRPr="004D05E9">
        <w:rPr>
          <w:rFonts w:cs="Arial"/>
        </w:rPr>
        <w:t>For FFY 201</w:t>
      </w:r>
      <w:r w:rsidR="00365CEA" w:rsidRPr="004D05E9">
        <w:rPr>
          <w:rFonts w:cs="Arial"/>
        </w:rPr>
        <w:t>9</w:t>
      </w:r>
      <w:r w:rsidR="00902D7E" w:rsidRPr="004D05E9">
        <w:rPr>
          <w:rFonts w:cs="Arial"/>
        </w:rPr>
        <w:t>,</w:t>
      </w:r>
      <w:r w:rsidR="00C90330" w:rsidRPr="004D05E9">
        <w:rPr>
          <w:rFonts w:cs="Arial"/>
        </w:rPr>
        <w:t xml:space="preserve"> </w:t>
      </w:r>
      <w:r w:rsidR="002B0CA0" w:rsidRPr="004D05E9">
        <w:rPr>
          <w:rFonts w:cs="Arial"/>
        </w:rPr>
        <w:t>35.76</w:t>
      </w:r>
      <w:r w:rsidR="00FD74B6" w:rsidRPr="004D05E9">
        <w:rPr>
          <w:rFonts w:cs="Arial"/>
        </w:rPr>
        <w:t xml:space="preserve"> percent of children ages three through five attended a separate special education class, separate school, or residential facility.</w:t>
      </w:r>
    </w:p>
    <w:p w14:paraId="32E664C3" w14:textId="7DA74CD5" w:rsidR="00FF2892" w:rsidRPr="004D05E9" w:rsidRDefault="00FD74B6" w:rsidP="00FF2892">
      <w:pPr>
        <w:pStyle w:val="Heading3"/>
        <w:spacing w:before="0" w:after="240"/>
      </w:pPr>
      <w:bookmarkStart w:id="101" w:name="_Toc57199039"/>
      <w:r w:rsidRPr="004D05E9">
        <w:t xml:space="preserve">Target Met: 6A </w:t>
      </w:r>
      <w:r w:rsidR="00365CEA" w:rsidRPr="004D05E9">
        <w:t>No</w:t>
      </w:r>
      <w:r w:rsidR="007A7282" w:rsidRPr="004D05E9">
        <w:t>,</w:t>
      </w:r>
      <w:r w:rsidRPr="004D05E9">
        <w:t xml:space="preserve"> 6B </w:t>
      </w:r>
      <w:r w:rsidR="004663F8" w:rsidRPr="004D05E9">
        <w:t>No</w:t>
      </w:r>
      <w:bookmarkEnd w:id="101"/>
    </w:p>
    <w:p w14:paraId="5E9B2382" w14:textId="77777777" w:rsidR="00E4217A" w:rsidRPr="004D05E9" w:rsidRDefault="00E4217A">
      <w:pPr>
        <w:spacing w:after="160" w:line="259" w:lineRule="auto"/>
        <w:rPr>
          <w:rFonts w:cs="Arial"/>
          <w:b/>
          <w:bCs/>
        </w:rPr>
      </w:pPr>
      <w:r w:rsidRPr="004D05E9">
        <w:rPr>
          <w:rFonts w:cs="Arial"/>
          <w:b/>
          <w:bCs/>
        </w:rPr>
        <w:br w:type="page"/>
      </w:r>
    </w:p>
    <w:p w14:paraId="00AE1A9B" w14:textId="013B1A01" w:rsidR="00FD74B6" w:rsidRPr="004D05E9" w:rsidRDefault="00FD74B6" w:rsidP="004D7261">
      <w:pPr>
        <w:widowControl w:val="0"/>
        <w:overflowPunct w:val="0"/>
        <w:autoSpaceDE w:val="0"/>
        <w:autoSpaceDN w:val="0"/>
        <w:adjustRightInd w:val="0"/>
        <w:spacing w:before="100" w:beforeAutospacing="1"/>
        <w:rPr>
          <w:rFonts w:cs="Arial"/>
          <w:b/>
          <w:bCs/>
        </w:rPr>
      </w:pPr>
      <w:r w:rsidRPr="004D05E9">
        <w:rPr>
          <w:rFonts w:cs="Arial"/>
          <w:b/>
          <w:bCs/>
        </w:rPr>
        <w:lastRenderedPageBreak/>
        <w:t>Preschool Environments Targets and Results for FFY</w:t>
      </w:r>
      <w:r w:rsidR="007A7282" w:rsidRPr="004D05E9">
        <w:rPr>
          <w:rFonts w:cs="Arial"/>
          <w:b/>
          <w:bCs/>
        </w:rPr>
        <w:t>s</w:t>
      </w:r>
      <w:r w:rsidRPr="004D05E9">
        <w:rPr>
          <w:rFonts w:cs="Arial"/>
          <w:b/>
          <w:bCs/>
        </w:rPr>
        <w:t xml:space="preserve"> 2013–1</w:t>
      </w:r>
      <w:r w:rsidR="00365CEA" w:rsidRPr="004D05E9">
        <w:rPr>
          <w:rFonts w:cs="Arial"/>
          <w:b/>
          <w:bCs/>
        </w:rPr>
        <w:t>9</w:t>
      </w:r>
    </w:p>
    <w:tbl>
      <w:tblPr>
        <w:tblStyle w:val="TableGrid4"/>
        <w:tblW w:w="0" w:type="auto"/>
        <w:tblLook w:val="04A0" w:firstRow="1" w:lastRow="0" w:firstColumn="1" w:lastColumn="0" w:noHBand="0" w:noVBand="1"/>
        <w:tblDescription w:val="Indicator 6 Targets and Results"/>
      </w:tblPr>
      <w:tblGrid>
        <w:gridCol w:w="2459"/>
        <w:gridCol w:w="958"/>
        <w:gridCol w:w="973"/>
        <w:gridCol w:w="1011"/>
        <w:gridCol w:w="973"/>
        <w:gridCol w:w="973"/>
        <w:gridCol w:w="973"/>
        <w:gridCol w:w="1030"/>
      </w:tblGrid>
      <w:tr w:rsidR="00365CEA" w:rsidRPr="004D05E9" w14:paraId="52FE8A59" w14:textId="2EEA30DC" w:rsidTr="00365CEA">
        <w:trPr>
          <w:cantSplit/>
          <w:trHeight w:val="224"/>
          <w:tblHeader/>
        </w:trPr>
        <w:tc>
          <w:tcPr>
            <w:tcW w:w="2633" w:type="dxa"/>
            <w:hideMark/>
          </w:tcPr>
          <w:p w14:paraId="323F60C2"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Indicator 6</w:t>
            </w:r>
          </w:p>
        </w:tc>
        <w:tc>
          <w:tcPr>
            <w:tcW w:w="967" w:type="dxa"/>
            <w:hideMark/>
          </w:tcPr>
          <w:p w14:paraId="446FD203"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2013</w:t>
            </w:r>
          </w:p>
        </w:tc>
        <w:tc>
          <w:tcPr>
            <w:tcW w:w="984" w:type="dxa"/>
            <w:hideMark/>
          </w:tcPr>
          <w:p w14:paraId="10D892C6"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2014</w:t>
            </w:r>
          </w:p>
        </w:tc>
        <w:tc>
          <w:tcPr>
            <w:tcW w:w="1028" w:type="dxa"/>
            <w:hideMark/>
          </w:tcPr>
          <w:p w14:paraId="5F837145"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2015</w:t>
            </w:r>
          </w:p>
        </w:tc>
        <w:tc>
          <w:tcPr>
            <w:tcW w:w="984" w:type="dxa"/>
            <w:hideMark/>
          </w:tcPr>
          <w:p w14:paraId="509D5EE0"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2016</w:t>
            </w:r>
          </w:p>
        </w:tc>
        <w:tc>
          <w:tcPr>
            <w:tcW w:w="984" w:type="dxa"/>
            <w:hideMark/>
          </w:tcPr>
          <w:p w14:paraId="404D860D"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2017</w:t>
            </w:r>
          </w:p>
        </w:tc>
        <w:tc>
          <w:tcPr>
            <w:tcW w:w="984" w:type="dxa"/>
            <w:hideMark/>
          </w:tcPr>
          <w:p w14:paraId="791C6FEB"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2018</w:t>
            </w:r>
          </w:p>
        </w:tc>
        <w:tc>
          <w:tcPr>
            <w:tcW w:w="786" w:type="dxa"/>
          </w:tcPr>
          <w:p w14:paraId="69612942" w14:textId="593198BA"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2019</w:t>
            </w:r>
          </w:p>
        </w:tc>
      </w:tr>
      <w:tr w:rsidR="00365CEA" w:rsidRPr="004D05E9" w14:paraId="1610417C" w14:textId="4F78B1CD" w:rsidTr="00365CEA">
        <w:trPr>
          <w:cantSplit/>
          <w:trHeight w:val="350"/>
        </w:trPr>
        <w:tc>
          <w:tcPr>
            <w:tcW w:w="2633" w:type="dxa"/>
            <w:hideMark/>
          </w:tcPr>
          <w:p w14:paraId="0A0E5B77"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6A Target – Preschool Regular Setting</w:t>
            </w:r>
          </w:p>
        </w:tc>
        <w:tc>
          <w:tcPr>
            <w:tcW w:w="967" w:type="dxa"/>
            <w:hideMark/>
          </w:tcPr>
          <w:p w14:paraId="63D7A39E"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32.9%</w:t>
            </w:r>
          </w:p>
        </w:tc>
        <w:tc>
          <w:tcPr>
            <w:tcW w:w="984" w:type="dxa"/>
            <w:hideMark/>
          </w:tcPr>
          <w:p w14:paraId="62ACD7DC"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32.9%</w:t>
            </w:r>
          </w:p>
        </w:tc>
        <w:tc>
          <w:tcPr>
            <w:tcW w:w="1028" w:type="dxa"/>
            <w:hideMark/>
          </w:tcPr>
          <w:p w14:paraId="1BE20F9B"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32.9%</w:t>
            </w:r>
          </w:p>
        </w:tc>
        <w:tc>
          <w:tcPr>
            <w:tcW w:w="984" w:type="dxa"/>
            <w:hideMark/>
          </w:tcPr>
          <w:p w14:paraId="4A7D6A60"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33.9%</w:t>
            </w:r>
          </w:p>
        </w:tc>
        <w:tc>
          <w:tcPr>
            <w:tcW w:w="984" w:type="dxa"/>
            <w:hideMark/>
          </w:tcPr>
          <w:p w14:paraId="4866C023"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34.9%</w:t>
            </w:r>
          </w:p>
        </w:tc>
        <w:tc>
          <w:tcPr>
            <w:tcW w:w="984" w:type="dxa"/>
            <w:hideMark/>
          </w:tcPr>
          <w:p w14:paraId="28E5E1B2"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35.9%</w:t>
            </w:r>
          </w:p>
        </w:tc>
        <w:tc>
          <w:tcPr>
            <w:tcW w:w="786" w:type="dxa"/>
          </w:tcPr>
          <w:p w14:paraId="6449E3BB" w14:textId="7A80A4E9"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36.9%</w:t>
            </w:r>
          </w:p>
        </w:tc>
      </w:tr>
      <w:tr w:rsidR="00365CEA" w:rsidRPr="004D05E9" w14:paraId="12E7AB62" w14:textId="01B26A1C" w:rsidTr="00365CEA">
        <w:trPr>
          <w:cantSplit/>
          <w:trHeight w:val="350"/>
        </w:trPr>
        <w:tc>
          <w:tcPr>
            <w:tcW w:w="2633" w:type="dxa"/>
            <w:hideMark/>
          </w:tcPr>
          <w:p w14:paraId="08ACE108"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Result</w:t>
            </w:r>
          </w:p>
        </w:tc>
        <w:tc>
          <w:tcPr>
            <w:tcW w:w="967" w:type="dxa"/>
            <w:hideMark/>
          </w:tcPr>
          <w:p w14:paraId="6B419F1C"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32.9%</w:t>
            </w:r>
          </w:p>
        </w:tc>
        <w:tc>
          <w:tcPr>
            <w:tcW w:w="984" w:type="dxa"/>
            <w:hideMark/>
          </w:tcPr>
          <w:p w14:paraId="4F81DFA5"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32.9%</w:t>
            </w:r>
          </w:p>
        </w:tc>
        <w:tc>
          <w:tcPr>
            <w:tcW w:w="1028" w:type="dxa"/>
            <w:shd w:val="clear" w:color="auto" w:fill="auto"/>
            <w:hideMark/>
          </w:tcPr>
          <w:p w14:paraId="446D9B20"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44.1%</w:t>
            </w:r>
          </w:p>
        </w:tc>
        <w:tc>
          <w:tcPr>
            <w:tcW w:w="984" w:type="dxa"/>
            <w:shd w:val="clear" w:color="auto" w:fill="auto"/>
            <w:hideMark/>
          </w:tcPr>
          <w:p w14:paraId="3BE500D4"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45.1%</w:t>
            </w:r>
          </w:p>
        </w:tc>
        <w:tc>
          <w:tcPr>
            <w:tcW w:w="984" w:type="dxa"/>
            <w:hideMark/>
          </w:tcPr>
          <w:p w14:paraId="5B5D9590"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37.3%</w:t>
            </w:r>
          </w:p>
        </w:tc>
        <w:tc>
          <w:tcPr>
            <w:tcW w:w="984" w:type="dxa"/>
            <w:hideMark/>
          </w:tcPr>
          <w:p w14:paraId="303F9945"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36.5%</w:t>
            </w:r>
          </w:p>
        </w:tc>
        <w:tc>
          <w:tcPr>
            <w:tcW w:w="786" w:type="dxa"/>
          </w:tcPr>
          <w:p w14:paraId="349D5A3D" w14:textId="45C55850" w:rsidR="00365CEA" w:rsidRPr="004D05E9" w:rsidRDefault="00463712" w:rsidP="00FD74B6">
            <w:pPr>
              <w:widowControl w:val="0"/>
              <w:overflowPunct w:val="0"/>
              <w:autoSpaceDE w:val="0"/>
              <w:autoSpaceDN w:val="0"/>
              <w:adjustRightInd w:val="0"/>
              <w:jc w:val="center"/>
              <w:rPr>
                <w:rFonts w:cs="Arial"/>
                <w:bCs/>
              </w:rPr>
            </w:pPr>
            <w:r w:rsidRPr="004D05E9">
              <w:rPr>
                <w:rFonts w:cs="Arial"/>
                <w:bCs/>
              </w:rPr>
              <w:t>34.4</w:t>
            </w:r>
            <w:r w:rsidR="00D851C9" w:rsidRPr="004D05E9">
              <w:rPr>
                <w:rFonts w:cs="Arial"/>
                <w:bCs/>
              </w:rPr>
              <w:t>5</w:t>
            </w:r>
            <w:r w:rsidR="00365CEA" w:rsidRPr="004D05E9">
              <w:rPr>
                <w:rFonts w:cs="Arial"/>
                <w:bCs/>
              </w:rPr>
              <w:t>%</w:t>
            </w:r>
          </w:p>
        </w:tc>
      </w:tr>
      <w:tr w:rsidR="00365CEA" w:rsidRPr="004D05E9" w14:paraId="233DE5A4" w14:textId="139B9422" w:rsidTr="00365CEA">
        <w:trPr>
          <w:cantSplit/>
          <w:trHeight w:val="368"/>
        </w:trPr>
        <w:tc>
          <w:tcPr>
            <w:tcW w:w="2633" w:type="dxa"/>
            <w:hideMark/>
          </w:tcPr>
          <w:p w14:paraId="5CA694BC"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Target Met</w:t>
            </w:r>
          </w:p>
        </w:tc>
        <w:tc>
          <w:tcPr>
            <w:tcW w:w="967" w:type="dxa"/>
            <w:hideMark/>
          </w:tcPr>
          <w:p w14:paraId="7DA4CABB" w14:textId="77777777" w:rsidR="00365CEA" w:rsidRPr="004D05E9" w:rsidRDefault="00365CEA" w:rsidP="00FD74B6">
            <w:pPr>
              <w:jc w:val="center"/>
              <w:rPr>
                <w:rFonts w:ascii="Calibri" w:hAnsi="Calibri"/>
                <w:sz w:val="22"/>
                <w:szCs w:val="22"/>
              </w:rPr>
            </w:pPr>
            <w:r w:rsidRPr="004D05E9">
              <w:rPr>
                <w:rFonts w:cs="Arial"/>
                <w:bCs/>
              </w:rPr>
              <w:t>Yes</w:t>
            </w:r>
          </w:p>
        </w:tc>
        <w:tc>
          <w:tcPr>
            <w:tcW w:w="984" w:type="dxa"/>
            <w:hideMark/>
          </w:tcPr>
          <w:p w14:paraId="3602715A"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1028" w:type="dxa"/>
            <w:hideMark/>
          </w:tcPr>
          <w:p w14:paraId="16C368A2"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4" w:type="dxa"/>
            <w:hideMark/>
          </w:tcPr>
          <w:p w14:paraId="6191C7A5"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4" w:type="dxa"/>
            <w:hideMark/>
          </w:tcPr>
          <w:p w14:paraId="30A4F902"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4" w:type="dxa"/>
            <w:hideMark/>
          </w:tcPr>
          <w:p w14:paraId="43F18310"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786" w:type="dxa"/>
          </w:tcPr>
          <w:p w14:paraId="528E88C9" w14:textId="12FA42E9"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No</w:t>
            </w:r>
          </w:p>
        </w:tc>
      </w:tr>
      <w:tr w:rsidR="00365CEA" w:rsidRPr="004D05E9" w14:paraId="03E80B4E" w14:textId="412255D8" w:rsidTr="00365CEA">
        <w:trPr>
          <w:cantSplit/>
          <w:trHeight w:val="278"/>
        </w:trPr>
        <w:tc>
          <w:tcPr>
            <w:tcW w:w="2633" w:type="dxa"/>
            <w:hideMark/>
          </w:tcPr>
          <w:p w14:paraId="189F7C7A" w14:textId="77777777" w:rsidR="00365CEA" w:rsidRPr="004D05E9" w:rsidRDefault="00365CEA" w:rsidP="000E0698">
            <w:pPr>
              <w:widowControl w:val="0"/>
              <w:overflowPunct w:val="0"/>
              <w:autoSpaceDE w:val="0"/>
              <w:autoSpaceDN w:val="0"/>
              <w:adjustRightInd w:val="0"/>
              <w:rPr>
                <w:rFonts w:cs="Arial"/>
                <w:bCs/>
              </w:rPr>
            </w:pPr>
            <w:r w:rsidRPr="004D05E9">
              <w:rPr>
                <w:rFonts w:cs="Arial"/>
                <w:bCs/>
              </w:rPr>
              <w:t xml:space="preserve">6B Target – Preschool Separate </w:t>
            </w:r>
          </w:p>
          <w:p w14:paraId="39771B21" w14:textId="77777777" w:rsidR="00365CEA" w:rsidRPr="004D05E9" w:rsidRDefault="00365CEA" w:rsidP="000E0698">
            <w:pPr>
              <w:widowControl w:val="0"/>
              <w:overflowPunct w:val="0"/>
              <w:autoSpaceDE w:val="0"/>
              <w:autoSpaceDN w:val="0"/>
              <w:adjustRightInd w:val="0"/>
              <w:rPr>
                <w:rFonts w:cs="Arial"/>
                <w:bCs/>
              </w:rPr>
            </w:pPr>
            <w:r w:rsidRPr="004D05E9">
              <w:rPr>
                <w:rFonts w:cs="Arial"/>
                <w:bCs/>
              </w:rPr>
              <w:t xml:space="preserve">Class, School, or Facility </w:t>
            </w:r>
          </w:p>
        </w:tc>
        <w:tc>
          <w:tcPr>
            <w:tcW w:w="967" w:type="dxa"/>
            <w:hideMark/>
          </w:tcPr>
          <w:p w14:paraId="29588D6B"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34.4%</w:t>
            </w:r>
          </w:p>
        </w:tc>
        <w:tc>
          <w:tcPr>
            <w:tcW w:w="984" w:type="dxa"/>
            <w:hideMark/>
          </w:tcPr>
          <w:p w14:paraId="4535FFD6"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34.4%</w:t>
            </w:r>
          </w:p>
        </w:tc>
        <w:tc>
          <w:tcPr>
            <w:tcW w:w="1028" w:type="dxa"/>
            <w:hideMark/>
          </w:tcPr>
          <w:p w14:paraId="43A496E6"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34.4%</w:t>
            </w:r>
          </w:p>
        </w:tc>
        <w:tc>
          <w:tcPr>
            <w:tcW w:w="984" w:type="dxa"/>
            <w:hideMark/>
          </w:tcPr>
          <w:p w14:paraId="1C3DCD73"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33.4%</w:t>
            </w:r>
          </w:p>
        </w:tc>
        <w:tc>
          <w:tcPr>
            <w:tcW w:w="984" w:type="dxa"/>
            <w:hideMark/>
          </w:tcPr>
          <w:p w14:paraId="09FF6ABB"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32.4%</w:t>
            </w:r>
          </w:p>
        </w:tc>
        <w:tc>
          <w:tcPr>
            <w:tcW w:w="984" w:type="dxa"/>
            <w:hideMark/>
          </w:tcPr>
          <w:p w14:paraId="26AE3305"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31.4%</w:t>
            </w:r>
          </w:p>
        </w:tc>
        <w:tc>
          <w:tcPr>
            <w:tcW w:w="786" w:type="dxa"/>
          </w:tcPr>
          <w:p w14:paraId="5D441C9A" w14:textId="13D7EE95"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30.4%</w:t>
            </w:r>
          </w:p>
        </w:tc>
      </w:tr>
      <w:tr w:rsidR="00365CEA" w:rsidRPr="004D05E9" w14:paraId="3FD7A397" w14:textId="190A37AF" w:rsidTr="00365CEA">
        <w:trPr>
          <w:cantSplit/>
        </w:trPr>
        <w:tc>
          <w:tcPr>
            <w:tcW w:w="2633" w:type="dxa"/>
            <w:hideMark/>
          </w:tcPr>
          <w:p w14:paraId="7806638F"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Result</w:t>
            </w:r>
          </w:p>
        </w:tc>
        <w:tc>
          <w:tcPr>
            <w:tcW w:w="967" w:type="dxa"/>
            <w:hideMark/>
          </w:tcPr>
          <w:p w14:paraId="282655F1"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34.4%</w:t>
            </w:r>
          </w:p>
        </w:tc>
        <w:tc>
          <w:tcPr>
            <w:tcW w:w="984" w:type="dxa"/>
            <w:hideMark/>
          </w:tcPr>
          <w:p w14:paraId="61BBD517"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34.4%</w:t>
            </w:r>
          </w:p>
        </w:tc>
        <w:tc>
          <w:tcPr>
            <w:tcW w:w="1028" w:type="dxa"/>
            <w:hideMark/>
          </w:tcPr>
          <w:p w14:paraId="7DEACBB0"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31.4%</w:t>
            </w:r>
          </w:p>
        </w:tc>
        <w:tc>
          <w:tcPr>
            <w:tcW w:w="984" w:type="dxa"/>
            <w:hideMark/>
          </w:tcPr>
          <w:p w14:paraId="33951434"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29.8%</w:t>
            </w:r>
          </w:p>
        </w:tc>
        <w:tc>
          <w:tcPr>
            <w:tcW w:w="984" w:type="dxa"/>
            <w:hideMark/>
          </w:tcPr>
          <w:p w14:paraId="7934CCB4" w14:textId="77777777" w:rsidR="00365CEA" w:rsidRPr="004D05E9" w:rsidRDefault="00365CEA" w:rsidP="004663F8">
            <w:pPr>
              <w:widowControl w:val="0"/>
              <w:overflowPunct w:val="0"/>
              <w:autoSpaceDE w:val="0"/>
              <w:autoSpaceDN w:val="0"/>
              <w:adjustRightInd w:val="0"/>
              <w:jc w:val="center"/>
              <w:rPr>
                <w:rFonts w:cs="Arial"/>
                <w:bCs/>
              </w:rPr>
            </w:pPr>
            <w:r w:rsidRPr="004D05E9">
              <w:rPr>
                <w:rFonts w:cs="Arial"/>
                <w:bCs/>
              </w:rPr>
              <w:t>33.8%</w:t>
            </w:r>
          </w:p>
        </w:tc>
        <w:tc>
          <w:tcPr>
            <w:tcW w:w="984" w:type="dxa"/>
            <w:hideMark/>
          </w:tcPr>
          <w:p w14:paraId="799E0FF8"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33.8%</w:t>
            </w:r>
          </w:p>
        </w:tc>
        <w:tc>
          <w:tcPr>
            <w:tcW w:w="786" w:type="dxa"/>
          </w:tcPr>
          <w:p w14:paraId="3806F217" w14:textId="67714847" w:rsidR="00365CEA" w:rsidRPr="004D05E9" w:rsidRDefault="00D851C9" w:rsidP="00FD74B6">
            <w:pPr>
              <w:widowControl w:val="0"/>
              <w:overflowPunct w:val="0"/>
              <w:autoSpaceDE w:val="0"/>
              <w:autoSpaceDN w:val="0"/>
              <w:adjustRightInd w:val="0"/>
              <w:jc w:val="center"/>
              <w:rPr>
                <w:rFonts w:cs="Arial"/>
                <w:bCs/>
              </w:rPr>
            </w:pPr>
            <w:r w:rsidRPr="004D05E9">
              <w:rPr>
                <w:rFonts w:cs="Arial"/>
                <w:bCs/>
              </w:rPr>
              <w:t>35.76</w:t>
            </w:r>
            <w:r w:rsidR="00365CEA" w:rsidRPr="004D05E9">
              <w:rPr>
                <w:rFonts w:cs="Arial"/>
                <w:bCs/>
              </w:rPr>
              <w:t>%</w:t>
            </w:r>
          </w:p>
        </w:tc>
      </w:tr>
      <w:tr w:rsidR="00365CEA" w:rsidRPr="004D05E9" w14:paraId="2E53E52A" w14:textId="7D823B10" w:rsidTr="00365CEA">
        <w:trPr>
          <w:cantSplit/>
        </w:trPr>
        <w:tc>
          <w:tcPr>
            <w:tcW w:w="2633" w:type="dxa"/>
            <w:hideMark/>
          </w:tcPr>
          <w:p w14:paraId="4EABB37E" w14:textId="77777777" w:rsidR="00365CEA" w:rsidRPr="004D05E9" w:rsidRDefault="00365CEA" w:rsidP="00FD74B6">
            <w:pPr>
              <w:widowControl w:val="0"/>
              <w:overflowPunct w:val="0"/>
              <w:autoSpaceDE w:val="0"/>
              <w:autoSpaceDN w:val="0"/>
              <w:adjustRightInd w:val="0"/>
              <w:rPr>
                <w:rFonts w:cs="Arial"/>
                <w:bCs/>
              </w:rPr>
            </w:pPr>
            <w:r w:rsidRPr="004D05E9">
              <w:rPr>
                <w:rFonts w:cs="Arial"/>
                <w:bCs/>
              </w:rPr>
              <w:t>Target Met</w:t>
            </w:r>
          </w:p>
        </w:tc>
        <w:tc>
          <w:tcPr>
            <w:tcW w:w="967" w:type="dxa"/>
            <w:hideMark/>
          </w:tcPr>
          <w:p w14:paraId="2C11C83C" w14:textId="77777777" w:rsidR="00365CEA" w:rsidRPr="004D05E9" w:rsidRDefault="00365CEA" w:rsidP="00FD74B6">
            <w:pPr>
              <w:jc w:val="center"/>
              <w:rPr>
                <w:rFonts w:ascii="Calibri" w:hAnsi="Calibri"/>
                <w:sz w:val="22"/>
                <w:szCs w:val="22"/>
              </w:rPr>
            </w:pPr>
            <w:r w:rsidRPr="004D05E9">
              <w:rPr>
                <w:rFonts w:cs="Arial"/>
                <w:bCs/>
              </w:rPr>
              <w:t>Yes</w:t>
            </w:r>
          </w:p>
        </w:tc>
        <w:tc>
          <w:tcPr>
            <w:tcW w:w="984" w:type="dxa"/>
            <w:hideMark/>
          </w:tcPr>
          <w:p w14:paraId="413B6902"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1028" w:type="dxa"/>
            <w:hideMark/>
          </w:tcPr>
          <w:p w14:paraId="1F3848F2"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4" w:type="dxa"/>
            <w:hideMark/>
          </w:tcPr>
          <w:p w14:paraId="4D532FE0"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Yes</w:t>
            </w:r>
          </w:p>
        </w:tc>
        <w:tc>
          <w:tcPr>
            <w:tcW w:w="984" w:type="dxa"/>
            <w:hideMark/>
          </w:tcPr>
          <w:p w14:paraId="0B60748D"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No</w:t>
            </w:r>
          </w:p>
        </w:tc>
        <w:tc>
          <w:tcPr>
            <w:tcW w:w="984" w:type="dxa"/>
            <w:hideMark/>
          </w:tcPr>
          <w:p w14:paraId="0E640657" w14:textId="77777777"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No</w:t>
            </w:r>
          </w:p>
        </w:tc>
        <w:tc>
          <w:tcPr>
            <w:tcW w:w="786" w:type="dxa"/>
          </w:tcPr>
          <w:p w14:paraId="0820C56F" w14:textId="42FAA793" w:rsidR="00365CEA" w:rsidRPr="004D05E9" w:rsidRDefault="00365CEA" w:rsidP="00FD74B6">
            <w:pPr>
              <w:widowControl w:val="0"/>
              <w:overflowPunct w:val="0"/>
              <w:autoSpaceDE w:val="0"/>
              <w:autoSpaceDN w:val="0"/>
              <w:adjustRightInd w:val="0"/>
              <w:jc w:val="center"/>
              <w:rPr>
                <w:rFonts w:cs="Arial"/>
                <w:bCs/>
              </w:rPr>
            </w:pPr>
            <w:r w:rsidRPr="004D05E9">
              <w:rPr>
                <w:rFonts w:cs="Arial"/>
                <w:bCs/>
              </w:rPr>
              <w:t>No</w:t>
            </w:r>
          </w:p>
        </w:tc>
      </w:tr>
    </w:tbl>
    <w:p w14:paraId="638B4084" w14:textId="77777777" w:rsidR="00FD74B6" w:rsidRPr="004D05E9" w:rsidRDefault="00FD74B6" w:rsidP="00E4217A">
      <w:pPr>
        <w:pStyle w:val="Heading2"/>
        <w:spacing w:before="9240" w:after="240"/>
        <w:jc w:val="center"/>
      </w:pPr>
      <w:bookmarkStart w:id="102" w:name="_Toc57199040"/>
      <w:r w:rsidRPr="004D05E9">
        <w:rPr>
          <w:bCs/>
        </w:rPr>
        <w:lastRenderedPageBreak/>
        <w:t xml:space="preserve">Indicator 7A: </w:t>
      </w:r>
      <w:r w:rsidRPr="004D05E9">
        <w:t>Preschool Assessment–Positive Social-Emotional Skills</w:t>
      </w:r>
      <w:bookmarkEnd w:id="102"/>
    </w:p>
    <w:p w14:paraId="7036F3FF" w14:textId="77777777" w:rsidR="00FD74B6" w:rsidRPr="004D05E9" w:rsidRDefault="00FD74B6" w:rsidP="00E4217A">
      <w:pPr>
        <w:pStyle w:val="Heading3"/>
        <w:spacing w:before="0" w:after="240"/>
      </w:pPr>
      <w:bookmarkStart w:id="103" w:name="_Toc57199041"/>
      <w:r w:rsidRPr="004D05E9">
        <w:t>Description</w:t>
      </w:r>
      <w:bookmarkEnd w:id="103"/>
    </w:p>
    <w:p w14:paraId="073B7AFF" w14:textId="77777777" w:rsidR="00FD74B6" w:rsidRPr="004D05E9" w:rsidRDefault="00FD74B6" w:rsidP="00E4217A">
      <w:pPr>
        <w:spacing w:after="240"/>
        <w:rPr>
          <w:rFonts w:cs="Arial"/>
        </w:rPr>
      </w:pPr>
      <w:r w:rsidRPr="004D05E9">
        <w:rPr>
          <w:rFonts w:cs="Arial"/>
        </w:rPr>
        <w:t>Indicator 7A is a performance indicator that measures the percent of children with disabilities who demonstrate improvement in Positive Social-Emotional Skills, including social relationships.</w:t>
      </w:r>
    </w:p>
    <w:p w14:paraId="0FEA37C5" w14:textId="4AB98517" w:rsidR="00FD74B6" w:rsidRPr="004D05E9" w:rsidRDefault="00FD74B6" w:rsidP="00E4217A">
      <w:pPr>
        <w:pStyle w:val="Heading3"/>
        <w:spacing w:before="0" w:after="240"/>
      </w:pPr>
      <w:bookmarkStart w:id="104" w:name="_Toc57199042"/>
      <w:r w:rsidRPr="004D05E9">
        <w:t>Targets for 201</w:t>
      </w:r>
      <w:r w:rsidR="00365CEA" w:rsidRPr="004D05E9">
        <w:t>9</w:t>
      </w:r>
      <w:r w:rsidRPr="004D05E9">
        <w:t>–</w:t>
      </w:r>
      <w:r w:rsidR="00365CEA" w:rsidRPr="004D05E9">
        <w:t>20</w:t>
      </w:r>
      <w:bookmarkEnd w:id="104"/>
    </w:p>
    <w:p w14:paraId="276A3DB6" w14:textId="398CBF84" w:rsidR="00FD74B6" w:rsidRPr="004D05E9" w:rsidRDefault="00FD74B6" w:rsidP="00FD74B6">
      <w:pPr>
        <w:numPr>
          <w:ilvl w:val="0"/>
          <w:numId w:val="14"/>
        </w:numPr>
        <w:spacing w:after="240"/>
        <w:rPr>
          <w:rFonts w:cs="Arial"/>
        </w:rPr>
      </w:pPr>
      <w:r w:rsidRPr="004D05E9">
        <w:rPr>
          <w:rFonts w:cs="Arial"/>
        </w:rPr>
        <w:t>Of those children with disabilities who entered the program with below age expectations, 8</w:t>
      </w:r>
      <w:r w:rsidR="00365CEA" w:rsidRPr="004D05E9">
        <w:rPr>
          <w:rFonts w:cs="Arial"/>
        </w:rPr>
        <w:t>5</w:t>
      </w:r>
      <w:r w:rsidRPr="004D05E9">
        <w:rPr>
          <w:rFonts w:cs="Arial"/>
        </w:rPr>
        <w:t>.2 percent will substantially increase their rate of growth by the time they turn six years of age or exit the program.</w:t>
      </w:r>
    </w:p>
    <w:p w14:paraId="31CE2AFC" w14:textId="66513E59" w:rsidR="00FD74B6" w:rsidRPr="004D05E9" w:rsidRDefault="00FD74B6" w:rsidP="00E4217A">
      <w:pPr>
        <w:numPr>
          <w:ilvl w:val="0"/>
          <w:numId w:val="14"/>
        </w:numPr>
        <w:spacing w:after="240"/>
        <w:rPr>
          <w:rFonts w:cs="Arial"/>
        </w:rPr>
      </w:pPr>
      <w:r w:rsidRPr="004D05E9">
        <w:rPr>
          <w:rFonts w:cs="Arial"/>
        </w:rPr>
        <w:t xml:space="preserve">Of those children with disabilities who were functioning within age expectations, </w:t>
      </w:r>
      <w:r w:rsidR="004D0347" w:rsidRPr="004D05E9">
        <w:rPr>
          <w:rFonts w:cs="Arial"/>
        </w:rPr>
        <w:t>8</w:t>
      </w:r>
      <w:r w:rsidR="00365CEA" w:rsidRPr="004D05E9">
        <w:rPr>
          <w:rFonts w:cs="Arial"/>
        </w:rPr>
        <w:t>1</w:t>
      </w:r>
      <w:r w:rsidRPr="004D05E9">
        <w:rPr>
          <w:rFonts w:cs="Arial"/>
        </w:rPr>
        <w:t>.5 percent will function within age expectations by the time they turn six years of age or exit the program.</w:t>
      </w:r>
    </w:p>
    <w:p w14:paraId="4D53E468" w14:textId="77777777" w:rsidR="00FD74B6" w:rsidRPr="004D05E9" w:rsidRDefault="00FD74B6" w:rsidP="00E4217A">
      <w:pPr>
        <w:pStyle w:val="Heading3"/>
        <w:spacing w:before="0" w:after="240"/>
      </w:pPr>
      <w:bookmarkStart w:id="105" w:name="_Toc57199043"/>
      <w:r w:rsidRPr="004D05E9">
        <w:t>Measurement</w:t>
      </w:r>
      <w:bookmarkEnd w:id="105"/>
    </w:p>
    <w:p w14:paraId="266E41F9" w14:textId="77777777" w:rsidR="00FD74B6" w:rsidRPr="004D05E9" w:rsidRDefault="00FD74B6" w:rsidP="00E4217A">
      <w:pPr>
        <w:spacing w:after="240"/>
        <w:rPr>
          <w:rFonts w:cs="Arial"/>
        </w:rPr>
      </w:pPr>
      <w:r w:rsidRPr="004D05E9">
        <w:rPr>
          <w:rFonts w:cs="Arial"/>
        </w:rPr>
        <w:t>Positive social-emotional skills, including social relationships:</w:t>
      </w:r>
    </w:p>
    <w:p w14:paraId="6EE5BF47" w14:textId="77777777" w:rsidR="00FD74B6" w:rsidRPr="004D05E9" w:rsidRDefault="00FD74B6" w:rsidP="00FD74B6">
      <w:pPr>
        <w:numPr>
          <w:ilvl w:val="0"/>
          <w:numId w:val="15"/>
        </w:numPr>
        <w:spacing w:after="240"/>
        <w:rPr>
          <w:rFonts w:cs="Arial"/>
        </w:rPr>
      </w:pPr>
      <w:r w:rsidRPr="004D05E9">
        <w:rPr>
          <w:rFonts w:cs="Arial"/>
        </w:rPr>
        <w:t>Number of preschool children who did not improve functioning divided by the number of preschool children with IEPs assessed, multiplied by 100.</w:t>
      </w:r>
    </w:p>
    <w:p w14:paraId="7EE7EE1E" w14:textId="77777777" w:rsidR="00FD74B6" w:rsidRPr="004D05E9" w:rsidRDefault="00FD74B6" w:rsidP="00FD74B6">
      <w:pPr>
        <w:numPr>
          <w:ilvl w:val="0"/>
          <w:numId w:val="15"/>
        </w:numPr>
        <w:overflowPunct w:val="0"/>
        <w:autoSpaceDE w:val="0"/>
        <w:autoSpaceDN w:val="0"/>
        <w:adjustRightInd w:val="0"/>
        <w:spacing w:after="240"/>
        <w:rPr>
          <w:rFonts w:cs="Arial"/>
          <w:kern w:val="28"/>
        </w:rPr>
      </w:pPr>
      <w:r w:rsidRPr="004D05E9">
        <w:rPr>
          <w:rFonts w:cs="Arial"/>
          <w:kern w:val="28"/>
        </w:rPr>
        <w:t>Number of preschool children who improved functioning but not sufficient to move nearer to functioning comparable to same-aged peers divided by the number of preschool children with IEPs assessed</w:t>
      </w:r>
      <w:r w:rsidRPr="004D05E9">
        <w:rPr>
          <w:rFonts w:cs="Arial"/>
          <w:color w:val="000000"/>
          <w:kern w:val="28"/>
        </w:rPr>
        <w:t xml:space="preserve">, multiplied by </w:t>
      </w:r>
      <w:r w:rsidRPr="004D05E9">
        <w:rPr>
          <w:rFonts w:cs="Arial"/>
          <w:kern w:val="28"/>
        </w:rPr>
        <w:t>100.</w:t>
      </w:r>
    </w:p>
    <w:p w14:paraId="22A6E152" w14:textId="77777777" w:rsidR="00FD74B6" w:rsidRPr="004D05E9" w:rsidRDefault="00FD74B6" w:rsidP="00FD74B6">
      <w:pPr>
        <w:numPr>
          <w:ilvl w:val="0"/>
          <w:numId w:val="15"/>
        </w:numPr>
        <w:overflowPunct w:val="0"/>
        <w:autoSpaceDE w:val="0"/>
        <w:autoSpaceDN w:val="0"/>
        <w:adjustRightInd w:val="0"/>
        <w:spacing w:after="240"/>
        <w:rPr>
          <w:rFonts w:cs="Arial"/>
          <w:kern w:val="28"/>
        </w:rPr>
      </w:pPr>
      <w:r w:rsidRPr="004D05E9">
        <w:rPr>
          <w:rFonts w:cs="Arial"/>
          <w:kern w:val="28"/>
        </w:rPr>
        <w:t>Number of preschool children who improved functioning to a level nearer to same-aged peers but did not reach it divided by the number of preschool children with IEPs assessed</w:t>
      </w:r>
      <w:r w:rsidRPr="004D05E9">
        <w:rPr>
          <w:rFonts w:cs="Arial"/>
          <w:color w:val="000000"/>
          <w:kern w:val="28"/>
        </w:rPr>
        <w:t xml:space="preserve">, multiplied by </w:t>
      </w:r>
      <w:r w:rsidRPr="004D05E9">
        <w:rPr>
          <w:rFonts w:cs="Arial"/>
          <w:kern w:val="28"/>
        </w:rPr>
        <w:t>100.</w:t>
      </w:r>
    </w:p>
    <w:p w14:paraId="771EDA55" w14:textId="77777777" w:rsidR="00FD74B6" w:rsidRPr="004D05E9" w:rsidRDefault="00FD74B6" w:rsidP="00FD74B6">
      <w:pPr>
        <w:numPr>
          <w:ilvl w:val="0"/>
          <w:numId w:val="15"/>
        </w:numPr>
        <w:overflowPunct w:val="0"/>
        <w:autoSpaceDE w:val="0"/>
        <w:autoSpaceDN w:val="0"/>
        <w:adjustRightInd w:val="0"/>
        <w:spacing w:after="240"/>
        <w:rPr>
          <w:rFonts w:cs="Arial"/>
          <w:kern w:val="28"/>
        </w:rPr>
      </w:pPr>
      <w:r w:rsidRPr="004D05E9">
        <w:rPr>
          <w:rFonts w:cs="Arial"/>
          <w:kern w:val="28"/>
        </w:rPr>
        <w:t>Number of preschool children who improved functioning to reach a level comparable to same-aged peers divided by the number of preschool children with IEPs assessed</w:t>
      </w:r>
      <w:r w:rsidRPr="004D05E9">
        <w:rPr>
          <w:rFonts w:cs="Arial"/>
          <w:color w:val="000000"/>
          <w:kern w:val="28"/>
        </w:rPr>
        <w:t xml:space="preserve">, multiplied by </w:t>
      </w:r>
      <w:r w:rsidRPr="004D05E9">
        <w:rPr>
          <w:rFonts w:cs="Arial"/>
          <w:kern w:val="28"/>
        </w:rPr>
        <w:t>100.</w:t>
      </w:r>
    </w:p>
    <w:p w14:paraId="75AADD05" w14:textId="77777777" w:rsidR="00FD74B6" w:rsidRPr="004D05E9" w:rsidRDefault="00FD74B6" w:rsidP="00E4217A">
      <w:pPr>
        <w:numPr>
          <w:ilvl w:val="0"/>
          <w:numId w:val="15"/>
        </w:numPr>
        <w:overflowPunct w:val="0"/>
        <w:autoSpaceDE w:val="0"/>
        <w:autoSpaceDN w:val="0"/>
        <w:adjustRightInd w:val="0"/>
        <w:spacing w:after="240"/>
        <w:rPr>
          <w:rFonts w:cs="Arial"/>
          <w:color w:val="000000"/>
          <w:kern w:val="28"/>
        </w:rPr>
      </w:pPr>
      <w:r w:rsidRPr="004D05E9">
        <w:rPr>
          <w:rFonts w:cs="Arial"/>
          <w:kern w:val="28"/>
        </w:rPr>
        <w:t>Number of preschool children who maintained functioning at a level comparable to same-aged peers divided by the number of preschool children with IEPs assessed</w:t>
      </w:r>
      <w:r w:rsidRPr="004D05E9">
        <w:rPr>
          <w:rFonts w:cs="Arial"/>
          <w:color w:val="000000"/>
          <w:kern w:val="28"/>
        </w:rPr>
        <w:t xml:space="preserve">, multiplied by </w:t>
      </w:r>
      <w:r w:rsidRPr="004D05E9">
        <w:rPr>
          <w:rFonts w:cs="Arial"/>
          <w:kern w:val="28"/>
        </w:rPr>
        <w:t>100.</w:t>
      </w:r>
    </w:p>
    <w:p w14:paraId="36EE099E" w14:textId="03E0F483" w:rsidR="00FD74B6" w:rsidRPr="004D05E9" w:rsidRDefault="00FD74B6" w:rsidP="00E4217A">
      <w:pPr>
        <w:pStyle w:val="Heading3"/>
        <w:spacing w:before="0" w:after="240"/>
      </w:pPr>
      <w:bookmarkStart w:id="106" w:name="_Toc57199044"/>
      <w:r w:rsidRPr="004D05E9">
        <w:t>Results for 201</w:t>
      </w:r>
      <w:r w:rsidR="00365CEA" w:rsidRPr="004D05E9">
        <w:t>9</w:t>
      </w:r>
      <w:r w:rsidRPr="004D05E9">
        <w:t>–</w:t>
      </w:r>
      <w:r w:rsidR="00365CEA" w:rsidRPr="004D05E9">
        <w:t>20</w:t>
      </w:r>
      <w:bookmarkEnd w:id="106"/>
    </w:p>
    <w:p w14:paraId="64F3D587" w14:textId="2C03BDAF" w:rsidR="00FD74B6" w:rsidRPr="004D05E9" w:rsidRDefault="00FD74B6" w:rsidP="00E4217A">
      <w:pPr>
        <w:spacing w:after="240"/>
        <w:rPr>
          <w:rFonts w:cs="Arial"/>
        </w:rPr>
      </w:pPr>
      <w:r w:rsidRPr="004D05E9">
        <w:rPr>
          <w:rFonts w:cs="Arial"/>
        </w:rPr>
        <w:t>For FFY 201</w:t>
      </w:r>
      <w:r w:rsidR="00365CEA" w:rsidRPr="004D05E9">
        <w:rPr>
          <w:rFonts w:cs="Arial"/>
        </w:rPr>
        <w:t>9</w:t>
      </w:r>
      <w:r w:rsidRPr="004D05E9">
        <w:rPr>
          <w:rFonts w:cs="Arial"/>
        </w:rPr>
        <w:t xml:space="preserve">, </w:t>
      </w:r>
      <w:r w:rsidR="006C3AEA" w:rsidRPr="004D05E9">
        <w:rPr>
          <w:rFonts w:cs="Arial"/>
        </w:rPr>
        <w:t>79.5</w:t>
      </w:r>
      <w:r w:rsidR="00DC31E3" w:rsidRPr="004D05E9">
        <w:rPr>
          <w:rFonts w:cs="Arial"/>
        </w:rPr>
        <w:t xml:space="preserve"> </w:t>
      </w:r>
      <w:r w:rsidRPr="004D05E9">
        <w:rPr>
          <w:rFonts w:cs="Arial"/>
        </w:rPr>
        <w:t xml:space="preserve">percent of students substantially increased their rate of growth by the time they turned six years of age or exited the program, and </w:t>
      </w:r>
      <w:r w:rsidR="006C3AEA" w:rsidRPr="004D05E9">
        <w:rPr>
          <w:rFonts w:cs="Arial"/>
        </w:rPr>
        <w:t xml:space="preserve">76.8 </w:t>
      </w:r>
      <w:r w:rsidRPr="004D05E9">
        <w:rPr>
          <w:rFonts w:cs="Arial"/>
        </w:rPr>
        <w:t xml:space="preserve">percent of </w:t>
      </w:r>
      <w:r w:rsidRPr="004D05E9">
        <w:rPr>
          <w:rFonts w:cs="Arial"/>
        </w:rPr>
        <w:lastRenderedPageBreak/>
        <w:t>students were functioning within age expectations by the time they t</w:t>
      </w:r>
      <w:r w:rsidR="00902D7E" w:rsidRPr="004D05E9">
        <w:rPr>
          <w:rFonts w:cs="Arial"/>
        </w:rPr>
        <w:t>urned six years of age or exit</w:t>
      </w:r>
      <w:r w:rsidRPr="004D05E9">
        <w:rPr>
          <w:rFonts w:cs="Arial"/>
        </w:rPr>
        <w:t xml:space="preserve"> the program.</w:t>
      </w:r>
    </w:p>
    <w:p w14:paraId="795381CB" w14:textId="15CB8DFE" w:rsidR="00FD74B6" w:rsidRPr="004D05E9" w:rsidRDefault="00FD74B6" w:rsidP="00E4217A">
      <w:pPr>
        <w:pStyle w:val="Heading3"/>
        <w:spacing w:before="0" w:after="240"/>
        <w:rPr>
          <w:rFonts w:cs="Arial"/>
        </w:rPr>
      </w:pPr>
      <w:bookmarkStart w:id="107" w:name="_Toc57199045"/>
      <w:r w:rsidRPr="004D05E9">
        <w:t xml:space="preserve">Target Met: </w:t>
      </w:r>
      <w:r w:rsidR="006C3AEA" w:rsidRPr="004D05E9">
        <w:t>No</w:t>
      </w:r>
      <w:bookmarkEnd w:id="107"/>
    </w:p>
    <w:p w14:paraId="11BDBA03" w14:textId="7306671C" w:rsidR="00FD74B6" w:rsidRPr="004D05E9" w:rsidRDefault="00FD74B6" w:rsidP="004D7261">
      <w:pPr>
        <w:widowControl w:val="0"/>
        <w:overflowPunct w:val="0"/>
        <w:autoSpaceDE w:val="0"/>
        <w:autoSpaceDN w:val="0"/>
        <w:adjustRightInd w:val="0"/>
        <w:rPr>
          <w:rFonts w:cs="Arial"/>
        </w:rPr>
      </w:pPr>
      <w:r w:rsidRPr="004D05E9">
        <w:rPr>
          <w:rFonts w:cs="Arial"/>
          <w:b/>
        </w:rPr>
        <w:t xml:space="preserve">Preschool Outcomes–Positive Social-Emotional Skills </w:t>
      </w:r>
      <w:r w:rsidRPr="004D05E9">
        <w:rPr>
          <w:rFonts w:cs="Arial"/>
          <w:b/>
          <w:bCs/>
        </w:rPr>
        <w:t>Targets and Results for FFY</w:t>
      </w:r>
      <w:r w:rsidR="00A730A7" w:rsidRPr="004D05E9">
        <w:rPr>
          <w:rFonts w:cs="Arial"/>
          <w:b/>
          <w:bCs/>
        </w:rPr>
        <w:t>s</w:t>
      </w:r>
      <w:r w:rsidRPr="004D05E9">
        <w:rPr>
          <w:rFonts w:cs="Arial"/>
          <w:b/>
          <w:bCs/>
        </w:rPr>
        <w:t xml:space="preserve"> 2013–1</w:t>
      </w:r>
      <w:r w:rsidR="003A0211" w:rsidRPr="004D05E9">
        <w:rPr>
          <w:rFonts w:cs="Arial"/>
          <w:b/>
          <w:bCs/>
        </w:rPr>
        <w:t>9</w:t>
      </w:r>
    </w:p>
    <w:tbl>
      <w:tblPr>
        <w:tblStyle w:val="TableGrid5"/>
        <w:tblW w:w="10255" w:type="dxa"/>
        <w:tblLook w:val="04A0" w:firstRow="1" w:lastRow="0" w:firstColumn="1" w:lastColumn="0" w:noHBand="0" w:noVBand="1"/>
        <w:tblDescription w:val="Indicator 7A Targets and Results"/>
      </w:tblPr>
      <w:tblGrid>
        <w:gridCol w:w="1435"/>
        <w:gridCol w:w="1170"/>
        <w:gridCol w:w="1350"/>
        <w:gridCol w:w="1350"/>
        <w:gridCol w:w="1350"/>
        <w:gridCol w:w="1170"/>
        <w:gridCol w:w="1260"/>
        <w:gridCol w:w="1170"/>
      </w:tblGrid>
      <w:tr w:rsidR="00365CEA" w:rsidRPr="004D05E9" w14:paraId="5981A882" w14:textId="3542B12F" w:rsidTr="00365CEA">
        <w:trPr>
          <w:cantSplit/>
          <w:tblHeader/>
        </w:trPr>
        <w:tc>
          <w:tcPr>
            <w:tcW w:w="1435" w:type="dxa"/>
            <w:hideMark/>
          </w:tcPr>
          <w:p w14:paraId="3695C920"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Indicator 7A</w:t>
            </w:r>
          </w:p>
        </w:tc>
        <w:tc>
          <w:tcPr>
            <w:tcW w:w="1170" w:type="dxa"/>
            <w:hideMark/>
          </w:tcPr>
          <w:p w14:paraId="2B51A7C5"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2013</w:t>
            </w:r>
          </w:p>
        </w:tc>
        <w:tc>
          <w:tcPr>
            <w:tcW w:w="1350" w:type="dxa"/>
            <w:hideMark/>
          </w:tcPr>
          <w:p w14:paraId="769DED8E"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2014</w:t>
            </w:r>
          </w:p>
        </w:tc>
        <w:tc>
          <w:tcPr>
            <w:tcW w:w="1350" w:type="dxa"/>
            <w:hideMark/>
          </w:tcPr>
          <w:p w14:paraId="23AF5B3F"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2015</w:t>
            </w:r>
          </w:p>
        </w:tc>
        <w:tc>
          <w:tcPr>
            <w:tcW w:w="1350" w:type="dxa"/>
            <w:hideMark/>
          </w:tcPr>
          <w:p w14:paraId="194C40B4"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2016*</w:t>
            </w:r>
          </w:p>
        </w:tc>
        <w:tc>
          <w:tcPr>
            <w:tcW w:w="1170" w:type="dxa"/>
            <w:hideMark/>
          </w:tcPr>
          <w:p w14:paraId="1D5AF170"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2017</w:t>
            </w:r>
          </w:p>
        </w:tc>
        <w:tc>
          <w:tcPr>
            <w:tcW w:w="1260" w:type="dxa"/>
            <w:hideMark/>
          </w:tcPr>
          <w:p w14:paraId="44ED2A6E" w14:textId="77777777"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2018</w:t>
            </w:r>
          </w:p>
        </w:tc>
        <w:tc>
          <w:tcPr>
            <w:tcW w:w="1170" w:type="dxa"/>
          </w:tcPr>
          <w:p w14:paraId="5A942121" w14:textId="6156C378" w:rsidR="00365CEA" w:rsidRPr="004D05E9" w:rsidRDefault="00365CEA" w:rsidP="00FD74B6">
            <w:pPr>
              <w:widowControl w:val="0"/>
              <w:overflowPunct w:val="0"/>
              <w:autoSpaceDE w:val="0"/>
              <w:autoSpaceDN w:val="0"/>
              <w:adjustRightInd w:val="0"/>
              <w:jc w:val="center"/>
              <w:rPr>
                <w:rFonts w:cs="Arial"/>
                <w:b/>
                <w:bCs/>
              </w:rPr>
            </w:pPr>
            <w:r w:rsidRPr="004D05E9">
              <w:rPr>
                <w:rFonts w:cs="Arial"/>
                <w:b/>
                <w:bCs/>
              </w:rPr>
              <w:t>201</w:t>
            </w:r>
            <w:r w:rsidR="003A0211" w:rsidRPr="004D05E9">
              <w:rPr>
                <w:rFonts w:cs="Arial"/>
                <w:b/>
                <w:bCs/>
              </w:rPr>
              <w:t>9</w:t>
            </w:r>
          </w:p>
        </w:tc>
      </w:tr>
      <w:tr w:rsidR="00365CEA" w:rsidRPr="004D05E9" w14:paraId="79213319" w14:textId="7FC7CCA5" w:rsidTr="00365CEA">
        <w:trPr>
          <w:cantSplit/>
          <w:trHeight w:val="800"/>
        </w:trPr>
        <w:tc>
          <w:tcPr>
            <w:tcW w:w="1435" w:type="dxa"/>
            <w:hideMark/>
          </w:tcPr>
          <w:p w14:paraId="5E2A684E"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Target</w:t>
            </w:r>
          </w:p>
        </w:tc>
        <w:tc>
          <w:tcPr>
            <w:tcW w:w="1170" w:type="dxa"/>
            <w:hideMark/>
          </w:tcPr>
          <w:p w14:paraId="1BF05374"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kern w:val="28"/>
              </w:rPr>
              <w:t>72.7%/</w:t>
            </w:r>
          </w:p>
          <w:p w14:paraId="6DBE37D2"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kern w:val="28"/>
              </w:rPr>
              <w:t>82.1%</w:t>
            </w:r>
          </w:p>
        </w:tc>
        <w:tc>
          <w:tcPr>
            <w:tcW w:w="1350" w:type="dxa"/>
            <w:hideMark/>
          </w:tcPr>
          <w:p w14:paraId="35705359"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kern w:val="28"/>
              </w:rPr>
              <w:t>72.7%/ 82.1%</w:t>
            </w:r>
          </w:p>
        </w:tc>
        <w:tc>
          <w:tcPr>
            <w:tcW w:w="1350" w:type="dxa"/>
            <w:hideMark/>
          </w:tcPr>
          <w:p w14:paraId="313A5214"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kern w:val="28"/>
              </w:rPr>
              <w:t>67.6%/</w:t>
            </w:r>
            <w:r w:rsidRPr="004D05E9">
              <w:rPr>
                <w:rFonts w:cs="Arial"/>
                <w:kern w:val="28"/>
              </w:rPr>
              <w:br/>
              <w:t>72.5%</w:t>
            </w:r>
          </w:p>
        </w:tc>
        <w:tc>
          <w:tcPr>
            <w:tcW w:w="1350" w:type="dxa"/>
            <w:hideMark/>
          </w:tcPr>
          <w:p w14:paraId="256B8D74"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bCs/>
                <w:kern w:val="28"/>
              </w:rPr>
              <w:t>82.2%/ 78.5%</w:t>
            </w:r>
          </w:p>
        </w:tc>
        <w:tc>
          <w:tcPr>
            <w:tcW w:w="1170" w:type="dxa"/>
            <w:hideMark/>
          </w:tcPr>
          <w:p w14:paraId="2A1E59DB" w14:textId="77777777" w:rsidR="00365CEA" w:rsidRPr="004D05E9" w:rsidRDefault="00365CEA" w:rsidP="00365CEA">
            <w:pPr>
              <w:widowControl w:val="0"/>
              <w:overflowPunct w:val="0"/>
              <w:autoSpaceDE w:val="0"/>
              <w:autoSpaceDN w:val="0"/>
              <w:adjustRightInd w:val="0"/>
              <w:jc w:val="center"/>
              <w:rPr>
                <w:rFonts w:cs="Arial"/>
                <w:bCs/>
                <w:kern w:val="28"/>
              </w:rPr>
            </w:pPr>
            <w:r w:rsidRPr="004D05E9">
              <w:rPr>
                <w:rFonts w:cs="Arial"/>
                <w:bCs/>
                <w:kern w:val="28"/>
              </w:rPr>
              <w:t>83.2%/</w:t>
            </w:r>
          </w:p>
          <w:p w14:paraId="696A01AB"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bCs/>
                <w:kern w:val="28"/>
              </w:rPr>
              <w:t xml:space="preserve"> 79.5%</w:t>
            </w:r>
          </w:p>
        </w:tc>
        <w:tc>
          <w:tcPr>
            <w:tcW w:w="1260" w:type="dxa"/>
            <w:hideMark/>
          </w:tcPr>
          <w:p w14:paraId="22CEF888"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bCs/>
                <w:kern w:val="28"/>
              </w:rPr>
              <w:t>84.2%/ 80.5%</w:t>
            </w:r>
          </w:p>
        </w:tc>
        <w:tc>
          <w:tcPr>
            <w:tcW w:w="1170" w:type="dxa"/>
          </w:tcPr>
          <w:p w14:paraId="2F02D818" w14:textId="0C22E560" w:rsidR="00365CEA" w:rsidRPr="004D05E9" w:rsidRDefault="00365CEA" w:rsidP="00365CEA">
            <w:pPr>
              <w:widowControl w:val="0"/>
              <w:overflowPunct w:val="0"/>
              <w:autoSpaceDE w:val="0"/>
              <w:autoSpaceDN w:val="0"/>
              <w:adjustRightInd w:val="0"/>
              <w:jc w:val="center"/>
              <w:rPr>
                <w:rFonts w:cs="Arial"/>
                <w:bCs/>
                <w:kern w:val="28"/>
              </w:rPr>
            </w:pPr>
            <w:r w:rsidRPr="004D05E9">
              <w:rPr>
                <w:rFonts w:cs="Arial"/>
                <w:bCs/>
                <w:kern w:val="28"/>
              </w:rPr>
              <w:t>85.2%/ 81.5%</w:t>
            </w:r>
          </w:p>
        </w:tc>
      </w:tr>
      <w:tr w:rsidR="00365CEA" w:rsidRPr="004D05E9" w14:paraId="0B0BFAFE" w14:textId="1B28D7D4" w:rsidTr="00365CEA">
        <w:trPr>
          <w:cantSplit/>
          <w:trHeight w:val="710"/>
        </w:trPr>
        <w:tc>
          <w:tcPr>
            <w:tcW w:w="1435" w:type="dxa"/>
            <w:hideMark/>
          </w:tcPr>
          <w:p w14:paraId="09B2410B"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Result</w:t>
            </w:r>
          </w:p>
        </w:tc>
        <w:tc>
          <w:tcPr>
            <w:tcW w:w="1170" w:type="dxa"/>
            <w:hideMark/>
          </w:tcPr>
          <w:p w14:paraId="1675F952"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kern w:val="28"/>
              </w:rPr>
              <w:t>59.4%/</w:t>
            </w:r>
            <w:r w:rsidRPr="004D05E9">
              <w:rPr>
                <w:rFonts w:cs="Arial"/>
                <w:kern w:val="28"/>
              </w:rPr>
              <w:br/>
              <w:t>60.8%</w:t>
            </w:r>
          </w:p>
        </w:tc>
        <w:tc>
          <w:tcPr>
            <w:tcW w:w="1350" w:type="dxa"/>
            <w:hideMark/>
          </w:tcPr>
          <w:p w14:paraId="46EA8CB7"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kern w:val="28"/>
              </w:rPr>
              <w:t>60.9%/</w:t>
            </w:r>
            <w:r w:rsidRPr="004D05E9">
              <w:rPr>
                <w:rFonts w:cs="Arial"/>
                <w:kern w:val="28"/>
              </w:rPr>
              <w:br/>
              <w:t>60.3%</w:t>
            </w:r>
          </w:p>
        </w:tc>
        <w:tc>
          <w:tcPr>
            <w:tcW w:w="1350" w:type="dxa"/>
            <w:hideMark/>
          </w:tcPr>
          <w:p w14:paraId="2F251EB9"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kern w:val="28"/>
              </w:rPr>
              <w:t>67.6%/</w:t>
            </w:r>
            <w:r w:rsidRPr="004D05E9">
              <w:rPr>
                <w:rFonts w:cs="Arial"/>
                <w:kern w:val="28"/>
              </w:rPr>
              <w:br/>
              <w:t>72.5%</w:t>
            </w:r>
          </w:p>
        </w:tc>
        <w:tc>
          <w:tcPr>
            <w:tcW w:w="1350" w:type="dxa"/>
            <w:hideMark/>
          </w:tcPr>
          <w:p w14:paraId="3E187BAB"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bCs/>
                <w:kern w:val="28"/>
              </w:rPr>
              <w:t>82.2%/ 78.5%</w:t>
            </w:r>
          </w:p>
        </w:tc>
        <w:tc>
          <w:tcPr>
            <w:tcW w:w="1170" w:type="dxa"/>
            <w:hideMark/>
          </w:tcPr>
          <w:p w14:paraId="4C4D2E81" w14:textId="77777777" w:rsidR="00365CEA" w:rsidRPr="004D05E9" w:rsidRDefault="00365CEA" w:rsidP="00365CEA">
            <w:pPr>
              <w:widowControl w:val="0"/>
              <w:overflowPunct w:val="0"/>
              <w:autoSpaceDE w:val="0"/>
              <w:autoSpaceDN w:val="0"/>
              <w:adjustRightInd w:val="0"/>
              <w:jc w:val="center"/>
              <w:rPr>
                <w:rFonts w:cs="Arial"/>
                <w:bCs/>
                <w:kern w:val="28"/>
              </w:rPr>
            </w:pPr>
            <w:r w:rsidRPr="004D05E9">
              <w:rPr>
                <w:rFonts w:cs="Arial"/>
                <w:bCs/>
                <w:kern w:val="28"/>
              </w:rPr>
              <w:t>76.7%/</w:t>
            </w:r>
          </w:p>
          <w:p w14:paraId="47FDED78"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bCs/>
                <w:kern w:val="28"/>
              </w:rPr>
              <w:t>77.6%</w:t>
            </w:r>
          </w:p>
        </w:tc>
        <w:tc>
          <w:tcPr>
            <w:tcW w:w="1260" w:type="dxa"/>
            <w:hideMark/>
          </w:tcPr>
          <w:p w14:paraId="738BEFEE" w14:textId="77777777" w:rsidR="00365CEA" w:rsidRPr="004D05E9" w:rsidRDefault="00365CEA" w:rsidP="00365CEA">
            <w:pPr>
              <w:widowControl w:val="0"/>
              <w:overflowPunct w:val="0"/>
              <w:autoSpaceDE w:val="0"/>
              <w:autoSpaceDN w:val="0"/>
              <w:adjustRightInd w:val="0"/>
              <w:jc w:val="center"/>
              <w:rPr>
                <w:rFonts w:cs="Arial"/>
                <w:bCs/>
                <w:kern w:val="28"/>
              </w:rPr>
            </w:pPr>
            <w:r w:rsidRPr="004D05E9">
              <w:rPr>
                <w:rFonts w:cs="Arial"/>
                <w:bCs/>
                <w:kern w:val="28"/>
              </w:rPr>
              <w:t>76.0%/</w:t>
            </w:r>
          </w:p>
          <w:p w14:paraId="5A806769"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bCs/>
                <w:kern w:val="28"/>
              </w:rPr>
              <w:t>76.7%</w:t>
            </w:r>
          </w:p>
        </w:tc>
        <w:tc>
          <w:tcPr>
            <w:tcW w:w="1170" w:type="dxa"/>
          </w:tcPr>
          <w:p w14:paraId="2BF27DB9" w14:textId="77777777" w:rsidR="006C3AEA" w:rsidRPr="004D05E9" w:rsidRDefault="006C3AEA" w:rsidP="00365CEA">
            <w:pPr>
              <w:widowControl w:val="0"/>
              <w:overflowPunct w:val="0"/>
              <w:autoSpaceDE w:val="0"/>
              <w:autoSpaceDN w:val="0"/>
              <w:adjustRightInd w:val="0"/>
              <w:jc w:val="center"/>
              <w:rPr>
                <w:rFonts w:cs="Arial"/>
                <w:szCs w:val="20"/>
              </w:rPr>
            </w:pPr>
            <w:r w:rsidRPr="004D05E9">
              <w:rPr>
                <w:rFonts w:cs="Arial"/>
                <w:szCs w:val="20"/>
              </w:rPr>
              <w:t>79.5%/</w:t>
            </w:r>
          </w:p>
          <w:p w14:paraId="08ECA1F5" w14:textId="5BB0E29D" w:rsidR="00365CEA" w:rsidRPr="004D05E9" w:rsidRDefault="006C3AEA" w:rsidP="00365CEA">
            <w:pPr>
              <w:widowControl w:val="0"/>
              <w:overflowPunct w:val="0"/>
              <w:autoSpaceDE w:val="0"/>
              <w:autoSpaceDN w:val="0"/>
              <w:adjustRightInd w:val="0"/>
              <w:jc w:val="center"/>
              <w:rPr>
                <w:rFonts w:cs="Arial"/>
                <w:bCs/>
                <w:kern w:val="28"/>
              </w:rPr>
            </w:pPr>
            <w:r w:rsidRPr="004D05E9">
              <w:rPr>
                <w:rFonts w:cs="Arial"/>
                <w:szCs w:val="20"/>
              </w:rPr>
              <w:t>76.8%</w:t>
            </w:r>
          </w:p>
        </w:tc>
      </w:tr>
      <w:tr w:rsidR="00365CEA" w:rsidRPr="004D05E9" w14:paraId="400312F4" w14:textId="790DE17B" w:rsidTr="00365CEA">
        <w:trPr>
          <w:cantSplit/>
        </w:trPr>
        <w:tc>
          <w:tcPr>
            <w:tcW w:w="1435" w:type="dxa"/>
            <w:hideMark/>
          </w:tcPr>
          <w:p w14:paraId="65A89F90" w14:textId="77777777" w:rsidR="00365CEA" w:rsidRPr="004D05E9" w:rsidRDefault="00365CEA" w:rsidP="00365CEA">
            <w:pPr>
              <w:widowControl w:val="0"/>
              <w:overflowPunct w:val="0"/>
              <w:autoSpaceDE w:val="0"/>
              <w:autoSpaceDN w:val="0"/>
              <w:adjustRightInd w:val="0"/>
              <w:jc w:val="center"/>
              <w:rPr>
                <w:rFonts w:cs="Arial"/>
                <w:bCs/>
              </w:rPr>
            </w:pPr>
            <w:r w:rsidRPr="004D05E9">
              <w:rPr>
                <w:rFonts w:cs="Arial"/>
                <w:bCs/>
              </w:rPr>
              <w:t>Target Met</w:t>
            </w:r>
          </w:p>
        </w:tc>
        <w:tc>
          <w:tcPr>
            <w:tcW w:w="1170" w:type="dxa"/>
            <w:hideMark/>
          </w:tcPr>
          <w:p w14:paraId="10FE477C"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kern w:val="28"/>
              </w:rPr>
              <w:t>Yes</w:t>
            </w:r>
          </w:p>
        </w:tc>
        <w:tc>
          <w:tcPr>
            <w:tcW w:w="1350" w:type="dxa"/>
            <w:hideMark/>
          </w:tcPr>
          <w:p w14:paraId="0609104E"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kern w:val="28"/>
              </w:rPr>
              <w:t>No</w:t>
            </w:r>
          </w:p>
        </w:tc>
        <w:tc>
          <w:tcPr>
            <w:tcW w:w="1350" w:type="dxa"/>
            <w:hideMark/>
          </w:tcPr>
          <w:p w14:paraId="24C332EA"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kern w:val="28"/>
              </w:rPr>
              <w:t>Yes</w:t>
            </w:r>
          </w:p>
        </w:tc>
        <w:tc>
          <w:tcPr>
            <w:tcW w:w="1350" w:type="dxa"/>
            <w:hideMark/>
          </w:tcPr>
          <w:p w14:paraId="6F8505C9"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bCs/>
                <w:kern w:val="28"/>
              </w:rPr>
              <w:t>Yes</w:t>
            </w:r>
          </w:p>
        </w:tc>
        <w:tc>
          <w:tcPr>
            <w:tcW w:w="1170" w:type="dxa"/>
            <w:hideMark/>
          </w:tcPr>
          <w:p w14:paraId="5D3BD47F"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bCs/>
                <w:kern w:val="28"/>
              </w:rPr>
              <w:t>No</w:t>
            </w:r>
          </w:p>
        </w:tc>
        <w:tc>
          <w:tcPr>
            <w:tcW w:w="1260" w:type="dxa"/>
            <w:hideMark/>
          </w:tcPr>
          <w:p w14:paraId="5B53FC4E" w14:textId="77777777" w:rsidR="00365CEA" w:rsidRPr="004D05E9" w:rsidRDefault="00365CEA" w:rsidP="00365CEA">
            <w:pPr>
              <w:widowControl w:val="0"/>
              <w:overflowPunct w:val="0"/>
              <w:autoSpaceDE w:val="0"/>
              <w:autoSpaceDN w:val="0"/>
              <w:adjustRightInd w:val="0"/>
              <w:jc w:val="center"/>
              <w:rPr>
                <w:rFonts w:cs="Arial"/>
                <w:kern w:val="28"/>
              </w:rPr>
            </w:pPr>
            <w:r w:rsidRPr="004D05E9">
              <w:rPr>
                <w:rFonts w:cs="Arial"/>
                <w:bCs/>
                <w:kern w:val="28"/>
              </w:rPr>
              <w:t>No</w:t>
            </w:r>
          </w:p>
        </w:tc>
        <w:tc>
          <w:tcPr>
            <w:tcW w:w="1170" w:type="dxa"/>
          </w:tcPr>
          <w:p w14:paraId="249035B4" w14:textId="589AB798" w:rsidR="00365CEA" w:rsidRPr="004D05E9" w:rsidRDefault="006C3AEA" w:rsidP="00365CEA">
            <w:pPr>
              <w:widowControl w:val="0"/>
              <w:overflowPunct w:val="0"/>
              <w:autoSpaceDE w:val="0"/>
              <w:autoSpaceDN w:val="0"/>
              <w:adjustRightInd w:val="0"/>
              <w:jc w:val="center"/>
              <w:rPr>
                <w:rFonts w:cs="Arial"/>
                <w:bCs/>
                <w:kern w:val="28"/>
              </w:rPr>
            </w:pPr>
            <w:r w:rsidRPr="004D05E9">
              <w:rPr>
                <w:rFonts w:cs="Arial"/>
                <w:bCs/>
                <w:kern w:val="28"/>
              </w:rPr>
              <w:t>No</w:t>
            </w:r>
          </w:p>
        </w:tc>
      </w:tr>
    </w:tbl>
    <w:p w14:paraId="50FAF394" w14:textId="77777777" w:rsidR="00FD74B6" w:rsidRPr="004D05E9" w:rsidRDefault="00FD74B6" w:rsidP="00D33AA1">
      <w:pPr>
        <w:spacing w:before="120"/>
        <w:rPr>
          <w:rFonts w:cs="Arial"/>
          <w:bCs/>
        </w:rPr>
      </w:pPr>
      <w:r w:rsidRPr="004D05E9">
        <w:rPr>
          <w:rFonts w:cs="Arial"/>
          <w:bCs/>
        </w:rPr>
        <w:t>*Targets were changed this year</w:t>
      </w:r>
    </w:p>
    <w:p w14:paraId="465F65E8" w14:textId="77777777" w:rsidR="00866377" w:rsidRPr="004D05E9" w:rsidRDefault="00866377" w:rsidP="00D33AA1">
      <w:pPr>
        <w:spacing w:before="6120"/>
      </w:pPr>
      <w:r w:rsidRPr="004D05E9">
        <w:br w:type="page"/>
      </w:r>
    </w:p>
    <w:p w14:paraId="54D559C2" w14:textId="77777777" w:rsidR="00FD74B6" w:rsidRPr="004D05E9" w:rsidRDefault="00FD74B6" w:rsidP="00E4217A">
      <w:pPr>
        <w:pStyle w:val="Heading2"/>
        <w:spacing w:before="1080" w:after="240"/>
        <w:jc w:val="center"/>
      </w:pPr>
      <w:bookmarkStart w:id="108" w:name="_Toc57199046"/>
      <w:r w:rsidRPr="004D05E9">
        <w:rPr>
          <w:bCs/>
        </w:rPr>
        <w:lastRenderedPageBreak/>
        <w:t xml:space="preserve">Indicator 7B: </w:t>
      </w:r>
      <w:r w:rsidRPr="004D05E9">
        <w:t>Preschool Assessment–Acquisition</w:t>
      </w:r>
      <w:r w:rsidR="00A211F6" w:rsidRPr="004D05E9">
        <w:t xml:space="preserve"> and </w:t>
      </w:r>
      <w:r w:rsidRPr="004D05E9">
        <w:t>Use of Knowledge and Skills</w:t>
      </w:r>
      <w:bookmarkEnd w:id="108"/>
    </w:p>
    <w:p w14:paraId="17E15792" w14:textId="77777777" w:rsidR="00FD74B6" w:rsidRPr="004D05E9" w:rsidRDefault="00FD74B6" w:rsidP="00E4217A">
      <w:pPr>
        <w:pStyle w:val="Heading3"/>
        <w:spacing w:before="0" w:after="240"/>
      </w:pPr>
      <w:bookmarkStart w:id="109" w:name="_Toc57199047"/>
      <w:r w:rsidRPr="004D05E9">
        <w:t>Description</w:t>
      </w:r>
      <w:bookmarkEnd w:id="109"/>
    </w:p>
    <w:p w14:paraId="3AE94BB0" w14:textId="77777777" w:rsidR="00FD74B6" w:rsidRPr="004D05E9" w:rsidRDefault="00FD74B6" w:rsidP="00E4217A">
      <w:pPr>
        <w:spacing w:after="240"/>
        <w:rPr>
          <w:rFonts w:cs="Arial"/>
        </w:rPr>
      </w:pPr>
      <w:r w:rsidRPr="004D05E9">
        <w:rPr>
          <w:rFonts w:cs="Arial"/>
        </w:rPr>
        <w:t xml:space="preserve">Indicator 7B is a performance indicator that measures the percent of children with disabilities who demonstrate improvement in </w:t>
      </w:r>
      <w:r w:rsidR="00A730A7" w:rsidRPr="004D05E9">
        <w:rPr>
          <w:rFonts w:cs="Arial"/>
        </w:rPr>
        <w:t>a</w:t>
      </w:r>
      <w:r w:rsidRPr="004D05E9">
        <w:rPr>
          <w:rFonts w:cs="Arial"/>
        </w:rPr>
        <w:t xml:space="preserve">cquisition and </w:t>
      </w:r>
      <w:r w:rsidR="00A730A7" w:rsidRPr="004D05E9">
        <w:rPr>
          <w:rFonts w:cs="Arial"/>
        </w:rPr>
        <w:t>u</w:t>
      </w:r>
      <w:r w:rsidRPr="004D05E9">
        <w:rPr>
          <w:rFonts w:cs="Arial"/>
        </w:rPr>
        <w:t xml:space="preserve">se of </w:t>
      </w:r>
      <w:r w:rsidR="00A730A7" w:rsidRPr="004D05E9">
        <w:rPr>
          <w:rFonts w:cs="Arial"/>
        </w:rPr>
        <w:t>k</w:t>
      </w:r>
      <w:r w:rsidRPr="004D05E9">
        <w:rPr>
          <w:rFonts w:cs="Arial"/>
        </w:rPr>
        <w:t xml:space="preserve">nowledge and </w:t>
      </w:r>
      <w:r w:rsidR="00A730A7" w:rsidRPr="004D05E9">
        <w:rPr>
          <w:rFonts w:cs="Arial"/>
        </w:rPr>
        <w:t>s</w:t>
      </w:r>
      <w:r w:rsidRPr="004D05E9">
        <w:rPr>
          <w:rFonts w:cs="Arial"/>
        </w:rPr>
        <w:t>kills, including early language/communication and early literacy.</w:t>
      </w:r>
    </w:p>
    <w:p w14:paraId="23097C00" w14:textId="6A18A6B5" w:rsidR="00FD74B6" w:rsidRPr="004D05E9" w:rsidRDefault="00FD74B6" w:rsidP="00E4217A">
      <w:pPr>
        <w:pStyle w:val="Heading3"/>
        <w:spacing w:before="0" w:after="240"/>
      </w:pPr>
      <w:bookmarkStart w:id="110" w:name="_Toc57199048"/>
      <w:r w:rsidRPr="004D05E9">
        <w:t>Targets for 201</w:t>
      </w:r>
      <w:r w:rsidR="003A0211" w:rsidRPr="004D05E9">
        <w:t>9</w:t>
      </w:r>
      <w:r w:rsidRPr="004D05E9">
        <w:t>–</w:t>
      </w:r>
      <w:r w:rsidR="003A0211" w:rsidRPr="004D05E9">
        <w:t>20</w:t>
      </w:r>
      <w:bookmarkEnd w:id="110"/>
    </w:p>
    <w:p w14:paraId="3DE6D667" w14:textId="3CB9A1E5" w:rsidR="00FD74B6" w:rsidRPr="004D05E9" w:rsidRDefault="00FD74B6" w:rsidP="00FD74B6">
      <w:pPr>
        <w:numPr>
          <w:ilvl w:val="0"/>
          <w:numId w:val="16"/>
        </w:numPr>
        <w:spacing w:after="240"/>
        <w:ind w:left="720"/>
        <w:rPr>
          <w:rFonts w:cs="Arial"/>
        </w:rPr>
      </w:pPr>
      <w:r w:rsidRPr="004D05E9">
        <w:rPr>
          <w:rFonts w:cs="Arial"/>
        </w:rPr>
        <w:t xml:space="preserve">Of those children with disabilities who entered the program with below age expectations, </w:t>
      </w:r>
      <w:r w:rsidR="00E12A33" w:rsidRPr="004D05E9">
        <w:rPr>
          <w:rFonts w:cs="Arial"/>
        </w:rPr>
        <w:t>8</w:t>
      </w:r>
      <w:r w:rsidR="002C5EE1" w:rsidRPr="004D05E9">
        <w:rPr>
          <w:rFonts w:cs="Arial"/>
        </w:rPr>
        <w:t>2</w:t>
      </w:r>
      <w:r w:rsidRPr="004D05E9">
        <w:rPr>
          <w:rFonts w:cs="Arial"/>
        </w:rPr>
        <w:t>.7 percent will substantially increase their rate of growth by the time they turn six years of age or exit the program.</w:t>
      </w:r>
    </w:p>
    <w:p w14:paraId="5BBC156B" w14:textId="178A6DE6" w:rsidR="00FD74B6" w:rsidRPr="004D05E9" w:rsidRDefault="00FD74B6" w:rsidP="00E4217A">
      <w:pPr>
        <w:numPr>
          <w:ilvl w:val="0"/>
          <w:numId w:val="16"/>
        </w:numPr>
        <w:spacing w:after="240"/>
        <w:ind w:left="720"/>
        <w:rPr>
          <w:rFonts w:cs="Arial"/>
        </w:rPr>
      </w:pPr>
      <w:r w:rsidRPr="004D05E9">
        <w:rPr>
          <w:rFonts w:cs="Arial"/>
        </w:rPr>
        <w:t xml:space="preserve">Of children with disabilities who were functioning within age expectations, </w:t>
      </w:r>
      <w:r w:rsidR="002C5EE1" w:rsidRPr="004D05E9">
        <w:rPr>
          <w:rFonts w:cs="Arial"/>
        </w:rPr>
        <w:t>80</w:t>
      </w:r>
      <w:r w:rsidRPr="004D05E9">
        <w:rPr>
          <w:rFonts w:cs="Arial"/>
        </w:rPr>
        <w:t>.57 percent will function within age expectations by the time they turn six years of age or exit the program.</w:t>
      </w:r>
    </w:p>
    <w:p w14:paraId="598E8834" w14:textId="77777777" w:rsidR="00FD74B6" w:rsidRPr="004D05E9" w:rsidRDefault="00FD74B6" w:rsidP="00E4217A">
      <w:pPr>
        <w:pStyle w:val="Heading3"/>
        <w:spacing w:before="0" w:after="240"/>
      </w:pPr>
      <w:bookmarkStart w:id="111" w:name="_Toc57199049"/>
      <w:r w:rsidRPr="004D05E9">
        <w:t>Measurement</w:t>
      </w:r>
      <w:bookmarkEnd w:id="111"/>
    </w:p>
    <w:p w14:paraId="4C0C2707" w14:textId="77777777" w:rsidR="00FD74B6" w:rsidRPr="004D05E9" w:rsidRDefault="00FD74B6" w:rsidP="00FD74B6">
      <w:pPr>
        <w:spacing w:after="240"/>
        <w:rPr>
          <w:rFonts w:cs="Arial"/>
        </w:rPr>
      </w:pPr>
      <w:r w:rsidRPr="004D05E9">
        <w:rPr>
          <w:rFonts w:cs="Arial"/>
        </w:rPr>
        <w:t>Acquisition and use of knowledge and skills, including early language/communication and early literacy is measured by the:</w:t>
      </w:r>
    </w:p>
    <w:p w14:paraId="09422637" w14:textId="77777777" w:rsidR="00FD74B6" w:rsidRPr="004D05E9" w:rsidRDefault="00FD74B6" w:rsidP="00FD74B6">
      <w:pPr>
        <w:numPr>
          <w:ilvl w:val="0"/>
          <w:numId w:val="17"/>
        </w:numPr>
        <w:overflowPunct w:val="0"/>
        <w:autoSpaceDE w:val="0"/>
        <w:autoSpaceDN w:val="0"/>
        <w:adjustRightInd w:val="0"/>
        <w:spacing w:after="240"/>
        <w:rPr>
          <w:rFonts w:cs="Arial"/>
          <w:kern w:val="28"/>
        </w:rPr>
      </w:pPr>
      <w:r w:rsidRPr="004D05E9">
        <w:rPr>
          <w:rFonts w:cs="Arial"/>
          <w:kern w:val="28"/>
        </w:rPr>
        <w:t xml:space="preserve">Number of preschool children who did not improve functioning divided by the number of preschool </w:t>
      </w:r>
      <w:r w:rsidRPr="004D05E9">
        <w:rPr>
          <w:rFonts w:cs="Arial"/>
          <w:color w:val="000000"/>
          <w:kern w:val="28"/>
        </w:rPr>
        <w:t xml:space="preserve">children with disabilities </w:t>
      </w:r>
      <w:r w:rsidRPr="004D05E9">
        <w:rPr>
          <w:rFonts w:cs="Arial"/>
          <w:kern w:val="28"/>
        </w:rPr>
        <w:t>assessed, multiplied by 100.</w:t>
      </w:r>
    </w:p>
    <w:p w14:paraId="49C0CA52" w14:textId="77777777" w:rsidR="00FD74B6" w:rsidRPr="004D05E9" w:rsidRDefault="00FD74B6" w:rsidP="00FD74B6">
      <w:pPr>
        <w:numPr>
          <w:ilvl w:val="0"/>
          <w:numId w:val="17"/>
        </w:numPr>
        <w:overflowPunct w:val="0"/>
        <w:autoSpaceDE w:val="0"/>
        <w:autoSpaceDN w:val="0"/>
        <w:adjustRightInd w:val="0"/>
        <w:spacing w:after="240"/>
        <w:rPr>
          <w:rFonts w:cs="Arial"/>
          <w:kern w:val="28"/>
        </w:rPr>
      </w:pPr>
      <w:r w:rsidRPr="004D05E9">
        <w:rPr>
          <w:rFonts w:cs="Arial"/>
          <w:kern w:val="28"/>
        </w:rPr>
        <w:t xml:space="preserve">Number of preschool children who improved functioning but not sufficient to move nearer to functioning comparable to same-aged peers divided by the number of preschool </w:t>
      </w:r>
      <w:r w:rsidRPr="004D05E9">
        <w:rPr>
          <w:rFonts w:cs="Arial"/>
          <w:color w:val="000000"/>
          <w:kern w:val="28"/>
        </w:rPr>
        <w:t xml:space="preserve">children with disabilities </w:t>
      </w:r>
      <w:r w:rsidRPr="004D05E9">
        <w:rPr>
          <w:rFonts w:cs="Arial"/>
          <w:kern w:val="28"/>
        </w:rPr>
        <w:t>assessed, multiplied by 100.</w:t>
      </w:r>
    </w:p>
    <w:p w14:paraId="041E8A6D" w14:textId="77777777" w:rsidR="00FD74B6" w:rsidRPr="004D05E9" w:rsidRDefault="00FD74B6" w:rsidP="00FD74B6">
      <w:pPr>
        <w:numPr>
          <w:ilvl w:val="0"/>
          <w:numId w:val="17"/>
        </w:numPr>
        <w:overflowPunct w:val="0"/>
        <w:autoSpaceDE w:val="0"/>
        <w:autoSpaceDN w:val="0"/>
        <w:adjustRightInd w:val="0"/>
        <w:spacing w:after="240"/>
        <w:rPr>
          <w:rFonts w:cs="Arial"/>
          <w:kern w:val="28"/>
        </w:rPr>
      </w:pPr>
      <w:r w:rsidRPr="004D05E9">
        <w:rPr>
          <w:rFonts w:cs="Arial"/>
          <w:kern w:val="28"/>
        </w:rPr>
        <w:t xml:space="preserve">Number of preschool children who improved functioning to a level nearer to same-aged peers but did not reach it divided by the number of preschool </w:t>
      </w:r>
      <w:r w:rsidRPr="004D05E9">
        <w:rPr>
          <w:rFonts w:cs="Arial"/>
          <w:color w:val="000000"/>
          <w:kern w:val="28"/>
        </w:rPr>
        <w:t>children with disabilities</w:t>
      </w:r>
      <w:r w:rsidRPr="004D05E9">
        <w:rPr>
          <w:rFonts w:cs="Arial"/>
          <w:kern w:val="28"/>
        </w:rPr>
        <w:t xml:space="preserve"> assessed, multiplied by 100.</w:t>
      </w:r>
    </w:p>
    <w:p w14:paraId="22B13AE3" w14:textId="77777777" w:rsidR="00FD74B6" w:rsidRPr="004D05E9" w:rsidRDefault="00FD74B6" w:rsidP="00FD74B6">
      <w:pPr>
        <w:numPr>
          <w:ilvl w:val="0"/>
          <w:numId w:val="17"/>
        </w:numPr>
        <w:overflowPunct w:val="0"/>
        <w:autoSpaceDE w:val="0"/>
        <w:autoSpaceDN w:val="0"/>
        <w:adjustRightInd w:val="0"/>
        <w:spacing w:after="240"/>
        <w:rPr>
          <w:rFonts w:cs="Arial"/>
          <w:kern w:val="28"/>
        </w:rPr>
      </w:pPr>
      <w:r w:rsidRPr="004D05E9">
        <w:rPr>
          <w:rFonts w:cs="Arial"/>
          <w:kern w:val="28"/>
        </w:rPr>
        <w:t xml:space="preserve">Number of preschool children who improved functioning to reach a level comparable to same-aged peers divided by the number of preschool </w:t>
      </w:r>
      <w:r w:rsidRPr="004D05E9">
        <w:rPr>
          <w:rFonts w:cs="Arial"/>
          <w:color w:val="000000"/>
          <w:kern w:val="28"/>
        </w:rPr>
        <w:t>children with disabilities</w:t>
      </w:r>
      <w:r w:rsidRPr="004D05E9">
        <w:rPr>
          <w:rFonts w:cs="Arial"/>
          <w:kern w:val="28"/>
        </w:rPr>
        <w:t xml:space="preserve"> assessed, multiplied by 100.</w:t>
      </w:r>
    </w:p>
    <w:p w14:paraId="042CCE4A" w14:textId="77777777" w:rsidR="00FD74B6" w:rsidRPr="004D05E9" w:rsidRDefault="00FD74B6" w:rsidP="00E4217A">
      <w:pPr>
        <w:numPr>
          <w:ilvl w:val="0"/>
          <w:numId w:val="17"/>
        </w:numPr>
        <w:overflowPunct w:val="0"/>
        <w:autoSpaceDE w:val="0"/>
        <w:autoSpaceDN w:val="0"/>
        <w:adjustRightInd w:val="0"/>
        <w:spacing w:after="240"/>
        <w:rPr>
          <w:rFonts w:cs="Arial"/>
          <w:kern w:val="28"/>
        </w:rPr>
      </w:pPr>
      <w:r w:rsidRPr="004D05E9">
        <w:rPr>
          <w:rFonts w:cs="Arial"/>
          <w:kern w:val="28"/>
        </w:rPr>
        <w:t xml:space="preserve">Number of preschool children who maintained functioning at a level comparable to same-aged peers divided by the number of preschool </w:t>
      </w:r>
      <w:r w:rsidRPr="004D05E9">
        <w:rPr>
          <w:rFonts w:cs="Arial"/>
          <w:color w:val="000000"/>
          <w:kern w:val="28"/>
        </w:rPr>
        <w:t>children with disabilities</w:t>
      </w:r>
      <w:r w:rsidRPr="004D05E9">
        <w:rPr>
          <w:rFonts w:cs="Arial"/>
          <w:kern w:val="28"/>
        </w:rPr>
        <w:t xml:space="preserve"> assessed, multiplied by 100.</w:t>
      </w:r>
    </w:p>
    <w:p w14:paraId="45F2ACB9" w14:textId="00357A3F" w:rsidR="00FD74B6" w:rsidRPr="004D05E9" w:rsidRDefault="00FD74B6" w:rsidP="00E4217A">
      <w:pPr>
        <w:pStyle w:val="Heading3"/>
        <w:spacing w:after="240"/>
        <w:rPr>
          <w:rFonts w:cs="Arial"/>
        </w:rPr>
      </w:pPr>
      <w:bookmarkStart w:id="112" w:name="_Toc57199050"/>
      <w:r w:rsidRPr="004D05E9">
        <w:lastRenderedPageBreak/>
        <w:t>Results for 201</w:t>
      </w:r>
      <w:r w:rsidR="002C5EE1" w:rsidRPr="004D05E9">
        <w:t>9</w:t>
      </w:r>
      <w:r w:rsidRPr="004D05E9">
        <w:t>–</w:t>
      </w:r>
      <w:r w:rsidR="002C5EE1" w:rsidRPr="004D05E9">
        <w:t>20</w:t>
      </w:r>
      <w:bookmarkEnd w:id="112"/>
    </w:p>
    <w:p w14:paraId="09D905C2" w14:textId="1D902761" w:rsidR="00FD74B6" w:rsidRPr="004D05E9" w:rsidRDefault="00FD74B6" w:rsidP="00E4217A">
      <w:pPr>
        <w:spacing w:after="240"/>
        <w:rPr>
          <w:rFonts w:cs="Arial"/>
        </w:rPr>
      </w:pPr>
      <w:r w:rsidRPr="004D05E9">
        <w:rPr>
          <w:rFonts w:cs="Arial"/>
        </w:rPr>
        <w:t>In FFY 201</w:t>
      </w:r>
      <w:r w:rsidR="002C5EE1" w:rsidRPr="004D05E9">
        <w:rPr>
          <w:rFonts w:cs="Arial"/>
        </w:rPr>
        <w:t>9</w:t>
      </w:r>
      <w:r w:rsidRPr="004D05E9">
        <w:rPr>
          <w:rFonts w:cs="Arial"/>
        </w:rPr>
        <w:t xml:space="preserve">, </w:t>
      </w:r>
      <w:r w:rsidR="006C3AEA" w:rsidRPr="004D05E9">
        <w:rPr>
          <w:rFonts w:cs="Arial"/>
        </w:rPr>
        <w:t>78.1</w:t>
      </w:r>
      <w:r w:rsidR="00576F84" w:rsidRPr="004D05E9">
        <w:rPr>
          <w:rFonts w:cs="Arial"/>
        </w:rPr>
        <w:t xml:space="preserve"> </w:t>
      </w:r>
      <w:r w:rsidRPr="004D05E9">
        <w:rPr>
          <w:rFonts w:cs="Arial"/>
        </w:rPr>
        <w:t xml:space="preserve">percent of students substantially increased their rate of growth by the time they turned six years of age or exited the program; and </w:t>
      </w:r>
      <w:r w:rsidR="006C3AEA" w:rsidRPr="004D05E9">
        <w:rPr>
          <w:rFonts w:cs="Arial"/>
        </w:rPr>
        <w:t>76.4</w:t>
      </w:r>
      <w:r w:rsidR="00576F84" w:rsidRPr="004D05E9">
        <w:rPr>
          <w:rFonts w:cs="Arial"/>
        </w:rPr>
        <w:t xml:space="preserve"> </w:t>
      </w:r>
      <w:r w:rsidRPr="004D05E9">
        <w:rPr>
          <w:rFonts w:cs="Arial"/>
        </w:rPr>
        <w:t>percent of students were functioning within age expectations by the time they t</w:t>
      </w:r>
      <w:r w:rsidR="00902D7E" w:rsidRPr="004D05E9">
        <w:rPr>
          <w:rFonts w:cs="Arial"/>
        </w:rPr>
        <w:t>urned six years of age or exit</w:t>
      </w:r>
      <w:r w:rsidRPr="004D05E9">
        <w:rPr>
          <w:rFonts w:cs="Arial"/>
        </w:rPr>
        <w:t xml:space="preserve"> the program.</w:t>
      </w:r>
    </w:p>
    <w:p w14:paraId="79190DB0" w14:textId="48786E3D" w:rsidR="00FD74B6" w:rsidRPr="004D05E9" w:rsidRDefault="00FD74B6" w:rsidP="002C5EE1">
      <w:pPr>
        <w:pStyle w:val="Heading3"/>
        <w:tabs>
          <w:tab w:val="left" w:pos="2430"/>
        </w:tabs>
        <w:spacing w:before="0" w:after="240"/>
        <w:rPr>
          <w:rFonts w:cs="Arial"/>
          <w:color w:val="FFFFFF"/>
        </w:rPr>
      </w:pPr>
      <w:bookmarkStart w:id="113" w:name="_Toc57199051"/>
      <w:r w:rsidRPr="004D05E9">
        <w:t>Target Met:</w:t>
      </w:r>
      <w:r w:rsidR="006C3AEA" w:rsidRPr="004D05E9">
        <w:t xml:space="preserve"> No</w:t>
      </w:r>
      <w:bookmarkEnd w:id="113"/>
      <w:r w:rsidR="002C5EE1" w:rsidRPr="004D05E9">
        <w:rPr>
          <w:rFonts w:cs="Arial"/>
        </w:rPr>
        <w:tab/>
      </w:r>
    </w:p>
    <w:p w14:paraId="512F19BD" w14:textId="3469065E" w:rsidR="00FD74B6" w:rsidRPr="004D05E9" w:rsidRDefault="00A211F6" w:rsidP="004D7261">
      <w:pPr>
        <w:widowControl w:val="0"/>
        <w:overflowPunct w:val="0"/>
        <w:autoSpaceDE w:val="0"/>
        <w:autoSpaceDN w:val="0"/>
        <w:adjustRightInd w:val="0"/>
        <w:rPr>
          <w:rFonts w:cs="Arial"/>
        </w:rPr>
      </w:pPr>
      <w:r w:rsidRPr="004D05E9">
        <w:rPr>
          <w:rFonts w:cs="Arial"/>
          <w:b/>
        </w:rPr>
        <w:t xml:space="preserve">Preschool Outcomes–Acquisition and </w:t>
      </w:r>
      <w:r w:rsidR="00FD74B6" w:rsidRPr="004D05E9">
        <w:rPr>
          <w:rFonts w:cs="Arial"/>
          <w:b/>
        </w:rPr>
        <w:t>Use of Knowledge and Skills</w:t>
      </w:r>
      <w:r w:rsidR="00FD74B6" w:rsidRPr="004D05E9">
        <w:rPr>
          <w:rFonts w:cs="Arial"/>
          <w:b/>
          <w:bCs/>
        </w:rPr>
        <w:t xml:space="preserve"> Targets and Results for FFY</w:t>
      </w:r>
      <w:r w:rsidR="00A730A7" w:rsidRPr="004D05E9">
        <w:rPr>
          <w:rFonts w:cs="Arial"/>
          <w:b/>
          <w:bCs/>
        </w:rPr>
        <w:t>s</w:t>
      </w:r>
      <w:r w:rsidR="00FD74B6" w:rsidRPr="004D05E9">
        <w:rPr>
          <w:rFonts w:cs="Arial"/>
          <w:b/>
          <w:bCs/>
        </w:rPr>
        <w:t xml:space="preserve"> 2013–1</w:t>
      </w:r>
      <w:r w:rsidR="002C5EE1" w:rsidRPr="004D05E9">
        <w:rPr>
          <w:rFonts w:cs="Arial"/>
          <w:b/>
          <w:bCs/>
        </w:rPr>
        <w:t>9</w:t>
      </w:r>
    </w:p>
    <w:tbl>
      <w:tblPr>
        <w:tblStyle w:val="TableGrid6"/>
        <w:tblW w:w="0" w:type="auto"/>
        <w:tblLook w:val="04A0" w:firstRow="1" w:lastRow="0" w:firstColumn="1" w:lastColumn="0" w:noHBand="0" w:noVBand="1"/>
        <w:tblDescription w:val="Indicator 7B Targets and Results"/>
      </w:tblPr>
      <w:tblGrid>
        <w:gridCol w:w="1737"/>
        <w:gridCol w:w="1164"/>
        <w:gridCol w:w="1008"/>
        <w:gridCol w:w="1008"/>
        <w:gridCol w:w="1008"/>
        <w:gridCol w:w="1008"/>
        <w:gridCol w:w="1008"/>
        <w:gridCol w:w="1008"/>
      </w:tblGrid>
      <w:tr w:rsidR="002C5EE1" w:rsidRPr="004D05E9" w14:paraId="615ACF5E" w14:textId="39CD97F3" w:rsidTr="00463712">
        <w:trPr>
          <w:cantSplit/>
          <w:tblHeader/>
        </w:trPr>
        <w:tc>
          <w:tcPr>
            <w:tcW w:w="1737" w:type="dxa"/>
            <w:hideMark/>
          </w:tcPr>
          <w:p w14:paraId="16FB4ACB" w14:textId="77777777" w:rsidR="002C5EE1" w:rsidRPr="004D05E9" w:rsidRDefault="002C5EE1" w:rsidP="00FD74B6">
            <w:pPr>
              <w:widowControl w:val="0"/>
              <w:overflowPunct w:val="0"/>
              <w:autoSpaceDE w:val="0"/>
              <w:autoSpaceDN w:val="0"/>
              <w:adjustRightInd w:val="0"/>
              <w:jc w:val="center"/>
              <w:rPr>
                <w:rFonts w:cs="Arial"/>
                <w:b/>
                <w:bCs/>
              </w:rPr>
            </w:pPr>
            <w:r w:rsidRPr="004D05E9">
              <w:rPr>
                <w:rFonts w:cs="Arial"/>
                <w:b/>
                <w:bCs/>
              </w:rPr>
              <w:t>Indicator 7B</w:t>
            </w:r>
          </w:p>
        </w:tc>
        <w:tc>
          <w:tcPr>
            <w:tcW w:w="1164" w:type="dxa"/>
            <w:hideMark/>
          </w:tcPr>
          <w:p w14:paraId="41710D23" w14:textId="77777777" w:rsidR="002C5EE1" w:rsidRPr="004D05E9" w:rsidRDefault="002C5EE1" w:rsidP="00FD74B6">
            <w:pPr>
              <w:widowControl w:val="0"/>
              <w:overflowPunct w:val="0"/>
              <w:autoSpaceDE w:val="0"/>
              <w:autoSpaceDN w:val="0"/>
              <w:adjustRightInd w:val="0"/>
              <w:jc w:val="center"/>
              <w:rPr>
                <w:rFonts w:cs="Arial"/>
                <w:b/>
                <w:bCs/>
              </w:rPr>
            </w:pPr>
            <w:r w:rsidRPr="004D05E9">
              <w:rPr>
                <w:rFonts w:cs="Arial"/>
                <w:b/>
                <w:bCs/>
              </w:rPr>
              <w:t>2013</w:t>
            </w:r>
          </w:p>
        </w:tc>
        <w:tc>
          <w:tcPr>
            <w:tcW w:w="1008" w:type="dxa"/>
            <w:hideMark/>
          </w:tcPr>
          <w:p w14:paraId="2911C4D1" w14:textId="77777777" w:rsidR="002C5EE1" w:rsidRPr="004D05E9" w:rsidRDefault="002C5EE1" w:rsidP="00FD74B6">
            <w:pPr>
              <w:widowControl w:val="0"/>
              <w:overflowPunct w:val="0"/>
              <w:autoSpaceDE w:val="0"/>
              <w:autoSpaceDN w:val="0"/>
              <w:adjustRightInd w:val="0"/>
              <w:jc w:val="center"/>
              <w:rPr>
                <w:rFonts w:cs="Arial"/>
                <w:b/>
                <w:bCs/>
              </w:rPr>
            </w:pPr>
            <w:r w:rsidRPr="004D05E9">
              <w:rPr>
                <w:rFonts w:cs="Arial"/>
                <w:b/>
                <w:bCs/>
              </w:rPr>
              <w:t>2014</w:t>
            </w:r>
          </w:p>
        </w:tc>
        <w:tc>
          <w:tcPr>
            <w:tcW w:w="1008" w:type="dxa"/>
            <w:hideMark/>
          </w:tcPr>
          <w:p w14:paraId="29B85C3F" w14:textId="77777777" w:rsidR="002C5EE1" w:rsidRPr="004D05E9" w:rsidRDefault="002C5EE1" w:rsidP="00FD74B6">
            <w:pPr>
              <w:widowControl w:val="0"/>
              <w:overflowPunct w:val="0"/>
              <w:autoSpaceDE w:val="0"/>
              <w:autoSpaceDN w:val="0"/>
              <w:adjustRightInd w:val="0"/>
              <w:jc w:val="center"/>
              <w:rPr>
                <w:rFonts w:cs="Arial"/>
                <w:b/>
                <w:bCs/>
              </w:rPr>
            </w:pPr>
            <w:r w:rsidRPr="004D05E9">
              <w:rPr>
                <w:rFonts w:cs="Arial"/>
                <w:b/>
                <w:bCs/>
              </w:rPr>
              <w:t>2015</w:t>
            </w:r>
          </w:p>
        </w:tc>
        <w:tc>
          <w:tcPr>
            <w:tcW w:w="1008" w:type="dxa"/>
            <w:hideMark/>
          </w:tcPr>
          <w:p w14:paraId="20B799F5" w14:textId="77777777" w:rsidR="002C5EE1" w:rsidRPr="004D05E9" w:rsidRDefault="002C5EE1" w:rsidP="00FD74B6">
            <w:pPr>
              <w:widowControl w:val="0"/>
              <w:overflowPunct w:val="0"/>
              <w:autoSpaceDE w:val="0"/>
              <w:autoSpaceDN w:val="0"/>
              <w:adjustRightInd w:val="0"/>
              <w:jc w:val="center"/>
              <w:rPr>
                <w:rFonts w:cs="Arial"/>
                <w:b/>
                <w:bCs/>
              </w:rPr>
            </w:pPr>
            <w:r w:rsidRPr="004D05E9">
              <w:rPr>
                <w:rFonts w:cs="Arial"/>
                <w:b/>
                <w:bCs/>
              </w:rPr>
              <w:t>2016*</w:t>
            </w:r>
          </w:p>
        </w:tc>
        <w:tc>
          <w:tcPr>
            <w:tcW w:w="1008" w:type="dxa"/>
            <w:hideMark/>
          </w:tcPr>
          <w:p w14:paraId="3E9A00E7" w14:textId="77777777" w:rsidR="002C5EE1" w:rsidRPr="004D05E9" w:rsidRDefault="002C5EE1" w:rsidP="00FD74B6">
            <w:pPr>
              <w:widowControl w:val="0"/>
              <w:overflowPunct w:val="0"/>
              <w:autoSpaceDE w:val="0"/>
              <w:autoSpaceDN w:val="0"/>
              <w:adjustRightInd w:val="0"/>
              <w:jc w:val="center"/>
              <w:rPr>
                <w:rFonts w:cs="Arial"/>
                <w:b/>
                <w:bCs/>
              </w:rPr>
            </w:pPr>
            <w:r w:rsidRPr="004D05E9">
              <w:rPr>
                <w:rFonts w:cs="Arial"/>
                <w:b/>
                <w:bCs/>
              </w:rPr>
              <w:t>2017</w:t>
            </w:r>
          </w:p>
        </w:tc>
        <w:tc>
          <w:tcPr>
            <w:tcW w:w="1008" w:type="dxa"/>
            <w:hideMark/>
          </w:tcPr>
          <w:p w14:paraId="352180E6" w14:textId="77777777" w:rsidR="002C5EE1" w:rsidRPr="004D05E9" w:rsidRDefault="002C5EE1" w:rsidP="00FD74B6">
            <w:pPr>
              <w:widowControl w:val="0"/>
              <w:overflowPunct w:val="0"/>
              <w:autoSpaceDE w:val="0"/>
              <w:autoSpaceDN w:val="0"/>
              <w:adjustRightInd w:val="0"/>
              <w:jc w:val="center"/>
              <w:rPr>
                <w:rFonts w:cs="Arial"/>
                <w:b/>
                <w:bCs/>
              </w:rPr>
            </w:pPr>
            <w:r w:rsidRPr="004D05E9">
              <w:rPr>
                <w:rFonts w:cs="Arial"/>
                <w:b/>
                <w:bCs/>
              </w:rPr>
              <w:t>2018</w:t>
            </w:r>
          </w:p>
        </w:tc>
        <w:tc>
          <w:tcPr>
            <w:tcW w:w="1008" w:type="dxa"/>
          </w:tcPr>
          <w:p w14:paraId="1F4B26B0" w14:textId="640EA5C2" w:rsidR="002C5EE1" w:rsidRPr="004D05E9" w:rsidRDefault="002C5EE1" w:rsidP="00FD74B6">
            <w:pPr>
              <w:widowControl w:val="0"/>
              <w:overflowPunct w:val="0"/>
              <w:autoSpaceDE w:val="0"/>
              <w:autoSpaceDN w:val="0"/>
              <w:adjustRightInd w:val="0"/>
              <w:jc w:val="center"/>
              <w:rPr>
                <w:rFonts w:cs="Arial"/>
                <w:b/>
                <w:bCs/>
              </w:rPr>
            </w:pPr>
            <w:r w:rsidRPr="004D05E9">
              <w:rPr>
                <w:rFonts w:cs="Arial"/>
                <w:b/>
                <w:bCs/>
              </w:rPr>
              <w:t>2019</w:t>
            </w:r>
          </w:p>
        </w:tc>
      </w:tr>
      <w:tr w:rsidR="002C5EE1" w:rsidRPr="004D05E9" w14:paraId="4EF2F637" w14:textId="2117E683" w:rsidTr="00463712">
        <w:trPr>
          <w:cantSplit/>
          <w:trHeight w:val="710"/>
        </w:trPr>
        <w:tc>
          <w:tcPr>
            <w:tcW w:w="1737" w:type="dxa"/>
            <w:hideMark/>
          </w:tcPr>
          <w:p w14:paraId="73D244DA" w14:textId="77777777" w:rsidR="002C5EE1" w:rsidRPr="004D05E9" w:rsidRDefault="002C5EE1" w:rsidP="002C5EE1">
            <w:pPr>
              <w:widowControl w:val="0"/>
              <w:overflowPunct w:val="0"/>
              <w:autoSpaceDE w:val="0"/>
              <w:autoSpaceDN w:val="0"/>
              <w:adjustRightInd w:val="0"/>
              <w:jc w:val="center"/>
              <w:rPr>
                <w:rFonts w:cs="Arial"/>
                <w:bCs/>
              </w:rPr>
            </w:pPr>
            <w:r w:rsidRPr="004D05E9">
              <w:rPr>
                <w:rFonts w:cs="Arial"/>
                <w:bCs/>
              </w:rPr>
              <w:t>Target</w:t>
            </w:r>
          </w:p>
        </w:tc>
        <w:tc>
          <w:tcPr>
            <w:tcW w:w="1164" w:type="dxa"/>
            <w:hideMark/>
          </w:tcPr>
          <w:p w14:paraId="64A85B20"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70% / 82.5%</w:t>
            </w:r>
          </w:p>
        </w:tc>
        <w:tc>
          <w:tcPr>
            <w:tcW w:w="1008" w:type="dxa"/>
            <w:hideMark/>
          </w:tcPr>
          <w:p w14:paraId="29BCC540"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70% / 82.5%</w:t>
            </w:r>
          </w:p>
        </w:tc>
        <w:tc>
          <w:tcPr>
            <w:tcW w:w="1008" w:type="dxa"/>
            <w:hideMark/>
          </w:tcPr>
          <w:p w14:paraId="49E7EDEF"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68.6% / 71.2%</w:t>
            </w:r>
          </w:p>
        </w:tc>
        <w:tc>
          <w:tcPr>
            <w:tcW w:w="1008" w:type="dxa"/>
            <w:hideMark/>
          </w:tcPr>
          <w:p w14:paraId="619FC0D0"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79.7%/ 77.57%</w:t>
            </w:r>
          </w:p>
        </w:tc>
        <w:tc>
          <w:tcPr>
            <w:tcW w:w="1008" w:type="dxa"/>
            <w:hideMark/>
          </w:tcPr>
          <w:p w14:paraId="48B4E758"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80.7%/ 78.57%</w:t>
            </w:r>
          </w:p>
        </w:tc>
        <w:tc>
          <w:tcPr>
            <w:tcW w:w="1008" w:type="dxa"/>
            <w:hideMark/>
          </w:tcPr>
          <w:p w14:paraId="5F1BF781"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81.7%/ 79.57%</w:t>
            </w:r>
          </w:p>
        </w:tc>
        <w:tc>
          <w:tcPr>
            <w:tcW w:w="1008" w:type="dxa"/>
          </w:tcPr>
          <w:p w14:paraId="2CF2E863" w14:textId="759527E0"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82.7%/ 80.57%</w:t>
            </w:r>
          </w:p>
        </w:tc>
      </w:tr>
      <w:tr w:rsidR="002C5EE1" w:rsidRPr="004D05E9" w14:paraId="4E91B1B7" w14:textId="7DC9EBA9" w:rsidTr="00463712">
        <w:trPr>
          <w:cantSplit/>
          <w:trHeight w:val="710"/>
        </w:trPr>
        <w:tc>
          <w:tcPr>
            <w:tcW w:w="1737" w:type="dxa"/>
            <w:hideMark/>
          </w:tcPr>
          <w:p w14:paraId="59DC7A77" w14:textId="77777777" w:rsidR="002C5EE1" w:rsidRPr="004D05E9" w:rsidRDefault="002C5EE1" w:rsidP="002C5EE1">
            <w:pPr>
              <w:widowControl w:val="0"/>
              <w:overflowPunct w:val="0"/>
              <w:autoSpaceDE w:val="0"/>
              <w:autoSpaceDN w:val="0"/>
              <w:adjustRightInd w:val="0"/>
              <w:jc w:val="center"/>
              <w:rPr>
                <w:rFonts w:cs="Arial"/>
                <w:bCs/>
              </w:rPr>
            </w:pPr>
            <w:r w:rsidRPr="004D05E9">
              <w:rPr>
                <w:rFonts w:cs="Arial"/>
                <w:bCs/>
              </w:rPr>
              <w:t>Result</w:t>
            </w:r>
          </w:p>
        </w:tc>
        <w:tc>
          <w:tcPr>
            <w:tcW w:w="1164" w:type="dxa"/>
            <w:hideMark/>
          </w:tcPr>
          <w:p w14:paraId="7A5302F1"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60.9% /</w:t>
            </w:r>
            <w:r w:rsidRPr="004D05E9">
              <w:rPr>
                <w:rFonts w:cs="Arial"/>
                <w:color w:val="000000"/>
                <w:kern w:val="28"/>
                <w:sz w:val="23"/>
                <w:szCs w:val="23"/>
              </w:rPr>
              <w:br/>
              <w:t>60.3%</w:t>
            </w:r>
          </w:p>
        </w:tc>
        <w:tc>
          <w:tcPr>
            <w:tcW w:w="1008" w:type="dxa"/>
            <w:hideMark/>
          </w:tcPr>
          <w:p w14:paraId="5DA4BDFA"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60.2% / 59.6%</w:t>
            </w:r>
          </w:p>
        </w:tc>
        <w:tc>
          <w:tcPr>
            <w:tcW w:w="1008" w:type="dxa"/>
            <w:hideMark/>
          </w:tcPr>
          <w:p w14:paraId="1419055A"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68.6% / 71.2%</w:t>
            </w:r>
          </w:p>
        </w:tc>
        <w:tc>
          <w:tcPr>
            <w:tcW w:w="1008" w:type="dxa"/>
            <w:hideMark/>
          </w:tcPr>
          <w:p w14:paraId="1EEF05E5"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79.7%/ 77.6%</w:t>
            </w:r>
          </w:p>
        </w:tc>
        <w:tc>
          <w:tcPr>
            <w:tcW w:w="1008" w:type="dxa"/>
            <w:hideMark/>
          </w:tcPr>
          <w:p w14:paraId="52C1DE82"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76.1%/</w:t>
            </w:r>
          </w:p>
          <w:p w14:paraId="72820388"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76.7%</w:t>
            </w:r>
          </w:p>
        </w:tc>
        <w:tc>
          <w:tcPr>
            <w:tcW w:w="1008" w:type="dxa"/>
            <w:hideMark/>
          </w:tcPr>
          <w:p w14:paraId="00CE5E3D"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75.2%/</w:t>
            </w:r>
          </w:p>
          <w:p w14:paraId="0801F7F2"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76.2%</w:t>
            </w:r>
          </w:p>
        </w:tc>
        <w:tc>
          <w:tcPr>
            <w:tcW w:w="1008" w:type="dxa"/>
          </w:tcPr>
          <w:p w14:paraId="45455570" w14:textId="77777777" w:rsidR="006C3AEA" w:rsidRPr="004D05E9" w:rsidRDefault="006C3AEA" w:rsidP="002C5EE1">
            <w:pPr>
              <w:widowControl w:val="0"/>
              <w:overflowPunct w:val="0"/>
              <w:autoSpaceDE w:val="0"/>
              <w:autoSpaceDN w:val="0"/>
              <w:adjustRightInd w:val="0"/>
              <w:jc w:val="center"/>
              <w:rPr>
                <w:rFonts w:cs="Arial"/>
                <w:szCs w:val="20"/>
              </w:rPr>
            </w:pPr>
            <w:r w:rsidRPr="004D05E9">
              <w:rPr>
                <w:rFonts w:cs="Arial"/>
                <w:szCs w:val="20"/>
              </w:rPr>
              <w:t>78.1%/</w:t>
            </w:r>
          </w:p>
          <w:p w14:paraId="4662C075" w14:textId="62B49858" w:rsidR="002C5EE1" w:rsidRPr="004D05E9" w:rsidRDefault="006C3AEA" w:rsidP="002C5EE1">
            <w:pPr>
              <w:widowControl w:val="0"/>
              <w:overflowPunct w:val="0"/>
              <w:autoSpaceDE w:val="0"/>
              <w:autoSpaceDN w:val="0"/>
              <w:adjustRightInd w:val="0"/>
              <w:jc w:val="center"/>
              <w:rPr>
                <w:rFonts w:cs="Arial"/>
                <w:color w:val="000000"/>
                <w:kern w:val="28"/>
                <w:szCs w:val="23"/>
              </w:rPr>
            </w:pPr>
            <w:r w:rsidRPr="004D05E9">
              <w:rPr>
                <w:rFonts w:cs="Arial"/>
                <w:szCs w:val="20"/>
              </w:rPr>
              <w:t>76.4%</w:t>
            </w:r>
          </w:p>
        </w:tc>
      </w:tr>
      <w:tr w:rsidR="002C5EE1" w:rsidRPr="004D05E9" w14:paraId="0002BB14" w14:textId="557E3154" w:rsidTr="00463712">
        <w:trPr>
          <w:cantSplit/>
        </w:trPr>
        <w:tc>
          <w:tcPr>
            <w:tcW w:w="1737" w:type="dxa"/>
            <w:hideMark/>
          </w:tcPr>
          <w:p w14:paraId="465BA4AA" w14:textId="77777777" w:rsidR="002C5EE1" w:rsidRPr="004D05E9" w:rsidRDefault="002C5EE1" w:rsidP="002C5EE1">
            <w:pPr>
              <w:widowControl w:val="0"/>
              <w:overflowPunct w:val="0"/>
              <w:autoSpaceDE w:val="0"/>
              <w:autoSpaceDN w:val="0"/>
              <w:adjustRightInd w:val="0"/>
              <w:jc w:val="center"/>
              <w:rPr>
                <w:rFonts w:cs="Arial"/>
                <w:bCs/>
              </w:rPr>
            </w:pPr>
            <w:r w:rsidRPr="004D05E9">
              <w:rPr>
                <w:rFonts w:cs="Arial"/>
                <w:bCs/>
              </w:rPr>
              <w:t>Target Met</w:t>
            </w:r>
          </w:p>
        </w:tc>
        <w:tc>
          <w:tcPr>
            <w:tcW w:w="1164" w:type="dxa"/>
            <w:hideMark/>
          </w:tcPr>
          <w:p w14:paraId="44C8F48F"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No</w:t>
            </w:r>
          </w:p>
        </w:tc>
        <w:tc>
          <w:tcPr>
            <w:tcW w:w="1008" w:type="dxa"/>
            <w:hideMark/>
          </w:tcPr>
          <w:p w14:paraId="6C5AF3E1"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No</w:t>
            </w:r>
          </w:p>
        </w:tc>
        <w:tc>
          <w:tcPr>
            <w:tcW w:w="1008" w:type="dxa"/>
            <w:hideMark/>
          </w:tcPr>
          <w:p w14:paraId="784AE816" w14:textId="77777777" w:rsidR="002C5EE1" w:rsidRPr="004D05E9" w:rsidRDefault="002C5EE1" w:rsidP="002C5EE1">
            <w:pPr>
              <w:widowControl w:val="0"/>
              <w:overflowPunct w:val="0"/>
              <w:autoSpaceDE w:val="0"/>
              <w:autoSpaceDN w:val="0"/>
              <w:adjustRightInd w:val="0"/>
              <w:jc w:val="center"/>
              <w:rPr>
                <w:rFonts w:cs="Arial"/>
                <w:color w:val="000000"/>
                <w:kern w:val="28"/>
              </w:rPr>
            </w:pPr>
            <w:r w:rsidRPr="004D05E9">
              <w:rPr>
                <w:rFonts w:cs="Arial"/>
                <w:color w:val="000000"/>
                <w:kern w:val="28"/>
                <w:sz w:val="23"/>
                <w:szCs w:val="23"/>
              </w:rPr>
              <w:t>Yes</w:t>
            </w:r>
          </w:p>
        </w:tc>
        <w:tc>
          <w:tcPr>
            <w:tcW w:w="1008" w:type="dxa"/>
            <w:hideMark/>
          </w:tcPr>
          <w:p w14:paraId="6CB67CD1" w14:textId="77777777" w:rsidR="002C5EE1" w:rsidRPr="004D05E9" w:rsidRDefault="002C5EE1" w:rsidP="002C5EE1">
            <w:pPr>
              <w:widowControl w:val="0"/>
              <w:overflowPunct w:val="0"/>
              <w:autoSpaceDE w:val="0"/>
              <w:autoSpaceDN w:val="0"/>
              <w:adjustRightInd w:val="0"/>
              <w:jc w:val="center"/>
              <w:rPr>
                <w:rFonts w:cs="Arial"/>
                <w:color w:val="000000"/>
                <w:kern w:val="28"/>
              </w:rPr>
            </w:pPr>
            <w:r w:rsidRPr="004D05E9">
              <w:rPr>
                <w:rFonts w:cs="Arial"/>
                <w:bCs/>
                <w:color w:val="000000"/>
                <w:kern w:val="28"/>
              </w:rPr>
              <w:t>Yes</w:t>
            </w:r>
          </w:p>
        </w:tc>
        <w:tc>
          <w:tcPr>
            <w:tcW w:w="1008" w:type="dxa"/>
            <w:hideMark/>
          </w:tcPr>
          <w:p w14:paraId="2FDF3C43" w14:textId="77777777" w:rsidR="002C5EE1" w:rsidRPr="004D05E9" w:rsidRDefault="002C5EE1" w:rsidP="002C5EE1">
            <w:pPr>
              <w:widowControl w:val="0"/>
              <w:overflowPunct w:val="0"/>
              <w:autoSpaceDE w:val="0"/>
              <w:autoSpaceDN w:val="0"/>
              <w:adjustRightInd w:val="0"/>
              <w:jc w:val="center"/>
              <w:rPr>
                <w:rFonts w:cs="Arial"/>
                <w:color w:val="000000"/>
                <w:kern w:val="28"/>
              </w:rPr>
            </w:pPr>
            <w:r w:rsidRPr="004D05E9">
              <w:rPr>
                <w:rFonts w:cs="Arial"/>
                <w:bCs/>
                <w:color w:val="000000"/>
                <w:kern w:val="28"/>
              </w:rPr>
              <w:t>No</w:t>
            </w:r>
          </w:p>
        </w:tc>
        <w:tc>
          <w:tcPr>
            <w:tcW w:w="1008" w:type="dxa"/>
            <w:hideMark/>
          </w:tcPr>
          <w:p w14:paraId="2217A431" w14:textId="77777777" w:rsidR="002C5EE1" w:rsidRPr="004D05E9" w:rsidRDefault="002C5EE1" w:rsidP="002C5EE1">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rPr>
              <w:t>No</w:t>
            </w:r>
          </w:p>
        </w:tc>
        <w:tc>
          <w:tcPr>
            <w:tcW w:w="1008" w:type="dxa"/>
          </w:tcPr>
          <w:p w14:paraId="653741C6" w14:textId="5D55BC5F" w:rsidR="002C5EE1" w:rsidRPr="004D05E9" w:rsidRDefault="006C3AEA" w:rsidP="002C5EE1">
            <w:pPr>
              <w:widowControl w:val="0"/>
              <w:overflowPunct w:val="0"/>
              <w:autoSpaceDE w:val="0"/>
              <w:autoSpaceDN w:val="0"/>
              <w:adjustRightInd w:val="0"/>
              <w:jc w:val="center"/>
              <w:rPr>
                <w:rFonts w:cs="Arial"/>
                <w:bCs/>
                <w:color w:val="000000"/>
                <w:kern w:val="28"/>
              </w:rPr>
            </w:pPr>
            <w:r w:rsidRPr="004D05E9">
              <w:rPr>
                <w:rFonts w:cs="Arial"/>
                <w:bCs/>
                <w:color w:val="000000"/>
                <w:kern w:val="28"/>
              </w:rPr>
              <w:t>No</w:t>
            </w:r>
          </w:p>
        </w:tc>
      </w:tr>
    </w:tbl>
    <w:p w14:paraId="03CFA87D" w14:textId="77777777" w:rsidR="00FD74B6" w:rsidRPr="004D05E9" w:rsidRDefault="00FD74B6" w:rsidP="00FD74B6">
      <w:pPr>
        <w:rPr>
          <w:rFonts w:cs="Arial"/>
          <w:bCs/>
        </w:rPr>
      </w:pPr>
      <w:r w:rsidRPr="004D05E9">
        <w:rPr>
          <w:rFonts w:cs="Arial"/>
        </w:rPr>
        <w:t>*</w:t>
      </w:r>
      <w:r w:rsidRPr="004D05E9">
        <w:rPr>
          <w:rFonts w:cs="Arial"/>
          <w:bCs/>
        </w:rPr>
        <w:t xml:space="preserve"> Targets were changed this year due to new assessment tool</w:t>
      </w:r>
    </w:p>
    <w:p w14:paraId="507F7C0F" w14:textId="77777777" w:rsidR="00D33AA1" w:rsidRPr="004D05E9" w:rsidRDefault="00D33AA1" w:rsidP="00D33AA1">
      <w:pPr>
        <w:spacing w:before="5520"/>
      </w:pPr>
    </w:p>
    <w:p w14:paraId="45C7190C" w14:textId="77777777" w:rsidR="00FD74B6" w:rsidRPr="004D05E9" w:rsidRDefault="00FD74B6" w:rsidP="00E4217A">
      <w:pPr>
        <w:pStyle w:val="Heading2"/>
        <w:spacing w:before="1200" w:after="240"/>
        <w:jc w:val="center"/>
      </w:pPr>
      <w:bookmarkStart w:id="114" w:name="_Toc57199052"/>
      <w:r w:rsidRPr="004D05E9">
        <w:rPr>
          <w:bCs/>
        </w:rPr>
        <w:lastRenderedPageBreak/>
        <w:t xml:space="preserve">Indicator 7C: </w:t>
      </w:r>
      <w:r w:rsidRPr="004D05E9">
        <w:t>Preschool Assessment–Use of Appropriate Behaviors</w:t>
      </w:r>
      <w:bookmarkEnd w:id="114"/>
    </w:p>
    <w:p w14:paraId="0218BAAE" w14:textId="77777777" w:rsidR="00FD74B6" w:rsidRPr="004D05E9" w:rsidRDefault="00FD74B6" w:rsidP="00E4217A">
      <w:pPr>
        <w:pStyle w:val="Heading3"/>
        <w:spacing w:before="0" w:after="240"/>
      </w:pPr>
      <w:bookmarkStart w:id="115" w:name="_Toc57199053"/>
      <w:r w:rsidRPr="004D05E9">
        <w:t>Description</w:t>
      </w:r>
      <w:bookmarkEnd w:id="115"/>
    </w:p>
    <w:p w14:paraId="09BE461C" w14:textId="77777777" w:rsidR="00FD74B6" w:rsidRPr="004D05E9" w:rsidRDefault="00FD74B6" w:rsidP="00E4217A">
      <w:pPr>
        <w:spacing w:after="240"/>
        <w:rPr>
          <w:rFonts w:cs="Arial"/>
        </w:rPr>
      </w:pPr>
      <w:r w:rsidRPr="004D05E9">
        <w:rPr>
          <w:rFonts w:cs="Arial"/>
        </w:rPr>
        <w:t xml:space="preserve">Indicator 7C is a performance indicator that measures the percent of children with disabilities who demonstrate improvement in Use of Appropriate Behaviors to meet their needs (20 U.S.C. </w:t>
      </w:r>
      <w:r w:rsidR="002A11EB" w:rsidRPr="004D05E9">
        <w:rPr>
          <w:rFonts w:cs="Arial"/>
        </w:rPr>
        <w:t xml:space="preserve">Section </w:t>
      </w:r>
      <w:r w:rsidRPr="004D05E9">
        <w:rPr>
          <w:rFonts w:cs="Arial"/>
        </w:rPr>
        <w:t>1416[a][3][A]).</w:t>
      </w:r>
    </w:p>
    <w:p w14:paraId="639449AF" w14:textId="02168FE2" w:rsidR="00FD74B6" w:rsidRPr="004D05E9" w:rsidRDefault="00FD74B6" w:rsidP="00E4217A">
      <w:pPr>
        <w:pStyle w:val="Heading3"/>
        <w:spacing w:before="0" w:after="240"/>
      </w:pPr>
      <w:bookmarkStart w:id="116" w:name="_Toc57199054"/>
      <w:r w:rsidRPr="004D05E9">
        <w:t>Targets for 201</w:t>
      </w:r>
      <w:r w:rsidR="003561E3" w:rsidRPr="004D05E9">
        <w:t>9</w:t>
      </w:r>
      <w:r w:rsidRPr="004D05E9">
        <w:t>–</w:t>
      </w:r>
      <w:r w:rsidR="003561E3" w:rsidRPr="004D05E9">
        <w:t>20</w:t>
      </w:r>
      <w:bookmarkEnd w:id="116"/>
    </w:p>
    <w:p w14:paraId="4ADBA12C" w14:textId="61B4953C" w:rsidR="00FD74B6" w:rsidRPr="004D05E9" w:rsidRDefault="00FD74B6" w:rsidP="00FD74B6">
      <w:pPr>
        <w:numPr>
          <w:ilvl w:val="0"/>
          <w:numId w:val="18"/>
        </w:numPr>
        <w:spacing w:after="240"/>
        <w:ind w:left="720"/>
        <w:rPr>
          <w:rFonts w:cs="Arial"/>
        </w:rPr>
      </w:pPr>
      <w:r w:rsidRPr="004D05E9">
        <w:rPr>
          <w:rFonts w:cs="Arial"/>
        </w:rPr>
        <w:t>Of those children who entered the program with below age expectations, 7</w:t>
      </w:r>
      <w:r w:rsidR="003561E3" w:rsidRPr="004D05E9">
        <w:rPr>
          <w:rFonts w:cs="Arial"/>
        </w:rPr>
        <w:t>6</w:t>
      </w:r>
      <w:r w:rsidRPr="004D05E9">
        <w:rPr>
          <w:rFonts w:cs="Arial"/>
        </w:rPr>
        <w:t>.7 percent will substantially increase their rate of growth by the time they turn six years of age or exit the program.</w:t>
      </w:r>
    </w:p>
    <w:p w14:paraId="66C2E109" w14:textId="67E4678D" w:rsidR="00FD74B6" w:rsidRPr="004D05E9" w:rsidRDefault="00FD74B6" w:rsidP="00E4217A">
      <w:pPr>
        <w:numPr>
          <w:ilvl w:val="0"/>
          <w:numId w:val="18"/>
        </w:numPr>
        <w:spacing w:after="240"/>
        <w:ind w:left="720"/>
        <w:rPr>
          <w:rFonts w:cs="Arial"/>
        </w:rPr>
      </w:pPr>
      <w:r w:rsidRPr="004D05E9">
        <w:rPr>
          <w:rFonts w:cs="Arial"/>
        </w:rPr>
        <w:t>Of those children who were functioning within age expectations, 7</w:t>
      </w:r>
      <w:r w:rsidR="003561E3" w:rsidRPr="004D05E9">
        <w:rPr>
          <w:rFonts w:cs="Arial"/>
        </w:rPr>
        <w:t>9</w:t>
      </w:r>
      <w:r w:rsidRPr="004D05E9">
        <w:rPr>
          <w:rFonts w:cs="Arial"/>
        </w:rPr>
        <w:t>.45 percent will function within age expectations by the time they turn six years of age or exit the program</w:t>
      </w:r>
      <w:r w:rsidR="00C90330" w:rsidRPr="004D05E9">
        <w:rPr>
          <w:rFonts w:cs="Arial"/>
        </w:rPr>
        <w:t>.</w:t>
      </w:r>
    </w:p>
    <w:p w14:paraId="5D3FFE1E" w14:textId="77777777" w:rsidR="00FD74B6" w:rsidRPr="004D05E9" w:rsidRDefault="00FD74B6" w:rsidP="00E4217A">
      <w:pPr>
        <w:pStyle w:val="Heading3"/>
        <w:spacing w:before="0" w:after="240"/>
      </w:pPr>
      <w:bookmarkStart w:id="117" w:name="_Toc57199055"/>
      <w:r w:rsidRPr="004D05E9">
        <w:t>Measurement</w:t>
      </w:r>
      <w:bookmarkEnd w:id="117"/>
    </w:p>
    <w:p w14:paraId="7B04BBA8" w14:textId="77777777" w:rsidR="00FD74B6" w:rsidRPr="004D05E9" w:rsidRDefault="00FD74B6" w:rsidP="00FD74B6">
      <w:pPr>
        <w:tabs>
          <w:tab w:val="left" w:pos="720"/>
          <w:tab w:val="center" w:pos="4680"/>
          <w:tab w:val="right" w:pos="9360"/>
        </w:tabs>
        <w:spacing w:after="240"/>
        <w:rPr>
          <w:rFonts w:cs="Arial"/>
        </w:rPr>
      </w:pPr>
      <w:r w:rsidRPr="004D05E9">
        <w:rPr>
          <w:rFonts w:cs="Arial"/>
        </w:rPr>
        <w:t>Use of Appropriate Behaviors to meet their needs:</w:t>
      </w:r>
    </w:p>
    <w:p w14:paraId="7FA01869" w14:textId="77777777" w:rsidR="00FD74B6" w:rsidRPr="004D05E9" w:rsidRDefault="00FD74B6" w:rsidP="00FD74B6">
      <w:pPr>
        <w:numPr>
          <w:ilvl w:val="0"/>
          <w:numId w:val="19"/>
        </w:numPr>
        <w:overflowPunct w:val="0"/>
        <w:autoSpaceDE w:val="0"/>
        <w:autoSpaceDN w:val="0"/>
        <w:adjustRightInd w:val="0"/>
        <w:spacing w:after="240"/>
        <w:rPr>
          <w:rFonts w:cs="Arial"/>
          <w:kern w:val="28"/>
        </w:rPr>
      </w:pPr>
      <w:r w:rsidRPr="004D05E9">
        <w:rPr>
          <w:rFonts w:cs="Arial"/>
          <w:kern w:val="28"/>
        </w:rPr>
        <w:t xml:space="preserve">Number of preschool children who did not improve functioning divided by the number of preschool </w:t>
      </w:r>
      <w:r w:rsidRPr="004D05E9">
        <w:rPr>
          <w:rFonts w:cs="Arial"/>
          <w:color w:val="000000"/>
          <w:kern w:val="28"/>
        </w:rPr>
        <w:t>children with disabilities</w:t>
      </w:r>
      <w:r w:rsidRPr="004D05E9">
        <w:rPr>
          <w:rFonts w:cs="Arial"/>
          <w:kern w:val="28"/>
        </w:rPr>
        <w:t xml:space="preserve"> assessed, multiplied by 100.</w:t>
      </w:r>
    </w:p>
    <w:p w14:paraId="3BD56211" w14:textId="77777777" w:rsidR="00FD74B6" w:rsidRPr="004D05E9" w:rsidRDefault="00FD74B6" w:rsidP="00FD74B6">
      <w:pPr>
        <w:numPr>
          <w:ilvl w:val="0"/>
          <w:numId w:val="19"/>
        </w:numPr>
        <w:tabs>
          <w:tab w:val="left" w:pos="720"/>
        </w:tabs>
        <w:overflowPunct w:val="0"/>
        <w:autoSpaceDE w:val="0"/>
        <w:autoSpaceDN w:val="0"/>
        <w:adjustRightInd w:val="0"/>
        <w:spacing w:after="240"/>
        <w:rPr>
          <w:rFonts w:cs="Arial"/>
          <w:kern w:val="28"/>
        </w:rPr>
      </w:pPr>
      <w:r w:rsidRPr="004D05E9">
        <w:rPr>
          <w:rFonts w:cs="Arial"/>
          <w:kern w:val="28"/>
        </w:rPr>
        <w:t xml:space="preserve">Number of preschool children who improved functioning but not sufficient to move nearer to functioning comparable to same-aged peers divided by the number of preschool </w:t>
      </w:r>
      <w:r w:rsidRPr="004D05E9">
        <w:rPr>
          <w:rFonts w:cs="Arial"/>
          <w:color w:val="000000"/>
          <w:kern w:val="28"/>
        </w:rPr>
        <w:t>children with disabilities</w:t>
      </w:r>
      <w:r w:rsidRPr="004D05E9">
        <w:rPr>
          <w:rFonts w:cs="Arial"/>
          <w:kern w:val="28"/>
        </w:rPr>
        <w:t xml:space="preserve"> assessed, multiplied by 100.</w:t>
      </w:r>
    </w:p>
    <w:p w14:paraId="041FEBA3" w14:textId="77777777" w:rsidR="00FD74B6" w:rsidRPr="004D05E9" w:rsidRDefault="00FD74B6" w:rsidP="00FD74B6">
      <w:pPr>
        <w:numPr>
          <w:ilvl w:val="0"/>
          <w:numId w:val="19"/>
        </w:numPr>
        <w:overflowPunct w:val="0"/>
        <w:autoSpaceDE w:val="0"/>
        <w:autoSpaceDN w:val="0"/>
        <w:adjustRightInd w:val="0"/>
        <w:spacing w:after="240"/>
        <w:rPr>
          <w:rFonts w:cs="Arial"/>
          <w:kern w:val="28"/>
        </w:rPr>
      </w:pPr>
      <w:r w:rsidRPr="004D05E9">
        <w:rPr>
          <w:rFonts w:cs="Arial"/>
          <w:kern w:val="28"/>
        </w:rPr>
        <w:t xml:space="preserve">Number of preschool children who improved functioning to a level nearer to same-aged peers but did not reach it divided by the number of preschool </w:t>
      </w:r>
      <w:r w:rsidRPr="004D05E9">
        <w:rPr>
          <w:rFonts w:cs="Arial"/>
          <w:color w:val="000000"/>
          <w:kern w:val="28"/>
        </w:rPr>
        <w:t>children with disabilities</w:t>
      </w:r>
      <w:r w:rsidRPr="004D05E9">
        <w:rPr>
          <w:rFonts w:cs="Arial"/>
          <w:kern w:val="28"/>
        </w:rPr>
        <w:t xml:space="preserve"> assessed, multiplied by 100.</w:t>
      </w:r>
    </w:p>
    <w:p w14:paraId="579F8E4D" w14:textId="77777777" w:rsidR="00FD74B6" w:rsidRPr="004D05E9" w:rsidRDefault="00FD74B6" w:rsidP="00FD74B6">
      <w:pPr>
        <w:numPr>
          <w:ilvl w:val="0"/>
          <w:numId w:val="19"/>
        </w:numPr>
        <w:overflowPunct w:val="0"/>
        <w:autoSpaceDE w:val="0"/>
        <w:autoSpaceDN w:val="0"/>
        <w:adjustRightInd w:val="0"/>
        <w:spacing w:after="240"/>
        <w:rPr>
          <w:rFonts w:cs="Arial"/>
          <w:kern w:val="28"/>
        </w:rPr>
      </w:pPr>
      <w:r w:rsidRPr="004D05E9">
        <w:rPr>
          <w:rFonts w:cs="Arial"/>
          <w:kern w:val="28"/>
        </w:rPr>
        <w:t xml:space="preserve">Number of preschool children who improved functioning to reach a level comparable to same-aged peers divided by the number of preschool </w:t>
      </w:r>
      <w:r w:rsidRPr="004D05E9">
        <w:rPr>
          <w:rFonts w:cs="Arial"/>
          <w:color w:val="000000"/>
          <w:kern w:val="28"/>
        </w:rPr>
        <w:t xml:space="preserve">children with disabilities </w:t>
      </w:r>
      <w:r w:rsidRPr="004D05E9">
        <w:rPr>
          <w:rFonts w:cs="Arial"/>
          <w:kern w:val="28"/>
        </w:rPr>
        <w:t>assessed, multiplied by 100.</w:t>
      </w:r>
    </w:p>
    <w:p w14:paraId="1F2301C2" w14:textId="77777777" w:rsidR="00FD74B6" w:rsidRPr="004D05E9" w:rsidRDefault="00FD74B6" w:rsidP="00E4217A">
      <w:pPr>
        <w:numPr>
          <w:ilvl w:val="0"/>
          <w:numId w:val="19"/>
        </w:numPr>
        <w:overflowPunct w:val="0"/>
        <w:autoSpaceDE w:val="0"/>
        <w:autoSpaceDN w:val="0"/>
        <w:adjustRightInd w:val="0"/>
        <w:spacing w:after="240"/>
        <w:rPr>
          <w:rFonts w:cs="Arial"/>
          <w:kern w:val="28"/>
        </w:rPr>
      </w:pPr>
      <w:r w:rsidRPr="004D05E9">
        <w:rPr>
          <w:rFonts w:cs="Arial"/>
          <w:kern w:val="28"/>
        </w:rPr>
        <w:t xml:space="preserve">Number of preschool children who maintained functioning at a level comparable to same-aged peers divided by the number of preschool </w:t>
      </w:r>
      <w:r w:rsidRPr="004D05E9">
        <w:rPr>
          <w:rFonts w:cs="Arial"/>
          <w:color w:val="000000"/>
          <w:kern w:val="28"/>
        </w:rPr>
        <w:t xml:space="preserve">children with disabilities </w:t>
      </w:r>
      <w:r w:rsidRPr="004D05E9">
        <w:rPr>
          <w:rFonts w:cs="Arial"/>
          <w:kern w:val="28"/>
        </w:rPr>
        <w:t>assessed, multiplied by 100.</w:t>
      </w:r>
    </w:p>
    <w:p w14:paraId="1D072487" w14:textId="2A7919A2" w:rsidR="00FD74B6" w:rsidRPr="004D05E9" w:rsidRDefault="00FD74B6" w:rsidP="00E4217A">
      <w:pPr>
        <w:pStyle w:val="Heading3"/>
        <w:spacing w:before="0" w:after="240"/>
      </w:pPr>
      <w:bookmarkStart w:id="118" w:name="_Toc57199056"/>
      <w:r w:rsidRPr="004D05E9">
        <w:t>Results for 201</w:t>
      </w:r>
      <w:r w:rsidR="003561E3" w:rsidRPr="004D05E9">
        <w:t>9</w:t>
      </w:r>
      <w:r w:rsidRPr="004D05E9">
        <w:t>–</w:t>
      </w:r>
      <w:r w:rsidR="003561E3" w:rsidRPr="004D05E9">
        <w:t>20</w:t>
      </w:r>
      <w:bookmarkEnd w:id="118"/>
    </w:p>
    <w:p w14:paraId="36111999" w14:textId="0CAC4E3A" w:rsidR="00FD74B6" w:rsidRPr="004D05E9" w:rsidRDefault="00FD74B6" w:rsidP="00E4217A">
      <w:pPr>
        <w:spacing w:after="240"/>
        <w:rPr>
          <w:rFonts w:cs="Arial"/>
        </w:rPr>
      </w:pPr>
      <w:r w:rsidRPr="004D05E9">
        <w:rPr>
          <w:rFonts w:cs="Arial"/>
        </w:rPr>
        <w:t>In FFY 201</w:t>
      </w:r>
      <w:r w:rsidR="003561E3" w:rsidRPr="004D05E9">
        <w:rPr>
          <w:rFonts w:cs="Arial"/>
        </w:rPr>
        <w:t>9</w:t>
      </w:r>
      <w:r w:rsidRPr="004D05E9">
        <w:rPr>
          <w:rFonts w:cs="Arial"/>
        </w:rPr>
        <w:t xml:space="preserve">, </w:t>
      </w:r>
      <w:r w:rsidR="006C3AEA" w:rsidRPr="004D05E9">
        <w:rPr>
          <w:rFonts w:cs="Arial"/>
        </w:rPr>
        <w:t>79.4</w:t>
      </w:r>
      <w:r w:rsidR="00576F84" w:rsidRPr="004D05E9">
        <w:rPr>
          <w:rFonts w:cs="Arial"/>
        </w:rPr>
        <w:t xml:space="preserve"> </w:t>
      </w:r>
      <w:r w:rsidRPr="004D05E9">
        <w:rPr>
          <w:rFonts w:cs="Arial"/>
        </w:rPr>
        <w:t>percent of students substantially increased their rate of growth by the time they t</w:t>
      </w:r>
      <w:r w:rsidR="00902D7E" w:rsidRPr="004D05E9">
        <w:rPr>
          <w:rFonts w:cs="Arial"/>
        </w:rPr>
        <w:t>urned six years of age or exit</w:t>
      </w:r>
      <w:r w:rsidRPr="004D05E9">
        <w:rPr>
          <w:rFonts w:cs="Arial"/>
        </w:rPr>
        <w:t xml:space="preserve"> the program; and </w:t>
      </w:r>
      <w:r w:rsidR="006C3AEA" w:rsidRPr="004D05E9">
        <w:rPr>
          <w:rFonts w:cs="Arial"/>
        </w:rPr>
        <w:t>77.8</w:t>
      </w:r>
      <w:r w:rsidR="00576F84" w:rsidRPr="004D05E9">
        <w:rPr>
          <w:rFonts w:cs="Arial"/>
        </w:rPr>
        <w:t xml:space="preserve"> </w:t>
      </w:r>
      <w:r w:rsidRPr="004D05E9">
        <w:rPr>
          <w:rFonts w:cs="Arial"/>
        </w:rPr>
        <w:t xml:space="preserve">percent of students were </w:t>
      </w:r>
      <w:r w:rsidRPr="004D05E9">
        <w:rPr>
          <w:rFonts w:cs="Arial"/>
        </w:rPr>
        <w:lastRenderedPageBreak/>
        <w:t xml:space="preserve">functioning within age expectations by the time they </w:t>
      </w:r>
      <w:r w:rsidR="00902D7E" w:rsidRPr="004D05E9">
        <w:rPr>
          <w:rFonts w:cs="Arial"/>
        </w:rPr>
        <w:t>turned six years of age or exit</w:t>
      </w:r>
      <w:r w:rsidRPr="004D05E9">
        <w:rPr>
          <w:rFonts w:cs="Arial"/>
        </w:rPr>
        <w:t xml:space="preserve"> the program.</w:t>
      </w:r>
    </w:p>
    <w:p w14:paraId="490FD228" w14:textId="69DEC4E4" w:rsidR="00FD74B6" w:rsidRPr="004D05E9" w:rsidRDefault="00FD74B6" w:rsidP="00E4217A">
      <w:pPr>
        <w:pStyle w:val="Heading3"/>
        <w:spacing w:before="0" w:after="240"/>
        <w:rPr>
          <w:rFonts w:cs="Arial"/>
        </w:rPr>
      </w:pPr>
      <w:r w:rsidRPr="004D05E9">
        <w:t xml:space="preserve"> </w:t>
      </w:r>
      <w:bookmarkStart w:id="119" w:name="_Toc57199057"/>
      <w:r w:rsidRPr="004D05E9">
        <w:t xml:space="preserve">Target Met: </w:t>
      </w:r>
      <w:r w:rsidR="006C3AEA" w:rsidRPr="004D05E9">
        <w:t>Yes/No</w:t>
      </w:r>
      <w:bookmarkEnd w:id="119"/>
    </w:p>
    <w:p w14:paraId="75E9AEA6" w14:textId="2241D66B" w:rsidR="00FD74B6" w:rsidRPr="004D05E9" w:rsidRDefault="00FD74B6" w:rsidP="004D7261">
      <w:pPr>
        <w:widowControl w:val="0"/>
        <w:overflowPunct w:val="0"/>
        <w:autoSpaceDE w:val="0"/>
        <w:autoSpaceDN w:val="0"/>
        <w:adjustRightInd w:val="0"/>
        <w:rPr>
          <w:rFonts w:cs="Arial"/>
        </w:rPr>
      </w:pPr>
      <w:r w:rsidRPr="004D05E9">
        <w:rPr>
          <w:rFonts w:cs="Arial"/>
          <w:b/>
        </w:rPr>
        <w:t>Preschool Outcomes–Use of Appropriate Behaviors</w:t>
      </w:r>
      <w:r w:rsidRPr="004D05E9">
        <w:rPr>
          <w:rFonts w:cs="Arial"/>
          <w:b/>
          <w:bCs/>
        </w:rPr>
        <w:t xml:space="preserve"> Targets and Results</w:t>
      </w:r>
      <w:r w:rsidRPr="004D05E9">
        <w:rPr>
          <w:rFonts w:cs="Arial"/>
          <w:b/>
          <w:bCs/>
        </w:rPr>
        <w:br/>
        <w:t>for FFY</w:t>
      </w:r>
      <w:r w:rsidR="00A730A7" w:rsidRPr="004D05E9">
        <w:rPr>
          <w:rFonts w:cs="Arial"/>
          <w:b/>
          <w:bCs/>
        </w:rPr>
        <w:t>s</w:t>
      </w:r>
      <w:r w:rsidRPr="004D05E9">
        <w:rPr>
          <w:rFonts w:cs="Arial"/>
          <w:b/>
          <w:bCs/>
        </w:rPr>
        <w:t xml:space="preserve"> 2013–1</w:t>
      </w:r>
      <w:r w:rsidR="003561E3" w:rsidRPr="004D05E9">
        <w:rPr>
          <w:rFonts w:cs="Arial"/>
          <w:b/>
          <w:bCs/>
        </w:rPr>
        <w:t>9</w:t>
      </w:r>
    </w:p>
    <w:tbl>
      <w:tblPr>
        <w:tblStyle w:val="TableGrid7"/>
        <w:tblW w:w="9350" w:type="dxa"/>
        <w:tblLook w:val="04A0" w:firstRow="1" w:lastRow="0" w:firstColumn="1" w:lastColumn="0" w:noHBand="0" w:noVBand="1"/>
        <w:tblDescription w:val="Indicator 7C Targets and Results"/>
      </w:tblPr>
      <w:tblGrid>
        <w:gridCol w:w="1637"/>
        <w:gridCol w:w="1122"/>
        <w:gridCol w:w="1215"/>
        <w:gridCol w:w="1161"/>
        <w:gridCol w:w="1061"/>
        <w:gridCol w:w="1093"/>
        <w:gridCol w:w="1064"/>
        <w:gridCol w:w="997"/>
      </w:tblGrid>
      <w:tr w:rsidR="003561E3" w:rsidRPr="004D05E9" w14:paraId="045B0430" w14:textId="2DDF69BF" w:rsidTr="003561E3">
        <w:trPr>
          <w:cantSplit/>
          <w:tblHeader/>
        </w:trPr>
        <w:tc>
          <w:tcPr>
            <w:tcW w:w="1656" w:type="dxa"/>
            <w:hideMark/>
          </w:tcPr>
          <w:p w14:paraId="20DDFDEF"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Indicator 7C</w:t>
            </w:r>
          </w:p>
        </w:tc>
        <w:tc>
          <w:tcPr>
            <w:tcW w:w="1129" w:type="dxa"/>
            <w:hideMark/>
          </w:tcPr>
          <w:p w14:paraId="7F637563"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2013</w:t>
            </w:r>
          </w:p>
        </w:tc>
        <w:tc>
          <w:tcPr>
            <w:tcW w:w="1226" w:type="dxa"/>
            <w:hideMark/>
          </w:tcPr>
          <w:p w14:paraId="259B66AE"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2014</w:t>
            </w:r>
          </w:p>
        </w:tc>
        <w:tc>
          <w:tcPr>
            <w:tcW w:w="1170" w:type="dxa"/>
            <w:hideMark/>
          </w:tcPr>
          <w:p w14:paraId="55BEE3AC"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2015</w:t>
            </w:r>
          </w:p>
        </w:tc>
        <w:tc>
          <w:tcPr>
            <w:tcW w:w="1064" w:type="dxa"/>
            <w:hideMark/>
          </w:tcPr>
          <w:p w14:paraId="17311BBF"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2016*</w:t>
            </w:r>
          </w:p>
        </w:tc>
        <w:tc>
          <w:tcPr>
            <w:tcW w:w="1097" w:type="dxa"/>
            <w:hideMark/>
          </w:tcPr>
          <w:p w14:paraId="52023531"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2017</w:t>
            </w:r>
          </w:p>
        </w:tc>
        <w:tc>
          <w:tcPr>
            <w:tcW w:w="1067" w:type="dxa"/>
            <w:hideMark/>
          </w:tcPr>
          <w:p w14:paraId="39BF8B97"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2018</w:t>
            </w:r>
          </w:p>
        </w:tc>
        <w:tc>
          <w:tcPr>
            <w:tcW w:w="941" w:type="dxa"/>
          </w:tcPr>
          <w:p w14:paraId="6EE88C04" w14:textId="7698F821"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2019</w:t>
            </w:r>
          </w:p>
        </w:tc>
      </w:tr>
      <w:tr w:rsidR="003561E3" w:rsidRPr="004D05E9" w14:paraId="20EBF945" w14:textId="6A50682B" w:rsidTr="003561E3">
        <w:trPr>
          <w:cantSplit/>
          <w:trHeight w:val="710"/>
        </w:trPr>
        <w:tc>
          <w:tcPr>
            <w:tcW w:w="1656" w:type="dxa"/>
            <w:hideMark/>
          </w:tcPr>
          <w:p w14:paraId="32BC613B" w14:textId="77777777" w:rsidR="003561E3" w:rsidRPr="004D05E9" w:rsidRDefault="003561E3" w:rsidP="003561E3">
            <w:pPr>
              <w:widowControl w:val="0"/>
              <w:overflowPunct w:val="0"/>
              <w:autoSpaceDE w:val="0"/>
              <w:autoSpaceDN w:val="0"/>
              <w:adjustRightInd w:val="0"/>
              <w:jc w:val="center"/>
              <w:rPr>
                <w:rFonts w:cs="Arial"/>
                <w:bCs/>
              </w:rPr>
            </w:pPr>
            <w:r w:rsidRPr="004D05E9">
              <w:rPr>
                <w:rFonts w:cs="Arial"/>
                <w:bCs/>
              </w:rPr>
              <w:t>Target</w:t>
            </w:r>
          </w:p>
        </w:tc>
        <w:tc>
          <w:tcPr>
            <w:tcW w:w="1129" w:type="dxa"/>
            <w:hideMark/>
          </w:tcPr>
          <w:p w14:paraId="7FEAEC52" w14:textId="77777777" w:rsidR="003561E3" w:rsidRPr="004D05E9" w:rsidRDefault="003561E3" w:rsidP="003561E3">
            <w:pPr>
              <w:widowControl w:val="0"/>
              <w:overflowPunct w:val="0"/>
              <w:autoSpaceDE w:val="0"/>
              <w:autoSpaceDN w:val="0"/>
              <w:adjustRightInd w:val="0"/>
              <w:jc w:val="center"/>
              <w:rPr>
                <w:rFonts w:cs="Arial"/>
                <w:color w:val="000000"/>
                <w:kern w:val="28"/>
              </w:rPr>
            </w:pPr>
            <w:r w:rsidRPr="004D05E9">
              <w:rPr>
                <w:rFonts w:cs="Arial"/>
                <w:color w:val="000000"/>
                <w:kern w:val="28"/>
              </w:rPr>
              <w:t>75%/</w:t>
            </w:r>
            <w:r w:rsidRPr="004D05E9">
              <w:rPr>
                <w:rFonts w:cs="Arial"/>
                <w:color w:val="000000"/>
                <w:kern w:val="28"/>
              </w:rPr>
              <w:br/>
              <w:t xml:space="preserve"> 79%</w:t>
            </w:r>
          </w:p>
        </w:tc>
        <w:tc>
          <w:tcPr>
            <w:tcW w:w="1226" w:type="dxa"/>
            <w:hideMark/>
          </w:tcPr>
          <w:p w14:paraId="72790876" w14:textId="77777777" w:rsidR="003561E3" w:rsidRPr="004D05E9" w:rsidRDefault="003561E3" w:rsidP="003561E3">
            <w:pPr>
              <w:widowControl w:val="0"/>
              <w:overflowPunct w:val="0"/>
              <w:autoSpaceDE w:val="0"/>
              <w:autoSpaceDN w:val="0"/>
              <w:adjustRightInd w:val="0"/>
              <w:jc w:val="center"/>
              <w:rPr>
                <w:rFonts w:cs="Arial"/>
                <w:color w:val="000000"/>
                <w:kern w:val="28"/>
              </w:rPr>
            </w:pPr>
            <w:r w:rsidRPr="004D05E9">
              <w:rPr>
                <w:rFonts w:cs="Arial"/>
                <w:color w:val="000000"/>
                <w:kern w:val="28"/>
              </w:rPr>
              <w:t>75%/</w:t>
            </w:r>
            <w:r w:rsidRPr="004D05E9">
              <w:rPr>
                <w:rFonts w:cs="Arial"/>
                <w:color w:val="000000"/>
                <w:kern w:val="28"/>
              </w:rPr>
              <w:br/>
              <w:t xml:space="preserve"> 79%</w:t>
            </w:r>
          </w:p>
        </w:tc>
        <w:tc>
          <w:tcPr>
            <w:tcW w:w="1170" w:type="dxa"/>
            <w:hideMark/>
          </w:tcPr>
          <w:p w14:paraId="28468EAE" w14:textId="77777777" w:rsidR="003561E3" w:rsidRPr="004D05E9" w:rsidRDefault="003561E3" w:rsidP="003561E3">
            <w:pPr>
              <w:widowControl w:val="0"/>
              <w:overflowPunct w:val="0"/>
              <w:autoSpaceDE w:val="0"/>
              <w:autoSpaceDN w:val="0"/>
              <w:adjustRightInd w:val="0"/>
              <w:jc w:val="center"/>
              <w:rPr>
                <w:rFonts w:cs="Arial"/>
                <w:bCs/>
                <w:kern w:val="28"/>
                <w:sz w:val="23"/>
                <w:szCs w:val="23"/>
              </w:rPr>
            </w:pPr>
            <w:r w:rsidRPr="004D05E9">
              <w:rPr>
                <w:rFonts w:cs="Arial"/>
                <w:bCs/>
                <w:kern w:val="28"/>
                <w:sz w:val="23"/>
                <w:szCs w:val="23"/>
              </w:rPr>
              <w:t>68.7%/</w:t>
            </w:r>
            <w:r w:rsidRPr="004D05E9">
              <w:rPr>
                <w:rFonts w:cs="Arial"/>
                <w:bCs/>
                <w:kern w:val="28"/>
                <w:sz w:val="23"/>
                <w:szCs w:val="23"/>
              </w:rPr>
              <w:br/>
              <w:t xml:space="preserve"> 70.4%</w:t>
            </w:r>
          </w:p>
        </w:tc>
        <w:tc>
          <w:tcPr>
            <w:tcW w:w="1064" w:type="dxa"/>
            <w:hideMark/>
          </w:tcPr>
          <w:p w14:paraId="35DC6DC5" w14:textId="77777777" w:rsidR="003561E3" w:rsidRPr="004D05E9" w:rsidRDefault="003561E3" w:rsidP="003561E3">
            <w:pPr>
              <w:widowControl w:val="0"/>
              <w:overflowPunct w:val="0"/>
              <w:autoSpaceDE w:val="0"/>
              <w:autoSpaceDN w:val="0"/>
              <w:adjustRightInd w:val="0"/>
              <w:jc w:val="center"/>
              <w:rPr>
                <w:rFonts w:cs="Arial"/>
                <w:bCs/>
                <w:kern w:val="28"/>
                <w:sz w:val="23"/>
                <w:szCs w:val="23"/>
              </w:rPr>
            </w:pPr>
            <w:r w:rsidRPr="004D05E9">
              <w:rPr>
                <w:rFonts w:cs="Arial"/>
                <w:bCs/>
                <w:kern w:val="28"/>
                <w:sz w:val="23"/>
                <w:szCs w:val="23"/>
              </w:rPr>
              <w:t>73.7%/ 76.45%</w:t>
            </w:r>
          </w:p>
        </w:tc>
        <w:tc>
          <w:tcPr>
            <w:tcW w:w="1097" w:type="dxa"/>
            <w:hideMark/>
          </w:tcPr>
          <w:p w14:paraId="646C001F" w14:textId="77777777" w:rsidR="003561E3" w:rsidRPr="004D05E9" w:rsidRDefault="003561E3" w:rsidP="003561E3">
            <w:pPr>
              <w:widowControl w:val="0"/>
              <w:overflowPunct w:val="0"/>
              <w:autoSpaceDE w:val="0"/>
              <w:autoSpaceDN w:val="0"/>
              <w:adjustRightInd w:val="0"/>
              <w:jc w:val="center"/>
              <w:rPr>
                <w:rFonts w:cs="Arial"/>
                <w:bCs/>
                <w:kern w:val="28"/>
                <w:sz w:val="23"/>
                <w:szCs w:val="23"/>
              </w:rPr>
            </w:pPr>
            <w:r w:rsidRPr="004D05E9">
              <w:rPr>
                <w:rFonts w:cs="Arial"/>
                <w:bCs/>
                <w:kern w:val="28"/>
                <w:sz w:val="23"/>
                <w:szCs w:val="23"/>
              </w:rPr>
              <w:t>74.7%/ 77.45%</w:t>
            </w:r>
          </w:p>
        </w:tc>
        <w:tc>
          <w:tcPr>
            <w:tcW w:w="1067" w:type="dxa"/>
            <w:hideMark/>
          </w:tcPr>
          <w:p w14:paraId="1E4D9223" w14:textId="77777777" w:rsidR="003561E3" w:rsidRPr="004D05E9" w:rsidRDefault="003561E3" w:rsidP="003561E3">
            <w:pPr>
              <w:widowControl w:val="0"/>
              <w:overflowPunct w:val="0"/>
              <w:autoSpaceDE w:val="0"/>
              <w:autoSpaceDN w:val="0"/>
              <w:adjustRightInd w:val="0"/>
              <w:jc w:val="center"/>
              <w:rPr>
                <w:rFonts w:cs="Arial"/>
                <w:bCs/>
                <w:kern w:val="28"/>
                <w:sz w:val="23"/>
                <w:szCs w:val="23"/>
              </w:rPr>
            </w:pPr>
            <w:r w:rsidRPr="004D05E9">
              <w:rPr>
                <w:rFonts w:cs="Arial"/>
                <w:bCs/>
                <w:kern w:val="28"/>
                <w:sz w:val="23"/>
                <w:szCs w:val="23"/>
              </w:rPr>
              <w:t>75.7%/ 78.45%</w:t>
            </w:r>
          </w:p>
        </w:tc>
        <w:tc>
          <w:tcPr>
            <w:tcW w:w="941" w:type="dxa"/>
          </w:tcPr>
          <w:p w14:paraId="29B9170F" w14:textId="148163BE" w:rsidR="003561E3" w:rsidRPr="004D05E9" w:rsidRDefault="003561E3" w:rsidP="003561E3">
            <w:pPr>
              <w:widowControl w:val="0"/>
              <w:overflowPunct w:val="0"/>
              <w:autoSpaceDE w:val="0"/>
              <w:autoSpaceDN w:val="0"/>
              <w:adjustRightInd w:val="0"/>
              <w:jc w:val="center"/>
              <w:rPr>
                <w:rFonts w:cs="Arial"/>
                <w:bCs/>
                <w:kern w:val="28"/>
                <w:sz w:val="23"/>
                <w:szCs w:val="23"/>
              </w:rPr>
            </w:pPr>
            <w:r w:rsidRPr="004D05E9">
              <w:rPr>
                <w:rFonts w:cs="Arial"/>
                <w:bCs/>
                <w:kern w:val="28"/>
                <w:sz w:val="23"/>
                <w:szCs w:val="23"/>
              </w:rPr>
              <w:t>76.7%/ 79.45%</w:t>
            </w:r>
          </w:p>
        </w:tc>
      </w:tr>
      <w:tr w:rsidR="003561E3" w:rsidRPr="004D05E9" w14:paraId="1DF4B8FE" w14:textId="3CB66155" w:rsidTr="003561E3">
        <w:trPr>
          <w:cantSplit/>
          <w:trHeight w:val="706"/>
        </w:trPr>
        <w:tc>
          <w:tcPr>
            <w:tcW w:w="1656" w:type="dxa"/>
            <w:hideMark/>
          </w:tcPr>
          <w:p w14:paraId="17C69A85" w14:textId="77777777" w:rsidR="003561E3" w:rsidRPr="004D05E9" w:rsidRDefault="003561E3" w:rsidP="003561E3">
            <w:pPr>
              <w:widowControl w:val="0"/>
              <w:overflowPunct w:val="0"/>
              <w:autoSpaceDE w:val="0"/>
              <w:autoSpaceDN w:val="0"/>
              <w:adjustRightInd w:val="0"/>
              <w:jc w:val="center"/>
              <w:rPr>
                <w:rFonts w:cs="Arial"/>
                <w:bCs/>
              </w:rPr>
            </w:pPr>
            <w:r w:rsidRPr="004D05E9">
              <w:rPr>
                <w:rFonts w:cs="Arial"/>
                <w:bCs/>
              </w:rPr>
              <w:t>Result</w:t>
            </w:r>
          </w:p>
        </w:tc>
        <w:tc>
          <w:tcPr>
            <w:tcW w:w="1129" w:type="dxa"/>
            <w:hideMark/>
          </w:tcPr>
          <w:p w14:paraId="39229A9D" w14:textId="77777777" w:rsidR="003561E3" w:rsidRPr="004D05E9" w:rsidRDefault="003561E3" w:rsidP="003561E3">
            <w:pPr>
              <w:widowControl w:val="0"/>
              <w:overflowPunct w:val="0"/>
              <w:autoSpaceDE w:val="0"/>
              <w:autoSpaceDN w:val="0"/>
              <w:adjustRightInd w:val="0"/>
              <w:jc w:val="center"/>
              <w:rPr>
                <w:rFonts w:cs="Arial"/>
                <w:color w:val="000000"/>
                <w:kern w:val="28"/>
              </w:rPr>
            </w:pPr>
            <w:r w:rsidRPr="004D05E9">
              <w:rPr>
                <w:rFonts w:cs="Arial"/>
                <w:color w:val="000000"/>
                <w:kern w:val="28"/>
              </w:rPr>
              <w:t>65.9%/ 65.7%</w:t>
            </w:r>
          </w:p>
        </w:tc>
        <w:tc>
          <w:tcPr>
            <w:tcW w:w="1226" w:type="dxa"/>
            <w:hideMark/>
          </w:tcPr>
          <w:p w14:paraId="7F9238A5" w14:textId="77777777" w:rsidR="003561E3" w:rsidRPr="004D05E9" w:rsidRDefault="003561E3" w:rsidP="003561E3">
            <w:pPr>
              <w:widowControl w:val="0"/>
              <w:overflowPunct w:val="0"/>
              <w:autoSpaceDE w:val="0"/>
              <w:autoSpaceDN w:val="0"/>
              <w:adjustRightInd w:val="0"/>
              <w:jc w:val="center"/>
              <w:rPr>
                <w:rFonts w:cs="Arial"/>
                <w:color w:val="000000"/>
                <w:kern w:val="28"/>
              </w:rPr>
            </w:pPr>
            <w:r w:rsidRPr="004D05E9">
              <w:rPr>
                <w:rFonts w:cs="Arial"/>
                <w:color w:val="000000"/>
                <w:kern w:val="28"/>
              </w:rPr>
              <w:t xml:space="preserve">65.8%/ </w:t>
            </w:r>
            <w:r w:rsidRPr="004D05E9">
              <w:rPr>
                <w:rFonts w:cs="Arial"/>
                <w:color w:val="000000"/>
                <w:kern w:val="28"/>
              </w:rPr>
              <w:br/>
              <w:t>65.8%</w:t>
            </w:r>
          </w:p>
        </w:tc>
        <w:tc>
          <w:tcPr>
            <w:tcW w:w="1170" w:type="dxa"/>
            <w:hideMark/>
          </w:tcPr>
          <w:p w14:paraId="27941A50" w14:textId="77777777" w:rsidR="003561E3" w:rsidRPr="004D05E9" w:rsidRDefault="003561E3" w:rsidP="003561E3">
            <w:pPr>
              <w:widowControl w:val="0"/>
              <w:overflowPunct w:val="0"/>
              <w:autoSpaceDE w:val="0"/>
              <w:autoSpaceDN w:val="0"/>
              <w:adjustRightInd w:val="0"/>
              <w:jc w:val="center"/>
              <w:rPr>
                <w:rFonts w:cs="Arial"/>
                <w:color w:val="000000"/>
                <w:kern w:val="28"/>
              </w:rPr>
            </w:pPr>
            <w:r w:rsidRPr="004D05E9">
              <w:rPr>
                <w:rFonts w:cs="Arial"/>
                <w:color w:val="000000"/>
                <w:kern w:val="28"/>
              </w:rPr>
              <w:t>68.7%/</w:t>
            </w:r>
            <w:r w:rsidRPr="004D05E9">
              <w:rPr>
                <w:rFonts w:cs="Arial"/>
                <w:color w:val="000000"/>
                <w:kern w:val="28"/>
              </w:rPr>
              <w:br/>
              <w:t xml:space="preserve"> 70.4%</w:t>
            </w:r>
          </w:p>
        </w:tc>
        <w:tc>
          <w:tcPr>
            <w:tcW w:w="1064" w:type="dxa"/>
            <w:hideMark/>
          </w:tcPr>
          <w:p w14:paraId="77C23903" w14:textId="77777777" w:rsidR="003561E3" w:rsidRPr="004D05E9" w:rsidRDefault="003561E3" w:rsidP="003561E3">
            <w:pPr>
              <w:widowControl w:val="0"/>
              <w:overflowPunct w:val="0"/>
              <w:autoSpaceDE w:val="0"/>
              <w:autoSpaceDN w:val="0"/>
              <w:adjustRightInd w:val="0"/>
              <w:jc w:val="center"/>
              <w:rPr>
                <w:rFonts w:cs="Arial"/>
                <w:kern w:val="28"/>
                <w:sz w:val="23"/>
                <w:szCs w:val="23"/>
              </w:rPr>
            </w:pPr>
            <w:r w:rsidRPr="004D05E9">
              <w:rPr>
                <w:rFonts w:cs="Arial"/>
                <w:bCs/>
                <w:kern w:val="28"/>
                <w:sz w:val="23"/>
                <w:szCs w:val="23"/>
              </w:rPr>
              <w:t>73.7%/ 76.5%</w:t>
            </w:r>
          </w:p>
        </w:tc>
        <w:tc>
          <w:tcPr>
            <w:tcW w:w="1097" w:type="dxa"/>
            <w:hideMark/>
          </w:tcPr>
          <w:p w14:paraId="71123301" w14:textId="77777777" w:rsidR="003561E3" w:rsidRPr="004D05E9" w:rsidRDefault="003561E3" w:rsidP="003561E3">
            <w:pPr>
              <w:widowControl w:val="0"/>
              <w:overflowPunct w:val="0"/>
              <w:autoSpaceDE w:val="0"/>
              <w:autoSpaceDN w:val="0"/>
              <w:adjustRightInd w:val="0"/>
              <w:jc w:val="center"/>
              <w:rPr>
                <w:rFonts w:cs="Arial"/>
                <w:bCs/>
                <w:kern w:val="28"/>
                <w:sz w:val="23"/>
                <w:szCs w:val="23"/>
              </w:rPr>
            </w:pPr>
            <w:r w:rsidRPr="004D05E9">
              <w:rPr>
                <w:rFonts w:cs="Arial"/>
                <w:bCs/>
                <w:kern w:val="28"/>
                <w:sz w:val="23"/>
                <w:szCs w:val="23"/>
              </w:rPr>
              <w:t>75.3%/</w:t>
            </w:r>
          </w:p>
          <w:p w14:paraId="623BA493" w14:textId="77777777" w:rsidR="003561E3" w:rsidRPr="004D05E9" w:rsidRDefault="003561E3" w:rsidP="003561E3">
            <w:pPr>
              <w:widowControl w:val="0"/>
              <w:overflowPunct w:val="0"/>
              <w:autoSpaceDE w:val="0"/>
              <w:autoSpaceDN w:val="0"/>
              <w:adjustRightInd w:val="0"/>
              <w:jc w:val="center"/>
              <w:rPr>
                <w:rFonts w:cs="Arial"/>
                <w:kern w:val="28"/>
                <w:sz w:val="23"/>
                <w:szCs w:val="23"/>
              </w:rPr>
            </w:pPr>
            <w:r w:rsidRPr="004D05E9">
              <w:rPr>
                <w:rFonts w:cs="Arial"/>
                <w:bCs/>
                <w:kern w:val="28"/>
                <w:sz w:val="23"/>
                <w:szCs w:val="23"/>
              </w:rPr>
              <w:t>77.0%</w:t>
            </w:r>
          </w:p>
        </w:tc>
        <w:tc>
          <w:tcPr>
            <w:tcW w:w="1067" w:type="dxa"/>
            <w:hideMark/>
          </w:tcPr>
          <w:p w14:paraId="252574F2" w14:textId="77777777" w:rsidR="003561E3" w:rsidRPr="004D05E9" w:rsidRDefault="003561E3" w:rsidP="003561E3">
            <w:pPr>
              <w:widowControl w:val="0"/>
              <w:overflowPunct w:val="0"/>
              <w:autoSpaceDE w:val="0"/>
              <w:autoSpaceDN w:val="0"/>
              <w:adjustRightInd w:val="0"/>
              <w:jc w:val="center"/>
              <w:rPr>
                <w:rFonts w:cs="Arial"/>
                <w:bCs/>
                <w:kern w:val="28"/>
                <w:sz w:val="23"/>
                <w:szCs w:val="23"/>
              </w:rPr>
            </w:pPr>
            <w:r w:rsidRPr="004D05E9">
              <w:rPr>
                <w:rFonts w:cs="Arial"/>
                <w:bCs/>
                <w:kern w:val="28"/>
                <w:sz w:val="23"/>
                <w:szCs w:val="23"/>
              </w:rPr>
              <w:t>75.4%/</w:t>
            </w:r>
          </w:p>
          <w:p w14:paraId="29041DB7" w14:textId="77777777" w:rsidR="003561E3" w:rsidRPr="004D05E9" w:rsidRDefault="003561E3" w:rsidP="003561E3">
            <w:pPr>
              <w:widowControl w:val="0"/>
              <w:overflowPunct w:val="0"/>
              <w:autoSpaceDE w:val="0"/>
              <w:autoSpaceDN w:val="0"/>
              <w:adjustRightInd w:val="0"/>
              <w:jc w:val="center"/>
              <w:rPr>
                <w:rFonts w:cs="Arial"/>
                <w:kern w:val="28"/>
                <w:sz w:val="23"/>
                <w:szCs w:val="23"/>
              </w:rPr>
            </w:pPr>
            <w:r w:rsidRPr="004D05E9">
              <w:rPr>
                <w:rFonts w:cs="Arial"/>
                <w:kern w:val="28"/>
                <w:sz w:val="23"/>
                <w:szCs w:val="23"/>
              </w:rPr>
              <w:t>76.7%</w:t>
            </w:r>
          </w:p>
        </w:tc>
        <w:tc>
          <w:tcPr>
            <w:tcW w:w="941" w:type="dxa"/>
          </w:tcPr>
          <w:p w14:paraId="176E9B29" w14:textId="77777777" w:rsidR="006C3AEA" w:rsidRPr="004D05E9" w:rsidRDefault="006C3AEA" w:rsidP="003561E3">
            <w:pPr>
              <w:widowControl w:val="0"/>
              <w:overflowPunct w:val="0"/>
              <w:autoSpaceDE w:val="0"/>
              <w:autoSpaceDN w:val="0"/>
              <w:adjustRightInd w:val="0"/>
              <w:jc w:val="center"/>
              <w:rPr>
                <w:rFonts w:cs="Arial"/>
                <w:szCs w:val="20"/>
              </w:rPr>
            </w:pPr>
            <w:r w:rsidRPr="004D05E9">
              <w:rPr>
                <w:rFonts w:cs="Arial"/>
                <w:szCs w:val="20"/>
              </w:rPr>
              <w:t>79.4%/</w:t>
            </w:r>
          </w:p>
          <w:p w14:paraId="3BC0CD46" w14:textId="56305661" w:rsidR="003561E3" w:rsidRPr="004D05E9" w:rsidRDefault="006C3AEA" w:rsidP="003561E3">
            <w:pPr>
              <w:widowControl w:val="0"/>
              <w:overflowPunct w:val="0"/>
              <w:autoSpaceDE w:val="0"/>
              <w:autoSpaceDN w:val="0"/>
              <w:adjustRightInd w:val="0"/>
              <w:jc w:val="center"/>
              <w:rPr>
                <w:rFonts w:cs="Arial"/>
                <w:bCs/>
                <w:kern w:val="28"/>
                <w:sz w:val="23"/>
                <w:szCs w:val="23"/>
              </w:rPr>
            </w:pPr>
            <w:r w:rsidRPr="004D05E9">
              <w:rPr>
                <w:rFonts w:cs="Arial"/>
                <w:szCs w:val="20"/>
              </w:rPr>
              <w:t>77.8%</w:t>
            </w:r>
          </w:p>
        </w:tc>
      </w:tr>
      <w:tr w:rsidR="003561E3" w:rsidRPr="004D05E9" w14:paraId="6DD1057D" w14:textId="6E8FD6A3" w:rsidTr="003561E3">
        <w:trPr>
          <w:cantSplit/>
          <w:trHeight w:val="260"/>
        </w:trPr>
        <w:tc>
          <w:tcPr>
            <w:tcW w:w="1656" w:type="dxa"/>
            <w:hideMark/>
          </w:tcPr>
          <w:p w14:paraId="5069B500" w14:textId="77777777" w:rsidR="003561E3" w:rsidRPr="004D05E9" w:rsidRDefault="003561E3" w:rsidP="003561E3">
            <w:pPr>
              <w:widowControl w:val="0"/>
              <w:overflowPunct w:val="0"/>
              <w:autoSpaceDE w:val="0"/>
              <w:autoSpaceDN w:val="0"/>
              <w:adjustRightInd w:val="0"/>
              <w:jc w:val="center"/>
              <w:rPr>
                <w:rFonts w:cs="Arial"/>
                <w:bCs/>
              </w:rPr>
            </w:pPr>
            <w:r w:rsidRPr="004D05E9">
              <w:rPr>
                <w:rFonts w:cs="Arial"/>
                <w:bCs/>
              </w:rPr>
              <w:t>Target Met</w:t>
            </w:r>
          </w:p>
        </w:tc>
        <w:tc>
          <w:tcPr>
            <w:tcW w:w="1129" w:type="dxa"/>
            <w:hideMark/>
          </w:tcPr>
          <w:p w14:paraId="02519AD8" w14:textId="77777777" w:rsidR="003561E3" w:rsidRPr="004D05E9" w:rsidRDefault="003561E3" w:rsidP="003561E3">
            <w:pPr>
              <w:widowControl w:val="0"/>
              <w:overflowPunct w:val="0"/>
              <w:autoSpaceDE w:val="0"/>
              <w:autoSpaceDN w:val="0"/>
              <w:adjustRightInd w:val="0"/>
              <w:jc w:val="center"/>
              <w:rPr>
                <w:rFonts w:cs="Arial"/>
                <w:color w:val="000000"/>
                <w:kern w:val="28"/>
              </w:rPr>
            </w:pPr>
            <w:r w:rsidRPr="004D05E9">
              <w:rPr>
                <w:rFonts w:cs="Arial"/>
                <w:color w:val="000000"/>
                <w:kern w:val="28"/>
              </w:rPr>
              <w:t>No</w:t>
            </w:r>
          </w:p>
        </w:tc>
        <w:tc>
          <w:tcPr>
            <w:tcW w:w="1226" w:type="dxa"/>
            <w:hideMark/>
          </w:tcPr>
          <w:p w14:paraId="0FADFBC8" w14:textId="77777777" w:rsidR="003561E3" w:rsidRPr="004D05E9" w:rsidRDefault="003561E3" w:rsidP="003561E3">
            <w:pPr>
              <w:widowControl w:val="0"/>
              <w:overflowPunct w:val="0"/>
              <w:autoSpaceDE w:val="0"/>
              <w:autoSpaceDN w:val="0"/>
              <w:adjustRightInd w:val="0"/>
              <w:jc w:val="center"/>
              <w:rPr>
                <w:rFonts w:cs="Arial"/>
                <w:color w:val="000000"/>
                <w:kern w:val="28"/>
              </w:rPr>
            </w:pPr>
            <w:r w:rsidRPr="004D05E9">
              <w:rPr>
                <w:rFonts w:cs="Arial"/>
                <w:color w:val="000000"/>
                <w:kern w:val="28"/>
              </w:rPr>
              <w:t>No</w:t>
            </w:r>
          </w:p>
        </w:tc>
        <w:tc>
          <w:tcPr>
            <w:tcW w:w="1170" w:type="dxa"/>
            <w:hideMark/>
          </w:tcPr>
          <w:p w14:paraId="20A0DAB0" w14:textId="77777777" w:rsidR="003561E3" w:rsidRPr="004D05E9" w:rsidRDefault="003561E3" w:rsidP="003561E3">
            <w:pPr>
              <w:widowControl w:val="0"/>
              <w:overflowPunct w:val="0"/>
              <w:autoSpaceDE w:val="0"/>
              <w:autoSpaceDN w:val="0"/>
              <w:adjustRightInd w:val="0"/>
              <w:jc w:val="center"/>
              <w:rPr>
                <w:rFonts w:cs="Arial"/>
                <w:color w:val="000000"/>
                <w:kern w:val="28"/>
              </w:rPr>
            </w:pPr>
            <w:r w:rsidRPr="004D05E9">
              <w:rPr>
                <w:rFonts w:cs="Arial"/>
                <w:color w:val="000000"/>
                <w:kern w:val="28"/>
              </w:rPr>
              <w:t>Yes</w:t>
            </w:r>
          </w:p>
        </w:tc>
        <w:tc>
          <w:tcPr>
            <w:tcW w:w="1064" w:type="dxa"/>
            <w:hideMark/>
          </w:tcPr>
          <w:p w14:paraId="55F250CD" w14:textId="77777777" w:rsidR="003561E3" w:rsidRPr="004D05E9" w:rsidRDefault="003561E3" w:rsidP="003561E3">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Yes</w:t>
            </w:r>
          </w:p>
        </w:tc>
        <w:tc>
          <w:tcPr>
            <w:tcW w:w="1097" w:type="dxa"/>
            <w:hideMark/>
          </w:tcPr>
          <w:p w14:paraId="4C12B186" w14:textId="77777777" w:rsidR="003561E3" w:rsidRPr="004D05E9" w:rsidRDefault="003561E3" w:rsidP="003561E3">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Yes/No</w:t>
            </w:r>
          </w:p>
        </w:tc>
        <w:tc>
          <w:tcPr>
            <w:tcW w:w="1067" w:type="dxa"/>
            <w:hideMark/>
          </w:tcPr>
          <w:p w14:paraId="04312E7C" w14:textId="77777777" w:rsidR="003561E3" w:rsidRPr="004D05E9" w:rsidRDefault="003561E3" w:rsidP="003561E3">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941" w:type="dxa"/>
          </w:tcPr>
          <w:p w14:paraId="1F2A0DBF" w14:textId="526795A4" w:rsidR="003561E3" w:rsidRPr="004D05E9" w:rsidRDefault="006C3AEA" w:rsidP="003561E3">
            <w:pPr>
              <w:widowControl w:val="0"/>
              <w:overflowPunct w:val="0"/>
              <w:autoSpaceDE w:val="0"/>
              <w:autoSpaceDN w:val="0"/>
              <w:adjustRightInd w:val="0"/>
              <w:jc w:val="center"/>
              <w:rPr>
                <w:rFonts w:cs="Arial"/>
                <w:bCs/>
                <w:color w:val="000000"/>
                <w:kern w:val="28"/>
                <w:sz w:val="23"/>
                <w:szCs w:val="23"/>
              </w:rPr>
            </w:pPr>
            <w:r w:rsidRPr="004D05E9">
              <w:rPr>
                <w:rFonts w:cs="Arial"/>
                <w:bCs/>
                <w:color w:val="000000"/>
                <w:kern w:val="28"/>
                <w:sz w:val="23"/>
                <w:szCs w:val="23"/>
              </w:rPr>
              <w:t>Yes/No</w:t>
            </w:r>
          </w:p>
        </w:tc>
      </w:tr>
    </w:tbl>
    <w:p w14:paraId="06CC8054" w14:textId="77777777" w:rsidR="00FD74B6" w:rsidRPr="004D05E9" w:rsidRDefault="00FD74B6" w:rsidP="00D33AA1">
      <w:pPr>
        <w:rPr>
          <w:rFonts w:cs="Arial"/>
          <w:bCs/>
        </w:rPr>
      </w:pPr>
      <w:r w:rsidRPr="004D05E9">
        <w:rPr>
          <w:rFonts w:cs="Arial"/>
        </w:rPr>
        <w:t>*</w:t>
      </w:r>
      <w:r w:rsidRPr="004D05E9">
        <w:rPr>
          <w:rFonts w:cs="Arial"/>
          <w:bCs/>
        </w:rPr>
        <w:t xml:space="preserve"> Targets were changed this year due to new assessment tool</w:t>
      </w:r>
    </w:p>
    <w:p w14:paraId="6E63C9FD" w14:textId="77777777" w:rsidR="00D33AA1" w:rsidRPr="004D05E9" w:rsidRDefault="00D33AA1" w:rsidP="00D33AA1">
      <w:pPr>
        <w:spacing w:before="6840"/>
      </w:pPr>
    </w:p>
    <w:p w14:paraId="0548E6F3" w14:textId="77777777" w:rsidR="00FD74B6" w:rsidRPr="004D05E9" w:rsidRDefault="00FD74B6" w:rsidP="00E4217A">
      <w:pPr>
        <w:pStyle w:val="Heading2"/>
        <w:spacing w:before="960" w:after="240"/>
        <w:jc w:val="center"/>
      </w:pPr>
      <w:bookmarkStart w:id="120" w:name="_Toc57199058"/>
      <w:r w:rsidRPr="004D05E9">
        <w:lastRenderedPageBreak/>
        <w:t>Indicator 8: Percent of Parents Reporting the Schools Facilitated Parental Involvement</w:t>
      </w:r>
      <w:bookmarkEnd w:id="120"/>
    </w:p>
    <w:p w14:paraId="58D0AB74" w14:textId="77777777" w:rsidR="00FD74B6" w:rsidRPr="004D05E9" w:rsidRDefault="00FD74B6" w:rsidP="00E4217A">
      <w:pPr>
        <w:pStyle w:val="Heading3"/>
        <w:spacing w:before="0" w:after="240"/>
      </w:pPr>
      <w:bookmarkStart w:id="121" w:name="_Toc57199059"/>
      <w:r w:rsidRPr="004D05E9">
        <w:t>Description</w:t>
      </w:r>
      <w:bookmarkEnd w:id="121"/>
    </w:p>
    <w:p w14:paraId="584E5D4D" w14:textId="77777777" w:rsidR="00FD74B6" w:rsidRPr="004D05E9" w:rsidRDefault="00FD74B6" w:rsidP="00E4217A">
      <w:pPr>
        <w:spacing w:after="240"/>
        <w:rPr>
          <w:rFonts w:cs="Arial"/>
        </w:rPr>
      </w:pPr>
      <w:r w:rsidRPr="004D05E9">
        <w:rPr>
          <w:rFonts w:cs="Arial"/>
        </w:rPr>
        <w:t xml:space="preserve">Indicator 8 is a performance indicator that measures the percent of parents with a student receiving special education services who report that schools facilitated parent involvement as a means of improving services and results for students with disabilities (20 </w:t>
      </w:r>
      <w:r w:rsidRPr="004D05E9">
        <w:rPr>
          <w:rFonts w:cs="Arial"/>
          <w:iCs/>
        </w:rPr>
        <w:t>U.S.C.</w:t>
      </w:r>
      <w:r w:rsidRPr="004D05E9">
        <w:rPr>
          <w:rFonts w:cs="Arial"/>
        </w:rPr>
        <w:t xml:space="preserve"> </w:t>
      </w:r>
      <w:r w:rsidR="002A11EB" w:rsidRPr="004D05E9">
        <w:rPr>
          <w:rFonts w:cs="Arial"/>
        </w:rPr>
        <w:t xml:space="preserve">Section </w:t>
      </w:r>
      <w:r w:rsidRPr="004D05E9">
        <w:rPr>
          <w:rFonts w:cs="Arial"/>
        </w:rPr>
        <w:t>1416[a][3][A]). These data are one question in a survey distributed, collected, and reported by the Special Education Local Plan Areas (SELPAs). The measure is the percentage of parents responding “yes” to the following question: “Did the school district facilitate parent involvement as a means of improving services and results for your child?”</w:t>
      </w:r>
    </w:p>
    <w:p w14:paraId="515E3CD8" w14:textId="013FD995" w:rsidR="00FD74B6" w:rsidRPr="004D05E9" w:rsidRDefault="00FD74B6" w:rsidP="00E4217A">
      <w:pPr>
        <w:pStyle w:val="Heading3"/>
        <w:spacing w:before="0" w:after="240"/>
      </w:pPr>
      <w:bookmarkStart w:id="122" w:name="_Toc57199060"/>
      <w:r w:rsidRPr="004D05E9">
        <w:t>Target for 201</w:t>
      </w:r>
      <w:r w:rsidR="003561E3" w:rsidRPr="004D05E9">
        <w:t>9</w:t>
      </w:r>
      <w:r w:rsidRPr="004D05E9">
        <w:t>–</w:t>
      </w:r>
      <w:r w:rsidR="003561E3" w:rsidRPr="004D05E9">
        <w:t>20</w:t>
      </w:r>
      <w:bookmarkEnd w:id="122"/>
    </w:p>
    <w:p w14:paraId="27511D8F" w14:textId="69D1A941" w:rsidR="00FD74B6" w:rsidRPr="004D05E9" w:rsidRDefault="00FD74B6" w:rsidP="00E4217A">
      <w:pPr>
        <w:spacing w:after="240"/>
        <w:rPr>
          <w:rFonts w:cs="Arial"/>
          <w:b/>
          <w:bCs/>
        </w:rPr>
      </w:pPr>
      <w:r w:rsidRPr="004D05E9">
        <w:rPr>
          <w:rFonts w:cs="Arial"/>
        </w:rPr>
        <w:t>Ninety-</w:t>
      </w:r>
      <w:r w:rsidR="003561E3" w:rsidRPr="004D05E9">
        <w:rPr>
          <w:rFonts w:cs="Arial"/>
        </w:rPr>
        <w:t>four</w:t>
      </w:r>
      <w:r w:rsidRPr="004D05E9">
        <w:rPr>
          <w:rFonts w:cs="Arial"/>
        </w:rPr>
        <w:t xml:space="preserve"> percent of parents will report LEAs facilitated parent involvement as a means of improving services and results for students with disabilities. </w:t>
      </w:r>
      <w:r w:rsidRPr="004D05E9">
        <w:rPr>
          <w:rFonts w:cs="Arial"/>
          <w:bCs/>
        </w:rPr>
        <w:t>These targets represent changes approved by the SBE and the OSEP in FFY 2014 and will be in effect for FFY</w:t>
      </w:r>
      <w:r w:rsidR="003A7E90" w:rsidRPr="004D05E9">
        <w:rPr>
          <w:rFonts w:cs="Arial"/>
          <w:bCs/>
        </w:rPr>
        <w:t>s</w:t>
      </w:r>
      <w:r w:rsidRPr="004D05E9">
        <w:rPr>
          <w:rFonts w:cs="Arial"/>
          <w:bCs/>
        </w:rPr>
        <w:t xml:space="preserve"> 2013–1</w:t>
      </w:r>
      <w:r w:rsidR="003561E3" w:rsidRPr="004D05E9">
        <w:rPr>
          <w:rFonts w:cs="Arial"/>
          <w:bCs/>
        </w:rPr>
        <w:t>9</w:t>
      </w:r>
      <w:r w:rsidRPr="004D05E9">
        <w:rPr>
          <w:rFonts w:cs="Arial"/>
          <w:bCs/>
        </w:rPr>
        <w:t>.</w:t>
      </w:r>
    </w:p>
    <w:p w14:paraId="6DE7D0C9" w14:textId="77777777" w:rsidR="00FD74B6" w:rsidRPr="004D05E9" w:rsidRDefault="00FD74B6" w:rsidP="00E4217A">
      <w:pPr>
        <w:pStyle w:val="Heading3"/>
        <w:spacing w:before="0" w:after="240"/>
      </w:pPr>
      <w:bookmarkStart w:id="123" w:name="_Toc57199061"/>
      <w:r w:rsidRPr="004D05E9">
        <w:t>Measurement</w:t>
      </w:r>
      <w:bookmarkEnd w:id="123"/>
    </w:p>
    <w:p w14:paraId="7141A70D" w14:textId="77777777" w:rsidR="00FD74B6" w:rsidRPr="004D05E9" w:rsidRDefault="00FD74B6" w:rsidP="00E4217A">
      <w:pPr>
        <w:tabs>
          <w:tab w:val="left" w:pos="720"/>
          <w:tab w:val="center" w:pos="4680"/>
          <w:tab w:val="right" w:pos="9360"/>
        </w:tabs>
        <w:spacing w:after="240"/>
        <w:rPr>
          <w:rFonts w:cs="Arial"/>
        </w:rPr>
      </w:pPr>
      <w:r w:rsidRPr="004D05E9">
        <w:rPr>
          <w:rFonts w:cs="Arial"/>
        </w:rPr>
        <w:t>The number of respondent parents who report schools facilitated parent involvement as a means of improving services and results for students with disabilities divided by the total number of respondent parents of students with disabilities.</w:t>
      </w:r>
    </w:p>
    <w:p w14:paraId="7EB29D9F" w14:textId="549ACFF8" w:rsidR="00FD74B6" w:rsidRPr="004D05E9" w:rsidRDefault="00FD74B6" w:rsidP="00E4217A">
      <w:pPr>
        <w:pStyle w:val="Heading3"/>
        <w:spacing w:after="240"/>
      </w:pPr>
      <w:bookmarkStart w:id="124" w:name="_Toc57199062"/>
      <w:r w:rsidRPr="004D05E9">
        <w:t>Results for 201</w:t>
      </w:r>
      <w:r w:rsidR="003561E3" w:rsidRPr="004D05E9">
        <w:t>9</w:t>
      </w:r>
      <w:r w:rsidRPr="004D05E9">
        <w:t>–</w:t>
      </w:r>
      <w:r w:rsidR="003561E3" w:rsidRPr="004D05E9">
        <w:t>20</w:t>
      </w:r>
      <w:bookmarkEnd w:id="124"/>
    </w:p>
    <w:p w14:paraId="2555DF5D" w14:textId="55F2B079" w:rsidR="00FD74B6" w:rsidRPr="004D05E9" w:rsidRDefault="00FD74B6" w:rsidP="00E4217A">
      <w:pPr>
        <w:spacing w:after="240"/>
        <w:rPr>
          <w:rFonts w:cs="Arial"/>
        </w:rPr>
      </w:pPr>
      <w:r w:rsidRPr="004D05E9">
        <w:rPr>
          <w:rFonts w:cs="Arial"/>
        </w:rPr>
        <w:t>The result for FFY 201</w:t>
      </w:r>
      <w:r w:rsidR="003561E3" w:rsidRPr="004D05E9">
        <w:rPr>
          <w:rFonts w:cs="Arial"/>
        </w:rPr>
        <w:t>9</w:t>
      </w:r>
      <w:r w:rsidRPr="004D05E9">
        <w:rPr>
          <w:rFonts w:cs="Arial"/>
        </w:rPr>
        <w:t xml:space="preserve"> was </w:t>
      </w:r>
      <w:r w:rsidR="003561E3" w:rsidRPr="004D05E9">
        <w:rPr>
          <w:rFonts w:cs="Arial"/>
        </w:rPr>
        <w:t>99.6</w:t>
      </w:r>
      <w:r w:rsidRPr="004D05E9">
        <w:rPr>
          <w:rFonts w:cs="Arial"/>
        </w:rPr>
        <w:t xml:space="preserve"> percent of respondent parents with a student receiving special education services reported that LEAs facilitated parental involvement.</w:t>
      </w:r>
    </w:p>
    <w:p w14:paraId="6A66BD56" w14:textId="0DF358A7" w:rsidR="00FD74B6" w:rsidRPr="004D05E9" w:rsidRDefault="00FD74B6" w:rsidP="00E4217A">
      <w:pPr>
        <w:pStyle w:val="Heading3"/>
        <w:spacing w:before="0" w:after="240"/>
      </w:pPr>
      <w:bookmarkStart w:id="125" w:name="_Toc57199063"/>
      <w:r w:rsidRPr="004D05E9">
        <w:t>Target Met: Yes</w:t>
      </w:r>
      <w:bookmarkEnd w:id="125"/>
    </w:p>
    <w:p w14:paraId="30E0F4CE" w14:textId="05A9689B" w:rsidR="00FD74B6" w:rsidRPr="004D05E9" w:rsidRDefault="00FD74B6" w:rsidP="004D7261">
      <w:pPr>
        <w:widowControl w:val="0"/>
        <w:overflowPunct w:val="0"/>
        <w:autoSpaceDE w:val="0"/>
        <w:autoSpaceDN w:val="0"/>
        <w:adjustRightInd w:val="0"/>
        <w:rPr>
          <w:rFonts w:cs="Arial"/>
          <w:b/>
          <w:bCs/>
        </w:rPr>
      </w:pPr>
      <w:r w:rsidRPr="004D05E9">
        <w:rPr>
          <w:rFonts w:cs="Arial"/>
          <w:b/>
          <w:bCs/>
        </w:rPr>
        <w:t>Parent Involvement/Input–Targets and Results for FFY</w:t>
      </w:r>
      <w:r w:rsidR="00A730A7" w:rsidRPr="004D05E9">
        <w:rPr>
          <w:rFonts w:cs="Arial"/>
          <w:b/>
          <w:bCs/>
        </w:rPr>
        <w:t>s</w:t>
      </w:r>
      <w:r w:rsidRPr="004D05E9">
        <w:rPr>
          <w:rFonts w:cs="Arial"/>
          <w:b/>
          <w:bCs/>
        </w:rPr>
        <w:t xml:space="preserve"> 2013–1</w:t>
      </w:r>
      <w:r w:rsidR="003561E3" w:rsidRPr="004D05E9">
        <w:rPr>
          <w:rFonts w:cs="Arial"/>
          <w:b/>
          <w:bCs/>
        </w:rPr>
        <w:t>9</w:t>
      </w:r>
    </w:p>
    <w:tbl>
      <w:tblPr>
        <w:tblStyle w:val="TableGrid8"/>
        <w:tblW w:w="0" w:type="auto"/>
        <w:tblLook w:val="04A0" w:firstRow="1" w:lastRow="0" w:firstColumn="1" w:lastColumn="0" w:noHBand="0" w:noVBand="1"/>
        <w:tblDescription w:val="Indicator 8 Targets and Results"/>
      </w:tblPr>
      <w:tblGrid>
        <w:gridCol w:w="1564"/>
        <w:gridCol w:w="1030"/>
        <w:gridCol w:w="1030"/>
        <w:gridCol w:w="1030"/>
        <w:gridCol w:w="884"/>
        <w:gridCol w:w="884"/>
        <w:gridCol w:w="884"/>
        <w:gridCol w:w="884"/>
      </w:tblGrid>
      <w:tr w:rsidR="003561E3" w:rsidRPr="004D05E9" w14:paraId="57A171FF" w14:textId="2DFE084B" w:rsidTr="00463712">
        <w:trPr>
          <w:cantSplit/>
          <w:tblHeader/>
        </w:trPr>
        <w:tc>
          <w:tcPr>
            <w:tcW w:w="1564" w:type="dxa"/>
            <w:hideMark/>
          </w:tcPr>
          <w:p w14:paraId="411C515D"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Indicator 8</w:t>
            </w:r>
          </w:p>
        </w:tc>
        <w:tc>
          <w:tcPr>
            <w:tcW w:w="1030" w:type="dxa"/>
            <w:hideMark/>
          </w:tcPr>
          <w:p w14:paraId="766A350C"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2013</w:t>
            </w:r>
          </w:p>
        </w:tc>
        <w:tc>
          <w:tcPr>
            <w:tcW w:w="1030" w:type="dxa"/>
            <w:hideMark/>
          </w:tcPr>
          <w:p w14:paraId="63820C83"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2014</w:t>
            </w:r>
          </w:p>
        </w:tc>
        <w:tc>
          <w:tcPr>
            <w:tcW w:w="1030" w:type="dxa"/>
            <w:hideMark/>
          </w:tcPr>
          <w:p w14:paraId="0F26E0E0"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2015</w:t>
            </w:r>
          </w:p>
        </w:tc>
        <w:tc>
          <w:tcPr>
            <w:tcW w:w="884" w:type="dxa"/>
            <w:hideMark/>
          </w:tcPr>
          <w:p w14:paraId="618D9856"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2016</w:t>
            </w:r>
          </w:p>
        </w:tc>
        <w:tc>
          <w:tcPr>
            <w:tcW w:w="884" w:type="dxa"/>
            <w:hideMark/>
          </w:tcPr>
          <w:p w14:paraId="101A0678"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2017</w:t>
            </w:r>
          </w:p>
        </w:tc>
        <w:tc>
          <w:tcPr>
            <w:tcW w:w="884" w:type="dxa"/>
            <w:hideMark/>
          </w:tcPr>
          <w:p w14:paraId="5176DA4C"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2018</w:t>
            </w:r>
          </w:p>
        </w:tc>
        <w:tc>
          <w:tcPr>
            <w:tcW w:w="884" w:type="dxa"/>
          </w:tcPr>
          <w:p w14:paraId="0590F38D" w14:textId="55EE703D"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2019</w:t>
            </w:r>
          </w:p>
        </w:tc>
      </w:tr>
      <w:tr w:rsidR="003561E3" w:rsidRPr="004D05E9" w14:paraId="28EC68E0" w14:textId="24DC1495" w:rsidTr="00463712">
        <w:trPr>
          <w:cantSplit/>
        </w:trPr>
        <w:tc>
          <w:tcPr>
            <w:tcW w:w="1564" w:type="dxa"/>
            <w:hideMark/>
          </w:tcPr>
          <w:p w14:paraId="679F1C0D"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Target</w:t>
            </w:r>
          </w:p>
        </w:tc>
        <w:tc>
          <w:tcPr>
            <w:tcW w:w="1030" w:type="dxa"/>
            <w:hideMark/>
          </w:tcPr>
          <w:p w14:paraId="5E040573"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90%</w:t>
            </w:r>
          </w:p>
        </w:tc>
        <w:tc>
          <w:tcPr>
            <w:tcW w:w="1030" w:type="dxa"/>
            <w:hideMark/>
          </w:tcPr>
          <w:p w14:paraId="5B51E7BD"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90%</w:t>
            </w:r>
          </w:p>
        </w:tc>
        <w:tc>
          <w:tcPr>
            <w:tcW w:w="1030" w:type="dxa"/>
            <w:hideMark/>
          </w:tcPr>
          <w:p w14:paraId="70342B21"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90%</w:t>
            </w:r>
          </w:p>
        </w:tc>
        <w:tc>
          <w:tcPr>
            <w:tcW w:w="884" w:type="dxa"/>
            <w:hideMark/>
          </w:tcPr>
          <w:p w14:paraId="1C67794A"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91%</w:t>
            </w:r>
          </w:p>
        </w:tc>
        <w:tc>
          <w:tcPr>
            <w:tcW w:w="884" w:type="dxa"/>
            <w:hideMark/>
          </w:tcPr>
          <w:p w14:paraId="48A4DFBA"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92%</w:t>
            </w:r>
          </w:p>
        </w:tc>
        <w:tc>
          <w:tcPr>
            <w:tcW w:w="884" w:type="dxa"/>
            <w:hideMark/>
          </w:tcPr>
          <w:p w14:paraId="7827C639"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93%</w:t>
            </w:r>
          </w:p>
        </w:tc>
        <w:tc>
          <w:tcPr>
            <w:tcW w:w="884" w:type="dxa"/>
          </w:tcPr>
          <w:p w14:paraId="2A0E5FFD" w14:textId="5ACDB7AB"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94%</w:t>
            </w:r>
          </w:p>
        </w:tc>
      </w:tr>
      <w:tr w:rsidR="003561E3" w:rsidRPr="004D05E9" w14:paraId="5E2FFB25" w14:textId="048527CF" w:rsidTr="00463712">
        <w:trPr>
          <w:cantSplit/>
        </w:trPr>
        <w:tc>
          <w:tcPr>
            <w:tcW w:w="1564" w:type="dxa"/>
            <w:hideMark/>
          </w:tcPr>
          <w:p w14:paraId="10803012"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Result</w:t>
            </w:r>
          </w:p>
        </w:tc>
        <w:tc>
          <w:tcPr>
            <w:tcW w:w="1030" w:type="dxa"/>
            <w:hideMark/>
          </w:tcPr>
          <w:p w14:paraId="20C0DC16"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99.1%</w:t>
            </w:r>
          </w:p>
        </w:tc>
        <w:tc>
          <w:tcPr>
            <w:tcW w:w="1030" w:type="dxa"/>
            <w:hideMark/>
          </w:tcPr>
          <w:p w14:paraId="21C7FEA7"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99.2%</w:t>
            </w:r>
          </w:p>
        </w:tc>
        <w:tc>
          <w:tcPr>
            <w:tcW w:w="1030" w:type="dxa"/>
            <w:hideMark/>
          </w:tcPr>
          <w:p w14:paraId="10810B29"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93.8%</w:t>
            </w:r>
          </w:p>
        </w:tc>
        <w:tc>
          <w:tcPr>
            <w:tcW w:w="884" w:type="dxa"/>
            <w:hideMark/>
          </w:tcPr>
          <w:p w14:paraId="4195EA1A"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99.5%</w:t>
            </w:r>
          </w:p>
        </w:tc>
        <w:tc>
          <w:tcPr>
            <w:tcW w:w="884" w:type="dxa"/>
            <w:hideMark/>
          </w:tcPr>
          <w:p w14:paraId="2F42C8DA"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99.5%</w:t>
            </w:r>
          </w:p>
        </w:tc>
        <w:tc>
          <w:tcPr>
            <w:tcW w:w="884" w:type="dxa"/>
            <w:hideMark/>
          </w:tcPr>
          <w:p w14:paraId="30203221"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99.5%</w:t>
            </w:r>
          </w:p>
        </w:tc>
        <w:tc>
          <w:tcPr>
            <w:tcW w:w="884" w:type="dxa"/>
          </w:tcPr>
          <w:p w14:paraId="0354DAD6" w14:textId="3F40E18F" w:rsidR="003561E3" w:rsidRPr="004D05E9" w:rsidRDefault="003561E3" w:rsidP="00FD74B6">
            <w:pPr>
              <w:widowControl w:val="0"/>
              <w:overflowPunct w:val="0"/>
              <w:autoSpaceDE w:val="0"/>
              <w:autoSpaceDN w:val="0"/>
              <w:adjustRightInd w:val="0"/>
              <w:jc w:val="center"/>
              <w:rPr>
                <w:rFonts w:cs="Arial"/>
                <w:bCs/>
                <w:color w:val="000000"/>
                <w:kern w:val="28"/>
                <w:sz w:val="23"/>
                <w:szCs w:val="23"/>
              </w:rPr>
            </w:pPr>
            <w:r w:rsidRPr="004D05E9">
              <w:rPr>
                <w:rFonts w:cs="Arial"/>
                <w:bCs/>
                <w:color w:val="000000"/>
                <w:kern w:val="28"/>
                <w:sz w:val="23"/>
                <w:szCs w:val="23"/>
              </w:rPr>
              <w:t>99.6%</w:t>
            </w:r>
          </w:p>
        </w:tc>
      </w:tr>
      <w:tr w:rsidR="003561E3" w:rsidRPr="004D05E9" w14:paraId="0616FA67" w14:textId="695C04C7" w:rsidTr="00463712">
        <w:trPr>
          <w:cantSplit/>
        </w:trPr>
        <w:tc>
          <w:tcPr>
            <w:tcW w:w="1564" w:type="dxa"/>
            <w:hideMark/>
          </w:tcPr>
          <w:p w14:paraId="71C2AE81"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Target Met</w:t>
            </w:r>
          </w:p>
        </w:tc>
        <w:tc>
          <w:tcPr>
            <w:tcW w:w="1030" w:type="dxa"/>
            <w:hideMark/>
          </w:tcPr>
          <w:p w14:paraId="54AD7290"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Yes</w:t>
            </w:r>
          </w:p>
        </w:tc>
        <w:tc>
          <w:tcPr>
            <w:tcW w:w="1030" w:type="dxa"/>
            <w:hideMark/>
          </w:tcPr>
          <w:p w14:paraId="1D10E724"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Yes</w:t>
            </w:r>
          </w:p>
        </w:tc>
        <w:tc>
          <w:tcPr>
            <w:tcW w:w="1030" w:type="dxa"/>
            <w:hideMark/>
          </w:tcPr>
          <w:p w14:paraId="2C8007FA"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Yes</w:t>
            </w:r>
          </w:p>
        </w:tc>
        <w:tc>
          <w:tcPr>
            <w:tcW w:w="884" w:type="dxa"/>
            <w:hideMark/>
          </w:tcPr>
          <w:p w14:paraId="46BEC8A1"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Yes</w:t>
            </w:r>
          </w:p>
        </w:tc>
        <w:tc>
          <w:tcPr>
            <w:tcW w:w="884" w:type="dxa"/>
            <w:hideMark/>
          </w:tcPr>
          <w:p w14:paraId="202394EB"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Yes</w:t>
            </w:r>
          </w:p>
        </w:tc>
        <w:tc>
          <w:tcPr>
            <w:tcW w:w="884" w:type="dxa"/>
            <w:hideMark/>
          </w:tcPr>
          <w:p w14:paraId="1014B957"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Yes</w:t>
            </w:r>
          </w:p>
        </w:tc>
        <w:tc>
          <w:tcPr>
            <w:tcW w:w="884" w:type="dxa"/>
          </w:tcPr>
          <w:p w14:paraId="0A30399D" w14:textId="6EBD7BE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color w:val="000000"/>
                <w:kern w:val="28"/>
                <w:sz w:val="23"/>
                <w:szCs w:val="23"/>
              </w:rPr>
              <w:t>Yes</w:t>
            </w:r>
          </w:p>
        </w:tc>
      </w:tr>
    </w:tbl>
    <w:p w14:paraId="3A90F2F2" w14:textId="77777777" w:rsidR="00FD74B6" w:rsidRPr="004D05E9" w:rsidRDefault="00FD74B6" w:rsidP="00FD74B6">
      <w:r w:rsidRPr="004D05E9">
        <w:br w:type="page"/>
      </w:r>
    </w:p>
    <w:p w14:paraId="65C50A39" w14:textId="77777777" w:rsidR="00FD74B6" w:rsidRPr="004D05E9" w:rsidRDefault="00FD74B6" w:rsidP="00E4217A">
      <w:pPr>
        <w:pStyle w:val="Heading2"/>
        <w:spacing w:before="0" w:after="240"/>
        <w:jc w:val="center"/>
        <w:rPr>
          <w:bCs/>
        </w:rPr>
      </w:pPr>
      <w:bookmarkStart w:id="126" w:name="_Toc57199064"/>
      <w:r w:rsidRPr="004D05E9">
        <w:lastRenderedPageBreak/>
        <w:t xml:space="preserve">Indicator </w:t>
      </w:r>
      <w:r w:rsidRPr="004D05E9">
        <w:rPr>
          <w:bCs/>
        </w:rPr>
        <w:t xml:space="preserve">9: </w:t>
      </w:r>
      <w:r w:rsidRPr="004D05E9">
        <w:t>Disproportionate Representation</w:t>
      </w:r>
      <w:bookmarkEnd w:id="126"/>
    </w:p>
    <w:p w14:paraId="53262484" w14:textId="77777777" w:rsidR="00FD74B6" w:rsidRPr="004D05E9" w:rsidRDefault="00FD74B6" w:rsidP="00E4217A">
      <w:pPr>
        <w:pStyle w:val="Heading3"/>
        <w:spacing w:before="0" w:after="240"/>
      </w:pPr>
      <w:bookmarkStart w:id="127" w:name="_Toc57199065"/>
      <w:r w:rsidRPr="004D05E9">
        <w:t>Description</w:t>
      </w:r>
      <w:bookmarkEnd w:id="127"/>
    </w:p>
    <w:p w14:paraId="7953C6CC" w14:textId="77777777" w:rsidR="00FD74B6" w:rsidRPr="004D05E9" w:rsidRDefault="00FD74B6" w:rsidP="00E4217A">
      <w:pPr>
        <w:tabs>
          <w:tab w:val="left" w:pos="720"/>
          <w:tab w:val="center" w:pos="4680"/>
          <w:tab w:val="right" w:pos="9360"/>
        </w:tabs>
        <w:spacing w:after="240"/>
        <w:rPr>
          <w:rFonts w:cs="Arial"/>
        </w:rPr>
      </w:pPr>
      <w:r w:rsidRPr="004D05E9">
        <w:rPr>
          <w:rFonts w:cs="Arial"/>
        </w:rPr>
        <w:t xml:space="preserve">Indicator 9 is a compliance indicator that measures the percent of LEAs with disproportionate representation of racial and ethnic groups in special education and related services that is the result of inappropriate identification (20 U.S.C. </w:t>
      </w:r>
      <w:r w:rsidR="002A11EB" w:rsidRPr="004D05E9">
        <w:rPr>
          <w:rFonts w:cs="Arial"/>
        </w:rPr>
        <w:t xml:space="preserve">Section </w:t>
      </w:r>
      <w:r w:rsidRPr="004D05E9">
        <w:rPr>
          <w:rFonts w:cs="Arial"/>
        </w:rPr>
        <w:t xml:space="preserve">1416[a][3][C]). The calculation for Indicator 9 has been changed to match the new federal regulations in 34 </w:t>
      </w:r>
      <w:r w:rsidRPr="004D05E9">
        <w:rPr>
          <w:rFonts w:cs="Arial"/>
          <w:i/>
        </w:rPr>
        <w:t>C</w:t>
      </w:r>
      <w:r w:rsidR="00C90330" w:rsidRPr="004D05E9">
        <w:rPr>
          <w:rFonts w:cs="Arial"/>
          <w:i/>
        </w:rPr>
        <w:t xml:space="preserve">ode of </w:t>
      </w:r>
      <w:r w:rsidRPr="004D05E9">
        <w:rPr>
          <w:rFonts w:cs="Arial"/>
          <w:i/>
        </w:rPr>
        <w:t>F</w:t>
      </w:r>
      <w:r w:rsidR="00C90330" w:rsidRPr="004D05E9">
        <w:rPr>
          <w:rFonts w:cs="Arial"/>
          <w:i/>
        </w:rPr>
        <w:t xml:space="preserve">ederal </w:t>
      </w:r>
      <w:r w:rsidRPr="004D05E9">
        <w:rPr>
          <w:rFonts w:cs="Arial"/>
          <w:i/>
        </w:rPr>
        <w:t>R</w:t>
      </w:r>
      <w:r w:rsidR="00C90330" w:rsidRPr="004D05E9">
        <w:rPr>
          <w:rFonts w:cs="Arial"/>
          <w:i/>
        </w:rPr>
        <w:t>egulation</w:t>
      </w:r>
      <w:r w:rsidRPr="004D05E9">
        <w:rPr>
          <w:rFonts w:cs="Arial"/>
        </w:rPr>
        <w:t xml:space="preserve"> </w:t>
      </w:r>
      <w:r w:rsidR="00902D7E" w:rsidRPr="004D05E9">
        <w:rPr>
          <w:rFonts w:cs="Arial"/>
        </w:rPr>
        <w:t xml:space="preserve">(CFR) </w:t>
      </w:r>
      <w:r w:rsidRPr="004D05E9">
        <w:rPr>
          <w:rFonts w:cs="Arial"/>
        </w:rPr>
        <w:t>300.647. Effective FFY 2016, the CDE uses the risk ratio (or the alternate risk ratio when appropriate) to make identification of disproportionate representation. LEAs selected are required to go through a review of policies, practices, and procedu</w:t>
      </w:r>
      <w:r w:rsidR="00E4217A" w:rsidRPr="004D05E9">
        <w:rPr>
          <w:rFonts w:cs="Arial"/>
        </w:rPr>
        <w:t>res.</w:t>
      </w:r>
    </w:p>
    <w:p w14:paraId="1DFE8110" w14:textId="3C8E0CD9" w:rsidR="00FD74B6" w:rsidRPr="004D05E9" w:rsidRDefault="00FD74B6" w:rsidP="00E4217A">
      <w:pPr>
        <w:pStyle w:val="Heading3"/>
        <w:spacing w:before="0" w:after="240"/>
      </w:pPr>
      <w:bookmarkStart w:id="128" w:name="_Toc57199066"/>
      <w:r w:rsidRPr="004D05E9">
        <w:t>Target for 201</w:t>
      </w:r>
      <w:r w:rsidR="003561E3" w:rsidRPr="004D05E9">
        <w:t>9</w:t>
      </w:r>
      <w:r w:rsidRPr="004D05E9">
        <w:t>–</w:t>
      </w:r>
      <w:r w:rsidR="003561E3" w:rsidRPr="004D05E9">
        <w:t>20</w:t>
      </w:r>
      <w:bookmarkEnd w:id="128"/>
    </w:p>
    <w:p w14:paraId="47AA0D84" w14:textId="77777777" w:rsidR="00FD74B6" w:rsidRPr="004D05E9" w:rsidRDefault="00FD74B6" w:rsidP="00E4217A">
      <w:pPr>
        <w:spacing w:after="240"/>
        <w:rPr>
          <w:rFonts w:cs="Arial"/>
        </w:rPr>
      </w:pPr>
      <w:r w:rsidRPr="004D05E9">
        <w:rPr>
          <w:rFonts w:cs="Arial"/>
        </w:rPr>
        <w:t>Zero percent of LEAs will have disproportionate representation of racial and ethnic groups in special education and related services as a result o</w:t>
      </w:r>
      <w:r w:rsidR="00E4217A" w:rsidRPr="004D05E9">
        <w:rPr>
          <w:rFonts w:cs="Arial"/>
        </w:rPr>
        <w:t>f inappropriate identification.</w:t>
      </w:r>
    </w:p>
    <w:p w14:paraId="61D55E76" w14:textId="77777777" w:rsidR="00FD74B6" w:rsidRPr="004D05E9" w:rsidRDefault="00FD74B6" w:rsidP="00E4217A">
      <w:pPr>
        <w:pStyle w:val="Heading3"/>
        <w:spacing w:before="0" w:after="240"/>
      </w:pPr>
      <w:bookmarkStart w:id="129" w:name="_Toc57199067"/>
      <w:r w:rsidRPr="004D05E9">
        <w:t>Measurement</w:t>
      </w:r>
      <w:bookmarkEnd w:id="129"/>
    </w:p>
    <w:p w14:paraId="5195C915" w14:textId="77777777" w:rsidR="00FD74B6" w:rsidRPr="004D05E9" w:rsidRDefault="00FD74B6" w:rsidP="00E4217A">
      <w:pPr>
        <w:tabs>
          <w:tab w:val="left" w:pos="720"/>
          <w:tab w:val="center" w:pos="4680"/>
          <w:tab w:val="right" w:pos="9360"/>
        </w:tabs>
        <w:spacing w:after="240"/>
        <w:rPr>
          <w:rFonts w:cs="Arial"/>
        </w:rPr>
      </w:pPr>
      <w:r w:rsidRPr="004D05E9">
        <w:rPr>
          <w:rFonts w:cs="Arial"/>
        </w:rPr>
        <w:t>The number of LEAs with disproportionate representation of racial and ethnic groups in special education and related services as a result of inappropriate identification divided by t</w:t>
      </w:r>
      <w:r w:rsidR="00E4217A" w:rsidRPr="004D05E9">
        <w:rPr>
          <w:rFonts w:cs="Arial"/>
        </w:rPr>
        <w:t>he number of LEAs in the state.</w:t>
      </w:r>
    </w:p>
    <w:p w14:paraId="7A4FF9E6" w14:textId="2C804549" w:rsidR="00FD74B6" w:rsidRPr="004D05E9" w:rsidRDefault="00FD74B6" w:rsidP="00E4217A">
      <w:pPr>
        <w:pStyle w:val="Heading3"/>
        <w:spacing w:before="0" w:after="240"/>
      </w:pPr>
      <w:bookmarkStart w:id="130" w:name="_Toc57199068"/>
      <w:r w:rsidRPr="004D05E9">
        <w:t>Results for 201</w:t>
      </w:r>
      <w:r w:rsidR="003561E3" w:rsidRPr="004D05E9">
        <w:t>9</w:t>
      </w:r>
      <w:r w:rsidRPr="004D05E9">
        <w:t>–</w:t>
      </w:r>
      <w:r w:rsidR="003561E3" w:rsidRPr="004D05E9">
        <w:t>20</w:t>
      </w:r>
      <w:bookmarkEnd w:id="130"/>
      <w:r w:rsidRPr="004D05E9">
        <w:t xml:space="preserve"> </w:t>
      </w:r>
    </w:p>
    <w:p w14:paraId="6932F380" w14:textId="35F0954F" w:rsidR="00FD74B6" w:rsidRPr="004D05E9" w:rsidRDefault="00E12A33" w:rsidP="00E4217A">
      <w:pPr>
        <w:spacing w:after="240"/>
        <w:rPr>
          <w:rFonts w:cs="Arial"/>
        </w:rPr>
      </w:pPr>
      <w:r w:rsidRPr="004D05E9">
        <w:rPr>
          <w:rFonts w:cs="Arial"/>
          <w:bCs/>
        </w:rPr>
        <w:t>For FFY 201</w:t>
      </w:r>
      <w:r w:rsidR="003561E3" w:rsidRPr="004D05E9">
        <w:rPr>
          <w:rFonts w:cs="Arial"/>
          <w:bCs/>
        </w:rPr>
        <w:t>9</w:t>
      </w:r>
      <w:r w:rsidR="00FD74B6" w:rsidRPr="004D05E9">
        <w:rPr>
          <w:rFonts w:cs="Arial"/>
        </w:rPr>
        <w:t xml:space="preserve">, </w:t>
      </w:r>
      <w:r w:rsidR="00FA0321" w:rsidRPr="004D05E9">
        <w:rPr>
          <w:rFonts w:cs="Arial"/>
        </w:rPr>
        <w:t>2.05</w:t>
      </w:r>
      <w:r w:rsidR="00576F84" w:rsidRPr="004D05E9">
        <w:rPr>
          <w:rFonts w:cs="Arial"/>
        </w:rPr>
        <w:t xml:space="preserve"> </w:t>
      </w:r>
      <w:r w:rsidR="00FD74B6" w:rsidRPr="004D05E9">
        <w:rPr>
          <w:rFonts w:cs="Arial"/>
        </w:rPr>
        <w:t>percent of LEAs had disproportionate representation of racial and ethnic groups in special education and related services as a result of inappropriate identification. The CDE requires these disproportionate LEAs to implement corrective actions.</w:t>
      </w:r>
    </w:p>
    <w:p w14:paraId="62B45495" w14:textId="583AC994" w:rsidR="00FD74B6" w:rsidRPr="004D05E9" w:rsidRDefault="00FD74B6" w:rsidP="00E4217A">
      <w:pPr>
        <w:pStyle w:val="Heading3"/>
        <w:spacing w:before="0" w:after="240"/>
        <w:rPr>
          <w:rFonts w:cs="Arial"/>
        </w:rPr>
      </w:pPr>
      <w:bookmarkStart w:id="131" w:name="_Toc57199069"/>
      <w:r w:rsidRPr="004D05E9">
        <w:t>Target Met:</w:t>
      </w:r>
      <w:r w:rsidR="00B244E1" w:rsidRPr="004D05E9">
        <w:t xml:space="preserve"> </w:t>
      </w:r>
      <w:r w:rsidR="003561E3" w:rsidRPr="004D05E9">
        <w:t>No</w:t>
      </w:r>
      <w:bookmarkEnd w:id="131"/>
    </w:p>
    <w:p w14:paraId="00240788" w14:textId="5184F92A" w:rsidR="00FD74B6" w:rsidRPr="004D05E9" w:rsidRDefault="00FD74B6" w:rsidP="004D7261">
      <w:pPr>
        <w:widowControl w:val="0"/>
        <w:overflowPunct w:val="0"/>
        <w:autoSpaceDE w:val="0"/>
        <w:autoSpaceDN w:val="0"/>
        <w:adjustRightInd w:val="0"/>
        <w:rPr>
          <w:rFonts w:cs="Arial"/>
          <w:b/>
          <w:bCs/>
        </w:rPr>
      </w:pPr>
      <w:r w:rsidRPr="004D05E9">
        <w:rPr>
          <w:rFonts w:cs="Arial"/>
          <w:b/>
        </w:rPr>
        <w:t>Disproportionate Representation</w:t>
      </w:r>
      <w:r w:rsidRPr="004D05E9">
        <w:rPr>
          <w:rFonts w:cs="Arial"/>
          <w:b/>
          <w:bCs/>
        </w:rPr>
        <w:t xml:space="preserve"> Targets and Results for FFY</w:t>
      </w:r>
      <w:r w:rsidR="008A73EF" w:rsidRPr="004D05E9">
        <w:rPr>
          <w:rFonts w:cs="Arial"/>
          <w:b/>
          <w:bCs/>
        </w:rPr>
        <w:t>s</w:t>
      </w:r>
      <w:r w:rsidRPr="004D05E9">
        <w:rPr>
          <w:rFonts w:cs="Arial"/>
          <w:b/>
          <w:bCs/>
        </w:rPr>
        <w:t xml:space="preserve"> 2013–1</w:t>
      </w:r>
      <w:r w:rsidR="003561E3" w:rsidRPr="004D05E9">
        <w:rPr>
          <w:rFonts w:cs="Arial"/>
          <w:b/>
          <w:bCs/>
        </w:rPr>
        <w:t>9</w:t>
      </w:r>
    </w:p>
    <w:tbl>
      <w:tblPr>
        <w:tblStyle w:val="TableGrid9"/>
        <w:tblW w:w="0" w:type="auto"/>
        <w:tblLook w:val="04A0" w:firstRow="1" w:lastRow="0" w:firstColumn="1" w:lastColumn="0" w:noHBand="0" w:noVBand="1"/>
        <w:tblDescription w:val="Indicator 9 Targets and Results"/>
      </w:tblPr>
      <w:tblGrid>
        <w:gridCol w:w="1564"/>
        <w:gridCol w:w="897"/>
        <w:gridCol w:w="897"/>
        <w:gridCol w:w="897"/>
        <w:gridCol w:w="884"/>
        <w:gridCol w:w="884"/>
        <w:gridCol w:w="884"/>
        <w:gridCol w:w="884"/>
      </w:tblGrid>
      <w:tr w:rsidR="003561E3" w:rsidRPr="004D05E9" w14:paraId="200C2854" w14:textId="08B1BF15" w:rsidTr="00463712">
        <w:trPr>
          <w:cantSplit/>
          <w:tblHeader/>
        </w:trPr>
        <w:tc>
          <w:tcPr>
            <w:tcW w:w="1564" w:type="dxa"/>
            <w:hideMark/>
          </w:tcPr>
          <w:p w14:paraId="0141AE7F"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Indicator 9</w:t>
            </w:r>
          </w:p>
        </w:tc>
        <w:tc>
          <w:tcPr>
            <w:tcW w:w="897" w:type="dxa"/>
            <w:hideMark/>
          </w:tcPr>
          <w:p w14:paraId="4FCFF98E"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2013</w:t>
            </w:r>
          </w:p>
        </w:tc>
        <w:tc>
          <w:tcPr>
            <w:tcW w:w="897" w:type="dxa"/>
            <w:hideMark/>
          </w:tcPr>
          <w:p w14:paraId="78A5A65E"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2014</w:t>
            </w:r>
          </w:p>
        </w:tc>
        <w:tc>
          <w:tcPr>
            <w:tcW w:w="897" w:type="dxa"/>
            <w:hideMark/>
          </w:tcPr>
          <w:p w14:paraId="05EC6B3F"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2015</w:t>
            </w:r>
          </w:p>
        </w:tc>
        <w:tc>
          <w:tcPr>
            <w:tcW w:w="884" w:type="dxa"/>
            <w:hideMark/>
          </w:tcPr>
          <w:p w14:paraId="59DB168B"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2016</w:t>
            </w:r>
          </w:p>
        </w:tc>
        <w:tc>
          <w:tcPr>
            <w:tcW w:w="884" w:type="dxa"/>
            <w:hideMark/>
          </w:tcPr>
          <w:p w14:paraId="44FCB759"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2017</w:t>
            </w:r>
          </w:p>
        </w:tc>
        <w:tc>
          <w:tcPr>
            <w:tcW w:w="884" w:type="dxa"/>
            <w:hideMark/>
          </w:tcPr>
          <w:p w14:paraId="2E12BDE8"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2018</w:t>
            </w:r>
          </w:p>
        </w:tc>
        <w:tc>
          <w:tcPr>
            <w:tcW w:w="884" w:type="dxa"/>
          </w:tcPr>
          <w:p w14:paraId="25FC4027" w14:textId="72A49584"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2019</w:t>
            </w:r>
          </w:p>
        </w:tc>
      </w:tr>
      <w:tr w:rsidR="003561E3" w:rsidRPr="004D05E9" w14:paraId="3DAE21E7" w14:textId="5935E27F" w:rsidTr="00463712">
        <w:trPr>
          <w:cantSplit/>
        </w:trPr>
        <w:tc>
          <w:tcPr>
            <w:tcW w:w="1564" w:type="dxa"/>
            <w:hideMark/>
          </w:tcPr>
          <w:p w14:paraId="0D73D717"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Target</w:t>
            </w:r>
          </w:p>
        </w:tc>
        <w:tc>
          <w:tcPr>
            <w:tcW w:w="897" w:type="dxa"/>
            <w:hideMark/>
          </w:tcPr>
          <w:p w14:paraId="300F4627"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c>
          <w:tcPr>
            <w:tcW w:w="897" w:type="dxa"/>
            <w:hideMark/>
          </w:tcPr>
          <w:p w14:paraId="550313DE"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c>
          <w:tcPr>
            <w:tcW w:w="897" w:type="dxa"/>
            <w:hideMark/>
          </w:tcPr>
          <w:p w14:paraId="721E1359"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c>
          <w:tcPr>
            <w:tcW w:w="884" w:type="dxa"/>
            <w:hideMark/>
          </w:tcPr>
          <w:p w14:paraId="06D92629"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c>
          <w:tcPr>
            <w:tcW w:w="884" w:type="dxa"/>
            <w:hideMark/>
          </w:tcPr>
          <w:p w14:paraId="5399AADD"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c>
          <w:tcPr>
            <w:tcW w:w="884" w:type="dxa"/>
            <w:hideMark/>
          </w:tcPr>
          <w:p w14:paraId="493CD46C"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c>
          <w:tcPr>
            <w:tcW w:w="884" w:type="dxa"/>
          </w:tcPr>
          <w:p w14:paraId="033F032C" w14:textId="0424B270"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r>
      <w:tr w:rsidR="003561E3" w:rsidRPr="004D05E9" w14:paraId="6105912B" w14:textId="23696B14" w:rsidTr="00463712">
        <w:trPr>
          <w:cantSplit/>
        </w:trPr>
        <w:tc>
          <w:tcPr>
            <w:tcW w:w="1564" w:type="dxa"/>
            <w:hideMark/>
          </w:tcPr>
          <w:p w14:paraId="5C577F9F"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Result</w:t>
            </w:r>
          </w:p>
        </w:tc>
        <w:tc>
          <w:tcPr>
            <w:tcW w:w="897" w:type="dxa"/>
            <w:hideMark/>
          </w:tcPr>
          <w:p w14:paraId="23C7D566"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.09%</w:t>
            </w:r>
          </w:p>
        </w:tc>
        <w:tc>
          <w:tcPr>
            <w:tcW w:w="897" w:type="dxa"/>
            <w:hideMark/>
          </w:tcPr>
          <w:p w14:paraId="44526D57"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.09%</w:t>
            </w:r>
          </w:p>
        </w:tc>
        <w:tc>
          <w:tcPr>
            <w:tcW w:w="897" w:type="dxa"/>
            <w:hideMark/>
          </w:tcPr>
          <w:p w14:paraId="293980CB"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c>
          <w:tcPr>
            <w:tcW w:w="884" w:type="dxa"/>
            <w:hideMark/>
          </w:tcPr>
          <w:p w14:paraId="1E0EAB96"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2.57%</w:t>
            </w:r>
          </w:p>
        </w:tc>
        <w:tc>
          <w:tcPr>
            <w:tcW w:w="884" w:type="dxa"/>
            <w:hideMark/>
          </w:tcPr>
          <w:p w14:paraId="33D96A0B"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0.88%</w:t>
            </w:r>
          </w:p>
        </w:tc>
        <w:tc>
          <w:tcPr>
            <w:tcW w:w="884" w:type="dxa"/>
            <w:hideMark/>
          </w:tcPr>
          <w:p w14:paraId="36C5E597"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1.60%</w:t>
            </w:r>
          </w:p>
        </w:tc>
        <w:tc>
          <w:tcPr>
            <w:tcW w:w="884" w:type="dxa"/>
          </w:tcPr>
          <w:p w14:paraId="1E3DABAC" w14:textId="779C3D52" w:rsidR="003561E3" w:rsidRPr="004D05E9" w:rsidRDefault="00FA0321" w:rsidP="00FD74B6">
            <w:pPr>
              <w:widowControl w:val="0"/>
              <w:overflowPunct w:val="0"/>
              <w:autoSpaceDE w:val="0"/>
              <w:autoSpaceDN w:val="0"/>
              <w:adjustRightInd w:val="0"/>
              <w:jc w:val="center"/>
              <w:rPr>
                <w:rFonts w:cs="Arial"/>
                <w:bCs/>
                <w:color w:val="000000"/>
                <w:kern w:val="28"/>
                <w:sz w:val="23"/>
                <w:szCs w:val="23"/>
              </w:rPr>
            </w:pPr>
            <w:r w:rsidRPr="004D05E9">
              <w:rPr>
                <w:rFonts w:cs="Arial"/>
                <w:bCs/>
                <w:color w:val="000000"/>
                <w:kern w:val="28"/>
                <w:sz w:val="23"/>
                <w:szCs w:val="23"/>
              </w:rPr>
              <w:t>2.05%</w:t>
            </w:r>
          </w:p>
        </w:tc>
      </w:tr>
      <w:tr w:rsidR="003561E3" w:rsidRPr="004D05E9" w14:paraId="3B78E508" w14:textId="3EEFA1F4" w:rsidTr="00463712">
        <w:trPr>
          <w:cantSplit/>
        </w:trPr>
        <w:tc>
          <w:tcPr>
            <w:tcW w:w="1564" w:type="dxa"/>
            <w:hideMark/>
          </w:tcPr>
          <w:p w14:paraId="2D9F0B1E"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Target Met</w:t>
            </w:r>
          </w:p>
        </w:tc>
        <w:tc>
          <w:tcPr>
            <w:tcW w:w="897" w:type="dxa"/>
            <w:hideMark/>
          </w:tcPr>
          <w:p w14:paraId="497A5856"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No</w:t>
            </w:r>
          </w:p>
        </w:tc>
        <w:tc>
          <w:tcPr>
            <w:tcW w:w="897" w:type="dxa"/>
            <w:hideMark/>
          </w:tcPr>
          <w:p w14:paraId="759BBE4B"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No</w:t>
            </w:r>
          </w:p>
        </w:tc>
        <w:tc>
          <w:tcPr>
            <w:tcW w:w="897" w:type="dxa"/>
            <w:hideMark/>
          </w:tcPr>
          <w:p w14:paraId="72E04864"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Yes</w:t>
            </w:r>
          </w:p>
        </w:tc>
        <w:tc>
          <w:tcPr>
            <w:tcW w:w="884" w:type="dxa"/>
            <w:hideMark/>
          </w:tcPr>
          <w:p w14:paraId="21461BFE"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884" w:type="dxa"/>
            <w:hideMark/>
          </w:tcPr>
          <w:p w14:paraId="19AC95E6"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884" w:type="dxa"/>
            <w:hideMark/>
          </w:tcPr>
          <w:p w14:paraId="0CFF5BFE"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884" w:type="dxa"/>
          </w:tcPr>
          <w:p w14:paraId="0A24D786" w14:textId="7A4E57BB" w:rsidR="003561E3" w:rsidRPr="004D05E9" w:rsidRDefault="003561E3" w:rsidP="00FD74B6">
            <w:pPr>
              <w:widowControl w:val="0"/>
              <w:overflowPunct w:val="0"/>
              <w:autoSpaceDE w:val="0"/>
              <w:autoSpaceDN w:val="0"/>
              <w:adjustRightInd w:val="0"/>
              <w:jc w:val="center"/>
              <w:rPr>
                <w:rFonts w:cs="Arial"/>
                <w:bCs/>
                <w:color w:val="000000"/>
                <w:kern w:val="28"/>
                <w:sz w:val="23"/>
                <w:szCs w:val="23"/>
              </w:rPr>
            </w:pPr>
            <w:r w:rsidRPr="004D05E9">
              <w:rPr>
                <w:rFonts w:cs="Arial"/>
                <w:bCs/>
                <w:color w:val="000000"/>
                <w:kern w:val="28"/>
                <w:sz w:val="23"/>
                <w:szCs w:val="23"/>
              </w:rPr>
              <w:t>No</w:t>
            </w:r>
          </w:p>
        </w:tc>
      </w:tr>
    </w:tbl>
    <w:p w14:paraId="27F741DE" w14:textId="77777777" w:rsidR="00FD74B6" w:rsidRPr="004D05E9" w:rsidRDefault="00FD74B6" w:rsidP="00FD74B6">
      <w:r w:rsidRPr="004D05E9">
        <w:br w:type="page"/>
      </w:r>
    </w:p>
    <w:p w14:paraId="53A6B2F2" w14:textId="77777777" w:rsidR="00FD74B6" w:rsidRPr="004D05E9" w:rsidRDefault="00FD74B6" w:rsidP="00E4217A">
      <w:pPr>
        <w:pStyle w:val="Heading2"/>
        <w:spacing w:before="0" w:after="240"/>
        <w:jc w:val="center"/>
        <w:rPr>
          <w:bCs/>
        </w:rPr>
      </w:pPr>
      <w:bookmarkStart w:id="132" w:name="_Toc57199070"/>
      <w:r w:rsidRPr="004D05E9">
        <w:rPr>
          <w:bCs/>
        </w:rPr>
        <w:lastRenderedPageBreak/>
        <w:t xml:space="preserve">Indicator 10: </w:t>
      </w:r>
      <w:r w:rsidRPr="004D05E9">
        <w:t>Disproportionate Representation by Disability Categories</w:t>
      </w:r>
      <w:bookmarkEnd w:id="132"/>
    </w:p>
    <w:p w14:paraId="3D2BCAD3" w14:textId="77777777" w:rsidR="00FD74B6" w:rsidRPr="004D05E9" w:rsidRDefault="00FD74B6" w:rsidP="00E4217A">
      <w:pPr>
        <w:pStyle w:val="Heading3"/>
        <w:spacing w:before="0" w:after="240"/>
      </w:pPr>
      <w:bookmarkStart w:id="133" w:name="_Toc57199071"/>
      <w:r w:rsidRPr="004D05E9">
        <w:t>Description</w:t>
      </w:r>
      <w:bookmarkEnd w:id="133"/>
    </w:p>
    <w:p w14:paraId="5410E37B" w14:textId="2F93FC14" w:rsidR="00FD74B6" w:rsidRPr="004D05E9" w:rsidRDefault="00FD74B6" w:rsidP="00E4217A">
      <w:pPr>
        <w:tabs>
          <w:tab w:val="left" w:pos="720"/>
          <w:tab w:val="center" w:pos="4680"/>
          <w:tab w:val="right" w:pos="9360"/>
        </w:tabs>
        <w:spacing w:after="240"/>
        <w:rPr>
          <w:rFonts w:cs="Arial"/>
          <w:b/>
          <w:bCs/>
        </w:rPr>
      </w:pPr>
      <w:r w:rsidRPr="004D05E9">
        <w:rPr>
          <w:rFonts w:cs="Arial"/>
        </w:rPr>
        <w:t xml:space="preserve">Indicator 10 is a compliance indicator that measures the percent of LEAs with disproportionate representation of racial and ethnic groups in specific disability categories that is the result of inappropriate identification (20 U.S.C. </w:t>
      </w:r>
      <w:r w:rsidR="002A11EB" w:rsidRPr="004D05E9">
        <w:rPr>
          <w:rFonts w:cs="Arial"/>
        </w:rPr>
        <w:t xml:space="preserve">Section </w:t>
      </w:r>
      <w:r w:rsidRPr="004D05E9">
        <w:rPr>
          <w:rFonts w:cs="Arial"/>
        </w:rPr>
        <w:t xml:space="preserve">1416[a][3][C]). The calculation for Indicator 10 (Ethnicity by Disability) has been changed to match the new federal regulations in 34 CFR 300.647. Effective FFY 2016, the CDE uses the risk ratio (or the alternate risk ratio when appropriate) to make identification of disproportionate representation. LEAs selected are required to go through a review of policies, practices, and procedures. LEAs identified below had </w:t>
      </w:r>
      <w:r w:rsidR="00E4217A" w:rsidRPr="004D05E9">
        <w:rPr>
          <w:rFonts w:cs="Arial"/>
        </w:rPr>
        <w:t>non</w:t>
      </w:r>
      <w:r w:rsidR="6C0E3C41" w:rsidRPr="004D05E9">
        <w:rPr>
          <w:rFonts w:cs="Arial"/>
        </w:rPr>
        <w:t>-</w:t>
      </w:r>
      <w:r w:rsidR="00E4217A" w:rsidRPr="004D05E9">
        <w:rPr>
          <w:rFonts w:cs="Arial"/>
        </w:rPr>
        <w:t>compliance in those reviews.</w:t>
      </w:r>
    </w:p>
    <w:p w14:paraId="26F3D5EE" w14:textId="75221433" w:rsidR="00FD74B6" w:rsidRPr="004D05E9" w:rsidRDefault="00FD74B6" w:rsidP="00E4217A">
      <w:pPr>
        <w:pStyle w:val="Heading3"/>
        <w:spacing w:before="0" w:after="240"/>
      </w:pPr>
      <w:bookmarkStart w:id="134" w:name="_Toc57199072"/>
      <w:r w:rsidRPr="004D05E9">
        <w:t>Target for 201</w:t>
      </w:r>
      <w:r w:rsidR="003561E3" w:rsidRPr="004D05E9">
        <w:t>9</w:t>
      </w:r>
      <w:r w:rsidRPr="004D05E9">
        <w:t>–</w:t>
      </w:r>
      <w:r w:rsidR="003561E3" w:rsidRPr="004D05E9">
        <w:t>20</w:t>
      </w:r>
      <w:bookmarkEnd w:id="134"/>
    </w:p>
    <w:p w14:paraId="7362C2AE" w14:textId="77777777" w:rsidR="00FD74B6" w:rsidRPr="004D05E9" w:rsidRDefault="00FD74B6" w:rsidP="00E4217A">
      <w:pPr>
        <w:spacing w:after="240"/>
        <w:rPr>
          <w:rFonts w:cs="Arial"/>
          <w:b/>
          <w:bCs/>
        </w:rPr>
      </w:pPr>
      <w:r w:rsidRPr="004D05E9">
        <w:rPr>
          <w:rFonts w:cs="Arial"/>
        </w:rPr>
        <w:t>Zero percent of LEAs will have disproportionate representation of racial and ethnic groups in specific disability categories as a result of inappropriate identification.</w:t>
      </w:r>
    </w:p>
    <w:p w14:paraId="2ED38865" w14:textId="77777777" w:rsidR="00FD74B6" w:rsidRPr="004D05E9" w:rsidRDefault="00FD74B6" w:rsidP="00E4217A">
      <w:pPr>
        <w:pStyle w:val="Heading3"/>
        <w:spacing w:before="0" w:after="240"/>
      </w:pPr>
      <w:bookmarkStart w:id="135" w:name="_Toc57199073"/>
      <w:r w:rsidRPr="004D05E9">
        <w:t>Measurement</w:t>
      </w:r>
      <w:bookmarkEnd w:id="135"/>
    </w:p>
    <w:p w14:paraId="042455D9" w14:textId="77777777" w:rsidR="00FD74B6" w:rsidRPr="004D05E9" w:rsidRDefault="00FD74B6" w:rsidP="00E4217A">
      <w:pPr>
        <w:tabs>
          <w:tab w:val="left" w:pos="720"/>
          <w:tab w:val="center" w:pos="4680"/>
          <w:tab w:val="right" w:pos="9360"/>
        </w:tabs>
        <w:spacing w:after="240"/>
        <w:rPr>
          <w:rFonts w:cs="Arial"/>
        </w:rPr>
      </w:pPr>
      <w:r w:rsidRPr="004D05E9">
        <w:rPr>
          <w:rFonts w:cs="Arial"/>
        </w:rPr>
        <w:t xml:space="preserve">The number of LEAs with disproportionate representation of racial and ethnic groups in specific disability categories, as identified by </w:t>
      </w:r>
      <w:r w:rsidR="004663F8" w:rsidRPr="004D05E9">
        <w:rPr>
          <w:rFonts w:cs="Arial"/>
        </w:rPr>
        <w:t>either the risk ratio or</w:t>
      </w:r>
      <w:r w:rsidRPr="004D05E9">
        <w:rPr>
          <w:rFonts w:cs="Arial"/>
        </w:rPr>
        <w:t xml:space="preserve"> the alternate risk ratio, which is the result of inappropriate identification divided by t</w:t>
      </w:r>
      <w:r w:rsidR="00E4217A" w:rsidRPr="004D05E9">
        <w:rPr>
          <w:rFonts w:cs="Arial"/>
        </w:rPr>
        <w:t>he number of LEAs in the state.</w:t>
      </w:r>
    </w:p>
    <w:p w14:paraId="00FE206E" w14:textId="141438CD" w:rsidR="00FD74B6" w:rsidRPr="004D05E9" w:rsidRDefault="00FD74B6" w:rsidP="00E4217A">
      <w:pPr>
        <w:pStyle w:val="Heading3"/>
        <w:spacing w:before="0" w:after="240"/>
      </w:pPr>
      <w:bookmarkStart w:id="136" w:name="_Toc57199074"/>
      <w:r w:rsidRPr="004D05E9">
        <w:t>Results for 201</w:t>
      </w:r>
      <w:r w:rsidR="003561E3" w:rsidRPr="004D05E9">
        <w:t>9</w:t>
      </w:r>
      <w:r w:rsidRPr="004D05E9">
        <w:t>–</w:t>
      </w:r>
      <w:r w:rsidR="003561E3" w:rsidRPr="004D05E9">
        <w:t>20</w:t>
      </w:r>
      <w:bookmarkEnd w:id="136"/>
    </w:p>
    <w:p w14:paraId="302ED116" w14:textId="13F83988" w:rsidR="00FD74B6" w:rsidRPr="004D05E9" w:rsidRDefault="00FD74B6" w:rsidP="00E4217A">
      <w:pPr>
        <w:spacing w:after="240"/>
        <w:rPr>
          <w:rFonts w:cs="Arial"/>
        </w:rPr>
      </w:pPr>
      <w:r w:rsidRPr="004D05E9">
        <w:rPr>
          <w:rFonts w:cs="Arial"/>
          <w:bCs/>
        </w:rPr>
        <w:t>For FFY 201</w:t>
      </w:r>
      <w:r w:rsidR="003561E3" w:rsidRPr="004D05E9">
        <w:rPr>
          <w:rFonts w:cs="Arial"/>
          <w:bCs/>
        </w:rPr>
        <w:t>9</w:t>
      </w:r>
      <w:r w:rsidRPr="004D05E9">
        <w:rPr>
          <w:rFonts w:cs="Arial"/>
          <w:bCs/>
        </w:rPr>
        <w:t>,</w:t>
      </w:r>
      <w:r w:rsidRPr="004D05E9">
        <w:rPr>
          <w:rFonts w:cs="Arial"/>
          <w:b/>
          <w:bCs/>
        </w:rPr>
        <w:t xml:space="preserve"> </w:t>
      </w:r>
      <w:r w:rsidR="00FA0321" w:rsidRPr="004D05E9">
        <w:rPr>
          <w:rFonts w:cs="Arial"/>
        </w:rPr>
        <w:t xml:space="preserve">14.11 </w:t>
      </w:r>
      <w:r w:rsidRPr="004D05E9">
        <w:rPr>
          <w:rFonts w:cs="Arial"/>
        </w:rPr>
        <w:t>percent of LEAs had disproportionate representation of racial and ethnic groups in specific disability categories as a result of inappropriate identification. The CDE requires these significant disproportionate LEAs to implement corrective actions.</w:t>
      </w:r>
    </w:p>
    <w:p w14:paraId="0F180A85" w14:textId="11B38EE6" w:rsidR="00FD74B6" w:rsidRPr="004D05E9" w:rsidRDefault="00FD74B6" w:rsidP="00E4217A">
      <w:pPr>
        <w:pStyle w:val="Heading3"/>
        <w:spacing w:before="0" w:after="240"/>
        <w:rPr>
          <w:rFonts w:cs="Arial"/>
        </w:rPr>
      </w:pPr>
      <w:bookmarkStart w:id="137" w:name="_Toc57199075"/>
      <w:r w:rsidRPr="004D05E9">
        <w:t>Target Met:</w:t>
      </w:r>
      <w:r w:rsidR="00B244E1" w:rsidRPr="004D05E9">
        <w:t xml:space="preserve"> </w:t>
      </w:r>
      <w:r w:rsidR="00A22BB3" w:rsidRPr="004D05E9">
        <w:rPr>
          <w:rFonts w:cs="Arial"/>
        </w:rPr>
        <w:t>No</w:t>
      </w:r>
      <w:bookmarkEnd w:id="137"/>
    </w:p>
    <w:p w14:paraId="5CBEE965" w14:textId="23AFDFCE" w:rsidR="00FD74B6" w:rsidRPr="004D05E9" w:rsidRDefault="00FD74B6" w:rsidP="004D7261">
      <w:pPr>
        <w:widowControl w:val="0"/>
        <w:overflowPunct w:val="0"/>
        <w:autoSpaceDE w:val="0"/>
        <w:autoSpaceDN w:val="0"/>
        <w:adjustRightInd w:val="0"/>
        <w:rPr>
          <w:rFonts w:cs="Arial"/>
          <w:b/>
          <w:bCs/>
        </w:rPr>
      </w:pPr>
      <w:r w:rsidRPr="004D05E9">
        <w:rPr>
          <w:rFonts w:cs="Arial"/>
          <w:b/>
        </w:rPr>
        <w:t>Disproportionate Representation in Specific Disability Categories</w:t>
      </w:r>
      <w:r w:rsidRPr="004D05E9">
        <w:rPr>
          <w:rFonts w:cs="Arial"/>
          <w:b/>
          <w:bCs/>
        </w:rPr>
        <w:t xml:space="preserve"> Targets and Results for FFY</w:t>
      </w:r>
      <w:r w:rsidR="004D3223" w:rsidRPr="004D05E9">
        <w:rPr>
          <w:rFonts w:cs="Arial"/>
          <w:b/>
          <w:bCs/>
        </w:rPr>
        <w:t>s</w:t>
      </w:r>
      <w:r w:rsidRPr="004D05E9">
        <w:rPr>
          <w:rFonts w:cs="Arial"/>
          <w:b/>
          <w:bCs/>
        </w:rPr>
        <w:t xml:space="preserve"> 2013–1</w:t>
      </w:r>
      <w:r w:rsidR="003561E3" w:rsidRPr="004D05E9">
        <w:rPr>
          <w:rFonts w:cs="Arial"/>
          <w:b/>
          <w:bCs/>
        </w:rPr>
        <w:t>9</w:t>
      </w:r>
    </w:p>
    <w:tbl>
      <w:tblPr>
        <w:tblStyle w:val="TableGrid10"/>
        <w:tblW w:w="0" w:type="auto"/>
        <w:tblLook w:val="04A0" w:firstRow="1" w:lastRow="0" w:firstColumn="1" w:lastColumn="0" w:noHBand="0" w:noVBand="1"/>
        <w:tblDescription w:val="Indicator 10 Targets and Results"/>
      </w:tblPr>
      <w:tblGrid>
        <w:gridCol w:w="1697"/>
        <w:gridCol w:w="897"/>
        <w:gridCol w:w="897"/>
        <w:gridCol w:w="897"/>
        <w:gridCol w:w="997"/>
        <w:gridCol w:w="997"/>
        <w:gridCol w:w="884"/>
        <w:gridCol w:w="997"/>
      </w:tblGrid>
      <w:tr w:rsidR="003561E3" w:rsidRPr="004D05E9" w14:paraId="4C4C20DE" w14:textId="173F3961" w:rsidTr="003561E3">
        <w:trPr>
          <w:cantSplit/>
          <w:tblHeader/>
        </w:trPr>
        <w:tc>
          <w:tcPr>
            <w:tcW w:w="1697" w:type="dxa"/>
            <w:hideMark/>
          </w:tcPr>
          <w:p w14:paraId="230CB979"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Indicator 10</w:t>
            </w:r>
          </w:p>
        </w:tc>
        <w:tc>
          <w:tcPr>
            <w:tcW w:w="897" w:type="dxa"/>
            <w:hideMark/>
          </w:tcPr>
          <w:p w14:paraId="3A3416CC"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2013</w:t>
            </w:r>
          </w:p>
        </w:tc>
        <w:tc>
          <w:tcPr>
            <w:tcW w:w="897" w:type="dxa"/>
            <w:hideMark/>
          </w:tcPr>
          <w:p w14:paraId="7B5B60A7"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2014</w:t>
            </w:r>
          </w:p>
        </w:tc>
        <w:tc>
          <w:tcPr>
            <w:tcW w:w="897" w:type="dxa"/>
            <w:hideMark/>
          </w:tcPr>
          <w:p w14:paraId="7B97F0FB"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2015</w:t>
            </w:r>
          </w:p>
        </w:tc>
        <w:tc>
          <w:tcPr>
            <w:tcW w:w="997" w:type="dxa"/>
            <w:hideMark/>
          </w:tcPr>
          <w:p w14:paraId="0F04D961"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2016</w:t>
            </w:r>
          </w:p>
        </w:tc>
        <w:tc>
          <w:tcPr>
            <w:tcW w:w="997" w:type="dxa"/>
            <w:hideMark/>
          </w:tcPr>
          <w:p w14:paraId="48140C05"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2017</w:t>
            </w:r>
          </w:p>
        </w:tc>
        <w:tc>
          <w:tcPr>
            <w:tcW w:w="884" w:type="dxa"/>
            <w:hideMark/>
          </w:tcPr>
          <w:p w14:paraId="441DF4FB"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2018</w:t>
            </w:r>
          </w:p>
        </w:tc>
        <w:tc>
          <w:tcPr>
            <w:tcW w:w="884" w:type="dxa"/>
          </w:tcPr>
          <w:p w14:paraId="6F89069E" w14:textId="0B49B755"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2019</w:t>
            </w:r>
          </w:p>
        </w:tc>
      </w:tr>
      <w:tr w:rsidR="003561E3" w:rsidRPr="004D05E9" w14:paraId="2F8B4FBA" w14:textId="76CFC711" w:rsidTr="003561E3">
        <w:trPr>
          <w:cantSplit/>
        </w:trPr>
        <w:tc>
          <w:tcPr>
            <w:tcW w:w="1697" w:type="dxa"/>
            <w:hideMark/>
          </w:tcPr>
          <w:p w14:paraId="1F95BCC4"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 xml:space="preserve">Target </w:t>
            </w:r>
          </w:p>
        </w:tc>
        <w:tc>
          <w:tcPr>
            <w:tcW w:w="897" w:type="dxa"/>
            <w:hideMark/>
          </w:tcPr>
          <w:p w14:paraId="4E77760E"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c>
          <w:tcPr>
            <w:tcW w:w="897" w:type="dxa"/>
            <w:hideMark/>
          </w:tcPr>
          <w:p w14:paraId="57F8E288"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c>
          <w:tcPr>
            <w:tcW w:w="897" w:type="dxa"/>
            <w:hideMark/>
          </w:tcPr>
          <w:p w14:paraId="02176762"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c>
          <w:tcPr>
            <w:tcW w:w="997" w:type="dxa"/>
            <w:hideMark/>
          </w:tcPr>
          <w:p w14:paraId="56E5C443"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c>
          <w:tcPr>
            <w:tcW w:w="997" w:type="dxa"/>
            <w:hideMark/>
          </w:tcPr>
          <w:p w14:paraId="47A717E2"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c>
          <w:tcPr>
            <w:tcW w:w="884" w:type="dxa"/>
            <w:hideMark/>
          </w:tcPr>
          <w:p w14:paraId="704C05E7"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c>
          <w:tcPr>
            <w:tcW w:w="884" w:type="dxa"/>
          </w:tcPr>
          <w:p w14:paraId="1C14D821" w14:textId="0E15FB29"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0%</w:t>
            </w:r>
          </w:p>
        </w:tc>
      </w:tr>
      <w:tr w:rsidR="003561E3" w:rsidRPr="004D05E9" w14:paraId="7D38B1A0" w14:textId="66B434B1" w:rsidTr="003561E3">
        <w:trPr>
          <w:cantSplit/>
        </w:trPr>
        <w:tc>
          <w:tcPr>
            <w:tcW w:w="1697" w:type="dxa"/>
            <w:hideMark/>
          </w:tcPr>
          <w:p w14:paraId="0E7E6020"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Result</w:t>
            </w:r>
          </w:p>
        </w:tc>
        <w:tc>
          <w:tcPr>
            <w:tcW w:w="897" w:type="dxa"/>
            <w:hideMark/>
          </w:tcPr>
          <w:p w14:paraId="213A5F07"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.57%</w:t>
            </w:r>
          </w:p>
        </w:tc>
        <w:tc>
          <w:tcPr>
            <w:tcW w:w="897" w:type="dxa"/>
            <w:hideMark/>
          </w:tcPr>
          <w:p w14:paraId="575C5A3F"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.87%</w:t>
            </w:r>
          </w:p>
        </w:tc>
        <w:tc>
          <w:tcPr>
            <w:tcW w:w="897" w:type="dxa"/>
            <w:hideMark/>
          </w:tcPr>
          <w:p w14:paraId="0CFF0067"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.75%</w:t>
            </w:r>
          </w:p>
        </w:tc>
        <w:tc>
          <w:tcPr>
            <w:tcW w:w="997" w:type="dxa"/>
            <w:hideMark/>
          </w:tcPr>
          <w:p w14:paraId="2DBF16E8"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17.14%</w:t>
            </w:r>
          </w:p>
        </w:tc>
        <w:tc>
          <w:tcPr>
            <w:tcW w:w="997" w:type="dxa"/>
            <w:hideMark/>
          </w:tcPr>
          <w:p w14:paraId="16DE918F"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27.76%</w:t>
            </w:r>
          </w:p>
        </w:tc>
        <w:tc>
          <w:tcPr>
            <w:tcW w:w="884" w:type="dxa"/>
            <w:hideMark/>
          </w:tcPr>
          <w:p w14:paraId="7382D52A"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9.90%</w:t>
            </w:r>
          </w:p>
        </w:tc>
        <w:tc>
          <w:tcPr>
            <w:tcW w:w="884" w:type="dxa"/>
          </w:tcPr>
          <w:p w14:paraId="2A5647D0" w14:textId="5B1D742D" w:rsidR="003561E3" w:rsidRPr="004D05E9" w:rsidRDefault="00FA0321" w:rsidP="00FD74B6">
            <w:pPr>
              <w:widowControl w:val="0"/>
              <w:overflowPunct w:val="0"/>
              <w:autoSpaceDE w:val="0"/>
              <w:autoSpaceDN w:val="0"/>
              <w:adjustRightInd w:val="0"/>
              <w:jc w:val="center"/>
              <w:rPr>
                <w:rFonts w:cs="Arial"/>
                <w:bCs/>
                <w:color w:val="000000"/>
                <w:kern w:val="28"/>
                <w:sz w:val="23"/>
                <w:szCs w:val="23"/>
              </w:rPr>
            </w:pPr>
            <w:r w:rsidRPr="004D05E9">
              <w:rPr>
                <w:rFonts w:cs="Arial"/>
                <w:bCs/>
                <w:color w:val="000000"/>
                <w:kern w:val="28"/>
                <w:sz w:val="23"/>
                <w:szCs w:val="23"/>
              </w:rPr>
              <w:t>14.11%</w:t>
            </w:r>
          </w:p>
        </w:tc>
      </w:tr>
      <w:tr w:rsidR="003561E3" w:rsidRPr="004D05E9" w14:paraId="3E39C11F" w14:textId="4B0DC46A" w:rsidTr="003561E3">
        <w:trPr>
          <w:cantSplit/>
        </w:trPr>
        <w:tc>
          <w:tcPr>
            <w:tcW w:w="1697" w:type="dxa"/>
            <w:hideMark/>
          </w:tcPr>
          <w:p w14:paraId="0303539F"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Target Met</w:t>
            </w:r>
          </w:p>
        </w:tc>
        <w:tc>
          <w:tcPr>
            <w:tcW w:w="897" w:type="dxa"/>
            <w:hideMark/>
          </w:tcPr>
          <w:p w14:paraId="31AB9E0E"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No</w:t>
            </w:r>
          </w:p>
        </w:tc>
        <w:tc>
          <w:tcPr>
            <w:tcW w:w="897" w:type="dxa"/>
            <w:hideMark/>
          </w:tcPr>
          <w:p w14:paraId="1FDB47C5"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No</w:t>
            </w:r>
          </w:p>
        </w:tc>
        <w:tc>
          <w:tcPr>
            <w:tcW w:w="897" w:type="dxa"/>
            <w:hideMark/>
          </w:tcPr>
          <w:p w14:paraId="3A5D2264"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No</w:t>
            </w:r>
          </w:p>
        </w:tc>
        <w:tc>
          <w:tcPr>
            <w:tcW w:w="997" w:type="dxa"/>
            <w:hideMark/>
          </w:tcPr>
          <w:p w14:paraId="21FD174B"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997" w:type="dxa"/>
            <w:hideMark/>
          </w:tcPr>
          <w:p w14:paraId="05735E3C"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884" w:type="dxa"/>
            <w:hideMark/>
          </w:tcPr>
          <w:p w14:paraId="35F2C9F0"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884" w:type="dxa"/>
          </w:tcPr>
          <w:p w14:paraId="6A34E5C8" w14:textId="4EE772E7" w:rsidR="003561E3" w:rsidRPr="004D05E9" w:rsidRDefault="003561E3" w:rsidP="00FD74B6">
            <w:pPr>
              <w:widowControl w:val="0"/>
              <w:overflowPunct w:val="0"/>
              <w:autoSpaceDE w:val="0"/>
              <w:autoSpaceDN w:val="0"/>
              <w:adjustRightInd w:val="0"/>
              <w:jc w:val="center"/>
              <w:rPr>
                <w:rFonts w:cs="Arial"/>
                <w:bCs/>
                <w:color w:val="000000"/>
                <w:kern w:val="28"/>
                <w:sz w:val="23"/>
                <w:szCs w:val="23"/>
              </w:rPr>
            </w:pPr>
            <w:r w:rsidRPr="004D05E9">
              <w:rPr>
                <w:rFonts w:cs="Arial"/>
                <w:bCs/>
                <w:color w:val="000000"/>
                <w:kern w:val="28"/>
                <w:sz w:val="23"/>
                <w:szCs w:val="23"/>
              </w:rPr>
              <w:t>No</w:t>
            </w:r>
          </w:p>
        </w:tc>
      </w:tr>
    </w:tbl>
    <w:p w14:paraId="48B2A04C" w14:textId="77777777" w:rsidR="00FD74B6" w:rsidRPr="004D05E9" w:rsidRDefault="00FD74B6" w:rsidP="00E4217A">
      <w:pPr>
        <w:pStyle w:val="Heading2"/>
        <w:spacing w:before="1560" w:after="240"/>
        <w:jc w:val="center"/>
      </w:pPr>
      <w:bookmarkStart w:id="138" w:name="_Toc57199076"/>
      <w:r w:rsidRPr="004D05E9">
        <w:lastRenderedPageBreak/>
        <w:t>Indicator 11: Child Find</w:t>
      </w:r>
      <w:bookmarkEnd w:id="138"/>
    </w:p>
    <w:p w14:paraId="07BC5BE1" w14:textId="77777777" w:rsidR="00FD74B6" w:rsidRPr="004D05E9" w:rsidRDefault="00FD74B6" w:rsidP="00E4217A">
      <w:pPr>
        <w:pStyle w:val="Heading3"/>
        <w:spacing w:before="0" w:after="240"/>
      </w:pPr>
      <w:bookmarkStart w:id="139" w:name="_Toc57199077"/>
      <w:r w:rsidRPr="004D05E9">
        <w:t>Description</w:t>
      </w:r>
      <w:bookmarkEnd w:id="139"/>
    </w:p>
    <w:p w14:paraId="601D792A" w14:textId="3F431EB7" w:rsidR="00FD74B6" w:rsidRPr="004D05E9" w:rsidRDefault="00FD74B6" w:rsidP="00E4217A">
      <w:pPr>
        <w:tabs>
          <w:tab w:val="left" w:pos="720"/>
          <w:tab w:val="center" w:pos="4680"/>
          <w:tab w:val="right" w:pos="9360"/>
        </w:tabs>
        <w:spacing w:after="240"/>
        <w:rPr>
          <w:rFonts w:cs="Arial"/>
          <w:b/>
          <w:bCs/>
        </w:rPr>
      </w:pPr>
      <w:r w:rsidRPr="004D05E9">
        <w:rPr>
          <w:rFonts w:cs="Arial"/>
        </w:rPr>
        <w:t xml:space="preserve">Indicator 11 is a compliance indicator that measures the percent of students with disabilities who were evaluated within 60 days of receiving parental consent for initial evaluation or, if the state establishes a timeframe within which the evaluation must be conducted, within that timeframe (20 U.S.C. </w:t>
      </w:r>
      <w:r w:rsidR="002A11EB" w:rsidRPr="004D05E9">
        <w:rPr>
          <w:rFonts w:cs="Arial"/>
        </w:rPr>
        <w:t xml:space="preserve">Section </w:t>
      </w:r>
      <w:r w:rsidRPr="004D05E9">
        <w:rPr>
          <w:rFonts w:cs="Arial"/>
        </w:rPr>
        <w:t xml:space="preserve">1416[a][3][B]). These data were calculated using CASEMIS data fields related to parental consent date and initial evaluation date. Determination of eligibility was made using the data field which includes the type of plan a student has (IEP, </w:t>
      </w:r>
      <w:r w:rsidRPr="004D05E9">
        <w:rPr>
          <w:rFonts w:cs="Arial"/>
          <w:color w:val="000000" w:themeColor="text1"/>
        </w:rPr>
        <w:t xml:space="preserve">Individualized Family Support Plan, </w:t>
      </w:r>
      <w:r w:rsidRPr="004D05E9">
        <w:rPr>
          <w:rFonts w:cs="Arial"/>
        </w:rPr>
        <w:t xml:space="preserve">Individual Service Plan), if the student is eligible, or no plan if the student is determined ineligible. If the parent of a student repeatedly failed or refused to bring the student for the evaluation, or a student enrolled in a school of another public agency after the timeframe for initial evaluations had begun, and prior to a determination by the </w:t>
      </w:r>
      <w:r w:rsidR="184DD51F" w:rsidRPr="004D05E9">
        <w:rPr>
          <w:rFonts w:cs="Arial"/>
        </w:rPr>
        <w:t>student's</w:t>
      </w:r>
      <w:r w:rsidRPr="004D05E9">
        <w:rPr>
          <w:rFonts w:cs="Arial"/>
        </w:rPr>
        <w:t xml:space="preserve"> previous public agency as to whether the student is a student with a disability, then the student was eliminated from both the numerator and the denominator.</w:t>
      </w:r>
    </w:p>
    <w:p w14:paraId="65BE2376" w14:textId="115F3338" w:rsidR="00FD74B6" w:rsidRPr="004D05E9" w:rsidRDefault="00FD74B6" w:rsidP="00E4217A">
      <w:pPr>
        <w:pStyle w:val="Heading3"/>
        <w:spacing w:before="0" w:after="240"/>
      </w:pPr>
      <w:bookmarkStart w:id="140" w:name="_Toc57199078"/>
      <w:r w:rsidRPr="004D05E9">
        <w:t>Target for 201</w:t>
      </w:r>
      <w:r w:rsidR="003561E3" w:rsidRPr="004D05E9">
        <w:t>9</w:t>
      </w:r>
      <w:r w:rsidRPr="004D05E9">
        <w:t>–</w:t>
      </w:r>
      <w:r w:rsidR="003561E3" w:rsidRPr="004D05E9">
        <w:t>20</w:t>
      </w:r>
      <w:bookmarkEnd w:id="140"/>
    </w:p>
    <w:p w14:paraId="4A635296" w14:textId="77777777" w:rsidR="00FD74B6" w:rsidRPr="004D05E9" w:rsidRDefault="00FD74B6" w:rsidP="00E4217A">
      <w:pPr>
        <w:spacing w:after="240"/>
        <w:rPr>
          <w:rFonts w:cs="Arial"/>
          <w:b/>
          <w:bCs/>
        </w:rPr>
      </w:pPr>
      <w:r w:rsidRPr="004D05E9">
        <w:rPr>
          <w:rFonts w:cs="Arial"/>
        </w:rPr>
        <w:t>Eligibility determinations will be completed within 60 days for 100 percent of students with disabilities for whom parental consent to evaluate was received.</w:t>
      </w:r>
    </w:p>
    <w:p w14:paraId="5F6433D6" w14:textId="77777777" w:rsidR="00FD74B6" w:rsidRPr="004D05E9" w:rsidRDefault="00FD74B6" w:rsidP="00E4217A">
      <w:pPr>
        <w:pStyle w:val="Heading3"/>
        <w:spacing w:before="0" w:after="240"/>
      </w:pPr>
      <w:bookmarkStart w:id="141" w:name="_Toc57199079"/>
      <w:r w:rsidRPr="004D05E9">
        <w:t>Measurement</w:t>
      </w:r>
      <w:bookmarkEnd w:id="141"/>
    </w:p>
    <w:p w14:paraId="22256F70" w14:textId="77777777" w:rsidR="00FD74B6" w:rsidRPr="004D05E9" w:rsidRDefault="00FD74B6" w:rsidP="00E4217A">
      <w:pPr>
        <w:tabs>
          <w:tab w:val="left" w:pos="720"/>
          <w:tab w:val="center" w:pos="4320"/>
          <w:tab w:val="right" w:pos="8640"/>
        </w:tabs>
        <w:spacing w:after="240"/>
        <w:rPr>
          <w:rFonts w:cs="Arial"/>
        </w:rPr>
      </w:pPr>
      <w:r w:rsidRPr="004D05E9">
        <w:rPr>
          <w:rFonts w:cs="Arial"/>
        </w:rPr>
        <w:t>The number of students whose evaluations were completed within 60 days (or a state-established time line) divided by the number of students for whom parental consent to evaluate was received.</w:t>
      </w:r>
    </w:p>
    <w:p w14:paraId="1130D53C" w14:textId="589F4D76" w:rsidR="00FD74B6" w:rsidRPr="004D05E9" w:rsidRDefault="00FD74B6" w:rsidP="00E4217A">
      <w:pPr>
        <w:pStyle w:val="Heading3"/>
        <w:spacing w:before="0" w:after="240"/>
      </w:pPr>
      <w:bookmarkStart w:id="142" w:name="_Toc57199080"/>
      <w:r w:rsidRPr="004D05E9">
        <w:t>Results for 201</w:t>
      </w:r>
      <w:r w:rsidR="003561E3" w:rsidRPr="004D05E9">
        <w:t>9</w:t>
      </w:r>
      <w:r w:rsidRPr="004D05E9">
        <w:t>–</w:t>
      </w:r>
      <w:r w:rsidR="003561E3" w:rsidRPr="004D05E9">
        <w:t>20</w:t>
      </w:r>
      <w:bookmarkEnd w:id="142"/>
    </w:p>
    <w:p w14:paraId="19712575" w14:textId="769AA6DF" w:rsidR="00FD74B6" w:rsidRPr="004D05E9" w:rsidRDefault="00FD74B6" w:rsidP="00E4217A">
      <w:pPr>
        <w:spacing w:after="240"/>
        <w:rPr>
          <w:rFonts w:cs="Arial"/>
        </w:rPr>
      </w:pPr>
      <w:r w:rsidRPr="004D05E9">
        <w:rPr>
          <w:rFonts w:cs="Arial"/>
          <w:bCs/>
        </w:rPr>
        <w:t>For FFY 201</w:t>
      </w:r>
      <w:r w:rsidR="003561E3" w:rsidRPr="004D05E9">
        <w:rPr>
          <w:rFonts w:cs="Arial"/>
          <w:bCs/>
        </w:rPr>
        <w:t>9</w:t>
      </w:r>
      <w:r w:rsidRPr="004D05E9">
        <w:rPr>
          <w:rFonts w:cs="Arial"/>
          <w:bCs/>
        </w:rPr>
        <w:t xml:space="preserve">, </w:t>
      </w:r>
      <w:r w:rsidR="003528B2" w:rsidRPr="004D05E9">
        <w:rPr>
          <w:rFonts w:cs="Arial"/>
          <w:bCs/>
        </w:rPr>
        <w:t>96.2</w:t>
      </w:r>
      <w:r w:rsidR="002B0CA0" w:rsidRPr="004D05E9">
        <w:rPr>
          <w:rFonts w:cs="Arial"/>
          <w:bCs/>
        </w:rPr>
        <w:t>2</w:t>
      </w:r>
      <w:r w:rsidRPr="004D05E9">
        <w:rPr>
          <w:rFonts w:cs="Arial"/>
          <w:bCs/>
        </w:rPr>
        <w:t xml:space="preserve"> percent of eligibility determinations were completed within 60 days for students whom parental consent to evaluate was received.</w:t>
      </w:r>
    </w:p>
    <w:p w14:paraId="24B6B7FF" w14:textId="77777777" w:rsidR="00FD74B6" w:rsidRPr="004D05E9" w:rsidRDefault="00FD74B6" w:rsidP="00E4217A">
      <w:pPr>
        <w:pStyle w:val="Heading3"/>
        <w:spacing w:before="0" w:after="240"/>
        <w:rPr>
          <w:bCs/>
        </w:rPr>
      </w:pPr>
      <w:bookmarkStart w:id="143" w:name="_Toc57199081"/>
      <w:r w:rsidRPr="004D05E9">
        <w:t xml:space="preserve">Target Met: </w:t>
      </w:r>
      <w:r w:rsidRPr="004D05E9">
        <w:rPr>
          <w:bCs/>
        </w:rPr>
        <w:t>No</w:t>
      </w:r>
      <w:bookmarkEnd w:id="143"/>
    </w:p>
    <w:p w14:paraId="4FAB7AE0" w14:textId="3BC7B1F3" w:rsidR="00FD74B6" w:rsidRPr="004D05E9" w:rsidRDefault="00FD74B6" w:rsidP="004D7261">
      <w:pPr>
        <w:widowControl w:val="0"/>
        <w:overflowPunct w:val="0"/>
        <w:autoSpaceDE w:val="0"/>
        <w:autoSpaceDN w:val="0"/>
        <w:adjustRightInd w:val="0"/>
        <w:rPr>
          <w:rFonts w:cs="Arial"/>
          <w:b/>
          <w:bCs/>
        </w:rPr>
      </w:pPr>
      <w:r w:rsidRPr="004D05E9">
        <w:rPr>
          <w:rFonts w:cs="Arial"/>
          <w:b/>
          <w:bCs/>
        </w:rPr>
        <w:t>Child Find Targets and Results for FFY</w:t>
      </w:r>
      <w:r w:rsidR="008A73EF" w:rsidRPr="004D05E9">
        <w:rPr>
          <w:rFonts w:cs="Arial"/>
          <w:b/>
          <w:bCs/>
        </w:rPr>
        <w:t>s</w:t>
      </w:r>
      <w:r w:rsidRPr="004D05E9">
        <w:rPr>
          <w:rFonts w:cs="Arial"/>
          <w:b/>
          <w:bCs/>
        </w:rPr>
        <w:t xml:space="preserve"> 2013–1</w:t>
      </w:r>
      <w:r w:rsidR="003561E3" w:rsidRPr="004D05E9">
        <w:rPr>
          <w:rFonts w:cs="Arial"/>
          <w:b/>
          <w:bCs/>
        </w:rPr>
        <w:t>9</w:t>
      </w:r>
    </w:p>
    <w:tbl>
      <w:tblPr>
        <w:tblStyle w:val="TableGrid11"/>
        <w:tblW w:w="0" w:type="auto"/>
        <w:tblLook w:val="04A0" w:firstRow="1" w:lastRow="0" w:firstColumn="1" w:lastColumn="0" w:noHBand="0" w:noVBand="1"/>
        <w:tblDescription w:val="Indicator 11 Targets and Results"/>
      </w:tblPr>
      <w:tblGrid>
        <w:gridCol w:w="1697"/>
        <w:gridCol w:w="1030"/>
        <w:gridCol w:w="964"/>
        <w:gridCol w:w="1164"/>
        <w:gridCol w:w="964"/>
        <w:gridCol w:w="964"/>
        <w:gridCol w:w="964"/>
        <w:gridCol w:w="964"/>
      </w:tblGrid>
      <w:tr w:rsidR="003561E3" w:rsidRPr="004D05E9" w14:paraId="2E1195BB" w14:textId="47B3EDD8" w:rsidTr="00463712">
        <w:trPr>
          <w:cantSplit/>
          <w:tblHeader/>
        </w:trPr>
        <w:tc>
          <w:tcPr>
            <w:tcW w:w="1697" w:type="dxa"/>
            <w:hideMark/>
          </w:tcPr>
          <w:p w14:paraId="0095C250"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Indicator 11</w:t>
            </w:r>
          </w:p>
        </w:tc>
        <w:tc>
          <w:tcPr>
            <w:tcW w:w="1030" w:type="dxa"/>
            <w:hideMark/>
          </w:tcPr>
          <w:p w14:paraId="0C4C2FDD"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2013</w:t>
            </w:r>
          </w:p>
        </w:tc>
        <w:tc>
          <w:tcPr>
            <w:tcW w:w="964" w:type="dxa"/>
            <w:hideMark/>
          </w:tcPr>
          <w:p w14:paraId="61D4D89F"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2014</w:t>
            </w:r>
          </w:p>
        </w:tc>
        <w:tc>
          <w:tcPr>
            <w:tcW w:w="1164" w:type="dxa"/>
            <w:hideMark/>
          </w:tcPr>
          <w:p w14:paraId="3D873EF7"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2015</w:t>
            </w:r>
          </w:p>
        </w:tc>
        <w:tc>
          <w:tcPr>
            <w:tcW w:w="964" w:type="dxa"/>
            <w:hideMark/>
          </w:tcPr>
          <w:p w14:paraId="08875ACE"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2016</w:t>
            </w:r>
          </w:p>
        </w:tc>
        <w:tc>
          <w:tcPr>
            <w:tcW w:w="964" w:type="dxa"/>
            <w:hideMark/>
          </w:tcPr>
          <w:p w14:paraId="4BB358D7"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2017</w:t>
            </w:r>
          </w:p>
        </w:tc>
        <w:tc>
          <w:tcPr>
            <w:tcW w:w="964" w:type="dxa"/>
            <w:hideMark/>
          </w:tcPr>
          <w:p w14:paraId="3A641F4D"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2018</w:t>
            </w:r>
          </w:p>
        </w:tc>
        <w:tc>
          <w:tcPr>
            <w:tcW w:w="964" w:type="dxa"/>
          </w:tcPr>
          <w:p w14:paraId="5CB84697" w14:textId="403099CE"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2019</w:t>
            </w:r>
          </w:p>
        </w:tc>
      </w:tr>
      <w:tr w:rsidR="003561E3" w:rsidRPr="004D05E9" w14:paraId="0FDDC63E" w14:textId="247907DE" w:rsidTr="00463712">
        <w:trPr>
          <w:cantSplit/>
        </w:trPr>
        <w:tc>
          <w:tcPr>
            <w:tcW w:w="1697" w:type="dxa"/>
            <w:hideMark/>
          </w:tcPr>
          <w:p w14:paraId="73A9E8B8"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Target</w:t>
            </w:r>
          </w:p>
        </w:tc>
        <w:tc>
          <w:tcPr>
            <w:tcW w:w="1030" w:type="dxa"/>
            <w:hideMark/>
          </w:tcPr>
          <w:p w14:paraId="5851C71D"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c>
          <w:tcPr>
            <w:tcW w:w="964" w:type="dxa"/>
            <w:hideMark/>
          </w:tcPr>
          <w:p w14:paraId="54508F82"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c>
          <w:tcPr>
            <w:tcW w:w="1164" w:type="dxa"/>
            <w:hideMark/>
          </w:tcPr>
          <w:p w14:paraId="319E3E40"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c>
          <w:tcPr>
            <w:tcW w:w="964" w:type="dxa"/>
            <w:hideMark/>
          </w:tcPr>
          <w:p w14:paraId="1EC6F6CB"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c>
          <w:tcPr>
            <w:tcW w:w="964" w:type="dxa"/>
            <w:hideMark/>
          </w:tcPr>
          <w:p w14:paraId="51F67F8B"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c>
          <w:tcPr>
            <w:tcW w:w="964" w:type="dxa"/>
            <w:hideMark/>
          </w:tcPr>
          <w:p w14:paraId="7887E15E"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c>
          <w:tcPr>
            <w:tcW w:w="964" w:type="dxa"/>
          </w:tcPr>
          <w:p w14:paraId="522F9089" w14:textId="363BCD32"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r>
      <w:tr w:rsidR="003561E3" w:rsidRPr="004D05E9" w14:paraId="4BAF4926" w14:textId="05C8BD27" w:rsidTr="00463712">
        <w:trPr>
          <w:cantSplit/>
        </w:trPr>
        <w:tc>
          <w:tcPr>
            <w:tcW w:w="1697" w:type="dxa"/>
            <w:hideMark/>
          </w:tcPr>
          <w:p w14:paraId="4A0AEC00"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Result</w:t>
            </w:r>
          </w:p>
        </w:tc>
        <w:tc>
          <w:tcPr>
            <w:tcW w:w="1030" w:type="dxa"/>
            <w:hideMark/>
          </w:tcPr>
          <w:p w14:paraId="200C8DAD"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98.1%</w:t>
            </w:r>
          </w:p>
        </w:tc>
        <w:tc>
          <w:tcPr>
            <w:tcW w:w="964" w:type="dxa"/>
            <w:hideMark/>
          </w:tcPr>
          <w:p w14:paraId="1CA3D8E0"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96%</w:t>
            </w:r>
          </w:p>
        </w:tc>
        <w:tc>
          <w:tcPr>
            <w:tcW w:w="1164" w:type="dxa"/>
            <w:hideMark/>
          </w:tcPr>
          <w:p w14:paraId="54C3D799"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98.7%</w:t>
            </w:r>
          </w:p>
        </w:tc>
        <w:tc>
          <w:tcPr>
            <w:tcW w:w="964" w:type="dxa"/>
            <w:hideMark/>
          </w:tcPr>
          <w:p w14:paraId="7832FAB2"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98.5%</w:t>
            </w:r>
          </w:p>
        </w:tc>
        <w:tc>
          <w:tcPr>
            <w:tcW w:w="964" w:type="dxa"/>
            <w:hideMark/>
          </w:tcPr>
          <w:p w14:paraId="56C87101"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97.8%</w:t>
            </w:r>
          </w:p>
        </w:tc>
        <w:tc>
          <w:tcPr>
            <w:tcW w:w="964" w:type="dxa"/>
            <w:hideMark/>
          </w:tcPr>
          <w:p w14:paraId="62A41465" w14:textId="38914E7C"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96.</w:t>
            </w:r>
            <w:r w:rsidR="003528B2" w:rsidRPr="004D05E9">
              <w:rPr>
                <w:rFonts w:cs="Arial"/>
                <w:bCs/>
                <w:color w:val="000000"/>
                <w:kern w:val="28"/>
                <w:sz w:val="23"/>
                <w:szCs w:val="23"/>
              </w:rPr>
              <w:t>1</w:t>
            </w:r>
            <w:r w:rsidRPr="004D05E9">
              <w:rPr>
                <w:rFonts w:cs="Arial"/>
                <w:bCs/>
                <w:color w:val="000000"/>
                <w:kern w:val="28"/>
                <w:sz w:val="23"/>
                <w:szCs w:val="23"/>
              </w:rPr>
              <w:t>%</w:t>
            </w:r>
          </w:p>
        </w:tc>
        <w:tc>
          <w:tcPr>
            <w:tcW w:w="964" w:type="dxa"/>
          </w:tcPr>
          <w:p w14:paraId="010D2B6F" w14:textId="62D0F1BF" w:rsidR="003561E3" w:rsidRPr="004D05E9" w:rsidRDefault="003528B2" w:rsidP="00FD74B6">
            <w:pPr>
              <w:widowControl w:val="0"/>
              <w:overflowPunct w:val="0"/>
              <w:autoSpaceDE w:val="0"/>
              <w:autoSpaceDN w:val="0"/>
              <w:adjustRightInd w:val="0"/>
              <w:jc w:val="center"/>
              <w:rPr>
                <w:rFonts w:cs="Arial"/>
                <w:bCs/>
                <w:color w:val="000000"/>
                <w:kern w:val="28"/>
                <w:sz w:val="23"/>
                <w:szCs w:val="23"/>
              </w:rPr>
            </w:pPr>
            <w:r w:rsidRPr="004D05E9">
              <w:rPr>
                <w:rFonts w:cs="Arial"/>
                <w:bCs/>
                <w:color w:val="000000"/>
                <w:kern w:val="28"/>
                <w:sz w:val="23"/>
                <w:szCs w:val="23"/>
              </w:rPr>
              <w:t>96.2%</w:t>
            </w:r>
          </w:p>
        </w:tc>
      </w:tr>
      <w:tr w:rsidR="003561E3" w:rsidRPr="004D05E9" w14:paraId="21E5FFDC" w14:textId="7147DF85" w:rsidTr="00463712">
        <w:trPr>
          <w:cantSplit/>
        </w:trPr>
        <w:tc>
          <w:tcPr>
            <w:tcW w:w="1697" w:type="dxa"/>
            <w:hideMark/>
          </w:tcPr>
          <w:p w14:paraId="1E960435"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Target Met</w:t>
            </w:r>
          </w:p>
        </w:tc>
        <w:tc>
          <w:tcPr>
            <w:tcW w:w="1030" w:type="dxa"/>
            <w:hideMark/>
          </w:tcPr>
          <w:p w14:paraId="7C2C3114"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No</w:t>
            </w:r>
          </w:p>
        </w:tc>
        <w:tc>
          <w:tcPr>
            <w:tcW w:w="964" w:type="dxa"/>
            <w:hideMark/>
          </w:tcPr>
          <w:p w14:paraId="4663C593"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No</w:t>
            </w:r>
          </w:p>
        </w:tc>
        <w:tc>
          <w:tcPr>
            <w:tcW w:w="1164" w:type="dxa"/>
            <w:hideMark/>
          </w:tcPr>
          <w:p w14:paraId="7C9F753C"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No</w:t>
            </w:r>
          </w:p>
        </w:tc>
        <w:tc>
          <w:tcPr>
            <w:tcW w:w="964" w:type="dxa"/>
            <w:hideMark/>
          </w:tcPr>
          <w:p w14:paraId="0C618107"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964" w:type="dxa"/>
            <w:hideMark/>
          </w:tcPr>
          <w:p w14:paraId="139F9155"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964" w:type="dxa"/>
            <w:hideMark/>
          </w:tcPr>
          <w:p w14:paraId="6B972EA9"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964" w:type="dxa"/>
          </w:tcPr>
          <w:p w14:paraId="6D56D2DF" w14:textId="50C068D2" w:rsidR="003561E3" w:rsidRPr="004D05E9" w:rsidRDefault="003561E3" w:rsidP="00FD74B6">
            <w:pPr>
              <w:widowControl w:val="0"/>
              <w:overflowPunct w:val="0"/>
              <w:autoSpaceDE w:val="0"/>
              <w:autoSpaceDN w:val="0"/>
              <w:adjustRightInd w:val="0"/>
              <w:jc w:val="center"/>
              <w:rPr>
                <w:rFonts w:cs="Arial"/>
                <w:bCs/>
                <w:color w:val="000000"/>
                <w:kern w:val="28"/>
                <w:sz w:val="23"/>
                <w:szCs w:val="23"/>
              </w:rPr>
            </w:pPr>
            <w:r w:rsidRPr="004D05E9">
              <w:rPr>
                <w:rFonts w:cs="Arial"/>
                <w:bCs/>
                <w:color w:val="000000"/>
                <w:kern w:val="28"/>
                <w:sz w:val="23"/>
                <w:szCs w:val="23"/>
              </w:rPr>
              <w:t>No</w:t>
            </w:r>
          </w:p>
        </w:tc>
      </w:tr>
    </w:tbl>
    <w:p w14:paraId="0F955525" w14:textId="77777777" w:rsidR="00FD74B6" w:rsidRPr="004D05E9" w:rsidRDefault="00FD74B6" w:rsidP="00FD74B6">
      <w:r w:rsidRPr="004D05E9">
        <w:br w:type="page"/>
      </w:r>
    </w:p>
    <w:p w14:paraId="6EF02516" w14:textId="77777777" w:rsidR="00FD74B6" w:rsidRPr="004D05E9" w:rsidRDefault="00FD74B6" w:rsidP="00E4217A">
      <w:pPr>
        <w:pStyle w:val="Heading2"/>
        <w:spacing w:before="0" w:after="240"/>
        <w:jc w:val="center"/>
      </w:pPr>
      <w:bookmarkStart w:id="144" w:name="_Toc57199082"/>
      <w:r w:rsidRPr="004D05E9">
        <w:lastRenderedPageBreak/>
        <w:t>Indicator 12: Early Childhood Transition</w:t>
      </w:r>
      <w:bookmarkEnd w:id="144"/>
    </w:p>
    <w:p w14:paraId="0DCBA31F" w14:textId="77777777" w:rsidR="00FD74B6" w:rsidRPr="004D05E9" w:rsidRDefault="00FD74B6" w:rsidP="00E4217A">
      <w:pPr>
        <w:pStyle w:val="Heading3"/>
        <w:spacing w:before="0" w:after="240"/>
      </w:pPr>
      <w:bookmarkStart w:id="145" w:name="_Toc57199083"/>
      <w:r w:rsidRPr="004D05E9">
        <w:t>Description</w:t>
      </w:r>
      <w:bookmarkEnd w:id="145"/>
    </w:p>
    <w:p w14:paraId="583DA5EA" w14:textId="77777777" w:rsidR="00FD74B6" w:rsidRPr="004D05E9" w:rsidRDefault="00FD74B6" w:rsidP="00E4217A">
      <w:pPr>
        <w:tabs>
          <w:tab w:val="left" w:pos="720"/>
          <w:tab w:val="center" w:pos="4680"/>
          <w:tab w:val="right" w:pos="9360"/>
        </w:tabs>
        <w:spacing w:after="240"/>
        <w:rPr>
          <w:rFonts w:cs="Arial"/>
        </w:rPr>
      </w:pPr>
      <w:r w:rsidRPr="004D05E9">
        <w:rPr>
          <w:rFonts w:cs="Arial"/>
        </w:rPr>
        <w:t xml:space="preserve">Indicator 12 is a compliance indicator that measures the percent of children referred by the infant program (IDEA Part C) prior to age three, who are found eligible for Part B, and who have an IEP developed and implemented by their third birthday (20 U.S.C. </w:t>
      </w:r>
      <w:r w:rsidR="002A11EB" w:rsidRPr="004D05E9">
        <w:rPr>
          <w:rFonts w:cs="Arial"/>
        </w:rPr>
        <w:t xml:space="preserve">Section </w:t>
      </w:r>
      <w:r w:rsidRPr="004D05E9">
        <w:rPr>
          <w:rFonts w:cs="Arial"/>
        </w:rPr>
        <w:t>1416[a][3][B]). These data were collected through CASEMIS and data from the Depart</w:t>
      </w:r>
      <w:r w:rsidR="00E4217A" w:rsidRPr="004D05E9">
        <w:rPr>
          <w:rFonts w:cs="Arial"/>
        </w:rPr>
        <w:t>ment of Developmental Services.</w:t>
      </w:r>
    </w:p>
    <w:p w14:paraId="5012F10D" w14:textId="42B187C3" w:rsidR="00FD74B6" w:rsidRPr="004D05E9" w:rsidRDefault="00FD74B6" w:rsidP="00E4217A">
      <w:pPr>
        <w:pStyle w:val="Heading3"/>
        <w:spacing w:before="0" w:after="240"/>
      </w:pPr>
      <w:bookmarkStart w:id="146" w:name="_Toc57199084"/>
      <w:r w:rsidRPr="004D05E9">
        <w:t>Target for 201</w:t>
      </w:r>
      <w:r w:rsidR="003561E3" w:rsidRPr="004D05E9">
        <w:t>9</w:t>
      </w:r>
      <w:r w:rsidRPr="004D05E9">
        <w:t>–</w:t>
      </w:r>
      <w:r w:rsidR="003561E3" w:rsidRPr="004D05E9">
        <w:t>20</w:t>
      </w:r>
      <w:bookmarkEnd w:id="146"/>
    </w:p>
    <w:p w14:paraId="01B660E9" w14:textId="77777777" w:rsidR="00FD74B6" w:rsidRPr="004D05E9" w:rsidRDefault="00FD74B6" w:rsidP="00E4217A">
      <w:pPr>
        <w:spacing w:after="240"/>
        <w:rPr>
          <w:rFonts w:cs="Arial"/>
        </w:rPr>
      </w:pPr>
      <w:r w:rsidRPr="004D05E9">
        <w:rPr>
          <w:rFonts w:cs="Arial"/>
        </w:rPr>
        <w:t>One hundred percent of children referred by the IDEA Part C prior to age three and who are found eligible for the IDEA Part B will have an IEP developed and implemented by their third birthday.</w:t>
      </w:r>
    </w:p>
    <w:p w14:paraId="4CB06E4F" w14:textId="77777777" w:rsidR="00FD74B6" w:rsidRPr="004D05E9" w:rsidRDefault="00FD74B6" w:rsidP="00E4217A">
      <w:pPr>
        <w:pStyle w:val="Heading3"/>
        <w:spacing w:before="0" w:after="240"/>
      </w:pPr>
      <w:bookmarkStart w:id="147" w:name="_Toc57199085"/>
      <w:r w:rsidRPr="004D05E9">
        <w:t>Measurement</w:t>
      </w:r>
      <w:bookmarkEnd w:id="147"/>
    </w:p>
    <w:p w14:paraId="2784B83A" w14:textId="77777777" w:rsidR="00FD74B6" w:rsidRPr="004D05E9" w:rsidRDefault="00FD74B6" w:rsidP="005413E1">
      <w:pPr>
        <w:pStyle w:val="ListParagraph"/>
        <w:numPr>
          <w:ilvl w:val="0"/>
          <w:numId w:val="28"/>
        </w:numPr>
        <w:tabs>
          <w:tab w:val="left" w:pos="720"/>
          <w:tab w:val="center" w:pos="4320"/>
          <w:tab w:val="right" w:pos="8640"/>
        </w:tabs>
        <w:spacing w:after="240"/>
        <w:contextualSpacing w:val="0"/>
        <w:rPr>
          <w:rFonts w:cs="Arial"/>
        </w:rPr>
      </w:pPr>
      <w:r w:rsidRPr="004D05E9">
        <w:rPr>
          <w:rFonts w:cs="Arial"/>
        </w:rPr>
        <w:t>Number of children who have been served in Part C and referred to Part B (LEA notified pursuant to the IDEA section 637[a][9][A] for Part B eligibility determination).</w:t>
      </w:r>
    </w:p>
    <w:p w14:paraId="299C464A" w14:textId="77777777" w:rsidR="00FD74B6" w:rsidRPr="004D05E9" w:rsidRDefault="00FD74B6" w:rsidP="005413E1">
      <w:pPr>
        <w:pStyle w:val="ListParagraph"/>
        <w:numPr>
          <w:ilvl w:val="0"/>
          <w:numId w:val="28"/>
        </w:numPr>
        <w:tabs>
          <w:tab w:val="left" w:pos="720"/>
          <w:tab w:val="center" w:pos="4320"/>
          <w:tab w:val="right" w:pos="8640"/>
        </w:tabs>
        <w:spacing w:after="240"/>
        <w:contextualSpacing w:val="0"/>
        <w:rPr>
          <w:rFonts w:cs="Arial"/>
        </w:rPr>
      </w:pPr>
      <w:r w:rsidRPr="004D05E9">
        <w:rPr>
          <w:rFonts w:cs="Arial"/>
        </w:rPr>
        <w:t>Number of children referred determined to</w:t>
      </w:r>
      <w:r w:rsidR="00A211F6" w:rsidRPr="004D05E9">
        <w:rPr>
          <w:rFonts w:cs="Arial"/>
        </w:rPr>
        <w:t xml:space="preserve"> </w:t>
      </w:r>
      <w:r w:rsidR="00A211F6" w:rsidRPr="004D05E9">
        <w:rPr>
          <w:rFonts w:cs="Arial"/>
          <w:b/>
        </w:rPr>
        <w:t>not</w:t>
      </w:r>
      <w:r w:rsidRPr="004D05E9">
        <w:rPr>
          <w:rFonts w:cs="Arial"/>
        </w:rPr>
        <w:t xml:space="preserve"> be eligible and whose eligibilities were determined prior to their third birthday.</w:t>
      </w:r>
    </w:p>
    <w:p w14:paraId="6B4147B7" w14:textId="77777777" w:rsidR="00FD74B6" w:rsidRPr="004D05E9" w:rsidRDefault="00FD74B6" w:rsidP="005413E1">
      <w:pPr>
        <w:pStyle w:val="ListParagraph"/>
        <w:numPr>
          <w:ilvl w:val="0"/>
          <w:numId w:val="28"/>
        </w:numPr>
        <w:tabs>
          <w:tab w:val="left" w:pos="720"/>
          <w:tab w:val="center" w:pos="4320"/>
          <w:tab w:val="right" w:pos="8640"/>
        </w:tabs>
        <w:spacing w:after="240"/>
        <w:contextualSpacing w:val="0"/>
        <w:rPr>
          <w:rFonts w:cs="Arial"/>
        </w:rPr>
      </w:pPr>
      <w:r w:rsidRPr="004D05E9">
        <w:rPr>
          <w:rFonts w:cs="Arial"/>
        </w:rPr>
        <w:t>Number of children found eligible who have an IEP developed and implemented by their third birthday.</w:t>
      </w:r>
    </w:p>
    <w:p w14:paraId="42693895" w14:textId="77777777" w:rsidR="00FD74B6" w:rsidRPr="004D05E9" w:rsidRDefault="00FD74B6" w:rsidP="005413E1">
      <w:pPr>
        <w:pStyle w:val="ListParagraph"/>
        <w:numPr>
          <w:ilvl w:val="0"/>
          <w:numId w:val="28"/>
        </w:numPr>
        <w:tabs>
          <w:tab w:val="left" w:pos="720"/>
          <w:tab w:val="center" w:pos="4320"/>
          <w:tab w:val="right" w:pos="8640"/>
        </w:tabs>
        <w:spacing w:after="240"/>
        <w:contextualSpacing w:val="0"/>
        <w:rPr>
          <w:rFonts w:cs="Arial"/>
        </w:rPr>
      </w:pPr>
      <w:r w:rsidRPr="004D05E9">
        <w:rPr>
          <w:rFonts w:cs="Arial"/>
        </w:rPr>
        <w:t>Number of children for whom parental refusal to provide consent caused delays in evaluation or initial services.</w:t>
      </w:r>
    </w:p>
    <w:p w14:paraId="59AC84C5" w14:textId="77777777" w:rsidR="00C868E7" w:rsidRPr="004D05E9" w:rsidRDefault="00C868E7" w:rsidP="005413E1">
      <w:pPr>
        <w:pStyle w:val="ListParagraph"/>
        <w:numPr>
          <w:ilvl w:val="0"/>
          <w:numId w:val="28"/>
        </w:numPr>
        <w:tabs>
          <w:tab w:val="left" w:pos="720"/>
          <w:tab w:val="center" w:pos="4320"/>
          <w:tab w:val="right" w:pos="8640"/>
        </w:tabs>
        <w:spacing w:after="240"/>
        <w:contextualSpacing w:val="0"/>
        <w:rPr>
          <w:rFonts w:cs="Arial"/>
        </w:rPr>
      </w:pPr>
      <w:r w:rsidRPr="004D05E9">
        <w:rPr>
          <w:rFonts w:cs="Arial"/>
        </w:rPr>
        <w:t>Number of children who were referred to Part C less than 90 days before their third birthdays.</w:t>
      </w:r>
    </w:p>
    <w:p w14:paraId="4A6E4ED6" w14:textId="77777777" w:rsidR="00C868E7" w:rsidRPr="004D05E9" w:rsidRDefault="00C868E7" w:rsidP="000F6A7D">
      <w:pPr>
        <w:pStyle w:val="ListParagraph"/>
        <w:tabs>
          <w:tab w:val="left" w:pos="720"/>
          <w:tab w:val="center" w:pos="4320"/>
          <w:tab w:val="right" w:pos="8640"/>
        </w:tabs>
        <w:spacing w:after="240"/>
        <w:contextualSpacing w:val="0"/>
        <w:rPr>
          <w:rFonts w:cs="Arial"/>
        </w:rPr>
      </w:pPr>
      <w:r w:rsidRPr="004D05E9">
        <w:rPr>
          <w:rFonts w:cs="Arial"/>
        </w:rPr>
        <w:t xml:space="preserve">Percent of children referred equals (c) divided by (a-b-d-e) times 100. </w:t>
      </w:r>
    </w:p>
    <w:p w14:paraId="04D33659" w14:textId="0265A28E" w:rsidR="00FD74B6" w:rsidRPr="004D05E9" w:rsidRDefault="00FD74B6" w:rsidP="00E4217A">
      <w:pPr>
        <w:pStyle w:val="Heading3"/>
        <w:spacing w:before="0" w:after="240"/>
      </w:pPr>
      <w:bookmarkStart w:id="148" w:name="_Toc57199086"/>
      <w:r w:rsidRPr="004D05E9">
        <w:t>Results for 201</w:t>
      </w:r>
      <w:r w:rsidR="003561E3" w:rsidRPr="004D05E9">
        <w:t>9</w:t>
      </w:r>
      <w:r w:rsidRPr="004D05E9">
        <w:t>–</w:t>
      </w:r>
      <w:r w:rsidR="003561E3" w:rsidRPr="004D05E9">
        <w:t>20</w:t>
      </w:r>
      <w:bookmarkEnd w:id="148"/>
    </w:p>
    <w:p w14:paraId="35D89633" w14:textId="31552A86" w:rsidR="00FD74B6" w:rsidRPr="004D05E9" w:rsidRDefault="00FD74B6" w:rsidP="00E4217A">
      <w:pPr>
        <w:spacing w:after="240"/>
        <w:rPr>
          <w:rFonts w:cs="Arial"/>
        </w:rPr>
      </w:pPr>
      <w:r w:rsidRPr="004D05E9">
        <w:rPr>
          <w:rFonts w:cs="Arial"/>
        </w:rPr>
        <w:t>For FFY 201</w:t>
      </w:r>
      <w:r w:rsidR="003561E3" w:rsidRPr="004D05E9">
        <w:rPr>
          <w:rFonts w:cs="Arial"/>
        </w:rPr>
        <w:t>9</w:t>
      </w:r>
      <w:r w:rsidRPr="004D05E9">
        <w:rPr>
          <w:rFonts w:cs="Arial"/>
        </w:rPr>
        <w:t xml:space="preserve">, </w:t>
      </w:r>
      <w:r w:rsidR="002B0CA0" w:rsidRPr="004D05E9">
        <w:rPr>
          <w:rFonts w:cs="Arial"/>
        </w:rPr>
        <w:t>87.63</w:t>
      </w:r>
      <w:r w:rsidRPr="004D05E9">
        <w:rPr>
          <w:rFonts w:cs="Arial"/>
        </w:rPr>
        <w:t xml:space="preserve"> percent of children referred by Part C of IDEA prior to age three and who were found eligible for Part B of IDEA had an IEP developed and implemented by their third birthday. To increase this rate, the CDE has been partnering with the IDEA Part C agency, the California Department of Developmental Services, to increase timely referrals.</w:t>
      </w:r>
    </w:p>
    <w:p w14:paraId="51070043" w14:textId="77777777" w:rsidR="00FD74B6" w:rsidRPr="004D05E9" w:rsidRDefault="00FD74B6" w:rsidP="00E13A6E">
      <w:pPr>
        <w:pStyle w:val="Heading3"/>
        <w:spacing w:after="240"/>
      </w:pPr>
      <w:bookmarkStart w:id="149" w:name="_Toc57199087"/>
      <w:r w:rsidRPr="004D05E9">
        <w:lastRenderedPageBreak/>
        <w:t>Target Met: No</w:t>
      </w:r>
      <w:bookmarkEnd w:id="149"/>
    </w:p>
    <w:p w14:paraId="23119AFF" w14:textId="4559B2F7" w:rsidR="00FD74B6" w:rsidRPr="004D05E9" w:rsidRDefault="00FD74B6" w:rsidP="00E13A6E">
      <w:pPr>
        <w:spacing w:before="360"/>
        <w:rPr>
          <w:rFonts w:cs="Arial"/>
          <w:b/>
          <w:bCs/>
        </w:rPr>
      </w:pPr>
      <w:r w:rsidRPr="004D05E9">
        <w:rPr>
          <w:rFonts w:cs="Arial"/>
          <w:b/>
          <w:bCs/>
        </w:rPr>
        <w:t>Early Childhood Transition Targets and Results for FFY</w:t>
      </w:r>
      <w:r w:rsidR="005413E1" w:rsidRPr="004D05E9">
        <w:rPr>
          <w:rFonts w:cs="Arial"/>
          <w:b/>
          <w:bCs/>
        </w:rPr>
        <w:t>s</w:t>
      </w:r>
      <w:r w:rsidRPr="004D05E9">
        <w:rPr>
          <w:rFonts w:cs="Arial"/>
          <w:b/>
          <w:bCs/>
        </w:rPr>
        <w:t xml:space="preserve"> 2013–1</w:t>
      </w:r>
      <w:r w:rsidR="003561E3" w:rsidRPr="004D05E9">
        <w:rPr>
          <w:rFonts w:cs="Arial"/>
          <w:b/>
          <w:bCs/>
        </w:rPr>
        <w:t>9</w:t>
      </w:r>
    </w:p>
    <w:tbl>
      <w:tblPr>
        <w:tblStyle w:val="TableGrid12"/>
        <w:tblW w:w="0" w:type="auto"/>
        <w:tblLook w:val="04A0" w:firstRow="1" w:lastRow="0" w:firstColumn="1" w:lastColumn="0" w:noHBand="0" w:noVBand="1"/>
        <w:tblDescription w:val="Indicator 12 Targets and Results"/>
      </w:tblPr>
      <w:tblGrid>
        <w:gridCol w:w="1697"/>
        <w:gridCol w:w="1030"/>
        <w:gridCol w:w="1030"/>
        <w:gridCol w:w="1164"/>
        <w:gridCol w:w="964"/>
        <w:gridCol w:w="964"/>
        <w:gridCol w:w="964"/>
        <w:gridCol w:w="997"/>
      </w:tblGrid>
      <w:tr w:rsidR="003561E3" w:rsidRPr="004D05E9" w14:paraId="095335FD" w14:textId="2BE43509" w:rsidTr="00463712">
        <w:trPr>
          <w:cantSplit/>
          <w:tblHeader/>
        </w:trPr>
        <w:tc>
          <w:tcPr>
            <w:tcW w:w="1697" w:type="dxa"/>
            <w:hideMark/>
          </w:tcPr>
          <w:p w14:paraId="7573E3FA"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Indicator 12</w:t>
            </w:r>
          </w:p>
        </w:tc>
        <w:tc>
          <w:tcPr>
            <w:tcW w:w="1030" w:type="dxa"/>
            <w:hideMark/>
          </w:tcPr>
          <w:p w14:paraId="79FDE8A0"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2013</w:t>
            </w:r>
          </w:p>
        </w:tc>
        <w:tc>
          <w:tcPr>
            <w:tcW w:w="1030" w:type="dxa"/>
            <w:hideMark/>
          </w:tcPr>
          <w:p w14:paraId="1CD2373E"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2014</w:t>
            </w:r>
          </w:p>
        </w:tc>
        <w:tc>
          <w:tcPr>
            <w:tcW w:w="1164" w:type="dxa"/>
            <w:hideMark/>
          </w:tcPr>
          <w:p w14:paraId="479DF567"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2015</w:t>
            </w:r>
          </w:p>
        </w:tc>
        <w:tc>
          <w:tcPr>
            <w:tcW w:w="964" w:type="dxa"/>
            <w:hideMark/>
          </w:tcPr>
          <w:p w14:paraId="11DC4CE2"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2016</w:t>
            </w:r>
          </w:p>
        </w:tc>
        <w:tc>
          <w:tcPr>
            <w:tcW w:w="964" w:type="dxa"/>
            <w:hideMark/>
          </w:tcPr>
          <w:p w14:paraId="4B7E331F"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2017</w:t>
            </w:r>
          </w:p>
        </w:tc>
        <w:tc>
          <w:tcPr>
            <w:tcW w:w="964" w:type="dxa"/>
            <w:hideMark/>
          </w:tcPr>
          <w:p w14:paraId="437C0EDE" w14:textId="77777777"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2018</w:t>
            </w:r>
          </w:p>
        </w:tc>
        <w:tc>
          <w:tcPr>
            <w:tcW w:w="964" w:type="dxa"/>
          </w:tcPr>
          <w:p w14:paraId="6CD35D8D" w14:textId="2C31BD46" w:rsidR="003561E3" w:rsidRPr="004D05E9" w:rsidRDefault="003561E3" w:rsidP="00FD74B6">
            <w:pPr>
              <w:widowControl w:val="0"/>
              <w:overflowPunct w:val="0"/>
              <w:autoSpaceDE w:val="0"/>
              <w:autoSpaceDN w:val="0"/>
              <w:adjustRightInd w:val="0"/>
              <w:jc w:val="center"/>
              <w:rPr>
                <w:rFonts w:cs="Arial"/>
                <w:b/>
                <w:bCs/>
              </w:rPr>
            </w:pPr>
            <w:r w:rsidRPr="004D05E9">
              <w:rPr>
                <w:rFonts w:cs="Arial"/>
                <w:b/>
                <w:bCs/>
              </w:rPr>
              <w:t>2019</w:t>
            </w:r>
          </w:p>
        </w:tc>
      </w:tr>
      <w:tr w:rsidR="003561E3" w:rsidRPr="004D05E9" w14:paraId="495F32FE" w14:textId="03B8EEC6" w:rsidTr="00463712">
        <w:trPr>
          <w:cantSplit/>
        </w:trPr>
        <w:tc>
          <w:tcPr>
            <w:tcW w:w="1697" w:type="dxa"/>
            <w:hideMark/>
          </w:tcPr>
          <w:p w14:paraId="584AEE7F"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Target</w:t>
            </w:r>
          </w:p>
        </w:tc>
        <w:tc>
          <w:tcPr>
            <w:tcW w:w="1030" w:type="dxa"/>
            <w:hideMark/>
          </w:tcPr>
          <w:p w14:paraId="4DAC51D5"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c>
          <w:tcPr>
            <w:tcW w:w="1030" w:type="dxa"/>
            <w:hideMark/>
          </w:tcPr>
          <w:p w14:paraId="66CC2E18"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c>
          <w:tcPr>
            <w:tcW w:w="1164" w:type="dxa"/>
            <w:hideMark/>
          </w:tcPr>
          <w:p w14:paraId="42114721"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c>
          <w:tcPr>
            <w:tcW w:w="964" w:type="dxa"/>
            <w:hideMark/>
          </w:tcPr>
          <w:p w14:paraId="2BE292DC"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c>
          <w:tcPr>
            <w:tcW w:w="964" w:type="dxa"/>
            <w:hideMark/>
          </w:tcPr>
          <w:p w14:paraId="2E28BB8B"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c>
          <w:tcPr>
            <w:tcW w:w="964" w:type="dxa"/>
            <w:hideMark/>
          </w:tcPr>
          <w:p w14:paraId="6BAF911F"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c>
          <w:tcPr>
            <w:tcW w:w="964" w:type="dxa"/>
          </w:tcPr>
          <w:p w14:paraId="68ACE1D7" w14:textId="53779BEF"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100%</w:t>
            </w:r>
          </w:p>
        </w:tc>
      </w:tr>
      <w:tr w:rsidR="003561E3" w:rsidRPr="004D05E9" w14:paraId="6797B319" w14:textId="4B60F2FC" w:rsidTr="00463712">
        <w:trPr>
          <w:cantSplit/>
        </w:trPr>
        <w:tc>
          <w:tcPr>
            <w:tcW w:w="1697" w:type="dxa"/>
            <w:hideMark/>
          </w:tcPr>
          <w:p w14:paraId="6434274B"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Result</w:t>
            </w:r>
          </w:p>
        </w:tc>
        <w:tc>
          <w:tcPr>
            <w:tcW w:w="1030" w:type="dxa"/>
            <w:hideMark/>
          </w:tcPr>
          <w:p w14:paraId="3FD44D1A"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98.5%</w:t>
            </w:r>
          </w:p>
        </w:tc>
        <w:tc>
          <w:tcPr>
            <w:tcW w:w="1030" w:type="dxa"/>
            <w:hideMark/>
          </w:tcPr>
          <w:p w14:paraId="4E9EA4A7"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93.5%</w:t>
            </w:r>
          </w:p>
        </w:tc>
        <w:tc>
          <w:tcPr>
            <w:tcW w:w="1164" w:type="dxa"/>
            <w:hideMark/>
          </w:tcPr>
          <w:p w14:paraId="371F7C13"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86%</w:t>
            </w:r>
          </w:p>
        </w:tc>
        <w:tc>
          <w:tcPr>
            <w:tcW w:w="964" w:type="dxa"/>
            <w:hideMark/>
          </w:tcPr>
          <w:p w14:paraId="4DE7C3D6"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94%</w:t>
            </w:r>
          </w:p>
        </w:tc>
        <w:tc>
          <w:tcPr>
            <w:tcW w:w="964" w:type="dxa"/>
            <w:hideMark/>
          </w:tcPr>
          <w:p w14:paraId="4F50C7E7" w14:textId="77777777" w:rsidR="003561E3" w:rsidRPr="004D05E9" w:rsidRDefault="003561E3" w:rsidP="004663F8">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95.1%</w:t>
            </w:r>
          </w:p>
        </w:tc>
        <w:tc>
          <w:tcPr>
            <w:tcW w:w="964" w:type="dxa"/>
            <w:hideMark/>
          </w:tcPr>
          <w:p w14:paraId="6911B69E"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89.7%</w:t>
            </w:r>
          </w:p>
        </w:tc>
        <w:tc>
          <w:tcPr>
            <w:tcW w:w="964" w:type="dxa"/>
          </w:tcPr>
          <w:p w14:paraId="61568D61" w14:textId="2E881543" w:rsidR="003561E3" w:rsidRPr="004D05E9" w:rsidRDefault="002B0CA0" w:rsidP="00FD74B6">
            <w:pPr>
              <w:widowControl w:val="0"/>
              <w:overflowPunct w:val="0"/>
              <w:autoSpaceDE w:val="0"/>
              <w:autoSpaceDN w:val="0"/>
              <w:adjustRightInd w:val="0"/>
              <w:jc w:val="center"/>
              <w:rPr>
                <w:rFonts w:cs="Arial"/>
                <w:bCs/>
                <w:color w:val="000000"/>
                <w:kern w:val="28"/>
                <w:sz w:val="23"/>
                <w:szCs w:val="23"/>
              </w:rPr>
            </w:pPr>
            <w:r w:rsidRPr="004D05E9">
              <w:rPr>
                <w:rFonts w:cs="Arial"/>
                <w:bCs/>
                <w:color w:val="000000"/>
                <w:kern w:val="28"/>
                <w:sz w:val="23"/>
                <w:szCs w:val="23"/>
              </w:rPr>
              <w:t>87.63%</w:t>
            </w:r>
          </w:p>
        </w:tc>
      </w:tr>
      <w:tr w:rsidR="003561E3" w:rsidRPr="004D05E9" w14:paraId="6672A246" w14:textId="507AA84A" w:rsidTr="00463712">
        <w:trPr>
          <w:cantSplit/>
        </w:trPr>
        <w:tc>
          <w:tcPr>
            <w:tcW w:w="1697" w:type="dxa"/>
            <w:hideMark/>
          </w:tcPr>
          <w:p w14:paraId="41BEAEE8"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Target Met</w:t>
            </w:r>
          </w:p>
        </w:tc>
        <w:tc>
          <w:tcPr>
            <w:tcW w:w="1030" w:type="dxa"/>
            <w:hideMark/>
          </w:tcPr>
          <w:p w14:paraId="4B48D88A"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No</w:t>
            </w:r>
          </w:p>
        </w:tc>
        <w:tc>
          <w:tcPr>
            <w:tcW w:w="1030" w:type="dxa"/>
            <w:hideMark/>
          </w:tcPr>
          <w:p w14:paraId="44A8134E"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No</w:t>
            </w:r>
          </w:p>
        </w:tc>
        <w:tc>
          <w:tcPr>
            <w:tcW w:w="1164" w:type="dxa"/>
            <w:hideMark/>
          </w:tcPr>
          <w:p w14:paraId="7EF963C2" w14:textId="77777777" w:rsidR="003561E3" w:rsidRPr="004D05E9" w:rsidRDefault="003561E3" w:rsidP="00FD74B6">
            <w:pPr>
              <w:widowControl w:val="0"/>
              <w:overflowPunct w:val="0"/>
              <w:autoSpaceDE w:val="0"/>
              <w:autoSpaceDN w:val="0"/>
              <w:adjustRightInd w:val="0"/>
              <w:jc w:val="center"/>
              <w:rPr>
                <w:rFonts w:cs="Arial"/>
                <w:bCs/>
              </w:rPr>
            </w:pPr>
            <w:r w:rsidRPr="004D05E9">
              <w:rPr>
                <w:rFonts w:cs="Arial"/>
                <w:bCs/>
              </w:rPr>
              <w:t>No</w:t>
            </w:r>
          </w:p>
        </w:tc>
        <w:tc>
          <w:tcPr>
            <w:tcW w:w="964" w:type="dxa"/>
            <w:hideMark/>
          </w:tcPr>
          <w:p w14:paraId="4075142B"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964" w:type="dxa"/>
            <w:hideMark/>
          </w:tcPr>
          <w:p w14:paraId="669397DA"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964" w:type="dxa"/>
            <w:hideMark/>
          </w:tcPr>
          <w:p w14:paraId="4735650E" w14:textId="77777777" w:rsidR="003561E3" w:rsidRPr="004D05E9" w:rsidRDefault="003561E3"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964" w:type="dxa"/>
          </w:tcPr>
          <w:p w14:paraId="0C9707DC" w14:textId="300324F5" w:rsidR="003561E3" w:rsidRPr="004D05E9" w:rsidRDefault="003561E3" w:rsidP="00FD74B6">
            <w:pPr>
              <w:widowControl w:val="0"/>
              <w:overflowPunct w:val="0"/>
              <w:autoSpaceDE w:val="0"/>
              <w:autoSpaceDN w:val="0"/>
              <w:adjustRightInd w:val="0"/>
              <w:jc w:val="center"/>
              <w:rPr>
                <w:rFonts w:cs="Arial"/>
                <w:bCs/>
                <w:color w:val="000000"/>
                <w:kern w:val="28"/>
                <w:sz w:val="23"/>
                <w:szCs w:val="23"/>
              </w:rPr>
            </w:pPr>
            <w:r w:rsidRPr="004D05E9">
              <w:rPr>
                <w:rFonts w:cs="Arial"/>
                <w:bCs/>
                <w:color w:val="000000"/>
                <w:kern w:val="28"/>
                <w:sz w:val="23"/>
                <w:szCs w:val="23"/>
              </w:rPr>
              <w:t>No</w:t>
            </w:r>
          </w:p>
        </w:tc>
      </w:tr>
    </w:tbl>
    <w:p w14:paraId="56C84F9D" w14:textId="77777777" w:rsidR="00120AE5" w:rsidRPr="004D05E9" w:rsidRDefault="00120AE5" w:rsidP="000F6A7D">
      <w:pPr>
        <w:pStyle w:val="Heading2"/>
        <w:spacing w:before="0" w:after="240"/>
      </w:pPr>
      <w:r w:rsidRPr="004D05E9">
        <w:br w:type="page"/>
      </w:r>
    </w:p>
    <w:p w14:paraId="5DA3215C" w14:textId="77777777" w:rsidR="00FD74B6" w:rsidRPr="004D05E9" w:rsidRDefault="00FD74B6">
      <w:pPr>
        <w:pStyle w:val="Heading2"/>
        <w:spacing w:before="0" w:after="240"/>
        <w:jc w:val="center"/>
      </w:pPr>
      <w:bookmarkStart w:id="150" w:name="_Toc57199088"/>
      <w:r w:rsidRPr="004D05E9">
        <w:lastRenderedPageBreak/>
        <w:t>Indicator 13: Secondary Transition</w:t>
      </w:r>
      <w:bookmarkEnd w:id="150"/>
    </w:p>
    <w:p w14:paraId="5643B2C4" w14:textId="77777777" w:rsidR="00FD74B6" w:rsidRPr="004D05E9" w:rsidRDefault="00FD74B6" w:rsidP="00E4217A">
      <w:pPr>
        <w:pStyle w:val="Heading3"/>
        <w:spacing w:before="0" w:after="240"/>
      </w:pPr>
      <w:bookmarkStart w:id="151" w:name="_Toc57199089"/>
      <w:r w:rsidRPr="004D05E9">
        <w:t>Description</w:t>
      </w:r>
      <w:bookmarkEnd w:id="151"/>
    </w:p>
    <w:p w14:paraId="7E2DFC11" w14:textId="41FC274C" w:rsidR="00FD74B6" w:rsidRPr="004D05E9" w:rsidRDefault="00FD74B6" w:rsidP="00E4217A">
      <w:pPr>
        <w:tabs>
          <w:tab w:val="left" w:pos="720"/>
          <w:tab w:val="center" w:pos="4680"/>
          <w:tab w:val="right" w:pos="9360"/>
        </w:tabs>
        <w:spacing w:after="240"/>
        <w:rPr>
          <w:rFonts w:cs="Arial"/>
        </w:rPr>
      </w:pPr>
      <w:r w:rsidRPr="004D05E9">
        <w:rPr>
          <w:rFonts w:cs="Arial"/>
        </w:rPr>
        <w:t>Indicator 13 is a compliance indicator that measures the percent of students with disabilities ages sixteen and above with an IEP that includes appropriate measura</w:t>
      </w:r>
      <w:r w:rsidR="00A211F6" w:rsidRPr="004D05E9">
        <w:rPr>
          <w:rFonts w:cs="Arial"/>
        </w:rPr>
        <w:t>ble postsecondary goals</w:t>
      </w:r>
      <w:r w:rsidRPr="004D05E9">
        <w:rPr>
          <w:rFonts w:cs="Arial"/>
        </w:rPr>
        <w:t xml:space="preserve"> annually updated and based upon an </w:t>
      </w:r>
      <w:r w:rsidR="51BFDC69" w:rsidRPr="004D05E9">
        <w:rPr>
          <w:rFonts w:cs="Arial"/>
        </w:rPr>
        <w:t>age-appropriate</w:t>
      </w:r>
      <w:r w:rsidRPr="004D05E9">
        <w:rPr>
          <w:rFonts w:cs="Arial"/>
        </w:rPr>
        <w:t xml:space="preserve"> transition assessment and transition services, including courses of study that will reasonably enable the student to meet those postsecondary goals, and annual IEP goals related to the student’s transitio</w:t>
      </w:r>
      <w:r w:rsidR="00A211F6" w:rsidRPr="004D05E9">
        <w:rPr>
          <w:rFonts w:cs="Arial"/>
        </w:rPr>
        <w:t>n service needs. There must also</w:t>
      </w:r>
      <w:r w:rsidRPr="004D05E9">
        <w:rPr>
          <w:rFonts w:cs="Arial"/>
        </w:rPr>
        <w:t xml:space="preserve"> be evidence that the stu</w:t>
      </w:r>
      <w:r w:rsidR="00A211F6" w:rsidRPr="004D05E9">
        <w:rPr>
          <w:rFonts w:cs="Arial"/>
        </w:rPr>
        <w:t>dent was invited to the IEP</w:t>
      </w:r>
      <w:r w:rsidRPr="004D05E9">
        <w:rPr>
          <w:rFonts w:cs="Arial"/>
        </w:rPr>
        <w:t xml:space="preserve"> meeting where transition services are to be discussed and evidence that, if appropriate, a representative of any participating agency was invited to the IEP team meeting with the prior consent of the parent or student who has reached the age of majority (20 U.S.C. </w:t>
      </w:r>
      <w:r w:rsidR="002A11EB" w:rsidRPr="004D05E9">
        <w:rPr>
          <w:rFonts w:cs="Arial"/>
        </w:rPr>
        <w:t xml:space="preserve">Section </w:t>
      </w:r>
      <w:r w:rsidRPr="004D05E9">
        <w:rPr>
          <w:rFonts w:cs="Arial"/>
        </w:rPr>
        <w:t>1416[a][3][B]).</w:t>
      </w:r>
    </w:p>
    <w:p w14:paraId="452C0379" w14:textId="31747A0B" w:rsidR="00FD74B6" w:rsidRPr="004D05E9" w:rsidRDefault="00FD74B6" w:rsidP="00E4217A">
      <w:pPr>
        <w:pStyle w:val="Heading3"/>
        <w:spacing w:before="0" w:after="240"/>
      </w:pPr>
      <w:bookmarkStart w:id="152" w:name="_Toc57199090"/>
      <w:r w:rsidRPr="004D05E9">
        <w:t>Target for 201</w:t>
      </w:r>
      <w:r w:rsidR="003561E3" w:rsidRPr="004D05E9">
        <w:t>9</w:t>
      </w:r>
      <w:r w:rsidRPr="004D05E9">
        <w:t>–</w:t>
      </w:r>
      <w:r w:rsidR="003561E3" w:rsidRPr="004D05E9">
        <w:t>20</w:t>
      </w:r>
      <w:bookmarkEnd w:id="152"/>
    </w:p>
    <w:p w14:paraId="448E16FE" w14:textId="08C5F72C" w:rsidR="00FD74B6" w:rsidRPr="004D05E9" w:rsidRDefault="00FD74B6" w:rsidP="00E4217A">
      <w:pPr>
        <w:spacing w:after="240"/>
        <w:rPr>
          <w:rFonts w:cs="Arial"/>
        </w:rPr>
      </w:pPr>
      <w:r w:rsidRPr="004D05E9">
        <w:rPr>
          <w:rFonts w:cs="Arial"/>
        </w:rPr>
        <w:t xml:space="preserve">One hundred percent of students ages sixteen and above will have an IEP that includes appropriate and measurable postsecondary goals that are annually updated and based upon an </w:t>
      </w:r>
      <w:r w:rsidR="3CE5B9D7" w:rsidRPr="004D05E9">
        <w:rPr>
          <w:rFonts w:cs="Arial"/>
        </w:rPr>
        <w:t>age-appropriate</w:t>
      </w:r>
      <w:r w:rsidRPr="004D05E9">
        <w:rPr>
          <w:rFonts w:cs="Arial"/>
        </w:rPr>
        <w:t xml:space="preserve"> transition asse</w:t>
      </w:r>
      <w:r w:rsidR="00E4217A" w:rsidRPr="004D05E9">
        <w:rPr>
          <w:rFonts w:cs="Arial"/>
        </w:rPr>
        <w:t>ssment and transition services.</w:t>
      </w:r>
    </w:p>
    <w:p w14:paraId="1A14E68B" w14:textId="77777777" w:rsidR="00FD74B6" w:rsidRPr="004D05E9" w:rsidRDefault="00FD74B6" w:rsidP="00E4217A">
      <w:pPr>
        <w:pStyle w:val="Heading3"/>
        <w:spacing w:before="0" w:after="240"/>
      </w:pPr>
      <w:bookmarkStart w:id="153" w:name="_Toc57199091"/>
      <w:r w:rsidRPr="004D05E9">
        <w:t>Measurement</w:t>
      </w:r>
      <w:bookmarkEnd w:id="153"/>
    </w:p>
    <w:p w14:paraId="2EDD14ED" w14:textId="2D79DF2C" w:rsidR="00FD74B6" w:rsidRPr="004D05E9" w:rsidRDefault="00FD74B6" w:rsidP="00E4217A">
      <w:pPr>
        <w:spacing w:after="240"/>
        <w:rPr>
          <w:rFonts w:cs="Arial"/>
        </w:rPr>
      </w:pPr>
      <w:r w:rsidRPr="004D05E9">
        <w:rPr>
          <w:rFonts w:cs="Arial"/>
        </w:rPr>
        <w:t xml:space="preserve">Number of students with IEPs ages sixteen and above with an IEP that includes appropriate measurable postsecondary goals that are annually updated and based upon an </w:t>
      </w:r>
      <w:r w:rsidR="61DD562C" w:rsidRPr="004D05E9">
        <w:rPr>
          <w:rFonts w:cs="Arial"/>
        </w:rPr>
        <w:t>age-appropriate</w:t>
      </w:r>
      <w:r w:rsidRPr="004D05E9">
        <w:rPr>
          <w:rFonts w:cs="Arial"/>
        </w:rPr>
        <w:t xml:space="preserve"> transition assessment and transition services divided by the number of students with an IEP ages sixteen and above.</w:t>
      </w:r>
    </w:p>
    <w:p w14:paraId="727884F0" w14:textId="29B8A171" w:rsidR="00FD74B6" w:rsidRPr="004D05E9" w:rsidRDefault="00FD74B6" w:rsidP="00E4217A">
      <w:pPr>
        <w:pStyle w:val="Heading3"/>
        <w:spacing w:before="0" w:after="240"/>
      </w:pPr>
      <w:bookmarkStart w:id="154" w:name="_Toc57199092"/>
      <w:r w:rsidRPr="004D05E9">
        <w:t>Results for 201</w:t>
      </w:r>
      <w:r w:rsidR="003561E3" w:rsidRPr="004D05E9">
        <w:t>9</w:t>
      </w:r>
      <w:r w:rsidRPr="004D05E9">
        <w:t>–</w:t>
      </w:r>
      <w:r w:rsidR="003561E3" w:rsidRPr="004D05E9">
        <w:t>20</w:t>
      </w:r>
      <w:bookmarkEnd w:id="154"/>
    </w:p>
    <w:p w14:paraId="1490D7E9" w14:textId="1C60E2B4" w:rsidR="00FD74B6" w:rsidRPr="004D05E9" w:rsidRDefault="00FD74B6" w:rsidP="00E4217A">
      <w:pPr>
        <w:spacing w:after="240"/>
        <w:rPr>
          <w:rFonts w:cs="Arial"/>
        </w:rPr>
      </w:pPr>
      <w:r w:rsidRPr="004D05E9">
        <w:rPr>
          <w:rFonts w:cs="Arial"/>
        </w:rPr>
        <w:t>For FFY 201</w:t>
      </w:r>
      <w:r w:rsidR="003561E3" w:rsidRPr="004D05E9">
        <w:rPr>
          <w:rFonts w:cs="Arial"/>
        </w:rPr>
        <w:t>9</w:t>
      </w:r>
      <w:r w:rsidRPr="004D05E9">
        <w:rPr>
          <w:rFonts w:cs="Arial"/>
        </w:rPr>
        <w:t xml:space="preserve">, </w:t>
      </w:r>
      <w:r w:rsidR="003561E3" w:rsidRPr="004D05E9">
        <w:rPr>
          <w:rFonts w:cs="Arial"/>
        </w:rPr>
        <w:t>96.35</w:t>
      </w:r>
      <w:r w:rsidRPr="004D05E9">
        <w:rPr>
          <w:rFonts w:cs="Arial"/>
        </w:rPr>
        <w:t xml:space="preserve"> percent of students with IEPs, ages sixteen and above, have all eight postsecondary goals included in their IEPs which include </w:t>
      </w:r>
      <w:r w:rsidR="00A211F6" w:rsidRPr="004D05E9">
        <w:rPr>
          <w:rFonts w:cs="Arial"/>
        </w:rPr>
        <w:t xml:space="preserve">(1) </w:t>
      </w:r>
      <w:r w:rsidRPr="004D05E9">
        <w:rPr>
          <w:rFonts w:cs="Arial"/>
        </w:rPr>
        <w:t>education, training, employment, and independent living; (2) updated goals according to the student’s changing strengths and preferences; (3) age appropriate transition assessment; (4) services that will reasonably enable the student to meet his or her goals; (5)</w:t>
      </w:r>
      <w:r w:rsidR="00A211F6" w:rsidRPr="004D05E9">
        <w:rPr>
          <w:rFonts w:cs="Arial"/>
        </w:rPr>
        <w:t xml:space="preserve"> </w:t>
      </w:r>
      <w:r w:rsidRPr="004D05E9">
        <w:rPr>
          <w:rFonts w:cs="Arial"/>
        </w:rPr>
        <w:t xml:space="preserve">courses that will reasonably enable the student to meet his or her goals; (6) annual goals related to the student’s transition </w:t>
      </w:r>
      <w:proofErr w:type="spellStart"/>
      <w:r w:rsidRPr="004D05E9">
        <w:rPr>
          <w:rFonts w:cs="Arial"/>
        </w:rPr>
        <w:t>services</w:t>
      </w:r>
      <w:proofErr w:type="spellEnd"/>
      <w:r w:rsidRPr="004D05E9">
        <w:rPr>
          <w:rFonts w:cs="Arial"/>
        </w:rPr>
        <w:t xml:space="preserve"> needs; (7) evidence the stu</w:t>
      </w:r>
      <w:r w:rsidR="00A211F6" w:rsidRPr="004D05E9">
        <w:rPr>
          <w:rFonts w:cs="Arial"/>
        </w:rPr>
        <w:t>dent was invited to the IEP</w:t>
      </w:r>
      <w:r w:rsidRPr="004D05E9">
        <w:rPr>
          <w:rFonts w:cs="Arial"/>
        </w:rPr>
        <w:t xml:space="preserve"> meeting; and (8) evidence a representative of any participating agency was invited to the IEP meeting with prior consent of the parent or student who has reached the age of majority.</w:t>
      </w:r>
    </w:p>
    <w:p w14:paraId="13B7CEB4" w14:textId="77777777" w:rsidR="004D7261" w:rsidRPr="004D05E9" w:rsidRDefault="00FD74B6" w:rsidP="00E4217A">
      <w:pPr>
        <w:pStyle w:val="Heading3"/>
        <w:spacing w:before="0" w:after="240"/>
      </w:pPr>
      <w:bookmarkStart w:id="155" w:name="_Toc57199093"/>
      <w:r w:rsidRPr="004D05E9">
        <w:t>Target Met: No</w:t>
      </w:r>
      <w:bookmarkEnd w:id="155"/>
    </w:p>
    <w:p w14:paraId="3D18E9BA" w14:textId="77777777" w:rsidR="004D7261" w:rsidRPr="004D05E9" w:rsidRDefault="004D7261">
      <w:pPr>
        <w:spacing w:after="160" w:line="259" w:lineRule="auto"/>
        <w:rPr>
          <w:rFonts w:eastAsiaTheme="majorEastAsia" w:cstheme="majorBidi"/>
          <w:b/>
        </w:rPr>
      </w:pPr>
      <w:r w:rsidRPr="004D05E9">
        <w:br w:type="page"/>
      </w:r>
    </w:p>
    <w:p w14:paraId="7FCB4B99" w14:textId="4E07FA8E" w:rsidR="00FD74B6" w:rsidRPr="004D05E9" w:rsidRDefault="00FD74B6" w:rsidP="004D7261">
      <w:pPr>
        <w:widowControl w:val="0"/>
        <w:overflowPunct w:val="0"/>
        <w:autoSpaceDE w:val="0"/>
        <w:autoSpaceDN w:val="0"/>
        <w:adjustRightInd w:val="0"/>
        <w:rPr>
          <w:rFonts w:cs="Arial"/>
          <w:b/>
          <w:bCs/>
        </w:rPr>
      </w:pPr>
      <w:r w:rsidRPr="004D05E9">
        <w:rPr>
          <w:rFonts w:cs="Arial"/>
          <w:b/>
          <w:bCs/>
        </w:rPr>
        <w:lastRenderedPageBreak/>
        <w:t>Secondary Transition Targets and Results for FFY</w:t>
      </w:r>
      <w:r w:rsidR="00966FBD" w:rsidRPr="004D05E9">
        <w:rPr>
          <w:rFonts w:cs="Arial"/>
          <w:b/>
          <w:bCs/>
        </w:rPr>
        <w:t>s</w:t>
      </w:r>
      <w:r w:rsidRPr="004D05E9">
        <w:rPr>
          <w:rFonts w:cs="Arial"/>
          <w:b/>
          <w:bCs/>
        </w:rPr>
        <w:t xml:space="preserve"> 2013–1</w:t>
      </w:r>
      <w:r w:rsidR="003561E3" w:rsidRPr="004D05E9">
        <w:rPr>
          <w:rFonts w:cs="Arial"/>
          <w:b/>
          <w:bCs/>
        </w:rPr>
        <w:t>9</w:t>
      </w:r>
    </w:p>
    <w:tbl>
      <w:tblPr>
        <w:tblStyle w:val="TableGrid13"/>
        <w:tblW w:w="0" w:type="auto"/>
        <w:tblLook w:val="04A0" w:firstRow="1" w:lastRow="0" w:firstColumn="1" w:lastColumn="0" w:noHBand="0" w:noVBand="1"/>
        <w:tblDescription w:val="Indicator 13 Targets and Results"/>
      </w:tblPr>
      <w:tblGrid>
        <w:gridCol w:w="1697"/>
        <w:gridCol w:w="964"/>
        <w:gridCol w:w="964"/>
        <w:gridCol w:w="964"/>
        <w:gridCol w:w="964"/>
        <w:gridCol w:w="964"/>
        <w:gridCol w:w="964"/>
        <w:gridCol w:w="964"/>
      </w:tblGrid>
      <w:tr w:rsidR="00DC6517" w:rsidRPr="004D05E9" w14:paraId="061A2D83" w14:textId="658901FA" w:rsidTr="00463712">
        <w:trPr>
          <w:cantSplit/>
          <w:tblHeader/>
        </w:trPr>
        <w:tc>
          <w:tcPr>
            <w:tcW w:w="1697" w:type="dxa"/>
            <w:hideMark/>
          </w:tcPr>
          <w:p w14:paraId="35203447"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Indicator 13</w:t>
            </w:r>
          </w:p>
        </w:tc>
        <w:tc>
          <w:tcPr>
            <w:tcW w:w="964" w:type="dxa"/>
            <w:hideMark/>
          </w:tcPr>
          <w:p w14:paraId="2F825FD6"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2013</w:t>
            </w:r>
          </w:p>
        </w:tc>
        <w:tc>
          <w:tcPr>
            <w:tcW w:w="964" w:type="dxa"/>
            <w:hideMark/>
          </w:tcPr>
          <w:p w14:paraId="37A358A1"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2014</w:t>
            </w:r>
          </w:p>
        </w:tc>
        <w:tc>
          <w:tcPr>
            <w:tcW w:w="964" w:type="dxa"/>
            <w:hideMark/>
          </w:tcPr>
          <w:p w14:paraId="108BE1B2"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2015</w:t>
            </w:r>
          </w:p>
        </w:tc>
        <w:tc>
          <w:tcPr>
            <w:tcW w:w="964" w:type="dxa"/>
            <w:hideMark/>
          </w:tcPr>
          <w:p w14:paraId="615E2EE5"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2016</w:t>
            </w:r>
          </w:p>
        </w:tc>
        <w:tc>
          <w:tcPr>
            <w:tcW w:w="964" w:type="dxa"/>
            <w:hideMark/>
          </w:tcPr>
          <w:p w14:paraId="753A0119"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2017</w:t>
            </w:r>
          </w:p>
        </w:tc>
        <w:tc>
          <w:tcPr>
            <w:tcW w:w="964" w:type="dxa"/>
            <w:hideMark/>
          </w:tcPr>
          <w:p w14:paraId="4D490A3A"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2018</w:t>
            </w:r>
          </w:p>
        </w:tc>
        <w:tc>
          <w:tcPr>
            <w:tcW w:w="964" w:type="dxa"/>
          </w:tcPr>
          <w:p w14:paraId="541DADBC" w14:textId="1B324929"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2019</w:t>
            </w:r>
          </w:p>
        </w:tc>
      </w:tr>
      <w:tr w:rsidR="00DC6517" w:rsidRPr="004D05E9" w14:paraId="749A198B" w14:textId="119EDDF1" w:rsidTr="00463712">
        <w:trPr>
          <w:cantSplit/>
          <w:trHeight w:val="188"/>
        </w:trPr>
        <w:tc>
          <w:tcPr>
            <w:tcW w:w="1697" w:type="dxa"/>
            <w:hideMark/>
          </w:tcPr>
          <w:p w14:paraId="3550B748"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Target</w:t>
            </w:r>
          </w:p>
        </w:tc>
        <w:tc>
          <w:tcPr>
            <w:tcW w:w="964" w:type="dxa"/>
            <w:hideMark/>
          </w:tcPr>
          <w:p w14:paraId="749423F0"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100%</w:t>
            </w:r>
          </w:p>
        </w:tc>
        <w:tc>
          <w:tcPr>
            <w:tcW w:w="964" w:type="dxa"/>
            <w:hideMark/>
          </w:tcPr>
          <w:p w14:paraId="7233A5C5"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100%</w:t>
            </w:r>
          </w:p>
        </w:tc>
        <w:tc>
          <w:tcPr>
            <w:tcW w:w="964" w:type="dxa"/>
            <w:hideMark/>
          </w:tcPr>
          <w:p w14:paraId="426B72DF"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100%</w:t>
            </w:r>
          </w:p>
        </w:tc>
        <w:tc>
          <w:tcPr>
            <w:tcW w:w="964" w:type="dxa"/>
            <w:hideMark/>
          </w:tcPr>
          <w:p w14:paraId="2F22BC0A"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100%</w:t>
            </w:r>
          </w:p>
        </w:tc>
        <w:tc>
          <w:tcPr>
            <w:tcW w:w="964" w:type="dxa"/>
            <w:hideMark/>
          </w:tcPr>
          <w:p w14:paraId="62949C1B"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100%</w:t>
            </w:r>
          </w:p>
        </w:tc>
        <w:tc>
          <w:tcPr>
            <w:tcW w:w="964" w:type="dxa"/>
            <w:hideMark/>
          </w:tcPr>
          <w:p w14:paraId="7A3594CB"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100%</w:t>
            </w:r>
          </w:p>
        </w:tc>
        <w:tc>
          <w:tcPr>
            <w:tcW w:w="964" w:type="dxa"/>
          </w:tcPr>
          <w:p w14:paraId="16B51575" w14:textId="349B317B"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100%</w:t>
            </w:r>
          </w:p>
        </w:tc>
      </w:tr>
      <w:tr w:rsidR="00DC6517" w:rsidRPr="004D05E9" w14:paraId="07C8FD98" w14:textId="3C04F81B" w:rsidTr="00463712">
        <w:trPr>
          <w:cantSplit/>
          <w:trHeight w:val="188"/>
        </w:trPr>
        <w:tc>
          <w:tcPr>
            <w:tcW w:w="1697" w:type="dxa"/>
            <w:hideMark/>
          </w:tcPr>
          <w:p w14:paraId="56D2D59E"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Result</w:t>
            </w:r>
          </w:p>
        </w:tc>
        <w:tc>
          <w:tcPr>
            <w:tcW w:w="964" w:type="dxa"/>
            <w:hideMark/>
          </w:tcPr>
          <w:p w14:paraId="7159EC6E"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93.5%</w:t>
            </w:r>
          </w:p>
        </w:tc>
        <w:tc>
          <w:tcPr>
            <w:tcW w:w="964" w:type="dxa"/>
            <w:hideMark/>
          </w:tcPr>
          <w:p w14:paraId="21D03698"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99.4%</w:t>
            </w:r>
          </w:p>
        </w:tc>
        <w:tc>
          <w:tcPr>
            <w:tcW w:w="964" w:type="dxa"/>
            <w:hideMark/>
          </w:tcPr>
          <w:p w14:paraId="4BCB17CC"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99.6%</w:t>
            </w:r>
          </w:p>
        </w:tc>
        <w:tc>
          <w:tcPr>
            <w:tcW w:w="964" w:type="dxa"/>
            <w:hideMark/>
          </w:tcPr>
          <w:p w14:paraId="495CB7E3" w14:textId="77777777" w:rsidR="00DC6517" w:rsidRPr="004D05E9" w:rsidRDefault="00DC6517"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99.8%</w:t>
            </w:r>
          </w:p>
        </w:tc>
        <w:tc>
          <w:tcPr>
            <w:tcW w:w="964" w:type="dxa"/>
            <w:hideMark/>
          </w:tcPr>
          <w:p w14:paraId="050763F3" w14:textId="77777777" w:rsidR="00DC6517" w:rsidRPr="004D05E9" w:rsidRDefault="00DC6517"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99.7%</w:t>
            </w:r>
          </w:p>
        </w:tc>
        <w:tc>
          <w:tcPr>
            <w:tcW w:w="964" w:type="dxa"/>
            <w:hideMark/>
          </w:tcPr>
          <w:p w14:paraId="079204A6" w14:textId="77777777" w:rsidR="00DC6517" w:rsidRPr="004D05E9" w:rsidRDefault="00DC6517"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99.2%</w:t>
            </w:r>
          </w:p>
        </w:tc>
        <w:tc>
          <w:tcPr>
            <w:tcW w:w="964" w:type="dxa"/>
          </w:tcPr>
          <w:p w14:paraId="25AEEC0B" w14:textId="51A5C65E" w:rsidR="00DC6517" w:rsidRPr="004D05E9" w:rsidRDefault="00DC6517" w:rsidP="00FD74B6">
            <w:pPr>
              <w:widowControl w:val="0"/>
              <w:overflowPunct w:val="0"/>
              <w:autoSpaceDE w:val="0"/>
              <w:autoSpaceDN w:val="0"/>
              <w:adjustRightInd w:val="0"/>
              <w:jc w:val="center"/>
              <w:rPr>
                <w:rFonts w:cs="Arial"/>
                <w:bCs/>
                <w:color w:val="000000"/>
                <w:kern w:val="28"/>
                <w:sz w:val="23"/>
                <w:szCs w:val="23"/>
              </w:rPr>
            </w:pPr>
            <w:r w:rsidRPr="004D05E9">
              <w:rPr>
                <w:rFonts w:cs="Arial"/>
                <w:bCs/>
                <w:color w:val="000000"/>
                <w:kern w:val="28"/>
                <w:sz w:val="23"/>
                <w:szCs w:val="23"/>
              </w:rPr>
              <w:t>96.3%</w:t>
            </w:r>
          </w:p>
        </w:tc>
      </w:tr>
      <w:tr w:rsidR="00DC6517" w:rsidRPr="004D05E9" w14:paraId="49C4287B" w14:textId="42A2195E" w:rsidTr="00463712">
        <w:trPr>
          <w:cantSplit/>
          <w:trHeight w:val="188"/>
        </w:trPr>
        <w:tc>
          <w:tcPr>
            <w:tcW w:w="1697" w:type="dxa"/>
            <w:hideMark/>
          </w:tcPr>
          <w:p w14:paraId="44B566EB"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Target Met</w:t>
            </w:r>
          </w:p>
        </w:tc>
        <w:tc>
          <w:tcPr>
            <w:tcW w:w="964" w:type="dxa"/>
            <w:hideMark/>
          </w:tcPr>
          <w:p w14:paraId="7E3A0FC5"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No</w:t>
            </w:r>
          </w:p>
        </w:tc>
        <w:tc>
          <w:tcPr>
            <w:tcW w:w="964" w:type="dxa"/>
            <w:hideMark/>
          </w:tcPr>
          <w:p w14:paraId="147C06EF"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No</w:t>
            </w:r>
          </w:p>
        </w:tc>
        <w:tc>
          <w:tcPr>
            <w:tcW w:w="964" w:type="dxa"/>
            <w:hideMark/>
          </w:tcPr>
          <w:p w14:paraId="7522B6CB" w14:textId="77777777" w:rsidR="00DC6517" w:rsidRPr="004D05E9" w:rsidRDefault="00DC6517" w:rsidP="00FD74B6">
            <w:pPr>
              <w:widowControl w:val="0"/>
              <w:overflowPunct w:val="0"/>
              <w:autoSpaceDE w:val="0"/>
              <w:autoSpaceDN w:val="0"/>
              <w:adjustRightInd w:val="0"/>
              <w:jc w:val="center"/>
              <w:rPr>
                <w:rFonts w:cs="Arial"/>
                <w:bCs/>
              </w:rPr>
            </w:pPr>
            <w:r w:rsidRPr="004D05E9">
              <w:rPr>
                <w:rFonts w:cs="Arial"/>
                <w:bCs/>
              </w:rPr>
              <w:t>No</w:t>
            </w:r>
          </w:p>
        </w:tc>
        <w:tc>
          <w:tcPr>
            <w:tcW w:w="964" w:type="dxa"/>
            <w:hideMark/>
          </w:tcPr>
          <w:p w14:paraId="4FCB7DE2" w14:textId="77777777" w:rsidR="00DC6517" w:rsidRPr="004D05E9" w:rsidRDefault="00DC6517"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964" w:type="dxa"/>
            <w:hideMark/>
          </w:tcPr>
          <w:p w14:paraId="4CA935EC" w14:textId="77777777" w:rsidR="00DC6517" w:rsidRPr="004D05E9" w:rsidRDefault="00DC6517"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964" w:type="dxa"/>
            <w:hideMark/>
          </w:tcPr>
          <w:p w14:paraId="12866B04" w14:textId="77777777" w:rsidR="00DC6517" w:rsidRPr="004D05E9" w:rsidRDefault="00DC6517" w:rsidP="00FD74B6">
            <w:pPr>
              <w:widowControl w:val="0"/>
              <w:overflowPunct w:val="0"/>
              <w:autoSpaceDE w:val="0"/>
              <w:autoSpaceDN w:val="0"/>
              <w:adjustRightInd w:val="0"/>
              <w:jc w:val="center"/>
              <w:rPr>
                <w:rFonts w:cs="Arial"/>
                <w:color w:val="000000"/>
                <w:kern w:val="28"/>
                <w:sz w:val="23"/>
                <w:szCs w:val="23"/>
              </w:rPr>
            </w:pPr>
            <w:r w:rsidRPr="004D05E9">
              <w:rPr>
                <w:rFonts w:cs="Arial"/>
                <w:bCs/>
                <w:color w:val="000000"/>
                <w:kern w:val="28"/>
                <w:sz w:val="23"/>
                <w:szCs w:val="23"/>
              </w:rPr>
              <w:t>No</w:t>
            </w:r>
          </w:p>
        </w:tc>
        <w:tc>
          <w:tcPr>
            <w:tcW w:w="964" w:type="dxa"/>
          </w:tcPr>
          <w:p w14:paraId="5FB40DE7" w14:textId="2B7E6813" w:rsidR="00DC6517" w:rsidRPr="004D05E9" w:rsidRDefault="00DC6517" w:rsidP="00FD74B6">
            <w:pPr>
              <w:widowControl w:val="0"/>
              <w:overflowPunct w:val="0"/>
              <w:autoSpaceDE w:val="0"/>
              <w:autoSpaceDN w:val="0"/>
              <w:adjustRightInd w:val="0"/>
              <w:jc w:val="center"/>
              <w:rPr>
                <w:rFonts w:cs="Arial"/>
                <w:bCs/>
                <w:color w:val="000000"/>
                <w:kern w:val="28"/>
                <w:sz w:val="23"/>
                <w:szCs w:val="23"/>
              </w:rPr>
            </w:pPr>
            <w:r w:rsidRPr="004D05E9">
              <w:rPr>
                <w:rFonts w:cs="Arial"/>
                <w:bCs/>
                <w:color w:val="000000"/>
                <w:kern w:val="28"/>
                <w:sz w:val="23"/>
                <w:szCs w:val="23"/>
              </w:rPr>
              <w:t>No</w:t>
            </w:r>
          </w:p>
        </w:tc>
      </w:tr>
    </w:tbl>
    <w:p w14:paraId="0551E116" w14:textId="77777777" w:rsidR="00FD74B6" w:rsidRPr="004D05E9" w:rsidRDefault="00FD74B6" w:rsidP="004D7261">
      <w:pPr>
        <w:pStyle w:val="Heading2"/>
        <w:spacing w:before="0" w:after="240"/>
        <w:jc w:val="center"/>
      </w:pPr>
      <w:r w:rsidRPr="004D05E9">
        <w:br w:type="page"/>
      </w:r>
      <w:bookmarkStart w:id="156" w:name="_Toc57199094"/>
      <w:r w:rsidRPr="004D05E9">
        <w:lastRenderedPageBreak/>
        <w:t>Indicator 14: Post-school Outcomes</w:t>
      </w:r>
      <w:bookmarkEnd w:id="156"/>
    </w:p>
    <w:p w14:paraId="3134B9C6" w14:textId="77777777" w:rsidR="00FD74B6" w:rsidRPr="004D05E9" w:rsidRDefault="00FD74B6" w:rsidP="004D7261">
      <w:pPr>
        <w:pStyle w:val="Heading3"/>
        <w:spacing w:before="0" w:after="240"/>
      </w:pPr>
      <w:bookmarkStart w:id="157" w:name="_Toc57199095"/>
      <w:r w:rsidRPr="004D05E9">
        <w:t>Description</w:t>
      </w:r>
      <w:bookmarkEnd w:id="157"/>
    </w:p>
    <w:p w14:paraId="4EC79DEC" w14:textId="77777777" w:rsidR="00FD74B6" w:rsidRPr="004D05E9" w:rsidRDefault="00FD74B6" w:rsidP="004D7261">
      <w:pPr>
        <w:tabs>
          <w:tab w:val="left" w:pos="720"/>
          <w:tab w:val="center" w:pos="4680"/>
          <w:tab w:val="right" w:pos="9360"/>
        </w:tabs>
        <w:spacing w:after="240"/>
        <w:rPr>
          <w:rFonts w:cs="Arial"/>
        </w:rPr>
      </w:pPr>
      <w:r w:rsidRPr="004D05E9">
        <w:rPr>
          <w:rFonts w:cs="Arial"/>
        </w:rPr>
        <w:t>Indicator 14 is a performance indicator that measures the percent of youth who are no</w:t>
      </w:r>
      <w:r w:rsidR="00A211F6" w:rsidRPr="004D05E9">
        <w:rPr>
          <w:rFonts w:cs="Arial"/>
        </w:rPr>
        <w:t xml:space="preserve"> longer in secondary school but</w:t>
      </w:r>
      <w:r w:rsidRPr="004D05E9">
        <w:rPr>
          <w:rFonts w:cs="Arial"/>
        </w:rPr>
        <w:t xml:space="preserve"> had IEPs in effect at the time they left school, and were either enrolled in higher education within one year of leaving high school; enrolled in higher education or competitively employed within one year of leaving high school; or enrolled in higher education or in some other postsecondary education or training program; or competitively employed or in some other employment within one year of leaving high school (20 U.S.C.</w:t>
      </w:r>
      <w:r w:rsidR="004D7261" w:rsidRPr="004D05E9">
        <w:rPr>
          <w:rFonts w:cs="Arial"/>
        </w:rPr>
        <w:t xml:space="preserve"> </w:t>
      </w:r>
      <w:r w:rsidR="002A11EB" w:rsidRPr="004D05E9">
        <w:rPr>
          <w:rFonts w:cs="Arial"/>
        </w:rPr>
        <w:t xml:space="preserve">Section </w:t>
      </w:r>
      <w:r w:rsidR="004D7261" w:rsidRPr="004D05E9">
        <w:rPr>
          <w:rFonts w:cs="Arial"/>
        </w:rPr>
        <w:t>1416[a][3][B]).</w:t>
      </w:r>
    </w:p>
    <w:p w14:paraId="5B023B07" w14:textId="0A5F5051" w:rsidR="00FD74B6" w:rsidRPr="004D05E9" w:rsidRDefault="00FD74B6" w:rsidP="004D7261">
      <w:pPr>
        <w:pStyle w:val="Heading3"/>
        <w:spacing w:before="0" w:after="240"/>
      </w:pPr>
      <w:bookmarkStart w:id="158" w:name="_Toc57199096"/>
      <w:r w:rsidRPr="004D05E9">
        <w:t>Target for 201</w:t>
      </w:r>
      <w:r w:rsidR="00DC6517" w:rsidRPr="004D05E9">
        <w:t>9</w:t>
      </w:r>
      <w:r w:rsidRPr="004D05E9">
        <w:t>–</w:t>
      </w:r>
      <w:r w:rsidR="00DC6517" w:rsidRPr="004D05E9">
        <w:t>20</w:t>
      </w:r>
      <w:bookmarkEnd w:id="158"/>
    </w:p>
    <w:p w14:paraId="7F9F62A4" w14:textId="57DBC6B3" w:rsidR="00FD74B6" w:rsidRPr="004D05E9" w:rsidRDefault="00FD74B6" w:rsidP="004D7261">
      <w:pPr>
        <w:spacing w:after="240"/>
        <w:rPr>
          <w:rFonts w:cs="Arial"/>
          <w:bCs/>
        </w:rPr>
      </w:pPr>
      <w:r w:rsidRPr="004D05E9">
        <w:rPr>
          <w:rFonts w:cs="Arial"/>
          <w:bCs/>
        </w:rPr>
        <w:t>These targets represent changes approved by the SBE and the OSEP in FFY 2014 and will be in effect for FFY</w:t>
      </w:r>
      <w:r w:rsidR="003A7E90" w:rsidRPr="004D05E9">
        <w:rPr>
          <w:rFonts w:cs="Arial"/>
          <w:bCs/>
        </w:rPr>
        <w:t>s</w:t>
      </w:r>
      <w:r w:rsidRPr="004D05E9">
        <w:rPr>
          <w:rFonts w:cs="Arial"/>
          <w:bCs/>
        </w:rPr>
        <w:t xml:space="preserve"> 2013–1</w:t>
      </w:r>
      <w:r w:rsidR="00DC6517" w:rsidRPr="004D05E9">
        <w:rPr>
          <w:rFonts w:cs="Arial"/>
          <w:bCs/>
        </w:rPr>
        <w:t>9</w:t>
      </w:r>
      <w:r w:rsidRPr="004D05E9">
        <w:rPr>
          <w:rFonts w:cs="Arial"/>
          <w:bCs/>
        </w:rPr>
        <w:t>.</w:t>
      </w:r>
    </w:p>
    <w:p w14:paraId="20982B63" w14:textId="52B6AA00" w:rsidR="00FD74B6" w:rsidRPr="004D05E9" w:rsidRDefault="00966FBD" w:rsidP="00966FBD">
      <w:pPr>
        <w:tabs>
          <w:tab w:val="left" w:pos="720"/>
          <w:tab w:val="center" w:pos="4320"/>
          <w:tab w:val="right" w:pos="8640"/>
        </w:tabs>
        <w:spacing w:after="240"/>
        <w:ind w:left="720" w:hanging="540"/>
        <w:rPr>
          <w:rFonts w:cs="Arial"/>
        </w:rPr>
      </w:pPr>
      <w:r w:rsidRPr="004D05E9">
        <w:rPr>
          <w:rFonts w:cs="Arial"/>
        </w:rPr>
        <w:t xml:space="preserve">14A. </w:t>
      </w:r>
      <w:r w:rsidR="005E10E1" w:rsidRPr="004D05E9">
        <w:rPr>
          <w:rFonts w:cs="Arial"/>
        </w:rPr>
        <w:t xml:space="preserve">A target of </w:t>
      </w:r>
      <w:r w:rsidR="00FD74B6" w:rsidRPr="004D05E9">
        <w:rPr>
          <w:rFonts w:cs="Arial"/>
        </w:rPr>
        <w:t>5</w:t>
      </w:r>
      <w:r w:rsidR="00DC6517" w:rsidRPr="004D05E9">
        <w:rPr>
          <w:rFonts w:cs="Arial"/>
        </w:rPr>
        <w:t>5</w:t>
      </w:r>
      <w:r w:rsidR="00FD74B6" w:rsidRPr="004D05E9">
        <w:rPr>
          <w:rFonts w:cs="Arial"/>
        </w:rPr>
        <w:t>.3 percent or more of youth who had IEPs who are no longer in secondary school will be reported to have been enrolled in some type of postsecondary school within one year of leaving high school.</w:t>
      </w:r>
    </w:p>
    <w:p w14:paraId="08C5278C" w14:textId="7C319F4C" w:rsidR="00FD74B6" w:rsidRPr="004D05E9" w:rsidRDefault="00966FBD" w:rsidP="00966FBD">
      <w:pPr>
        <w:tabs>
          <w:tab w:val="left" w:pos="720"/>
          <w:tab w:val="center" w:pos="4320"/>
          <w:tab w:val="right" w:pos="8640"/>
        </w:tabs>
        <w:spacing w:after="240"/>
        <w:ind w:left="720" w:hanging="540"/>
        <w:rPr>
          <w:rFonts w:cs="Arial"/>
        </w:rPr>
      </w:pPr>
      <w:r w:rsidRPr="004D05E9">
        <w:rPr>
          <w:rFonts w:cs="Arial"/>
        </w:rPr>
        <w:t xml:space="preserve">14B. </w:t>
      </w:r>
      <w:r w:rsidR="005E10E1" w:rsidRPr="004D05E9">
        <w:rPr>
          <w:rFonts w:cs="Arial"/>
        </w:rPr>
        <w:t xml:space="preserve">A target of </w:t>
      </w:r>
      <w:r w:rsidR="00FD74B6" w:rsidRPr="004D05E9">
        <w:rPr>
          <w:rFonts w:cs="Arial"/>
        </w:rPr>
        <w:t>7</w:t>
      </w:r>
      <w:r w:rsidR="00DC6517" w:rsidRPr="004D05E9">
        <w:rPr>
          <w:rFonts w:cs="Arial"/>
        </w:rPr>
        <w:t>5</w:t>
      </w:r>
      <w:r w:rsidR="00FD74B6" w:rsidRPr="004D05E9">
        <w:rPr>
          <w:rFonts w:cs="Arial"/>
        </w:rPr>
        <w:t>.4 percent or more of youth who had IEPs who are no longer in secondary school will be reported to have been competitively employed, enrolled in some type of postsecondary school, or both, within one year of leaving high school.</w:t>
      </w:r>
    </w:p>
    <w:p w14:paraId="0E8ACA47" w14:textId="5712F6E5" w:rsidR="00FD74B6" w:rsidRPr="004D05E9" w:rsidRDefault="00966FBD" w:rsidP="00966FBD">
      <w:pPr>
        <w:spacing w:after="240"/>
        <w:ind w:left="720" w:hanging="540"/>
        <w:rPr>
          <w:rFonts w:cs="Arial"/>
        </w:rPr>
      </w:pPr>
      <w:r w:rsidRPr="004D05E9">
        <w:rPr>
          <w:rFonts w:cs="Arial"/>
        </w:rPr>
        <w:t xml:space="preserve">14C. </w:t>
      </w:r>
      <w:r w:rsidR="005E10E1" w:rsidRPr="004D05E9">
        <w:rPr>
          <w:rFonts w:cs="Arial"/>
        </w:rPr>
        <w:t xml:space="preserve">A target of </w:t>
      </w:r>
      <w:r w:rsidR="00A21632" w:rsidRPr="004D05E9">
        <w:rPr>
          <w:rFonts w:cs="Arial"/>
        </w:rPr>
        <w:t>8</w:t>
      </w:r>
      <w:r w:rsidR="00DC6517" w:rsidRPr="004D05E9">
        <w:rPr>
          <w:rFonts w:cs="Arial"/>
        </w:rPr>
        <w:t>4</w:t>
      </w:r>
      <w:r w:rsidR="00FD74B6" w:rsidRPr="004D05E9">
        <w:rPr>
          <w:rFonts w:cs="Arial"/>
        </w:rPr>
        <w:t xml:space="preserve"> percent or more of youth who had IEPs who are no longer in secondary school will be reported to have been enrolled in higher education or in some type of postsecondary school, or training program; or competitively employed in some other employment.</w:t>
      </w:r>
    </w:p>
    <w:p w14:paraId="7D7EC3E8" w14:textId="77777777" w:rsidR="00FD74B6" w:rsidRPr="004D05E9" w:rsidRDefault="00FD74B6" w:rsidP="004D7261">
      <w:pPr>
        <w:pStyle w:val="Heading3"/>
        <w:spacing w:before="0" w:after="240"/>
      </w:pPr>
      <w:bookmarkStart w:id="159" w:name="_Toc57199097"/>
      <w:r w:rsidRPr="004D05E9">
        <w:t>Measurement</w:t>
      </w:r>
      <w:bookmarkEnd w:id="159"/>
    </w:p>
    <w:p w14:paraId="032E8B61" w14:textId="0246EE9A" w:rsidR="00FD74B6" w:rsidRPr="004D05E9" w:rsidRDefault="00966FBD" w:rsidP="004D3223">
      <w:pPr>
        <w:tabs>
          <w:tab w:val="center" w:pos="4320"/>
          <w:tab w:val="right" w:pos="8640"/>
        </w:tabs>
        <w:spacing w:after="240"/>
        <w:ind w:left="720" w:hanging="540"/>
        <w:rPr>
          <w:rFonts w:cs="Arial"/>
        </w:rPr>
      </w:pPr>
      <w:r w:rsidRPr="004D05E9">
        <w:rPr>
          <w:rFonts w:cs="Arial"/>
        </w:rPr>
        <w:t xml:space="preserve">14A. </w:t>
      </w:r>
      <w:r w:rsidR="00FD74B6" w:rsidRPr="004D05E9">
        <w:rPr>
          <w:rFonts w:cs="Arial"/>
        </w:rPr>
        <w:t xml:space="preserve">The number of </w:t>
      </w:r>
      <w:r w:rsidR="796F183C" w:rsidRPr="004D05E9">
        <w:rPr>
          <w:rFonts w:cs="Arial"/>
        </w:rPr>
        <w:t>youths</w:t>
      </w:r>
      <w:r w:rsidR="00FD74B6" w:rsidRPr="004D05E9">
        <w:rPr>
          <w:rFonts w:cs="Arial"/>
        </w:rPr>
        <w:t xml:space="preserve"> who are no longer in secondary school, had IEPs in effect when they left school, and were enrolled in higher education within one year of leaving high school divided by the number of respondent youth who are no longer in secondary school.</w:t>
      </w:r>
    </w:p>
    <w:p w14:paraId="2BA5B186" w14:textId="7944B87E" w:rsidR="00FD74B6" w:rsidRPr="004D05E9" w:rsidRDefault="00966FBD" w:rsidP="004D3223">
      <w:pPr>
        <w:tabs>
          <w:tab w:val="center" w:pos="4320"/>
          <w:tab w:val="right" w:pos="8640"/>
        </w:tabs>
        <w:spacing w:after="240"/>
        <w:ind w:left="720" w:hanging="540"/>
        <w:rPr>
          <w:rFonts w:cs="Arial"/>
        </w:rPr>
      </w:pPr>
      <w:r w:rsidRPr="004D05E9">
        <w:rPr>
          <w:rFonts w:cs="Arial"/>
        </w:rPr>
        <w:t xml:space="preserve">14B. </w:t>
      </w:r>
      <w:r w:rsidR="00FD74B6" w:rsidRPr="004D05E9">
        <w:rPr>
          <w:rFonts w:cs="Arial"/>
        </w:rPr>
        <w:t xml:space="preserve">Number of </w:t>
      </w:r>
      <w:r w:rsidR="13D3E147" w:rsidRPr="004D05E9">
        <w:rPr>
          <w:rFonts w:cs="Arial"/>
        </w:rPr>
        <w:t>youths</w:t>
      </w:r>
      <w:r w:rsidR="00FD74B6" w:rsidRPr="004D05E9">
        <w:rPr>
          <w:rFonts w:cs="Arial"/>
        </w:rPr>
        <w:t xml:space="preserve"> who are no longer in secondary school, had IEPs in effect when they left school, and were enrolled in higher education or competitively employed within one year of leaving high school divided by the number of respondent youth who are no longer in secondary school.</w:t>
      </w:r>
    </w:p>
    <w:p w14:paraId="0E983EBF" w14:textId="5DE8A220" w:rsidR="00FD74B6" w:rsidRPr="004D05E9" w:rsidRDefault="00966FBD" w:rsidP="004D3223">
      <w:pPr>
        <w:spacing w:after="240"/>
        <w:ind w:left="720" w:hanging="540"/>
        <w:rPr>
          <w:rFonts w:cs="Arial"/>
        </w:rPr>
      </w:pPr>
      <w:r w:rsidRPr="004D05E9">
        <w:rPr>
          <w:rFonts w:cs="Arial"/>
        </w:rPr>
        <w:t xml:space="preserve">14C. </w:t>
      </w:r>
      <w:r w:rsidR="00FD74B6" w:rsidRPr="004D05E9">
        <w:rPr>
          <w:rFonts w:cs="Arial"/>
        </w:rPr>
        <w:t xml:space="preserve">Number of </w:t>
      </w:r>
      <w:r w:rsidR="4F3F619E" w:rsidRPr="004D05E9">
        <w:rPr>
          <w:rFonts w:cs="Arial"/>
        </w:rPr>
        <w:t>youths</w:t>
      </w:r>
      <w:r w:rsidR="00FD74B6" w:rsidRPr="004D05E9">
        <w:rPr>
          <w:rFonts w:cs="Arial"/>
        </w:rPr>
        <w:t xml:space="preserve"> who are no longer in secondary school, had IEPs in effect when they left school, and were enrolled in higher education, or in some other postsecondary education or training program; or competitively employed or in </w:t>
      </w:r>
      <w:r w:rsidR="00FD74B6" w:rsidRPr="004D05E9">
        <w:rPr>
          <w:rFonts w:cs="Arial"/>
        </w:rPr>
        <w:lastRenderedPageBreak/>
        <w:t>some other employment divided by the number of respondent youth who are no longer in secondary school.</w:t>
      </w:r>
    </w:p>
    <w:p w14:paraId="01ABE06F" w14:textId="6FD0EEC5" w:rsidR="00FD74B6" w:rsidRPr="004D05E9" w:rsidRDefault="00FD74B6" w:rsidP="004D7261">
      <w:pPr>
        <w:pStyle w:val="Heading3"/>
        <w:spacing w:before="0" w:after="240"/>
      </w:pPr>
      <w:bookmarkStart w:id="160" w:name="_Toc57199098"/>
      <w:r w:rsidRPr="004D05E9">
        <w:t>Results for 201</w:t>
      </w:r>
      <w:r w:rsidR="00DC6517" w:rsidRPr="004D05E9">
        <w:t>9</w:t>
      </w:r>
      <w:r w:rsidRPr="004D05E9">
        <w:t>–</w:t>
      </w:r>
      <w:r w:rsidR="00DC6517" w:rsidRPr="004D05E9">
        <w:t>20</w:t>
      </w:r>
      <w:bookmarkEnd w:id="160"/>
    </w:p>
    <w:p w14:paraId="39CDBAE5" w14:textId="492BA1CF" w:rsidR="00FD74B6" w:rsidRPr="004D05E9" w:rsidRDefault="00966FBD" w:rsidP="004D3223">
      <w:pPr>
        <w:spacing w:after="240"/>
        <w:ind w:left="720" w:hanging="540"/>
        <w:rPr>
          <w:rFonts w:cs="Arial"/>
        </w:rPr>
      </w:pPr>
      <w:r w:rsidRPr="004D05E9">
        <w:rPr>
          <w:rFonts w:cs="Arial"/>
        </w:rPr>
        <w:t xml:space="preserve">14A. </w:t>
      </w:r>
      <w:r w:rsidR="005E10E1" w:rsidRPr="004D05E9">
        <w:rPr>
          <w:rFonts w:cs="Arial"/>
        </w:rPr>
        <w:t>For FFY 201</w:t>
      </w:r>
      <w:r w:rsidR="00DC6517" w:rsidRPr="004D05E9">
        <w:rPr>
          <w:rFonts w:cs="Arial"/>
        </w:rPr>
        <w:t>9</w:t>
      </w:r>
      <w:r w:rsidR="00902D7E" w:rsidRPr="004D05E9">
        <w:rPr>
          <w:rFonts w:cs="Arial"/>
        </w:rPr>
        <w:t>,</w:t>
      </w:r>
      <w:r w:rsidR="005E10E1" w:rsidRPr="004D05E9">
        <w:rPr>
          <w:rFonts w:cs="Arial"/>
        </w:rPr>
        <w:t xml:space="preserve"> </w:t>
      </w:r>
      <w:r w:rsidR="002B0CA0" w:rsidRPr="004D05E9">
        <w:rPr>
          <w:rFonts w:cs="Arial"/>
        </w:rPr>
        <w:t>56.7</w:t>
      </w:r>
      <w:r w:rsidR="00FD74B6" w:rsidRPr="004D05E9">
        <w:rPr>
          <w:rFonts w:cs="Arial"/>
        </w:rPr>
        <w:t xml:space="preserve"> percent of youth who had IEPs who were no longer in secondary school reported to have been enrolled in some type of postsecondary school within o</w:t>
      </w:r>
      <w:r w:rsidR="004D7261" w:rsidRPr="004D05E9">
        <w:rPr>
          <w:rFonts w:cs="Arial"/>
        </w:rPr>
        <w:t>ne year of leaving high school.</w:t>
      </w:r>
    </w:p>
    <w:p w14:paraId="2487C25B" w14:textId="66A9B389" w:rsidR="00FD74B6" w:rsidRPr="004D05E9" w:rsidRDefault="00966FBD" w:rsidP="004D3223">
      <w:pPr>
        <w:spacing w:after="240"/>
        <w:ind w:left="720" w:hanging="540"/>
        <w:rPr>
          <w:rFonts w:cs="Arial"/>
        </w:rPr>
      </w:pPr>
      <w:r w:rsidRPr="004D05E9">
        <w:rPr>
          <w:rFonts w:cs="Arial"/>
        </w:rPr>
        <w:t xml:space="preserve">14B. </w:t>
      </w:r>
      <w:r w:rsidR="005E10E1" w:rsidRPr="004D05E9">
        <w:rPr>
          <w:rFonts w:cs="Arial"/>
        </w:rPr>
        <w:t>For FFY 201</w:t>
      </w:r>
      <w:r w:rsidR="00DC6517" w:rsidRPr="004D05E9">
        <w:rPr>
          <w:rFonts w:cs="Arial"/>
        </w:rPr>
        <w:t xml:space="preserve">9, </w:t>
      </w:r>
      <w:r w:rsidR="002B0CA0" w:rsidRPr="004D05E9">
        <w:rPr>
          <w:rFonts w:cs="Arial"/>
        </w:rPr>
        <w:t>75.9</w:t>
      </w:r>
      <w:r w:rsidR="00FD74B6" w:rsidRPr="004D05E9">
        <w:rPr>
          <w:rFonts w:cs="Arial"/>
        </w:rPr>
        <w:t xml:space="preserve"> percent of youth who had IEPs who were no longer in secondary school reported to have been competitively employed, enrolled in some type of postsecondary school, or both, within o</w:t>
      </w:r>
      <w:r w:rsidR="004D7261" w:rsidRPr="004D05E9">
        <w:rPr>
          <w:rFonts w:cs="Arial"/>
        </w:rPr>
        <w:t>ne year of leaving high school.</w:t>
      </w:r>
    </w:p>
    <w:p w14:paraId="0737DB67" w14:textId="6B6EEEFC" w:rsidR="00FD74B6" w:rsidRPr="004D05E9" w:rsidRDefault="00966FBD" w:rsidP="004D3223">
      <w:pPr>
        <w:spacing w:after="240"/>
        <w:ind w:left="720" w:hanging="540"/>
        <w:rPr>
          <w:rFonts w:cs="Arial"/>
          <w:bCs/>
        </w:rPr>
      </w:pPr>
      <w:r w:rsidRPr="004D05E9">
        <w:rPr>
          <w:rFonts w:cs="Arial"/>
        </w:rPr>
        <w:t xml:space="preserve">14C. </w:t>
      </w:r>
      <w:r w:rsidR="005E10E1" w:rsidRPr="004D05E9">
        <w:rPr>
          <w:rFonts w:cs="Arial"/>
        </w:rPr>
        <w:t>For FFY 201</w:t>
      </w:r>
      <w:r w:rsidR="00DC6517" w:rsidRPr="004D05E9">
        <w:rPr>
          <w:rFonts w:cs="Arial"/>
        </w:rPr>
        <w:t>9</w:t>
      </w:r>
      <w:r w:rsidR="00902D7E" w:rsidRPr="004D05E9">
        <w:rPr>
          <w:rFonts w:cs="Arial"/>
        </w:rPr>
        <w:t>,</w:t>
      </w:r>
      <w:r w:rsidR="005E10E1" w:rsidRPr="004D05E9">
        <w:rPr>
          <w:rFonts w:cs="Arial"/>
        </w:rPr>
        <w:t xml:space="preserve"> </w:t>
      </w:r>
      <w:r w:rsidR="002B0CA0" w:rsidRPr="004D05E9">
        <w:rPr>
          <w:rFonts w:cs="Arial"/>
        </w:rPr>
        <w:t>94.1</w:t>
      </w:r>
      <w:r w:rsidR="00FD74B6" w:rsidRPr="004D05E9">
        <w:rPr>
          <w:rFonts w:cs="Arial"/>
        </w:rPr>
        <w:t xml:space="preserve"> percent of youth who had IEPs who were no longer in secondary school reported to have been enrolled in higher education or in some type of postsecondary school, or training program; or competitively employed in some other employment.</w:t>
      </w:r>
    </w:p>
    <w:p w14:paraId="04E8B6B1" w14:textId="6B186B43" w:rsidR="00FD74B6" w:rsidRPr="004D05E9" w:rsidRDefault="004663F8" w:rsidP="004D7261">
      <w:pPr>
        <w:pStyle w:val="Heading3"/>
        <w:spacing w:before="0" w:after="240"/>
      </w:pPr>
      <w:bookmarkStart w:id="161" w:name="_Toc57199099"/>
      <w:r w:rsidRPr="004D05E9">
        <w:t xml:space="preserve">Target Met: </w:t>
      </w:r>
      <w:r w:rsidR="00640E90" w:rsidRPr="004D05E9">
        <w:t>14</w:t>
      </w:r>
      <w:r w:rsidRPr="004D05E9">
        <w:t>A</w:t>
      </w:r>
      <w:r w:rsidR="001473C8" w:rsidRPr="004D05E9">
        <w:t xml:space="preserve"> Yes</w:t>
      </w:r>
      <w:r w:rsidR="00966FBD" w:rsidRPr="004D05E9">
        <w:t>,</w:t>
      </w:r>
      <w:r w:rsidRPr="004D05E9">
        <w:t xml:space="preserve"> </w:t>
      </w:r>
      <w:r w:rsidR="00640E90" w:rsidRPr="004D05E9">
        <w:t>14</w:t>
      </w:r>
      <w:r w:rsidR="00FD74B6" w:rsidRPr="004D05E9">
        <w:t>B</w:t>
      </w:r>
      <w:r w:rsidR="001473C8" w:rsidRPr="004D05E9">
        <w:t xml:space="preserve"> Yes</w:t>
      </w:r>
      <w:r w:rsidR="00966FBD" w:rsidRPr="004D05E9">
        <w:t>,</w:t>
      </w:r>
      <w:r w:rsidR="00FD74B6" w:rsidRPr="004D05E9">
        <w:t xml:space="preserve"> </w:t>
      </w:r>
      <w:r w:rsidR="00640E90" w:rsidRPr="004D05E9">
        <w:t>14</w:t>
      </w:r>
      <w:r w:rsidR="00FD74B6" w:rsidRPr="004D05E9">
        <w:t>C</w:t>
      </w:r>
      <w:r w:rsidR="001473C8" w:rsidRPr="004D05E9">
        <w:t xml:space="preserve"> Yes</w:t>
      </w:r>
      <w:bookmarkEnd w:id="161"/>
      <w:r w:rsidR="00FD74B6" w:rsidRPr="004D05E9">
        <w:t xml:space="preserve"> </w:t>
      </w:r>
    </w:p>
    <w:p w14:paraId="4053C3AD" w14:textId="39658540" w:rsidR="00FD74B6" w:rsidRPr="004D05E9" w:rsidRDefault="00FD74B6" w:rsidP="004D7261">
      <w:pPr>
        <w:widowControl w:val="0"/>
        <w:overflowPunct w:val="0"/>
        <w:autoSpaceDE w:val="0"/>
        <w:autoSpaceDN w:val="0"/>
        <w:adjustRightInd w:val="0"/>
        <w:rPr>
          <w:rFonts w:cs="Arial"/>
          <w:b/>
          <w:bCs/>
        </w:rPr>
      </w:pPr>
      <w:r w:rsidRPr="004D05E9">
        <w:rPr>
          <w:rFonts w:cs="Arial"/>
          <w:b/>
          <w:bCs/>
        </w:rPr>
        <w:t>Post-school Outcomes Targets and Results for FFY</w:t>
      </w:r>
      <w:r w:rsidR="00966FBD" w:rsidRPr="004D05E9">
        <w:rPr>
          <w:rFonts w:cs="Arial"/>
          <w:b/>
          <w:bCs/>
        </w:rPr>
        <w:t>s</w:t>
      </w:r>
      <w:r w:rsidRPr="004D05E9">
        <w:rPr>
          <w:rFonts w:cs="Arial"/>
          <w:b/>
          <w:bCs/>
        </w:rPr>
        <w:t xml:space="preserve"> 2013–1</w:t>
      </w:r>
      <w:r w:rsidR="00DC6517" w:rsidRPr="004D05E9">
        <w:rPr>
          <w:rFonts w:cs="Arial"/>
          <w:b/>
          <w:bCs/>
        </w:rPr>
        <w:t>9</w:t>
      </w:r>
    </w:p>
    <w:tbl>
      <w:tblPr>
        <w:tblStyle w:val="TableGrid14"/>
        <w:tblW w:w="9436" w:type="dxa"/>
        <w:tblLook w:val="04A0" w:firstRow="1" w:lastRow="0" w:firstColumn="1" w:lastColumn="0" w:noHBand="0" w:noVBand="1"/>
        <w:tblDescription w:val="Indicator 14 Targets and Results"/>
      </w:tblPr>
      <w:tblGrid>
        <w:gridCol w:w="2981"/>
        <w:gridCol w:w="961"/>
        <w:gridCol w:w="907"/>
        <w:gridCol w:w="907"/>
        <w:gridCol w:w="961"/>
        <w:gridCol w:w="907"/>
        <w:gridCol w:w="907"/>
        <w:gridCol w:w="905"/>
      </w:tblGrid>
      <w:tr w:rsidR="00DC6517" w:rsidRPr="004D05E9" w14:paraId="2BCE8E14" w14:textId="03C920E5" w:rsidTr="002B0CA0">
        <w:trPr>
          <w:cantSplit/>
          <w:trHeight w:val="285"/>
          <w:tblHeader/>
        </w:trPr>
        <w:tc>
          <w:tcPr>
            <w:tcW w:w="2981" w:type="dxa"/>
            <w:hideMark/>
          </w:tcPr>
          <w:p w14:paraId="6886AA1F"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Indicator 14</w:t>
            </w:r>
          </w:p>
        </w:tc>
        <w:tc>
          <w:tcPr>
            <w:tcW w:w="961" w:type="dxa"/>
            <w:hideMark/>
          </w:tcPr>
          <w:p w14:paraId="11396525"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2013</w:t>
            </w:r>
          </w:p>
        </w:tc>
        <w:tc>
          <w:tcPr>
            <w:tcW w:w="907" w:type="dxa"/>
            <w:hideMark/>
          </w:tcPr>
          <w:p w14:paraId="61E9F5E9"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2014</w:t>
            </w:r>
          </w:p>
        </w:tc>
        <w:tc>
          <w:tcPr>
            <w:tcW w:w="907" w:type="dxa"/>
            <w:hideMark/>
          </w:tcPr>
          <w:p w14:paraId="678BD1B2"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2015</w:t>
            </w:r>
          </w:p>
        </w:tc>
        <w:tc>
          <w:tcPr>
            <w:tcW w:w="961" w:type="dxa"/>
            <w:hideMark/>
          </w:tcPr>
          <w:p w14:paraId="79F882A3"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2016</w:t>
            </w:r>
          </w:p>
        </w:tc>
        <w:tc>
          <w:tcPr>
            <w:tcW w:w="907" w:type="dxa"/>
            <w:hideMark/>
          </w:tcPr>
          <w:p w14:paraId="4DB89369"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2017</w:t>
            </w:r>
          </w:p>
        </w:tc>
        <w:tc>
          <w:tcPr>
            <w:tcW w:w="907" w:type="dxa"/>
            <w:hideMark/>
          </w:tcPr>
          <w:p w14:paraId="3CFC0813" w14:textId="77777777"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2018</w:t>
            </w:r>
          </w:p>
        </w:tc>
        <w:tc>
          <w:tcPr>
            <w:tcW w:w="905" w:type="dxa"/>
          </w:tcPr>
          <w:p w14:paraId="55FFB3F4" w14:textId="0A5510F9" w:rsidR="00DC6517" w:rsidRPr="004D05E9" w:rsidRDefault="00DC6517" w:rsidP="00FD74B6">
            <w:pPr>
              <w:widowControl w:val="0"/>
              <w:overflowPunct w:val="0"/>
              <w:autoSpaceDE w:val="0"/>
              <w:autoSpaceDN w:val="0"/>
              <w:adjustRightInd w:val="0"/>
              <w:jc w:val="center"/>
              <w:rPr>
                <w:rFonts w:cs="Arial"/>
                <w:b/>
                <w:bCs/>
              </w:rPr>
            </w:pPr>
            <w:r w:rsidRPr="004D05E9">
              <w:rPr>
                <w:rFonts w:cs="Arial"/>
                <w:b/>
                <w:bCs/>
              </w:rPr>
              <w:t>2019</w:t>
            </w:r>
          </w:p>
        </w:tc>
      </w:tr>
      <w:tr w:rsidR="00DC6517" w:rsidRPr="004D05E9" w14:paraId="0644B216" w14:textId="4DA76B69" w:rsidTr="002B0CA0">
        <w:trPr>
          <w:cantSplit/>
          <w:trHeight w:val="586"/>
        </w:trPr>
        <w:tc>
          <w:tcPr>
            <w:tcW w:w="2981" w:type="dxa"/>
            <w:hideMark/>
          </w:tcPr>
          <w:p w14:paraId="2E2D728E" w14:textId="77777777" w:rsidR="00DC6517" w:rsidRPr="004D05E9" w:rsidRDefault="00DC6517" w:rsidP="00DC6517">
            <w:pPr>
              <w:widowControl w:val="0"/>
              <w:overflowPunct w:val="0"/>
              <w:autoSpaceDE w:val="0"/>
              <w:autoSpaceDN w:val="0"/>
              <w:adjustRightInd w:val="0"/>
              <w:rPr>
                <w:rFonts w:cs="Arial"/>
                <w:bCs/>
              </w:rPr>
            </w:pPr>
            <w:r w:rsidRPr="004D05E9">
              <w:rPr>
                <w:rFonts w:cs="Arial"/>
                <w:bCs/>
              </w:rPr>
              <w:t xml:space="preserve">14A Target – Postsecondary </w:t>
            </w:r>
          </w:p>
        </w:tc>
        <w:tc>
          <w:tcPr>
            <w:tcW w:w="961" w:type="dxa"/>
            <w:hideMark/>
          </w:tcPr>
          <w:p w14:paraId="20906A89"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52.3%</w:t>
            </w:r>
          </w:p>
        </w:tc>
        <w:tc>
          <w:tcPr>
            <w:tcW w:w="907" w:type="dxa"/>
            <w:hideMark/>
          </w:tcPr>
          <w:p w14:paraId="5F53BF0B"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52.3%</w:t>
            </w:r>
          </w:p>
        </w:tc>
        <w:tc>
          <w:tcPr>
            <w:tcW w:w="907" w:type="dxa"/>
            <w:hideMark/>
          </w:tcPr>
          <w:p w14:paraId="2AD4E875"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52.3%</w:t>
            </w:r>
          </w:p>
        </w:tc>
        <w:tc>
          <w:tcPr>
            <w:tcW w:w="961" w:type="dxa"/>
            <w:hideMark/>
          </w:tcPr>
          <w:p w14:paraId="44E693B7"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52.3%</w:t>
            </w:r>
          </w:p>
        </w:tc>
        <w:tc>
          <w:tcPr>
            <w:tcW w:w="907" w:type="dxa"/>
            <w:hideMark/>
          </w:tcPr>
          <w:p w14:paraId="5CBDAAB2"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53.3%</w:t>
            </w:r>
          </w:p>
        </w:tc>
        <w:tc>
          <w:tcPr>
            <w:tcW w:w="907" w:type="dxa"/>
            <w:hideMark/>
          </w:tcPr>
          <w:p w14:paraId="734A58FC"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54.3%</w:t>
            </w:r>
          </w:p>
        </w:tc>
        <w:tc>
          <w:tcPr>
            <w:tcW w:w="905" w:type="dxa"/>
          </w:tcPr>
          <w:p w14:paraId="2AD077D5" w14:textId="75456AD4"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55.3%</w:t>
            </w:r>
          </w:p>
        </w:tc>
      </w:tr>
      <w:tr w:rsidR="00DC6517" w:rsidRPr="004D05E9" w14:paraId="2104CFFE" w14:textId="1A91F44F" w:rsidTr="002B0CA0">
        <w:trPr>
          <w:cantSplit/>
          <w:trHeight w:val="285"/>
        </w:trPr>
        <w:tc>
          <w:tcPr>
            <w:tcW w:w="2981" w:type="dxa"/>
            <w:hideMark/>
          </w:tcPr>
          <w:p w14:paraId="1470B742" w14:textId="77777777" w:rsidR="00DC6517" w:rsidRPr="004D05E9" w:rsidRDefault="00DC6517" w:rsidP="00DC6517">
            <w:pPr>
              <w:widowControl w:val="0"/>
              <w:overflowPunct w:val="0"/>
              <w:autoSpaceDE w:val="0"/>
              <w:autoSpaceDN w:val="0"/>
              <w:adjustRightInd w:val="0"/>
              <w:rPr>
                <w:rFonts w:cs="Arial"/>
                <w:bCs/>
              </w:rPr>
            </w:pPr>
            <w:r w:rsidRPr="004D05E9">
              <w:rPr>
                <w:rFonts w:cs="Arial"/>
                <w:bCs/>
              </w:rPr>
              <w:t>Result</w:t>
            </w:r>
          </w:p>
        </w:tc>
        <w:tc>
          <w:tcPr>
            <w:tcW w:w="961" w:type="dxa"/>
            <w:hideMark/>
          </w:tcPr>
          <w:p w14:paraId="43331A78"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52.3%</w:t>
            </w:r>
          </w:p>
        </w:tc>
        <w:tc>
          <w:tcPr>
            <w:tcW w:w="907" w:type="dxa"/>
            <w:hideMark/>
          </w:tcPr>
          <w:p w14:paraId="1A8B4FFA"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50.4%</w:t>
            </w:r>
          </w:p>
        </w:tc>
        <w:tc>
          <w:tcPr>
            <w:tcW w:w="907" w:type="dxa"/>
            <w:hideMark/>
          </w:tcPr>
          <w:p w14:paraId="6D87F040"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52.3%</w:t>
            </w:r>
          </w:p>
        </w:tc>
        <w:tc>
          <w:tcPr>
            <w:tcW w:w="961" w:type="dxa"/>
            <w:hideMark/>
          </w:tcPr>
          <w:p w14:paraId="1318BD91"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48.9%</w:t>
            </w:r>
          </w:p>
        </w:tc>
        <w:tc>
          <w:tcPr>
            <w:tcW w:w="907" w:type="dxa"/>
            <w:hideMark/>
          </w:tcPr>
          <w:p w14:paraId="372D0FF6"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53.9%</w:t>
            </w:r>
          </w:p>
        </w:tc>
        <w:tc>
          <w:tcPr>
            <w:tcW w:w="907" w:type="dxa"/>
            <w:hideMark/>
          </w:tcPr>
          <w:p w14:paraId="56CA1141"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54.8%</w:t>
            </w:r>
          </w:p>
        </w:tc>
        <w:tc>
          <w:tcPr>
            <w:tcW w:w="905" w:type="dxa"/>
          </w:tcPr>
          <w:p w14:paraId="6C562A93" w14:textId="6B831862" w:rsidR="00DC6517" w:rsidRPr="004D05E9" w:rsidRDefault="002B0CA0" w:rsidP="00DC6517">
            <w:pPr>
              <w:widowControl w:val="0"/>
              <w:overflowPunct w:val="0"/>
              <w:autoSpaceDE w:val="0"/>
              <w:autoSpaceDN w:val="0"/>
              <w:adjustRightInd w:val="0"/>
              <w:jc w:val="center"/>
              <w:rPr>
                <w:rFonts w:cs="Arial"/>
                <w:bCs/>
              </w:rPr>
            </w:pPr>
            <w:r w:rsidRPr="004D05E9">
              <w:rPr>
                <w:rFonts w:cs="Arial"/>
                <w:bCs/>
              </w:rPr>
              <w:t>56.7%</w:t>
            </w:r>
          </w:p>
        </w:tc>
      </w:tr>
      <w:tr w:rsidR="00DC6517" w:rsidRPr="004D05E9" w14:paraId="4546FCDA" w14:textId="40AC4C3A" w:rsidTr="002B0CA0">
        <w:trPr>
          <w:cantSplit/>
          <w:trHeight w:val="285"/>
        </w:trPr>
        <w:tc>
          <w:tcPr>
            <w:tcW w:w="2981" w:type="dxa"/>
            <w:hideMark/>
          </w:tcPr>
          <w:p w14:paraId="50AC13E5" w14:textId="77777777" w:rsidR="00DC6517" w:rsidRPr="004D05E9" w:rsidRDefault="00DC6517" w:rsidP="00DC6517">
            <w:pPr>
              <w:widowControl w:val="0"/>
              <w:overflowPunct w:val="0"/>
              <w:autoSpaceDE w:val="0"/>
              <w:autoSpaceDN w:val="0"/>
              <w:adjustRightInd w:val="0"/>
              <w:rPr>
                <w:rFonts w:cs="Arial"/>
                <w:bCs/>
              </w:rPr>
            </w:pPr>
            <w:r w:rsidRPr="004D05E9">
              <w:rPr>
                <w:rFonts w:cs="Arial"/>
                <w:bCs/>
              </w:rPr>
              <w:t>Target Met</w:t>
            </w:r>
          </w:p>
        </w:tc>
        <w:tc>
          <w:tcPr>
            <w:tcW w:w="961" w:type="dxa"/>
            <w:hideMark/>
          </w:tcPr>
          <w:p w14:paraId="7484231C" w14:textId="77777777" w:rsidR="00DC6517" w:rsidRPr="004D05E9" w:rsidRDefault="00DC6517" w:rsidP="00DC6517">
            <w:pPr>
              <w:jc w:val="center"/>
              <w:rPr>
                <w:rFonts w:ascii="Calibri" w:hAnsi="Calibri"/>
                <w:sz w:val="22"/>
                <w:szCs w:val="22"/>
              </w:rPr>
            </w:pPr>
            <w:r w:rsidRPr="004D05E9">
              <w:rPr>
                <w:rFonts w:cs="Arial"/>
                <w:bCs/>
              </w:rPr>
              <w:t>Yes</w:t>
            </w:r>
          </w:p>
        </w:tc>
        <w:tc>
          <w:tcPr>
            <w:tcW w:w="907" w:type="dxa"/>
            <w:hideMark/>
          </w:tcPr>
          <w:p w14:paraId="0C43F118" w14:textId="77777777" w:rsidR="00DC6517" w:rsidRPr="004D05E9" w:rsidRDefault="00DC6517" w:rsidP="00DC6517">
            <w:pPr>
              <w:jc w:val="center"/>
            </w:pPr>
            <w:r w:rsidRPr="004D05E9">
              <w:rPr>
                <w:rFonts w:cs="Arial"/>
                <w:bCs/>
              </w:rPr>
              <w:t>Yes</w:t>
            </w:r>
          </w:p>
        </w:tc>
        <w:tc>
          <w:tcPr>
            <w:tcW w:w="907" w:type="dxa"/>
            <w:hideMark/>
          </w:tcPr>
          <w:p w14:paraId="2584EC61" w14:textId="77777777" w:rsidR="00DC6517" w:rsidRPr="004D05E9" w:rsidRDefault="00DC6517" w:rsidP="00DC6517">
            <w:pPr>
              <w:jc w:val="center"/>
            </w:pPr>
            <w:r w:rsidRPr="004D05E9">
              <w:rPr>
                <w:rFonts w:cs="Arial"/>
                <w:bCs/>
              </w:rPr>
              <w:t>Yes</w:t>
            </w:r>
          </w:p>
        </w:tc>
        <w:tc>
          <w:tcPr>
            <w:tcW w:w="961" w:type="dxa"/>
            <w:hideMark/>
          </w:tcPr>
          <w:p w14:paraId="776D03BA"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No</w:t>
            </w:r>
          </w:p>
        </w:tc>
        <w:tc>
          <w:tcPr>
            <w:tcW w:w="907" w:type="dxa"/>
            <w:hideMark/>
          </w:tcPr>
          <w:p w14:paraId="2C34E325"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Yes</w:t>
            </w:r>
          </w:p>
        </w:tc>
        <w:tc>
          <w:tcPr>
            <w:tcW w:w="907" w:type="dxa"/>
            <w:hideMark/>
          </w:tcPr>
          <w:p w14:paraId="03FABD90"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Yes</w:t>
            </w:r>
          </w:p>
        </w:tc>
        <w:tc>
          <w:tcPr>
            <w:tcW w:w="905" w:type="dxa"/>
          </w:tcPr>
          <w:p w14:paraId="2CF52C9B" w14:textId="54020A91" w:rsidR="00DC6517" w:rsidRPr="004D05E9" w:rsidRDefault="002B0CA0" w:rsidP="00DC6517">
            <w:pPr>
              <w:widowControl w:val="0"/>
              <w:overflowPunct w:val="0"/>
              <w:autoSpaceDE w:val="0"/>
              <w:autoSpaceDN w:val="0"/>
              <w:adjustRightInd w:val="0"/>
              <w:jc w:val="center"/>
              <w:rPr>
                <w:rFonts w:cs="Arial"/>
                <w:bCs/>
              </w:rPr>
            </w:pPr>
            <w:r w:rsidRPr="004D05E9">
              <w:rPr>
                <w:rFonts w:cs="Arial"/>
                <w:bCs/>
              </w:rPr>
              <w:t>Yes</w:t>
            </w:r>
          </w:p>
        </w:tc>
      </w:tr>
      <w:tr w:rsidR="00DC6517" w:rsidRPr="004D05E9" w14:paraId="597928EA" w14:textId="54BD007D" w:rsidTr="002B0CA0">
        <w:trPr>
          <w:cantSplit/>
          <w:trHeight w:val="570"/>
        </w:trPr>
        <w:tc>
          <w:tcPr>
            <w:tcW w:w="2981" w:type="dxa"/>
            <w:hideMark/>
          </w:tcPr>
          <w:p w14:paraId="4F5F123C" w14:textId="77777777" w:rsidR="00DC6517" w:rsidRPr="004D05E9" w:rsidRDefault="00DC6517" w:rsidP="00DC6517">
            <w:pPr>
              <w:widowControl w:val="0"/>
              <w:overflowPunct w:val="0"/>
              <w:autoSpaceDE w:val="0"/>
              <w:autoSpaceDN w:val="0"/>
              <w:adjustRightInd w:val="0"/>
              <w:rPr>
                <w:rFonts w:cs="Arial"/>
                <w:bCs/>
              </w:rPr>
            </w:pPr>
            <w:r w:rsidRPr="004D05E9">
              <w:rPr>
                <w:rFonts w:cs="Arial"/>
                <w:bCs/>
              </w:rPr>
              <w:t>14B Target – Employed/Postsecondary</w:t>
            </w:r>
          </w:p>
        </w:tc>
        <w:tc>
          <w:tcPr>
            <w:tcW w:w="961" w:type="dxa"/>
          </w:tcPr>
          <w:p w14:paraId="0D4B55E0" w14:textId="77777777"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72.4%</w:t>
            </w:r>
          </w:p>
        </w:tc>
        <w:tc>
          <w:tcPr>
            <w:tcW w:w="907" w:type="dxa"/>
          </w:tcPr>
          <w:p w14:paraId="1E2A3031" w14:textId="77777777"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72.4%</w:t>
            </w:r>
          </w:p>
        </w:tc>
        <w:tc>
          <w:tcPr>
            <w:tcW w:w="907" w:type="dxa"/>
          </w:tcPr>
          <w:p w14:paraId="53879C05" w14:textId="77777777"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72.4%</w:t>
            </w:r>
          </w:p>
        </w:tc>
        <w:tc>
          <w:tcPr>
            <w:tcW w:w="961" w:type="dxa"/>
          </w:tcPr>
          <w:p w14:paraId="14794BF4" w14:textId="77777777"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72.4%</w:t>
            </w:r>
          </w:p>
        </w:tc>
        <w:tc>
          <w:tcPr>
            <w:tcW w:w="907" w:type="dxa"/>
          </w:tcPr>
          <w:p w14:paraId="0C6384D8" w14:textId="77777777"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73.4%</w:t>
            </w:r>
          </w:p>
        </w:tc>
        <w:tc>
          <w:tcPr>
            <w:tcW w:w="907" w:type="dxa"/>
          </w:tcPr>
          <w:p w14:paraId="60EC0498" w14:textId="77777777"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74.4%</w:t>
            </w:r>
          </w:p>
        </w:tc>
        <w:tc>
          <w:tcPr>
            <w:tcW w:w="905" w:type="dxa"/>
          </w:tcPr>
          <w:p w14:paraId="71C88E81" w14:textId="061FDAB3"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75.4%</w:t>
            </w:r>
          </w:p>
        </w:tc>
      </w:tr>
      <w:tr w:rsidR="00DC6517" w:rsidRPr="004D05E9" w14:paraId="38568B49" w14:textId="360FD590" w:rsidTr="002B0CA0">
        <w:trPr>
          <w:cantSplit/>
          <w:trHeight w:val="285"/>
        </w:trPr>
        <w:tc>
          <w:tcPr>
            <w:tcW w:w="2981" w:type="dxa"/>
            <w:hideMark/>
          </w:tcPr>
          <w:p w14:paraId="18236FDA" w14:textId="77777777" w:rsidR="00DC6517" w:rsidRPr="004D05E9" w:rsidRDefault="00DC6517" w:rsidP="00DC6517">
            <w:pPr>
              <w:widowControl w:val="0"/>
              <w:overflowPunct w:val="0"/>
              <w:autoSpaceDE w:val="0"/>
              <w:autoSpaceDN w:val="0"/>
              <w:adjustRightInd w:val="0"/>
              <w:rPr>
                <w:rFonts w:cs="Arial"/>
                <w:bCs/>
              </w:rPr>
            </w:pPr>
            <w:r w:rsidRPr="004D05E9">
              <w:rPr>
                <w:rFonts w:cs="Arial"/>
                <w:bCs/>
              </w:rPr>
              <w:t>Result</w:t>
            </w:r>
          </w:p>
        </w:tc>
        <w:tc>
          <w:tcPr>
            <w:tcW w:w="961" w:type="dxa"/>
            <w:hideMark/>
          </w:tcPr>
          <w:p w14:paraId="2286C5AE"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72.4%</w:t>
            </w:r>
          </w:p>
        </w:tc>
        <w:tc>
          <w:tcPr>
            <w:tcW w:w="907" w:type="dxa"/>
            <w:hideMark/>
          </w:tcPr>
          <w:p w14:paraId="275A62A1"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72.4%</w:t>
            </w:r>
          </w:p>
        </w:tc>
        <w:tc>
          <w:tcPr>
            <w:tcW w:w="907" w:type="dxa"/>
            <w:hideMark/>
          </w:tcPr>
          <w:p w14:paraId="518679BA"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75.5%</w:t>
            </w:r>
          </w:p>
        </w:tc>
        <w:tc>
          <w:tcPr>
            <w:tcW w:w="961" w:type="dxa"/>
            <w:hideMark/>
          </w:tcPr>
          <w:p w14:paraId="2EF8BA19"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72.6%</w:t>
            </w:r>
          </w:p>
        </w:tc>
        <w:tc>
          <w:tcPr>
            <w:tcW w:w="907" w:type="dxa"/>
            <w:hideMark/>
          </w:tcPr>
          <w:p w14:paraId="17082FA5"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77.6%</w:t>
            </w:r>
          </w:p>
        </w:tc>
        <w:tc>
          <w:tcPr>
            <w:tcW w:w="907" w:type="dxa"/>
            <w:hideMark/>
          </w:tcPr>
          <w:p w14:paraId="30188943"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70.7%</w:t>
            </w:r>
          </w:p>
        </w:tc>
        <w:tc>
          <w:tcPr>
            <w:tcW w:w="905" w:type="dxa"/>
          </w:tcPr>
          <w:p w14:paraId="1880C1F8" w14:textId="129A15BE" w:rsidR="00DC6517" w:rsidRPr="004D05E9" w:rsidRDefault="002B0CA0" w:rsidP="00DC6517">
            <w:pPr>
              <w:widowControl w:val="0"/>
              <w:overflowPunct w:val="0"/>
              <w:autoSpaceDE w:val="0"/>
              <w:autoSpaceDN w:val="0"/>
              <w:adjustRightInd w:val="0"/>
              <w:jc w:val="center"/>
              <w:rPr>
                <w:rFonts w:cs="Arial"/>
                <w:bCs/>
              </w:rPr>
            </w:pPr>
            <w:r w:rsidRPr="004D05E9">
              <w:rPr>
                <w:rFonts w:cs="Arial"/>
                <w:bCs/>
              </w:rPr>
              <w:t>75.9%</w:t>
            </w:r>
          </w:p>
        </w:tc>
      </w:tr>
      <w:tr w:rsidR="00DC6517" w:rsidRPr="004D05E9" w14:paraId="764A56D5" w14:textId="1E9DF39B" w:rsidTr="002B0CA0">
        <w:trPr>
          <w:cantSplit/>
          <w:trHeight w:val="285"/>
        </w:trPr>
        <w:tc>
          <w:tcPr>
            <w:tcW w:w="2981" w:type="dxa"/>
            <w:hideMark/>
          </w:tcPr>
          <w:p w14:paraId="6B2A2EFB" w14:textId="77777777" w:rsidR="00DC6517" w:rsidRPr="004D05E9" w:rsidRDefault="00DC6517" w:rsidP="00DC6517">
            <w:pPr>
              <w:widowControl w:val="0"/>
              <w:overflowPunct w:val="0"/>
              <w:autoSpaceDE w:val="0"/>
              <w:autoSpaceDN w:val="0"/>
              <w:adjustRightInd w:val="0"/>
              <w:rPr>
                <w:rFonts w:cs="Arial"/>
                <w:bCs/>
              </w:rPr>
            </w:pPr>
            <w:r w:rsidRPr="004D05E9">
              <w:rPr>
                <w:rFonts w:cs="Arial"/>
                <w:bCs/>
              </w:rPr>
              <w:t>Target Met</w:t>
            </w:r>
          </w:p>
        </w:tc>
        <w:tc>
          <w:tcPr>
            <w:tcW w:w="961" w:type="dxa"/>
            <w:hideMark/>
          </w:tcPr>
          <w:p w14:paraId="4C594D9E"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No</w:t>
            </w:r>
          </w:p>
        </w:tc>
        <w:tc>
          <w:tcPr>
            <w:tcW w:w="907" w:type="dxa"/>
            <w:hideMark/>
          </w:tcPr>
          <w:p w14:paraId="190378BF"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Yes</w:t>
            </w:r>
          </w:p>
        </w:tc>
        <w:tc>
          <w:tcPr>
            <w:tcW w:w="907" w:type="dxa"/>
            <w:hideMark/>
          </w:tcPr>
          <w:p w14:paraId="353C02C4"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Yes</w:t>
            </w:r>
          </w:p>
        </w:tc>
        <w:tc>
          <w:tcPr>
            <w:tcW w:w="961" w:type="dxa"/>
            <w:hideMark/>
          </w:tcPr>
          <w:p w14:paraId="5A42E8B3"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Yes</w:t>
            </w:r>
          </w:p>
        </w:tc>
        <w:tc>
          <w:tcPr>
            <w:tcW w:w="907" w:type="dxa"/>
            <w:hideMark/>
          </w:tcPr>
          <w:p w14:paraId="53E61084"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Yes</w:t>
            </w:r>
          </w:p>
        </w:tc>
        <w:tc>
          <w:tcPr>
            <w:tcW w:w="907" w:type="dxa"/>
            <w:hideMark/>
          </w:tcPr>
          <w:p w14:paraId="3C146A99"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No</w:t>
            </w:r>
          </w:p>
        </w:tc>
        <w:tc>
          <w:tcPr>
            <w:tcW w:w="905" w:type="dxa"/>
          </w:tcPr>
          <w:p w14:paraId="2C9730BD" w14:textId="07A9B69F" w:rsidR="00DC6517" w:rsidRPr="004D05E9" w:rsidRDefault="002B0CA0" w:rsidP="00DC6517">
            <w:pPr>
              <w:widowControl w:val="0"/>
              <w:overflowPunct w:val="0"/>
              <w:autoSpaceDE w:val="0"/>
              <w:autoSpaceDN w:val="0"/>
              <w:adjustRightInd w:val="0"/>
              <w:jc w:val="center"/>
              <w:rPr>
                <w:rFonts w:cs="Arial"/>
                <w:bCs/>
              </w:rPr>
            </w:pPr>
            <w:r w:rsidRPr="004D05E9">
              <w:rPr>
                <w:rFonts w:cs="Arial"/>
                <w:bCs/>
              </w:rPr>
              <w:t>Yes</w:t>
            </w:r>
          </w:p>
        </w:tc>
      </w:tr>
      <w:tr w:rsidR="00DC6517" w:rsidRPr="004D05E9" w14:paraId="1F4B7F50" w14:textId="3F359BAD" w:rsidTr="002B0CA0">
        <w:trPr>
          <w:cantSplit/>
          <w:trHeight w:val="586"/>
        </w:trPr>
        <w:tc>
          <w:tcPr>
            <w:tcW w:w="2981" w:type="dxa"/>
            <w:hideMark/>
          </w:tcPr>
          <w:p w14:paraId="1CF20EC2" w14:textId="77777777" w:rsidR="00DC6517" w:rsidRPr="004D05E9" w:rsidRDefault="00DC6517" w:rsidP="00DC6517">
            <w:pPr>
              <w:widowControl w:val="0"/>
              <w:overflowPunct w:val="0"/>
              <w:autoSpaceDE w:val="0"/>
              <w:autoSpaceDN w:val="0"/>
              <w:adjustRightInd w:val="0"/>
              <w:rPr>
                <w:rFonts w:cs="Arial"/>
                <w:bCs/>
              </w:rPr>
            </w:pPr>
            <w:r w:rsidRPr="004D05E9">
              <w:rPr>
                <w:rFonts w:cs="Arial"/>
                <w:bCs/>
              </w:rPr>
              <w:t>14C Target – Any Education/Employment</w:t>
            </w:r>
          </w:p>
        </w:tc>
        <w:tc>
          <w:tcPr>
            <w:tcW w:w="961" w:type="dxa"/>
          </w:tcPr>
          <w:p w14:paraId="0D2CF92E" w14:textId="77777777"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81%</w:t>
            </w:r>
          </w:p>
        </w:tc>
        <w:tc>
          <w:tcPr>
            <w:tcW w:w="907" w:type="dxa"/>
          </w:tcPr>
          <w:p w14:paraId="115FFEE1" w14:textId="77777777"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81%</w:t>
            </w:r>
          </w:p>
        </w:tc>
        <w:tc>
          <w:tcPr>
            <w:tcW w:w="907" w:type="dxa"/>
          </w:tcPr>
          <w:p w14:paraId="2AC1B4D0" w14:textId="77777777"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81%</w:t>
            </w:r>
          </w:p>
        </w:tc>
        <w:tc>
          <w:tcPr>
            <w:tcW w:w="961" w:type="dxa"/>
          </w:tcPr>
          <w:p w14:paraId="64425671" w14:textId="77777777"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81%</w:t>
            </w:r>
          </w:p>
        </w:tc>
        <w:tc>
          <w:tcPr>
            <w:tcW w:w="907" w:type="dxa"/>
          </w:tcPr>
          <w:p w14:paraId="5FFB26CF" w14:textId="77777777"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82%</w:t>
            </w:r>
          </w:p>
        </w:tc>
        <w:tc>
          <w:tcPr>
            <w:tcW w:w="907" w:type="dxa"/>
          </w:tcPr>
          <w:p w14:paraId="410CB368" w14:textId="77777777"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83%</w:t>
            </w:r>
          </w:p>
        </w:tc>
        <w:tc>
          <w:tcPr>
            <w:tcW w:w="905" w:type="dxa"/>
          </w:tcPr>
          <w:p w14:paraId="06A20D99" w14:textId="51DAD86E" w:rsidR="00DC6517" w:rsidRPr="004D05E9" w:rsidRDefault="00DC6517" w:rsidP="00DC6517">
            <w:pPr>
              <w:widowControl w:val="0"/>
              <w:overflowPunct w:val="0"/>
              <w:autoSpaceDE w:val="0"/>
              <w:autoSpaceDN w:val="0"/>
              <w:adjustRightInd w:val="0"/>
              <w:spacing w:before="240"/>
              <w:jc w:val="center"/>
              <w:rPr>
                <w:rFonts w:cs="Arial"/>
                <w:bCs/>
              </w:rPr>
            </w:pPr>
            <w:r w:rsidRPr="004D05E9">
              <w:rPr>
                <w:rFonts w:cs="Arial"/>
                <w:bCs/>
              </w:rPr>
              <w:t>84%</w:t>
            </w:r>
          </w:p>
        </w:tc>
      </w:tr>
      <w:tr w:rsidR="00DC6517" w:rsidRPr="004D05E9" w14:paraId="50F5A6F8" w14:textId="11F06094" w:rsidTr="002B0CA0">
        <w:trPr>
          <w:cantSplit/>
          <w:trHeight w:val="285"/>
        </w:trPr>
        <w:tc>
          <w:tcPr>
            <w:tcW w:w="2981" w:type="dxa"/>
            <w:hideMark/>
          </w:tcPr>
          <w:p w14:paraId="2E5FF46F" w14:textId="77777777" w:rsidR="00DC6517" w:rsidRPr="004D05E9" w:rsidRDefault="00DC6517" w:rsidP="00DC6517">
            <w:pPr>
              <w:widowControl w:val="0"/>
              <w:overflowPunct w:val="0"/>
              <w:autoSpaceDE w:val="0"/>
              <w:autoSpaceDN w:val="0"/>
              <w:adjustRightInd w:val="0"/>
              <w:rPr>
                <w:rFonts w:cs="Arial"/>
                <w:bCs/>
              </w:rPr>
            </w:pPr>
            <w:r w:rsidRPr="004D05E9">
              <w:rPr>
                <w:rFonts w:cs="Arial"/>
                <w:bCs/>
              </w:rPr>
              <w:t>Result</w:t>
            </w:r>
          </w:p>
        </w:tc>
        <w:tc>
          <w:tcPr>
            <w:tcW w:w="961" w:type="dxa"/>
            <w:hideMark/>
          </w:tcPr>
          <w:p w14:paraId="32310E08"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81%</w:t>
            </w:r>
          </w:p>
        </w:tc>
        <w:tc>
          <w:tcPr>
            <w:tcW w:w="907" w:type="dxa"/>
            <w:hideMark/>
          </w:tcPr>
          <w:p w14:paraId="1EF41C3B"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82.1%</w:t>
            </w:r>
          </w:p>
        </w:tc>
        <w:tc>
          <w:tcPr>
            <w:tcW w:w="907" w:type="dxa"/>
            <w:hideMark/>
          </w:tcPr>
          <w:p w14:paraId="15EBB650"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83.2%</w:t>
            </w:r>
          </w:p>
        </w:tc>
        <w:tc>
          <w:tcPr>
            <w:tcW w:w="961" w:type="dxa"/>
            <w:hideMark/>
          </w:tcPr>
          <w:p w14:paraId="0EBDDB5B"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81.7%</w:t>
            </w:r>
          </w:p>
        </w:tc>
        <w:tc>
          <w:tcPr>
            <w:tcW w:w="907" w:type="dxa"/>
            <w:hideMark/>
          </w:tcPr>
          <w:p w14:paraId="2494DFB1"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85.5%</w:t>
            </w:r>
          </w:p>
        </w:tc>
        <w:tc>
          <w:tcPr>
            <w:tcW w:w="907" w:type="dxa"/>
            <w:hideMark/>
          </w:tcPr>
          <w:p w14:paraId="7E565486"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89.3%</w:t>
            </w:r>
          </w:p>
        </w:tc>
        <w:tc>
          <w:tcPr>
            <w:tcW w:w="905" w:type="dxa"/>
          </w:tcPr>
          <w:p w14:paraId="4DB5D7DF" w14:textId="7F402FDD" w:rsidR="00DC6517" w:rsidRPr="004D05E9" w:rsidRDefault="002B0CA0" w:rsidP="00DC6517">
            <w:pPr>
              <w:widowControl w:val="0"/>
              <w:overflowPunct w:val="0"/>
              <w:autoSpaceDE w:val="0"/>
              <w:autoSpaceDN w:val="0"/>
              <w:adjustRightInd w:val="0"/>
              <w:jc w:val="center"/>
              <w:rPr>
                <w:rFonts w:cs="Arial"/>
                <w:bCs/>
              </w:rPr>
            </w:pPr>
            <w:r w:rsidRPr="004D05E9">
              <w:rPr>
                <w:rFonts w:cs="Arial"/>
                <w:bCs/>
              </w:rPr>
              <w:t>94.1%</w:t>
            </w:r>
          </w:p>
        </w:tc>
      </w:tr>
      <w:tr w:rsidR="00DC6517" w:rsidRPr="004D05E9" w14:paraId="56258F49" w14:textId="54275223" w:rsidTr="002B0CA0">
        <w:trPr>
          <w:cantSplit/>
          <w:trHeight w:val="285"/>
        </w:trPr>
        <w:tc>
          <w:tcPr>
            <w:tcW w:w="2981" w:type="dxa"/>
            <w:hideMark/>
          </w:tcPr>
          <w:p w14:paraId="7B134F88" w14:textId="77777777" w:rsidR="00DC6517" w:rsidRPr="004D05E9" w:rsidRDefault="00DC6517" w:rsidP="00DC6517">
            <w:pPr>
              <w:widowControl w:val="0"/>
              <w:overflowPunct w:val="0"/>
              <w:autoSpaceDE w:val="0"/>
              <w:autoSpaceDN w:val="0"/>
              <w:adjustRightInd w:val="0"/>
              <w:rPr>
                <w:rFonts w:cs="Arial"/>
                <w:bCs/>
              </w:rPr>
            </w:pPr>
            <w:r w:rsidRPr="004D05E9">
              <w:rPr>
                <w:rFonts w:cs="Arial"/>
                <w:bCs/>
              </w:rPr>
              <w:t>Target Met</w:t>
            </w:r>
          </w:p>
        </w:tc>
        <w:tc>
          <w:tcPr>
            <w:tcW w:w="961" w:type="dxa"/>
            <w:hideMark/>
          </w:tcPr>
          <w:p w14:paraId="2EDF13A3" w14:textId="77777777" w:rsidR="00DC6517" w:rsidRPr="004D05E9" w:rsidRDefault="00DC6517" w:rsidP="00DC6517">
            <w:pPr>
              <w:jc w:val="center"/>
              <w:rPr>
                <w:rFonts w:ascii="Calibri" w:hAnsi="Calibri"/>
                <w:sz w:val="22"/>
                <w:szCs w:val="22"/>
              </w:rPr>
            </w:pPr>
            <w:r w:rsidRPr="004D05E9">
              <w:rPr>
                <w:rFonts w:cs="Arial"/>
                <w:bCs/>
              </w:rPr>
              <w:t>Yes</w:t>
            </w:r>
          </w:p>
        </w:tc>
        <w:tc>
          <w:tcPr>
            <w:tcW w:w="907" w:type="dxa"/>
            <w:hideMark/>
          </w:tcPr>
          <w:p w14:paraId="3F01182D" w14:textId="77777777" w:rsidR="00DC6517" w:rsidRPr="004D05E9" w:rsidRDefault="00DC6517" w:rsidP="00DC6517">
            <w:pPr>
              <w:jc w:val="center"/>
            </w:pPr>
            <w:r w:rsidRPr="004D05E9">
              <w:rPr>
                <w:rFonts w:cs="Arial"/>
                <w:bCs/>
              </w:rPr>
              <w:t>Yes</w:t>
            </w:r>
          </w:p>
        </w:tc>
        <w:tc>
          <w:tcPr>
            <w:tcW w:w="907" w:type="dxa"/>
            <w:hideMark/>
          </w:tcPr>
          <w:p w14:paraId="28094686" w14:textId="77777777" w:rsidR="00DC6517" w:rsidRPr="004D05E9" w:rsidRDefault="00DC6517" w:rsidP="00DC6517">
            <w:pPr>
              <w:jc w:val="center"/>
            </w:pPr>
            <w:r w:rsidRPr="004D05E9">
              <w:rPr>
                <w:rFonts w:cs="Arial"/>
                <w:bCs/>
              </w:rPr>
              <w:t>Yes</w:t>
            </w:r>
          </w:p>
        </w:tc>
        <w:tc>
          <w:tcPr>
            <w:tcW w:w="961" w:type="dxa"/>
            <w:hideMark/>
          </w:tcPr>
          <w:p w14:paraId="06E343CC"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Yes</w:t>
            </w:r>
          </w:p>
        </w:tc>
        <w:tc>
          <w:tcPr>
            <w:tcW w:w="907" w:type="dxa"/>
            <w:hideMark/>
          </w:tcPr>
          <w:p w14:paraId="57AC96AA"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Yes</w:t>
            </w:r>
          </w:p>
        </w:tc>
        <w:tc>
          <w:tcPr>
            <w:tcW w:w="907" w:type="dxa"/>
            <w:hideMark/>
          </w:tcPr>
          <w:p w14:paraId="131CE262" w14:textId="77777777" w:rsidR="00DC6517" w:rsidRPr="004D05E9" w:rsidRDefault="00DC6517" w:rsidP="00DC6517">
            <w:pPr>
              <w:widowControl w:val="0"/>
              <w:overflowPunct w:val="0"/>
              <w:autoSpaceDE w:val="0"/>
              <w:autoSpaceDN w:val="0"/>
              <w:adjustRightInd w:val="0"/>
              <w:jc w:val="center"/>
              <w:rPr>
                <w:rFonts w:cs="Arial"/>
                <w:bCs/>
              </w:rPr>
            </w:pPr>
            <w:r w:rsidRPr="004D05E9">
              <w:rPr>
                <w:rFonts w:cs="Arial"/>
                <w:bCs/>
              </w:rPr>
              <w:t>Yes</w:t>
            </w:r>
          </w:p>
        </w:tc>
        <w:tc>
          <w:tcPr>
            <w:tcW w:w="905" w:type="dxa"/>
          </w:tcPr>
          <w:p w14:paraId="0386F78A" w14:textId="131E22DD" w:rsidR="00DC6517" w:rsidRPr="004D05E9" w:rsidRDefault="002B0CA0" w:rsidP="00DC6517">
            <w:pPr>
              <w:widowControl w:val="0"/>
              <w:overflowPunct w:val="0"/>
              <w:autoSpaceDE w:val="0"/>
              <w:autoSpaceDN w:val="0"/>
              <w:adjustRightInd w:val="0"/>
              <w:jc w:val="center"/>
              <w:rPr>
                <w:rFonts w:cs="Arial"/>
                <w:bCs/>
              </w:rPr>
            </w:pPr>
            <w:r w:rsidRPr="004D05E9">
              <w:rPr>
                <w:rFonts w:cs="Arial"/>
                <w:bCs/>
              </w:rPr>
              <w:t>Yes</w:t>
            </w:r>
          </w:p>
        </w:tc>
      </w:tr>
    </w:tbl>
    <w:p w14:paraId="79F6BA82" w14:textId="012E8354" w:rsidR="00E77F11" w:rsidRPr="004D05E9" w:rsidRDefault="00E77F11" w:rsidP="1EDAFE73">
      <w:pPr>
        <w:pStyle w:val="Heading2"/>
        <w:tabs>
          <w:tab w:val="center" w:pos="4680"/>
        </w:tabs>
        <w:spacing w:before="3240" w:after="240"/>
        <w:jc w:val="center"/>
      </w:pPr>
      <w:bookmarkStart w:id="162" w:name="_Toc57199100"/>
      <w:r w:rsidRPr="004D05E9">
        <w:lastRenderedPageBreak/>
        <w:t>Indicator 15: Resolution Sessions</w:t>
      </w:r>
      <w:bookmarkEnd w:id="162"/>
    </w:p>
    <w:p w14:paraId="095E0903" w14:textId="77777777" w:rsidR="00E77F11" w:rsidRPr="004D05E9" w:rsidRDefault="00E77F11" w:rsidP="004D7261">
      <w:pPr>
        <w:pStyle w:val="Heading3"/>
        <w:spacing w:after="240"/>
      </w:pPr>
      <w:bookmarkStart w:id="163" w:name="_Toc57199101"/>
      <w:r w:rsidRPr="004D05E9">
        <w:t>Description</w:t>
      </w:r>
      <w:bookmarkEnd w:id="163"/>
    </w:p>
    <w:p w14:paraId="778C6E43" w14:textId="77777777" w:rsidR="00E77F11" w:rsidRPr="004D05E9" w:rsidRDefault="00E77F11" w:rsidP="004D7261">
      <w:pPr>
        <w:spacing w:after="240"/>
        <w:rPr>
          <w:rFonts w:cs="Arial"/>
          <w:b/>
          <w:bCs/>
        </w:rPr>
      </w:pPr>
      <w:r w:rsidRPr="004D05E9">
        <w:rPr>
          <w:rFonts w:cs="Arial"/>
        </w:rPr>
        <w:t xml:space="preserve">Indicator 15 is a performance indicator that measures the percent of due process hearing requests that went to resolution sessions that were resolved through resolution session settlement agreements (20 U.S.C. </w:t>
      </w:r>
      <w:r w:rsidR="002A11EB" w:rsidRPr="004D05E9">
        <w:rPr>
          <w:rFonts w:cs="Arial"/>
        </w:rPr>
        <w:t xml:space="preserve">Section </w:t>
      </w:r>
      <w:r w:rsidRPr="004D05E9">
        <w:rPr>
          <w:rFonts w:cs="Arial"/>
        </w:rPr>
        <w:t>1416[a][3][B]).</w:t>
      </w:r>
    </w:p>
    <w:p w14:paraId="616EE6B1" w14:textId="1D2B4EC4" w:rsidR="00E77F11" w:rsidRPr="004D05E9" w:rsidRDefault="00E77F11" w:rsidP="004D7261">
      <w:pPr>
        <w:pStyle w:val="Heading3"/>
        <w:spacing w:before="0" w:after="240"/>
        <w:rPr>
          <w:rFonts w:cs="Arial"/>
          <w:bCs/>
        </w:rPr>
      </w:pPr>
      <w:bookmarkStart w:id="164" w:name="_Toc57199102"/>
      <w:r w:rsidRPr="004D05E9">
        <w:t>Target for 201</w:t>
      </w:r>
      <w:r w:rsidR="00DC6517" w:rsidRPr="004D05E9">
        <w:t>9</w:t>
      </w:r>
      <w:r w:rsidRPr="004D05E9">
        <w:t>–</w:t>
      </w:r>
      <w:r w:rsidR="00DC6517" w:rsidRPr="004D05E9">
        <w:t>20</w:t>
      </w:r>
      <w:bookmarkEnd w:id="164"/>
    </w:p>
    <w:p w14:paraId="7694F2EF" w14:textId="033111CE" w:rsidR="00E77F11" w:rsidRPr="004D05E9" w:rsidRDefault="004D0347" w:rsidP="004D7261">
      <w:pPr>
        <w:spacing w:after="240"/>
        <w:rPr>
          <w:rFonts w:cs="Arial"/>
        </w:rPr>
      </w:pPr>
      <w:r w:rsidRPr="004D05E9">
        <w:rPr>
          <w:rFonts w:cs="Arial"/>
        </w:rPr>
        <w:t>Sixty</w:t>
      </w:r>
      <w:r w:rsidR="00DC6517" w:rsidRPr="004D05E9">
        <w:rPr>
          <w:rFonts w:cs="Arial"/>
        </w:rPr>
        <w:t>-one</w:t>
      </w:r>
      <w:r w:rsidR="00E77F11" w:rsidRPr="004D05E9">
        <w:rPr>
          <w:rFonts w:cs="Arial"/>
        </w:rPr>
        <w:t xml:space="preserve"> percent of due process hearing requests will be resolved through resolution session settlement agreements.</w:t>
      </w:r>
    </w:p>
    <w:p w14:paraId="4B38A479" w14:textId="77777777" w:rsidR="00E77F11" w:rsidRPr="004D05E9" w:rsidRDefault="00E77F11" w:rsidP="004D7261">
      <w:pPr>
        <w:pStyle w:val="Heading3"/>
        <w:spacing w:before="0" w:after="240"/>
        <w:rPr>
          <w:rFonts w:cs="Arial"/>
          <w:bCs/>
        </w:rPr>
      </w:pPr>
      <w:bookmarkStart w:id="165" w:name="_Toc57199103"/>
      <w:r w:rsidRPr="004D05E9">
        <w:t>Measurement</w:t>
      </w:r>
      <w:bookmarkEnd w:id="165"/>
    </w:p>
    <w:p w14:paraId="570A944A" w14:textId="77777777" w:rsidR="00E77F11" w:rsidRPr="004D05E9" w:rsidRDefault="00E77F11" w:rsidP="004D7261">
      <w:pPr>
        <w:spacing w:after="240"/>
        <w:rPr>
          <w:rFonts w:cs="Arial"/>
          <w:b/>
          <w:bCs/>
        </w:rPr>
      </w:pPr>
      <w:r w:rsidRPr="004D05E9">
        <w:rPr>
          <w:rFonts w:cs="Arial"/>
        </w:rPr>
        <w:t xml:space="preserve">Percent equals </w:t>
      </w:r>
      <w:r w:rsidR="00101CD9" w:rsidRPr="004D05E9">
        <w:rPr>
          <w:rFonts w:cs="Arial"/>
        </w:rPr>
        <w:t>the number of resolution sessions resolved through settlement agreements divided by the number of resolution sessions</w:t>
      </w:r>
      <w:r w:rsidRPr="004D05E9">
        <w:rPr>
          <w:rFonts w:cs="Arial"/>
        </w:rPr>
        <w:t xml:space="preserve"> multiplied by 100.</w:t>
      </w:r>
    </w:p>
    <w:p w14:paraId="4BE7CF05" w14:textId="7645A005" w:rsidR="00E77F11" w:rsidRPr="004D05E9" w:rsidRDefault="00E77F11" w:rsidP="004D7261">
      <w:pPr>
        <w:pStyle w:val="Heading3"/>
        <w:spacing w:before="0" w:after="240"/>
        <w:rPr>
          <w:rFonts w:cs="Arial"/>
          <w:bCs/>
        </w:rPr>
      </w:pPr>
      <w:bookmarkStart w:id="166" w:name="_Toc57199104"/>
      <w:r w:rsidRPr="004D05E9">
        <w:t>Results for 201</w:t>
      </w:r>
      <w:r w:rsidR="00DC6517" w:rsidRPr="004D05E9">
        <w:t>9</w:t>
      </w:r>
      <w:r w:rsidRPr="004D05E9">
        <w:t>–</w:t>
      </w:r>
      <w:r w:rsidR="00DC6517" w:rsidRPr="004D05E9">
        <w:t>20</w:t>
      </w:r>
      <w:bookmarkEnd w:id="166"/>
      <w:r w:rsidRPr="004D05E9">
        <w:t xml:space="preserve"> </w:t>
      </w:r>
    </w:p>
    <w:p w14:paraId="16FDE17D" w14:textId="29E97394" w:rsidR="00E77F11" w:rsidRPr="004D05E9" w:rsidRDefault="00E77F11" w:rsidP="004D7261">
      <w:pPr>
        <w:spacing w:after="240"/>
        <w:rPr>
          <w:rFonts w:cs="Arial"/>
        </w:rPr>
      </w:pPr>
      <w:r w:rsidRPr="004D05E9">
        <w:rPr>
          <w:rFonts w:cs="Arial"/>
          <w:bCs/>
        </w:rPr>
        <w:t>For FFY 201</w:t>
      </w:r>
      <w:r w:rsidR="00DC6517" w:rsidRPr="004D05E9">
        <w:rPr>
          <w:rFonts w:cs="Arial"/>
          <w:bCs/>
        </w:rPr>
        <w:t>9</w:t>
      </w:r>
      <w:r w:rsidRPr="004D05E9">
        <w:rPr>
          <w:rFonts w:cs="Arial"/>
          <w:b/>
          <w:bCs/>
        </w:rPr>
        <w:t xml:space="preserve">, </w:t>
      </w:r>
      <w:r w:rsidR="00DC6517" w:rsidRPr="004D05E9">
        <w:rPr>
          <w:rFonts w:cs="Arial"/>
          <w:bCs/>
        </w:rPr>
        <w:t>25.93</w:t>
      </w:r>
      <w:r w:rsidRPr="004D05E9">
        <w:rPr>
          <w:rFonts w:cs="Arial"/>
        </w:rPr>
        <w:t xml:space="preserve"> percent of hearing requests that went to resolution sessions were resolved through resolution session settlement agreements.</w:t>
      </w:r>
    </w:p>
    <w:p w14:paraId="24C036C1" w14:textId="4F05ED64" w:rsidR="00E77F11" w:rsidRPr="004D05E9" w:rsidRDefault="00E77F11" w:rsidP="004D7261">
      <w:pPr>
        <w:pStyle w:val="Heading3"/>
        <w:spacing w:before="0" w:after="240"/>
      </w:pPr>
      <w:bookmarkStart w:id="167" w:name="_Toc57199105"/>
      <w:r w:rsidRPr="004D05E9">
        <w:t>Target Met: No</w:t>
      </w:r>
      <w:bookmarkEnd w:id="167"/>
    </w:p>
    <w:p w14:paraId="345C9340" w14:textId="377354FE" w:rsidR="00E77F11" w:rsidRPr="004D05E9" w:rsidRDefault="00E77F11" w:rsidP="00E77F11">
      <w:pPr>
        <w:widowControl w:val="0"/>
        <w:overflowPunct w:val="0"/>
        <w:autoSpaceDE w:val="0"/>
        <w:autoSpaceDN w:val="0"/>
        <w:adjustRightInd w:val="0"/>
        <w:rPr>
          <w:rFonts w:cs="Arial"/>
          <w:b/>
          <w:bCs/>
        </w:rPr>
      </w:pPr>
      <w:r w:rsidRPr="004D05E9">
        <w:rPr>
          <w:rFonts w:cs="Arial"/>
          <w:b/>
          <w:bCs/>
        </w:rPr>
        <w:t>Resolution Sessions Targets and Results for FFY</w:t>
      </w:r>
      <w:r w:rsidR="00966FBD" w:rsidRPr="004D05E9">
        <w:rPr>
          <w:rFonts w:cs="Arial"/>
          <w:b/>
          <w:bCs/>
        </w:rPr>
        <w:t>s</w:t>
      </w:r>
      <w:r w:rsidRPr="004D05E9">
        <w:rPr>
          <w:rFonts w:cs="Arial"/>
          <w:b/>
          <w:bCs/>
        </w:rPr>
        <w:t xml:space="preserve"> 2013–1</w:t>
      </w:r>
      <w:r w:rsidR="00DC6517" w:rsidRPr="004D05E9">
        <w:rPr>
          <w:rFonts w:cs="Arial"/>
          <w:b/>
          <w:bCs/>
        </w:rPr>
        <w:t>9</w:t>
      </w:r>
    </w:p>
    <w:tbl>
      <w:tblPr>
        <w:tblStyle w:val="TableGrid15"/>
        <w:tblW w:w="0" w:type="auto"/>
        <w:tblLook w:val="04A0" w:firstRow="1" w:lastRow="0" w:firstColumn="1" w:lastColumn="0" w:noHBand="0" w:noVBand="1"/>
        <w:tblDescription w:val="Indicator 15 Targets and Results"/>
      </w:tblPr>
      <w:tblGrid>
        <w:gridCol w:w="1697"/>
        <w:gridCol w:w="1030"/>
        <w:gridCol w:w="1030"/>
        <w:gridCol w:w="918"/>
        <w:gridCol w:w="990"/>
        <w:gridCol w:w="990"/>
        <w:gridCol w:w="957"/>
        <w:gridCol w:w="897"/>
      </w:tblGrid>
      <w:tr w:rsidR="00DC6517" w:rsidRPr="004D05E9" w14:paraId="771A87AD" w14:textId="144DA60D" w:rsidTr="00DC6517">
        <w:trPr>
          <w:cantSplit/>
          <w:tblHeader/>
        </w:trPr>
        <w:tc>
          <w:tcPr>
            <w:tcW w:w="1697" w:type="dxa"/>
            <w:hideMark/>
          </w:tcPr>
          <w:p w14:paraId="5E89DC95"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Indicator 15</w:t>
            </w:r>
          </w:p>
        </w:tc>
        <w:tc>
          <w:tcPr>
            <w:tcW w:w="1030" w:type="dxa"/>
            <w:hideMark/>
          </w:tcPr>
          <w:p w14:paraId="69E03444"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2013</w:t>
            </w:r>
          </w:p>
        </w:tc>
        <w:tc>
          <w:tcPr>
            <w:tcW w:w="1030" w:type="dxa"/>
            <w:hideMark/>
          </w:tcPr>
          <w:p w14:paraId="5942035F"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2014</w:t>
            </w:r>
          </w:p>
        </w:tc>
        <w:tc>
          <w:tcPr>
            <w:tcW w:w="918" w:type="dxa"/>
            <w:hideMark/>
          </w:tcPr>
          <w:p w14:paraId="54883837"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2015</w:t>
            </w:r>
          </w:p>
        </w:tc>
        <w:tc>
          <w:tcPr>
            <w:tcW w:w="990" w:type="dxa"/>
            <w:hideMark/>
          </w:tcPr>
          <w:p w14:paraId="08E1749E"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2016</w:t>
            </w:r>
          </w:p>
        </w:tc>
        <w:tc>
          <w:tcPr>
            <w:tcW w:w="990" w:type="dxa"/>
            <w:hideMark/>
          </w:tcPr>
          <w:p w14:paraId="4C4394AF"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2017</w:t>
            </w:r>
          </w:p>
        </w:tc>
        <w:tc>
          <w:tcPr>
            <w:tcW w:w="957" w:type="dxa"/>
            <w:hideMark/>
          </w:tcPr>
          <w:p w14:paraId="57ABDBC2"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2018</w:t>
            </w:r>
          </w:p>
        </w:tc>
        <w:tc>
          <w:tcPr>
            <w:tcW w:w="897" w:type="dxa"/>
          </w:tcPr>
          <w:p w14:paraId="01E7EC56" w14:textId="37E40AB5"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2019</w:t>
            </w:r>
          </w:p>
        </w:tc>
      </w:tr>
      <w:tr w:rsidR="00DC6517" w:rsidRPr="004D05E9" w14:paraId="0ADC872A" w14:textId="396247C7" w:rsidTr="00DC6517">
        <w:trPr>
          <w:cantSplit/>
        </w:trPr>
        <w:tc>
          <w:tcPr>
            <w:tcW w:w="1697" w:type="dxa"/>
            <w:hideMark/>
          </w:tcPr>
          <w:p w14:paraId="4FD3EEC2"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Target</w:t>
            </w:r>
          </w:p>
        </w:tc>
        <w:tc>
          <w:tcPr>
            <w:tcW w:w="1030" w:type="dxa"/>
            <w:hideMark/>
          </w:tcPr>
          <w:p w14:paraId="107B6C82"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55%</w:t>
            </w:r>
          </w:p>
        </w:tc>
        <w:tc>
          <w:tcPr>
            <w:tcW w:w="1030" w:type="dxa"/>
            <w:hideMark/>
          </w:tcPr>
          <w:p w14:paraId="69FE7D82"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56%</w:t>
            </w:r>
          </w:p>
        </w:tc>
        <w:tc>
          <w:tcPr>
            <w:tcW w:w="918" w:type="dxa"/>
            <w:hideMark/>
          </w:tcPr>
          <w:p w14:paraId="6321CC9A"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57%</w:t>
            </w:r>
          </w:p>
        </w:tc>
        <w:tc>
          <w:tcPr>
            <w:tcW w:w="990" w:type="dxa"/>
            <w:hideMark/>
          </w:tcPr>
          <w:p w14:paraId="22B30AC3"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58%</w:t>
            </w:r>
          </w:p>
        </w:tc>
        <w:tc>
          <w:tcPr>
            <w:tcW w:w="990" w:type="dxa"/>
            <w:hideMark/>
          </w:tcPr>
          <w:p w14:paraId="49B09403"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59%</w:t>
            </w:r>
          </w:p>
        </w:tc>
        <w:tc>
          <w:tcPr>
            <w:tcW w:w="957" w:type="dxa"/>
            <w:hideMark/>
          </w:tcPr>
          <w:p w14:paraId="162B0146"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60%</w:t>
            </w:r>
          </w:p>
        </w:tc>
        <w:tc>
          <w:tcPr>
            <w:tcW w:w="897" w:type="dxa"/>
          </w:tcPr>
          <w:p w14:paraId="0A688167" w14:textId="4BD8B2C5"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61%</w:t>
            </w:r>
          </w:p>
        </w:tc>
      </w:tr>
      <w:tr w:rsidR="00DC6517" w:rsidRPr="004D05E9" w14:paraId="377AF987" w14:textId="66390A4F" w:rsidTr="00DC6517">
        <w:trPr>
          <w:cantSplit/>
        </w:trPr>
        <w:tc>
          <w:tcPr>
            <w:tcW w:w="1697" w:type="dxa"/>
            <w:hideMark/>
          </w:tcPr>
          <w:p w14:paraId="493A1A98"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Result</w:t>
            </w:r>
          </w:p>
        </w:tc>
        <w:tc>
          <w:tcPr>
            <w:tcW w:w="1030" w:type="dxa"/>
            <w:hideMark/>
          </w:tcPr>
          <w:p w14:paraId="551B05DF"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32.7%</w:t>
            </w:r>
          </w:p>
        </w:tc>
        <w:tc>
          <w:tcPr>
            <w:tcW w:w="1030" w:type="dxa"/>
            <w:hideMark/>
          </w:tcPr>
          <w:p w14:paraId="08BD0EE3"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30.2%</w:t>
            </w:r>
          </w:p>
        </w:tc>
        <w:tc>
          <w:tcPr>
            <w:tcW w:w="918" w:type="dxa"/>
            <w:hideMark/>
          </w:tcPr>
          <w:p w14:paraId="57F0C9E5"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32.1%</w:t>
            </w:r>
          </w:p>
        </w:tc>
        <w:tc>
          <w:tcPr>
            <w:tcW w:w="990" w:type="dxa"/>
            <w:hideMark/>
          </w:tcPr>
          <w:p w14:paraId="4B7E2F35"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31.2%</w:t>
            </w:r>
          </w:p>
        </w:tc>
        <w:tc>
          <w:tcPr>
            <w:tcW w:w="990" w:type="dxa"/>
            <w:hideMark/>
          </w:tcPr>
          <w:p w14:paraId="42E5D600"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24.1%</w:t>
            </w:r>
          </w:p>
        </w:tc>
        <w:tc>
          <w:tcPr>
            <w:tcW w:w="957" w:type="dxa"/>
            <w:hideMark/>
          </w:tcPr>
          <w:p w14:paraId="064F9E5D"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21.9%</w:t>
            </w:r>
          </w:p>
        </w:tc>
        <w:tc>
          <w:tcPr>
            <w:tcW w:w="897" w:type="dxa"/>
          </w:tcPr>
          <w:p w14:paraId="354D53E3" w14:textId="33A9A041"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25.9%</w:t>
            </w:r>
          </w:p>
        </w:tc>
      </w:tr>
      <w:tr w:rsidR="00DC6517" w:rsidRPr="004D05E9" w14:paraId="08972CA1" w14:textId="72980779" w:rsidTr="00DC6517">
        <w:trPr>
          <w:cantSplit/>
        </w:trPr>
        <w:tc>
          <w:tcPr>
            <w:tcW w:w="1697" w:type="dxa"/>
            <w:hideMark/>
          </w:tcPr>
          <w:p w14:paraId="03C37C2D"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Target Met</w:t>
            </w:r>
          </w:p>
        </w:tc>
        <w:tc>
          <w:tcPr>
            <w:tcW w:w="1030" w:type="dxa"/>
            <w:hideMark/>
          </w:tcPr>
          <w:p w14:paraId="7D7F6C70"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No</w:t>
            </w:r>
          </w:p>
        </w:tc>
        <w:tc>
          <w:tcPr>
            <w:tcW w:w="1030" w:type="dxa"/>
            <w:hideMark/>
          </w:tcPr>
          <w:p w14:paraId="1C6FF755"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No</w:t>
            </w:r>
          </w:p>
        </w:tc>
        <w:tc>
          <w:tcPr>
            <w:tcW w:w="918" w:type="dxa"/>
            <w:hideMark/>
          </w:tcPr>
          <w:p w14:paraId="0E702810"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No</w:t>
            </w:r>
          </w:p>
        </w:tc>
        <w:tc>
          <w:tcPr>
            <w:tcW w:w="990" w:type="dxa"/>
            <w:hideMark/>
          </w:tcPr>
          <w:p w14:paraId="7FBD996B"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No</w:t>
            </w:r>
          </w:p>
        </w:tc>
        <w:tc>
          <w:tcPr>
            <w:tcW w:w="990" w:type="dxa"/>
            <w:hideMark/>
          </w:tcPr>
          <w:p w14:paraId="27B39323"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No</w:t>
            </w:r>
          </w:p>
        </w:tc>
        <w:tc>
          <w:tcPr>
            <w:tcW w:w="957" w:type="dxa"/>
            <w:hideMark/>
          </w:tcPr>
          <w:p w14:paraId="2F206388"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No</w:t>
            </w:r>
          </w:p>
        </w:tc>
        <w:tc>
          <w:tcPr>
            <w:tcW w:w="897" w:type="dxa"/>
          </w:tcPr>
          <w:p w14:paraId="4D63AF42" w14:textId="7606461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No</w:t>
            </w:r>
          </w:p>
        </w:tc>
      </w:tr>
    </w:tbl>
    <w:p w14:paraId="2A97D642" w14:textId="77777777" w:rsidR="00E77F11" w:rsidRPr="004D05E9" w:rsidRDefault="00E77F11" w:rsidP="004D7261">
      <w:pPr>
        <w:pStyle w:val="Heading2"/>
        <w:spacing w:before="4560" w:after="240"/>
        <w:jc w:val="center"/>
      </w:pPr>
      <w:bookmarkStart w:id="168" w:name="_Toc57199106"/>
      <w:r w:rsidRPr="004D05E9">
        <w:lastRenderedPageBreak/>
        <w:t>Indicator 16: Mediation</w:t>
      </w:r>
      <w:bookmarkEnd w:id="168"/>
    </w:p>
    <w:p w14:paraId="1E037D8B" w14:textId="77777777" w:rsidR="00E77F11" w:rsidRPr="004D05E9" w:rsidRDefault="00E77F11" w:rsidP="004D7261">
      <w:pPr>
        <w:pStyle w:val="Heading3"/>
        <w:spacing w:before="0" w:after="240"/>
        <w:rPr>
          <w:rFonts w:cs="Arial"/>
          <w:bCs/>
        </w:rPr>
      </w:pPr>
      <w:bookmarkStart w:id="169" w:name="_Toc57199107"/>
      <w:r w:rsidRPr="004D05E9">
        <w:t>Description</w:t>
      </w:r>
      <w:bookmarkEnd w:id="169"/>
    </w:p>
    <w:p w14:paraId="06F3EFA0" w14:textId="77777777" w:rsidR="00E77F11" w:rsidRPr="004D05E9" w:rsidRDefault="00E77F11" w:rsidP="004D7261">
      <w:pPr>
        <w:spacing w:after="240"/>
        <w:rPr>
          <w:rFonts w:cs="Arial"/>
        </w:rPr>
      </w:pPr>
      <w:r w:rsidRPr="004D05E9">
        <w:rPr>
          <w:rFonts w:cs="Arial"/>
        </w:rPr>
        <w:t xml:space="preserve">Indicator 16 is a performance indicator that measures the percent of mediations held that resulted in mediation agreements (20 U.S.C. </w:t>
      </w:r>
      <w:r w:rsidR="002A11EB" w:rsidRPr="004D05E9">
        <w:rPr>
          <w:rFonts w:cs="Arial"/>
        </w:rPr>
        <w:t xml:space="preserve">Section </w:t>
      </w:r>
      <w:r w:rsidRPr="004D05E9">
        <w:rPr>
          <w:rFonts w:cs="Arial"/>
        </w:rPr>
        <w:t>1416[a][3][B]).</w:t>
      </w:r>
    </w:p>
    <w:p w14:paraId="573C9475" w14:textId="7EB3EF28" w:rsidR="00E77F11" w:rsidRPr="004D05E9" w:rsidRDefault="00E77F11" w:rsidP="004D7261">
      <w:pPr>
        <w:pStyle w:val="Heading3"/>
        <w:spacing w:before="0" w:after="240"/>
      </w:pPr>
      <w:bookmarkStart w:id="170" w:name="_Toc57199108"/>
      <w:r w:rsidRPr="004D05E9">
        <w:t>Target for 201</w:t>
      </w:r>
      <w:r w:rsidR="00DC6517" w:rsidRPr="004D05E9">
        <w:t>9</w:t>
      </w:r>
      <w:r w:rsidRPr="004D05E9">
        <w:t>–</w:t>
      </w:r>
      <w:r w:rsidR="00DC6517" w:rsidRPr="004D05E9">
        <w:t>20</w:t>
      </w:r>
      <w:bookmarkEnd w:id="170"/>
    </w:p>
    <w:p w14:paraId="4A182358" w14:textId="04668F5D" w:rsidR="00E77F11" w:rsidRPr="004D05E9" w:rsidRDefault="004D0347" w:rsidP="004D7261">
      <w:pPr>
        <w:spacing w:after="240"/>
        <w:rPr>
          <w:rFonts w:cs="Arial"/>
        </w:rPr>
      </w:pPr>
      <w:r w:rsidRPr="004D05E9">
        <w:rPr>
          <w:rFonts w:cs="Arial"/>
        </w:rPr>
        <w:t>Sixty</w:t>
      </w:r>
      <w:r w:rsidR="00DC6517" w:rsidRPr="004D05E9">
        <w:rPr>
          <w:rFonts w:cs="Arial"/>
        </w:rPr>
        <w:t>-one</w:t>
      </w:r>
      <w:r w:rsidR="00E77F11" w:rsidRPr="004D05E9">
        <w:rPr>
          <w:rFonts w:cs="Arial"/>
        </w:rPr>
        <w:t xml:space="preserve"> percent of mediation conferences will result in mediation agreements.</w:t>
      </w:r>
    </w:p>
    <w:p w14:paraId="1B10D4D1" w14:textId="77777777" w:rsidR="00E77F11" w:rsidRPr="004D05E9" w:rsidRDefault="00E77F11" w:rsidP="004D7261">
      <w:pPr>
        <w:pStyle w:val="Heading3"/>
        <w:spacing w:before="0" w:after="240"/>
        <w:rPr>
          <w:rFonts w:cs="Arial"/>
        </w:rPr>
      </w:pPr>
      <w:bookmarkStart w:id="171" w:name="_Toc57199109"/>
      <w:r w:rsidRPr="004D05E9">
        <w:t>Measurement</w:t>
      </w:r>
      <w:bookmarkEnd w:id="171"/>
    </w:p>
    <w:p w14:paraId="6FC11457" w14:textId="77777777" w:rsidR="00E77F11" w:rsidRPr="004D05E9" w:rsidRDefault="00101CD9" w:rsidP="004D7261">
      <w:pPr>
        <w:spacing w:after="240"/>
        <w:rPr>
          <w:rFonts w:cs="Arial"/>
        </w:rPr>
      </w:pPr>
      <w:r w:rsidRPr="004D05E9">
        <w:rPr>
          <w:rFonts w:cs="Arial"/>
        </w:rPr>
        <w:t xml:space="preserve">Percent equals mediation agreements related to due process complaints </w:t>
      </w:r>
      <w:r w:rsidR="00AF459B" w:rsidRPr="004D05E9">
        <w:rPr>
          <w:rFonts w:cs="Arial"/>
        </w:rPr>
        <w:t>plus</w:t>
      </w:r>
      <w:r w:rsidR="00E77F11" w:rsidRPr="004D05E9">
        <w:rPr>
          <w:rFonts w:cs="Arial"/>
        </w:rPr>
        <w:t xml:space="preserve"> </w:t>
      </w:r>
      <w:r w:rsidRPr="004D05E9">
        <w:rPr>
          <w:rFonts w:cs="Arial"/>
        </w:rPr>
        <w:t>mediation agreements not related to due process complaints</w:t>
      </w:r>
      <w:r w:rsidR="00E77F11" w:rsidRPr="004D05E9">
        <w:rPr>
          <w:rFonts w:cs="Arial"/>
        </w:rPr>
        <w:t xml:space="preserve"> divided by </w:t>
      </w:r>
      <w:r w:rsidRPr="004D05E9">
        <w:rPr>
          <w:rFonts w:cs="Arial"/>
        </w:rPr>
        <w:t>number of mediations held,</w:t>
      </w:r>
      <w:r w:rsidR="00E77F11" w:rsidRPr="004D05E9">
        <w:rPr>
          <w:rFonts w:cs="Arial"/>
        </w:rPr>
        <w:t xml:space="preserve"> multiplied by 100.</w:t>
      </w:r>
    </w:p>
    <w:p w14:paraId="5D363335" w14:textId="210AE79A" w:rsidR="00E77F11" w:rsidRPr="004D05E9" w:rsidRDefault="00E77F11" w:rsidP="004D7261">
      <w:pPr>
        <w:pStyle w:val="Heading3"/>
        <w:spacing w:before="0" w:after="240"/>
        <w:rPr>
          <w:rFonts w:cs="Arial"/>
          <w:bCs/>
        </w:rPr>
      </w:pPr>
      <w:bookmarkStart w:id="172" w:name="_Toc57199110"/>
      <w:r w:rsidRPr="004D05E9">
        <w:t>Results for 201</w:t>
      </w:r>
      <w:r w:rsidR="00DC6517" w:rsidRPr="004D05E9">
        <w:t>9</w:t>
      </w:r>
      <w:r w:rsidRPr="004D05E9">
        <w:t>–</w:t>
      </w:r>
      <w:r w:rsidR="00DC6517" w:rsidRPr="004D05E9">
        <w:t>20</w:t>
      </w:r>
      <w:bookmarkEnd w:id="172"/>
    </w:p>
    <w:p w14:paraId="03575DC9" w14:textId="0DC308C9" w:rsidR="00E77F11" w:rsidRPr="004D05E9" w:rsidRDefault="00E77F11" w:rsidP="004D7261">
      <w:pPr>
        <w:spacing w:after="240"/>
        <w:rPr>
          <w:rFonts w:cs="Arial"/>
          <w:bCs/>
        </w:rPr>
      </w:pPr>
      <w:r w:rsidRPr="004D05E9">
        <w:rPr>
          <w:rFonts w:cs="Arial"/>
          <w:bCs/>
        </w:rPr>
        <w:t>For FFY 201</w:t>
      </w:r>
      <w:r w:rsidR="00DC6517" w:rsidRPr="004D05E9">
        <w:rPr>
          <w:rFonts w:cs="Arial"/>
          <w:bCs/>
        </w:rPr>
        <w:t>9</w:t>
      </w:r>
      <w:r w:rsidRPr="004D05E9">
        <w:rPr>
          <w:rFonts w:cs="Arial"/>
          <w:bCs/>
        </w:rPr>
        <w:t xml:space="preserve">, </w:t>
      </w:r>
      <w:r w:rsidR="00DC6517" w:rsidRPr="004D05E9">
        <w:rPr>
          <w:rFonts w:cs="Arial"/>
          <w:bCs/>
        </w:rPr>
        <w:t>53.19</w:t>
      </w:r>
      <w:r w:rsidRPr="004D05E9">
        <w:rPr>
          <w:rFonts w:cs="Arial"/>
          <w:bCs/>
        </w:rPr>
        <w:t xml:space="preserve"> percent of mediation conferences resulted in mediation agreements.</w:t>
      </w:r>
    </w:p>
    <w:p w14:paraId="49B5A037" w14:textId="34F2BBBB" w:rsidR="00E77F11" w:rsidRPr="004D05E9" w:rsidRDefault="00E77F11" w:rsidP="004D7261">
      <w:pPr>
        <w:pStyle w:val="Heading3"/>
        <w:spacing w:before="0" w:after="240"/>
      </w:pPr>
      <w:bookmarkStart w:id="173" w:name="_Toc57199111"/>
      <w:r w:rsidRPr="004D05E9">
        <w:t xml:space="preserve">Target Met: </w:t>
      </w:r>
      <w:r w:rsidR="00DC6517" w:rsidRPr="004D05E9">
        <w:t>No</w:t>
      </w:r>
      <w:bookmarkEnd w:id="173"/>
    </w:p>
    <w:p w14:paraId="6B4D75B3" w14:textId="55A494E5" w:rsidR="00E77F11" w:rsidRPr="004D05E9" w:rsidRDefault="00E77F11" w:rsidP="00E77F11">
      <w:pPr>
        <w:widowControl w:val="0"/>
        <w:overflowPunct w:val="0"/>
        <w:autoSpaceDE w:val="0"/>
        <w:autoSpaceDN w:val="0"/>
        <w:adjustRightInd w:val="0"/>
        <w:rPr>
          <w:rFonts w:cs="Arial"/>
          <w:b/>
          <w:bCs/>
        </w:rPr>
      </w:pPr>
      <w:r w:rsidRPr="004D05E9">
        <w:rPr>
          <w:rFonts w:cs="Arial"/>
          <w:b/>
          <w:bCs/>
        </w:rPr>
        <w:t>Mediation Targets and Results for FFY</w:t>
      </w:r>
      <w:r w:rsidR="00966FBD" w:rsidRPr="004D05E9">
        <w:rPr>
          <w:rFonts w:cs="Arial"/>
          <w:b/>
          <w:bCs/>
        </w:rPr>
        <w:t>s</w:t>
      </w:r>
      <w:r w:rsidRPr="004D05E9">
        <w:rPr>
          <w:rFonts w:cs="Arial"/>
          <w:b/>
          <w:bCs/>
        </w:rPr>
        <w:t xml:space="preserve"> 2013–1</w:t>
      </w:r>
      <w:r w:rsidR="00DC6517" w:rsidRPr="004D05E9">
        <w:rPr>
          <w:rFonts w:cs="Arial"/>
          <w:b/>
          <w:bCs/>
        </w:rPr>
        <w:t>9</w:t>
      </w:r>
    </w:p>
    <w:tbl>
      <w:tblPr>
        <w:tblStyle w:val="TableGrid16"/>
        <w:tblW w:w="0" w:type="auto"/>
        <w:tblLook w:val="04A0" w:firstRow="1" w:lastRow="0" w:firstColumn="1" w:lastColumn="0" w:noHBand="0" w:noVBand="1"/>
        <w:tblDescription w:val="Indicator 16 Targets and Results"/>
      </w:tblPr>
      <w:tblGrid>
        <w:gridCol w:w="1697"/>
        <w:gridCol w:w="1030"/>
        <w:gridCol w:w="1030"/>
        <w:gridCol w:w="1164"/>
        <w:gridCol w:w="897"/>
        <w:gridCol w:w="897"/>
        <w:gridCol w:w="897"/>
        <w:gridCol w:w="897"/>
      </w:tblGrid>
      <w:tr w:rsidR="00DC6517" w:rsidRPr="004D05E9" w14:paraId="37D9469E" w14:textId="034E980A" w:rsidTr="00DC6517">
        <w:trPr>
          <w:cantSplit/>
          <w:tblHeader/>
        </w:trPr>
        <w:tc>
          <w:tcPr>
            <w:tcW w:w="1697" w:type="dxa"/>
            <w:hideMark/>
          </w:tcPr>
          <w:p w14:paraId="15A939DC"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Indicator 16</w:t>
            </w:r>
          </w:p>
        </w:tc>
        <w:tc>
          <w:tcPr>
            <w:tcW w:w="1030" w:type="dxa"/>
            <w:hideMark/>
          </w:tcPr>
          <w:p w14:paraId="181D5AB5"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2013</w:t>
            </w:r>
          </w:p>
        </w:tc>
        <w:tc>
          <w:tcPr>
            <w:tcW w:w="1030" w:type="dxa"/>
            <w:hideMark/>
          </w:tcPr>
          <w:p w14:paraId="392D848E"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2014</w:t>
            </w:r>
          </w:p>
        </w:tc>
        <w:tc>
          <w:tcPr>
            <w:tcW w:w="1164" w:type="dxa"/>
            <w:hideMark/>
          </w:tcPr>
          <w:p w14:paraId="22431B46"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2015</w:t>
            </w:r>
          </w:p>
        </w:tc>
        <w:tc>
          <w:tcPr>
            <w:tcW w:w="897" w:type="dxa"/>
            <w:hideMark/>
          </w:tcPr>
          <w:p w14:paraId="0379FE30"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2016</w:t>
            </w:r>
          </w:p>
        </w:tc>
        <w:tc>
          <w:tcPr>
            <w:tcW w:w="897" w:type="dxa"/>
            <w:hideMark/>
          </w:tcPr>
          <w:p w14:paraId="7A191BED"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2017</w:t>
            </w:r>
          </w:p>
        </w:tc>
        <w:tc>
          <w:tcPr>
            <w:tcW w:w="897" w:type="dxa"/>
            <w:hideMark/>
          </w:tcPr>
          <w:p w14:paraId="30513E8C" w14:textId="77777777"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2018</w:t>
            </w:r>
          </w:p>
        </w:tc>
        <w:tc>
          <w:tcPr>
            <w:tcW w:w="897" w:type="dxa"/>
          </w:tcPr>
          <w:p w14:paraId="792B7C6A" w14:textId="6FA431FB" w:rsidR="00DC6517" w:rsidRPr="004D05E9" w:rsidRDefault="00DC6517" w:rsidP="00E77F11">
            <w:pPr>
              <w:widowControl w:val="0"/>
              <w:overflowPunct w:val="0"/>
              <w:autoSpaceDE w:val="0"/>
              <w:autoSpaceDN w:val="0"/>
              <w:adjustRightInd w:val="0"/>
              <w:jc w:val="center"/>
              <w:rPr>
                <w:rFonts w:cs="Arial"/>
                <w:b/>
                <w:bCs/>
              </w:rPr>
            </w:pPr>
            <w:r w:rsidRPr="004D05E9">
              <w:rPr>
                <w:rFonts w:cs="Arial"/>
                <w:b/>
                <w:bCs/>
              </w:rPr>
              <w:t>2019</w:t>
            </w:r>
          </w:p>
        </w:tc>
      </w:tr>
      <w:tr w:rsidR="00DC6517" w:rsidRPr="004D05E9" w14:paraId="29905520" w14:textId="1450E4FA" w:rsidTr="00DC6517">
        <w:trPr>
          <w:cantSplit/>
        </w:trPr>
        <w:tc>
          <w:tcPr>
            <w:tcW w:w="1697" w:type="dxa"/>
            <w:hideMark/>
          </w:tcPr>
          <w:p w14:paraId="2576F95C"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Target</w:t>
            </w:r>
          </w:p>
        </w:tc>
        <w:tc>
          <w:tcPr>
            <w:tcW w:w="1030" w:type="dxa"/>
            <w:hideMark/>
          </w:tcPr>
          <w:p w14:paraId="60490FB8"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55%</w:t>
            </w:r>
          </w:p>
        </w:tc>
        <w:tc>
          <w:tcPr>
            <w:tcW w:w="1030" w:type="dxa"/>
            <w:hideMark/>
          </w:tcPr>
          <w:p w14:paraId="6DECE2C1"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56%</w:t>
            </w:r>
          </w:p>
        </w:tc>
        <w:tc>
          <w:tcPr>
            <w:tcW w:w="1164" w:type="dxa"/>
            <w:hideMark/>
          </w:tcPr>
          <w:p w14:paraId="33C3E8F2"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57%</w:t>
            </w:r>
          </w:p>
        </w:tc>
        <w:tc>
          <w:tcPr>
            <w:tcW w:w="897" w:type="dxa"/>
            <w:hideMark/>
          </w:tcPr>
          <w:p w14:paraId="7DCC55DD"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58%</w:t>
            </w:r>
          </w:p>
        </w:tc>
        <w:tc>
          <w:tcPr>
            <w:tcW w:w="897" w:type="dxa"/>
            <w:hideMark/>
          </w:tcPr>
          <w:p w14:paraId="23070A34"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59%</w:t>
            </w:r>
          </w:p>
        </w:tc>
        <w:tc>
          <w:tcPr>
            <w:tcW w:w="897" w:type="dxa"/>
            <w:hideMark/>
          </w:tcPr>
          <w:p w14:paraId="601F3DBD"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60%</w:t>
            </w:r>
          </w:p>
        </w:tc>
        <w:tc>
          <w:tcPr>
            <w:tcW w:w="897" w:type="dxa"/>
          </w:tcPr>
          <w:p w14:paraId="7E6CF59A" w14:textId="5860387B"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61%</w:t>
            </w:r>
          </w:p>
        </w:tc>
      </w:tr>
      <w:tr w:rsidR="00DC6517" w:rsidRPr="004D05E9" w14:paraId="07EA76D4" w14:textId="35170A49" w:rsidTr="00DC6517">
        <w:trPr>
          <w:cantSplit/>
        </w:trPr>
        <w:tc>
          <w:tcPr>
            <w:tcW w:w="1697" w:type="dxa"/>
            <w:hideMark/>
          </w:tcPr>
          <w:p w14:paraId="211E81D2"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Result</w:t>
            </w:r>
          </w:p>
        </w:tc>
        <w:tc>
          <w:tcPr>
            <w:tcW w:w="1030" w:type="dxa"/>
            <w:hideMark/>
          </w:tcPr>
          <w:p w14:paraId="2A671CEC"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65.1%</w:t>
            </w:r>
          </w:p>
        </w:tc>
        <w:tc>
          <w:tcPr>
            <w:tcW w:w="1030" w:type="dxa"/>
            <w:hideMark/>
          </w:tcPr>
          <w:p w14:paraId="50CD5616"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62.6%</w:t>
            </w:r>
          </w:p>
        </w:tc>
        <w:tc>
          <w:tcPr>
            <w:tcW w:w="1164" w:type="dxa"/>
            <w:hideMark/>
          </w:tcPr>
          <w:p w14:paraId="706C675A"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60.0%</w:t>
            </w:r>
          </w:p>
        </w:tc>
        <w:tc>
          <w:tcPr>
            <w:tcW w:w="897" w:type="dxa"/>
            <w:hideMark/>
          </w:tcPr>
          <w:p w14:paraId="09C5CDFA"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53.6%</w:t>
            </w:r>
          </w:p>
        </w:tc>
        <w:tc>
          <w:tcPr>
            <w:tcW w:w="897" w:type="dxa"/>
            <w:hideMark/>
          </w:tcPr>
          <w:p w14:paraId="047BA10D"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57.8%</w:t>
            </w:r>
          </w:p>
        </w:tc>
        <w:tc>
          <w:tcPr>
            <w:tcW w:w="897" w:type="dxa"/>
            <w:hideMark/>
          </w:tcPr>
          <w:p w14:paraId="15DE302A"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62.1%</w:t>
            </w:r>
          </w:p>
        </w:tc>
        <w:tc>
          <w:tcPr>
            <w:tcW w:w="897" w:type="dxa"/>
          </w:tcPr>
          <w:p w14:paraId="4FF25761" w14:textId="6D2B726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53.1%</w:t>
            </w:r>
          </w:p>
        </w:tc>
      </w:tr>
      <w:tr w:rsidR="00DC6517" w:rsidRPr="004D05E9" w14:paraId="4075FAD3" w14:textId="1F0EFB4F" w:rsidTr="00DC6517">
        <w:trPr>
          <w:cantSplit/>
        </w:trPr>
        <w:tc>
          <w:tcPr>
            <w:tcW w:w="1697" w:type="dxa"/>
            <w:hideMark/>
          </w:tcPr>
          <w:p w14:paraId="48DD6600"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Target Met</w:t>
            </w:r>
          </w:p>
        </w:tc>
        <w:tc>
          <w:tcPr>
            <w:tcW w:w="1030" w:type="dxa"/>
            <w:hideMark/>
          </w:tcPr>
          <w:p w14:paraId="709EF6AC"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Yes</w:t>
            </w:r>
          </w:p>
        </w:tc>
        <w:tc>
          <w:tcPr>
            <w:tcW w:w="1030" w:type="dxa"/>
            <w:hideMark/>
          </w:tcPr>
          <w:p w14:paraId="1D6A1B2C"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Yes</w:t>
            </w:r>
          </w:p>
        </w:tc>
        <w:tc>
          <w:tcPr>
            <w:tcW w:w="1164" w:type="dxa"/>
            <w:hideMark/>
          </w:tcPr>
          <w:p w14:paraId="0AA1360A"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Yes</w:t>
            </w:r>
          </w:p>
        </w:tc>
        <w:tc>
          <w:tcPr>
            <w:tcW w:w="897" w:type="dxa"/>
            <w:hideMark/>
          </w:tcPr>
          <w:p w14:paraId="65A2C2F2"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No</w:t>
            </w:r>
          </w:p>
        </w:tc>
        <w:tc>
          <w:tcPr>
            <w:tcW w:w="897" w:type="dxa"/>
            <w:hideMark/>
          </w:tcPr>
          <w:p w14:paraId="301DA94A"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No</w:t>
            </w:r>
          </w:p>
        </w:tc>
        <w:tc>
          <w:tcPr>
            <w:tcW w:w="897" w:type="dxa"/>
            <w:hideMark/>
          </w:tcPr>
          <w:p w14:paraId="7CF43A85" w14:textId="77777777"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Yes</w:t>
            </w:r>
          </w:p>
        </w:tc>
        <w:tc>
          <w:tcPr>
            <w:tcW w:w="897" w:type="dxa"/>
          </w:tcPr>
          <w:p w14:paraId="1CCBBBBA" w14:textId="5BE24104" w:rsidR="00DC6517" w:rsidRPr="004D05E9" w:rsidRDefault="00DC6517" w:rsidP="00E77F11">
            <w:pPr>
              <w:widowControl w:val="0"/>
              <w:overflowPunct w:val="0"/>
              <w:autoSpaceDE w:val="0"/>
              <w:autoSpaceDN w:val="0"/>
              <w:adjustRightInd w:val="0"/>
              <w:jc w:val="center"/>
              <w:rPr>
                <w:rFonts w:cs="Arial"/>
                <w:bCs/>
              </w:rPr>
            </w:pPr>
            <w:r w:rsidRPr="004D05E9">
              <w:rPr>
                <w:rFonts w:cs="Arial"/>
                <w:bCs/>
              </w:rPr>
              <w:t>No</w:t>
            </w:r>
          </w:p>
        </w:tc>
      </w:tr>
    </w:tbl>
    <w:p w14:paraId="092449E5" w14:textId="2FCC6787" w:rsidR="00E77F11" w:rsidRPr="004D05E9" w:rsidRDefault="00E77F11" w:rsidP="1EDAFE73">
      <w:pPr>
        <w:pStyle w:val="Heading2"/>
        <w:tabs>
          <w:tab w:val="center" w:pos="4680"/>
          <w:tab w:val="right" w:pos="9360"/>
        </w:tabs>
        <w:spacing w:before="5400" w:after="240"/>
        <w:jc w:val="center"/>
        <w:rPr>
          <w:b w:val="0"/>
        </w:rPr>
      </w:pPr>
      <w:bookmarkStart w:id="174" w:name="_Toc57199112"/>
      <w:r w:rsidRPr="004D05E9">
        <w:lastRenderedPageBreak/>
        <w:t>Indicator 17: State Systemic Improvement Plan</w:t>
      </w:r>
      <w:bookmarkEnd w:id="174"/>
    </w:p>
    <w:p w14:paraId="5033967B" w14:textId="77777777" w:rsidR="00E77F11" w:rsidRPr="004D05E9" w:rsidRDefault="00E77F11" w:rsidP="004D7261">
      <w:pPr>
        <w:pStyle w:val="Heading3"/>
        <w:spacing w:after="240"/>
      </w:pPr>
      <w:bookmarkStart w:id="175" w:name="_Toc57199113"/>
      <w:r w:rsidRPr="004D05E9">
        <w:t>Description</w:t>
      </w:r>
      <w:bookmarkEnd w:id="175"/>
    </w:p>
    <w:p w14:paraId="6620C0AD" w14:textId="50C45825" w:rsidR="00E77F11" w:rsidRPr="004D7261" w:rsidRDefault="00E77F11" w:rsidP="004D7261">
      <w:r w:rsidRPr="004D05E9">
        <w:rPr>
          <w:rFonts w:cs="Arial"/>
        </w:rPr>
        <w:t>The S</w:t>
      </w:r>
      <w:r w:rsidR="005E10E1" w:rsidRPr="004D05E9">
        <w:rPr>
          <w:rFonts w:cs="Arial"/>
        </w:rPr>
        <w:t xml:space="preserve">tate </w:t>
      </w:r>
      <w:r w:rsidRPr="004D05E9">
        <w:rPr>
          <w:rFonts w:cs="Arial"/>
        </w:rPr>
        <w:t>S</w:t>
      </w:r>
      <w:r w:rsidR="005E10E1" w:rsidRPr="004D05E9">
        <w:rPr>
          <w:rFonts w:cs="Arial"/>
        </w:rPr>
        <w:t xml:space="preserve">ystemic Improvement </w:t>
      </w:r>
      <w:r w:rsidRPr="004D05E9">
        <w:rPr>
          <w:rFonts w:cs="Arial"/>
        </w:rPr>
        <w:t>P</w:t>
      </w:r>
      <w:r w:rsidR="005E10E1" w:rsidRPr="004D05E9">
        <w:rPr>
          <w:rFonts w:cs="Arial"/>
        </w:rPr>
        <w:t>lan</w:t>
      </w:r>
      <w:r w:rsidRPr="004D05E9">
        <w:rPr>
          <w:rFonts w:cs="Arial"/>
        </w:rPr>
        <w:t xml:space="preserve"> indicator describes how the state identified and analyzed key data, including data from the SPP/APR indicators, </w:t>
      </w:r>
      <w:r w:rsidR="00AF459B" w:rsidRPr="004D05E9">
        <w:rPr>
          <w:rFonts w:cs="Arial"/>
        </w:rPr>
        <w:t xml:space="preserve">section </w:t>
      </w:r>
      <w:r w:rsidRPr="004D05E9">
        <w:rPr>
          <w:rFonts w:cs="Arial"/>
        </w:rPr>
        <w:t xml:space="preserve">618 </w:t>
      </w:r>
      <w:r w:rsidR="00AF459B" w:rsidRPr="004D05E9">
        <w:rPr>
          <w:rFonts w:cs="Arial"/>
        </w:rPr>
        <w:t>of</w:t>
      </w:r>
      <w:r w:rsidR="00902D7E" w:rsidRPr="004D05E9">
        <w:rPr>
          <w:rFonts w:cs="Arial"/>
        </w:rPr>
        <w:t xml:space="preserve"> the</w:t>
      </w:r>
      <w:r w:rsidR="00AF459B" w:rsidRPr="004D05E9">
        <w:rPr>
          <w:rFonts w:cs="Arial"/>
        </w:rPr>
        <w:t xml:space="preserve"> IDEA </w:t>
      </w:r>
      <w:r w:rsidRPr="004D05E9">
        <w:rPr>
          <w:rFonts w:cs="Arial"/>
        </w:rPr>
        <w:t xml:space="preserve">data collections, and other available data as applicable, to: (1) Select the State-identified Measurable Result(s) for students with disabilities, and (2) Identify root causes contributing to low performance. The description must include information about how the data were disaggregated by multiple variables (LEA, region, race/ethnicity, gender, disability category, placement, etc.). As part of its data analysis, the state should also consider compliance data and whether those data present potential barriers to improvement. In addition, if the state identifies any concerns about the quality of the data, the description must include how the state will address these concerns. Finally, if additional data are needed, the description should include the methods and timelines to collect and analyze the additional data. </w:t>
      </w:r>
      <w:r w:rsidRPr="004D05E9">
        <w:rPr>
          <w:rFonts w:cs="Arial"/>
          <w:bCs/>
        </w:rPr>
        <w:t>This indicator will be reported to the SBE in March 20</w:t>
      </w:r>
      <w:r w:rsidR="007F5B11" w:rsidRPr="004D05E9">
        <w:rPr>
          <w:rFonts w:cs="Arial"/>
          <w:bCs/>
        </w:rPr>
        <w:t>2</w:t>
      </w:r>
      <w:r w:rsidR="00DC6517" w:rsidRPr="004D05E9">
        <w:rPr>
          <w:rFonts w:cs="Arial"/>
          <w:bCs/>
        </w:rPr>
        <w:t>1</w:t>
      </w:r>
      <w:r w:rsidRPr="004D05E9">
        <w:rPr>
          <w:rFonts w:cs="Arial"/>
          <w:bCs/>
        </w:rPr>
        <w:t xml:space="preserve"> for approval and will be submitted to OSEP in April 20</w:t>
      </w:r>
      <w:r w:rsidR="007F5B11" w:rsidRPr="004D05E9">
        <w:rPr>
          <w:rFonts w:cs="Arial"/>
          <w:bCs/>
        </w:rPr>
        <w:t>2</w:t>
      </w:r>
      <w:r w:rsidR="00DC6517" w:rsidRPr="004D05E9">
        <w:rPr>
          <w:rFonts w:cs="Arial"/>
          <w:bCs/>
        </w:rPr>
        <w:t>1</w:t>
      </w:r>
      <w:r w:rsidRPr="004D05E9">
        <w:rPr>
          <w:rFonts w:cs="Arial"/>
          <w:bCs/>
        </w:rPr>
        <w:t>.</w:t>
      </w:r>
    </w:p>
    <w:sectPr w:rsidR="00E77F11" w:rsidRPr="004D7261" w:rsidSect="00722DA2">
      <w:headerReference w:type="default" r:id="rId16"/>
      <w:headerReference w:type="firs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64B7D" w14:textId="77777777" w:rsidR="0077175F" w:rsidRDefault="0077175F" w:rsidP="000E09DC">
      <w:r>
        <w:separator/>
      </w:r>
    </w:p>
  </w:endnote>
  <w:endnote w:type="continuationSeparator" w:id="0">
    <w:p w14:paraId="2B800C7B" w14:textId="77777777" w:rsidR="0077175F" w:rsidRDefault="0077175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6ACF" w14:textId="77777777" w:rsidR="0077175F" w:rsidRDefault="0077175F" w:rsidP="000E09DC">
      <w:r>
        <w:separator/>
      </w:r>
    </w:p>
  </w:footnote>
  <w:footnote w:type="continuationSeparator" w:id="0">
    <w:p w14:paraId="1ED1A61A" w14:textId="77777777" w:rsidR="0077175F" w:rsidRDefault="0077175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CC39" w14:textId="77777777" w:rsidR="002A6914" w:rsidRPr="00527B0E" w:rsidRDefault="002A6914"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A8F8" w14:textId="77777777" w:rsidR="002A6914" w:rsidRDefault="002A6914">
    <w:pPr>
      <w:pStyle w:val="Header"/>
    </w:pPr>
    <w:r>
      <w:tab/>
    </w:r>
    <w:r>
      <w:tab/>
      <w:t>tlsb-sed-jan19item01</w:t>
    </w:r>
  </w:p>
  <w:p w14:paraId="5535EFAF" w14:textId="77777777" w:rsidR="002A6914" w:rsidRDefault="002A6914">
    <w:pPr>
      <w:pStyle w:val="Header"/>
    </w:pPr>
    <w:r>
      <w:tab/>
    </w:r>
    <w:r>
      <w:tab/>
      <w:t>Attachment 1</w:t>
    </w:r>
  </w:p>
  <w:p w14:paraId="1138F241" w14:textId="77777777" w:rsidR="002A6914" w:rsidRDefault="002A6914">
    <w:pPr>
      <w:pStyle w:val="Header"/>
    </w:pPr>
    <w:r>
      <w:tab/>
    </w:r>
    <w:r>
      <w:tab/>
    </w:r>
    <w:sdt>
      <w:sdtPr>
        <w:rPr>
          <w:color w:val="2B579A"/>
          <w:shd w:val="clear" w:color="auto" w:fill="E6E6E6"/>
        </w:rPr>
        <w:id w:val="1530301254"/>
        <w:docPartObj>
          <w:docPartGallery w:val="Page Numbers (Top of Page)"/>
          <w:docPartUnique/>
        </w:docPartObj>
      </w:sdtPr>
      <w:sdtEndPr>
        <w:rPr>
          <w:color w:val="auto"/>
          <w:shd w:val="clear" w:color="auto" w:fill="auto"/>
        </w:rPr>
      </w:sdtEndPr>
      <w:sdtContent>
        <w:r>
          <w:t>Page</w:t>
        </w:r>
        <w:r w:rsidRPr="005E02BF">
          <w:t xml:space="preserve"> </w:t>
        </w:r>
        <w:r w:rsidRPr="005E02BF">
          <w:rPr>
            <w:bCs/>
            <w:color w:val="2B579A"/>
            <w:shd w:val="clear" w:color="auto" w:fill="E6E6E6"/>
          </w:rPr>
          <w:fldChar w:fldCharType="begin"/>
        </w:r>
        <w:r w:rsidRPr="005E02BF">
          <w:rPr>
            <w:bCs/>
          </w:rPr>
          <w:instrText xml:space="preserve"> PAGE </w:instrText>
        </w:r>
        <w:r w:rsidRPr="005E02BF">
          <w:rPr>
            <w:bCs/>
            <w:color w:val="2B579A"/>
            <w:shd w:val="clear" w:color="auto" w:fill="E6E6E6"/>
          </w:rPr>
          <w:fldChar w:fldCharType="separate"/>
        </w:r>
        <w:r>
          <w:rPr>
            <w:bCs/>
            <w:noProof/>
          </w:rPr>
          <w:t>1</w:t>
        </w:r>
        <w:r w:rsidRPr="005E02BF">
          <w:rPr>
            <w:bCs/>
            <w:color w:val="2B579A"/>
            <w:shd w:val="clear" w:color="auto" w:fill="E6E6E6"/>
          </w:rPr>
          <w:fldChar w:fldCharType="end"/>
        </w:r>
        <w:r w:rsidRPr="005E02BF">
          <w:t xml:space="preserve"> of </w:t>
        </w:r>
        <w:r w:rsidRPr="005E02BF">
          <w:rPr>
            <w:bCs/>
            <w:color w:val="2B579A"/>
            <w:shd w:val="clear" w:color="auto" w:fill="E6E6E6"/>
          </w:rPr>
          <w:fldChar w:fldCharType="begin"/>
        </w:r>
        <w:r w:rsidRPr="005E02BF">
          <w:rPr>
            <w:bCs/>
          </w:rPr>
          <w:instrText xml:space="preserve"> NUMPAGES  </w:instrText>
        </w:r>
        <w:r w:rsidRPr="005E02BF">
          <w:rPr>
            <w:bCs/>
            <w:color w:val="2B579A"/>
            <w:shd w:val="clear" w:color="auto" w:fill="E6E6E6"/>
          </w:rPr>
          <w:fldChar w:fldCharType="separate"/>
        </w:r>
        <w:r>
          <w:rPr>
            <w:bCs/>
            <w:noProof/>
          </w:rPr>
          <w:t>1</w:t>
        </w:r>
        <w:r w:rsidRPr="005E02BF">
          <w:rPr>
            <w:bCs/>
            <w:color w:val="2B579A"/>
            <w:shd w:val="clear" w:color="auto" w:fill="E6E6E6"/>
          </w:rPr>
          <w:fldChar w:fldCharType="end"/>
        </w:r>
      </w:sdtContent>
    </w:sdt>
  </w:p>
  <w:p w14:paraId="50B26DBF" w14:textId="77777777" w:rsidR="002A6914" w:rsidRDefault="002A6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0BB6" w14:textId="1364F097" w:rsidR="002A6914" w:rsidRDefault="002A6914" w:rsidP="00651BC1">
    <w:pPr>
      <w:pStyle w:val="Header"/>
      <w:jc w:val="right"/>
    </w:pPr>
    <w:r>
      <w:t>ofab-sed-jan2</w:t>
    </w:r>
    <w:r w:rsidR="00132A87">
      <w:t>1</w:t>
    </w:r>
    <w:r>
      <w:t>item</w:t>
    </w:r>
    <w:r w:rsidR="002861B3">
      <w:t>16</w:t>
    </w:r>
  </w:p>
  <w:p w14:paraId="1E01FD8A" w14:textId="1233DA91" w:rsidR="002A6914" w:rsidRPr="00262AB3" w:rsidRDefault="002A6914" w:rsidP="00C95A0E">
    <w:pPr>
      <w:pStyle w:val="Header"/>
      <w:spacing w:after="480"/>
      <w:jc w:val="right"/>
      <w:rPr>
        <w:rFonts w:cs="Arial"/>
      </w:rPr>
    </w:pPr>
    <w:r w:rsidRPr="00262AB3">
      <w:rPr>
        <w:rFonts w:cs="Arial"/>
      </w:rPr>
      <w:t xml:space="preserve">Page </w:t>
    </w:r>
    <w:r w:rsidRPr="00262AB3">
      <w:rPr>
        <w:rFonts w:cs="Arial"/>
        <w:bCs/>
        <w:color w:val="2B579A"/>
        <w:shd w:val="clear" w:color="auto" w:fill="E6E6E6"/>
      </w:rPr>
      <w:fldChar w:fldCharType="begin"/>
    </w:r>
    <w:r w:rsidRPr="00262AB3">
      <w:rPr>
        <w:rFonts w:cs="Arial"/>
        <w:bCs/>
      </w:rPr>
      <w:instrText xml:space="preserve"> PAGE  \* Arabic  \* MERGEFORMAT </w:instrText>
    </w:r>
    <w:r w:rsidRPr="00262AB3">
      <w:rPr>
        <w:rFonts w:cs="Arial"/>
        <w:bCs/>
        <w:color w:val="2B579A"/>
        <w:shd w:val="clear" w:color="auto" w:fill="E6E6E6"/>
      </w:rPr>
      <w:fldChar w:fldCharType="separate"/>
    </w:r>
    <w:r>
      <w:rPr>
        <w:rFonts w:cs="Arial"/>
        <w:bCs/>
        <w:noProof/>
      </w:rPr>
      <w:t>3</w:t>
    </w:r>
    <w:r w:rsidRPr="00262AB3">
      <w:rPr>
        <w:rFonts w:cs="Arial"/>
        <w:bCs/>
        <w:color w:val="2B579A"/>
        <w:shd w:val="clear" w:color="auto" w:fill="E6E6E6"/>
      </w:rPr>
      <w:fldChar w:fldCharType="end"/>
    </w:r>
    <w:r w:rsidRPr="00262AB3">
      <w:rPr>
        <w:rFonts w:cs="Arial"/>
      </w:rPr>
      <w:t xml:space="preserve"> of </w:t>
    </w:r>
    <w:r w:rsidR="00D645A3">
      <w:rPr>
        <w:rFonts w:cs="Arial"/>
        <w:bCs/>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4101" w14:textId="21D85D37" w:rsidR="002A6914" w:rsidRDefault="002A6914" w:rsidP="00A71977">
    <w:pPr>
      <w:pStyle w:val="Header"/>
      <w:jc w:val="right"/>
    </w:pPr>
    <w:r>
      <w:t>ofab-sed-jan2</w:t>
    </w:r>
    <w:r w:rsidR="00132A87">
      <w:t>1</w:t>
    </w:r>
    <w:r>
      <w:t>item01</w:t>
    </w:r>
  </w:p>
  <w:p w14:paraId="556283F3" w14:textId="77777777" w:rsidR="002A6914" w:rsidRDefault="002A6914" w:rsidP="00A71977">
    <w:pPr>
      <w:pStyle w:val="Header"/>
      <w:jc w:val="right"/>
    </w:pPr>
    <w:r>
      <w:t>Attachment 1</w:t>
    </w:r>
  </w:p>
  <w:p w14:paraId="3F6CF125" w14:textId="196EE52A" w:rsidR="002A6914" w:rsidRDefault="0077175F" w:rsidP="00FF2892">
    <w:pPr>
      <w:pStyle w:val="Header"/>
      <w:spacing w:after="240"/>
      <w:jc w:val="right"/>
    </w:pPr>
    <w:sdt>
      <w:sdtPr>
        <w:rPr>
          <w:color w:val="2B579A"/>
          <w:shd w:val="clear" w:color="auto" w:fill="E6E6E6"/>
        </w:rPr>
        <w:id w:val="-598804562"/>
        <w:docPartObj>
          <w:docPartGallery w:val="Page Numbers (Top of Page)"/>
          <w:docPartUnique/>
        </w:docPartObj>
      </w:sdtPr>
      <w:sdtEndPr>
        <w:rPr>
          <w:color w:val="auto"/>
          <w:shd w:val="clear" w:color="auto" w:fill="auto"/>
        </w:rPr>
      </w:sdtEndPr>
      <w:sdtContent>
        <w:r w:rsidR="002A6914">
          <w:t xml:space="preserve">Page </w:t>
        </w:r>
        <w:r w:rsidR="002A6914" w:rsidRPr="00DC7965">
          <w:rPr>
            <w:bCs/>
            <w:color w:val="2B579A"/>
            <w:shd w:val="clear" w:color="auto" w:fill="E6E6E6"/>
          </w:rPr>
          <w:fldChar w:fldCharType="begin"/>
        </w:r>
        <w:r w:rsidR="002A6914" w:rsidRPr="00DC7965">
          <w:rPr>
            <w:bCs/>
          </w:rPr>
          <w:instrText xml:space="preserve"> PAGE </w:instrText>
        </w:r>
        <w:r w:rsidR="002A6914" w:rsidRPr="00DC7965">
          <w:rPr>
            <w:bCs/>
            <w:color w:val="2B579A"/>
            <w:shd w:val="clear" w:color="auto" w:fill="E6E6E6"/>
          </w:rPr>
          <w:fldChar w:fldCharType="separate"/>
        </w:r>
        <w:r w:rsidR="002A6914">
          <w:rPr>
            <w:bCs/>
            <w:noProof/>
          </w:rPr>
          <w:t>18</w:t>
        </w:r>
        <w:r w:rsidR="002A6914" w:rsidRPr="00DC7965">
          <w:rPr>
            <w:bCs/>
            <w:color w:val="2B579A"/>
            <w:shd w:val="clear" w:color="auto" w:fill="E6E6E6"/>
          </w:rPr>
          <w:fldChar w:fldCharType="end"/>
        </w:r>
        <w:r w:rsidR="002A6914" w:rsidRPr="00DC7965">
          <w:t xml:space="preserve"> of</w:t>
        </w:r>
        <w:r w:rsidR="002A6914">
          <w:t xml:space="preserve"> </w:t>
        </w:r>
        <w:r w:rsidR="002A6914">
          <w:rPr>
            <w:bCs/>
          </w:rPr>
          <w:t>4</w:t>
        </w:r>
        <w:r w:rsidR="00056C5E">
          <w:rPr>
            <w:bCs/>
          </w:rPr>
          <w:t>0</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5949" w14:textId="77777777" w:rsidR="002A6914" w:rsidRDefault="002A6914">
    <w:pPr>
      <w:pStyle w:val="Header"/>
    </w:pPr>
    <w:r>
      <w:tab/>
    </w:r>
    <w:r>
      <w:tab/>
      <w:t>tlsb-sed-jan19item01</w:t>
    </w:r>
  </w:p>
  <w:p w14:paraId="69DB0ECC" w14:textId="77777777" w:rsidR="002A6914" w:rsidRDefault="002A6914">
    <w:pPr>
      <w:pStyle w:val="Header"/>
    </w:pPr>
    <w:r>
      <w:tab/>
    </w:r>
    <w:r>
      <w:tab/>
      <w:t>Attachment 1</w:t>
    </w:r>
  </w:p>
  <w:p w14:paraId="13D39AAE" w14:textId="77777777" w:rsidR="002A6914" w:rsidRDefault="002A6914">
    <w:pPr>
      <w:pStyle w:val="Header"/>
    </w:pPr>
    <w:r>
      <w:tab/>
    </w:r>
    <w:r>
      <w:tab/>
    </w:r>
    <w:sdt>
      <w:sdtPr>
        <w:rPr>
          <w:color w:val="2B579A"/>
          <w:shd w:val="clear" w:color="auto" w:fill="E6E6E6"/>
        </w:rPr>
        <w:id w:val="-2006425128"/>
        <w:docPartObj>
          <w:docPartGallery w:val="Page Numbers (Top of Page)"/>
          <w:docPartUnique/>
        </w:docPartObj>
      </w:sdtPr>
      <w:sdtEndPr>
        <w:rPr>
          <w:color w:val="auto"/>
          <w:shd w:val="clear" w:color="auto" w:fill="auto"/>
        </w:rPr>
      </w:sdtEndPr>
      <w:sdtContent>
        <w:r>
          <w:t>Page</w:t>
        </w:r>
        <w:r w:rsidRPr="005E02BF">
          <w:t xml:space="preserve"> </w:t>
        </w:r>
        <w:r w:rsidRPr="005E02BF">
          <w:rPr>
            <w:bCs/>
            <w:color w:val="2B579A"/>
            <w:shd w:val="clear" w:color="auto" w:fill="E6E6E6"/>
          </w:rPr>
          <w:fldChar w:fldCharType="begin"/>
        </w:r>
        <w:r w:rsidRPr="005E02BF">
          <w:rPr>
            <w:bCs/>
          </w:rPr>
          <w:instrText xml:space="preserve"> PAGE </w:instrText>
        </w:r>
        <w:r w:rsidRPr="005E02BF">
          <w:rPr>
            <w:bCs/>
            <w:color w:val="2B579A"/>
            <w:shd w:val="clear" w:color="auto" w:fill="E6E6E6"/>
          </w:rPr>
          <w:fldChar w:fldCharType="separate"/>
        </w:r>
        <w:r>
          <w:rPr>
            <w:bCs/>
            <w:noProof/>
          </w:rPr>
          <w:t>1</w:t>
        </w:r>
        <w:r w:rsidRPr="005E02BF">
          <w:rPr>
            <w:bCs/>
            <w:color w:val="2B579A"/>
            <w:shd w:val="clear" w:color="auto" w:fill="E6E6E6"/>
          </w:rPr>
          <w:fldChar w:fldCharType="end"/>
        </w:r>
        <w:r w:rsidRPr="005E02BF">
          <w:t xml:space="preserve"> of </w:t>
        </w:r>
        <w:r w:rsidRPr="005E02BF">
          <w:rPr>
            <w:bCs/>
            <w:color w:val="2B579A"/>
            <w:shd w:val="clear" w:color="auto" w:fill="E6E6E6"/>
          </w:rPr>
          <w:fldChar w:fldCharType="begin"/>
        </w:r>
        <w:r w:rsidRPr="005E02BF">
          <w:rPr>
            <w:bCs/>
          </w:rPr>
          <w:instrText xml:space="preserve"> NUMPAGES  </w:instrText>
        </w:r>
        <w:r w:rsidRPr="005E02BF">
          <w:rPr>
            <w:bCs/>
            <w:color w:val="2B579A"/>
            <w:shd w:val="clear" w:color="auto" w:fill="E6E6E6"/>
          </w:rPr>
          <w:fldChar w:fldCharType="separate"/>
        </w:r>
        <w:r>
          <w:rPr>
            <w:bCs/>
            <w:noProof/>
          </w:rPr>
          <w:t>1</w:t>
        </w:r>
        <w:r w:rsidRPr="005E02BF">
          <w:rPr>
            <w:bCs/>
            <w:color w:val="2B579A"/>
            <w:shd w:val="clear" w:color="auto" w:fill="E6E6E6"/>
          </w:rPr>
          <w:fldChar w:fldCharType="end"/>
        </w:r>
      </w:sdtContent>
    </w:sdt>
  </w:p>
  <w:p w14:paraId="37E1AE46" w14:textId="77777777" w:rsidR="002A6914" w:rsidRDefault="002A6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314"/>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3494C"/>
    <w:multiLevelType w:val="hybridMultilevel"/>
    <w:tmpl w:val="E2CC3E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7F175E"/>
    <w:multiLevelType w:val="hybridMultilevel"/>
    <w:tmpl w:val="5408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F4A99"/>
    <w:multiLevelType w:val="hybridMultilevel"/>
    <w:tmpl w:val="282E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D1A7A"/>
    <w:multiLevelType w:val="multilevel"/>
    <w:tmpl w:val="02003D5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F93AE8"/>
    <w:multiLevelType w:val="hybridMultilevel"/>
    <w:tmpl w:val="0B12F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234C65"/>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16091"/>
    <w:multiLevelType w:val="hybridMultilevel"/>
    <w:tmpl w:val="B65E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17597"/>
    <w:multiLevelType w:val="hybridMultilevel"/>
    <w:tmpl w:val="EE92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DC108E"/>
    <w:multiLevelType w:val="hybridMultilevel"/>
    <w:tmpl w:val="FE9673C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B3106C8"/>
    <w:multiLevelType w:val="hybridMultilevel"/>
    <w:tmpl w:val="9364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897910"/>
    <w:multiLevelType w:val="hybridMultilevel"/>
    <w:tmpl w:val="4F2CA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AC82C54"/>
    <w:multiLevelType w:val="hybridMultilevel"/>
    <w:tmpl w:val="A2228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CC85D8F"/>
    <w:multiLevelType w:val="hybridMultilevel"/>
    <w:tmpl w:val="A99A0A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54F66"/>
    <w:multiLevelType w:val="hybridMultilevel"/>
    <w:tmpl w:val="9222AB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4691D"/>
    <w:multiLevelType w:val="hybridMultilevel"/>
    <w:tmpl w:val="A4A4D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5610EDD"/>
    <w:multiLevelType w:val="hybridMultilevel"/>
    <w:tmpl w:val="F5821FCA"/>
    <w:lvl w:ilvl="0" w:tplc="ED4C43AC">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C413D"/>
    <w:multiLevelType w:val="hybridMultilevel"/>
    <w:tmpl w:val="BDE4871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90826"/>
    <w:multiLevelType w:val="hybridMultilevel"/>
    <w:tmpl w:val="C16A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18"/>
  </w:num>
  <w:num w:numId="5">
    <w:abstractNumId w:val="20"/>
  </w:num>
  <w:num w:numId="6">
    <w:abstractNumId w:val="3"/>
  </w:num>
  <w:num w:numId="7">
    <w:abstractNumId w:val="9"/>
  </w:num>
  <w:num w:numId="8">
    <w:abstractNumId w:val="25"/>
  </w:num>
  <w:num w:numId="9">
    <w:abstractNumId w:val="1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5"/>
  </w:num>
  <w:num w:numId="17">
    <w:abstractNumId w:val="10"/>
  </w:num>
  <w:num w:numId="18">
    <w:abstractNumId w:val="21"/>
  </w:num>
  <w:num w:numId="19">
    <w:abstractNumId w:val="2"/>
  </w:num>
  <w:num w:numId="20">
    <w:abstractNumId w:val="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0"/>
  </w:num>
  <w:num w:numId="25">
    <w:abstractNumId w:val="1"/>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4AF"/>
    <w:rsid w:val="000015B5"/>
    <w:rsid w:val="000040D5"/>
    <w:rsid w:val="00004C27"/>
    <w:rsid w:val="0000776B"/>
    <w:rsid w:val="00013FB2"/>
    <w:rsid w:val="000324AD"/>
    <w:rsid w:val="00033192"/>
    <w:rsid w:val="00041099"/>
    <w:rsid w:val="00041477"/>
    <w:rsid w:val="0004605E"/>
    <w:rsid w:val="00046A58"/>
    <w:rsid w:val="00046ABE"/>
    <w:rsid w:val="00050C3E"/>
    <w:rsid w:val="00056C5E"/>
    <w:rsid w:val="00065617"/>
    <w:rsid w:val="00080595"/>
    <w:rsid w:val="000A108D"/>
    <w:rsid w:val="000A7B3A"/>
    <w:rsid w:val="000B3641"/>
    <w:rsid w:val="000B3B74"/>
    <w:rsid w:val="000B7799"/>
    <w:rsid w:val="000C4926"/>
    <w:rsid w:val="000D1C78"/>
    <w:rsid w:val="000E0698"/>
    <w:rsid w:val="000E09DC"/>
    <w:rsid w:val="000F6A7D"/>
    <w:rsid w:val="0010029F"/>
    <w:rsid w:val="00101CD9"/>
    <w:rsid w:val="00103B41"/>
    <w:rsid w:val="001048F3"/>
    <w:rsid w:val="00110B52"/>
    <w:rsid w:val="001160F5"/>
    <w:rsid w:val="00116BC0"/>
    <w:rsid w:val="00120AE5"/>
    <w:rsid w:val="00130059"/>
    <w:rsid w:val="00132A87"/>
    <w:rsid w:val="00135BDA"/>
    <w:rsid w:val="00141CCC"/>
    <w:rsid w:val="00141DCA"/>
    <w:rsid w:val="00143F6D"/>
    <w:rsid w:val="00146AFC"/>
    <w:rsid w:val="0014723F"/>
    <w:rsid w:val="001473C8"/>
    <w:rsid w:val="001473ED"/>
    <w:rsid w:val="00150501"/>
    <w:rsid w:val="00156225"/>
    <w:rsid w:val="00167FE8"/>
    <w:rsid w:val="00177DA0"/>
    <w:rsid w:val="0018148D"/>
    <w:rsid w:val="001845FE"/>
    <w:rsid w:val="00184E52"/>
    <w:rsid w:val="00187846"/>
    <w:rsid w:val="0019791E"/>
    <w:rsid w:val="001A0CA5"/>
    <w:rsid w:val="001A0FF3"/>
    <w:rsid w:val="001A44CD"/>
    <w:rsid w:val="001B3958"/>
    <w:rsid w:val="001B6099"/>
    <w:rsid w:val="001C6570"/>
    <w:rsid w:val="001D2E0A"/>
    <w:rsid w:val="001D6AC3"/>
    <w:rsid w:val="001E1929"/>
    <w:rsid w:val="001F51A5"/>
    <w:rsid w:val="001F58E1"/>
    <w:rsid w:val="00222FD5"/>
    <w:rsid w:val="00223112"/>
    <w:rsid w:val="00226275"/>
    <w:rsid w:val="00240321"/>
    <w:rsid w:val="00240B26"/>
    <w:rsid w:val="0024582A"/>
    <w:rsid w:val="00245FC8"/>
    <w:rsid w:val="00256E6D"/>
    <w:rsid w:val="00256F49"/>
    <w:rsid w:val="0025798E"/>
    <w:rsid w:val="0027038A"/>
    <w:rsid w:val="00275765"/>
    <w:rsid w:val="00280E65"/>
    <w:rsid w:val="002861B3"/>
    <w:rsid w:val="00287A7A"/>
    <w:rsid w:val="00291409"/>
    <w:rsid w:val="002944E5"/>
    <w:rsid w:val="002A11EB"/>
    <w:rsid w:val="002A6914"/>
    <w:rsid w:val="002B0CA0"/>
    <w:rsid w:val="002B1A5C"/>
    <w:rsid w:val="002B3D72"/>
    <w:rsid w:val="002B4B14"/>
    <w:rsid w:val="002B50AA"/>
    <w:rsid w:val="002C3D02"/>
    <w:rsid w:val="002C5EE1"/>
    <w:rsid w:val="002D1A82"/>
    <w:rsid w:val="002D6D8B"/>
    <w:rsid w:val="002E4CB5"/>
    <w:rsid w:val="002E5443"/>
    <w:rsid w:val="002E63CD"/>
    <w:rsid w:val="002E6FCA"/>
    <w:rsid w:val="002F279B"/>
    <w:rsid w:val="002F4264"/>
    <w:rsid w:val="002F49D7"/>
    <w:rsid w:val="002F6CAF"/>
    <w:rsid w:val="0030579F"/>
    <w:rsid w:val="00311734"/>
    <w:rsid w:val="00315131"/>
    <w:rsid w:val="0031694C"/>
    <w:rsid w:val="0032175B"/>
    <w:rsid w:val="00322BE1"/>
    <w:rsid w:val="00327849"/>
    <w:rsid w:val="00335495"/>
    <w:rsid w:val="003375C7"/>
    <w:rsid w:val="003420DA"/>
    <w:rsid w:val="00344984"/>
    <w:rsid w:val="00350EF2"/>
    <w:rsid w:val="003528B2"/>
    <w:rsid w:val="00355442"/>
    <w:rsid w:val="003561E3"/>
    <w:rsid w:val="00363520"/>
    <w:rsid w:val="00364B86"/>
    <w:rsid w:val="00365CEA"/>
    <w:rsid w:val="003705FC"/>
    <w:rsid w:val="003714F7"/>
    <w:rsid w:val="00384ACF"/>
    <w:rsid w:val="00385D9B"/>
    <w:rsid w:val="00390D84"/>
    <w:rsid w:val="0039784D"/>
    <w:rsid w:val="003A0211"/>
    <w:rsid w:val="003A7E90"/>
    <w:rsid w:val="003B1D58"/>
    <w:rsid w:val="003D1ECD"/>
    <w:rsid w:val="003D660B"/>
    <w:rsid w:val="003E1E8D"/>
    <w:rsid w:val="003E4DF7"/>
    <w:rsid w:val="003E78FC"/>
    <w:rsid w:val="00401222"/>
    <w:rsid w:val="00406F50"/>
    <w:rsid w:val="00407E9B"/>
    <w:rsid w:val="004203BC"/>
    <w:rsid w:val="00424E26"/>
    <w:rsid w:val="0044670C"/>
    <w:rsid w:val="0045509D"/>
    <w:rsid w:val="00462A61"/>
    <w:rsid w:val="00463712"/>
    <w:rsid w:val="0046483D"/>
    <w:rsid w:val="00465092"/>
    <w:rsid w:val="004663F8"/>
    <w:rsid w:val="00470214"/>
    <w:rsid w:val="0047534A"/>
    <w:rsid w:val="004903C3"/>
    <w:rsid w:val="004B08D9"/>
    <w:rsid w:val="004B2429"/>
    <w:rsid w:val="004C1339"/>
    <w:rsid w:val="004C2D01"/>
    <w:rsid w:val="004C5183"/>
    <w:rsid w:val="004C53DF"/>
    <w:rsid w:val="004D0347"/>
    <w:rsid w:val="004D05E9"/>
    <w:rsid w:val="004D2EF3"/>
    <w:rsid w:val="004D3223"/>
    <w:rsid w:val="004D7261"/>
    <w:rsid w:val="004E029B"/>
    <w:rsid w:val="004E14A0"/>
    <w:rsid w:val="00504417"/>
    <w:rsid w:val="0050464D"/>
    <w:rsid w:val="00517C00"/>
    <w:rsid w:val="00522FDC"/>
    <w:rsid w:val="00527B0E"/>
    <w:rsid w:val="00535229"/>
    <w:rsid w:val="005413E1"/>
    <w:rsid w:val="0054271F"/>
    <w:rsid w:val="00553CB3"/>
    <w:rsid w:val="005618D3"/>
    <w:rsid w:val="00575CDF"/>
    <w:rsid w:val="00576F84"/>
    <w:rsid w:val="0058647A"/>
    <w:rsid w:val="005944E1"/>
    <w:rsid w:val="005A1301"/>
    <w:rsid w:val="005B27E0"/>
    <w:rsid w:val="005B7857"/>
    <w:rsid w:val="005C00FC"/>
    <w:rsid w:val="005C2690"/>
    <w:rsid w:val="005C62A7"/>
    <w:rsid w:val="005E02BF"/>
    <w:rsid w:val="005E10E1"/>
    <w:rsid w:val="005E7F68"/>
    <w:rsid w:val="005F0894"/>
    <w:rsid w:val="005F252C"/>
    <w:rsid w:val="005F5F3B"/>
    <w:rsid w:val="005F6704"/>
    <w:rsid w:val="005F7A01"/>
    <w:rsid w:val="006127C8"/>
    <w:rsid w:val="00617891"/>
    <w:rsid w:val="00620391"/>
    <w:rsid w:val="0062465A"/>
    <w:rsid w:val="00627CBF"/>
    <w:rsid w:val="00633D35"/>
    <w:rsid w:val="00637971"/>
    <w:rsid w:val="00640E90"/>
    <w:rsid w:val="00641443"/>
    <w:rsid w:val="00643555"/>
    <w:rsid w:val="00651BC1"/>
    <w:rsid w:val="00653EC6"/>
    <w:rsid w:val="006559C8"/>
    <w:rsid w:val="00662896"/>
    <w:rsid w:val="00664B89"/>
    <w:rsid w:val="00685416"/>
    <w:rsid w:val="00692300"/>
    <w:rsid w:val="00693951"/>
    <w:rsid w:val="006A63D8"/>
    <w:rsid w:val="006B2111"/>
    <w:rsid w:val="006B63EA"/>
    <w:rsid w:val="006C3061"/>
    <w:rsid w:val="006C3AEA"/>
    <w:rsid w:val="006D0223"/>
    <w:rsid w:val="006D7995"/>
    <w:rsid w:val="006E06C6"/>
    <w:rsid w:val="006E0C7F"/>
    <w:rsid w:val="006E24B6"/>
    <w:rsid w:val="006E41D5"/>
    <w:rsid w:val="006F33E1"/>
    <w:rsid w:val="006F45AF"/>
    <w:rsid w:val="006F63E8"/>
    <w:rsid w:val="00717C0D"/>
    <w:rsid w:val="00722DA2"/>
    <w:rsid w:val="00724781"/>
    <w:rsid w:val="00726EDA"/>
    <w:rsid w:val="007313A3"/>
    <w:rsid w:val="00733898"/>
    <w:rsid w:val="007428B8"/>
    <w:rsid w:val="0074503D"/>
    <w:rsid w:val="00746164"/>
    <w:rsid w:val="007463DE"/>
    <w:rsid w:val="0075297B"/>
    <w:rsid w:val="0077175F"/>
    <w:rsid w:val="007728D4"/>
    <w:rsid w:val="0077412F"/>
    <w:rsid w:val="00774B54"/>
    <w:rsid w:val="0077665C"/>
    <w:rsid w:val="00780BB6"/>
    <w:rsid w:val="00784B95"/>
    <w:rsid w:val="00794217"/>
    <w:rsid w:val="007A3AC8"/>
    <w:rsid w:val="007A7282"/>
    <w:rsid w:val="007B22FA"/>
    <w:rsid w:val="007C4258"/>
    <w:rsid w:val="007C5697"/>
    <w:rsid w:val="007D6A8F"/>
    <w:rsid w:val="007E4137"/>
    <w:rsid w:val="007E67A0"/>
    <w:rsid w:val="007F5B11"/>
    <w:rsid w:val="007F7064"/>
    <w:rsid w:val="007F7D72"/>
    <w:rsid w:val="00801E9A"/>
    <w:rsid w:val="00806255"/>
    <w:rsid w:val="00810353"/>
    <w:rsid w:val="008164AA"/>
    <w:rsid w:val="008239DE"/>
    <w:rsid w:val="00832047"/>
    <w:rsid w:val="00842296"/>
    <w:rsid w:val="008428AB"/>
    <w:rsid w:val="00857F6F"/>
    <w:rsid w:val="0086558E"/>
    <w:rsid w:val="00866377"/>
    <w:rsid w:val="00867DE0"/>
    <w:rsid w:val="008702A6"/>
    <w:rsid w:val="00873524"/>
    <w:rsid w:val="008909EE"/>
    <w:rsid w:val="0089384F"/>
    <w:rsid w:val="00897FCF"/>
    <w:rsid w:val="008A73EF"/>
    <w:rsid w:val="008B5DDE"/>
    <w:rsid w:val="008B6E36"/>
    <w:rsid w:val="008C02C8"/>
    <w:rsid w:val="008C1D29"/>
    <w:rsid w:val="008C7414"/>
    <w:rsid w:val="008E3BD4"/>
    <w:rsid w:val="008F7A01"/>
    <w:rsid w:val="00902D7E"/>
    <w:rsid w:val="00902E54"/>
    <w:rsid w:val="0090605B"/>
    <w:rsid w:val="00907236"/>
    <w:rsid w:val="0091117B"/>
    <w:rsid w:val="00926068"/>
    <w:rsid w:val="00935FD0"/>
    <w:rsid w:val="00941815"/>
    <w:rsid w:val="00942E0B"/>
    <w:rsid w:val="00950A43"/>
    <w:rsid w:val="00953256"/>
    <w:rsid w:val="00962275"/>
    <w:rsid w:val="00966FBD"/>
    <w:rsid w:val="00970CEF"/>
    <w:rsid w:val="0099429E"/>
    <w:rsid w:val="009A09C0"/>
    <w:rsid w:val="009B04E1"/>
    <w:rsid w:val="009B6BE9"/>
    <w:rsid w:val="009C1224"/>
    <w:rsid w:val="009C4BBD"/>
    <w:rsid w:val="009D5028"/>
    <w:rsid w:val="009E0766"/>
    <w:rsid w:val="009E14CF"/>
    <w:rsid w:val="009E43CB"/>
    <w:rsid w:val="009F150C"/>
    <w:rsid w:val="009F3BFC"/>
    <w:rsid w:val="00A07F42"/>
    <w:rsid w:val="00A16315"/>
    <w:rsid w:val="00A211F6"/>
    <w:rsid w:val="00A21632"/>
    <w:rsid w:val="00A22BB3"/>
    <w:rsid w:val="00A27725"/>
    <w:rsid w:val="00A30B3C"/>
    <w:rsid w:val="00A35B82"/>
    <w:rsid w:val="00A50851"/>
    <w:rsid w:val="00A64F26"/>
    <w:rsid w:val="00A71977"/>
    <w:rsid w:val="00A730A7"/>
    <w:rsid w:val="00A753B0"/>
    <w:rsid w:val="00A93420"/>
    <w:rsid w:val="00A9723C"/>
    <w:rsid w:val="00AB058B"/>
    <w:rsid w:val="00AB5F15"/>
    <w:rsid w:val="00AC1F54"/>
    <w:rsid w:val="00AD6568"/>
    <w:rsid w:val="00AE0013"/>
    <w:rsid w:val="00AF26D8"/>
    <w:rsid w:val="00AF27DE"/>
    <w:rsid w:val="00AF459B"/>
    <w:rsid w:val="00AF7DA3"/>
    <w:rsid w:val="00B01604"/>
    <w:rsid w:val="00B0350E"/>
    <w:rsid w:val="00B138D0"/>
    <w:rsid w:val="00B20221"/>
    <w:rsid w:val="00B244E1"/>
    <w:rsid w:val="00B37AD4"/>
    <w:rsid w:val="00B40959"/>
    <w:rsid w:val="00B5191D"/>
    <w:rsid w:val="00B60297"/>
    <w:rsid w:val="00B723BE"/>
    <w:rsid w:val="00B7613E"/>
    <w:rsid w:val="00B765AE"/>
    <w:rsid w:val="00B82705"/>
    <w:rsid w:val="00B8777D"/>
    <w:rsid w:val="00B87B9F"/>
    <w:rsid w:val="00B94B64"/>
    <w:rsid w:val="00BA1FC6"/>
    <w:rsid w:val="00BA3568"/>
    <w:rsid w:val="00BB2214"/>
    <w:rsid w:val="00BC295E"/>
    <w:rsid w:val="00BC3012"/>
    <w:rsid w:val="00BD0001"/>
    <w:rsid w:val="00BD254F"/>
    <w:rsid w:val="00BD2C7A"/>
    <w:rsid w:val="00BF7FEA"/>
    <w:rsid w:val="00C077F8"/>
    <w:rsid w:val="00C21F77"/>
    <w:rsid w:val="00C27D57"/>
    <w:rsid w:val="00C3723E"/>
    <w:rsid w:val="00C51D71"/>
    <w:rsid w:val="00C54941"/>
    <w:rsid w:val="00C5578B"/>
    <w:rsid w:val="00C558E2"/>
    <w:rsid w:val="00C63D25"/>
    <w:rsid w:val="00C72D38"/>
    <w:rsid w:val="00C81D00"/>
    <w:rsid w:val="00C82CBA"/>
    <w:rsid w:val="00C83C42"/>
    <w:rsid w:val="00C8424B"/>
    <w:rsid w:val="00C868E7"/>
    <w:rsid w:val="00C87401"/>
    <w:rsid w:val="00C90330"/>
    <w:rsid w:val="00C90DA4"/>
    <w:rsid w:val="00C920DF"/>
    <w:rsid w:val="00C95A0E"/>
    <w:rsid w:val="00CA2639"/>
    <w:rsid w:val="00CA46B9"/>
    <w:rsid w:val="00CB001A"/>
    <w:rsid w:val="00CB4FD0"/>
    <w:rsid w:val="00CE1C84"/>
    <w:rsid w:val="00D12D17"/>
    <w:rsid w:val="00D22D93"/>
    <w:rsid w:val="00D24C8B"/>
    <w:rsid w:val="00D25AB5"/>
    <w:rsid w:val="00D33AA1"/>
    <w:rsid w:val="00D40B8D"/>
    <w:rsid w:val="00D47DAB"/>
    <w:rsid w:val="00D5115F"/>
    <w:rsid w:val="00D53ABA"/>
    <w:rsid w:val="00D5703F"/>
    <w:rsid w:val="00D645A3"/>
    <w:rsid w:val="00D72735"/>
    <w:rsid w:val="00D851C9"/>
    <w:rsid w:val="00D8667C"/>
    <w:rsid w:val="00D86AB9"/>
    <w:rsid w:val="00D9292E"/>
    <w:rsid w:val="00D9742D"/>
    <w:rsid w:val="00DA50EF"/>
    <w:rsid w:val="00DB15C9"/>
    <w:rsid w:val="00DC059D"/>
    <w:rsid w:val="00DC0D28"/>
    <w:rsid w:val="00DC31E3"/>
    <w:rsid w:val="00DC6517"/>
    <w:rsid w:val="00DC7965"/>
    <w:rsid w:val="00DD5B22"/>
    <w:rsid w:val="00DD7E22"/>
    <w:rsid w:val="00DE3CED"/>
    <w:rsid w:val="00DE3D44"/>
    <w:rsid w:val="00DF6FD5"/>
    <w:rsid w:val="00E04A66"/>
    <w:rsid w:val="00E07A50"/>
    <w:rsid w:val="00E111B1"/>
    <w:rsid w:val="00E12A33"/>
    <w:rsid w:val="00E13A6E"/>
    <w:rsid w:val="00E32B98"/>
    <w:rsid w:val="00E4217A"/>
    <w:rsid w:val="00E4296B"/>
    <w:rsid w:val="00E4792C"/>
    <w:rsid w:val="00E5477C"/>
    <w:rsid w:val="00E55C3A"/>
    <w:rsid w:val="00E77F11"/>
    <w:rsid w:val="00E83F9D"/>
    <w:rsid w:val="00E85595"/>
    <w:rsid w:val="00E91D6B"/>
    <w:rsid w:val="00EA24C0"/>
    <w:rsid w:val="00EA7D4F"/>
    <w:rsid w:val="00EB0DA1"/>
    <w:rsid w:val="00EB16F7"/>
    <w:rsid w:val="00EB25C4"/>
    <w:rsid w:val="00EB7429"/>
    <w:rsid w:val="00EC504C"/>
    <w:rsid w:val="00EC718B"/>
    <w:rsid w:val="00ED15C2"/>
    <w:rsid w:val="00ED337D"/>
    <w:rsid w:val="00EE24AA"/>
    <w:rsid w:val="00EF107D"/>
    <w:rsid w:val="00EF2344"/>
    <w:rsid w:val="00F16863"/>
    <w:rsid w:val="00F3260F"/>
    <w:rsid w:val="00F40510"/>
    <w:rsid w:val="00F43C04"/>
    <w:rsid w:val="00F53FF7"/>
    <w:rsid w:val="00F63F32"/>
    <w:rsid w:val="00F64176"/>
    <w:rsid w:val="00F84242"/>
    <w:rsid w:val="00F936D1"/>
    <w:rsid w:val="00F94614"/>
    <w:rsid w:val="00F9745C"/>
    <w:rsid w:val="00F97B62"/>
    <w:rsid w:val="00FA0321"/>
    <w:rsid w:val="00FB00EE"/>
    <w:rsid w:val="00FC191F"/>
    <w:rsid w:val="00FC1FCE"/>
    <w:rsid w:val="00FC591C"/>
    <w:rsid w:val="00FC65D7"/>
    <w:rsid w:val="00FD568A"/>
    <w:rsid w:val="00FD74B6"/>
    <w:rsid w:val="00FE3007"/>
    <w:rsid w:val="00FE4BD6"/>
    <w:rsid w:val="00FE63BC"/>
    <w:rsid w:val="00FF277C"/>
    <w:rsid w:val="00FF2892"/>
    <w:rsid w:val="00FF59B7"/>
    <w:rsid w:val="0337A16D"/>
    <w:rsid w:val="099C3ACF"/>
    <w:rsid w:val="0FC6D2BC"/>
    <w:rsid w:val="1114BD3A"/>
    <w:rsid w:val="1126A427"/>
    <w:rsid w:val="13D3E147"/>
    <w:rsid w:val="17384939"/>
    <w:rsid w:val="184DD51F"/>
    <w:rsid w:val="19C1E75B"/>
    <w:rsid w:val="1E690889"/>
    <w:rsid w:val="1EDAFE73"/>
    <w:rsid w:val="2334D9DE"/>
    <w:rsid w:val="2468041A"/>
    <w:rsid w:val="24B75939"/>
    <w:rsid w:val="2869E74C"/>
    <w:rsid w:val="2F02A953"/>
    <w:rsid w:val="31F6345E"/>
    <w:rsid w:val="33007713"/>
    <w:rsid w:val="39A4BE74"/>
    <w:rsid w:val="3CE5B9D7"/>
    <w:rsid w:val="483D23EA"/>
    <w:rsid w:val="4A66CF6C"/>
    <w:rsid w:val="4AC05583"/>
    <w:rsid w:val="4F3F619E"/>
    <w:rsid w:val="508C9FDE"/>
    <w:rsid w:val="51BFDC69"/>
    <w:rsid w:val="59404A8D"/>
    <w:rsid w:val="5A1B4C49"/>
    <w:rsid w:val="5E1F9977"/>
    <w:rsid w:val="5FE4F3ED"/>
    <w:rsid w:val="61DD562C"/>
    <w:rsid w:val="641153C1"/>
    <w:rsid w:val="67A4651B"/>
    <w:rsid w:val="688AFB38"/>
    <w:rsid w:val="6C0E3C41"/>
    <w:rsid w:val="6C1B6987"/>
    <w:rsid w:val="719EC270"/>
    <w:rsid w:val="73692D9F"/>
    <w:rsid w:val="796F183C"/>
    <w:rsid w:val="7F82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5F618"/>
  <w15:chartTrackingRefBased/>
  <w15:docId w15:val="{CEC94C80-39C4-47DB-87BD-129C7B0F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A1301"/>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A13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TOCHeading">
    <w:name w:val="TOC Heading"/>
    <w:basedOn w:val="Heading1"/>
    <w:next w:val="Normal"/>
    <w:uiPriority w:val="39"/>
    <w:unhideWhenUsed/>
    <w:qFormat/>
    <w:rsid w:val="00C21F77"/>
    <w:pPr>
      <w:spacing w:before="240" w:after="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C21F77"/>
    <w:pPr>
      <w:spacing w:after="100"/>
    </w:pPr>
  </w:style>
  <w:style w:type="paragraph" w:styleId="TOC2">
    <w:name w:val="toc 2"/>
    <w:basedOn w:val="Normal"/>
    <w:next w:val="Normal"/>
    <w:autoRedefine/>
    <w:uiPriority w:val="39"/>
    <w:unhideWhenUsed/>
    <w:rsid w:val="00C21F77"/>
    <w:pPr>
      <w:spacing w:after="100"/>
      <w:ind w:left="240"/>
    </w:pPr>
  </w:style>
  <w:style w:type="paragraph" w:styleId="TOC3">
    <w:name w:val="toc 3"/>
    <w:basedOn w:val="Normal"/>
    <w:next w:val="Normal"/>
    <w:autoRedefine/>
    <w:uiPriority w:val="39"/>
    <w:unhideWhenUsed/>
    <w:rsid w:val="00C21F77"/>
    <w:pPr>
      <w:spacing w:after="100" w:line="259" w:lineRule="auto"/>
      <w:ind w:left="440"/>
    </w:pPr>
    <w:rPr>
      <w:rFonts w:asciiTheme="minorHAnsi" w:eastAsiaTheme="minorEastAsia" w:hAnsiTheme="minorHAnsi"/>
      <w:sz w:val="22"/>
      <w:szCs w:val="22"/>
    </w:rPr>
  </w:style>
  <w:style w:type="table" w:styleId="TableGrid">
    <w:name w:val="Table Grid"/>
    <w:basedOn w:val="TableNormal"/>
    <w:uiPriority w:val="39"/>
    <w:rsid w:val="0014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7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7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F6CA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F6CA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F6CA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F6CA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F6CA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F6CAF"/>
    <w:pPr>
      <w:spacing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143F6D"/>
    <w:rPr>
      <w:sz w:val="16"/>
      <w:szCs w:val="16"/>
    </w:rPr>
  </w:style>
  <w:style w:type="paragraph" w:styleId="CommentText">
    <w:name w:val="annotation text"/>
    <w:basedOn w:val="Normal"/>
    <w:link w:val="CommentTextChar"/>
    <w:uiPriority w:val="99"/>
    <w:semiHidden/>
    <w:unhideWhenUsed/>
    <w:rsid w:val="00143F6D"/>
    <w:rPr>
      <w:sz w:val="20"/>
      <w:szCs w:val="20"/>
    </w:rPr>
  </w:style>
  <w:style w:type="character" w:customStyle="1" w:styleId="CommentTextChar">
    <w:name w:val="Comment Text Char"/>
    <w:basedOn w:val="DefaultParagraphFont"/>
    <w:link w:val="CommentText"/>
    <w:uiPriority w:val="99"/>
    <w:semiHidden/>
    <w:rsid w:val="00143F6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43F6D"/>
    <w:rPr>
      <w:b/>
      <w:bCs/>
    </w:rPr>
  </w:style>
  <w:style w:type="character" w:customStyle="1" w:styleId="CommentSubjectChar">
    <w:name w:val="Comment Subject Char"/>
    <w:basedOn w:val="CommentTextChar"/>
    <w:link w:val="CommentSubject"/>
    <w:uiPriority w:val="99"/>
    <w:semiHidden/>
    <w:rsid w:val="00143F6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6A63D8"/>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stemimprovement.org/uploads/resources/State-Performance-Plan-Indicato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673A-2964-4B88-B964-4371DF385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B2365-FB86-464F-B367-1B98DA13B541}">
  <ds:schemaRefs>
    <ds:schemaRef ds:uri="http://schemas.microsoft.com/sharepoint/v3/contenttype/forms"/>
  </ds:schemaRefs>
</ds:datastoreItem>
</file>

<file path=customXml/itemProps3.xml><?xml version="1.0" encoding="utf-8"?>
<ds:datastoreItem xmlns:ds="http://schemas.openxmlformats.org/officeDocument/2006/customXml" ds:itemID="{AE0D1A4E-764C-4919-B165-D42862DFA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DD7A9-4669-4FA7-9A3A-0450EFFE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10315</Words>
  <Characters>58799</Characters>
  <DocSecurity>0</DocSecurity>
  <Lines>489</Lines>
  <Paragraphs>137</Paragraphs>
  <ScaleCrop>false</ScaleCrop>
  <HeadingPairs>
    <vt:vector size="2" baseType="variant">
      <vt:variant>
        <vt:lpstr>Title</vt:lpstr>
      </vt:variant>
      <vt:variant>
        <vt:i4>1</vt:i4>
      </vt:variant>
    </vt:vector>
  </HeadingPairs>
  <TitlesOfParts>
    <vt:vector size="1" baseType="lpstr">
      <vt:lpstr>January 2019 Agenda Item X - Meeting Agendas (CA State Board of Education)</vt:lpstr>
    </vt:vector>
  </TitlesOfParts>
  <Company>California State Board of Education</Company>
  <LinksUpToDate>false</LinksUpToDate>
  <CharactersWithSpaces>68977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16 - Meeting Agendas (CA State Board of California)</dc:title>
  <dc:subject>State Annual Performance Report for Part B of the Individuals with Disabilities Education Act of 2004 covering program year 2019-20.</dc:subject>
  <dc:creator/>
  <cp:keywords/>
  <dc:description/>
  <cp:lastPrinted>2019-11-22T22:12:00Z</cp:lastPrinted>
  <dcterms:created xsi:type="dcterms:W3CDTF">2020-12-18T23:01:00Z</dcterms:created>
  <dcterms:modified xsi:type="dcterms:W3CDTF">2020-12-18T23:37:00Z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