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E54E" w14:textId="77777777" w:rsidR="006E06C6" w:rsidRPr="00B160C4" w:rsidRDefault="00D5115F" w:rsidP="00B723BE">
      <w:r w:rsidRPr="00B160C4">
        <w:rPr>
          <w:noProof/>
        </w:rPr>
        <w:drawing>
          <wp:inline distT="0" distB="0" distL="0" distR="0" wp14:anchorId="289B6D8B" wp14:editId="7035130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52D69D47" w14:textId="77777777" w:rsidR="00B723BE" w:rsidRPr="00B160C4" w:rsidRDefault="00FC1FCE" w:rsidP="00B723BE">
      <w:pPr>
        <w:jc w:val="right"/>
      </w:pPr>
      <w:r w:rsidRPr="00B160C4">
        <w:t>California Department of Education</w:t>
      </w:r>
    </w:p>
    <w:p w14:paraId="0E5C92A0" w14:textId="77777777" w:rsidR="00B723BE" w:rsidRPr="00B160C4" w:rsidRDefault="00FC1FCE" w:rsidP="00B723BE">
      <w:pPr>
        <w:jc w:val="right"/>
      </w:pPr>
      <w:r w:rsidRPr="00B160C4">
        <w:t>Executive Office</w:t>
      </w:r>
    </w:p>
    <w:p w14:paraId="1071B1D6" w14:textId="77777777" w:rsidR="002B4B14" w:rsidRPr="00B160C4" w:rsidRDefault="00692300" w:rsidP="00B723BE">
      <w:pPr>
        <w:jc w:val="right"/>
      </w:pPr>
      <w:r w:rsidRPr="00B160C4">
        <w:t>SBE-00</w:t>
      </w:r>
      <w:r w:rsidR="000324AD" w:rsidRPr="00B160C4">
        <w:t>3</w:t>
      </w:r>
      <w:r w:rsidRPr="00B160C4">
        <w:t xml:space="preserve"> (REV. 1</w:t>
      </w:r>
      <w:r w:rsidR="00C27D57" w:rsidRPr="00B160C4">
        <w:t>1</w:t>
      </w:r>
      <w:r w:rsidRPr="00B160C4">
        <w:t>/2017</w:t>
      </w:r>
      <w:r w:rsidR="00FC1FCE" w:rsidRPr="00B160C4">
        <w:t>)</w:t>
      </w:r>
    </w:p>
    <w:p w14:paraId="74C00A93" w14:textId="784ACFC7" w:rsidR="006C7FEB" w:rsidRPr="00B160C4" w:rsidRDefault="00CE0AB4" w:rsidP="006C7FEB">
      <w:pPr>
        <w:jc w:val="right"/>
        <w:rPr>
          <w:rFonts w:cs="Arial"/>
          <w:color w:val="000000"/>
        </w:rPr>
        <w:sectPr w:rsidR="006C7FEB" w:rsidRPr="00B160C4" w:rsidSect="00041BCC">
          <w:headerReference w:type="default" r:id="rId12"/>
          <w:pgSz w:w="12240" w:h="15840"/>
          <w:pgMar w:top="720" w:right="1440" w:bottom="1440" w:left="1440" w:header="720" w:footer="720" w:gutter="0"/>
          <w:pgNumType w:start="1"/>
          <w:cols w:num="2" w:space="720"/>
          <w:titlePg/>
          <w:docGrid w:linePitch="360"/>
        </w:sectPr>
      </w:pPr>
      <w:r w:rsidRPr="00CE0AB4">
        <w:rPr>
          <w:rFonts w:cs="Arial"/>
          <w:color w:val="000000"/>
        </w:rPr>
        <w:t>exec-</w:t>
      </w:r>
      <w:r w:rsidR="00AD7C4C" w:rsidRPr="00CE0AB4">
        <w:rPr>
          <w:rFonts w:cs="Arial"/>
          <w:color w:val="000000"/>
        </w:rPr>
        <w:t>gad</w:t>
      </w:r>
      <w:r w:rsidR="00C758F7" w:rsidRPr="00CE0AB4">
        <w:rPr>
          <w:rFonts w:cs="Arial"/>
          <w:color w:val="000000"/>
        </w:rPr>
        <w:t>-</w:t>
      </w:r>
      <w:r w:rsidR="00A15BDD" w:rsidRPr="00CE0AB4">
        <w:rPr>
          <w:rFonts w:cs="Arial"/>
          <w:color w:val="000000"/>
        </w:rPr>
        <w:t>nov</w:t>
      </w:r>
      <w:r w:rsidR="00554A3C" w:rsidRPr="00CE0AB4">
        <w:rPr>
          <w:rFonts w:cs="Arial"/>
          <w:color w:val="000000"/>
        </w:rPr>
        <w:t>2</w:t>
      </w:r>
      <w:r w:rsidR="00D068F5" w:rsidRPr="00CE0AB4">
        <w:rPr>
          <w:rFonts w:cs="Arial"/>
          <w:color w:val="000000"/>
        </w:rPr>
        <w:t>1</w:t>
      </w:r>
      <w:r w:rsidR="00AD7C4C" w:rsidRPr="00CE0AB4">
        <w:rPr>
          <w:rFonts w:cs="Arial"/>
          <w:color w:val="000000"/>
        </w:rPr>
        <w:t>item</w:t>
      </w:r>
      <w:r w:rsidR="00D3713B" w:rsidRPr="00CE0AB4">
        <w:rPr>
          <w:rFonts w:cs="Arial"/>
          <w:color w:val="000000"/>
        </w:rPr>
        <w:t>01</w:t>
      </w:r>
    </w:p>
    <w:p w14:paraId="06628D36" w14:textId="77777777" w:rsidR="006C7FEB" w:rsidRPr="00B160C4" w:rsidRDefault="006C7FEB" w:rsidP="006C7FEB">
      <w:pPr>
        <w:jc w:val="right"/>
        <w:sectPr w:rsidR="006C7FEB" w:rsidRPr="00B160C4">
          <w:type w:val="continuous"/>
          <w:pgSz w:w="12240" w:h="15840"/>
          <w:pgMar w:top="720" w:right="1440" w:bottom="1440" w:left="1440" w:header="720" w:footer="720" w:gutter="0"/>
          <w:pgNumType w:start="9"/>
          <w:cols w:space="720"/>
          <w:docGrid w:linePitch="360"/>
        </w:sectPr>
      </w:pPr>
    </w:p>
    <w:p w14:paraId="0DD00200" w14:textId="7E0B5EE9" w:rsidR="00FC1FCE" w:rsidRPr="00B160C4" w:rsidRDefault="0091117B" w:rsidP="002B4B14">
      <w:pPr>
        <w:pStyle w:val="Heading1"/>
        <w:spacing w:before="240" w:after="240"/>
        <w:jc w:val="center"/>
        <w:rPr>
          <w:sz w:val="40"/>
          <w:szCs w:val="40"/>
        </w:rPr>
      </w:pPr>
      <w:r w:rsidRPr="00B160C4">
        <w:rPr>
          <w:sz w:val="40"/>
          <w:szCs w:val="40"/>
        </w:rPr>
        <w:t>Californ</w:t>
      </w:r>
      <w:r w:rsidR="00693951" w:rsidRPr="00B160C4">
        <w:rPr>
          <w:sz w:val="40"/>
          <w:szCs w:val="40"/>
        </w:rPr>
        <w:t>ia State Board of Education</w:t>
      </w:r>
      <w:r w:rsidR="00693951" w:rsidRPr="00B160C4">
        <w:rPr>
          <w:sz w:val="40"/>
          <w:szCs w:val="40"/>
        </w:rPr>
        <w:br/>
      </w:r>
      <w:r w:rsidR="00A15BDD">
        <w:rPr>
          <w:sz w:val="40"/>
          <w:szCs w:val="40"/>
        </w:rPr>
        <w:t>November</w:t>
      </w:r>
      <w:r w:rsidR="00130059" w:rsidRPr="00B160C4">
        <w:rPr>
          <w:sz w:val="40"/>
          <w:szCs w:val="40"/>
        </w:rPr>
        <w:t xml:space="preserve"> </w:t>
      </w:r>
      <w:r w:rsidR="006D25F2" w:rsidRPr="00B160C4">
        <w:rPr>
          <w:sz w:val="40"/>
          <w:szCs w:val="40"/>
        </w:rPr>
        <w:t>20</w:t>
      </w:r>
      <w:r w:rsidR="007F15FC" w:rsidRPr="00B160C4">
        <w:rPr>
          <w:sz w:val="40"/>
          <w:szCs w:val="40"/>
        </w:rPr>
        <w:t>2</w:t>
      </w:r>
      <w:r w:rsidR="00D068F5" w:rsidRPr="00B160C4">
        <w:rPr>
          <w:sz w:val="40"/>
          <w:szCs w:val="40"/>
        </w:rPr>
        <w:t>1</w:t>
      </w:r>
      <w:r w:rsidRPr="00B160C4">
        <w:rPr>
          <w:sz w:val="40"/>
          <w:szCs w:val="40"/>
        </w:rPr>
        <w:t xml:space="preserve"> Agenda</w:t>
      </w:r>
      <w:r w:rsidR="00FC1FCE" w:rsidRPr="00B160C4">
        <w:rPr>
          <w:sz w:val="40"/>
          <w:szCs w:val="40"/>
        </w:rPr>
        <w:br/>
        <w:t>Item</w:t>
      </w:r>
      <w:r w:rsidR="00692300" w:rsidRPr="00B160C4">
        <w:rPr>
          <w:sz w:val="40"/>
          <w:szCs w:val="40"/>
        </w:rPr>
        <w:t xml:space="preserve"> #</w:t>
      </w:r>
      <w:r w:rsidR="00D10C6A">
        <w:rPr>
          <w:sz w:val="40"/>
          <w:szCs w:val="40"/>
        </w:rPr>
        <w:t>06</w:t>
      </w:r>
      <w:bookmarkStart w:id="0" w:name="_GoBack"/>
      <w:bookmarkEnd w:id="0"/>
    </w:p>
    <w:p w14:paraId="7FE96202" w14:textId="77777777" w:rsidR="00FC1FCE" w:rsidRPr="00B160C4" w:rsidRDefault="00FC1FCE" w:rsidP="00302E81">
      <w:pPr>
        <w:pStyle w:val="Heading2"/>
        <w:spacing w:before="240" w:after="240"/>
        <w:rPr>
          <w:sz w:val="36"/>
          <w:szCs w:val="36"/>
        </w:rPr>
      </w:pPr>
      <w:r w:rsidRPr="00B160C4">
        <w:rPr>
          <w:sz w:val="36"/>
          <w:szCs w:val="36"/>
        </w:rPr>
        <w:t>Subject</w:t>
      </w:r>
    </w:p>
    <w:p w14:paraId="3761E6C8" w14:textId="3064087E" w:rsidR="00692300" w:rsidRPr="00B160C4" w:rsidRDefault="00B876DA" w:rsidP="00302E81">
      <w:pPr>
        <w:spacing w:after="480"/>
      </w:pPr>
      <w:r w:rsidRPr="00B160C4">
        <w:t xml:space="preserve">Update </w:t>
      </w:r>
      <w:r w:rsidR="00667C6F" w:rsidRPr="00B160C4">
        <w:t>to</w:t>
      </w:r>
      <w:r w:rsidRPr="00B160C4">
        <w:t xml:space="preserve"> California</w:t>
      </w:r>
      <w:r w:rsidR="00F33E87" w:rsidRPr="00B160C4">
        <w:t>’s</w:t>
      </w:r>
      <w:r w:rsidRPr="00B160C4">
        <w:t xml:space="preserve"> </w:t>
      </w:r>
      <w:r w:rsidR="00D068F5" w:rsidRPr="00B160C4">
        <w:t>Every Student Succeeds Act State Plan</w:t>
      </w:r>
      <w:r w:rsidR="00BA7B57" w:rsidRPr="00B160C4">
        <w:t xml:space="preserve">: Approval of the </w:t>
      </w:r>
      <w:r w:rsidR="006E24F2" w:rsidRPr="00B160C4">
        <w:t>Amendments</w:t>
      </w:r>
      <w:r w:rsidR="00BA7B57" w:rsidRPr="00B160C4">
        <w:t xml:space="preserve"> to the State Plan</w:t>
      </w:r>
    </w:p>
    <w:p w14:paraId="41DF4A77" w14:textId="77777777" w:rsidR="00FC1FCE" w:rsidRPr="00B160C4" w:rsidRDefault="00FC1FCE" w:rsidP="00302E81">
      <w:pPr>
        <w:pStyle w:val="Heading2"/>
        <w:spacing w:before="240" w:after="240"/>
        <w:rPr>
          <w:sz w:val="36"/>
          <w:szCs w:val="36"/>
        </w:rPr>
      </w:pPr>
      <w:r w:rsidRPr="00B160C4">
        <w:rPr>
          <w:sz w:val="36"/>
          <w:szCs w:val="36"/>
        </w:rPr>
        <w:t>Type of Action</w:t>
      </w:r>
    </w:p>
    <w:p w14:paraId="2E389FD5" w14:textId="77777777" w:rsidR="001B5B07" w:rsidRPr="00B160C4" w:rsidRDefault="009E5899" w:rsidP="00302E81">
      <w:pPr>
        <w:spacing w:after="480"/>
      </w:pPr>
      <w:r w:rsidRPr="00B160C4">
        <w:t xml:space="preserve">Action, </w:t>
      </w:r>
      <w:r w:rsidR="00623D14" w:rsidRPr="00B160C4">
        <w:t>Information</w:t>
      </w:r>
    </w:p>
    <w:p w14:paraId="4D5877BC" w14:textId="77777777" w:rsidR="00FC1FCE" w:rsidRPr="00B160C4" w:rsidRDefault="00FC1FCE" w:rsidP="00302E81">
      <w:pPr>
        <w:pStyle w:val="Heading2"/>
        <w:spacing w:before="240" w:after="240"/>
        <w:rPr>
          <w:sz w:val="36"/>
          <w:szCs w:val="36"/>
        </w:rPr>
      </w:pPr>
      <w:r w:rsidRPr="00B160C4">
        <w:rPr>
          <w:sz w:val="36"/>
          <w:szCs w:val="36"/>
        </w:rPr>
        <w:t>Summary of the Issue(s)</w:t>
      </w:r>
    </w:p>
    <w:p w14:paraId="225D7E82" w14:textId="74DDB7F8" w:rsidR="00EB6DF6" w:rsidRDefault="00261629" w:rsidP="005A3C7B">
      <w:pPr>
        <w:spacing w:after="240"/>
      </w:pPr>
      <w:r w:rsidRPr="00B160C4">
        <w:t>I</w:t>
      </w:r>
      <w:r w:rsidR="00F1619B" w:rsidRPr="00B160C4">
        <w:t>n January 202</w:t>
      </w:r>
      <w:r w:rsidR="00D3713B">
        <w:t>1</w:t>
      </w:r>
      <w:r w:rsidR="00F1619B" w:rsidRPr="00B160C4">
        <w:t xml:space="preserve">, the </w:t>
      </w:r>
      <w:r w:rsidR="009D1996" w:rsidRPr="00B160C4">
        <w:t>State Board of Education</w:t>
      </w:r>
      <w:r w:rsidR="00E5737F" w:rsidRPr="00B160C4">
        <w:t xml:space="preserve"> (SBE)</w:t>
      </w:r>
      <w:r w:rsidR="006E24F2" w:rsidRPr="00B160C4">
        <w:t xml:space="preserve"> </w:t>
      </w:r>
      <w:r w:rsidR="00E5737F" w:rsidRPr="00B160C4">
        <w:t>approve</w:t>
      </w:r>
      <w:r w:rsidR="00F1619B" w:rsidRPr="00B160C4">
        <w:t xml:space="preserve">d amendments to California’s </w:t>
      </w:r>
      <w:r w:rsidR="004C4D89" w:rsidRPr="00B160C4">
        <w:t xml:space="preserve">Elementary and Secondary Education Act (ESEA) </w:t>
      </w:r>
      <w:r w:rsidR="00FB227E" w:rsidRPr="00B160C4">
        <w:t xml:space="preserve">Consolidated </w:t>
      </w:r>
      <w:r w:rsidR="00F1619B" w:rsidRPr="00B160C4">
        <w:t>State Plan</w:t>
      </w:r>
      <w:r w:rsidR="00FB227E" w:rsidRPr="00B160C4">
        <w:t xml:space="preserve"> (State Plan) under the Every Student Succeeds Act (ESSA) and these amendments </w:t>
      </w:r>
      <w:r w:rsidR="00F73AD2" w:rsidRPr="00B160C4">
        <w:t xml:space="preserve">were subsequently submitted </w:t>
      </w:r>
      <w:r w:rsidR="00FB227E" w:rsidRPr="00B160C4">
        <w:t xml:space="preserve">to </w:t>
      </w:r>
      <w:r w:rsidR="00AD7427" w:rsidRPr="00B160C4">
        <w:t xml:space="preserve">the </w:t>
      </w:r>
      <w:r w:rsidR="001C004D" w:rsidRPr="00B160C4">
        <w:t>U.S. Department of Education (ED)</w:t>
      </w:r>
      <w:r w:rsidR="00FB227E" w:rsidRPr="00B160C4">
        <w:t xml:space="preserve">. </w:t>
      </w:r>
      <w:r w:rsidR="00D3713B">
        <w:t xml:space="preserve">The amendments </w:t>
      </w:r>
      <w:r w:rsidR="004D33AE">
        <w:t>continue to be</w:t>
      </w:r>
      <w:r w:rsidR="00D3713B">
        <w:t xml:space="preserve"> pending review and approval by </w:t>
      </w:r>
      <w:r w:rsidR="00040E1A" w:rsidRPr="00B160C4">
        <w:t>the ED</w:t>
      </w:r>
      <w:r w:rsidR="59DBD693" w:rsidRPr="00B160C4">
        <w:t>.</w:t>
      </w:r>
      <w:r w:rsidR="00D3713B">
        <w:t xml:space="preserve"> </w:t>
      </w:r>
    </w:p>
    <w:p w14:paraId="49F10B5B" w14:textId="2EAFC615" w:rsidR="00D3713B" w:rsidRDefault="00D3713B" w:rsidP="005A3C7B">
      <w:pPr>
        <w:spacing w:after="240"/>
      </w:pPr>
      <w:r>
        <w:t>Th</w:t>
      </w:r>
      <w:r w:rsidR="00EB6DF6">
        <w:t>e</w:t>
      </w:r>
      <w:r>
        <w:t xml:space="preserve"> amendments proposed in this item are a follow</w:t>
      </w:r>
      <w:r w:rsidR="00244B5C">
        <w:t>-</w:t>
      </w:r>
      <w:r>
        <w:t>up to a November 2019</w:t>
      </w:r>
      <w:r w:rsidR="005A3C7B">
        <w:t xml:space="preserve"> </w:t>
      </w:r>
      <w:r>
        <w:t xml:space="preserve">action by the SBE related to </w:t>
      </w:r>
      <w:r w:rsidR="005A3C7B">
        <w:t xml:space="preserve">the ESSA </w:t>
      </w:r>
      <w:r w:rsidR="00244B5C">
        <w:t>S</w:t>
      </w:r>
      <w:r w:rsidR="005A3C7B">
        <w:t xml:space="preserve">ection titled, Disproportionate Rates of Access of Educators. The SBE action in November 2019 </w:t>
      </w:r>
      <w:r w:rsidRPr="00B160C4">
        <w:t>clarified the definitions of ineffective teacher and out of field teacher</w:t>
      </w:r>
      <w:r w:rsidR="005A3C7B">
        <w:t xml:space="preserve">. </w:t>
      </w:r>
      <w:r w:rsidR="005A3C7B" w:rsidRPr="00BB16F0">
        <w:t>This data is match</w:t>
      </w:r>
      <w:r w:rsidR="00BB16F0" w:rsidRPr="00BB16F0">
        <w:t>ed</w:t>
      </w:r>
      <w:r w:rsidR="005A3C7B" w:rsidRPr="00BB16F0">
        <w:t xml:space="preserve"> between data collected by </w:t>
      </w:r>
      <w:r w:rsidR="00244B5C" w:rsidRPr="00BB16F0">
        <w:t xml:space="preserve">the </w:t>
      </w:r>
      <w:r w:rsidR="004C38B3" w:rsidRPr="00BB16F0">
        <w:t>California Department of Education (</w:t>
      </w:r>
      <w:r w:rsidR="005A3C7B" w:rsidRPr="00BB16F0">
        <w:t>CDE</w:t>
      </w:r>
      <w:r w:rsidR="004C38B3" w:rsidRPr="00BB16F0">
        <w:t>)</w:t>
      </w:r>
      <w:r w:rsidR="005A3C7B" w:rsidRPr="00BB16F0">
        <w:t xml:space="preserve"> and the California Commission on Teacher Credentialing (CTC).</w:t>
      </w:r>
      <w:r w:rsidR="005A3C7B">
        <w:t xml:space="preserve"> </w:t>
      </w:r>
      <w:r w:rsidR="00EB6DF6">
        <w:t>For additional context, t</w:t>
      </w:r>
      <w:r w:rsidR="005A3C7B">
        <w:t xml:space="preserve">he following information </w:t>
      </w:r>
      <w:r w:rsidR="00BC5A90">
        <w:t>wa</w:t>
      </w:r>
      <w:r w:rsidR="00EB6DF6">
        <w:t xml:space="preserve">s included </w:t>
      </w:r>
      <w:r w:rsidR="005A3C7B">
        <w:t xml:space="preserve">in </w:t>
      </w:r>
      <w:r w:rsidR="00EB6DF6">
        <w:t xml:space="preserve">California’s </w:t>
      </w:r>
      <w:r w:rsidR="005A3C7B">
        <w:t>ESSA Plan</w:t>
      </w:r>
      <w:r w:rsidR="00BC5A90">
        <w:t xml:space="preserve"> that was approved by</w:t>
      </w:r>
      <w:r w:rsidR="00244B5C">
        <w:t xml:space="preserve"> the</w:t>
      </w:r>
      <w:r w:rsidR="00BC5A90">
        <w:t xml:space="preserve"> ED on December 4, 2020</w:t>
      </w:r>
      <w:r w:rsidR="005A3C7B">
        <w:t xml:space="preserve">. </w:t>
      </w:r>
    </w:p>
    <w:p w14:paraId="20901646" w14:textId="3D5619B9" w:rsidR="005A3C7B" w:rsidRPr="00B160C4" w:rsidRDefault="005A3C7B" w:rsidP="006E2CE9">
      <w:pPr>
        <w:spacing w:after="240"/>
        <w:ind w:left="720" w:right="720"/>
      </w:pPr>
      <w:r w:rsidRPr="000900B3">
        <w:rPr>
          <w:rFonts w:eastAsia="Calibri" w:cs="Arial"/>
        </w:rPr>
        <w:t xml:space="preserve">California is currently determining the process through which teacher </w:t>
      </w:r>
      <w:proofErr w:type="spellStart"/>
      <w:r w:rsidRPr="000900B3">
        <w:rPr>
          <w:rFonts w:eastAsia="Calibri" w:cs="Arial"/>
        </w:rPr>
        <w:t>misassignment</w:t>
      </w:r>
      <w:proofErr w:type="spellEnd"/>
      <w:r w:rsidRPr="000900B3">
        <w:rPr>
          <w:rFonts w:eastAsia="Calibri" w:cs="Arial"/>
        </w:rPr>
        <w:t xml:space="preserve"> data will be collected. Once the process has been clarified, and no later than spring 2019, the CDE will use data collected via the </w:t>
      </w:r>
      <w:r w:rsidR="00A33C03">
        <w:rPr>
          <w:rFonts w:eastAsia="Calibri" w:cs="Arial"/>
        </w:rPr>
        <w:t xml:space="preserve">California </w:t>
      </w:r>
      <w:r w:rsidR="00A33C03" w:rsidRPr="00A33C03">
        <w:rPr>
          <w:rFonts w:cs="Arial"/>
          <w:color w:val="000000"/>
        </w:rPr>
        <w:t>Longitudinal Pupil Assessment System</w:t>
      </w:r>
      <w:r w:rsidR="00A33C03">
        <w:rPr>
          <w:rFonts w:cs="Arial"/>
          <w:color w:val="000000"/>
          <w:sz w:val="18"/>
          <w:szCs w:val="18"/>
        </w:rPr>
        <w:t xml:space="preserve"> (</w:t>
      </w:r>
      <w:r w:rsidRPr="000900B3">
        <w:rPr>
          <w:rFonts w:eastAsia="Calibri" w:cs="Arial"/>
        </w:rPr>
        <w:t>CALPADS</w:t>
      </w:r>
      <w:r w:rsidR="00A33C03">
        <w:rPr>
          <w:rFonts w:eastAsia="Calibri" w:cs="Arial"/>
        </w:rPr>
        <w:t>)</w:t>
      </w:r>
      <w:r w:rsidRPr="000900B3">
        <w:rPr>
          <w:rFonts w:eastAsia="Calibri" w:cs="Arial"/>
        </w:rPr>
        <w:t xml:space="preserve">, data collected by the CTC, and </w:t>
      </w:r>
      <w:proofErr w:type="spellStart"/>
      <w:r w:rsidRPr="000900B3">
        <w:rPr>
          <w:rFonts w:eastAsia="Calibri" w:cs="Arial"/>
          <w:i/>
        </w:rPr>
        <w:t>CalEdFacts</w:t>
      </w:r>
      <w:proofErr w:type="spellEnd"/>
      <w:r w:rsidRPr="000900B3">
        <w:rPr>
          <w:rFonts w:eastAsia="Calibri" w:cs="Arial"/>
          <w:i/>
        </w:rPr>
        <w:t xml:space="preserve"> </w:t>
      </w:r>
      <w:r w:rsidRPr="000900B3">
        <w:rPr>
          <w:rFonts w:eastAsia="Calibri" w:cs="Arial"/>
        </w:rPr>
        <w:t xml:space="preserve">to create data profiles that provide information regarding the rates at which low-income and minority children are taught by teachers in the credential and assignment statuses </w:t>
      </w:r>
      <w:r w:rsidRPr="000900B3">
        <w:rPr>
          <w:rFonts w:cs="Arial"/>
        </w:rPr>
        <w:t>recognized by state</w:t>
      </w:r>
      <w:r w:rsidRPr="000900B3">
        <w:rPr>
          <w:rFonts w:eastAsia="Calibri" w:cs="Arial"/>
        </w:rPr>
        <w:t xml:space="preserve"> law, consistent with the ineffective teacher definition, out-of-field teachers, and inexperienced teachers, compared to the rates </w:t>
      </w:r>
      <w:r w:rsidRPr="000900B3">
        <w:rPr>
          <w:rFonts w:eastAsia="Calibri" w:cs="Arial"/>
        </w:rPr>
        <w:lastRenderedPageBreak/>
        <w:t>at which other children are taught by these types of teachers. The data profile will include comparisons for each of these components. To provide a more precise depiction of equity gaps, California will continue to organize data by deciles.</w:t>
      </w:r>
    </w:p>
    <w:p w14:paraId="37DFDCD1" w14:textId="75783CF2" w:rsidR="00EB6DF6" w:rsidRPr="007E78C3" w:rsidRDefault="00BC5A90" w:rsidP="00D1607C">
      <w:pPr>
        <w:shd w:val="clear" w:color="auto" w:fill="FFFFFF"/>
        <w:spacing w:after="240"/>
        <w:textAlignment w:val="center"/>
        <w:rPr>
          <w:rFonts w:cs="Arial"/>
        </w:rPr>
      </w:pPr>
      <w:r>
        <w:rPr>
          <w:rFonts w:cs="Arial"/>
        </w:rPr>
        <w:t>T</w:t>
      </w:r>
      <w:r w:rsidR="00EB6DF6">
        <w:rPr>
          <w:rFonts w:cs="Arial"/>
        </w:rPr>
        <w:t>he CDE and CTC</w:t>
      </w:r>
      <w:r>
        <w:rPr>
          <w:rFonts w:cs="Arial"/>
        </w:rPr>
        <w:t xml:space="preserve"> recently completed the initial data match based on data from local educational agencies (LEAs) in the 2019–20 school year which allows the CDE for the first time to report on </w:t>
      </w:r>
      <w:r w:rsidR="007D1A20">
        <w:rPr>
          <w:rFonts w:cs="Arial"/>
        </w:rPr>
        <w:t>i</w:t>
      </w:r>
      <w:r>
        <w:rPr>
          <w:rFonts w:cs="Arial"/>
        </w:rPr>
        <w:t xml:space="preserve">neffective </w:t>
      </w:r>
      <w:r w:rsidR="007D1A20">
        <w:rPr>
          <w:rFonts w:cs="Arial"/>
        </w:rPr>
        <w:t>t</w:t>
      </w:r>
      <w:r>
        <w:rPr>
          <w:rFonts w:cs="Arial"/>
        </w:rPr>
        <w:t>eachers. T</w:t>
      </w:r>
      <w:r w:rsidR="00EB6DF6">
        <w:rPr>
          <w:rFonts w:cs="Arial"/>
        </w:rPr>
        <w:t>his item provides the data tables</w:t>
      </w:r>
      <w:r>
        <w:rPr>
          <w:rFonts w:cs="Arial"/>
        </w:rPr>
        <w:t xml:space="preserve"> for </w:t>
      </w:r>
      <w:r w:rsidR="007D1A20">
        <w:rPr>
          <w:rFonts w:cs="Arial"/>
        </w:rPr>
        <w:t>i</w:t>
      </w:r>
      <w:r>
        <w:rPr>
          <w:rFonts w:cs="Arial"/>
        </w:rPr>
        <w:t>neffect</w:t>
      </w:r>
      <w:r w:rsidRPr="007E78C3">
        <w:rPr>
          <w:rFonts w:cs="Arial"/>
        </w:rPr>
        <w:t xml:space="preserve">ive </w:t>
      </w:r>
      <w:r w:rsidR="007D1A20" w:rsidRPr="007E78C3">
        <w:rPr>
          <w:rFonts w:cs="Arial"/>
        </w:rPr>
        <w:t>t</w:t>
      </w:r>
      <w:r w:rsidRPr="007E78C3">
        <w:rPr>
          <w:rFonts w:cs="Arial"/>
        </w:rPr>
        <w:t>eachers as required under ESSA</w:t>
      </w:r>
      <w:r w:rsidR="00EB6DF6" w:rsidRPr="007E78C3">
        <w:rPr>
          <w:rFonts w:cs="Arial"/>
        </w:rPr>
        <w:t>:</w:t>
      </w:r>
    </w:p>
    <w:p w14:paraId="1BFD7F0B" w14:textId="5D914E58" w:rsidR="00EB6DF6" w:rsidRPr="007E78C3" w:rsidRDefault="00EB6DF6" w:rsidP="006E2CE9">
      <w:pPr>
        <w:pStyle w:val="ListParagraph"/>
        <w:numPr>
          <w:ilvl w:val="0"/>
          <w:numId w:val="2"/>
        </w:numPr>
        <w:shd w:val="clear" w:color="auto" w:fill="FFFFFF"/>
        <w:spacing w:after="240"/>
        <w:ind w:left="778"/>
        <w:contextualSpacing w:val="0"/>
        <w:textAlignment w:val="center"/>
        <w:rPr>
          <w:rFonts w:cs="Arial"/>
        </w:rPr>
      </w:pPr>
      <w:r w:rsidRPr="007E78C3">
        <w:rPr>
          <w:rFonts w:cs="Arial"/>
        </w:rPr>
        <w:t>Table 3</w:t>
      </w:r>
      <w:r w:rsidR="007E78C3" w:rsidRPr="007E78C3">
        <w:rPr>
          <w:rFonts w:cs="Arial"/>
        </w:rPr>
        <w:t>0b</w:t>
      </w:r>
      <w:r w:rsidRPr="007E78C3">
        <w:rPr>
          <w:rFonts w:cs="Arial"/>
        </w:rPr>
        <w:t>. 2019</w:t>
      </w:r>
      <w:r w:rsidR="00BC5A90" w:rsidRPr="007E78C3">
        <w:rPr>
          <w:rFonts w:cs="Arial"/>
        </w:rPr>
        <w:t>–</w:t>
      </w:r>
      <w:r w:rsidRPr="007E78C3">
        <w:rPr>
          <w:rFonts w:cs="Arial"/>
        </w:rPr>
        <w:t xml:space="preserve">20 Ineffective Teachers for Title I Schools by Minority </w:t>
      </w:r>
      <w:r w:rsidR="00946A36" w:rsidRPr="007E78C3">
        <w:rPr>
          <w:rFonts w:cs="Arial"/>
        </w:rPr>
        <w:t>Student</w:t>
      </w:r>
      <w:r w:rsidRPr="007E78C3">
        <w:rPr>
          <w:rFonts w:cs="Arial"/>
        </w:rPr>
        <w:t xml:space="preserve"> Enrollment</w:t>
      </w:r>
    </w:p>
    <w:p w14:paraId="09DDF3F3" w14:textId="2AB6D379" w:rsidR="00EB6DF6" w:rsidRPr="007E78C3" w:rsidRDefault="00EB6DF6" w:rsidP="006E2CE9">
      <w:pPr>
        <w:pStyle w:val="ListParagraph"/>
        <w:numPr>
          <w:ilvl w:val="0"/>
          <w:numId w:val="2"/>
        </w:numPr>
        <w:shd w:val="clear" w:color="auto" w:fill="FFFFFF"/>
        <w:spacing w:after="240"/>
        <w:ind w:left="778"/>
        <w:contextualSpacing w:val="0"/>
        <w:textAlignment w:val="center"/>
        <w:rPr>
          <w:rFonts w:cs="Arial"/>
        </w:rPr>
      </w:pPr>
      <w:r w:rsidRPr="007E78C3">
        <w:rPr>
          <w:rFonts w:cs="Arial"/>
        </w:rPr>
        <w:t>Table 3</w:t>
      </w:r>
      <w:r w:rsidR="007E78C3" w:rsidRPr="007E78C3">
        <w:rPr>
          <w:rFonts w:cs="Arial"/>
        </w:rPr>
        <w:t>1b</w:t>
      </w:r>
      <w:r w:rsidRPr="007E78C3">
        <w:rPr>
          <w:rFonts w:cs="Arial"/>
        </w:rPr>
        <w:t>. 2019</w:t>
      </w:r>
      <w:r w:rsidR="00BC5A90" w:rsidRPr="007E78C3">
        <w:rPr>
          <w:rFonts w:cs="Arial"/>
        </w:rPr>
        <w:t>–</w:t>
      </w:r>
      <w:r w:rsidRPr="007E78C3">
        <w:rPr>
          <w:rFonts w:cs="Arial"/>
        </w:rPr>
        <w:t>20 Ineffective Teachers for Title I Schools by</w:t>
      </w:r>
      <w:r w:rsidR="007D1A20" w:rsidRPr="007E78C3">
        <w:rPr>
          <w:rFonts w:cs="Arial"/>
        </w:rPr>
        <w:t xml:space="preserve"> </w:t>
      </w:r>
      <w:r w:rsidRPr="007E78C3">
        <w:rPr>
          <w:rFonts w:cs="Arial"/>
        </w:rPr>
        <w:t xml:space="preserve">Socioeconomically Disadvantaged Student Enrollment </w:t>
      </w:r>
    </w:p>
    <w:p w14:paraId="146D3859" w14:textId="10E0FB02" w:rsidR="00EB6DF6" w:rsidRDefault="00EB6DF6" w:rsidP="006E2CE9">
      <w:pPr>
        <w:pStyle w:val="ListParagraph"/>
        <w:numPr>
          <w:ilvl w:val="0"/>
          <w:numId w:val="2"/>
        </w:numPr>
        <w:shd w:val="clear" w:color="auto" w:fill="FFFFFF"/>
        <w:spacing w:after="240"/>
        <w:ind w:left="778"/>
        <w:contextualSpacing w:val="0"/>
        <w:textAlignment w:val="center"/>
        <w:rPr>
          <w:rFonts w:cs="Arial"/>
        </w:rPr>
      </w:pPr>
      <w:r w:rsidRPr="007E78C3">
        <w:rPr>
          <w:rFonts w:cs="Arial"/>
        </w:rPr>
        <w:t>Table 3</w:t>
      </w:r>
      <w:r w:rsidR="007E78C3" w:rsidRPr="007E78C3">
        <w:rPr>
          <w:rFonts w:cs="Arial"/>
        </w:rPr>
        <w:t>2b</w:t>
      </w:r>
      <w:r>
        <w:rPr>
          <w:rFonts w:cs="Arial"/>
        </w:rPr>
        <w:t>. 2019</w:t>
      </w:r>
      <w:r w:rsidR="00BC5A90">
        <w:rPr>
          <w:rFonts w:cs="Arial"/>
        </w:rPr>
        <w:t>–</w:t>
      </w:r>
      <w:r>
        <w:rPr>
          <w:rFonts w:cs="Arial"/>
        </w:rPr>
        <w:t xml:space="preserve">20 Ineffective Teachers by Socioeconomically Disadvantaged Student Enrollment </w:t>
      </w:r>
    </w:p>
    <w:p w14:paraId="3C323A1D" w14:textId="20C6F572" w:rsidR="00D1607C" w:rsidRDefault="00D1607C" w:rsidP="00347E31">
      <w:pPr>
        <w:shd w:val="clear" w:color="auto" w:fill="FFFFFF"/>
        <w:spacing w:after="480"/>
        <w:textAlignment w:val="center"/>
        <w:rPr>
          <w:rFonts w:cs="Arial"/>
        </w:rPr>
      </w:pPr>
      <w:r w:rsidRPr="00EB6DF6">
        <w:rPr>
          <w:rFonts w:cs="Arial"/>
        </w:rPr>
        <w:t xml:space="preserve">Additionally, </w:t>
      </w:r>
      <w:r w:rsidR="00EB6DF6">
        <w:rPr>
          <w:rFonts w:cs="Arial"/>
        </w:rPr>
        <w:t xml:space="preserve">in response to feedback from LEAs and advocacy groups, the </w:t>
      </w:r>
      <w:r w:rsidRPr="00EB6DF6">
        <w:rPr>
          <w:rFonts w:cs="Arial"/>
        </w:rPr>
        <w:t xml:space="preserve">CDE </w:t>
      </w:r>
      <w:r w:rsidR="00EB6DF6">
        <w:rPr>
          <w:rFonts w:cs="Arial"/>
        </w:rPr>
        <w:t xml:space="preserve">is proposing that </w:t>
      </w:r>
      <w:r w:rsidR="00EB6DF6" w:rsidRPr="00EB6DF6">
        <w:rPr>
          <w:rFonts w:cs="Arial"/>
        </w:rPr>
        <w:t>Local Assignment Options (LAOs)</w:t>
      </w:r>
      <w:r w:rsidR="00EB6DF6">
        <w:rPr>
          <w:rFonts w:cs="Arial"/>
        </w:rPr>
        <w:t xml:space="preserve"> </w:t>
      </w:r>
      <w:r w:rsidR="00EB6DF6" w:rsidRPr="00EB6DF6">
        <w:rPr>
          <w:rFonts w:cs="Arial"/>
        </w:rPr>
        <w:t xml:space="preserve">authorized in </w:t>
      </w:r>
      <w:r w:rsidR="00EB6DF6" w:rsidRPr="00EB6DF6">
        <w:rPr>
          <w:rFonts w:cs="Arial"/>
          <w:i/>
          <w:iCs/>
        </w:rPr>
        <w:t>C</w:t>
      </w:r>
      <w:r w:rsidR="007D1A20">
        <w:rPr>
          <w:rFonts w:cs="Arial"/>
          <w:i/>
          <w:iCs/>
        </w:rPr>
        <w:t xml:space="preserve">alifornia </w:t>
      </w:r>
      <w:r w:rsidR="00EB6DF6" w:rsidRPr="00EB6DF6">
        <w:rPr>
          <w:rFonts w:cs="Arial"/>
          <w:i/>
          <w:iCs/>
        </w:rPr>
        <w:t>C</w:t>
      </w:r>
      <w:r w:rsidR="007D1A20">
        <w:rPr>
          <w:rFonts w:cs="Arial"/>
          <w:i/>
          <w:iCs/>
        </w:rPr>
        <w:t xml:space="preserve">ode of </w:t>
      </w:r>
      <w:r w:rsidR="00EB6DF6" w:rsidRPr="00EB6DF6">
        <w:rPr>
          <w:rFonts w:cs="Arial"/>
          <w:i/>
          <w:iCs/>
        </w:rPr>
        <w:t>R</w:t>
      </w:r>
      <w:r w:rsidR="007D1A20">
        <w:rPr>
          <w:rFonts w:cs="Arial"/>
          <w:i/>
          <w:iCs/>
        </w:rPr>
        <w:t>egulations</w:t>
      </w:r>
      <w:r w:rsidR="00A33C03">
        <w:rPr>
          <w:rFonts w:cs="Arial"/>
          <w:i/>
          <w:iCs/>
        </w:rPr>
        <w:t xml:space="preserve">, </w:t>
      </w:r>
      <w:r w:rsidR="00A33C03">
        <w:rPr>
          <w:rFonts w:cs="Arial"/>
          <w:iCs/>
        </w:rPr>
        <w:t xml:space="preserve">Title 5 </w:t>
      </w:r>
      <w:r w:rsidR="007D1A20" w:rsidRPr="007D1A20">
        <w:rPr>
          <w:rFonts w:cs="Arial"/>
          <w:iCs/>
        </w:rPr>
        <w:t>(</w:t>
      </w:r>
      <w:r w:rsidR="00A33C03">
        <w:rPr>
          <w:rFonts w:cs="Arial"/>
          <w:iCs/>
        </w:rPr>
        <w:t xml:space="preserve">5 </w:t>
      </w:r>
      <w:r w:rsidR="007D1A20">
        <w:rPr>
          <w:rFonts w:cs="Arial"/>
          <w:i/>
          <w:iCs/>
        </w:rPr>
        <w:t>CCR</w:t>
      </w:r>
      <w:r w:rsidR="007D1A20" w:rsidRPr="007D1A20">
        <w:rPr>
          <w:rFonts w:cs="Arial"/>
          <w:iCs/>
        </w:rPr>
        <w:t>)</w:t>
      </w:r>
      <w:r w:rsidR="00EB6DF6" w:rsidRPr="007D1A20">
        <w:rPr>
          <w:rFonts w:cs="Arial"/>
        </w:rPr>
        <w:t xml:space="preserve"> </w:t>
      </w:r>
      <w:r w:rsidR="00EB6DF6" w:rsidRPr="00EB6DF6">
        <w:rPr>
          <w:rFonts w:cs="Arial"/>
        </w:rPr>
        <w:t xml:space="preserve">Section 80005(b) </w:t>
      </w:r>
      <w:r w:rsidR="00EB6DF6">
        <w:rPr>
          <w:rFonts w:cs="Arial"/>
        </w:rPr>
        <w:t xml:space="preserve">which </w:t>
      </w:r>
      <w:r w:rsidR="00EB6DF6" w:rsidRPr="00EB6DF6">
        <w:rPr>
          <w:rFonts w:cs="Arial"/>
        </w:rPr>
        <w:t>allow</w:t>
      </w:r>
      <w:r w:rsidR="007D1A20">
        <w:rPr>
          <w:rFonts w:cs="Arial"/>
        </w:rPr>
        <w:t>s</w:t>
      </w:r>
      <w:r w:rsidR="00EB6DF6" w:rsidRPr="00EB6DF6">
        <w:rPr>
          <w:rFonts w:cs="Arial"/>
        </w:rPr>
        <w:t xml:space="preserve"> kindergarten through grade twelve staff to teach electives within their grade level authorization</w:t>
      </w:r>
      <w:r w:rsidR="00EB6DF6">
        <w:rPr>
          <w:rFonts w:cs="Arial"/>
        </w:rPr>
        <w:t xml:space="preserve"> be exempt </w:t>
      </w:r>
      <w:r w:rsidR="00EB6DF6" w:rsidRPr="00EB6DF6">
        <w:rPr>
          <w:rFonts w:cs="Arial"/>
        </w:rPr>
        <w:t xml:space="preserve">from the out-of-field designation. This particular LAO is unique because appropriate certifications or authorizations for these courses do not currently exist. </w:t>
      </w:r>
      <w:r w:rsidR="00EB6DF6">
        <w:rPr>
          <w:rFonts w:cs="Arial"/>
        </w:rPr>
        <w:t>The CDE provided the SBE a June 2021 Memorandum on this topic</w:t>
      </w:r>
      <w:r w:rsidR="007D1A20">
        <w:rPr>
          <w:rFonts w:cs="Arial"/>
        </w:rPr>
        <w:t xml:space="preserve"> </w:t>
      </w:r>
      <w:r w:rsidR="00BC5A90">
        <w:rPr>
          <w:rFonts w:cs="Arial"/>
        </w:rPr>
        <w:t>(</w:t>
      </w:r>
      <w:hyperlink r:id="rId13" w:tooltip="Overview of Local Assignment Options - June 2021 Memorandum to the State Board of Education" w:history="1">
        <w:r w:rsidR="00BC5A90" w:rsidRPr="00050140">
          <w:rPr>
            <w:rStyle w:val="Hyperlink"/>
            <w:rFonts w:cs="Arial"/>
          </w:rPr>
          <w:t>https://www.cde.ca.gov/be/pn/im/documents/jun21memoeeed01.docx</w:t>
        </w:r>
      </w:hyperlink>
      <w:r w:rsidR="00BC5A90">
        <w:rPr>
          <w:rFonts w:cs="Arial"/>
        </w:rPr>
        <w:t>)</w:t>
      </w:r>
      <w:r w:rsidR="007D1A20">
        <w:rPr>
          <w:rFonts w:cs="Arial"/>
        </w:rPr>
        <w:t>.</w:t>
      </w:r>
    </w:p>
    <w:p w14:paraId="0D60B5C6" w14:textId="77777777" w:rsidR="009741CF" w:rsidRDefault="00765BDA" w:rsidP="00765BDA">
      <w:pPr>
        <w:shd w:val="clear" w:color="auto" w:fill="FFFFFF"/>
        <w:spacing w:after="240"/>
        <w:textAlignment w:val="center"/>
        <w:rPr>
          <w:rFonts w:cs="Arial"/>
        </w:rPr>
      </w:pPr>
      <w:r>
        <w:rPr>
          <w:rFonts w:cs="Arial"/>
        </w:rPr>
        <w:t>Attachment 1 provides a summary of the proposed amendments</w:t>
      </w:r>
      <w:r w:rsidR="00ED3527">
        <w:rPr>
          <w:rFonts w:cs="Arial"/>
        </w:rPr>
        <w:t>.</w:t>
      </w:r>
      <w:r>
        <w:rPr>
          <w:rFonts w:cs="Arial"/>
        </w:rPr>
        <w:t xml:space="preserve"> Attachment 2 </w:t>
      </w:r>
      <w:r w:rsidR="00ED3527" w:rsidRPr="00B160C4">
        <w:t xml:space="preserve">provides </w:t>
      </w:r>
      <w:r w:rsidR="00ED3527" w:rsidRPr="00B160C4">
        <w:rPr>
          <w:rFonts w:cs="Arial"/>
        </w:rPr>
        <w:t>the proposed amendments to the State Plan, compared to the State Plan approved by the ED</w:t>
      </w:r>
      <w:r w:rsidR="00ED3527">
        <w:rPr>
          <w:rFonts w:cs="Arial"/>
        </w:rPr>
        <w:t xml:space="preserve">. </w:t>
      </w:r>
    </w:p>
    <w:p w14:paraId="0BC2CEB0" w14:textId="7E20196F" w:rsidR="00765BDA" w:rsidRPr="00EB6DF6" w:rsidRDefault="00ED3527" w:rsidP="00765BDA">
      <w:pPr>
        <w:shd w:val="clear" w:color="auto" w:fill="FFFFFF"/>
        <w:spacing w:after="240"/>
        <w:textAlignment w:val="center"/>
        <w:rPr>
          <w:rFonts w:cs="Arial"/>
        </w:rPr>
      </w:pPr>
      <w:r>
        <w:rPr>
          <w:rFonts w:cs="Arial"/>
        </w:rPr>
        <w:t xml:space="preserve">Note: Since the ED has not yet approved the amendments that were approved by the SBE in January 2021, the </w:t>
      </w:r>
      <w:r w:rsidR="000F463B">
        <w:rPr>
          <w:rFonts w:cs="Arial"/>
        </w:rPr>
        <w:t xml:space="preserve">ED directed the CDE to only provide the </w:t>
      </w:r>
      <w:r w:rsidR="000F463B">
        <w:t>Section titled, Disproportionate Rates of Access of Educators</w:t>
      </w:r>
      <w:r w:rsidR="000F463B">
        <w:rPr>
          <w:rFonts w:cs="Arial"/>
        </w:rPr>
        <w:t xml:space="preserve"> of the </w:t>
      </w:r>
      <w:r>
        <w:rPr>
          <w:rFonts w:cs="Arial"/>
        </w:rPr>
        <w:t>State Plan</w:t>
      </w:r>
      <w:r w:rsidR="000F463B">
        <w:rPr>
          <w:rFonts w:cs="Arial"/>
        </w:rPr>
        <w:t xml:space="preserve"> during this amendment submission process</w:t>
      </w:r>
      <w:r>
        <w:rPr>
          <w:rFonts w:cs="Arial"/>
        </w:rPr>
        <w:t xml:space="preserve">. </w:t>
      </w:r>
    </w:p>
    <w:p w14:paraId="16C406EB" w14:textId="77777777" w:rsidR="00855C8A" w:rsidRPr="00B160C4" w:rsidRDefault="00855C8A" w:rsidP="00302E81">
      <w:pPr>
        <w:pStyle w:val="Heading2"/>
        <w:spacing w:before="240" w:after="240"/>
        <w:rPr>
          <w:sz w:val="36"/>
          <w:szCs w:val="36"/>
        </w:rPr>
      </w:pPr>
      <w:r w:rsidRPr="00B160C4">
        <w:rPr>
          <w:sz w:val="36"/>
          <w:szCs w:val="36"/>
        </w:rPr>
        <w:t>Recommendation</w:t>
      </w:r>
    </w:p>
    <w:p w14:paraId="55BF12F5" w14:textId="365DD066" w:rsidR="000F04F0" w:rsidRPr="00B160C4" w:rsidRDefault="005C0A35" w:rsidP="00347E31">
      <w:pPr>
        <w:pStyle w:val="NoSpacing"/>
        <w:spacing w:after="480"/>
      </w:pPr>
      <w:r w:rsidRPr="00B160C4">
        <w:t>T</w:t>
      </w:r>
      <w:r w:rsidR="000F04F0" w:rsidRPr="00B160C4">
        <w:t>he C</w:t>
      </w:r>
      <w:r w:rsidRPr="00B160C4">
        <w:t xml:space="preserve">DE </w:t>
      </w:r>
      <w:r w:rsidR="000F04F0" w:rsidRPr="00B160C4">
        <w:t xml:space="preserve">recommends that the </w:t>
      </w:r>
      <w:r w:rsidRPr="00B160C4">
        <w:t>SBE</w:t>
      </w:r>
      <w:r w:rsidR="000F04F0" w:rsidRPr="00B160C4">
        <w:t xml:space="preserve"> approve the amendments to </w:t>
      </w:r>
      <w:r w:rsidR="00244B5C">
        <w:t>the</w:t>
      </w:r>
      <w:r w:rsidR="00F85DF9" w:rsidRPr="00B160C4">
        <w:t xml:space="preserve"> </w:t>
      </w:r>
      <w:r w:rsidR="000F04F0" w:rsidRPr="00B160C4">
        <w:t xml:space="preserve">State Plan, pending the SBE Executive Director approval of final revisions requested by the SBE, correction of any typographical errors, and </w:t>
      </w:r>
      <w:r w:rsidR="000F04F0" w:rsidRPr="00B160C4">
        <w:rPr>
          <w:iCs/>
        </w:rPr>
        <w:t>necessary, non-substantive clarifying edits</w:t>
      </w:r>
      <w:r w:rsidR="000F04F0" w:rsidRPr="00B160C4">
        <w:t>.</w:t>
      </w:r>
    </w:p>
    <w:p w14:paraId="6F6C0962" w14:textId="77777777" w:rsidR="00F40510" w:rsidRPr="00B160C4" w:rsidRDefault="003E4DF7" w:rsidP="00302E81">
      <w:pPr>
        <w:pStyle w:val="Heading2"/>
        <w:spacing w:before="240" w:after="240"/>
        <w:rPr>
          <w:sz w:val="36"/>
          <w:szCs w:val="36"/>
        </w:rPr>
      </w:pPr>
      <w:r w:rsidRPr="00B160C4">
        <w:rPr>
          <w:sz w:val="36"/>
          <w:szCs w:val="36"/>
        </w:rPr>
        <w:lastRenderedPageBreak/>
        <w:t>Brief History of Key Issues</w:t>
      </w:r>
    </w:p>
    <w:p w14:paraId="1EB0F4F5" w14:textId="77777777" w:rsidR="00324201" w:rsidRPr="00B160C4" w:rsidRDefault="00324201" w:rsidP="00302E81">
      <w:pPr>
        <w:spacing w:after="240"/>
        <w:rPr>
          <w:rFonts w:cs="Arial"/>
        </w:rPr>
      </w:pPr>
      <w:r w:rsidRPr="00B160C4">
        <w:rPr>
          <w:rFonts w:cs="Arial"/>
        </w:rPr>
        <w:t>ESSA was signed into law by President Barack Obama on December 10, 2015, and went into effect in the 2017–18 school year. The ESSA reauthorizes the</w:t>
      </w:r>
      <w:r w:rsidR="00AA61AE" w:rsidRPr="00B160C4">
        <w:rPr>
          <w:rFonts w:cs="Arial"/>
        </w:rPr>
        <w:t xml:space="preserve"> ESEA</w:t>
      </w:r>
      <w:r w:rsidRPr="00B160C4">
        <w:rPr>
          <w:rFonts w:cs="Arial"/>
        </w:rPr>
        <w:t>, the nation’s federal education law, and replaces the No Child Left Behind Act (NCLB)</w:t>
      </w:r>
      <w:r w:rsidR="00F075D1" w:rsidRPr="00B160C4">
        <w:rPr>
          <w:rFonts w:cs="Arial"/>
        </w:rPr>
        <w:t>.</w:t>
      </w:r>
    </w:p>
    <w:p w14:paraId="05B21454" w14:textId="71A05616" w:rsidR="0078698E" w:rsidRPr="00B160C4" w:rsidRDefault="00554A3C" w:rsidP="00347E31">
      <w:pPr>
        <w:spacing w:after="480"/>
        <w:rPr>
          <w:rFonts w:cs="Arial"/>
        </w:rPr>
      </w:pPr>
      <w:r w:rsidRPr="00B160C4">
        <w:rPr>
          <w:rFonts w:cs="Arial"/>
        </w:rPr>
        <w:t>The ESSA maintains the original purpose of ESEA: equal opportunity for all students. Departing from the NCLB reauthorization, ESSA grants much more authority to states, provides new opportunities to enhance school leadership, provides more support for early education, and renews a focus on well-rounded educational opportunity and safe and healthy schools. The reauthorization of ESEA provide</w:t>
      </w:r>
      <w:r w:rsidR="009D1996" w:rsidRPr="00B160C4">
        <w:rPr>
          <w:rFonts w:cs="Arial"/>
        </w:rPr>
        <w:t>d</w:t>
      </w:r>
      <w:r w:rsidRPr="00B160C4">
        <w:rPr>
          <w:rFonts w:cs="Arial"/>
        </w:rPr>
        <w:t xml:space="preserve"> California with a number of opportunities to build upon the </w:t>
      </w:r>
      <w:r w:rsidR="00C27458">
        <w:rPr>
          <w:rFonts w:cs="Arial"/>
        </w:rPr>
        <w:t>s</w:t>
      </w:r>
      <w:r w:rsidRPr="00B160C4">
        <w:rPr>
          <w:rFonts w:cs="Arial"/>
        </w:rPr>
        <w:t>tate’s new direction in accountability and continuous improvement.</w:t>
      </w:r>
    </w:p>
    <w:p w14:paraId="5F3511B7" w14:textId="77777777" w:rsidR="00554A3C" w:rsidRPr="00B160C4" w:rsidRDefault="003E4DF7" w:rsidP="00554A3C">
      <w:pPr>
        <w:pStyle w:val="Heading2"/>
        <w:spacing w:before="240" w:after="240"/>
        <w:rPr>
          <w:sz w:val="36"/>
          <w:szCs w:val="36"/>
        </w:rPr>
      </w:pPr>
      <w:r w:rsidRPr="00B160C4">
        <w:rPr>
          <w:sz w:val="36"/>
          <w:szCs w:val="36"/>
        </w:rPr>
        <w:t>Summary of Previous State Bo</w:t>
      </w:r>
      <w:r w:rsidR="0009688A" w:rsidRPr="00B160C4">
        <w:rPr>
          <w:sz w:val="36"/>
          <w:szCs w:val="36"/>
        </w:rPr>
        <w:t>a</w:t>
      </w:r>
      <w:r w:rsidRPr="00B160C4">
        <w:rPr>
          <w:sz w:val="36"/>
          <w:szCs w:val="36"/>
        </w:rPr>
        <w:t>rd of Education Discussion and Action</w:t>
      </w:r>
    </w:p>
    <w:p w14:paraId="034A935C" w14:textId="17C9BE9B" w:rsidR="00D1607C" w:rsidRPr="00D1607C" w:rsidRDefault="00D1607C" w:rsidP="00B160C4">
      <w:pPr>
        <w:spacing w:after="240"/>
      </w:pPr>
      <w:r>
        <w:rPr>
          <w:b/>
          <w:bCs/>
        </w:rPr>
        <w:t xml:space="preserve">June 2021: </w:t>
      </w:r>
      <w:r w:rsidR="00C27458">
        <w:t>T</w:t>
      </w:r>
      <w:r>
        <w:t>he CDE provided the SBE with an Information Memorandum that provided an overview of LAOs.</w:t>
      </w:r>
    </w:p>
    <w:p w14:paraId="37D0BCF9" w14:textId="5D60DF25" w:rsidR="60F764E8" w:rsidRPr="00B160C4" w:rsidRDefault="440082CB" w:rsidP="00B160C4">
      <w:pPr>
        <w:spacing w:after="240"/>
        <w:rPr>
          <w:b/>
          <w:bCs/>
        </w:rPr>
      </w:pPr>
      <w:r w:rsidRPr="00B160C4">
        <w:rPr>
          <w:b/>
          <w:bCs/>
        </w:rPr>
        <w:t xml:space="preserve">December 2020: </w:t>
      </w:r>
      <w:r w:rsidR="00C27458">
        <w:rPr>
          <w:rFonts w:eastAsia="Arial" w:cs="Arial"/>
        </w:rPr>
        <w:t>T</w:t>
      </w:r>
      <w:r w:rsidR="4F5198C3" w:rsidRPr="00B160C4">
        <w:rPr>
          <w:rFonts w:eastAsia="Arial" w:cs="Arial"/>
        </w:rPr>
        <w:t xml:space="preserve">he CDE provided the SBE with an Information Memorandum that </w:t>
      </w:r>
      <w:r w:rsidR="6480D579" w:rsidRPr="00B160C4">
        <w:rPr>
          <w:rFonts w:eastAsia="Arial" w:cs="Arial"/>
        </w:rPr>
        <w:t xml:space="preserve">provided information on </w:t>
      </w:r>
      <w:r w:rsidR="71BCCAEB" w:rsidRPr="00B160C4">
        <w:rPr>
          <w:rFonts w:eastAsia="Arial" w:cs="Arial"/>
        </w:rPr>
        <w:t>the</w:t>
      </w:r>
      <w:r w:rsidR="6480D579" w:rsidRPr="00B160C4">
        <w:rPr>
          <w:rFonts w:eastAsia="Arial" w:cs="Arial"/>
        </w:rPr>
        <w:t xml:space="preserve"> October</w:t>
      </w:r>
      <w:r w:rsidR="5682D91C" w:rsidRPr="00B160C4">
        <w:rPr>
          <w:rFonts w:eastAsia="Arial" w:cs="Arial"/>
        </w:rPr>
        <w:t xml:space="preserve"> 5, 2020</w:t>
      </w:r>
      <w:r w:rsidR="00FF2CDA">
        <w:rPr>
          <w:rFonts w:eastAsia="Arial" w:cs="Arial"/>
        </w:rPr>
        <w:t>,</w:t>
      </w:r>
      <w:r w:rsidR="6480D579" w:rsidRPr="00B160C4">
        <w:rPr>
          <w:rFonts w:eastAsia="Arial" w:cs="Arial"/>
        </w:rPr>
        <w:t xml:space="preserve"> </w:t>
      </w:r>
      <w:r w:rsidR="40630D0E" w:rsidRPr="00B160C4">
        <w:rPr>
          <w:rFonts w:eastAsia="Arial" w:cs="Arial"/>
        </w:rPr>
        <w:t xml:space="preserve">letter </w:t>
      </w:r>
      <w:r w:rsidR="1FD158D2" w:rsidRPr="00B160C4">
        <w:rPr>
          <w:rFonts w:eastAsia="Arial" w:cs="Arial"/>
        </w:rPr>
        <w:t xml:space="preserve">from </w:t>
      </w:r>
      <w:r w:rsidR="00E903DC">
        <w:rPr>
          <w:rFonts w:eastAsia="Arial" w:cs="Arial"/>
        </w:rPr>
        <w:t xml:space="preserve">the </w:t>
      </w:r>
      <w:r w:rsidR="1FD158D2" w:rsidRPr="00B160C4">
        <w:rPr>
          <w:rFonts w:eastAsia="Arial" w:cs="Arial"/>
        </w:rPr>
        <w:t>ED</w:t>
      </w:r>
      <w:r w:rsidR="40630D0E" w:rsidRPr="00B160C4">
        <w:rPr>
          <w:rFonts w:eastAsia="Arial" w:cs="Arial"/>
        </w:rPr>
        <w:t xml:space="preserve"> </w:t>
      </w:r>
      <w:r w:rsidR="1FD158D2" w:rsidRPr="00B160C4">
        <w:rPr>
          <w:rFonts w:eastAsia="Arial" w:cs="Arial"/>
        </w:rPr>
        <w:t xml:space="preserve">which </w:t>
      </w:r>
      <w:r w:rsidR="40630D0E" w:rsidRPr="00B160C4">
        <w:rPr>
          <w:rFonts w:eastAsia="Arial" w:cs="Arial"/>
        </w:rPr>
        <w:t>rais</w:t>
      </w:r>
      <w:r w:rsidR="7ECF8D79" w:rsidRPr="00B160C4">
        <w:rPr>
          <w:rFonts w:eastAsia="Arial" w:cs="Arial"/>
        </w:rPr>
        <w:t>ed</w:t>
      </w:r>
      <w:r w:rsidR="40630D0E" w:rsidRPr="00B160C4">
        <w:rPr>
          <w:rFonts w:eastAsia="Arial" w:cs="Arial"/>
        </w:rPr>
        <w:t xml:space="preserve"> concerns that using modified methods to calculate state indicators for</w:t>
      </w:r>
      <w:r w:rsidR="00BB16F0" w:rsidRPr="00BB16F0">
        <w:t xml:space="preserve"> </w:t>
      </w:r>
      <w:r w:rsidR="00BB16F0" w:rsidRPr="00BB16F0">
        <w:rPr>
          <w:rFonts w:eastAsia="Arial" w:cs="Arial"/>
        </w:rPr>
        <w:t>Dashboard Alternative School Status</w:t>
      </w:r>
      <w:r w:rsidR="40630D0E" w:rsidRPr="00B160C4">
        <w:rPr>
          <w:rFonts w:eastAsia="Arial" w:cs="Arial"/>
        </w:rPr>
        <w:t xml:space="preserve"> schools is not</w:t>
      </w:r>
      <w:r w:rsidR="40630D0E" w:rsidRPr="00B160C4">
        <w:rPr>
          <w:rFonts w:eastAsia="Arial" w:cs="Arial"/>
          <w:b/>
          <w:bCs/>
        </w:rPr>
        <w:t xml:space="preserve"> </w:t>
      </w:r>
      <w:r w:rsidR="40630D0E" w:rsidRPr="00B160C4">
        <w:rPr>
          <w:rFonts w:eastAsia="Arial" w:cs="Arial"/>
        </w:rPr>
        <w:t>permissible under the</w:t>
      </w:r>
      <w:r w:rsidR="02E6F5EE" w:rsidRPr="00B160C4">
        <w:rPr>
          <w:rFonts w:eastAsia="Arial" w:cs="Arial"/>
        </w:rPr>
        <w:t xml:space="preserve"> </w:t>
      </w:r>
      <w:r w:rsidR="40630D0E" w:rsidRPr="00B160C4">
        <w:rPr>
          <w:rFonts w:eastAsia="Arial" w:cs="Arial"/>
        </w:rPr>
        <w:t>ESSA</w:t>
      </w:r>
      <w:r w:rsidR="116241C0" w:rsidRPr="00B160C4">
        <w:rPr>
          <w:rFonts w:eastAsia="Arial" w:cs="Arial"/>
        </w:rPr>
        <w:t xml:space="preserve">. </w:t>
      </w:r>
      <w:r w:rsidR="44E0A9FA" w:rsidRPr="00B160C4">
        <w:rPr>
          <w:rFonts w:eastAsia="Arial" w:cs="Arial"/>
        </w:rPr>
        <w:t>The Information Memorandum also included the response from the CDE asking for more time to bring the issue before the</w:t>
      </w:r>
      <w:r w:rsidR="6AD932C3" w:rsidRPr="00B160C4">
        <w:rPr>
          <w:rFonts w:eastAsia="Arial" w:cs="Arial"/>
        </w:rPr>
        <w:t xml:space="preserve"> SBE. </w:t>
      </w:r>
    </w:p>
    <w:p w14:paraId="31CE4611" w14:textId="30A07374" w:rsidR="00181B10" w:rsidRPr="00B160C4" w:rsidRDefault="00A71A80" w:rsidP="00B160C4">
      <w:pPr>
        <w:spacing w:after="240"/>
      </w:pPr>
      <w:r w:rsidRPr="00B160C4">
        <w:rPr>
          <w:b/>
          <w:bCs/>
        </w:rPr>
        <w:t>January 2020:</w:t>
      </w:r>
      <w:r w:rsidRPr="00B160C4">
        <w:t xml:space="preserve"> The SBE approved the adoption of the amended State </w:t>
      </w:r>
      <w:r w:rsidR="00913683" w:rsidRPr="00B160C4">
        <w:t xml:space="preserve">Plan which (1) updated the long-term goal and revised </w:t>
      </w:r>
      <w:r w:rsidR="00DF307A">
        <w:t>s</w:t>
      </w:r>
      <w:r w:rsidR="00913683" w:rsidRPr="00B160C4">
        <w:t>tatus cut scores for the Graduation Rate Indicator</w:t>
      </w:r>
      <w:r w:rsidR="00DF307A">
        <w:t>,</w:t>
      </w:r>
      <w:r w:rsidR="00913683" w:rsidRPr="00B160C4">
        <w:t xml:space="preserve"> (2) approved the methodology for using the English Learner Progress Indicator (ELPI) for school identification</w:t>
      </w:r>
      <w:r w:rsidR="00DF307A">
        <w:t>,</w:t>
      </w:r>
      <w:r w:rsidR="00913683" w:rsidRPr="00B160C4">
        <w:t xml:space="preserve"> (3) approved status cut scores for the ELPI</w:t>
      </w:r>
      <w:r w:rsidR="00DF307A">
        <w:t>,</w:t>
      </w:r>
      <w:r w:rsidR="00181B10" w:rsidRPr="00B160C4">
        <w:t xml:space="preserve"> (4) clarified the definitions of ineffective teacher</w:t>
      </w:r>
      <w:r w:rsidR="00DF307A">
        <w:t xml:space="preserve"> </w:t>
      </w:r>
      <w:r w:rsidR="00181B10" w:rsidRPr="00B160C4">
        <w:t>and out of field teacher</w:t>
      </w:r>
      <w:r w:rsidR="00DF307A">
        <w:t>,</w:t>
      </w:r>
      <w:r w:rsidR="00181B10" w:rsidRPr="00B160C4">
        <w:t xml:space="preserve"> (5) raised the low graduation threshold to below 68 percent</w:t>
      </w:r>
      <w:r w:rsidR="00DF307A">
        <w:t>,</w:t>
      </w:r>
      <w:r w:rsidR="00181B10" w:rsidRPr="00B160C4">
        <w:t xml:space="preserve"> (6) refined a combined four- and five-year graduation rate for the Graduation Rate Indicator</w:t>
      </w:r>
      <w:r w:rsidR="00DF307A">
        <w:t>,</w:t>
      </w:r>
      <w:r w:rsidR="00181B10" w:rsidRPr="00B160C4">
        <w:t xml:space="preserve"> and (7) reinsert</w:t>
      </w:r>
      <w:r w:rsidR="00E903DC">
        <w:t>ed</w:t>
      </w:r>
      <w:r w:rsidR="00181B10" w:rsidRPr="00B160C4">
        <w:t xml:space="preserve"> the Academic Indicator State Level Data by Student Group </w:t>
      </w:r>
      <w:r w:rsidR="00DF307A">
        <w:t>T</w:t>
      </w:r>
      <w:r w:rsidR="00181B10" w:rsidRPr="00B160C4">
        <w:t>ables</w:t>
      </w:r>
      <w:r w:rsidR="0035188B" w:rsidRPr="00B160C4">
        <w:t xml:space="preserve">. The plan was submitted to </w:t>
      </w:r>
      <w:r w:rsidR="00DF307A">
        <w:t xml:space="preserve">the </w:t>
      </w:r>
      <w:r w:rsidR="0035188B" w:rsidRPr="00B160C4">
        <w:t>ED on January 31, 2020.</w:t>
      </w:r>
    </w:p>
    <w:p w14:paraId="5162CA93" w14:textId="24C183CE" w:rsidR="00554A3C" w:rsidRPr="00B160C4" w:rsidRDefault="00554A3C" w:rsidP="00554A3C">
      <w:pPr>
        <w:spacing w:after="240"/>
      </w:pPr>
      <w:r w:rsidRPr="00B160C4">
        <w:rPr>
          <w:b/>
        </w:rPr>
        <w:t>November 2019:</w:t>
      </w:r>
      <w:r w:rsidRPr="00B160C4">
        <w:t xml:space="preserve"> The SBE (1) clarified the definitions of ineffective teacher and ou</w:t>
      </w:r>
      <w:r w:rsidR="003338D6">
        <w:t>t-</w:t>
      </w:r>
      <w:r w:rsidRPr="00B160C4">
        <w:t>of</w:t>
      </w:r>
      <w:r w:rsidR="003338D6">
        <w:t>-</w:t>
      </w:r>
      <w:r w:rsidRPr="00B160C4">
        <w:t>field teacher</w:t>
      </w:r>
      <w:r w:rsidR="00DF307A">
        <w:t>,</w:t>
      </w:r>
      <w:r w:rsidRPr="00B160C4">
        <w:t xml:space="preserve"> (2) updated long-term goal and revised </w:t>
      </w:r>
      <w:r w:rsidR="00DF307A">
        <w:t>s</w:t>
      </w:r>
      <w:r w:rsidRPr="00B160C4">
        <w:t xml:space="preserve">tatus cut scores for the </w:t>
      </w:r>
      <w:r w:rsidR="00DF307A">
        <w:t>G</w:t>
      </w:r>
      <w:r w:rsidRPr="00B160C4">
        <w:t xml:space="preserve">raduation </w:t>
      </w:r>
      <w:r w:rsidR="00DF307A">
        <w:t>R</w:t>
      </w:r>
      <w:r w:rsidRPr="00B160C4">
        <w:t xml:space="preserve">ate </w:t>
      </w:r>
      <w:r w:rsidR="00DF307A">
        <w:t>I</w:t>
      </w:r>
      <w:r w:rsidRPr="00B160C4">
        <w:t>ndicator</w:t>
      </w:r>
      <w:r w:rsidR="00DF307A">
        <w:t>,</w:t>
      </w:r>
      <w:r w:rsidRPr="00B160C4">
        <w:t xml:space="preserve"> (3) approved status cut score</w:t>
      </w:r>
      <w:r w:rsidR="00DF307A">
        <w:t>s</w:t>
      </w:r>
      <w:r w:rsidRPr="00B160C4">
        <w:t xml:space="preserve"> for the E</w:t>
      </w:r>
      <w:r w:rsidR="00DF307A">
        <w:t>LPI,</w:t>
      </w:r>
      <w:r w:rsidRPr="00B160C4">
        <w:t xml:space="preserve"> and (4) approved the methodology for using the </w:t>
      </w:r>
      <w:r w:rsidR="00DF307A">
        <w:t>ELPI</w:t>
      </w:r>
      <w:r w:rsidRPr="00B160C4">
        <w:t xml:space="preserve"> for school and LEA identification.</w:t>
      </w:r>
    </w:p>
    <w:p w14:paraId="74A70178" w14:textId="2EEA3B72" w:rsidR="00D068F5" w:rsidRPr="00D1607C" w:rsidRDefault="00A00277" w:rsidP="00F5776F">
      <w:pPr>
        <w:spacing w:after="240"/>
        <w:rPr>
          <w:rFonts w:cs="Arial"/>
        </w:rPr>
      </w:pPr>
      <w:r w:rsidRPr="00B160C4">
        <w:rPr>
          <w:b/>
        </w:rPr>
        <w:lastRenderedPageBreak/>
        <w:t xml:space="preserve">July 2018: </w:t>
      </w:r>
      <w:r w:rsidRPr="00B160C4">
        <w:t>The revised version of the State Plan based on the</w:t>
      </w:r>
      <w:r w:rsidRPr="00B160C4">
        <w:rPr>
          <w:b/>
        </w:rPr>
        <w:t xml:space="preserve"> </w:t>
      </w:r>
      <w:r w:rsidR="00F26FE6" w:rsidRPr="00B160C4">
        <w:rPr>
          <w:rFonts w:cs="Arial"/>
        </w:rPr>
        <w:t>June 11, 2018</w:t>
      </w:r>
      <w:r w:rsidR="003338D6">
        <w:rPr>
          <w:rFonts w:cs="Arial"/>
        </w:rPr>
        <w:t>,</w:t>
      </w:r>
      <w:r w:rsidR="00F075D1" w:rsidRPr="00B160C4">
        <w:rPr>
          <w:rFonts w:cs="Arial"/>
        </w:rPr>
        <w:t xml:space="preserve"> </w:t>
      </w:r>
      <w:r w:rsidR="00F26FE6" w:rsidRPr="00B160C4">
        <w:rPr>
          <w:rFonts w:cs="Arial"/>
        </w:rPr>
        <w:t xml:space="preserve">feedback from ED was posted as a part of the </w:t>
      </w:r>
      <w:r w:rsidR="00DF307A">
        <w:rPr>
          <w:rFonts w:cs="Arial"/>
        </w:rPr>
        <w:t>i</w:t>
      </w:r>
      <w:r w:rsidR="00F26FE6" w:rsidRPr="00B160C4">
        <w:rPr>
          <w:rFonts w:cs="Arial"/>
        </w:rPr>
        <w:t>tem. The SBE approve</w:t>
      </w:r>
      <w:r w:rsidR="007F15FC" w:rsidRPr="00B160C4">
        <w:rPr>
          <w:rFonts w:cs="Arial"/>
        </w:rPr>
        <w:t>d</w:t>
      </w:r>
      <w:r w:rsidR="00F26FE6" w:rsidRPr="00B160C4">
        <w:rPr>
          <w:rFonts w:cs="Arial"/>
        </w:rPr>
        <w:t xml:space="preserve"> a revised State Plan. The revised State Plan was submitted to the ED on July 11, 2018.</w:t>
      </w:r>
    </w:p>
    <w:p w14:paraId="45F03E92" w14:textId="39BA692D" w:rsidR="00292328" w:rsidRPr="00B160C4" w:rsidRDefault="00292328" w:rsidP="00F5776F">
      <w:pPr>
        <w:spacing w:after="240"/>
        <w:rPr>
          <w:b/>
        </w:rPr>
      </w:pPr>
      <w:r w:rsidRPr="00B160C4">
        <w:rPr>
          <w:b/>
        </w:rPr>
        <w:t xml:space="preserve">April 2018: </w:t>
      </w:r>
      <w:r w:rsidRPr="00B160C4">
        <w:t xml:space="preserve">The revised version of the State Plan based on the February 14, 2018 feedback from the ED was posted as a part of the </w:t>
      </w:r>
      <w:r w:rsidR="00DF307A">
        <w:t>i</w:t>
      </w:r>
      <w:r w:rsidRPr="00B160C4">
        <w:t>tem. The SBE approve</w:t>
      </w:r>
      <w:r w:rsidR="007F15FC" w:rsidRPr="00B160C4">
        <w:t>d</w:t>
      </w:r>
      <w:r w:rsidRPr="00B160C4">
        <w:t xml:space="preserve"> a revised State Plan and directed the CDE to pursue a waiver related to the </w:t>
      </w:r>
      <w:r w:rsidR="00FB0CE6">
        <w:t>ELPI</w:t>
      </w:r>
      <w:r w:rsidRPr="00B160C4">
        <w:t>.</w:t>
      </w:r>
      <w:r w:rsidR="00455E38" w:rsidRPr="00B160C4">
        <w:t xml:space="preserve"> The revised State Plan was resubmitted to </w:t>
      </w:r>
      <w:r w:rsidR="00F26FE6" w:rsidRPr="00B160C4">
        <w:t xml:space="preserve">the </w:t>
      </w:r>
      <w:r w:rsidR="00455E38" w:rsidRPr="00B160C4">
        <w:t>ED the week of April</w:t>
      </w:r>
      <w:r w:rsidR="003B4ABB" w:rsidRPr="00B160C4">
        <w:t xml:space="preserve"> </w:t>
      </w:r>
      <w:r w:rsidR="00455E38" w:rsidRPr="00B160C4">
        <w:t>16, 2018</w:t>
      </w:r>
      <w:r w:rsidR="001838BA" w:rsidRPr="00B160C4">
        <w:t xml:space="preserve">, and the waiver request was submitted on </w:t>
      </w:r>
      <w:r w:rsidR="00AB74AE" w:rsidRPr="00B160C4">
        <w:t>May 16, 2018</w:t>
      </w:r>
      <w:r w:rsidR="00455E38" w:rsidRPr="00B160C4">
        <w:t>.</w:t>
      </w:r>
    </w:p>
    <w:p w14:paraId="2C9D491F" w14:textId="12480BF2" w:rsidR="00652F97" w:rsidRPr="00B160C4" w:rsidRDefault="00BA2BA0" w:rsidP="00F5776F">
      <w:pPr>
        <w:spacing w:after="240"/>
      </w:pPr>
      <w:r w:rsidRPr="00B160C4">
        <w:rPr>
          <w:b/>
        </w:rPr>
        <w:t>March 2018:</w:t>
      </w:r>
      <w:r w:rsidRPr="00B160C4">
        <w:t xml:space="preserve"> </w:t>
      </w:r>
      <w:r w:rsidR="00652F97" w:rsidRPr="00B160C4">
        <w:t>The revised version of the State Plan based on the February 14, 2018</w:t>
      </w:r>
      <w:r w:rsidR="003338D6">
        <w:t>,</w:t>
      </w:r>
      <w:r w:rsidR="00652F97" w:rsidRPr="00B160C4">
        <w:t xml:space="preserve"> feedback from the ED was posted as a part of the </w:t>
      </w:r>
      <w:r w:rsidR="00C27458">
        <w:t>i</w:t>
      </w:r>
      <w:r w:rsidR="00652F97" w:rsidRPr="00B160C4">
        <w:t xml:space="preserve">tem, and the </w:t>
      </w:r>
      <w:r w:rsidR="003338D6">
        <w:t>SBE</w:t>
      </w:r>
      <w:r w:rsidR="00652F97" w:rsidRPr="00B160C4">
        <w:t xml:space="preserve"> was a</w:t>
      </w:r>
      <w:r w:rsidR="00F075D1" w:rsidRPr="00B160C4">
        <w:t>ske</w:t>
      </w:r>
      <w:r w:rsidR="00652F97" w:rsidRPr="00B160C4">
        <w:t xml:space="preserve">d to </w:t>
      </w:r>
      <w:proofErr w:type="gramStart"/>
      <w:r w:rsidR="00652F97" w:rsidRPr="00B160C4">
        <w:t>take action</w:t>
      </w:r>
      <w:proofErr w:type="gramEnd"/>
      <w:r w:rsidR="00652F97" w:rsidRPr="00B160C4">
        <w:t xml:space="preserve"> on the full revised version. However, due to ongoing negotiations with the ED, the full </w:t>
      </w:r>
      <w:r w:rsidR="00C27458">
        <w:t>i</w:t>
      </w:r>
      <w:r w:rsidR="00652F97" w:rsidRPr="00B160C4">
        <w:t>tem was posted only days prior to the March 2018 SBE meeting. Due to this fact, the CDE staff presented, and the SBE approve</w:t>
      </w:r>
      <w:r w:rsidR="007F15FC" w:rsidRPr="00B160C4">
        <w:t>d</w:t>
      </w:r>
      <w:r w:rsidR="00F075D1" w:rsidRPr="00B160C4">
        <w:t>,</w:t>
      </w:r>
      <w:r w:rsidR="00652F97" w:rsidRPr="00B160C4">
        <w:t xml:space="preserve"> the following sections of the State Plan: A.5, E.1, </w:t>
      </w:r>
      <w:r w:rsidR="00C27458">
        <w:t xml:space="preserve">and </w:t>
      </w:r>
      <w:r w:rsidR="00652F97" w:rsidRPr="00B160C4">
        <w:t xml:space="preserve">I.7.g. The SBE announced plans to hold an additional meeting to </w:t>
      </w:r>
      <w:proofErr w:type="gramStart"/>
      <w:r w:rsidR="00652F97" w:rsidRPr="00B160C4">
        <w:t>take action</w:t>
      </w:r>
      <w:proofErr w:type="gramEnd"/>
      <w:r w:rsidR="00652F97" w:rsidRPr="00B160C4">
        <w:t xml:space="preserve"> on the remaining Title I accountability sections of the revised State Plan.</w:t>
      </w:r>
    </w:p>
    <w:p w14:paraId="290AFB30" w14:textId="499B41F8" w:rsidR="004E417B" w:rsidRPr="00B160C4" w:rsidRDefault="004E417B" w:rsidP="00F5776F">
      <w:pPr>
        <w:spacing w:after="240"/>
      </w:pPr>
      <w:r w:rsidRPr="00B160C4">
        <w:rPr>
          <w:b/>
        </w:rPr>
        <w:t>January 2018</w:t>
      </w:r>
      <w:r w:rsidR="006B1DEE" w:rsidRPr="00B160C4">
        <w:rPr>
          <w:b/>
        </w:rPr>
        <w:t>:</w:t>
      </w:r>
      <w:r w:rsidR="007A7204" w:rsidRPr="00B160C4">
        <w:rPr>
          <w:b/>
        </w:rPr>
        <w:t xml:space="preserve"> </w:t>
      </w:r>
      <w:r w:rsidR="006B1DEE" w:rsidRPr="00B160C4">
        <w:t xml:space="preserve">The </w:t>
      </w:r>
      <w:r w:rsidRPr="00B160C4">
        <w:t xml:space="preserve">CDE staff presented to the SBE a revised version of the State Plan based on the content of the interim feedback letter from the </w:t>
      </w:r>
      <w:r w:rsidR="00456691" w:rsidRPr="00B160C4">
        <w:t>ED</w:t>
      </w:r>
      <w:r w:rsidRPr="00B160C4">
        <w:t>. The SBE discussed and approved the revised State</w:t>
      </w:r>
      <w:r w:rsidR="00A23C5C" w:rsidRPr="00B160C4">
        <w:t xml:space="preserve"> Plan for submission to the ED, with a revision to replace the proposal related to the identification of the lowest performing schools with</w:t>
      </w:r>
      <w:r w:rsidR="00606819" w:rsidRPr="00B160C4">
        <w:t xml:space="preserve"> </w:t>
      </w:r>
      <w:r w:rsidR="00A23C5C" w:rsidRPr="00B160C4">
        <w:t xml:space="preserve">revised language indicating the SBE will consider a proposed State Plan supplement at its March 2018 meeting for submission to the </w:t>
      </w:r>
      <w:r w:rsidR="00456691" w:rsidRPr="00B160C4">
        <w:t>ED</w:t>
      </w:r>
      <w:r w:rsidR="00A23C5C" w:rsidRPr="00B160C4">
        <w:t xml:space="preserve"> that further describes the approach.</w:t>
      </w:r>
    </w:p>
    <w:p w14:paraId="25531A82" w14:textId="011E823D" w:rsidR="00DC7F9E" w:rsidRPr="00B160C4" w:rsidRDefault="00DC7F9E" w:rsidP="00302E81">
      <w:pPr>
        <w:spacing w:after="240"/>
        <w:rPr>
          <w:rFonts w:cs="Arial"/>
          <w:color w:val="000000"/>
        </w:rPr>
      </w:pPr>
      <w:r w:rsidRPr="00B160C4">
        <w:rPr>
          <w:rFonts w:cs="Arial"/>
          <w:b/>
          <w:color w:val="000000"/>
        </w:rPr>
        <w:t>September 2017:</w:t>
      </w:r>
      <w:r w:rsidR="006B1DEE" w:rsidRPr="00B160C4">
        <w:rPr>
          <w:rFonts w:cs="Arial"/>
          <w:b/>
          <w:color w:val="000000"/>
        </w:rPr>
        <w:t xml:space="preserve"> </w:t>
      </w:r>
      <w:r w:rsidR="006B1DEE" w:rsidRPr="00B160C4">
        <w:rPr>
          <w:rFonts w:cs="Arial"/>
          <w:color w:val="000000"/>
        </w:rPr>
        <w:t>The</w:t>
      </w:r>
      <w:r w:rsidRPr="00B160C4">
        <w:rPr>
          <w:rFonts w:cs="Arial"/>
          <w:b/>
          <w:color w:val="000000"/>
        </w:rPr>
        <w:t xml:space="preserve"> </w:t>
      </w:r>
      <w:r w:rsidRPr="00B160C4">
        <w:rPr>
          <w:rFonts w:cs="Arial"/>
          <w:color w:val="000000"/>
        </w:rPr>
        <w:t>CDE staff presented to the SBE a summary of the feedback from stakeholders and a set of proposed revisions to the draft August 2017 State Plan. The SBE discussed and approved the State Plan for submission</w:t>
      </w:r>
      <w:r w:rsidR="006A7D3C" w:rsidRPr="00B160C4">
        <w:rPr>
          <w:rFonts w:cs="Arial"/>
          <w:color w:val="000000"/>
        </w:rPr>
        <w:t xml:space="preserve"> to the ED</w:t>
      </w:r>
      <w:r w:rsidRPr="00B160C4">
        <w:rPr>
          <w:rFonts w:cs="Arial"/>
          <w:color w:val="000000"/>
        </w:rPr>
        <w:t>.</w:t>
      </w:r>
    </w:p>
    <w:p w14:paraId="002CBE4E" w14:textId="77777777" w:rsidR="00DC7F9E" w:rsidRPr="00B160C4" w:rsidRDefault="00DC7F9E" w:rsidP="00302E81">
      <w:pPr>
        <w:spacing w:after="240"/>
        <w:rPr>
          <w:rFonts w:cs="Arial"/>
          <w:color w:val="000000"/>
        </w:rPr>
      </w:pPr>
      <w:r w:rsidRPr="00B160C4">
        <w:rPr>
          <w:rFonts w:cs="Arial"/>
          <w:b/>
          <w:color w:val="000000"/>
        </w:rPr>
        <w:t xml:space="preserve">July 2017: </w:t>
      </w:r>
      <w:r w:rsidR="006B1DEE" w:rsidRPr="00B160C4">
        <w:rPr>
          <w:rFonts w:cs="Arial"/>
          <w:color w:val="000000"/>
        </w:rPr>
        <w:t>The</w:t>
      </w:r>
      <w:r w:rsidR="006B1DEE" w:rsidRPr="00B160C4">
        <w:rPr>
          <w:rFonts w:cs="Arial"/>
          <w:b/>
          <w:color w:val="000000"/>
        </w:rPr>
        <w:t xml:space="preserve"> </w:t>
      </w:r>
      <w:r w:rsidRPr="00B160C4">
        <w:rPr>
          <w:rFonts w:cs="Arial"/>
          <w:color w:val="000000"/>
        </w:rPr>
        <w:t xml:space="preserve">CDE staff presented to the SBE a summary of feedback from the California Practitioners Advisory Group and feedback collected during the 30-day public comment period for the draft State Plan. Based on this feedback and new information regarding ED’s application of the State Plan Peer Review Criteria, staff presented a set of proposed revisions to the draft plan. The SBE discussed and approved most staff recommendations, directing staff to make </w:t>
      </w:r>
      <w:r w:rsidR="006A7D3C" w:rsidRPr="00B160C4">
        <w:rPr>
          <w:rFonts w:cs="Arial"/>
          <w:color w:val="000000"/>
        </w:rPr>
        <w:t xml:space="preserve">additional </w:t>
      </w:r>
      <w:r w:rsidRPr="00B160C4">
        <w:rPr>
          <w:rFonts w:cs="Arial"/>
          <w:color w:val="000000"/>
        </w:rPr>
        <w:t xml:space="preserve">adjustments to </w:t>
      </w:r>
      <w:r w:rsidR="006A7D3C" w:rsidRPr="00B160C4">
        <w:rPr>
          <w:rFonts w:cs="Arial"/>
          <w:color w:val="000000"/>
        </w:rPr>
        <w:t xml:space="preserve">the </w:t>
      </w:r>
      <w:r w:rsidRPr="00B160C4">
        <w:rPr>
          <w:rFonts w:cs="Arial"/>
          <w:color w:val="000000"/>
        </w:rPr>
        <w:t>State Plan</w:t>
      </w:r>
      <w:r w:rsidR="006A7D3C" w:rsidRPr="00B160C4">
        <w:rPr>
          <w:rFonts w:cs="Arial"/>
          <w:color w:val="000000"/>
        </w:rPr>
        <w:t>.</w:t>
      </w:r>
      <w:r w:rsidRPr="00B160C4">
        <w:rPr>
          <w:rFonts w:cs="Arial"/>
          <w:color w:val="000000"/>
        </w:rPr>
        <w:t xml:space="preserve"> </w:t>
      </w:r>
    </w:p>
    <w:p w14:paraId="4F8D57FA" w14:textId="4C71AEDC" w:rsidR="00DC7F9E" w:rsidRPr="00B160C4" w:rsidRDefault="00DC7F9E" w:rsidP="00302E81">
      <w:pPr>
        <w:spacing w:after="240"/>
        <w:rPr>
          <w:rFonts w:cs="Arial"/>
          <w:color w:val="000000"/>
        </w:rPr>
      </w:pPr>
      <w:r w:rsidRPr="00B160C4">
        <w:rPr>
          <w:rFonts w:cs="Arial"/>
          <w:b/>
          <w:color w:val="000000"/>
        </w:rPr>
        <w:t xml:space="preserve">May 2017: </w:t>
      </w:r>
      <w:r w:rsidR="006B1DEE" w:rsidRPr="00B160C4">
        <w:rPr>
          <w:rFonts w:cs="Arial"/>
          <w:color w:val="000000"/>
        </w:rPr>
        <w:t>The</w:t>
      </w:r>
      <w:r w:rsidR="006B1DEE" w:rsidRPr="00B160C4">
        <w:rPr>
          <w:rFonts w:cs="Arial"/>
          <w:b/>
          <w:color w:val="000000"/>
        </w:rPr>
        <w:t xml:space="preserve"> </w:t>
      </w:r>
      <w:r w:rsidRPr="00B160C4">
        <w:rPr>
          <w:rFonts w:cs="Arial"/>
          <w:color w:val="000000"/>
        </w:rPr>
        <w:t>CDE staff presented to the SBE the first complet</w:t>
      </w:r>
      <w:r w:rsidR="00F5776F" w:rsidRPr="00B160C4">
        <w:rPr>
          <w:rFonts w:cs="Arial"/>
          <w:color w:val="000000"/>
        </w:rPr>
        <w:t>e draft of the State Plan.</w:t>
      </w:r>
    </w:p>
    <w:p w14:paraId="7C750103" w14:textId="77777777" w:rsidR="00DC7F9E" w:rsidRPr="00B160C4" w:rsidRDefault="00DC7F9E" w:rsidP="00302E81">
      <w:pPr>
        <w:spacing w:after="240"/>
        <w:rPr>
          <w:rFonts w:cs="Arial"/>
          <w:b/>
          <w:color w:val="000000"/>
        </w:rPr>
      </w:pPr>
      <w:r w:rsidRPr="00B160C4">
        <w:rPr>
          <w:rFonts w:cs="Arial"/>
          <w:b/>
          <w:color w:val="000000"/>
        </w:rPr>
        <w:t>March 2017:</w:t>
      </w:r>
      <w:r w:rsidR="006B1DEE" w:rsidRPr="00B160C4">
        <w:rPr>
          <w:rFonts w:cs="Arial"/>
          <w:b/>
          <w:color w:val="000000"/>
        </w:rPr>
        <w:t xml:space="preserve"> </w:t>
      </w:r>
      <w:r w:rsidR="006B1DEE" w:rsidRPr="00B160C4">
        <w:rPr>
          <w:rFonts w:cs="Arial"/>
          <w:color w:val="000000"/>
        </w:rPr>
        <w:t>The</w:t>
      </w:r>
      <w:r w:rsidRPr="00B160C4">
        <w:rPr>
          <w:rFonts w:cs="Arial"/>
          <w:color w:val="000000"/>
        </w:rPr>
        <w:t xml:space="preserve"> CDE staff presented to the SBE an update on the development of the State Plan including a status update on issues that need to be addressed in the State Plan and stakeholder feedback regarding State Plan policy decisions. Additionally, the SBE </w:t>
      </w:r>
      <w:r w:rsidR="00774BF8" w:rsidRPr="00B160C4">
        <w:rPr>
          <w:rFonts w:cs="Arial"/>
          <w:color w:val="000000"/>
        </w:rPr>
        <w:t xml:space="preserve">unanimously </w:t>
      </w:r>
      <w:r w:rsidRPr="00B160C4">
        <w:rPr>
          <w:rFonts w:cs="Arial"/>
          <w:color w:val="000000"/>
        </w:rPr>
        <w:t>approve</w:t>
      </w:r>
      <w:r w:rsidR="00774BF8" w:rsidRPr="00B160C4">
        <w:rPr>
          <w:rFonts w:cs="Arial"/>
          <w:color w:val="000000"/>
        </w:rPr>
        <w:t>d</w:t>
      </w:r>
      <w:r w:rsidRPr="00B160C4">
        <w:rPr>
          <w:rFonts w:cs="Arial"/>
          <w:color w:val="000000"/>
        </w:rPr>
        <w:t xml:space="preserve"> </w:t>
      </w:r>
      <w:r w:rsidR="00774BF8" w:rsidRPr="00B160C4">
        <w:rPr>
          <w:rFonts w:cs="Arial"/>
          <w:color w:val="000000"/>
        </w:rPr>
        <w:t xml:space="preserve">the CDE recommendation to </w:t>
      </w:r>
      <w:r w:rsidRPr="00B160C4">
        <w:rPr>
          <w:rFonts w:cs="Arial"/>
          <w:color w:val="000000"/>
        </w:rPr>
        <w:t xml:space="preserve">authorize the SBE President to sign and submit </w:t>
      </w:r>
      <w:r w:rsidR="00774BF8" w:rsidRPr="00B160C4">
        <w:rPr>
          <w:rFonts w:cs="Arial"/>
          <w:color w:val="000000"/>
        </w:rPr>
        <w:t xml:space="preserve">any required ESSA </w:t>
      </w:r>
      <w:r w:rsidRPr="00B160C4">
        <w:rPr>
          <w:rFonts w:cs="Arial"/>
          <w:color w:val="000000"/>
        </w:rPr>
        <w:t>assurances to the ED by the due date established by the ED.</w:t>
      </w:r>
    </w:p>
    <w:p w14:paraId="2FB4CD99" w14:textId="50861742" w:rsidR="00DC7F9E" w:rsidRPr="00B160C4" w:rsidRDefault="00DC7F9E" w:rsidP="00302E81">
      <w:pPr>
        <w:spacing w:after="240"/>
        <w:rPr>
          <w:rFonts w:cs="Arial"/>
          <w:b/>
          <w:color w:val="000000"/>
        </w:rPr>
      </w:pPr>
      <w:r w:rsidRPr="00B160C4">
        <w:rPr>
          <w:rFonts w:cs="Arial"/>
          <w:b/>
          <w:color w:val="000000"/>
        </w:rPr>
        <w:lastRenderedPageBreak/>
        <w:t xml:space="preserve">January 2017: </w:t>
      </w:r>
      <w:r w:rsidR="006B1DEE" w:rsidRPr="00B160C4">
        <w:rPr>
          <w:rFonts w:cs="Arial"/>
          <w:color w:val="000000"/>
        </w:rPr>
        <w:t xml:space="preserve">The </w:t>
      </w:r>
      <w:r w:rsidRPr="00B160C4">
        <w:rPr>
          <w:rFonts w:cs="Arial"/>
          <w:color w:val="000000"/>
        </w:rPr>
        <w:t xml:space="preserve">CDE staff presented to the SBE an update on the development of the State Plan including proposed guiding principles and recommended approach for </w:t>
      </w:r>
      <w:r w:rsidR="006B1DEE" w:rsidRPr="00B160C4">
        <w:rPr>
          <w:rFonts w:cs="Arial"/>
          <w:color w:val="000000"/>
        </w:rPr>
        <w:t>the</w:t>
      </w:r>
      <w:r w:rsidRPr="00B160C4">
        <w:rPr>
          <w:rFonts w:cs="Arial"/>
          <w:color w:val="000000"/>
        </w:rPr>
        <w:t xml:space="preserve"> State Plan development. The SBE unanimously approved the guiding principles.</w:t>
      </w:r>
    </w:p>
    <w:p w14:paraId="464023A6" w14:textId="2A72E4A9" w:rsidR="00DC7F9E" w:rsidRPr="00B160C4" w:rsidRDefault="00DC7F9E" w:rsidP="00302E81">
      <w:pPr>
        <w:spacing w:after="240"/>
        <w:rPr>
          <w:rFonts w:cs="Arial"/>
          <w:color w:val="000000"/>
        </w:rPr>
      </w:pPr>
      <w:r w:rsidRPr="00B160C4">
        <w:rPr>
          <w:rFonts w:cs="Arial"/>
          <w:b/>
          <w:color w:val="000000"/>
        </w:rPr>
        <w:t xml:space="preserve">November 2016: </w:t>
      </w:r>
      <w:r w:rsidR="006B1DEE" w:rsidRPr="00B160C4">
        <w:rPr>
          <w:rFonts w:cs="Arial"/>
          <w:color w:val="000000"/>
        </w:rPr>
        <w:t>The</w:t>
      </w:r>
      <w:r w:rsidR="006B1DEE" w:rsidRPr="00B160C4">
        <w:rPr>
          <w:rFonts w:cs="Arial"/>
          <w:b/>
          <w:color w:val="000000"/>
        </w:rPr>
        <w:t xml:space="preserve"> </w:t>
      </w:r>
      <w:r w:rsidRPr="00B160C4">
        <w:rPr>
          <w:rFonts w:cs="Arial"/>
          <w:color w:val="000000"/>
        </w:rPr>
        <w:t>CDE staff presented to the SBE an update on the development of the State Plan including the ESSA Consolidated State Plan Development Draft Timeline; the first draft sections of the State Plan; and the communication, outreach, and consultation CDE staff conducted in September and October 2016. SBE members approved CDE staff recommendations to authorize the SBE President to submit a joint letter with the State Superintendent of Public Instruction</w:t>
      </w:r>
      <w:r w:rsidR="00C27458">
        <w:rPr>
          <w:rFonts w:cs="Arial"/>
          <w:color w:val="000000"/>
        </w:rPr>
        <w:t xml:space="preserve"> (SSPI)</w:t>
      </w:r>
      <w:r w:rsidRPr="00B160C4">
        <w:rPr>
          <w:rFonts w:cs="Arial"/>
          <w:color w:val="000000"/>
        </w:rPr>
        <w:t xml:space="preserve"> in response to ESSA regulations for supplement, not supplant under Title I, Part A.</w:t>
      </w:r>
    </w:p>
    <w:p w14:paraId="25A47292" w14:textId="41F9C064" w:rsidR="00DC7F9E" w:rsidRPr="00B160C4" w:rsidRDefault="00DC7F9E" w:rsidP="00302E81">
      <w:pPr>
        <w:spacing w:after="240"/>
        <w:rPr>
          <w:rFonts w:cs="Arial"/>
          <w:color w:val="000000"/>
        </w:rPr>
      </w:pPr>
      <w:r w:rsidRPr="00B160C4">
        <w:rPr>
          <w:rFonts w:cs="Arial"/>
          <w:b/>
          <w:color w:val="000000"/>
        </w:rPr>
        <w:t xml:space="preserve">September 2016: </w:t>
      </w:r>
      <w:r w:rsidR="006B1DEE" w:rsidRPr="00B160C4">
        <w:rPr>
          <w:rFonts w:cs="Arial"/>
          <w:color w:val="000000"/>
        </w:rPr>
        <w:t xml:space="preserve">The </w:t>
      </w:r>
      <w:r w:rsidRPr="00B160C4">
        <w:rPr>
          <w:rFonts w:cs="Arial"/>
          <w:color w:val="000000"/>
        </w:rPr>
        <w:t xml:space="preserve">CDE staff presented to the SBE an update on the development of the State Plan including an overview of ESSA programs, an overview of State Plan requirements and related decision points, a preliminary status of various decisions, and areas where final regulations will be needed to address plan requirements. </w:t>
      </w:r>
    </w:p>
    <w:p w14:paraId="30CC07A8" w14:textId="00940548" w:rsidR="00DC7F9E" w:rsidRPr="00B160C4" w:rsidRDefault="00DC7F9E" w:rsidP="00302E81">
      <w:pPr>
        <w:spacing w:after="240"/>
        <w:rPr>
          <w:rFonts w:cs="Arial"/>
          <w:color w:val="000000"/>
        </w:rPr>
      </w:pPr>
      <w:r w:rsidRPr="00B160C4">
        <w:rPr>
          <w:rFonts w:cs="Arial"/>
          <w:b/>
          <w:color w:val="000000"/>
        </w:rPr>
        <w:t xml:space="preserve">July 2016: </w:t>
      </w:r>
      <w:r w:rsidR="006B1DEE" w:rsidRPr="00B160C4">
        <w:rPr>
          <w:rFonts w:cs="Arial"/>
          <w:color w:val="000000"/>
        </w:rPr>
        <w:t xml:space="preserve">The </w:t>
      </w:r>
      <w:r w:rsidRPr="00B160C4">
        <w:rPr>
          <w:rFonts w:cs="Arial"/>
          <w:color w:val="000000"/>
        </w:rPr>
        <w:t xml:space="preserve">CDE staff presented to the SBE an update on the development of the State Plan including opportunities in the ESSA to support California’s accountability and continuous improvement system, an update on proposed ESSA regulations, and a description of stakeholder outreach and communications activities. SBE members approved CDE staff recommendations to authorize the SBE President to submit joint letters with the </w:t>
      </w:r>
      <w:r w:rsidR="00C27458">
        <w:rPr>
          <w:rFonts w:cs="Arial"/>
          <w:color w:val="000000"/>
        </w:rPr>
        <w:t>SSPI</w:t>
      </w:r>
      <w:r w:rsidRPr="00B160C4">
        <w:rPr>
          <w:rFonts w:cs="Arial"/>
          <w:color w:val="000000"/>
        </w:rPr>
        <w:t xml:space="preserve"> in response to ESSA regulations for accountability, data reporting, submission of state plans, and assessments. </w:t>
      </w:r>
    </w:p>
    <w:p w14:paraId="46F14D2D" w14:textId="1F932BF0" w:rsidR="00DC7F9E" w:rsidRPr="00D1607C" w:rsidRDefault="00DC7F9E" w:rsidP="00302E81">
      <w:pPr>
        <w:spacing w:after="240"/>
        <w:rPr>
          <w:rFonts w:cs="Arial"/>
          <w:color w:val="000000"/>
        </w:rPr>
      </w:pPr>
      <w:r w:rsidRPr="00B160C4">
        <w:rPr>
          <w:rFonts w:cs="Arial"/>
          <w:b/>
          <w:color w:val="000000"/>
        </w:rPr>
        <w:t>May 2016:</w:t>
      </w:r>
      <w:r w:rsidR="006B1DEE" w:rsidRPr="00B160C4">
        <w:rPr>
          <w:rFonts w:cs="Arial"/>
          <w:color w:val="000000"/>
        </w:rPr>
        <w:t xml:space="preserve"> The</w:t>
      </w:r>
      <w:r w:rsidRPr="00B160C4">
        <w:rPr>
          <w:rFonts w:cs="Arial"/>
          <w:b/>
          <w:color w:val="000000"/>
        </w:rPr>
        <w:t xml:space="preserve"> </w:t>
      </w:r>
      <w:r w:rsidRPr="00B160C4">
        <w:rPr>
          <w:rFonts w:cs="Arial"/>
          <w:color w:val="000000"/>
        </w:rPr>
        <w:t>CDE staff presented to the SBE an update on the development of the State Plan including Title I State Plan requirements described in the ESSA, outreach and consultation with stakeholders, and a draft State Plan development timeline.</w:t>
      </w:r>
      <w:r w:rsidR="00774BF8" w:rsidRPr="00B160C4">
        <w:rPr>
          <w:rFonts w:cs="Arial"/>
          <w:color w:val="000000"/>
        </w:rPr>
        <w:t xml:space="preserve"> The SBE also approved the ESSA 2016–17 School Year Transition Plan and two federal ESSA waiver requests to address double testing in science and </w:t>
      </w:r>
      <w:r w:rsidR="00C27458">
        <w:rPr>
          <w:rFonts w:cs="Arial"/>
          <w:color w:val="000000"/>
        </w:rPr>
        <w:t>s</w:t>
      </w:r>
      <w:r w:rsidR="00774BF8" w:rsidRPr="00B160C4">
        <w:rPr>
          <w:rFonts w:cs="Arial"/>
          <w:color w:val="000000"/>
        </w:rPr>
        <w:t xml:space="preserve">peaking and </w:t>
      </w:r>
      <w:r w:rsidR="00C27458">
        <w:rPr>
          <w:rFonts w:cs="Arial"/>
          <w:color w:val="000000"/>
        </w:rPr>
        <w:t>l</w:t>
      </w:r>
      <w:r w:rsidR="00774BF8" w:rsidRPr="00B160C4">
        <w:rPr>
          <w:rFonts w:cs="Arial"/>
          <w:color w:val="000000"/>
        </w:rPr>
        <w:t>istening assessment requirements.</w:t>
      </w:r>
    </w:p>
    <w:p w14:paraId="322A8CEB" w14:textId="77777777" w:rsidR="00C36D43" w:rsidRPr="00B160C4" w:rsidRDefault="00DC7F9E" w:rsidP="00C36D43">
      <w:pPr>
        <w:spacing w:after="480"/>
        <w:rPr>
          <w:rFonts w:cs="Arial"/>
          <w:b/>
        </w:rPr>
      </w:pPr>
      <w:r w:rsidRPr="00B160C4">
        <w:rPr>
          <w:rFonts w:cs="Arial"/>
          <w:b/>
          <w:color w:val="000000"/>
        </w:rPr>
        <w:t>January 2016:</w:t>
      </w:r>
      <w:r w:rsidRPr="00B160C4">
        <w:rPr>
          <w:rFonts w:cs="Arial"/>
          <w:color w:val="000000"/>
        </w:rPr>
        <w:t xml:space="preserve"> </w:t>
      </w:r>
      <w:r w:rsidR="006B1DEE" w:rsidRPr="00B160C4">
        <w:rPr>
          <w:rFonts w:cs="Arial"/>
          <w:color w:val="000000"/>
        </w:rPr>
        <w:t xml:space="preserve">The </w:t>
      </w:r>
      <w:r w:rsidRPr="00B160C4">
        <w:rPr>
          <w:rFonts w:cs="Arial"/>
          <w:color w:val="000000"/>
        </w:rPr>
        <w:t>CDE staff presented to the SBE an update on issues related to California’s implementation of the ESEA, including information regarding ESSA, and the implications for state accountability and state plans.</w:t>
      </w:r>
    </w:p>
    <w:p w14:paraId="256CD77C" w14:textId="77777777" w:rsidR="00955014" w:rsidRPr="00B160C4" w:rsidRDefault="00955014" w:rsidP="00456691">
      <w:pPr>
        <w:pStyle w:val="Heading2"/>
        <w:spacing w:before="240" w:after="240"/>
        <w:rPr>
          <w:sz w:val="36"/>
          <w:szCs w:val="36"/>
        </w:rPr>
      </w:pPr>
      <w:r w:rsidRPr="00B160C4">
        <w:rPr>
          <w:sz w:val="36"/>
          <w:szCs w:val="36"/>
        </w:rPr>
        <w:t>Fiscal Analysis (as appropriate)</w:t>
      </w:r>
    </w:p>
    <w:p w14:paraId="3F49B47A" w14:textId="77777777" w:rsidR="00031070" w:rsidRPr="00031070" w:rsidRDefault="00031070" w:rsidP="00031070">
      <w:pPr>
        <w:spacing w:after="240"/>
        <w:rPr>
          <w:rFonts w:eastAsiaTheme="majorEastAsia" w:cs="Arial"/>
        </w:rPr>
      </w:pPr>
      <w:r w:rsidRPr="00031070">
        <w:rPr>
          <w:rFonts w:eastAsiaTheme="majorEastAsia" w:cs="Arial"/>
        </w:rPr>
        <w:t>California’s total kindergarten through grade twelve funding from the 2021–22 California Budget Act is $123 billion:</w:t>
      </w:r>
    </w:p>
    <w:p w14:paraId="099D93BA" w14:textId="654A3C94" w:rsidR="00031070" w:rsidRPr="00BB16F0" w:rsidRDefault="00031070" w:rsidP="004966C9">
      <w:pPr>
        <w:pStyle w:val="ListParagraph"/>
        <w:numPr>
          <w:ilvl w:val="0"/>
          <w:numId w:val="4"/>
        </w:numPr>
        <w:spacing w:after="240"/>
        <w:rPr>
          <w:rFonts w:eastAsiaTheme="majorEastAsia" w:cs="Arial"/>
        </w:rPr>
      </w:pPr>
      <w:r w:rsidRPr="00BB16F0">
        <w:rPr>
          <w:rFonts w:eastAsiaTheme="majorEastAsia" w:cs="Arial"/>
        </w:rPr>
        <w:t xml:space="preserve">State: $67.6 </w:t>
      </w:r>
      <w:r w:rsidR="004966C9" w:rsidRPr="00BB16F0">
        <w:rPr>
          <w:rFonts w:eastAsiaTheme="majorEastAsia" w:cs="Arial"/>
        </w:rPr>
        <w:t>b</w:t>
      </w:r>
      <w:r w:rsidRPr="00BB16F0">
        <w:rPr>
          <w:rFonts w:eastAsiaTheme="majorEastAsia" w:cs="Arial"/>
        </w:rPr>
        <w:t>illion (54.</w:t>
      </w:r>
      <w:r w:rsidR="00773CB9">
        <w:rPr>
          <w:rFonts w:eastAsiaTheme="majorEastAsia" w:cs="Arial"/>
        </w:rPr>
        <w:t>9</w:t>
      </w:r>
      <w:r w:rsidRPr="00BB16F0">
        <w:rPr>
          <w:rFonts w:eastAsiaTheme="majorEastAsia" w:cs="Arial"/>
        </w:rPr>
        <w:t xml:space="preserve"> percent)</w:t>
      </w:r>
    </w:p>
    <w:p w14:paraId="7D38ED28" w14:textId="45AD39C3" w:rsidR="00031070" w:rsidRPr="00BB16F0" w:rsidRDefault="00031070" w:rsidP="004966C9">
      <w:pPr>
        <w:pStyle w:val="ListParagraph"/>
        <w:numPr>
          <w:ilvl w:val="0"/>
          <w:numId w:val="4"/>
        </w:numPr>
        <w:spacing w:after="240"/>
        <w:rPr>
          <w:rFonts w:eastAsiaTheme="majorEastAsia" w:cs="Arial"/>
        </w:rPr>
      </w:pPr>
      <w:r w:rsidRPr="00BB16F0">
        <w:rPr>
          <w:rFonts w:eastAsiaTheme="majorEastAsia" w:cs="Arial"/>
        </w:rPr>
        <w:t xml:space="preserve">Local: $36.6 </w:t>
      </w:r>
      <w:r w:rsidR="004966C9" w:rsidRPr="00BB16F0">
        <w:rPr>
          <w:rFonts w:eastAsiaTheme="majorEastAsia" w:cs="Arial"/>
        </w:rPr>
        <w:t>b</w:t>
      </w:r>
      <w:r w:rsidRPr="00BB16F0">
        <w:rPr>
          <w:rFonts w:eastAsiaTheme="majorEastAsia" w:cs="Arial"/>
        </w:rPr>
        <w:t>illion (29.</w:t>
      </w:r>
      <w:r w:rsidR="00773CB9">
        <w:rPr>
          <w:rFonts w:eastAsiaTheme="majorEastAsia" w:cs="Arial"/>
        </w:rPr>
        <w:t>8</w:t>
      </w:r>
      <w:r w:rsidRPr="00BB16F0">
        <w:rPr>
          <w:rFonts w:eastAsiaTheme="majorEastAsia" w:cs="Arial"/>
        </w:rPr>
        <w:t xml:space="preserve"> percent)</w:t>
      </w:r>
    </w:p>
    <w:p w14:paraId="0BEF0647" w14:textId="57716D09" w:rsidR="00031070" w:rsidRPr="00BB16F0" w:rsidRDefault="00031070" w:rsidP="004966C9">
      <w:pPr>
        <w:pStyle w:val="ListParagraph"/>
        <w:numPr>
          <w:ilvl w:val="0"/>
          <w:numId w:val="4"/>
        </w:numPr>
        <w:spacing w:after="240"/>
        <w:rPr>
          <w:rFonts w:eastAsiaTheme="majorEastAsia" w:cs="Arial"/>
        </w:rPr>
      </w:pPr>
      <w:r w:rsidRPr="00BB16F0">
        <w:rPr>
          <w:rFonts w:eastAsiaTheme="majorEastAsia" w:cs="Arial"/>
        </w:rPr>
        <w:t xml:space="preserve">Federal: $18.8 </w:t>
      </w:r>
      <w:r w:rsidR="004966C9" w:rsidRPr="00BB16F0">
        <w:rPr>
          <w:rFonts w:eastAsiaTheme="majorEastAsia" w:cs="Arial"/>
        </w:rPr>
        <w:t>b</w:t>
      </w:r>
      <w:r w:rsidRPr="00BB16F0">
        <w:rPr>
          <w:rFonts w:eastAsiaTheme="majorEastAsia" w:cs="Arial"/>
        </w:rPr>
        <w:t>illion (15.</w:t>
      </w:r>
      <w:r w:rsidR="00773CB9">
        <w:rPr>
          <w:rFonts w:eastAsiaTheme="majorEastAsia" w:cs="Arial"/>
        </w:rPr>
        <w:t>3</w:t>
      </w:r>
      <w:r w:rsidRPr="00BB16F0">
        <w:rPr>
          <w:rFonts w:eastAsiaTheme="majorEastAsia" w:cs="Arial"/>
        </w:rPr>
        <w:t xml:space="preserve"> percent)</w:t>
      </w:r>
    </w:p>
    <w:p w14:paraId="43BA0A7D" w14:textId="5E3CEC4E" w:rsidR="00C06680" w:rsidRPr="00B160C4" w:rsidRDefault="00C06680" w:rsidP="00347E31">
      <w:pPr>
        <w:spacing w:after="480"/>
        <w:rPr>
          <w:rFonts w:cs="Arial"/>
        </w:rPr>
      </w:pPr>
      <w:r w:rsidRPr="00B160C4">
        <w:rPr>
          <w:rFonts w:cs="Arial"/>
          <w:color w:val="000000"/>
        </w:rPr>
        <w:lastRenderedPageBreak/>
        <w:t>ESSA funds are a portion of the total federal funding amount.</w:t>
      </w:r>
    </w:p>
    <w:p w14:paraId="4101B5FB" w14:textId="77777777" w:rsidR="00955014" w:rsidRPr="00B160C4" w:rsidRDefault="00955014" w:rsidP="00456691">
      <w:pPr>
        <w:pStyle w:val="Heading2"/>
        <w:spacing w:before="240" w:after="240"/>
        <w:rPr>
          <w:sz w:val="36"/>
          <w:szCs w:val="36"/>
        </w:rPr>
      </w:pPr>
      <w:r w:rsidRPr="00B160C4">
        <w:rPr>
          <w:sz w:val="36"/>
          <w:szCs w:val="36"/>
        </w:rPr>
        <w:t>Attachment(s)</w:t>
      </w:r>
    </w:p>
    <w:p w14:paraId="77AD71EA" w14:textId="3FFEF10D" w:rsidR="00D1607C" w:rsidRPr="00B160C4" w:rsidRDefault="00D1607C" w:rsidP="00C45BDC">
      <w:pPr>
        <w:pStyle w:val="NoSpacing"/>
        <w:numPr>
          <w:ilvl w:val="0"/>
          <w:numId w:val="1"/>
        </w:numPr>
        <w:spacing w:after="240"/>
        <w:rPr>
          <w:rFonts w:cs="Arial"/>
        </w:rPr>
      </w:pPr>
      <w:r w:rsidRPr="00B160C4">
        <w:rPr>
          <w:rFonts w:cs="Arial"/>
          <w:b/>
        </w:rPr>
        <w:t xml:space="preserve">Attachment </w:t>
      </w:r>
      <w:r>
        <w:rPr>
          <w:rFonts w:cs="Arial"/>
          <w:b/>
        </w:rPr>
        <w:t>1</w:t>
      </w:r>
      <w:r w:rsidRPr="00B160C4">
        <w:rPr>
          <w:rFonts w:cs="Arial"/>
          <w:b/>
        </w:rPr>
        <w:t>:</w:t>
      </w:r>
      <w:r w:rsidRPr="00B160C4">
        <w:rPr>
          <w:rFonts w:cs="Arial"/>
        </w:rPr>
        <w:t xml:space="preserve"> </w:t>
      </w:r>
      <w:r w:rsidR="005E694D" w:rsidRPr="00B160C4">
        <w:rPr>
          <w:bCs/>
        </w:rPr>
        <w:t xml:space="preserve">Overview of the </w:t>
      </w:r>
      <w:bookmarkStart w:id="1" w:name="_Hlk58251923"/>
      <w:r w:rsidR="005E694D" w:rsidRPr="00B160C4">
        <w:rPr>
          <w:bCs/>
        </w:rPr>
        <w:t>Proposed Amendments to California’s Every Student Succeeds Act Consolidated State Plan</w:t>
      </w:r>
      <w:bookmarkEnd w:id="1"/>
      <w:r w:rsidRPr="00B160C4">
        <w:rPr>
          <w:rFonts w:cs="Arial"/>
          <w:bCs/>
        </w:rPr>
        <w:t xml:space="preserve"> (</w:t>
      </w:r>
      <w:r w:rsidR="00946A36">
        <w:rPr>
          <w:rFonts w:cs="Arial"/>
          <w:bCs/>
        </w:rPr>
        <w:t>1</w:t>
      </w:r>
      <w:r w:rsidRPr="00B160C4">
        <w:rPr>
          <w:rFonts w:cs="Arial"/>
          <w:bCs/>
        </w:rPr>
        <w:t xml:space="preserve"> page)</w:t>
      </w:r>
    </w:p>
    <w:p w14:paraId="65F7DF6F" w14:textId="307CB1AF" w:rsidR="00F9595C" w:rsidRDefault="00D1607C" w:rsidP="00347E31">
      <w:pPr>
        <w:pStyle w:val="NoSpacing"/>
        <w:numPr>
          <w:ilvl w:val="0"/>
          <w:numId w:val="1"/>
        </w:numPr>
        <w:spacing w:after="480"/>
        <w:rPr>
          <w:rFonts w:cs="Arial"/>
        </w:rPr>
        <w:sectPr w:rsidR="00F9595C" w:rsidSect="007A4466">
          <w:headerReference w:type="default" r:id="rId14"/>
          <w:type w:val="continuous"/>
          <w:pgSz w:w="12240" w:h="15840"/>
          <w:pgMar w:top="720" w:right="1440" w:bottom="1440" w:left="1440" w:header="720" w:footer="720" w:gutter="0"/>
          <w:pgNumType w:start="1"/>
          <w:cols w:space="720"/>
          <w:titlePg/>
          <w:docGrid w:linePitch="360"/>
        </w:sectPr>
      </w:pPr>
      <w:r w:rsidRPr="00F9595C">
        <w:rPr>
          <w:rFonts w:cs="Arial"/>
          <w:b/>
        </w:rPr>
        <w:t>Attachment 2:</w:t>
      </w:r>
      <w:r w:rsidRPr="00F9595C">
        <w:rPr>
          <w:rFonts w:cs="Arial"/>
        </w:rPr>
        <w:t xml:space="preserve"> </w:t>
      </w:r>
      <w:bookmarkStart w:id="2" w:name="_Hlk84932750"/>
      <w:r w:rsidR="00F9595C" w:rsidRPr="00B160C4">
        <w:t xml:space="preserve">California’s Every Student Succeeds Act Consolidated State Plan </w:t>
      </w:r>
      <w:r w:rsidR="00CE0AB4">
        <w:t>I</w:t>
      </w:r>
      <w:r w:rsidR="00F9595C">
        <w:t xml:space="preserve">ncluding </w:t>
      </w:r>
      <w:r w:rsidR="00CE0AB4">
        <w:t>P</w:t>
      </w:r>
      <w:r w:rsidR="00F9595C">
        <w:t xml:space="preserve">roposed </w:t>
      </w:r>
      <w:r w:rsidR="00CE0AB4">
        <w:t>A</w:t>
      </w:r>
      <w:r w:rsidR="00F9595C">
        <w:t xml:space="preserve">mendments </w:t>
      </w:r>
      <w:bookmarkEnd w:id="2"/>
      <w:r w:rsidR="00F9595C" w:rsidRPr="00B160C4">
        <w:t>(1</w:t>
      </w:r>
      <w:r w:rsidR="00F9595C" w:rsidRPr="007E78C3">
        <w:t>6</w:t>
      </w:r>
      <w:r w:rsidR="007E78C3">
        <w:t xml:space="preserve"> </w:t>
      </w:r>
      <w:r w:rsidR="00F9595C" w:rsidRPr="00B160C4">
        <w:t>pages)</w:t>
      </w:r>
    </w:p>
    <w:p w14:paraId="71439830" w14:textId="1A6F5DB4" w:rsidR="00F9595C" w:rsidRPr="00CE0AB4" w:rsidRDefault="00F9595C" w:rsidP="00CE0AB4">
      <w:pPr>
        <w:pStyle w:val="Heading2"/>
        <w:spacing w:before="0" w:after="240"/>
        <w:rPr>
          <w:sz w:val="36"/>
          <w:szCs w:val="36"/>
        </w:rPr>
      </w:pPr>
      <w:r w:rsidRPr="00CE0AB4">
        <w:rPr>
          <w:sz w:val="36"/>
          <w:szCs w:val="36"/>
        </w:rPr>
        <w:lastRenderedPageBreak/>
        <w:t xml:space="preserve">Attachment 1: Overview of the </w:t>
      </w:r>
      <w:r w:rsidR="00CE0AB4" w:rsidRPr="00CE0AB4">
        <w:rPr>
          <w:sz w:val="36"/>
          <w:szCs w:val="36"/>
        </w:rPr>
        <w:t xml:space="preserve">Proposed </w:t>
      </w:r>
      <w:r w:rsidRPr="00CE0AB4">
        <w:rPr>
          <w:sz w:val="36"/>
          <w:szCs w:val="36"/>
        </w:rPr>
        <w:t>Amendments to California’s E</w:t>
      </w:r>
      <w:r w:rsidR="004C38B3" w:rsidRPr="00CE0AB4">
        <w:rPr>
          <w:sz w:val="36"/>
          <w:szCs w:val="36"/>
        </w:rPr>
        <w:t xml:space="preserve">very </w:t>
      </w:r>
      <w:r w:rsidRPr="00CE0AB4">
        <w:rPr>
          <w:sz w:val="36"/>
          <w:szCs w:val="36"/>
        </w:rPr>
        <w:t>S</w:t>
      </w:r>
      <w:r w:rsidR="004C38B3" w:rsidRPr="00CE0AB4">
        <w:rPr>
          <w:sz w:val="36"/>
          <w:szCs w:val="36"/>
        </w:rPr>
        <w:t xml:space="preserve">tudent </w:t>
      </w:r>
      <w:r w:rsidRPr="00CE0AB4">
        <w:rPr>
          <w:sz w:val="36"/>
          <w:szCs w:val="36"/>
        </w:rPr>
        <w:t>S</w:t>
      </w:r>
      <w:r w:rsidR="004C38B3" w:rsidRPr="00CE0AB4">
        <w:rPr>
          <w:sz w:val="36"/>
          <w:szCs w:val="36"/>
        </w:rPr>
        <w:t xml:space="preserve">ucceeds </w:t>
      </w:r>
      <w:r w:rsidRPr="00CE0AB4">
        <w:rPr>
          <w:sz w:val="36"/>
          <w:szCs w:val="36"/>
        </w:rPr>
        <w:t>A</w:t>
      </w:r>
      <w:r w:rsidR="004C38B3" w:rsidRPr="00CE0AB4">
        <w:rPr>
          <w:sz w:val="36"/>
          <w:szCs w:val="36"/>
        </w:rPr>
        <w:t>ct</w:t>
      </w:r>
      <w:r w:rsidRPr="00CE0AB4">
        <w:rPr>
          <w:sz w:val="36"/>
          <w:szCs w:val="36"/>
        </w:rPr>
        <w:t xml:space="preserve"> </w:t>
      </w:r>
      <w:r w:rsidR="00CE0AB4" w:rsidRPr="00CE0AB4">
        <w:rPr>
          <w:sz w:val="36"/>
          <w:szCs w:val="36"/>
        </w:rPr>
        <w:t xml:space="preserve">Consolidated </w:t>
      </w:r>
      <w:r w:rsidRPr="00CE0AB4">
        <w:rPr>
          <w:sz w:val="36"/>
          <w:szCs w:val="36"/>
        </w:rPr>
        <w:t>State Plan</w:t>
      </w:r>
    </w:p>
    <w:p w14:paraId="493254BC" w14:textId="7DA68EBF" w:rsidR="00F9595C" w:rsidRDefault="00F9595C" w:rsidP="00347E31">
      <w:pPr>
        <w:spacing w:after="480"/>
      </w:pPr>
      <w:r w:rsidRPr="00CC3403">
        <w:t xml:space="preserve">As part of the ongoing development of </w:t>
      </w:r>
      <w:r>
        <w:t>the</w:t>
      </w:r>
      <w:r w:rsidRPr="0075301C">
        <w:t xml:space="preserve"> </w:t>
      </w:r>
      <w:r w:rsidR="007E78C3">
        <w:t xml:space="preserve">Every Student Succeeds Act Consolidated </w:t>
      </w:r>
      <w:r w:rsidRPr="0075301C">
        <w:t>State</w:t>
      </w:r>
      <w:r>
        <w:t xml:space="preserve"> Plan</w:t>
      </w:r>
      <w:r w:rsidRPr="00323B61">
        <w:t xml:space="preserve"> </w:t>
      </w:r>
      <w:r w:rsidR="007E78C3">
        <w:t xml:space="preserve">(State Plan) </w:t>
      </w:r>
      <w:r>
        <w:t xml:space="preserve">and </w:t>
      </w:r>
      <w:r w:rsidRPr="00CC3403">
        <w:t xml:space="preserve">the California School Dashboard, the </w:t>
      </w:r>
      <w:r w:rsidR="0080437B">
        <w:t>California Department of Education (</w:t>
      </w:r>
      <w:r w:rsidR="004C38B3">
        <w:t>C</w:t>
      </w:r>
      <w:r w:rsidRPr="00CC3403">
        <w:t>DE</w:t>
      </w:r>
      <w:r w:rsidR="0080437B">
        <w:t>)</w:t>
      </w:r>
      <w:r w:rsidRPr="00CC3403">
        <w:t xml:space="preserve"> is requesting</w:t>
      </w:r>
      <w:r>
        <w:t xml:space="preserve"> the adoption of the following amendments. </w:t>
      </w:r>
    </w:p>
    <w:p w14:paraId="119F0757" w14:textId="5198FA9D" w:rsidR="00F9595C" w:rsidRPr="00CE0AB4" w:rsidRDefault="00F9595C" w:rsidP="00CE0AB4">
      <w:pPr>
        <w:pStyle w:val="Heading3"/>
      </w:pPr>
      <w:r w:rsidRPr="00CE0AB4">
        <w:t xml:space="preserve">Summary: </w:t>
      </w:r>
      <w:r w:rsidR="00C22069" w:rsidRPr="00CE0AB4">
        <w:t>Disproportionate Rates of Access to Educators (</w:t>
      </w:r>
      <w:r w:rsidR="00EC2EBB" w:rsidRPr="00CE0AB4">
        <w:t>Elementary and Secondary Education Act</w:t>
      </w:r>
      <w:r w:rsidR="00C22069" w:rsidRPr="00CE0AB4">
        <w:t xml:space="preserve"> </w:t>
      </w:r>
      <w:r w:rsidR="004C38B3" w:rsidRPr="00CE0AB4">
        <w:t>S</w:t>
      </w:r>
      <w:r w:rsidR="00C22069" w:rsidRPr="00CE0AB4">
        <w:t>ection 1111</w:t>
      </w:r>
      <w:r w:rsidR="00347E31" w:rsidRPr="00CE0AB4">
        <w:t>[</w:t>
      </w:r>
      <w:r w:rsidR="00C22069" w:rsidRPr="00CE0AB4">
        <w:t>g</w:t>
      </w:r>
      <w:r w:rsidR="00347E31" w:rsidRPr="00CE0AB4">
        <w:t>][</w:t>
      </w:r>
      <w:r w:rsidR="00C22069" w:rsidRPr="00CE0AB4">
        <w:t>1</w:t>
      </w:r>
      <w:r w:rsidR="00347E31" w:rsidRPr="00CE0AB4">
        <w:t>][</w:t>
      </w:r>
      <w:r w:rsidR="00C22069" w:rsidRPr="00CE0AB4">
        <w:t>B</w:t>
      </w:r>
      <w:r w:rsidR="00347E31" w:rsidRPr="00CE0AB4">
        <w:t>]</w:t>
      </w:r>
      <w:r w:rsidR="00C22069" w:rsidRPr="00CE0AB4">
        <w:t>)</w:t>
      </w:r>
    </w:p>
    <w:p w14:paraId="6D9E31E7" w14:textId="7D2943D8" w:rsidR="00C22069" w:rsidRDefault="00C22069" w:rsidP="00347E31">
      <w:pPr>
        <w:spacing w:after="240"/>
      </w:pPr>
      <w:r>
        <w:rPr>
          <w:rFonts w:cs="Arial"/>
        </w:rPr>
        <w:t xml:space="preserve">The CDE is proposing that </w:t>
      </w:r>
      <w:r w:rsidR="00D77F84" w:rsidRPr="00EB6DF6">
        <w:rPr>
          <w:rFonts w:cs="Arial"/>
        </w:rPr>
        <w:t xml:space="preserve">Local Assignment Options </w:t>
      </w:r>
      <w:r w:rsidR="00D77F84">
        <w:rPr>
          <w:rFonts w:cs="Arial"/>
        </w:rPr>
        <w:t>(</w:t>
      </w:r>
      <w:r w:rsidRPr="00EB6DF6">
        <w:rPr>
          <w:rFonts w:cs="Arial"/>
        </w:rPr>
        <w:t>LAOs</w:t>
      </w:r>
      <w:r w:rsidR="00D77F84">
        <w:rPr>
          <w:rFonts w:cs="Arial"/>
        </w:rPr>
        <w:t>)</w:t>
      </w:r>
      <w:r>
        <w:rPr>
          <w:rFonts w:cs="Arial"/>
        </w:rPr>
        <w:t xml:space="preserve"> </w:t>
      </w:r>
      <w:r w:rsidRPr="00EB6DF6">
        <w:rPr>
          <w:rFonts w:cs="Arial"/>
        </w:rPr>
        <w:t xml:space="preserve">authorized in </w:t>
      </w:r>
      <w:r w:rsidR="00D77F84">
        <w:rPr>
          <w:rFonts w:cs="Arial"/>
          <w:i/>
        </w:rPr>
        <w:t xml:space="preserve">California Code of Regulations </w:t>
      </w:r>
      <w:r w:rsidR="00D77F84">
        <w:rPr>
          <w:rFonts w:cs="Arial"/>
        </w:rPr>
        <w:t>Title 5 (</w:t>
      </w:r>
      <w:r w:rsidRPr="00EB6DF6">
        <w:rPr>
          <w:rFonts w:cs="Arial"/>
          <w:i/>
          <w:iCs/>
        </w:rPr>
        <w:t>5 CCR</w:t>
      </w:r>
      <w:r w:rsidR="00D77F84" w:rsidRPr="00D77F84">
        <w:rPr>
          <w:rFonts w:cs="Arial"/>
          <w:iCs/>
        </w:rPr>
        <w:t>)</w:t>
      </w:r>
      <w:r w:rsidRPr="00D77F84">
        <w:rPr>
          <w:rFonts w:cs="Arial"/>
        </w:rPr>
        <w:t xml:space="preserve"> </w:t>
      </w:r>
      <w:r w:rsidRPr="00EB6DF6">
        <w:rPr>
          <w:rFonts w:cs="Arial"/>
        </w:rPr>
        <w:t xml:space="preserve">Section 80005(b) </w:t>
      </w:r>
      <w:r>
        <w:rPr>
          <w:rFonts w:cs="Arial"/>
        </w:rPr>
        <w:t xml:space="preserve">which </w:t>
      </w:r>
      <w:r w:rsidRPr="00EB6DF6">
        <w:rPr>
          <w:rFonts w:cs="Arial"/>
        </w:rPr>
        <w:t>allow kindergarten through grade twelve staff to teach electives within their grade level authorization</w:t>
      </w:r>
      <w:r>
        <w:rPr>
          <w:rFonts w:cs="Arial"/>
        </w:rPr>
        <w:t xml:space="preserve"> be exempt </w:t>
      </w:r>
      <w:r w:rsidRPr="00EB6DF6">
        <w:rPr>
          <w:rFonts w:cs="Arial"/>
        </w:rPr>
        <w:t xml:space="preserve">from the out-of-field designation. This particular LAO is unique because appropriate certifications or authorizations for these courses do not currently exist. </w:t>
      </w:r>
      <w:r>
        <w:rPr>
          <w:rFonts w:cs="Arial"/>
        </w:rPr>
        <w:t xml:space="preserve">The CDE provided the </w:t>
      </w:r>
      <w:r w:rsidR="00D77F84">
        <w:rPr>
          <w:rFonts w:cs="Arial"/>
        </w:rPr>
        <w:t>State Board of Education (</w:t>
      </w:r>
      <w:r>
        <w:rPr>
          <w:rFonts w:cs="Arial"/>
        </w:rPr>
        <w:t>SBE</w:t>
      </w:r>
      <w:r w:rsidR="00D77F84">
        <w:rPr>
          <w:rFonts w:cs="Arial"/>
        </w:rPr>
        <w:t>)</w:t>
      </w:r>
      <w:r>
        <w:rPr>
          <w:rFonts w:cs="Arial"/>
        </w:rPr>
        <w:t xml:space="preserve"> a June 2021 Memorandum on this topic (</w:t>
      </w:r>
      <w:hyperlink r:id="rId15" w:tooltip="Overview of Local Assignment Options - June 2021 Memorandum to the State Board of Education" w:history="1">
        <w:r w:rsidRPr="00050140">
          <w:rPr>
            <w:rStyle w:val="Hyperlink"/>
            <w:rFonts w:cs="Arial"/>
          </w:rPr>
          <w:t>https://www.cde.ca.gov/be/pn/im/documents/jun21memoeeed01.docx</w:t>
        </w:r>
      </w:hyperlink>
      <w:r>
        <w:rPr>
          <w:rFonts w:cs="Arial"/>
        </w:rPr>
        <w:t>)</w:t>
      </w:r>
      <w:r w:rsidR="00CE0AB4">
        <w:rPr>
          <w:rFonts w:cs="Arial"/>
        </w:rPr>
        <w:t>.</w:t>
      </w:r>
      <w:r>
        <w:t xml:space="preserve"> </w:t>
      </w:r>
    </w:p>
    <w:p w14:paraId="4112A290" w14:textId="7CBB7875" w:rsidR="00C22069" w:rsidRDefault="00C22069" w:rsidP="00347E31">
      <w:pPr>
        <w:spacing w:after="240"/>
      </w:pPr>
      <w:r>
        <w:t xml:space="preserve">Additionally, the </w:t>
      </w:r>
      <w:r w:rsidR="00D77F84" w:rsidRPr="00B160C4">
        <w:t xml:space="preserve">State Plan </w:t>
      </w:r>
      <w:r>
        <w:t xml:space="preserve">is amended to add the </w:t>
      </w:r>
      <w:r w:rsidR="00F9595C">
        <w:t>following data tables related to ineffective teachers</w:t>
      </w:r>
      <w:r>
        <w:t>:</w:t>
      </w:r>
    </w:p>
    <w:p w14:paraId="0659EC1B" w14:textId="478AEA71" w:rsidR="00F9595C" w:rsidRPr="007E78C3" w:rsidRDefault="00F9595C" w:rsidP="00347E31">
      <w:pPr>
        <w:pStyle w:val="ListParagraph"/>
        <w:numPr>
          <w:ilvl w:val="0"/>
          <w:numId w:val="2"/>
        </w:numPr>
        <w:shd w:val="clear" w:color="auto" w:fill="FFFFFF"/>
        <w:spacing w:after="240"/>
        <w:ind w:left="778"/>
        <w:contextualSpacing w:val="0"/>
        <w:textAlignment w:val="center"/>
        <w:rPr>
          <w:rFonts w:cs="Arial"/>
        </w:rPr>
      </w:pPr>
      <w:r>
        <w:rPr>
          <w:rFonts w:cs="Arial"/>
        </w:rPr>
        <w:t xml:space="preserve">Table </w:t>
      </w:r>
      <w:r w:rsidRPr="007E78C3">
        <w:rPr>
          <w:rFonts w:cs="Arial"/>
        </w:rPr>
        <w:t>3</w:t>
      </w:r>
      <w:r w:rsidR="007E78C3" w:rsidRPr="007E78C3">
        <w:rPr>
          <w:rFonts w:cs="Arial"/>
        </w:rPr>
        <w:t>0b</w:t>
      </w:r>
      <w:r w:rsidRPr="007E78C3">
        <w:rPr>
          <w:rFonts w:cs="Arial"/>
        </w:rPr>
        <w:t xml:space="preserve">. 2019–20 Ineffective Teachers for Title I Schools by Minority </w:t>
      </w:r>
      <w:r w:rsidR="00C22069" w:rsidRPr="007E78C3">
        <w:rPr>
          <w:rFonts w:cs="Arial"/>
        </w:rPr>
        <w:t>Student</w:t>
      </w:r>
      <w:r w:rsidRPr="007E78C3">
        <w:rPr>
          <w:rFonts w:cs="Arial"/>
        </w:rPr>
        <w:t xml:space="preserve"> Enrollment</w:t>
      </w:r>
    </w:p>
    <w:p w14:paraId="42C3828D" w14:textId="6D0BB0E4" w:rsidR="00F9595C" w:rsidRPr="007E78C3" w:rsidRDefault="00F9595C" w:rsidP="00347E31">
      <w:pPr>
        <w:pStyle w:val="ListParagraph"/>
        <w:numPr>
          <w:ilvl w:val="0"/>
          <w:numId w:val="2"/>
        </w:numPr>
        <w:shd w:val="clear" w:color="auto" w:fill="FFFFFF"/>
        <w:spacing w:after="240"/>
        <w:ind w:left="778"/>
        <w:contextualSpacing w:val="0"/>
        <w:textAlignment w:val="center"/>
        <w:rPr>
          <w:rFonts w:cs="Arial"/>
        </w:rPr>
      </w:pPr>
      <w:r w:rsidRPr="007E78C3">
        <w:rPr>
          <w:rFonts w:cs="Arial"/>
        </w:rPr>
        <w:t>Table 3</w:t>
      </w:r>
      <w:r w:rsidR="007E78C3" w:rsidRPr="007E78C3">
        <w:rPr>
          <w:rFonts w:cs="Arial"/>
        </w:rPr>
        <w:t>1b</w:t>
      </w:r>
      <w:r w:rsidRPr="007E78C3">
        <w:rPr>
          <w:rFonts w:cs="Arial"/>
        </w:rPr>
        <w:t xml:space="preserve">. 2019–20 Ineffective Teachers for Title I Schools by Socioeconomically Disadvantaged Student Enrollment </w:t>
      </w:r>
    </w:p>
    <w:p w14:paraId="55A49911" w14:textId="77777777" w:rsidR="00684BE6" w:rsidRPr="007E78C3" w:rsidRDefault="00F9595C" w:rsidP="00347E31">
      <w:pPr>
        <w:pStyle w:val="ListParagraph"/>
        <w:numPr>
          <w:ilvl w:val="0"/>
          <w:numId w:val="2"/>
        </w:numPr>
        <w:shd w:val="clear" w:color="auto" w:fill="FFFFFF"/>
        <w:spacing w:after="240"/>
        <w:ind w:left="778"/>
        <w:contextualSpacing w:val="0"/>
        <w:textAlignment w:val="center"/>
        <w:rPr>
          <w:rFonts w:cs="Arial"/>
        </w:rPr>
      </w:pPr>
      <w:r w:rsidRPr="007E78C3">
        <w:rPr>
          <w:rFonts w:cs="Arial"/>
        </w:rPr>
        <w:t>Table 3</w:t>
      </w:r>
      <w:r w:rsidR="007E78C3" w:rsidRPr="007E78C3">
        <w:rPr>
          <w:rFonts w:cs="Arial"/>
        </w:rPr>
        <w:t>2b</w:t>
      </w:r>
      <w:r w:rsidRPr="007E78C3">
        <w:rPr>
          <w:rFonts w:cs="Arial"/>
        </w:rPr>
        <w:t>. 2019–20 Ineffective Teachers by Socioeconomically Disadvantaged Student Enrollment</w:t>
      </w:r>
    </w:p>
    <w:sectPr w:rsidR="00684BE6" w:rsidRPr="007E78C3" w:rsidSect="00F9595C">
      <w:headerReference w:type="first" r:id="rId16"/>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4449" w14:textId="77777777" w:rsidR="002251E9" w:rsidRDefault="002251E9" w:rsidP="000E09DC">
      <w:r>
        <w:separator/>
      </w:r>
    </w:p>
  </w:endnote>
  <w:endnote w:type="continuationSeparator" w:id="0">
    <w:p w14:paraId="7859A7AB" w14:textId="77777777" w:rsidR="002251E9" w:rsidRDefault="002251E9" w:rsidP="000E09DC">
      <w:r>
        <w:continuationSeparator/>
      </w:r>
    </w:p>
  </w:endnote>
  <w:endnote w:type="continuationNotice" w:id="1">
    <w:p w14:paraId="7D3FAD7F" w14:textId="77777777" w:rsidR="002251E9" w:rsidRDefault="00225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9DA9" w14:textId="77777777" w:rsidR="002251E9" w:rsidRDefault="002251E9" w:rsidP="000E09DC">
      <w:r>
        <w:separator/>
      </w:r>
    </w:p>
  </w:footnote>
  <w:footnote w:type="continuationSeparator" w:id="0">
    <w:p w14:paraId="16400AF5" w14:textId="77777777" w:rsidR="002251E9" w:rsidRDefault="002251E9" w:rsidP="000E09DC">
      <w:r>
        <w:continuationSeparator/>
      </w:r>
    </w:p>
  </w:footnote>
  <w:footnote w:type="continuationNotice" w:id="1">
    <w:p w14:paraId="0A417C49" w14:textId="77777777" w:rsidR="002251E9" w:rsidRDefault="00225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0895" w14:textId="77777777" w:rsidR="00CD3B8F" w:rsidRPr="00C758F7" w:rsidRDefault="00CD3B8F" w:rsidP="00C758F7">
    <w:pPr>
      <w:pStyle w:val="NoSpacing"/>
      <w:jc w:val="right"/>
      <w:rPr>
        <w:rFonts w:cs="Arial"/>
      </w:rPr>
    </w:pPr>
    <w:r w:rsidRPr="00C758F7">
      <w:rPr>
        <w:rFonts w:cs="Arial"/>
      </w:rPr>
      <w:t>gad-lao-jan2020item01</w:t>
    </w:r>
  </w:p>
  <w:p w14:paraId="34AE1C7D" w14:textId="77777777" w:rsidR="00CD3B8F" w:rsidRDefault="00CD3B8F" w:rsidP="00C758F7">
    <w:pPr>
      <w:pStyle w:val="Header"/>
      <w:spacing w:after="240"/>
      <w:jc w:val="right"/>
    </w:pPr>
    <w:r>
      <w:t xml:space="preserve">Page </w:t>
    </w:r>
    <w:r>
      <w:rPr>
        <w:noProof/>
      </w:rPr>
      <w:fldChar w:fldCharType="begin"/>
    </w:r>
    <w:r>
      <w:rPr>
        <w:noProof/>
      </w:rPr>
      <w:instrText xml:space="preserve"> PAGE  \* Arabic  \* MERGEFORMAT </w:instrText>
    </w:r>
    <w:r>
      <w:rPr>
        <w:noProof/>
      </w:rPr>
      <w:fldChar w:fldCharType="separate"/>
    </w:r>
    <w:r>
      <w:rPr>
        <w:noProof/>
      </w:rPr>
      <w:t>5</w:t>
    </w:r>
    <w:r>
      <w:rPr>
        <w:noProof/>
      </w:rPr>
      <w:fldChar w:fldCharType="end"/>
    </w:r>
    <w:r>
      <w:rPr>
        <w:noProof/>
      </w:rPr>
      <w:t xml:space="preserve"> of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EB1E114" w14:textId="34B8669F" w:rsidR="00CD3B8F" w:rsidRDefault="00CE0AB4">
        <w:pPr>
          <w:pStyle w:val="Header"/>
          <w:jc w:val="right"/>
        </w:pPr>
        <w:r>
          <w:t>exec-</w:t>
        </w:r>
        <w:r w:rsidR="00CD3B8F">
          <w:t>gad-</w:t>
        </w:r>
        <w:r w:rsidR="00D1607C">
          <w:t>nov</w:t>
        </w:r>
        <w:r w:rsidR="00CD3B8F">
          <w:t>21item01</w:t>
        </w:r>
      </w:p>
      <w:p w14:paraId="3914AB16" w14:textId="6FC01C76" w:rsidR="00CD3B8F" w:rsidRDefault="00CD3B8F" w:rsidP="00CE0AB4">
        <w:pPr>
          <w:pStyle w:val="Header"/>
          <w:spacing w:after="480"/>
          <w:jc w:val="right"/>
        </w:pPr>
        <w:r w:rsidRPr="007A4466">
          <w:t xml:space="preserve">Page </w:t>
        </w:r>
        <w:r>
          <w:fldChar w:fldCharType="begin"/>
        </w:r>
        <w:r>
          <w:instrText xml:space="preserve"> PAGE   \* MERGEFORMAT </w:instrText>
        </w:r>
        <w:r>
          <w:fldChar w:fldCharType="separate"/>
        </w:r>
        <w:r>
          <w:rPr>
            <w:noProof/>
          </w:rPr>
          <w:t>1</w:t>
        </w:r>
        <w:r>
          <w:rPr>
            <w:noProof/>
          </w:rPr>
          <w:fldChar w:fldCharType="end"/>
        </w:r>
        <w:r w:rsidRPr="007A4466">
          <w:t xml:space="preserve"> of </w:t>
        </w:r>
        <w:r w:rsidR="009741CF">
          <w:t>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63F8" w14:textId="77777777" w:rsidR="00684BE6" w:rsidRDefault="00684BE6" w:rsidP="00F9595C">
    <w:pPr>
      <w:pStyle w:val="Header"/>
      <w:jc w:val="right"/>
    </w:pPr>
    <w:r>
      <w:t>exec-gad-nov21item01</w:t>
    </w:r>
  </w:p>
  <w:p w14:paraId="0F69D5C6" w14:textId="456BDE70" w:rsidR="00684BE6" w:rsidRDefault="00684BE6" w:rsidP="00F9595C">
    <w:pPr>
      <w:pStyle w:val="Header"/>
      <w:jc w:val="right"/>
    </w:pPr>
    <w:r>
      <w:t xml:space="preserve">Attachment </w:t>
    </w:r>
    <w:r w:rsidR="007E78C3">
      <w:t>1</w:t>
    </w:r>
  </w:p>
  <w:p w14:paraId="6A3AB4A4" w14:textId="15F2521C" w:rsidR="00684BE6" w:rsidRDefault="00684BE6" w:rsidP="00CE0AB4">
    <w:pPr>
      <w:pStyle w:val="Header"/>
      <w:spacing w:after="480"/>
      <w:jc w:val="right"/>
    </w:pPr>
    <w:r w:rsidRPr="007E78C3">
      <w:t xml:space="preserve">Page </w:t>
    </w:r>
    <w:r w:rsidR="007E78C3" w:rsidRPr="007E78C3">
      <w:rPr>
        <w:bCs/>
      </w:rPr>
      <w:t>1</w:t>
    </w:r>
    <w:r w:rsidRPr="007E78C3">
      <w:t xml:space="preserve"> of </w:t>
    </w:r>
    <w:r w:rsidR="007E78C3" w:rsidRPr="007E78C3">
      <w:rPr>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64D62"/>
    <w:multiLevelType w:val="hybridMultilevel"/>
    <w:tmpl w:val="F678DC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1483B4D"/>
    <w:multiLevelType w:val="hybridMultilevel"/>
    <w:tmpl w:val="66762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7197A"/>
    <w:multiLevelType w:val="hybridMultilevel"/>
    <w:tmpl w:val="286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D57FD"/>
    <w:multiLevelType w:val="hybridMultilevel"/>
    <w:tmpl w:val="FE10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183"/>
    <w:rsid w:val="0000141F"/>
    <w:rsid w:val="000040D5"/>
    <w:rsid w:val="000067A1"/>
    <w:rsid w:val="000078BE"/>
    <w:rsid w:val="000122B0"/>
    <w:rsid w:val="000166A4"/>
    <w:rsid w:val="00021310"/>
    <w:rsid w:val="00025918"/>
    <w:rsid w:val="0002747A"/>
    <w:rsid w:val="000278F6"/>
    <w:rsid w:val="000279AB"/>
    <w:rsid w:val="00030A6B"/>
    <w:rsid w:val="00031070"/>
    <w:rsid w:val="000324AD"/>
    <w:rsid w:val="00040E1A"/>
    <w:rsid w:val="00041BCC"/>
    <w:rsid w:val="000478E8"/>
    <w:rsid w:val="000506AF"/>
    <w:rsid w:val="00055AE5"/>
    <w:rsid w:val="0005639F"/>
    <w:rsid w:val="00063820"/>
    <w:rsid w:val="00063E6A"/>
    <w:rsid w:val="00066F35"/>
    <w:rsid w:val="00073476"/>
    <w:rsid w:val="00086E92"/>
    <w:rsid w:val="00087407"/>
    <w:rsid w:val="00091AF3"/>
    <w:rsid w:val="0009688A"/>
    <w:rsid w:val="000A579F"/>
    <w:rsid w:val="000B42EC"/>
    <w:rsid w:val="000B55C9"/>
    <w:rsid w:val="000B683E"/>
    <w:rsid w:val="000B760C"/>
    <w:rsid w:val="000D6954"/>
    <w:rsid w:val="000E09DC"/>
    <w:rsid w:val="000E2FD8"/>
    <w:rsid w:val="000E36CA"/>
    <w:rsid w:val="000E56DF"/>
    <w:rsid w:val="000E6C5B"/>
    <w:rsid w:val="000E7F93"/>
    <w:rsid w:val="000F04F0"/>
    <w:rsid w:val="000F1BBE"/>
    <w:rsid w:val="000F32D9"/>
    <w:rsid w:val="000F463B"/>
    <w:rsid w:val="000F5D2E"/>
    <w:rsid w:val="0010033D"/>
    <w:rsid w:val="001005F0"/>
    <w:rsid w:val="00103846"/>
    <w:rsid w:val="001048F3"/>
    <w:rsid w:val="0010736A"/>
    <w:rsid w:val="001139B7"/>
    <w:rsid w:val="001154FF"/>
    <w:rsid w:val="001171A4"/>
    <w:rsid w:val="00121DAF"/>
    <w:rsid w:val="0012398F"/>
    <w:rsid w:val="00130059"/>
    <w:rsid w:val="001312F9"/>
    <w:rsid w:val="0014591A"/>
    <w:rsid w:val="001548CD"/>
    <w:rsid w:val="00157190"/>
    <w:rsid w:val="00157619"/>
    <w:rsid w:val="00166871"/>
    <w:rsid w:val="00176339"/>
    <w:rsid w:val="0018148D"/>
    <w:rsid w:val="001817B3"/>
    <w:rsid w:val="00181B10"/>
    <w:rsid w:val="001838BA"/>
    <w:rsid w:val="00185B9C"/>
    <w:rsid w:val="0019346B"/>
    <w:rsid w:val="001A0CA5"/>
    <w:rsid w:val="001A2969"/>
    <w:rsid w:val="001B239A"/>
    <w:rsid w:val="001B2E0C"/>
    <w:rsid w:val="001B3958"/>
    <w:rsid w:val="001B5B07"/>
    <w:rsid w:val="001C004D"/>
    <w:rsid w:val="001C30C7"/>
    <w:rsid w:val="001D0750"/>
    <w:rsid w:val="001D3749"/>
    <w:rsid w:val="001D4021"/>
    <w:rsid w:val="001E1929"/>
    <w:rsid w:val="001E1C9C"/>
    <w:rsid w:val="001E3419"/>
    <w:rsid w:val="00206E10"/>
    <w:rsid w:val="002077F2"/>
    <w:rsid w:val="00213200"/>
    <w:rsid w:val="0022085B"/>
    <w:rsid w:val="00223112"/>
    <w:rsid w:val="002251E9"/>
    <w:rsid w:val="002313D4"/>
    <w:rsid w:val="0023737C"/>
    <w:rsid w:val="002406DF"/>
    <w:rsid w:val="00240B26"/>
    <w:rsid w:val="0024322D"/>
    <w:rsid w:val="00244B5C"/>
    <w:rsid w:val="00244E53"/>
    <w:rsid w:val="00250A9B"/>
    <w:rsid w:val="00252C26"/>
    <w:rsid w:val="002556E8"/>
    <w:rsid w:val="00261629"/>
    <w:rsid w:val="0026371C"/>
    <w:rsid w:val="002670BB"/>
    <w:rsid w:val="002761CF"/>
    <w:rsid w:val="00276B7C"/>
    <w:rsid w:val="00276D91"/>
    <w:rsid w:val="00277527"/>
    <w:rsid w:val="00282393"/>
    <w:rsid w:val="00286E4E"/>
    <w:rsid w:val="00287686"/>
    <w:rsid w:val="002876CB"/>
    <w:rsid w:val="00292328"/>
    <w:rsid w:val="00294034"/>
    <w:rsid w:val="00294241"/>
    <w:rsid w:val="0029520D"/>
    <w:rsid w:val="0029565F"/>
    <w:rsid w:val="002A1A7D"/>
    <w:rsid w:val="002A36BF"/>
    <w:rsid w:val="002A5D9C"/>
    <w:rsid w:val="002A5E29"/>
    <w:rsid w:val="002B4B14"/>
    <w:rsid w:val="002C7008"/>
    <w:rsid w:val="002C7234"/>
    <w:rsid w:val="002D1A82"/>
    <w:rsid w:val="002D4ACE"/>
    <w:rsid w:val="002D6A3E"/>
    <w:rsid w:val="002E4CB5"/>
    <w:rsid w:val="002E5F33"/>
    <w:rsid w:val="002E6FCA"/>
    <w:rsid w:val="002F1F4D"/>
    <w:rsid w:val="002F2283"/>
    <w:rsid w:val="002F279B"/>
    <w:rsid w:val="002F77BA"/>
    <w:rsid w:val="00302E81"/>
    <w:rsid w:val="00303DF7"/>
    <w:rsid w:val="00304482"/>
    <w:rsid w:val="00312506"/>
    <w:rsid w:val="00315131"/>
    <w:rsid w:val="00315518"/>
    <w:rsid w:val="00321A02"/>
    <w:rsid w:val="00324201"/>
    <w:rsid w:val="003338D6"/>
    <w:rsid w:val="00334BB6"/>
    <w:rsid w:val="00335FF2"/>
    <w:rsid w:val="00341F30"/>
    <w:rsid w:val="003427FF"/>
    <w:rsid w:val="00345B63"/>
    <w:rsid w:val="00347E31"/>
    <w:rsid w:val="003514B0"/>
    <w:rsid w:val="0035188B"/>
    <w:rsid w:val="00356749"/>
    <w:rsid w:val="00357F90"/>
    <w:rsid w:val="00362902"/>
    <w:rsid w:val="00363520"/>
    <w:rsid w:val="00364EE1"/>
    <w:rsid w:val="00367F45"/>
    <w:rsid w:val="003705FC"/>
    <w:rsid w:val="003832F7"/>
    <w:rsid w:val="00384948"/>
    <w:rsid w:val="00384ACF"/>
    <w:rsid w:val="003B4ABB"/>
    <w:rsid w:val="003B50F3"/>
    <w:rsid w:val="003B545F"/>
    <w:rsid w:val="003B5D61"/>
    <w:rsid w:val="003C14F8"/>
    <w:rsid w:val="003C1871"/>
    <w:rsid w:val="003C6D35"/>
    <w:rsid w:val="003C7947"/>
    <w:rsid w:val="003D1B08"/>
    <w:rsid w:val="003D1ECD"/>
    <w:rsid w:val="003D3E10"/>
    <w:rsid w:val="003D3F2C"/>
    <w:rsid w:val="003D3F46"/>
    <w:rsid w:val="003E05CB"/>
    <w:rsid w:val="003E1E8D"/>
    <w:rsid w:val="003E4DF7"/>
    <w:rsid w:val="003F02EA"/>
    <w:rsid w:val="003F18B0"/>
    <w:rsid w:val="003F3823"/>
    <w:rsid w:val="003F3913"/>
    <w:rsid w:val="003F3F43"/>
    <w:rsid w:val="003F5589"/>
    <w:rsid w:val="00405F61"/>
    <w:rsid w:val="00406F50"/>
    <w:rsid w:val="00407E9B"/>
    <w:rsid w:val="0041438F"/>
    <w:rsid w:val="004203BC"/>
    <w:rsid w:val="0043631E"/>
    <w:rsid w:val="004424BA"/>
    <w:rsid w:val="0044670C"/>
    <w:rsid w:val="004503A7"/>
    <w:rsid w:val="004512A1"/>
    <w:rsid w:val="004559BB"/>
    <w:rsid w:val="00455E38"/>
    <w:rsid w:val="00456691"/>
    <w:rsid w:val="00460204"/>
    <w:rsid w:val="0047534A"/>
    <w:rsid w:val="00476B46"/>
    <w:rsid w:val="00477561"/>
    <w:rsid w:val="00490701"/>
    <w:rsid w:val="0049182E"/>
    <w:rsid w:val="00493010"/>
    <w:rsid w:val="00493951"/>
    <w:rsid w:val="004961B5"/>
    <w:rsid w:val="004966C9"/>
    <w:rsid w:val="004A3A05"/>
    <w:rsid w:val="004B14B1"/>
    <w:rsid w:val="004B27F6"/>
    <w:rsid w:val="004B6751"/>
    <w:rsid w:val="004C38B3"/>
    <w:rsid w:val="004C3F28"/>
    <w:rsid w:val="004C4D89"/>
    <w:rsid w:val="004D12C6"/>
    <w:rsid w:val="004D1A06"/>
    <w:rsid w:val="004D33AE"/>
    <w:rsid w:val="004D4C48"/>
    <w:rsid w:val="004E029B"/>
    <w:rsid w:val="004E1220"/>
    <w:rsid w:val="004E220B"/>
    <w:rsid w:val="004E4062"/>
    <w:rsid w:val="004E417B"/>
    <w:rsid w:val="00500F07"/>
    <w:rsid w:val="00503611"/>
    <w:rsid w:val="00506E3A"/>
    <w:rsid w:val="00517C00"/>
    <w:rsid w:val="00523518"/>
    <w:rsid w:val="0052782E"/>
    <w:rsid w:val="00527B0E"/>
    <w:rsid w:val="00530995"/>
    <w:rsid w:val="0053306A"/>
    <w:rsid w:val="0053397F"/>
    <w:rsid w:val="00534AB5"/>
    <w:rsid w:val="005400F8"/>
    <w:rsid w:val="00543F33"/>
    <w:rsid w:val="00554A3C"/>
    <w:rsid w:val="00555C72"/>
    <w:rsid w:val="00557DEA"/>
    <w:rsid w:val="00562470"/>
    <w:rsid w:val="00562B3F"/>
    <w:rsid w:val="00583F98"/>
    <w:rsid w:val="00586C28"/>
    <w:rsid w:val="00593EE1"/>
    <w:rsid w:val="00595B26"/>
    <w:rsid w:val="00597B37"/>
    <w:rsid w:val="005A24F2"/>
    <w:rsid w:val="005A3C7B"/>
    <w:rsid w:val="005A4652"/>
    <w:rsid w:val="005A471B"/>
    <w:rsid w:val="005B135C"/>
    <w:rsid w:val="005B558F"/>
    <w:rsid w:val="005C0A35"/>
    <w:rsid w:val="005C2132"/>
    <w:rsid w:val="005C233E"/>
    <w:rsid w:val="005D0D3C"/>
    <w:rsid w:val="005D0EC1"/>
    <w:rsid w:val="005D2776"/>
    <w:rsid w:val="005D277D"/>
    <w:rsid w:val="005D4959"/>
    <w:rsid w:val="005E0E35"/>
    <w:rsid w:val="005E5477"/>
    <w:rsid w:val="005E694D"/>
    <w:rsid w:val="005E73C9"/>
    <w:rsid w:val="005E7F0E"/>
    <w:rsid w:val="005F1D12"/>
    <w:rsid w:val="005F60C6"/>
    <w:rsid w:val="005F68D5"/>
    <w:rsid w:val="005F7FB7"/>
    <w:rsid w:val="0060521A"/>
    <w:rsid w:val="00606819"/>
    <w:rsid w:val="00621EC4"/>
    <w:rsid w:val="00622ACD"/>
    <w:rsid w:val="00623D14"/>
    <w:rsid w:val="006270F3"/>
    <w:rsid w:val="00632EA4"/>
    <w:rsid w:val="00634FF7"/>
    <w:rsid w:val="006415A2"/>
    <w:rsid w:val="00641BA9"/>
    <w:rsid w:val="00642383"/>
    <w:rsid w:val="0064270D"/>
    <w:rsid w:val="00644922"/>
    <w:rsid w:val="00647A3D"/>
    <w:rsid w:val="00647CBF"/>
    <w:rsid w:val="00652F97"/>
    <w:rsid w:val="00660AF3"/>
    <w:rsid w:val="00662B97"/>
    <w:rsid w:val="00667C6F"/>
    <w:rsid w:val="006766BE"/>
    <w:rsid w:val="006801DB"/>
    <w:rsid w:val="00681AC9"/>
    <w:rsid w:val="00684A7A"/>
    <w:rsid w:val="00684BE6"/>
    <w:rsid w:val="00685DA1"/>
    <w:rsid w:val="00692300"/>
    <w:rsid w:val="00693951"/>
    <w:rsid w:val="006A289E"/>
    <w:rsid w:val="006A481F"/>
    <w:rsid w:val="006A57C2"/>
    <w:rsid w:val="006A7D3C"/>
    <w:rsid w:val="006B1DEE"/>
    <w:rsid w:val="006B2111"/>
    <w:rsid w:val="006B604F"/>
    <w:rsid w:val="006B69CC"/>
    <w:rsid w:val="006B77CF"/>
    <w:rsid w:val="006C156B"/>
    <w:rsid w:val="006C30F5"/>
    <w:rsid w:val="006C6B56"/>
    <w:rsid w:val="006C7FEB"/>
    <w:rsid w:val="006D0223"/>
    <w:rsid w:val="006D25F2"/>
    <w:rsid w:val="006D367E"/>
    <w:rsid w:val="006D4333"/>
    <w:rsid w:val="006E06C6"/>
    <w:rsid w:val="006E06D6"/>
    <w:rsid w:val="006E24F2"/>
    <w:rsid w:val="006E2CE9"/>
    <w:rsid w:val="006E372A"/>
    <w:rsid w:val="006E40A8"/>
    <w:rsid w:val="006F260F"/>
    <w:rsid w:val="00706A43"/>
    <w:rsid w:val="00706B88"/>
    <w:rsid w:val="00712FD9"/>
    <w:rsid w:val="00713B9E"/>
    <w:rsid w:val="0071422E"/>
    <w:rsid w:val="00715AD1"/>
    <w:rsid w:val="0072117A"/>
    <w:rsid w:val="0072148B"/>
    <w:rsid w:val="00722B02"/>
    <w:rsid w:val="007250C2"/>
    <w:rsid w:val="00726EDA"/>
    <w:rsid w:val="00730443"/>
    <w:rsid w:val="007313A3"/>
    <w:rsid w:val="007326DD"/>
    <w:rsid w:val="00735E0D"/>
    <w:rsid w:val="007428B8"/>
    <w:rsid w:val="00746164"/>
    <w:rsid w:val="00754B98"/>
    <w:rsid w:val="00756FB3"/>
    <w:rsid w:val="00765BDA"/>
    <w:rsid w:val="0077059B"/>
    <w:rsid w:val="00771963"/>
    <w:rsid w:val="00773CB9"/>
    <w:rsid w:val="00774BF8"/>
    <w:rsid w:val="00780BB6"/>
    <w:rsid w:val="0078198E"/>
    <w:rsid w:val="0078698E"/>
    <w:rsid w:val="0079507E"/>
    <w:rsid w:val="00797D7C"/>
    <w:rsid w:val="007A2959"/>
    <w:rsid w:val="007A2B37"/>
    <w:rsid w:val="007A4466"/>
    <w:rsid w:val="007A4F88"/>
    <w:rsid w:val="007A7204"/>
    <w:rsid w:val="007A78F2"/>
    <w:rsid w:val="007B453E"/>
    <w:rsid w:val="007B4C6B"/>
    <w:rsid w:val="007B4CA1"/>
    <w:rsid w:val="007B4D9B"/>
    <w:rsid w:val="007C5697"/>
    <w:rsid w:val="007C6D68"/>
    <w:rsid w:val="007D1A20"/>
    <w:rsid w:val="007D38DE"/>
    <w:rsid w:val="007D497F"/>
    <w:rsid w:val="007D56EF"/>
    <w:rsid w:val="007D5C9A"/>
    <w:rsid w:val="007D6A8F"/>
    <w:rsid w:val="007E1950"/>
    <w:rsid w:val="007E78C3"/>
    <w:rsid w:val="007F15FC"/>
    <w:rsid w:val="007F785C"/>
    <w:rsid w:val="008007F0"/>
    <w:rsid w:val="0080437B"/>
    <w:rsid w:val="0081001E"/>
    <w:rsid w:val="00813603"/>
    <w:rsid w:val="00813BAE"/>
    <w:rsid w:val="0082031A"/>
    <w:rsid w:val="008214BB"/>
    <w:rsid w:val="008235C6"/>
    <w:rsid w:val="00824C51"/>
    <w:rsid w:val="0083131B"/>
    <w:rsid w:val="00836299"/>
    <w:rsid w:val="00836AAC"/>
    <w:rsid w:val="00836C05"/>
    <w:rsid w:val="008403DC"/>
    <w:rsid w:val="008449F1"/>
    <w:rsid w:val="00844AEF"/>
    <w:rsid w:val="00845FD2"/>
    <w:rsid w:val="00846A6C"/>
    <w:rsid w:val="00855C8A"/>
    <w:rsid w:val="00860A44"/>
    <w:rsid w:val="008612BD"/>
    <w:rsid w:val="008632AC"/>
    <w:rsid w:val="00867374"/>
    <w:rsid w:val="00870CFC"/>
    <w:rsid w:val="00870DA1"/>
    <w:rsid w:val="00872AA5"/>
    <w:rsid w:val="0087367B"/>
    <w:rsid w:val="008740F9"/>
    <w:rsid w:val="00882187"/>
    <w:rsid w:val="0088448E"/>
    <w:rsid w:val="00885057"/>
    <w:rsid w:val="008909EE"/>
    <w:rsid w:val="0089139E"/>
    <w:rsid w:val="00892D26"/>
    <w:rsid w:val="008C08EB"/>
    <w:rsid w:val="008C2ABB"/>
    <w:rsid w:val="008C5630"/>
    <w:rsid w:val="008D17C3"/>
    <w:rsid w:val="008D31BC"/>
    <w:rsid w:val="008D6A5F"/>
    <w:rsid w:val="008D7240"/>
    <w:rsid w:val="008E71BD"/>
    <w:rsid w:val="008F290C"/>
    <w:rsid w:val="00901674"/>
    <w:rsid w:val="00906F9D"/>
    <w:rsid w:val="009072F3"/>
    <w:rsid w:val="0091117B"/>
    <w:rsid w:val="009123DC"/>
    <w:rsid w:val="00913683"/>
    <w:rsid w:val="00923052"/>
    <w:rsid w:val="0092414C"/>
    <w:rsid w:val="00927B1E"/>
    <w:rsid w:val="009336B9"/>
    <w:rsid w:val="00937D9D"/>
    <w:rsid w:val="00941C5B"/>
    <w:rsid w:val="0094218E"/>
    <w:rsid w:val="00946A36"/>
    <w:rsid w:val="00946B9B"/>
    <w:rsid w:val="00947918"/>
    <w:rsid w:val="00950633"/>
    <w:rsid w:val="009530F3"/>
    <w:rsid w:val="00954AC5"/>
    <w:rsid w:val="00955014"/>
    <w:rsid w:val="0095607B"/>
    <w:rsid w:val="0096090E"/>
    <w:rsid w:val="00963071"/>
    <w:rsid w:val="0096541A"/>
    <w:rsid w:val="00971AFC"/>
    <w:rsid w:val="00972004"/>
    <w:rsid w:val="00972DFD"/>
    <w:rsid w:val="009741CF"/>
    <w:rsid w:val="009762E7"/>
    <w:rsid w:val="00976825"/>
    <w:rsid w:val="00977F0B"/>
    <w:rsid w:val="00981ECC"/>
    <w:rsid w:val="00997907"/>
    <w:rsid w:val="009A1D66"/>
    <w:rsid w:val="009A4D65"/>
    <w:rsid w:val="009A5903"/>
    <w:rsid w:val="009A6410"/>
    <w:rsid w:val="009B04E1"/>
    <w:rsid w:val="009B707B"/>
    <w:rsid w:val="009C5529"/>
    <w:rsid w:val="009D1996"/>
    <w:rsid w:val="009D5028"/>
    <w:rsid w:val="009D6B10"/>
    <w:rsid w:val="009D7BF9"/>
    <w:rsid w:val="009E184C"/>
    <w:rsid w:val="009E5899"/>
    <w:rsid w:val="009F08A6"/>
    <w:rsid w:val="009F68CD"/>
    <w:rsid w:val="009F6CD1"/>
    <w:rsid w:val="00A00277"/>
    <w:rsid w:val="00A05B75"/>
    <w:rsid w:val="00A07F42"/>
    <w:rsid w:val="00A10492"/>
    <w:rsid w:val="00A10526"/>
    <w:rsid w:val="00A14356"/>
    <w:rsid w:val="00A14916"/>
    <w:rsid w:val="00A15BDD"/>
    <w:rsid w:val="00A1606B"/>
    <w:rsid w:val="00A16315"/>
    <w:rsid w:val="00A234C5"/>
    <w:rsid w:val="00A23C5C"/>
    <w:rsid w:val="00A24723"/>
    <w:rsid w:val="00A2769D"/>
    <w:rsid w:val="00A30B3C"/>
    <w:rsid w:val="00A31BF5"/>
    <w:rsid w:val="00A31F3E"/>
    <w:rsid w:val="00A33C03"/>
    <w:rsid w:val="00A408AC"/>
    <w:rsid w:val="00A43606"/>
    <w:rsid w:val="00A43AC0"/>
    <w:rsid w:val="00A461B0"/>
    <w:rsid w:val="00A47BCB"/>
    <w:rsid w:val="00A53F60"/>
    <w:rsid w:val="00A60105"/>
    <w:rsid w:val="00A60BCA"/>
    <w:rsid w:val="00A625EF"/>
    <w:rsid w:val="00A62D7E"/>
    <w:rsid w:val="00A651E0"/>
    <w:rsid w:val="00A66358"/>
    <w:rsid w:val="00A71A80"/>
    <w:rsid w:val="00A74691"/>
    <w:rsid w:val="00A80047"/>
    <w:rsid w:val="00A83C82"/>
    <w:rsid w:val="00A856D6"/>
    <w:rsid w:val="00A914AB"/>
    <w:rsid w:val="00A96017"/>
    <w:rsid w:val="00AA0B74"/>
    <w:rsid w:val="00AA449E"/>
    <w:rsid w:val="00AA4886"/>
    <w:rsid w:val="00AA525A"/>
    <w:rsid w:val="00AA61AE"/>
    <w:rsid w:val="00AA7DF5"/>
    <w:rsid w:val="00AB422C"/>
    <w:rsid w:val="00AB5435"/>
    <w:rsid w:val="00AB649E"/>
    <w:rsid w:val="00AB74AE"/>
    <w:rsid w:val="00AC40E6"/>
    <w:rsid w:val="00AC514A"/>
    <w:rsid w:val="00AC65A5"/>
    <w:rsid w:val="00AD096F"/>
    <w:rsid w:val="00AD3D11"/>
    <w:rsid w:val="00AD665C"/>
    <w:rsid w:val="00AD7427"/>
    <w:rsid w:val="00AD7C4C"/>
    <w:rsid w:val="00AF0C35"/>
    <w:rsid w:val="00AF2B00"/>
    <w:rsid w:val="00B00108"/>
    <w:rsid w:val="00B00EB5"/>
    <w:rsid w:val="00B07601"/>
    <w:rsid w:val="00B11387"/>
    <w:rsid w:val="00B1225D"/>
    <w:rsid w:val="00B160C4"/>
    <w:rsid w:val="00B22A29"/>
    <w:rsid w:val="00B264EA"/>
    <w:rsid w:val="00B30E39"/>
    <w:rsid w:val="00B32B32"/>
    <w:rsid w:val="00B3483A"/>
    <w:rsid w:val="00B3705E"/>
    <w:rsid w:val="00B37669"/>
    <w:rsid w:val="00B42F71"/>
    <w:rsid w:val="00B44EB1"/>
    <w:rsid w:val="00B5190D"/>
    <w:rsid w:val="00B651B5"/>
    <w:rsid w:val="00B723BE"/>
    <w:rsid w:val="00B7268B"/>
    <w:rsid w:val="00B753C2"/>
    <w:rsid w:val="00B80D69"/>
    <w:rsid w:val="00B82705"/>
    <w:rsid w:val="00B82C8D"/>
    <w:rsid w:val="00B84E7D"/>
    <w:rsid w:val="00B876DA"/>
    <w:rsid w:val="00B96AAE"/>
    <w:rsid w:val="00BA2BA0"/>
    <w:rsid w:val="00BA478F"/>
    <w:rsid w:val="00BA649A"/>
    <w:rsid w:val="00BA7B57"/>
    <w:rsid w:val="00BB16F0"/>
    <w:rsid w:val="00BB385E"/>
    <w:rsid w:val="00BB7158"/>
    <w:rsid w:val="00BC0BE7"/>
    <w:rsid w:val="00BC5A90"/>
    <w:rsid w:val="00BD3BAC"/>
    <w:rsid w:val="00BD58A1"/>
    <w:rsid w:val="00BD5E00"/>
    <w:rsid w:val="00BD6A5C"/>
    <w:rsid w:val="00BD6C02"/>
    <w:rsid w:val="00BD6F67"/>
    <w:rsid w:val="00BE007D"/>
    <w:rsid w:val="00BF1468"/>
    <w:rsid w:val="00BF3787"/>
    <w:rsid w:val="00BF3ED6"/>
    <w:rsid w:val="00BF490B"/>
    <w:rsid w:val="00BF4D54"/>
    <w:rsid w:val="00BF5801"/>
    <w:rsid w:val="00BF718D"/>
    <w:rsid w:val="00C0181A"/>
    <w:rsid w:val="00C045A0"/>
    <w:rsid w:val="00C04F97"/>
    <w:rsid w:val="00C06680"/>
    <w:rsid w:val="00C1457C"/>
    <w:rsid w:val="00C1461B"/>
    <w:rsid w:val="00C15C97"/>
    <w:rsid w:val="00C22069"/>
    <w:rsid w:val="00C27458"/>
    <w:rsid w:val="00C27D57"/>
    <w:rsid w:val="00C3418F"/>
    <w:rsid w:val="00C36B09"/>
    <w:rsid w:val="00C36D43"/>
    <w:rsid w:val="00C45BB8"/>
    <w:rsid w:val="00C45BDC"/>
    <w:rsid w:val="00C50C45"/>
    <w:rsid w:val="00C534F3"/>
    <w:rsid w:val="00C564CF"/>
    <w:rsid w:val="00C607BC"/>
    <w:rsid w:val="00C66AAF"/>
    <w:rsid w:val="00C758F7"/>
    <w:rsid w:val="00C80D14"/>
    <w:rsid w:val="00C82CBA"/>
    <w:rsid w:val="00C844AD"/>
    <w:rsid w:val="00C9151F"/>
    <w:rsid w:val="00C92396"/>
    <w:rsid w:val="00C93C19"/>
    <w:rsid w:val="00C9717C"/>
    <w:rsid w:val="00C972BE"/>
    <w:rsid w:val="00C97AC6"/>
    <w:rsid w:val="00CA107D"/>
    <w:rsid w:val="00CA3CFE"/>
    <w:rsid w:val="00CB2CC7"/>
    <w:rsid w:val="00CC4D55"/>
    <w:rsid w:val="00CC4F63"/>
    <w:rsid w:val="00CC593C"/>
    <w:rsid w:val="00CD1845"/>
    <w:rsid w:val="00CD3B8F"/>
    <w:rsid w:val="00CE0AB4"/>
    <w:rsid w:val="00CE1C84"/>
    <w:rsid w:val="00CE48D4"/>
    <w:rsid w:val="00CE4E3E"/>
    <w:rsid w:val="00CE7D54"/>
    <w:rsid w:val="00CF09DE"/>
    <w:rsid w:val="00CF0FA4"/>
    <w:rsid w:val="00CF585C"/>
    <w:rsid w:val="00CF6255"/>
    <w:rsid w:val="00CF763C"/>
    <w:rsid w:val="00CF7C9F"/>
    <w:rsid w:val="00D0500D"/>
    <w:rsid w:val="00D068F5"/>
    <w:rsid w:val="00D0694E"/>
    <w:rsid w:val="00D06A35"/>
    <w:rsid w:val="00D07220"/>
    <w:rsid w:val="00D10C6A"/>
    <w:rsid w:val="00D138CD"/>
    <w:rsid w:val="00D1607C"/>
    <w:rsid w:val="00D16B1D"/>
    <w:rsid w:val="00D17258"/>
    <w:rsid w:val="00D17557"/>
    <w:rsid w:val="00D20AEB"/>
    <w:rsid w:val="00D20E35"/>
    <w:rsid w:val="00D21504"/>
    <w:rsid w:val="00D21D1D"/>
    <w:rsid w:val="00D268A0"/>
    <w:rsid w:val="00D310EA"/>
    <w:rsid w:val="00D314E7"/>
    <w:rsid w:val="00D3713B"/>
    <w:rsid w:val="00D407E2"/>
    <w:rsid w:val="00D47DAB"/>
    <w:rsid w:val="00D47E89"/>
    <w:rsid w:val="00D5115F"/>
    <w:rsid w:val="00D514AC"/>
    <w:rsid w:val="00D63C25"/>
    <w:rsid w:val="00D65DFC"/>
    <w:rsid w:val="00D77F84"/>
    <w:rsid w:val="00D80052"/>
    <w:rsid w:val="00D8667C"/>
    <w:rsid w:val="00D86AB9"/>
    <w:rsid w:val="00D87911"/>
    <w:rsid w:val="00D91BA1"/>
    <w:rsid w:val="00D9230E"/>
    <w:rsid w:val="00DC0ECE"/>
    <w:rsid w:val="00DC66C0"/>
    <w:rsid w:val="00DC6A12"/>
    <w:rsid w:val="00DC758E"/>
    <w:rsid w:val="00DC7F9E"/>
    <w:rsid w:val="00DD24E4"/>
    <w:rsid w:val="00DE082E"/>
    <w:rsid w:val="00DE2C12"/>
    <w:rsid w:val="00DE32B4"/>
    <w:rsid w:val="00DE60F5"/>
    <w:rsid w:val="00DF07E9"/>
    <w:rsid w:val="00DF2398"/>
    <w:rsid w:val="00DF307A"/>
    <w:rsid w:val="00DF46BD"/>
    <w:rsid w:val="00E003D0"/>
    <w:rsid w:val="00E22766"/>
    <w:rsid w:val="00E22E50"/>
    <w:rsid w:val="00E24F0E"/>
    <w:rsid w:val="00E34EDC"/>
    <w:rsid w:val="00E363B6"/>
    <w:rsid w:val="00E36D2E"/>
    <w:rsid w:val="00E419B9"/>
    <w:rsid w:val="00E4525A"/>
    <w:rsid w:val="00E469B1"/>
    <w:rsid w:val="00E50C42"/>
    <w:rsid w:val="00E5737F"/>
    <w:rsid w:val="00E66527"/>
    <w:rsid w:val="00E70DB8"/>
    <w:rsid w:val="00E74AFE"/>
    <w:rsid w:val="00E77DD3"/>
    <w:rsid w:val="00E77EB0"/>
    <w:rsid w:val="00E82130"/>
    <w:rsid w:val="00E903DC"/>
    <w:rsid w:val="00E9133E"/>
    <w:rsid w:val="00E923D7"/>
    <w:rsid w:val="00E948F4"/>
    <w:rsid w:val="00EA1F8E"/>
    <w:rsid w:val="00EA2A44"/>
    <w:rsid w:val="00EA4ED8"/>
    <w:rsid w:val="00EA7D4F"/>
    <w:rsid w:val="00EB0759"/>
    <w:rsid w:val="00EB16F7"/>
    <w:rsid w:val="00EB4465"/>
    <w:rsid w:val="00EB6DF6"/>
    <w:rsid w:val="00EC0780"/>
    <w:rsid w:val="00EC115C"/>
    <w:rsid w:val="00EC2EBB"/>
    <w:rsid w:val="00EC4FF6"/>
    <w:rsid w:val="00EC504C"/>
    <w:rsid w:val="00ED3527"/>
    <w:rsid w:val="00ED52A1"/>
    <w:rsid w:val="00EE4C43"/>
    <w:rsid w:val="00EF6705"/>
    <w:rsid w:val="00F00974"/>
    <w:rsid w:val="00F01F1B"/>
    <w:rsid w:val="00F075D1"/>
    <w:rsid w:val="00F10990"/>
    <w:rsid w:val="00F132D5"/>
    <w:rsid w:val="00F1619B"/>
    <w:rsid w:val="00F16CA3"/>
    <w:rsid w:val="00F1713A"/>
    <w:rsid w:val="00F204A0"/>
    <w:rsid w:val="00F212AC"/>
    <w:rsid w:val="00F22F6B"/>
    <w:rsid w:val="00F23643"/>
    <w:rsid w:val="00F26BE0"/>
    <w:rsid w:val="00F26FE6"/>
    <w:rsid w:val="00F33588"/>
    <w:rsid w:val="00F33E87"/>
    <w:rsid w:val="00F40510"/>
    <w:rsid w:val="00F44E85"/>
    <w:rsid w:val="00F47B98"/>
    <w:rsid w:val="00F47EDB"/>
    <w:rsid w:val="00F52D42"/>
    <w:rsid w:val="00F551BA"/>
    <w:rsid w:val="00F5776F"/>
    <w:rsid w:val="00F57F79"/>
    <w:rsid w:val="00F63FCF"/>
    <w:rsid w:val="00F6411F"/>
    <w:rsid w:val="00F64390"/>
    <w:rsid w:val="00F64C32"/>
    <w:rsid w:val="00F73AD2"/>
    <w:rsid w:val="00F749DE"/>
    <w:rsid w:val="00F85DF9"/>
    <w:rsid w:val="00F875A9"/>
    <w:rsid w:val="00F91809"/>
    <w:rsid w:val="00F937E1"/>
    <w:rsid w:val="00F95132"/>
    <w:rsid w:val="00F956E7"/>
    <w:rsid w:val="00F9595C"/>
    <w:rsid w:val="00F96C51"/>
    <w:rsid w:val="00FA010D"/>
    <w:rsid w:val="00FA10CB"/>
    <w:rsid w:val="00FA30E3"/>
    <w:rsid w:val="00FA5112"/>
    <w:rsid w:val="00FA7BE5"/>
    <w:rsid w:val="00FB0CE6"/>
    <w:rsid w:val="00FB227E"/>
    <w:rsid w:val="00FB3B18"/>
    <w:rsid w:val="00FC1FCE"/>
    <w:rsid w:val="00FD3EFE"/>
    <w:rsid w:val="00FD41F3"/>
    <w:rsid w:val="00FD6400"/>
    <w:rsid w:val="00FE3007"/>
    <w:rsid w:val="00FE4BD6"/>
    <w:rsid w:val="00FE5B60"/>
    <w:rsid w:val="00FF255F"/>
    <w:rsid w:val="00FF277C"/>
    <w:rsid w:val="00FF2CDA"/>
    <w:rsid w:val="00FF4460"/>
    <w:rsid w:val="00FF49C8"/>
    <w:rsid w:val="00FF4BB5"/>
    <w:rsid w:val="00FF51DD"/>
    <w:rsid w:val="00FF5864"/>
    <w:rsid w:val="02C95CC1"/>
    <w:rsid w:val="02E6F5EE"/>
    <w:rsid w:val="0600FD83"/>
    <w:rsid w:val="116241C0"/>
    <w:rsid w:val="11877829"/>
    <w:rsid w:val="1617214D"/>
    <w:rsid w:val="1ABE3CDF"/>
    <w:rsid w:val="1D5D0483"/>
    <w:rsid w:val="1E2265C0"/>
    <w:rsid w:val="1FD158D2"/>
    <w:rsid w:val="2030C20A"/>
    <w:rsid w:val="29B91FE1"/>
    <w:rsid w:val="2D7F0EB7"/>
    <w:rsid w:val="32FA0649"/>
    <w:rsid w:val="34C9F769"/>
    <w:rsid w:val="3905895D"/>
    <w:rsid w:val="3D47C70D"/>
    <w:rsid w:val="40630D0E"/>
    <w:rsid w:val="407F67CF"/>
    <w:rsid w:val="41006D03"/>
    <w:rsid w:val="440082CB"/>
    <w:rsid w:val="44E0A9FA"/>
    <w:rsid w:val="4ACBFA89"/>
    <w:rsid w:val="4DF4BD6E"/>
    <w:rsid w:val="4F01A8BE"/>
    <w:rsid w:val="4F5198C3"/>
    <w:rsid w:val="54453771"/>
    <w:rsid w:val="55E8F558"/>
    <w:rsid w:val="5682D91C"/>
    <w:rsid w:val="59DBD693"/>
    <w:rsid w:val="5FAE9F1F"/>
    <w:rsid w:val="60F764E8"/>
    <w:rsid w:val="6480D579"/>
    <w:rsid w:val="6781C126"/>
    <w:rsid w:val="68E23734"/>
    <w:rsid w:val="6A851ED1"/>
    <w:rsid w:val="6AD932C3"/>
    <w:rsid w:val="6C934945"/>
    <w:rsid w:val="6FD09B0A"/>
    <w:rsid w:val="7128A36C"/>
    <w:rsid w:val="71BCCAEB"/>
    <w:rsid w:val="7727C760"/>
    <w:rsid w:val="7E39C4C1"/>
    <w:rsid w:val="7ECF8D79"/>
    <w:rsid w:val="7F2057D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FDEA1A"/>
  <w15:docId w15:val="{73D873F0-EBFD-44AC-9C02-BB2DCFCC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E0AB4"/>
    <w:pPr>
      <w:keepNext/>
      <w:keepLines/>
      <w:spacing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CE0AB4"/>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2208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22085B"/>
    <w:pPr>
      <w:ind w:left="720"/>
    </w:pPr>
    <w:rPr>
      <w:rFonts w:ascii="Calibri" w:eastAsia="Calibri" w:hAnsi="Calibri"/>
      <w:sz w:val="22"/>
      <w:szCs w:val="22"/>
    </w:rPr>
  </w:style>
  <w:style w:type="table" w:styleId="TableGrid">
    <w:name w:val="Table Grid"/>
    <w:basedOn w:val="TableNormal"/>
    <w:uiPriority w:val="39"/>
    <w:rsid w:val="00AF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9601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493951"/>
    <w:rPr>
      <w:sz w:val="16"/>
      <w:szCs w:val="16"/>
    </w:rPr>
  </w:style>
  <w:style w:type="paragraph" w:styleId="CommentText">
    <w:name w:val="annotation text"/>
    <w:basedOn w:val="Normal"/>
    <w:link w:val="CommentTextChar"/>
    <w:uiPriority w:val="99"/>
    <w:semiHidden/>
    <w:unhideWhenUsed/>
    <w:rsid w:val="00493951"/>
    <w:rPr>
      <w:sz w:val="20"/>
      <w:szCs w:val="20"/>
    </w:rPr>
  </w:style>
  <w:style w:type="character" w:customStyle="1" w:styleId="CommentTextChar">
    <w:name w:val="Comment Text Char"/>
    <w:basedOn w:val="DefaultParagraphFont"/>
    <w:link w:val="CommentText"/>
    <w:uiPriority w:val="99"/>
    <w:semiHidden/>
    <w:rsid w:val="004939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3951"/>
    <w:rPr>
      <w:b/>
      <w:bCs/>
    </w:rPr>
  </w:style>
  <w:style w:type="character" w:customStyle="1" w:styleId="CommentSubjectChar">
    <w:name w:val="Comment Subject Char"/>
    <w:basedOn w:val="CommentTextChar"/>
    <w:link w:val="CommentSubject"/>
    <w:uiPriority w:val="99"/>
    <w:semiHidden/>
    <w:rsid w:val="004939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42383"/>
    <w:rPr>
      <w:color w:val="954F72" w:themeColor="followedHyperlink"/>
      <w:u w:val="single"/>
    </w:rPr>
  </w:style>
  <w:style w:type="table" w:customStyle="1" w:styleId="TableGrid1">
    <w:name w:val="Table Grid1"/>
    <w:basedOn w:val="TableNormal"/>
    <w:next w:val="TableGrid"/>
    <w:uiPriority w:val="39"/>
    <w:rsid w:val="00F4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AC6"/>
    <w:pPr>
      <w:spacing w:after="0" w:line="240" w:lineRule="auto"/>
    </w:pPr>
    <w:rPr>
      <w:rFonts w:ascii="Arial" w:eastAsia="Times New Roman" w:hAnsi="Arial" w:cs="Times New Roman"/>
      <w:sz w:val="24"/>
      <w:szCs w:val="24"/>
    </w:rPr>
  </w:style>
  <w:style w:type="table" w:customStyle="1" w:styleId="PlainTable41">
    <w:name w:val="Plain Table 41"/>
    <w:basedOn w:val="TableNormal"/>
    <w:uiPriority w:val="44"/>
    <w:rsid w:val="00EA2A44"/>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15BDD"/>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BC5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5275">
      <w:bodyDiv w:val="1"/>
      <w:marLeft w:val="0"/>
      <w:marRight w:val="0"/>
      <w:marTop w:val="0"/>
      <w:marBottom w:val="0"/>
      <w:divBdr>
        <w:top w:val="none" w:sz="0" w:space="0" w:color="auto"/>
        <w:left w:val="none" w:sz="0" w:space="0" w:color="auto"/>
        <w:bottom w:val="none" w:sz="0" w:space="0" w:color="auto"/>
        <w:right w:val="none" w:sz="0" w:space="0" w:color="auto"/>
      </w:divBdr>
    </w:div>
    <w:div w:id="56635905">
      <w:bodyDiv w:val="1"/>
      <w:marLeft w:val="0"/>
      <w:marRight w:val="0"/>
      <w:marTop w:val="0"/>
      <w:marBottom w:val="0"/>
      <w:divBdr>
        <w:top w:val="none" w:sz="0" w:space="0" w:color="auto"/>
        <w:left w:val="none" w:sz="0" w:space="0" w:color="auto"/>
        <w:bottom w:val="none" w:sz="0" w:space="0" w:color="auto"/>
        <w:right w:val="none" w:sz="0" w:space="0" w:color="auto"/>
      </w:divBdr>
      <w:divsChild>
        <w:div w:id="1593202040">
          <w:marLeft w:val="0"/>
          <w:marRight w:val="0"/>
          <w:marTop w:val="0"/>
          <w:marBottom w:val="0"/>
          <w:divBdr>
            <w:top w:val="none" w:sz="0" w:space="0" w:color="auto"/>
            <w:left w:val="none" w:sz="0" w:space="0" w:color="auto"/>
            <w:bottom w:val="none" w:sz="0" w:space="0" w:color="auto"/>
            <w:right w:val="none" w:sz="0" w:space="0" w:color="auto"/>
          </w:divBdr>
          <w:divsChild>
            <w:div w:id="1894345174">
              <w:marLeft w:val="0"/>
              <w:marRight w:val="0"/>
              <w:marTop w:val="0"/>
              <w:marBottom w:val="0"/>
              <w:divBdr>
                <w:top w:val="none" w:sz="0" w:space="0" w:color="auto"/>
                <w:left w:val="none" w:sz="0" w:space="0" w:color="auto"/>
                <w:bottom w:val="none" w:sz="0" w:space="0" w:color="auto"/>
                <w:right w:val="none" w:sz="0" w:space="0" w:color="auto"/>
              </w:divBdr>
              <w:divsChild>
                <w:div w:id="3069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9181">
      <w:bodyDiv w:val="1"/>
      <w:marLeft w:val="0"/>
      <w:marRight w:val="0"/>
      <w:marTop w:val="0"/>
      <w:marBottom w:val="0"/>
      <w:divBdr>
        <w:top w:val="none" w:sz="0" w:space="0" w:color="auto"/>
        <w:left w:val="none" w:sz="0" w:space="0" w:color="auto"/>
        <w:bottom w:val="none" w:sz="0" w:space="0" w:color="auto"/>
        <w:right w:val="none" w:sz="0" w:space="0" w:color="auto"/>
      </w:divBdr>
    </w:div>
    <w:div w:id="186648343">
      <w:bodyDiv w:val="1"/>
      <w:marLeft w:val="0"/>
      <w:marRight w:val="0"/>
      <w:marTop w:val="0"/>
      <w:marBottom w:val="0"/>
      <w:divBdr>
        <w:top w:val="none" w:sz="0" w:space="0" w:color="auto"/>
        <w:left w:val="none" w:sz="0" w:space="0" w:color="auto"/>
        <w:bottom w:val="none" w:sz="0" w:space="0" w:color="auto"/>
        <w:right w:val="none" w:sz="0" w:space="0" w:color="auto"/>
      </w:divBdr>
    </w:div>
    <w:div w:id="375010514">
      <w:bodyDiv w:val="1"/>
      <w:marLeft w:val="0"/>
      <w:marRight w:val="0"/>
      <w:marTop w:val="0"/>
      <w:marBottom w:val="0"/>
      <w:divBdr>
        <w:top w:val="none" w:sz="0" w:space="0" w:color="auto"/>
        <w:left w:val="none" w:sz="0" w:space="0" w:color="auto"/>
        <w:bottom w:val="none" w:sz="0" w:space="0" w:color="auto"/>
        <w:right w:val="none" w:sz="0" w:space="0" w:color="auto"/>
      </w:divBdr>
    </w:div>
    <w:div w:id="629866522">
      <w:bodyDiv w:val="1"/>
      <w:marLeft w:val="0"/>
      <w:marRight w:val="0"/>
      <w:marTop w:val="0"/>
      <w:marBottom w:val="0"/>
      <w:divBdr>
        <w:top w:val="none" w:sz="0" w:space="0" w:color="auto"/>
        <w:left w:val="none" w:sz="0" w:space="0" w:color="auto"/>
        <w:bottom w:val="none" w:sz="0" w:space="0" w:color="auto"/>
        <w:right w:val="none" w:sz="0" w:space="0" w:color="auto"/>
      </w:divBdr>
    </w:div>
    <w:div w:id="630476085">
      <w:bodyDiv w:val="1"/>
      <w:marLeft w:val="0"/>
      <w:marRight w:val="0"/>
      <w:marTop w:val="0"/>
      <w:marBottom w:val="0"/>
      <w:divBdr>
        <w:top w:val="none" w:sz="0" w:space="0" w:color="auto"/>
        <w:left w:val="none" w:sz="0" w:space="0" w:color="auto"/>
        <w:bottom w:val="none" w:sz="0" w:space="0" w:color="auto"/>
        <w:right w:val="none" w:sz="0" w:space="0" w:color="auto"/>
      </w:divBdr>
    </w:div>
    <w:div w:id="726345841">
      <w:bodyDiv w:val="1"/>
      <w:marLeft w:val="0"/>
      <w:marRight w:val="0"/>
      <w:marTop w:val="0"/>
      <w:marBottom w:val="0"/>
      <w:divBdr>
        <w:top w:val="none" w:sz="0" w:space="0" w:color="auto"/>
        <w:left w:val="none" w:sz="0" w:space="0" w:color="auto"/>
        <w:bottom w:val="none" w:sz="0" w:space="0" w:color="auto"/>
        <w:right w:val="none" w:sz="0" w:space="0" w:color="auto"/>
      </w:divBdr>
      <w:divsChild>
        <w:div w:id="1060519838">
          <w:marLeft w:val="0"/>
          <w:marRight w:val="0"/>
          <w:marTop w:val="0"/>
          <w:marBottom w:val="0"/>
          <w:divBdr>
            <w:top w:val="none" w:sz="0" w:space="0" w:color="auto"/>
            <w:left w:val="none" w:sz="0" w:space="0" w:color="auto"/>
            <w:bottom w:val="none" w:sz="0" w:space="0" w:color="auto"/>
            <w:right w:val="none" w:sz="0" w:space="0" w:color="auto"/>
          </w:divBdr>
          <w:divsChild>
            <w:div w:id="1939943015">
              <w:marLeft w:val="0"/>
              <w:marRight w:val="0"/>
              <w:marTop w:val="0"/>
              <w:marBottom w:val="0"/>
              <w:divBdr>
                <w:top w:val="none" w:sz="0" w:space="0" w:color="auto"/>
                <w:left w:val="none" w:sz="0" w:space="0" w:color="auto"/>
                <w:bottom w:val="none" w:sz="0" w:space="0" w:color="auto"/>
                <w:right w:val="none" w:sz="0" w:space="0" w:color="auto"/>
              </w:divBdr>
              <w:divsChild>
                <w:div w:id="1998268795">
                  <w:marLeft w:val="-225"/>
                  <w:marRight w:val="-225"/>
                  <w:marTop w:val="0"/>
                  <w:marBottom w:val="0"/>
                  <w:divBdr>
                    <w:top w:val="none" w:sz="0" w:space="0" w:color="auto"/>
                    <w:left w:val="none" w:sz="0" w:space="0" w:color="auto"/>
                    <w:bottom w:val="none" w:sz="0" w:space="0" w:color="auto"/>
                    <w:right w:val="none" w:sz="0" w:space="0" w:color="auto"/>
                  </w:divBdr>
                  <w:divsChild>
                    <w:div w:id="1349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6175">
      <w:bodyDiv w:val="1"/>
      <w:marLeft w:val="0"/>
      <w:marRight w:val="0"/>
      <w:marTop w:val="0"/>
      <w:marBottom w:val="0"/>
      <w:divBdr>
        <w:top w:val="none" w:sz="0" w:space="0" w:color="auto"/>
        <w:left w:val="none" w:sz="0" w:space="0" w:color="auto"/>
        <w:bottom w:val="none" w:sz="0" w:space="0" w:color="auto"/>
        <w:right w:val="none" w:sz="0" w:space="0" w:color="auto"/>
      </w:divBdr>
    </w:div>
    <w:div w:id="1057507172">
      <w:bodyDiv w:val="1"/>
      <w:marLeft w:val="0"/>
      <w:marRight w:val="0"/>
      <w:marTop w:val="0"/>
      <w:marBottom w:val="0"/>
      <w:divBdr>
        <w:top w:val="none" w:sz="0" w:space="0" w:color="auto"/>
        <w:left w:val="none" w:sz="0" w:space="0" w:color="auto"/>
        <w:bottom w:val="none" w:sz="0" w:space="0" w:color="auto"/>
        <w:right w:val="none" w:sz="0" w:space="0" w:color="auto"/>
      </w:divBdr>
    </w:div>
    <w:div w:id="1246567860">
      <w:bodyDiv w:val="1"/>
      <w:marLeft w:val="0"/>
      <w:marRight w:val="0"/>
      <w:marTop w:val="0"/>
      <w:marBottom w:val="0"/>
      <w:divBdr>
        <w:top w:val="none" w:sz="0" w:space="0" w:color="auto"/>
        <w:left w:val="none" w:sz="0" w:space="0" w:color="auto"/>
        <w:bottom w:val="none" w:sz="0" w:space="0" w:color="auto"/>
        <w:right w:val="none" w:sz="0" w:space="0" w:color="auto"/>
      </w:divBdr>
    </w:div>
    <w:div w:id="1392458663">
      <w:bodyDiv w:val="1"/>
      <w:marLeft w:val="0"/>
      <w:marRight w:val="0"/>
      <w:marTop w:val="0"/>
      <w:marBottom w:val="0"/>
      <w:divBdr>
        <w:top w:val="none" w:sz="0" w:space="0" w:color="auto"/>
        <w:left w:val="none" w:sz="0" w:space="0" w:color="auto"/>
        <w:bottom w:val="none" w:sz="0" w:space="0" w:color="auto"/>
        <w:right w:val="none" w:sz="0" w:space="0" w:color="auto"/>
      </w:divBdr>
    </w:div>
    <w:div w:id="1452938172">
      <w:bodyDiv w:val="1"/>
      <w:marLeft w:val="0"/>
      <w:marRight w:val="0"/>
      <w:marTop w:val="0"/>
      <w:marBottom w:val="0"/>
      <w:divBdr>
        <w:top w:val="none" w:sz="0" w:space="0" w:color="auto"/>
        <w:left w:val="none" w:sz="0" w:space="0" w:color="auto"/>
        <w:bottom w:val="none" w:sz="0" w:space="0" w:color="auto"/>
        <w:right w:val="none" w:sz="0" w:space="0" w:color="auto"/>
      </w:divBdr>
    </w:div>
    <w:div w:id="1587688250">
      <w:bodyDiv w:val="1"/>
      <w:marLeft w:val="0"/>
      <w:marRight w:val="0"/>
      <w:marTop w:val="0"/>
      <w:marBottom w:val="0"/>
      <w:divBdr>
        <w:top w:val="none" w:sz="0" w:space="0" w:color="auto"/>
        <w:left w:val="none" w:sz="0" w:space="0" w:color="auto"/>
        <w:bottom w:val="none" w:sz="0" w:space="0" w:color="auto"/>
        <w:right w:val="none" w:sz="0" w:space="0" w:color="auto"/>
      </w:divBdr>
    </w:div>
    <w:div w:id="1800802794">
      <w:bodyDiv w:val="1"/>
      <w:marLeft w:val="0"/>
      <w:marRight w:val="0"/>
      <w:marTop w:val="0"/>
      <w:marBottom w:val="0"/>
      <w:divBdr>
        <w:top w:val="none" w:sz="0" w:space="0" w:color="auto"/>
        <w:left w:val="none" w:sz="0" w:space="0" w:color="auto"/>
        <w:bottom w:val="none" w:sz="0" w:space="0" w:color="auto"/>
        <w:right w:val="none" w:sz="0" w:space="0" w:color="auto"/>
      </w:divBdr>
    </w:div>
    <w:div w:id="1809011034">
      <w:bodyDiv w:val="1"/>
      <w:marLeft w:val="0"/>
      <w:marRight w:val="0"/>
      <w:marTop w:val="0"/>
      <w:marBottom w:val="0"/>
      <w:divBdr>
        <w:top w:val="none" w:sz="0" w:space="0" w:color="auto"/>
        <w:left w:val="none" w:sz="0" w:space="0" w:color="auto"/>
        <w:bottom w:val="none" w:sz="0" w:space="0" w:color="auto"/>
        <w:right w:val="none" w:sz="0" w:space="0" w:color="auto"/>
      </w:divBdr>
    </w:div>
    <w:div w:id="1887135453">
      <w:bodyDiv w:val="1"/>
      <w:marLeft w:val="0"/>
      <w:marRight w:val="0"/>
      <w:marTop w:val="0"/>
      <w:marBottom w:val="0"/>
      <w:divBdr>
        <w:top w:val="none" w:sz="0" w:space="0" w:color="auto"/>
        <w:left w:val="none" w:sz="0" w:space="0" w:color="auto"/>
        <w:bottom w:val="none" w:sz="0" w:space="0" w:color="auto"/>
        <w:right w:val="none" w:sz="0" w:space="0" w:color="auto"/>
      </w:divBdr>
    </w:div>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 w:id="2124878721">
      <w:bodyDiv w:val="1"/>
      <w:marLeft w:val="0"/>
      <w:marRight w:val="0"/>
      <w:marTop w:val="0"/>
      <w:marBottom w:val="0"/>
      <w:divBdr>
        <w:top w:val="none" w:sz="0" w:space="0" w:color="auto"/>
        <w:left w:val="none" w:sz="0" w:space="0" w:color="auto"/>
        <w:bottom w:val="none" w:sz="0" w:space="0" w:color="auto"/>
        <w:right w:val="none" w:sz="0" w:space="0" w:color="auto"/>
      </w:divBdr>
      <w:divsChild>
        <w:div w:id="1057167841">
          <w:marLeft w:val="1080"/>
          <w:marRight w:val="0"/>
          <w:marTop w:val="100"/>
          <w:marBottom w:val="0"/>
          <w:divBdr>
            <w:top w:val="none" w:sz="0" w:space="0" w:color="auto"/>
            <w:left w:val="none" w:sz="0" w:space="0" w:color="auto"/>
            <w:bottom w:val="none" w:sz="0" w:space="0" w:color="auto"/>
            <w:right w:val="none" w:sz="0" w:space="0" w:color="auto"/>
          </w:divBdr>
        </w:div>
        <w:div w:id="178881001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pn/im/documents/jun21memoeeed01.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pn/im/documents/jun21memoeeed01.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9CB4384C7494687A086D7C0C61D99" ma:contentTypeVersion="6" ma:contentTypeDescription="Create a new document." ma:contentTypeScope="" ma:versionID="4b63d3edfd7e9670719c8499364df664">
  <xsd:schema xmlns:xsd="http://www.w3.org/2001/XMLSchema" xmlns:xs="http://www.w3.org/2001/XMLSchema" xmlns:p="http://schemas.microsoft.com/office/2006/metadata/properties" xmlns:ns2="6da794d4-7bfe-4e87-86bd-08335e425003" xmlns:ns3="1714c202-bd1a-4594-98e2-6b7e61d2c88e" targetNamespace="http://schemas.microsoft.com/office/2006/metadata/properties" ma:root="true" ma:fieldsID="9db9b34496e71f4e19f292f88c2a88ac" ns2:_="" ns3:_="">
    <xsd:import namespace="6da794d4-7bfe-4e87-86bd-08335e425003"/>
    <xsd:import namespace="1714c202-bd1a-4594-98e2-6b7e61d2c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794d4-7bfe-4e87-86bd-08335e425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4c202-bd1a-4594-98e2-6b7e61d2c8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B248-CC58-4585-8E58-F2272B31674F}">
  <ds:schemaRefs>
    <ds:schemaRef ds:uri="http://schemas.openxmlformats.org/package/2006/metadata/core-properties"/>
    <ds:schemaRef ds:uri="http://schemas.microsoft.com/office/2006/documentManagement/types"/>
    <ds:schemaRef ds:uri="http://schemas.microsoft.com/office/infopath/2007/PartnerControls"/>
    <ds:schemaRef ds:uri="1714c202-bd1a-4594-98e2-6b7e61d2c88e"/>
    <ds:schemaRef ds:uri="http://purl.org/dc/elements/1.1/"/>
    <ds:schemaRef ds:uri="http://schemas.microsoft.com/office/2006/metadata/properties"/>
    <ds:schemaRef ds:uri="6da794d4-7bfe-4e87-86bd-08335e42500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4541E1A-9453-4222-99B0-6BDDD1D2B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794d4-7bfe-4e87-86bd-08335e425003"/>
    <ds:schemaRef ds:uri="1714c202-bd1a-4594-98e2-6b7e61d2c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CFA7-AE29-4708-A995-C778597FCCCD}">
  <ds:schemaRefs>
    <ds:schemaRef ds:uri="http://schemas.microsoft.com/sharepoint/v3/contenttype/forms"/>
  </ds:schemaRefs>
</ds:datastoreItem>
</file>

<file path=customXml/itemProps4.xml><?xml version="1.0" encoding="utf-8"?>
<ds:datastoreItem xmlns:ds="http://schemas.openxmlformats.org/officeDocument/2006/customXml" ds:itemID="{40D629A6-9500-4858-9880-B97B5055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2119</Words>
  <Characters>12082</Characters>
  <DocSecurity>0</DocSecurity>
  <Lines>100</Lines>
  <Paragraphs>28</Paragraphs>
  <ScaleCrop>false</ScaleCrop>
  <HeadingPairs>
    <vt:vector size="2" baseType="variant">
      <vt:variant>
        <vt:lpstr>Title</vt:lpstr>
      </vt:variant>
      <vt:variant>
        <vt:i4>1</vt:i4>
      </vt:variant>
    </vt:vector>
  </HeadingPairs>
  <TitlesOfParts>
    <vt:vector size="1" baseType="lpstr">
      <vt:lpstr>November 2021 Agenda Item XX - Meeting Agendas (CA State Board of California)</vt:lpstr>
    </vt:vector>
  </TitlesOfParts>
  <Company>California State Board of Education</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06 - Meeting Agendas (CA State Board of Education)</dc:title>
  <dc:subject>Update to California's Every Student Succeeds Act State Plan: Approval of the Amendments to the State Plan.</dc:subject>
  <dc:creator/>
  <cp:keywords/>
  <dc:description/>
  <cp:lastPrinted>2019-12-17T16:14:00Z</cp:lastPrinted>
  <dcterms:created xsi:type="dcterms:W3CDTF">2021-10-13T00:14:00Z</dcterms:created>
  <dcterms:modified xsi:type="dcterms:W3CDTF">2021-10-22T19:18:00Z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0x0101003879CB4384C7494687A086D7C0C61D99</vt:lpwstr>
  </property>
</Properties>
</file>