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49CC" w14:textId="77777777" w:rsidR="00296999" w:rsidRPr="00296999" w:rsidRDefault="00296999" w:rsidP="00296999">
      <w:pPr>
        <w:spacing w:after="0" w:line="240" w:lineRule="auto"/>
        <w:rPr>
          <w:rFonts w:eastAsia="Times New Roman" w:cs="Times New Roman"/>
          <w:szCs w:val="24"/>
        </w:rPr>
      </w:pPr>
      <w:bookmarkStart w:id="0" w:name="_GoBack"/>
      <w:bookmarkEnd w:id="0"/>
      <w:r w:rsidRPr="00296999">
        <w:rPr>
          <w:rFonts w:eastAsia="Times New Roman" w:cs="Times New Roman"/>
          <w:noProof/>
          <w:szCs w:val="24"/>
        </w:rPr>
        <w:drawing>
          <wp:inline distT="0" distB="0" distL="0" distR="0" wp14:anchorId="48B6AE6C" wp14:editId="234E460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90A0853" w14:textId="77777777" w:rsidR="00296999" w:rsidRPr="00296999" w:rsidRDefault="00296999" w:rsidP="00296999">
      <w:pPr>
        <w:spacing w:after="0" w:line="240" w:lineRule="auto"/>
        <w:jc w:val="right"/>
        <w:rPr>
          <w:rFonts w:eastAsia="Times New Roman" w:cs="Times New Roman"/>
          <w:szCs w:val="24"/>
        </w:rPr>
      </w:pPr>
      <w:r w:rsidRPr="00296999">
        <w:rPr>
          <w:rFonts w:eastAsia="Times New Roman" w:cs="Times New Roman"/>
          <w:szCs w:val="24"/>
        </w:rPr>
        <w:t>California Department of Education</w:t>
      </w:r>
    </w:p>
    <w:p w14:paraId="20EE439A" w14:textId="77777777" w:rsidR="00296999" w:rsidRPr="00296999" w:rsidRDefault="00296999" w:rsidP="00296999">
      <w:pPr>
        <w:spacing w:after="0" w:line="240" w:lineRule="auto"/>
        <w:jc w:val="right"/>
        <w:rPr>
          <w:rFonts w:eastAsia="Times New Roman" w:cs="Times New Roman"/>
          <w:szCs w:val="24"/>
        </w:rPr>
      </w:pPr>
      <w:r w:rsidRPr="00296999">
        <w:rPr>
          <w:rFonts w:eastAsia="Times New Roman" w:cs="Times New Roman"/>
          <w:szCs w:val="24"/>
        </w:rPr>
        <w:t>Executive Office</w:t>
      </w:r>
    </w:p>
    <w:p w14:paraId="08E7879D" w14:textId="31BB50A2" w:rsidR="00296999" w:rsidRDefault="00296999" w:rsidP="00296999">
      <w:pPr>
        <w:spacing w:after="0" w:line="240" w:lineRule="auto"/>
        <w:jc w:val="right"/>
        <w:rPr>
          <w:rFonts w:eastAsia="Times New Roman" w:cs="Times New Roman"/>
          <w:szCs w:val="24"/>
        </w:rPr>
      </w:pPr>
      <w:r w:rsidRPr="00296999">
        <w:rPr>
          <w:rFonts w:eastAsia="Times New Roman" w:cs="Times New Roman"/>
          <w:szCs w:val="24"/>
        </w:rPr>
        <w:t>SBE-003 (REV. 11/2017)</w:t>
      </w:r>
    </w:p>
    <w:p w14:paraId="7A111603" w14:textId="668D4CF0" w:rsidR="00296999" w:rsidRPr="00296999" w:rsidRDefault="00296999" w:rsidP="00296999">
      <w:pPr>
        <w:spacing w:after="0" w:line="240" w:lineRule="auto"/>
        <w:jc w:val="right"/>
        <w:rPr>
          <w:rFonts w:eastAsia="Times New Roman" w:cs="Times New Roman"/>
          <w:szCs w:val="24"/>
        </w:rPr>
      </w:pPr>
      <w:r>
        <w:rPr>
          <w:rFonts w:eastAsia="Times New Roman" w:cs="Times New Roman"/>
          <w:szCs w:val="24"/>
        </w:rPr>
        <w:t>oab-sftsd-jul22item01</w:t>
      </w:r>
    </w:p>
    <w:p w14:paraId="354A4536" w14:textId="77777777" w:rsidR="00296999" w:rsidRPr="00296999" w:rsidRDefault="00296999" w:rsidP="00296999">
      <w:pPr>
        <w:keepNext/>
        <w:keepLines/>
        <w:spacing w:before="120" w:after="120" w:line="240" w:lineRule="auto"/>
        <w:jc w:val="center"/>
        <w:outlineLvl w:val="0"/>
        <w:rPr>
          <w:rFonts w:eastAsia="Times New Roman" w:cs="Times New Roman"/>
          <w:b/>
          <w:sz w:val="40"/>
          <w:szCs w:val="40"/>
        </w:rPr>
        <w:sectPr w:rsidR="00296999" w:rsidRPr="00296999" w:rsidSect="00AB6213">
          <w:headerReference w:type="default" r:id="rId9"/>
          <w:pgSz w:w="12240" w:h="15840"/>
          <w:pgMar w:top="720" w:right="1440" w:bottom="1440" w:left="1440" w:header="720" w:footer="720" w:gutter="0"/>
          <w:cols w:num="2" w:space="720"/>
          <w:titlePg/>
          <w:docGrid w:linePitch="360"/>
        </w:sectPr>
      </w:pPr>
    </w:p>
    <w:p w14:paraId="7D4E04C7" w14:textId="77777777" w:rsidR="00296999" w:rsidRPr="00296999" w:rsidRDefault="00296999" w:rsidP="00296999">
      <w:pPr>
        <w:keepNext/>
        <w:keepLines/>
        <w:spacing w:before="120" w:after="120" w:line="240" w:lineRule="auto"/>
        <w:jc w:val="center"/>
        <w:outlineLvl w:val="0"/>
        <w:rPr>
          <w:rFonts w:eastAsia="Times New Roman" w:cs="Times New Roman"/>
          <w:b/>
          <w:sz w:val="40"/>
          <w:szCs w:val="40"/>
        </w:rPr>
        <w:sectPr w:rsidR="00296999" w:rsidRPr="00296999" w:rsidSect="00AB6213">
          <w:type w:val="continuous"/>
          <w:pgSz w:w="12240" w:h="15840"/>
          <w:pgMar w:top="720" w:right="1440" w:bottom="1440" w:left="1440" w:header="720" w:footer="720" w:gutter="0"/>
          <w:cols w:space="720"/>
          <w:docGrid w:linePitch="360"/>
        </w:sectPr>
      </w:pPr>
    </w:p>
    <w:p w14:paraId="3F480C63" w14:textId="51BE5D25" w:rsidR="00296999" w:rsidRPr="001B3958" w:rsidRDefault="00296999" w:rsidP="00296999">
      <w:pPr>
        <w:pStyle w:val="Heading1"/>
        <w:rPr>
          <w:sz w:val="40"/>
        </w:rPr>
      </w:pPr>
      <w:r w:rsidRPr="001B3958">
        <w:rPr>
          <w:sz w:val="40"/>
        </w:rPr>
        <w:t>Californ</w:t>
      </w:r>
      <w:r>
        <w:rPr>
          <w:sz w:val="40"/>
        </w:rPr>
        <w:t>ia State Board of Education</w:t>
      </w:r>
      <w:r>
        <w:rPr>
          <w:sz w:val="40"/>
        </w:rPr>
        <w:br/>
      </w:r>
      <w:r w:rsidRPr="00762347">
        <w:rPr>
          <w:sz w:val="40"/>
        </w:rPr>
        <w:t>July 2022 Agenda</w:t>
      </w:r>
      <w:r w:rsidRPr="00762347">
        <w:rPr>
          <w:sz w:val="40"/>
        </w:rPr>
        <w:br/>
        <w:t>Item #</w:t>
      </w:r>
      <w:r w:rsidR="00762347" w:rsidRPr="00762347">
        <w:rPr>
          <w:sz w:val="40"/>
        </w:rPr>
        <w:t>05</w:t>
      </w:r>
    </w:p>
    <w:p w14:paraId="7E0F79E6" w14:textId="77777777" w:rsidR="001C19A4" w:rsidRPr="007F1E2D" w:rsidRDefault="001C19A4" w:rsidP="007F1E2D">
      <w:pPr>
        <w:pStyle w:val="Heading2"/>
      </w:pPr>
      <w:r w:rsidRPr="007F1E2D">
        <w:t>Subject</w:t>
      </w:r>
    </w:p>
    <w:p w14:paraId="32C4584D" w14:textId="7AF471B5" w:rsidR="001C19A4" w:rsidRPr="00020C70" w:rsidRDefault="001C19A4" w:rsidP="007F1E2D">
      <w:r w:rsidRPr="009F7668">
        <w:t xml:space="preserve">Proposed Formation of a New Unified School District from the Northgate </w:t>
      </w:r>
      <w:r w:rsidR="004D4335">
        <w:t>P</w:t>
      </w:r>
      <w:r>
        <w:t>ortion</w:t>
      </w:r>
      <w:r w:rsidRPr="009F7668">
        <w:t xml:space="preserve"> of the Mt. Diablo Unified School District in Contra Costa County</w:t>
      </w:r>
      <w:r w:rsidRPr="00020C70">
        <w:t>.</w:t>
      </w:r>
      <w:r w:rsidR="004F4871">
        <w:t xml:space="preserve"> </w:t>
      </w:r>
    </w:p>
    <w:p w14:paraId="317C639B" w14:textId="77777777" w:rsidR="001C19A4" w:rsidRPr="00020C70" w:rsidRDefault="001C19A4" w:rsidP="007F1E2D">
      <w:pPr>
        <w:pStyle w:val="Heading2"/>
      </w:pPr>
      <w:r w:rsidRPr="00020C70">
        <w:t>Type of Action</w:t>
      </w:r>
    </w:p>
    <w:p w14:paraId="0C05FECA" w14:textId="77777777" w:rsidR="001C19A4" w:rsidRPr="00020C70" w:rsidRDefault="001C19A4" w:rsidP="007F1E2D">
      <w:r w:rsidRPr="00020C70">
        <w:t>Action, Information, Public Hearing</w:t>
      </w:r>
    </w:p>
    <w:p w14:paraId="5D0C37D0" w14:textId="77777777" w:rsidR="001C19A4" w:rsidRPr="00020C70" w:rsidRDefault="001C19A4" w:rsidP="007F1E2D">
      <w:pPr>
        <w:pStyle w:val="Heading2"/>
      </w:pPr>
      <w:r w:rsidRPr="00020C70">
        <w:t>Summary of the Issue(s)</w:t>
      </w:r>
    </w:p>
    <w:p w14:paraId="38C61BC0" w14:textId="152324F6" w:rsidR="001C19A4" w:rsidRDefault="001C19A4" w:rsidP="007F1E2D">
      <w:r w:rsidRPr="009F7668">
        <w:t xml:space="preserve">A petition to form a new unified school district from the Northgate portion of </w:t>
      </w:r>
      <w:r>
        <w:t xml:space="preserve">the </w:t>
      </w:r>
      <w:r w:rsidRPr="009F7668">
        <w:t>Mt. Diablo Unified School District (USD) in Contra Costa County was submitted to the Contra Costa County Superintendent of Schools (County Superintendent). The Contra Costa County Committee on School District Organization (County Committee) held public hearings</w:t>
      </w:r>
      <w:r w:rsidR="004D4335">
        <w:t xml:space="preserve"> on the matter.</w:t>
      </w:r>
      <w:r w:rsidRPr="009F7668">
        <w:t xml:space="preserve"> </w:t>
      </w:r>
      <w:r w:rsidR="004D4335">
        <w:t>The County Committee determined</w:t>
      </w:r>
      <w:r w:rsidRPr="009F7668">
        <w:t xml:space="preserve"> that the petition failed to substantially meet </w:t>
      </w:r>
      <w:r>
        <w:t>all</w:t>
      </w:r>
      <w:r w:rsidRPr="009F7668">
        <w:t xml:space="preserve"> minimum threshold requirements in</w:t>
      </w:r>
      <w:r>
        <w:t xml:space="preserve"> subdivision (a) of</w:t>
      </w:r>
      <w:r w:rsidRPr="009F7668">
        <w:t xml:space="preserve"> California </w:t>
      </w:r>
      <w:r w:rsidRPr="00E37CCB">
        <w:rPr>
          <w:i/>
        </w:rPr>
        <w:t xml:space="preserve">Education Code </w:t>
      </w:r>
      <w:r w:rsidRPr="009F7668">
        <w:t>(</w:t>
      </w:r>
      <w:r w:rsidRPr="00E37CCB">
        <w:rPr>
          <w:i/>
        </w:rPr>
        <w:t>EC</w:t>
      </w:r>
      <w:r w:rsidRPr="009F7668">
        <w:t>) Section 35753</w:t>
      </w:r>
      <w:r w:rsidR="004D4335">
        <w:t>,</w:t>
      </w:r>
      <w:r>
        <w:t xml:space="preserve"> and </w:t>
      </w:r>
      <w:r w:rsidR="004D4335">
        <w:t xml:space="preserve">also determined </w:t>
      </w:r>
      <w:r>
        <w:t>that the reorganization would adversely affect the school district organization of the county</w:t>
      </w:r>
      <w:r w:rsidR="004D4335">
        <w:t xml:space="preserve">. For these reasons, the County Committee </w:t>
      </w:r>
      <w:r w:rsidRPr="009F7668">
        <w:t>recommend</w:t>
      </w:r>
      <w:r>
        <w:t>s</w:t>
      </w:r>
      <w:r w:rsidRPr="009F7668">
        <w:t xml:space="preserve"> that the California State Board of Education (SBE) disapprove the petition.</w:t>
      </w:r>
    </w:p>
    <w:p w14:paraId="232371E3" w14:textId="77777777" w:rsidR="001C19A4" w:rsidRDefault="001C19A4" w:rsidP="007F1E2D">
      <w:pPr>
        <w:pStyle w:val="Heading2"/>
      </w:pPr>
      <w:r w:rsidRPr="00020C70">
        <w:t>Recommendation</w:t>
      </w:r>
    </w:p>
    <w:p w14:paraId="21D4E2D7" w14:textId="77777777" w:rsidR="001C19A4" w:rsidRDefault="001C19A4" w:rsidP="007F1E2D">
      <w:r w:rsidRPr="005D006E">
        <w:rPr>
          <w:rFonts w:cs="Arial"/>
        </w:rPr>
        <w:t xml:space="preserve">The California Department of Education (CDE) recommends that the SBE disapprove the petition to form a new unified school district from the </w:t>
      </w:r>
      <w:r>
        <w:rPr>
          <w:rFonts w:cs="Arial"/>
        </w:rPr>
        <w:t>Northgate</w:t>
      </w:r>
      <w:r w:rsidRPr="005D006E">
        <w:rPr>
          <w:rFonts w:cs="Arial"/>
        </w:rPr>
        <w:t xml:space="preserve"> portion of the </w:t>
      </w:r>
      <w:r>
        <w:rPr>
          <w:rFonts w:cs="Arial"/>
        </w:rPr>
        <w:t xml:space="preserve">Mt. Diablo </w:t>
      </w:r>
      <w:r w:rsidRPr="005D006E">
        <w:rPr>
          <w:rFonts w:cs="Arial"/>
        </w:rPr>
        <w:t>USD.</w:t>
      </w:r>
    </w:p>
    <w:p w14:paraId="7F0F0F9E" w14:textId="77777777" w:rsidR="001C19A4" w:rsidRPr="00020C70" w:rsidRDefault="001C19A4" w:rsidP="007F1E2D">
      <w:pPr>
        <w:pStyle w:val="Heading2"/>
      </w:pPr>
      <w:r w:rsidRPr="00020C70">
        <w:t>Brief History of Key Issues</w:t>
      </w:r>
    </w:p>
    <w:p w14:paraId="7FD72578" w14:textId="67A59B08" w:rsidR="001C19A4" w:rsidRDefault="001C19A4" w:rsidP="007F1E2D">
      <w:r>
        <w:t xml:space="preserve">The action to form the new school district was initiated pursuant to </w:t>
      </w:r>
      <w:r w:rsidRPr="00AE6DAD">
        <w:rPr>
          <w:i/>
        </w:rPr>
        <w:t>EC</w:t>
      </w:r>
      <w:r>
        <w:t xml:space="preserve"> Section 35700(a), which requires that a petition be signed by at least 25 percent of the registered voters residing in the territory proposed to be included in the new district. The County Committee analyzed effects of the proposed unification on the nine required </w:t>
      </w:r>
      <w:r>
        <w:lastRenderedPageBreak/>
        <w:t xml:space="preserve">conditions for approval listed in </w:t>
      </w:r>
      <w:r w:rsidRPr="00AE6DAD">
        <w:rPr>
          <w:i/>
        </w:rPr>
        <w:t>EC</w:t>
      </w:r>
      <w:r>
        <w:t xml:space="preserve"> Section 35753, and found that the petition failed to substantially meet </w:t>
      </w:r>
      <w:r w:rsidR="00ED4370">
        <w:t>five of the nine minimum threshold conditions as follows:</w:t>
      </w:r>
    </w:p>
    <w:p w14:paraId="1BE28916" w14:textId="77777777" w:rsidR="005D4B48" w:rsidRPr="005D4B48" w:rsidRDefault="005D4B48" w:rsidP="005D4B48">
      <w:pPr>
        <w:pStyle w:val="ListParagraph"/>
        <w:numPr>
          <w:ilvl w:val="0"/>
          <w:numId w:val="2"/>
        </w:numPr>
        <w:spacing w:after="240" w:line="259" w:lineRule="auto"/>
        <w:ind w:left="720"/>
        <w:contextualSpacing w:val="0"/>
      </w:pPr>
      <w:r w:rsidRPr="005D4B48">
        <w:t>The proposal will result in an inequitable division of property and facilities of the original district or districts, thereby failing to substantially meet condition 3.</w:t>
      </w:r>
    </w:p>
    <w:p w14:paraId="5CB1D0AE" w14:textId="77777777" w:rsidR="005D4B48" w:rsidRPr="005D4B48" w:rsidRDefault="005D4B48" w:rsidP="005D4B48">
      <w:pPr>
        <w:pStyle w:val="ListParagraph"/>
        <w:numPr>
          <w:ilvl w:val="0"/>
          <w:numId w:val="2"/>
        </w:numPr>
        <w:spacing w:after="240" w:line="259" w:lineRule="auto"/>
        <w:ind w:left="720"/>
        <w:contextualSpacing w:val="0"/>
      </w:pPr>
      <w:r w:rsidRPr="005D4B48">
        <w:t>The reorganization of the districts will not preserve each affected district’s ability to educate students in an integrated environment and/or will promote racial or ethnic discrimination or segregation, thereby failing to substantially meet condition 4.</w:t>
      </w:r>
    </w:p>
    <w:p w14:paraId="2C9F8C30" w14:textId="77777777" w:rsidR="005D4B48" w:rsidRPr="005D4B48" w:rsidRDefault="005D4B48" w:rsidP="005D4B48">
      <w:pPr>
        <w:pStyle w:val="ListParagraph"/>
        <w:numPr>
          <w:ilvl w:val="0"/>
          <w:numId w:val="2"/>
        </w:numPr>
        <w:spacing w:after="240" w:line="259" w:lineRule="auto"/>
        <w:ind w:left="720"/>
        <w:contextualSpacing w:val="0"/>
      </w:pPr>
      <w:r w:rsidRPr="005D4B48">
        <w:t>The proposed reorganization will not continue to promote sound education performance and/or will significantly disrupt the educational programs in the districts affected by the proposed reorganization, thereby failing to substantially meet condition 6.</w:t>
      </w:r>
    </w:p>
    <w:p w14:paraId="7FD1D344" w14:textId="77777777" w:rsidR="005D4B48" w:rsidRPr="005D4B48" w:rsidRDefault="005D4B48" w:rsidP="005D4B48">
      <w:pPr>
        <w:pStyle w:val="ListParagraph"/>
        <w:numPr>
          <w:ilvl w:val="0"/>
          <w:numId w:val="2"/>
        </w:numPr>
        <w:spacing w:after="240" w:line="259" w:lineRule="auto"/>
        <w:ind w:left="720"/>
        <w:contextualSpacing w:val="0"/>
      </w:pPr>
      <w:r w:rsidRPr="005D4B48">
        <w:t>Any increase in school facilities costs as a result of the proposed reorganization will be significant and not incidental to the reorganization, thereby failing to substantially meet condition 7.</w:t>
      </w:r>
    </w:p>
    <w:p w14:paraId="2FA2E2FF" w14:textId="77777777" w:rsidR="005D4B48" w:rsidRPr="005D4B48" w:rsidRDefault="005D4B48" w:rsidP="005D4B48">
      <w:pPr>
        <w:pStyle w:val="ListParagraph"/>
        <w:numPr>
          <w:ilvl w:val="0"/>
          <w:numId w:val="2"/>
        </w:numPr>
        <w:spacing w:after="240" w:line="259" w:lineRule="auto"/>
        <w:ind w:left="720"/>
        <w:contextualSpacing w:val="0"/>
      </w:pPr>
      <w:r w:rsidRPr="005D4B48">
        <w:t xml:space="preserve">The proposed reorganization will not continue to promote sound fiscal management and/or will cause a substantial negative effect on the fiscal status of the proposed district or any existing district affected by the proposed reorganization, thereby failing to substantially meet condition 9. </w:t>
      </w:r>
    </w:p>
    <w:p w14:paraId="648648F8" w14:textId="482BA367" w:rsidR="001C19A4" w:rsidRDefault="004533D8" w:rsidP="007F1E2D">
      <w:r>
        <w:t xml:space="preserve">Pursuant to </w:t>
      </w:r>
      <w:r>
        <w:rPr>
          <w:i/>
        </w:rPr>
        <w:t xml:space="preserve">EC </w:t>
      </w:r>
      <w:r>
        <w:t>Section 357</w:t>
      </w:r>
      <w:r w:rsidR="002765BA">
        <w:t>07</w:t>
      </w:r>
      <w:r>
        <w:t>(a), t</w:t>
      </w:r>
      <w:r w:rsidR="001C19A4" w:rsidRPr="004533D8">
        <w:t>he</w:t>
      </w:r>
      <w:r w:rsidR="001C19A4">
        <w:t xml:space="preserve"> County Committee found that the petition, taken as a whole, did not meet the nine conditions of </w:t>
      </w:r>
      <w:r w:rsidR="001C19A4" w:rsidRPr="00EB3F4D">
        <w:rPr>
          <w:i/>
        </w:rPr>
        <w:t>EC</w:t>
      </w:r>
      <w:r w:rsidR="001C19A4">
        <w:t xml:space="preserve"> Section 35753 on a vote of 3-2. Further, the County Committee voted 3-2 that the proposal would adversely affect the school district organization of the county. The County Committee voted 3-2 to recommend the SBE disapprove the petition to form the Northgate USD. </w:t>
      </w:r>
    </w:p>
    <w:p w14:paraId="0EAA4231" w14:textId="77777777" w:rsidR="001C19A4" w:rsidRDefault="001C19A4" w:rsidP="007F1E2D">
      <w:r>
        <w:t>The governing board of the Mt. Diablo USD also opposes the proposal.</w:t>
      </w:r>
    </w:p>
    <w:p w14:paraId="34B9FB16" w14:textId="77777777" w:rsidR="001C19A4" w:rsidRDefault="001C19A4" w:rsidP="007F1E2D">
      <w:pPr>
        <w:pStyle w:val="Heading2"/>
      </w:pPr>
      <w:r>
        <w:t>Required Steps for SBE Action</w:t>
      </w:r>
    </w:p>
    <w:p w14:paraId="5DE2580D" w14:textId="6A93DA30" w:rsidR="001C19A4" w:rsidRDefault="001C19A4" w:rsidP="007F1E2D">
      <w:r>
        <w:t>The procedure for the SBE to consider this proposal to form a new school district is:</w:t>
      </w:r>
    </w:p>
    <w:p w14:paraId="4F58DB7D" w14:textId="3D5C6A6C" w:rsidR="001C19A4" w:rsidRDefault="001C19A4" w:rsidP="007F1E2D">
      <w:pPr>
        <w:pStyle w:val="ListParagraph"/>
        <w:numPr>
          <w:ilvl w:val="0"/>
          <w:numId w:val="2"/>
        </w:numPr>
        <w:spacing w:after="240" w:line="259" w:lineRule="auto"/>
        <w:ind w:left="720"/>
        <w:contextualSpacing w:val="0"/>
      </w:pPr>
      <w:r>
        <w:t>Consider the CDE analys</w:t>
      </w:r>
      <w:r w:rsidR="006947B2">
        <w:t>i</w:t>
      </w:r>
      <w:r>
        <w:t xml:space="preserve">s and recommendations regarding the conditions stated in </w:t>
      </w:r>
      <w:r w:rsidRPr="00FE5E6C">
        <w:rPr>
          <w:i/>
        </w:rPr>
        <w:t>EC</w:t>
      </w:r>
      <w:r>
        <w:t xml:space="preserve"> Section 35753.</w:t>
      </w:r>
    </w:p>
    <w:p w14:paraId="1EE9326A" w14:textId="77777777" w:rsidR="001C19A4" w:rsidRDefault="001C19A4" w:rsidP="007F1E2D">
      <w:pPr>
        <w:pStyle w:val="ListParagraph"/>
        <w:numPr>
          <w:ilvl w:val="0"/>
          <w:numId w:val="2"/>
        </w:numPr>
        <w:spacing w:after="240" w:line="259" w:lineRule="auto"/>
        <w:ind w:left="720"/>
        <w:contextualSpacing w:val="0"/>
      </w:pPr>
      <w:r>
        <w:t>Conduct a public hearing on the proposal.</w:t>
      </w:r>
    </w:p>
    <w:p w14:paraId="733FC47A" w14:textId="77777777" w:rsidR="001C19A4" w:rsidRDefault="001C19A4" w:rsidP="007F1E2D">
      <w:pPr>
        <w:pStyle w:val="ListParagraph"/>
        <w:numPr>
          <w:ilvl w:val="0"/>
          <w:numId w:val="2"/>
        </w:numPr>
        <w:spacing w:after="240" w:line="259" w:lineRule="auto"/>
        <w:ind w:left="720"/>
        <w:contextualSpacing w:val="0"/>
      </w:pPr>
      <w:r>
        <w:t xml:space="preserve">Determine the proposal has merit or </w:t>
      </w:r>
      <w:proofErr w:type="gramStart"/>
      <w:r>
        <w:t>take action</w:t>
      </w:r>
      <w:proofErr w:type="gramEnd"/>
      <w:r>
        <w:t xml:space="preserve"> to disapprove it.</w:t>
      </w:r>
    </w:p>
    <w:p w14:paraId="70617075" w14:textId="77777777" w:rsidR="001C19A4" w:rsidRDefault="001C19A4" w:rsidP="007F1E2D">
      <w:r>
        <w:lastRenderedPageBreak/>
        <w:t>If the SBE determines the proposal has merit, it must then inform local agencies and chief petitioners that they must comply, under SBE and CDE oversight, with the requirements of the California Environmental Quality Act (CEQA) before a final action to approve can be considered by the SBE.</w:t>
      </w:r>
    </w:p>
    <w:p w14:paraId="65242752" w14:textId="162D5146" w:rsidR="001C19A4" w:rsidRDefault="001C19A4" w:rsidP="007F1E2D">
      <w:r>
        <w:t>If the SBE acts to disapprove the proposal,</w:t>
      </w:r>
      <w:r w:rsidR="004D4335">
        <w:t xml:space="preserve"> the SBE must</w:t>
      </w:r>
      <w:r>
        <w:t xml:space="preserve"> inform the Contra Costa County Superintendent and all affected parties of such disapproval.</w:t>
      </w:r>
    </w:p>
    <w:p w14:paraId="37056781" w14:textId="77777777" w:rsidR="001C19A4" w:rsidRPr="00020C70" w:rsidRDefault="001C19A4" w:rsidP="007F1E2D">
      <w:pPr>
        <w:pStyle w:val="Heading2"/>
      </w:pPr>
      <w:r w:rsidRPr="00020C70">
        <w:t>CDE Findings and Recommendations</w:t>
      </w:r>
    </w:p>
    <w:p w14:paraId="65609D39" w14:textId="696B073E" w:rsidR="001C19A4" w:rsidRPr="00020C70" w:rsidRDefault="001C19A4" w:rsidP="005F27A6">
      <w:r w:rsidRPr="00020C70">
        <w:t>The CDE reviewed the entire administrative record provided by the County Superintendent</w:t>
      </w:r>
      <w:r w:rsidR="003C6EE8">
        <w:t>,</w:t>
      </w:r>
      <w:r>
        <w:t xml:space="preserve"> </w:t>
      </w:r>
      <w:r w:rsidRPr="00020C70">
        <w:t xml:space="preserve">including </w:t>
      </w:r>
      <w:r>
        <w:t>minutes and audio</w:t>
      </w:r>
      <w:r w:rsidR="003C6EE8">
        <w:t xml:space="preserve"> </w:t>
      </w:r>
      <w:r>
        <w:t>recordings</w:t>
      </w:r>
      <w:r w:rsidRPr="00020C70">
        <w:t xml:space="preserve"> of public hearings and meetings, information </w:t>
      </w:r>
      <w:r>
        <w:t xml:space="preserve">prepared for </w:t>
      </w:r>
      <w:r w:rsidRPr="00020C70">
        <w:t>the County Committee</w:t>
      </w:r>
      <w:r>
        <w:t xml:space="preserve">, </w:t>
      </w:r>
      <w:r w:rsidR="003C6EE8">
        <w:t>and</w:t>
      </w:r>
      <w:r w:rsidRPr="00020C70">
        <w:t xml:space="preserve"> new information requested and received from the County Superintendent and the affected school districts pursuant to </w:t>
      </w:r>
      <w:r w:rsidRPr="00020C70">
        <w:rPr>
          <w:i/>
        </w:rPr>
        <w:t>EC</w:t>
      </w:r>
      <w:r w:rsidRPr="00020C70">
        <w:t xml:space="preserve"> Section 35751. After this review, the CDE completed an analysis of the proposed </w:t>
      </w:r>
      <w:r>
        <w:t>unification.</w:t>
      </w:r>
    </w:p>
    <w:p w14:paraId="467C79FC" w14:textId="19D41A12" w:rsidR="001C19A4" w:rsidRDefault="001C19A4" w:rsidP="005F27A6">
      <w:r>
        <w:t xml:space="preserve">The CDE finds that the proposal fails to substantially meet </w:t>
      </w:r>
      <w:r w:rsidRPr="008604C3">
        <w:t>two</w:t>
      </w:r>
      <w:r w:rsidR="005D4B48">
        <w:t xml:space="preserve"> of the nine</w:t>
      </w:r>
      <w:r w:rsidRPr="008604C3">
        <w:t xml:space="preserve"> </w:t>
      </w:r>
      <w:r>
        <w:t xml:space="preserve">conditions of subdivision (a) of </w:t>
      </w:r>
      <w:r w:rsidRPr="00447593">
        <w:rPr>
          <w:i/>
        </w:rPr>
        <w:t>EC</w:t>
      </w:r>
      <w:r>
        <w:t xml:space="preserve"> Section 35753:</w:t>
      </w:r>
    </w:p>
    <w:p w14:paraId="3348E8BB" w14:textId="77777777" w:rsidR="005D4B48" w:rsidRPr="005D4B48" w:rsidRDefault="005D4B48" w:rsidP="005D4B48">
      <w:pPr>
        <w:pStyle w:val="ListParagraph"/>
        <w:numPr>
          <w:ilvl w:val="0"/>
          <w:numId w:val="2"/>
        </w:numPr>
        <w:spacing w:after="240" w:line="259" w:lineRule="auto"/>
        <w:ind w:left="720"/>
        <w:contextualSpacing w:val="0"/>
      </w:pPr>
      <w:r w:rsidRPr="005D4B48">
        <w:t>The proposal will result in an inequitable division of property and facilities of the original district or districts, thereby failing to substantially meet condition 3.</w:t>
      </w:r>
    </w:p>
    <w:p w14:paraId="0F150CF4" w14:textId="77777777" w:rsidR="005D4B48" w:rsidRPr="005D4B48" w:rsidRDefault="005D4B48" w:rsidP="005D4B48">
      <w:pPr>
        <w:pStyle w:val="ListParagraph"/>
        <w:numPr>
          <w:ilvl w:val="0"/>
          <w:numId w:val="2"/>
        </w:numPr>
        <w:spacing w:after="240" w:line="259" w:lineRule="auto"/>
        <w:ind w:left="720"/>
        <w:contextualSpacing w:val="0"/>
      </w:pPr>
      <w:r w:rsidRPr="005D4B48">
        <w:t>Any increase in school facilities costs as a result of the proposed reorganization will be significant and not incidental to the reorganization, thereby failing to substantially meet condition 7.</w:t>
      </w:r>
    </w:p>
    <w:p w14:paraId="6A10C0FE" w14:textId="13437400" w:rsidR="001C19A4" w:rsidRDefault="001C19A4" w:rsidP="005F27A6">
      <w:r w:rsidRPr="008604C3">
        <w:t>In addition to fail</w:t>
      </w:r>
      <w:r w:rsidR="004D4335">
        <w:t>ing</w:t>
      </w:r>
      <w:r w:rsidRPr="008604C3">
        <w:t xml:space="preserve"> to meet all of the minimum conditions for approval, </w:t>
      </w:r>
      <w:r w:rsidR="006947B2">
        <w:t xml:space="preserve">the </w:t>
      </w:r>
      <w:r w:rsidRPr="008604C3">
        <w:t xml:space="preserve">CDE </w:t>
      </w:r>
      <w:r w:rsidR="004C3589">
        <w:t>did not find any compelling</w:t>
      </w:r>
      <w:r w:rsidRPr="008604C3">
        <w:t xml:space="preserve"> local educational needs or concerns </w:t>
      </w:r>
      <w:r w:rsidR="004C3589">
        <w:t xml:space="preserve">that </w:t>
      </w:r>
      <w:r w:rsidRPr="008604C3">
        <w:t>would be addressed by th</w:t>
      </w:r>
      <w:r w:rsidR="006947B2">
        <w:t>e</w:t>
      </w:r>
      <w:r w:rsidRPr="008604C3">
        <w:t xml:space="preserve"> unification proposal.</w:t>
      </w:r>
      <w:r w:rsidR="006C1A3D">
        <w:t xml:space="preserve"> Further, the proposed unification would remove the most affluent area of the Mt. Diablo USD </w:t>
      </w:r>
      <w:r w:rsidR="00EB7054">
        <w:t xml:space="preserve">in order </w:t>
      </w:r>
      <w:r w:rsidR="006C1A3D">
        <w:t xml:space="preserve">to create a smaller, </w:t>
      </w:r>
      <w:r w:rsidR="00EA4BAD">
        <w:t>less diverse,</w:t>
      </w:r>
      <w:r w:rsidR="006C1A3D">
        <w:t xml:space="preserve"> more affluent school district</w:t>
      </w:r>
      <w:r w:rsidR="00EB7054">
        <w:t>.</w:t>
      </w:r>
      <w:r w:rsidR="006C1A3D">
        <w:t xml:space="preserve"> </w:t>
      </w:r>
    </w:p>
    <w:p w14:paraId="72779215" w14:textId="33E72415" w:rsidR="001C19A4" w:rsidRDefault="00EB7054" w:rsidP="005F27A6">
      <w:r>
        <w:t>Based</w:t>
      </w:r>
      <w:r w:rsidR="001C19A4">
        <w:t xml:space="preserve"> on its analysis of the proposal, the CDE recommends that the SBE disapprove the petition to form a new unified school district from the Northgate portion of the Mt. Diablo USD. The analyses upon which the CDE bases </w:t>
      </w:r>
      <w:r>
        <w:t xml:space="preserve">this recommendation </w:t>
      </w:r>
      <w:r w:rsidR="001C19A4">
        <w:t xml:space="preserve">are contained in </w:t>
      </w:r>
      <w:r w:rsidR="001D4647">
        <w:t>a</w:t>
      </w:r>
      <w:r w:rsidR="001C19A4">
        <w:t xml:space="preserve">ttachments </w:t>
      </w:r>
      <w:r w:rsidR="001C19A4" w:rsidRPr="008604C3">
        <w:t>1</w:t>
      </w:r>
      <w:r w:rsidR="006947B2" w:rsidRPr="00996B5A">
        <w:rPr>
          <w:rFonts w:cs="Arial"/>
        </w:rPr>
        <w:t>–</w:t>
      </w:r>
      <w:r w:rsidR="001C19A4" w:rsidRPr="008604C3">
        <w:t xml:space="preserve">5. </w:t>
      </w:r>
    </w:p>
    <w:p w14:paraId="702C148E" w14:textId="77777777" w:rsidR="001C19A4" w:rsidRPr="00020C70" w:rsidRDefault="001C19A4" w:rsidP="007F1E2D">
      <w:pPr>
        <w:pStyle w:val="Heading2"/>
        <w:ind w:left="0" w:firstLine="0"/>
      </w:pPr>
      <w:r w:rsidRPr="00020C70">
        <w:t>Summary of Previous State Board of Education Discussion and Action</w:t>
      </w:r>
    </w:p>
    <w:p w14:paraId="661D7F33" w14:textId="77777777" w:rsidR="001C19A4" w:rsidRDefault="001C19A4" w:rsidP="005F27A6">
      <w:r w:rsidRPr="0040147B">
        <w:rPr>
          <w:rFonts w:cs="Arial"/>
        </w:rPr>
        <w:t xml:space="preserve">The SBE </w:t>
      </w:r>
      <w:r>
        <w:rPr>
          <w:rFonts w:cs="Arial"/>
        </w:rPr>
        <w:t>has not considered this specific issue previously</w:t>
      </w:r>
      <w:r w:rsidRPr="0040147B">
        <w:rPr>
          <w:rFonts w:cs="Arial"/>
        </w:rPr>
        <w:t>.</w:t>
      </w:r>
      <w:r>
        <w:rPr>
          <w:rFonts w:cs="Arial"/>
        </w:rPr>
        <w:t xml:space="preserve"> </w:t>
      </w:r>
    </w:p>
    <w:p w14:paraId="14A5ABDC" w14:textId="77777777" w:rsidR="001C19A4" w:rsidRPr="00020C70" w:rsidRDefault="001C19A4" w:rsidP="007F1E2D">
      <w:pPr>
        <w:pStyle w:val="Heading2"/>
      </w:pPr>
      <w:r w:rsidRPr="00020C70">
        <w:lastRenderedPageBreak/>
        <w:t>Fiscal Analysis</w:t>
      </w:r>
    </w:p>
    <w:p w14:paraId="32BED2B7" w14:textId="77777777" w:rsidR="001C19A4" w:rsidRDefault="001C19A4" w:rsidP="005F27A6">
      <w:r>
        <w:t>There are no fiscal effects if the SBE disapproves the proposal to form the new unified school district. However, the following fiscal effects will occur if the SBE ultimately approves the proposal:</w:t>
      </w:r>
    </w:p>
    <w:p w14:paraId="5DA68E5F" w14:textId="7D30C4BD" w:rsidR="001C19A4" w:rsidRPr="008604C3" w:rsidRDefault="00C3291D" w:rsidP="001C19A4">
      <w:pPr>
        <w:pStyle w:val="ListParagraph"/>
        <w:numPr>
          <w:ilvl w:val="0"/>
          <w:numId w:val="3"/>
        </w:numPr>
        <w:spacing w:after="240" w:line="259" w:lineRule="auto"/>
        <w:contextualSpacing w:val="0"/>
      </w:pPr>
      <w:r>
        <w:t xml:space="preserve">If the SBE finds the proposal has merit, the SBE would be </w:t>
      </w:r>
      <w:r w:rsidR="004D4335">
        <w:t xml:space="preserve">the </w:t>
      </w:r>
      <w:r>
        <w:t xml:space="preserve">CEQA lead agency and would return the proposal to the local level to complete CEQA compliance requirements. </w:t>
      </w:r>
      <w:r w:rsidR="001C19A4">
        <w:t>Activities required by CEQA will be funded at the local level</w:t>
      </w:r>
      <w:r w:rsidR="002A68B1">
        <w:t xml:space="preserve"> </w:t>
      </w:r>
      <w:r w:rsidR="00DF3963">
        <w:t xml:space="preserve">and are the responsibility of </w:t>
      </w:r>
      <w:r w:rsidR="002A68B1">
        <w:t xml:space="preserve">the entity proposing the project, which </w:t>
      </w:r>
      <w:r w:rsidR="00E126FE">
        <w:t>is</w:t>
      </w:r>
      <w:r w:rsidR="002A68B1">
        <w:t xml:space="preserve"> the petitioner</w:t>
      </w:r>
      <w:r w:rsidR="00E126FE">
        <w:t>s</w:t>
      </w:r>
      <w:r w:rsidR="002A68B1">
        <w:t xml:space="preserve"> in this instance</w:t>
      </w:r>
      <w:r w:rsidR="00FD39B4">
        <w:t>.</w:t>
      </w:r>
      <w:r w:rsidR="0024655D">
        <w:t xml:space="preserve"> </w:t>
      </w:r>
      <w:r w:rsidR="001C19A4">
        <w:t xml:space="preserve">Actual local costs associated with CEQA compliance are unknown but, depending on environmental issues uncovered by the CEQA Initial Study, could </w:t>
      </w:r>
      <w:r w:rsidR="001C19A4" w:rsidRPr="008604C3">
        <w:t>range from $10,000 upwards to several hundred thousand dollars.</w:t>
      </w:r>
    </w:p>
    <w:p w14:paraId="59B0AED2" w14:textId="6C4E9882" w:rsidR="001C19A4" w:rsidRDefault="001C19A4" w:rsidP="001C19A4">
      <w:pPr>
        <w:pStyle w:val="ListParagraph"/>
        <w:numPr>
          <w:ilvl w:val="0"/>
          <w:numId w:val="3"/>
        </w:numPr>
        <w:spacing w:after="240" w:line="259" w:lineRule="auto"/>
        <w:contextualSpacing w:val="0"/>
      </w:pPr>
      <w:r>
        <w:t xml:space="preserve">SBE approval of the proposal triggers a local election to </w:t>
      </w:r>
      <w:r w:rsidR="004C3589">
        <w:t>obtain</w:t>
      </w:r>
      <w:r>
        <w:t xml:space="preserve"> final approval to </w:t>
      </w:r>
      <w:r w:rsidR="009C4C72">
        <w:t xml:space="preserve">establish </w:t>
      </w:r>
      <w:r>
        <w:t>a new unified school district. Actual election costs will be determined by the election type (e.g., general, special, by-mail) and the electorate designated by the SBE (e.g., only the Northgate portion or the entire Mt. Diablo USD). Depending on existing county-level agreements between the Contra Costa County Board of Supervisors and the Contra Costa County Board of Education, costs for the election will be borne by the Contra Costa County general fund or the Contra Costa County Office of Education.</w:t>
      </w:r>
    </w:p>
    <w:p w14:paraId="6A2FA619" w14:textId="5FAE454D" w:rsidR="001C19A4" w:rsidRPr="00020C70" w:rsidRDefault="001C19A4" w:rsidP="005F27A6">
      <w:r>
        <w:t xml:space="preserve">If the new district is approved both by the SBE and at an election, a new Local Control Funding Formula (LCFF) entitlement will be calculated for the new Northgate district and the remaining </w:t>
      </w:r>
      <w:r w:rsidR="004C3589">
        <w:t xml:space="preserve">portion of the </w:t>
      </w:r>
      <w:r>
        <w:t xml:space="preserve">Mt. Diablo USD. Based on 2020–21 data and assuming the new district was effective for that year, the CDE calculates that the 2020–21 LCFF </w:t>
      </w:r>
      <w:r w:rsidRPr="00C44F52">
        <w:t>entitlements would have been $35 million for the Northgate district and $251 million for</w:t>
      </w:r>
      <w:r>
        <w:t xml:space="preserve"> the remaining portion of Mt. Diablo USD—the combined total being approximately </w:t>
      </w:r>
      <w:r w:rsidRPr="009C1384">
        <w:t>$1.7 million less than the 2020–21 LCFF entitlement that would be received by the</w:t>
      </w:r>
      <w:r>
        <w:t xml:space="preserve"> Mt. Diablo USD if not reorganized. The actual LCFF entitlement recalculation would be based on data from one year prior to the effective year of the new district.</w:t>
      </w:r>
    </w:p>
    <w:p w14:paraId="4C23456B" w14:textId="77777777" w:rsidR="004E6CA5" w:rsidRDefault="004E6CA5">
      <w:pPr>
        <w:spacing w:after="160"/>
        <w:rPr>
          <w:rFonts w:eastAsiaTheme="majorEastAsia" w:cstheme="majorBidi"/>
          <w:b/>
          <w:sz w:val="28"/>
          <w:szCs w:val="36"/>
        </w:rPr>
      </w:pPr>
      <w:r>
        <w:br w:type="page"/>
      </w:r>
    </w:p>
    <w:p w14:paraId="504B400C" w14:textId="468A8BD5" w:rsidR="001C19A4" w:rsidRPr="00020C70" w:rsidRDefault="001C19A4" w:rsidP="007F1E2D">
      <w:pPr>
        <w:pStyle w:val="Heading2"/>
      </w:pPr>
      <w:r w:rsidRPr="00020C70">
        <w:lastRenderedPageBreak/>
        <w:t>Attachments</w:t>
      </w:r>
    </w:p>
    <w:p w14:paraId="71E4FD59" w14:textId="62A7B355" w:rsidR="001C19A4" w:rsidRDefault="001C19A4" w:rsidP="005F27A6">
      <w:pPr>
        <w:tabs>
          <w:tab w:val="left" w:pos="1800"/>
        </w:tabs>
        <w:ind w:left="1800" w:hanging="1800"/>
        <w:rPr>
          <w:rFonts w:cs="Arial"/>
        </w:rPr>
      </w:pPr>
      <w:r w:rsidRPr="0037190F">
        <w:rPr>
          <w:rFonts w:cs="Arial"/>
        </w:rPr>
        <w:t>Attachment 1:</w:t>
      </w:r>
      <w:r w:rsidRPr="0037190F">
        <w:rPr>
          <w:rFonts w:cs="Arial"/>
        </w:rPr>
        <w:tab/>
        <w:t>Report of Required Conditions for Reorganization (</w:t>
      </w:r>
      <w:r w:rsidR="00A74B07">
        <w:rPr>
          <w:rFonts w:cs="Arial"/>
        </w:rPr>
        <w:t>3</w:t>
      </w:r>
      <w:r w:rsidR="00476AA3">
        <w:rPr>
          <w:rFonts w:cs="Arial"/>
        </w:rPr>
        <w:t>2</w:t>
      </w:r>
      <w:r>
        <w:rPr>
          <w:rFonts w:cs="Arial"/>
        </w:rPr>
        <w:t xml:space="preserve"> pages</w:t>
      </w:r>
      <w:r w:rsidRPr="0037190F">
        <w:rPr>
          <w:rFonts w:cs="Arial"/>
        </w:rPr>
        <w:t>)</w:t>
      </w:r>
    </w:p>
    <w:p w14:paraId="78D83C3C" w14:textId="56758AA3" w:rsidR="001C19A4" w:rsidRDefault="001C19A4" w:rsidP="005F27A6">
      <w:pPr>
        <w:tabs>
          <w:tab w:val="left" w:pos="1800"/>
        </w:tabs>
        <w:ind w:left="1800" w:hanging="1800"/>
        <w:rPr>
          <w:rFonts w:cs="Arial"/>
        </w:rPr>
      </w:pPr>
      <w:r>
        <w:rPr>
          <w:rFonts w:cs="Arial"/>
        </w:rPr>
        <w:t>Attachment 2:</w:t>
      </w:r>
      <w:r>
        <w:rPr>
          <w:rFonts w:cs="Arial"/>
        </w:rPr>
        <w:tab/>
        <w:t>Racial/E</w:t>
      </w:r>
      <w:r w:rsidRPr="004F667B">
        <w:rPr>
          <w:rFonts w:cs="Arial"/>
        </w:rPr>
        <w:t xml:space="preserve">thnic Report on Formation of a New Unified School District from the </w:t>
      </w:r>
      <w:r>
        <w:rPr>
          <w:rFonts w:cs="Arial"/>
        </w:rPr>
        <w:t>Northgate area</w:t>
      </w:r>
      <w:r w:rsidRPr="004F667B">
        <w:rPr>
          <w:rFonts w:cs="Arial"/>
        </w:rPr>
        <w:t xml:space="preserve"> of the </w:t>
      </w:r>
      <w:r>
        <w:rPr>
          <w:rFonts w:cs="Arial"/>
        </w:rPr>
        <w:t>Mt. Diablo</w:t>
      </w:r>
      <w:r w:rsidRPr="004F667B">
        <w:rPr>
          <w:rFonts w:cs="Arial"/>
        </w:rPr>
        <w:t xml:space="preserve"> Unified School District in </w:t>
      </w:r>
      <w:r>
        <w:rPr>
          <w:rFonts w:cs="Arial"/>
        </w:rPr>
        <w:t>Contra Costa</w:t>
      </w:r>
      <w:r w:rsidRPr="004F667B">
        <w:rPr>
          <w:rFonts w:cs="Arial"/>
        </w:rPr>
        <w:t xml:space="preserve"> County</w:t>
      </w:r>
      <w:r>
        <w:rPr>
          <w:rFonts w:cs="Arial"/>
        </w:rPr>
        <w:t xml:space="preserve"> (</w:t>
      </w:r>
      <w:r w:rsidR="00A74B07">
        <w:rPr>
          <w:rFonts w:cs="Arial"/>
        </w:rPr>
        <w:t>23</w:t>
      </w:r>
      <w:r>
        <w:rPr>
          <w:rFonts w:cs="Arial"/>
        </w:rPr>
        <w:t xml:space="preserve"> pages)</w:t>
      </w:r>
    </w:p>
    <w:p w14:paraId="1A8BC236" w14:textId="57304701" w:rsidR="001C19A4" w:rsidRDefault="001C19A4" w:rsidP="005F27A6">
      <w:pPr>
        <w:tabs>
          <w:tab w:val="left" w:pos="1800"/>
        </w:tabs>
        <w:ind w:left="1800" w:hanging="1800"/>
        <w:rPr>
          <w:rFonts w:cs="Arial"/>
        </w:rPr>
      </w:pPr>
      <w:r>
        <w:rPr>
          <w:rFonts w:cs="Arial"/>
        </w:rPr>
        <w:t>Attachment 3:</w:t>
      </w:r>
      <w:r>
        <w:rPr>
          <w:rFonts w:cs="Arial"/>
        </w:rPr>
        <w:tab/>
      </w:r>
      <w:r w:rsidRPr="004F667B">
        <w:rPr>
          <w:rFonts w:cs="Arial"/>
        </w:rPr>
        <w:t xml:space="preserve">Educational Program Report on Formation of a New Unified School District from the </w:t>
      </w:r>
      <w:r>
        <w:rPr>
          <w:rFonts w:cs="Arial"/>
        </w:rPr>
        <w:t>Northgate area</w:t>
      </w:r>
      <w:r w:rsidRPr="004F667B">
        <w:rPr>
          <w:rFonts w:cs="Arial"/>
        </w:rPr>
        <w:t xml:space="preserve"> of the </w:t>
      </w:r>
      <w:r>
        <w:rPr>
          <w:rFonts w:cs="Arial"/>
        </w:rPr>
        <w:t>Mt. Diablo</w:t>
      </w:r>
      <w:r w:rsidRPr="004F667B">
        <w:rPr>
          <w:rFonts w:cs="Arial"/>
        </w:rPr>
        <w:t xml:space="preserve"> Unified School District in </w:t>
      </w:r>
      <w:r>
        <w:rPr>
          <w:rFonts w:cs="Arial"/>
        </w:rPr>
        <w:t>Contra Costa</w:t>
      </w:r>
      <w:r w:rsidRPr="004F667B">
        <w:rPr>
          <w:rFonts w:cs="Arial"/>
        </w:rPr>
        <w:t xml:space="preserve"> County</w:t>
      </w:r>
      <w:r>
        <w:rPr>
          <w:rFonts w:cs="Arial"/>
        </w:rPr>
        <w:t xml:space="preserve"> (</w:t>
      </w:r>
      <w:r w:rsidR="00A74B07">
        <w:rPr>
          <w:rFonts w:cs="Arial"/>
        </w:rPr>
        <w:t>29</w:t>
      </w:r>
      <w:r>
        <w:rPr>
          <w:rFonts w:cs="Arial"/>
        </w:rPr>
        <w:t xml:space="preserve"> pages)</w:t>
      </w:r>
    </w:p>
    <w:p w14:paraId="7EA64131" w14:textId="723ABA67" w:rsidR="001C19A4" w:rsidRDefault="001C19A4" w:rsidP="005F27A6">
      <w:pPr>
        <w:tabs>
          <w:tab w:val="left" w:pos="1800"/>
        </w:tabs>
        <w:ind w:left="1800" w:hanging="1800"/>
        <w:rPr>
          <w:rFonts w:cs="Arial"/>
        </w:rPr>
      </w:pPr>
      <w:r>
        <w:rPr>
          <w:rFonts w:cs="Arial"/>
        </w:rPr>
        <w:t>Attachment 4:</w:t>
      </w:r>
      <w:r>
        <w:rPr>
          <w:rFonts w:cs="Arial"/>
        </w:rPr>
        <w:tab/>
      </w:r>
      <w:r w:rsidRPr="004F667B">
        <w:rPr>
          <w:rFonts w:cs="Arial"/>
        </w:rPr>
        <w:t xml:space="preserve">School Facilities Analysis for Proposed </w:t>
      </w:r>
      <w:r>
        <w:rPr>
          <w:rFonts w:cs="Arial"/>
        </w:rPr>
        <w:t>Northgate</w:t>
      </w:r>
      <w:r w:rsidRPr="004F667B">
        <w:rPr>
          <w:rFonts w:cs="Arial"/>
        </w:rPr>
        <w:t xml:space="preserve"> Unified School District</w:t>
      </w:r>
      <w:r>
        <w:rPr>
          <w:rFonts w:cs="Arial"/>
        </w:rPr>
        <w:t xml:space="preserve"> (</w:t>
      </w:r>
      <w:r w:rsidR="00A74B07">
        <w:rPr>
          <w:rFonts w:cs="Arial"/>
        </w:rPr>
        <w:t>6</w:t>
      </w:r>
      <w:r>
        <w:rPr>
          <w:rFonts w:cs="Arial"/>
        </w:rPr>
        <w:t xml:space="preserve"> pages)</w:t>
      </w:r>
    </w:p>
    <w:p w14:paraId="4B20021D" w14:textId="7057A59D" w:rsidR="001C19A4" w:rsidRDefault="001C19A4" w:rsidP="005F27A6">
      <w:pPr>
        <w:tabs>
          <w:tab w:val="left" w:pos="1800"/>
        </w:tabs>
        <w:ind w:left="1800" w:hanging="1800"/>
        <w:rPr>
          <w:rFonts w:cs="Arial"/>
        </w:rPr>
      </w:pPr>
      <w:r>
        <w:rPr>
          <w:rFonts w:cs="Arial"/>
        </w:rPr>
        <w:t>Attachment 5:</w:t>
      </w:r>
      <w:r>
        <w:rPr>
          <w:rFonts w:cs="Arial"/>
        </w:rPr>
        <w:tab/>
        <w:t>Fiscal Analysis of the Proposal to Form a New Unified School District from the Northgate Portion of the Mt. Diablo USD (</w:t>
      </w:r>
      <w:r w:rsidR="00A74B07">
        <w:rPr>
          <w:rFonts w:cs="Arial"/>
        </w:rPr>
        <w:t>11</w:t>
      </w:r>
      <w:r>
        <w:rPr>
          <w:rFonts w:cs="Arial"/>
        </w:rPr>
        <w:t xml:space="preserve"> pages)</w:t>
      </w:r>
    </w:p>
    <w:p w14:paraId="25FE028E" w14:textId="77777777" w:rsidR="001C19A4" w:rsidRPr="006D1618" w:rsidRDefault="001C19A4" w:rsidP="005F27A6">
      <w:pPr>
        <w:tabs>
          <w:tab w:val="left" w:pos="1800"/>
        </w:tabs>
        <w:rPr>
          <w:rFonts w:cs="Arial"/>
        </w:rPr>
        <w:sectPr w:rsidR="001C19A4" w:rsidRPr="006D1618" w:rsidSect="00AB6213">
          <w:headerReference w:type="default" r:id="rId10"/>
          <w:footnotePr>
            <w:numRestart w:val="eachSect"/>
          </w:footnotePr>
          <w:type w:val="continuous"/>
          <w:pgSz w:w="12240" w:h="15840"/>
          <w:pgMar w:top="720" w:right="1440" w:bottom="1440" w:left="1440" w:header="720" w:footer="720" w:gutter="0"/>
          <w:cols w:space="720"/>
          <w:docGrid w:linePitch="360"/>
        </w:sectPr>
      </w:pPr>
    </w:p>
    <w:p w14:paraId="76CF8D28" w14:textId="77777777" w:rsidR="001C19A4" w:rsidRPr="00EC33F3" w:rsidRDefault="001C19A4" w:rsidP="00EC33F3">
      <w:pPr>
        <w:pStyle w:val="Heading1"/>
      </w:pPr>
      <w:r w:rsidRPr="00EC33F3">
        <w:lastRenderedPageBreak/>
        <w:t>Attachment 1</w:t>
      </w:r>
      <w:r w:rsidRPr="00EC33F3">
        <w:br/>
        <w:t>Report of Required Conditions for Reorganization</w:t>
      </w:r>
    </w:p>
    <w:p w14:paraId="1367345D" w14:textId="77777777" w:rsidR="001C19A4" w:rsidRPr="00020C70" w:rsidRDefault="001C19A4" w:rsidP="005F27A6">
      <w:pPr>
        <w:jc w:val="center"/>
        <w:rPr>
          <w:b/>
          <w:sz w:val="28"/>
          <w:szCs w:val="28"/>
        </w:rPr>
      </w:pPr>
      <w:r>
        <w:rPr>
          <w:b/>
          <w:sz w:val="28"/>
          <w:szCs w:val="28"/>
        </w:rPr>
        <w:t xml:space="preserve">Proposed Formation of a </w:t>
      </w:r>
      <w:r>
        <w:rPr>
          <w:b/>
          <w:sz w:val="28"/>
          <w:szCs w:val="28"/>
        </w:rPr>
        <w:br/>
        <w:t xml:space="preserve">New Unified School District from the Northgate Portion </w:t>
      </w:r>
      <w:r>
        <w:rPr>
          <w:b/>
          <w:sz w:val="28"/>
          <w:szCs w:val="28"/>
        </w:rPr>
        <w:br/>
        <w:t xml:space="preserve">of the Mt. Diablo Unified School District </w:t>
      </w:r>
      <w:r>
        <w:rPr>
          <w:b/>
          <w:sz w:val="28"/>
          <w:szCs w:val="28"/>
        </w:rPr>
        <w:br/>
        <w:t>in Contra Costa County</w:t>
      </w:r>
    </w:p>
    <w:p w14:paraId="79509EEF" w14:textId="666655EA" w:rsidR="001C19A4" w:rsidRPr="001670F4" w:rsidRDefault="001C19A4" w:rsidP="000A33F9">
      <w:pPr>
        <w:pStyle w:val="Heading2"/>
        <w:numPr>
          <w:ilvl w:val="0"/>
          <w:numId w:val="26"/>
        </w:numPr>
        <w:ind w:hanging="720"/>
      </w:pPr>
      <w:r w:rsidRPr="001670F4">
        <w:t>Recommendation</w:t>
      </w:r>
    </w:p>
    <w:p w14:paraId="24EE3E26" w14:textId="77777777" w:rsidR="001C19A4" w:rsidRPr="0042752B" w:rsidRDefault="001C19A4" w:rsidP="005F27A6">
      <w:pPr>
        <w:ind w:left="720"/>
      </w:pPr>
      <w:r w:rsidRPr="0042752B">
        <w:t xml:space="preserve">The California Department of Education (CDE) recommends the California State Board of Education (SBE) </w:t>
      </w:r>
      <w:r w:rsidRPr="00697CF9">
        <w:t>disapprove</w:t>
      </w:r>
      <w:r w:rsidRPr="0042752B">
        <w:t xml:space="preserve"> the petition to form a new unified school district from the Northgate portion of the Mt. Diablo Unified School District (USD).</w:t>
      </w:r>
    </w:p>
    <w:p w14:paraId="3104B89C" w14:textId="77777777" w:rsidR="00AB48CB" w:rsidRDefault="001C19A4" w:rsidP="000A33F9">
      <w:pPr>
        <w:pStyle w:val="Heading2"/>
        <w:numPr>
          <w:ilvl w:val="0"/>
          <w:numId w:val="27"/>
        </w:numPr>
      </w:pPr>
      <w:r w:rsidRPr="00CD78B8">
        <w:t>Background</w:t>
      </w:r>
    </w:p>
    <w:p w14:paraId="50DDF7B9" w14:textId="4AA4B10A" w:rsidR="001C19A4" w:rsidRPr="00AB48CB" w:rsidRDefault="001C19A4" w:rsidP="000A33F9">
      <w:pPr>
        <w:pStyle w:val="Heading3"/>
        <w:numPr>
          <w:ilvl w:val="1"/>
          <w:numId w:val="27"/>
        </w:numPr>
        <w:ind w:left="1080"/>
      </w:pPr>
      <w:r w:rsidRPr="00AB48CB">
        <w:t xml:space="preserve">Mt. Diablo USD </w:t>
      </w:r>
    </w:p>
    <w:p w14:paraId="6E755DC7" w14:textId="34358073" w:rsidR="001C19A4" w:rsidRPr="00C27286" w:rsidRDefault="001C19A4" w:rsidP="00AB48CB">
      <w:pPr>
        <w:ind w:left="1080"/>
      </w:pPr>
      <w:r w:rsidRPr="0042752B">
        <w:t>The Mt. Diablo USD, formed in 1948, i</w:t>
      </w:r>
      <w:r>
        <w:t>s located in</w:t>
      </w:r>
      <w:r w:rsidRPr="0042752B">
        <w:t xml:space="preserve"> Contra Costa County in the east Bay Area. It encompasses a territory of approximately 150 square miles that includes the cities of Concord and Clayton, most of Pleasant Hill, portions of Walnut Creek, Pittsburg, Lafayette, and Martinez, and several communities in the unincorporated area of the county. The district contains a mix of urban and suburban areas. </w:t>
      </w:r>
      <w:r>
        <w:t>The north area of the district contains the former Concord Naval Weapons Station, which is part of a long-range redevelopment plan that will contain more than 2,000 acres of regional park land and a similar amount of land that is expected to be annexed into the city of Concord for development of business, housing, a college campus, and other development needs.</w:t>
      </w:r>
    </w:p>
    <w:p w14:paraId="279B98E0" w14:textId="77777777" w:rsidR="001C19A4" w:rsidRDefault="001C19A4" w:rsidP="008A2844">
      <w:pPr>
        <w:ind w:left="1080"/>
      </w:pPr>
      <w:r>
        <w:t>The Mt. Diablo USD</w:t>
      </w:r>
      <w:r w:rsidRPr="0042752B">
        <w:t xml:space="preserve"> is among the</w:t>
      </w:r>
      <w:r>
        <w:t xml:space="preserve"> 30</w:t>
      </w:r>
      <w:r w:rsidRPr="0042752B">
        <w:t xml:space="preserve"> largest school districts in California. </w:t>
      </w:r>
      <w:r>
        <w:t>It operates</w:t>
      </w:r>
      <w:r w:rsidRPr="0042752B">
        <w:t xml:space="preserve"> 29 elementary schools, 9 middle schools, 5 comprehensive high schools, and 7 alternative education programs.</w:t>
      </w:r>
      <w:r>
        <w:t xml:space="preserve"> </w:t>
      </w:r>
      <w:r w:rsidRPr="0042752B">
        <w:t xml:space="preserve">Based on 2020–21 California Longitudinal Pupil Achievement Data System (CALPADS) enrollment data, the </w:t>
      </w:r>
      <w:r>
        <w:t>Mt. Diablo USD serves</w:t>
      </w:r>
      <w:r w:rsidRPr="0042752B">
        <w:t xml:space="preserve"> 29,582 students</w:t>
      </w:r>
      <w:r>
        <w:t xml:space="preserve">. Enrollment is comprised of 18.4 percent English learners, 41.8 percent socio-economically disadvantaged students, less than 1 percent foster youth, and 13 percent special education students. The racial/ethnic make-up of the district is 43.3 percent Hispanic or Latino, 28.0 percent White, 7.8 percent Asian, 3.1 percent Black or African American, 5.2 percent American Indian/Alaska Native, Pacific Islander or </w:t>
      </w:r>
      <w:r>
        <w:lastRenderedPageBreak/>
        <w:t>Filipino, and 7.8 percent two or more races; race/ethnicity data is not available for 4.9 percent of the students.</w:t>
      </w:r>
    </w:p>
    <w:p w14:paraId="17448D56" w14:textId="77777777" w:rsidR="001C19A4" w:rsidRDefault="001C19A4" w:rsidP="005F27A6">
      <w:pPr>
        <w:ind w:left="1080"/>
      </w:pPr>
      <w:r>
        <w:t>As of 2020, the five members of the governing board of the Mt. Diablo USD are elected by trustee area.</w:t>
      </w:r>
      <w:r w:rsidRPr="0042752B">
        <w:t xml:space="preserve"> </w:t>
      </w:r>
    </w:p>
    <w:p w14:paraId="57F085FC" w14:textId="77777777" w:rsidR="001C19A4" w:rsidRPr="0042752B" w:rsidRDefault="001C19A4" w:rsidP="000A33F9">
      <w:pPr>
        <w:pStyle w:val="Heading3"/>
        <w:numPr>
          <w:ilvl w:val="1"/>
          <w:numId w:val="27"/>
        </w:numPr>
        <w:ind w:left="1080"/>
      </w:pPr>
      <w:r w:rsidRPr="0042752B">
        <w:t>Initiation of the Unification Proposal</w:t>
      </w:r>
    </w:p>
    <w:p w14:paraId="1232E618" w14:textId="7CD9B195" w:rsidR="00F92EC4" w:rsidRPr="00F92EC4" w:rsidRDefault="001C19A4" w:rsidP="00F92EC4">
      <w:pPr>
        <w:ind w:left="1080"/>
      </w:pPr>
      <w:r w:rsidRPr="0042752B">
        <w:t>A petition to form a new unified school district from the Northgate area of the Mt. Diablo USD was signed by at least 25 percent of the registered voters in the Northgate community and submitted to the</w:t>
      </w:r>
      <w:r w:rsidR="00B77BE5">
        <w:t xml:space="preserve"> Contra Costa</w:t>
      </w:r>
      <w:r w:rsidRPr="0042752B">
        <w:t xml:space="preserve"> County Superintendent</w:t>
      </w:r>
      <w:r w:rsidR="00B77BE5">
        <w:t xml:space="preserve"> of Schools (County Superintendent)</w:t>
      </w:r>
      <w:r w:rsidRPr="0042752B">
        <w:t xml:space="preserve"> to determine its sufficiency pursuant to </w:t>
      </w:r>
      <w:r w:rsidRPr="00CD78B8">
        <w:rPr>
          <w:i/>
        </w:rPr>
        <w:t>EC</w:t>
      </w:r>
      <w:r w:rsidRPr="0042752B">
        <w:t xml:space="preserve"> Section 35704. Following the determination of sufficiency, </w:t>
      </w:r>
      <w:r w:rsidR="0064584F">
        <w:t xml:space="preserve">which is discussed in more detail in section 2.3, </w:t>
      </w:r>
      <w:r w:rsidRPr="0042752B">
        <w:t>the County Superintendent transmitted the petition to the Contra Costa County Committee on School District Organization (County Committee), which conducted two public hearings on the proposal</w:t>
      </w:r>
      <w:r>
        <w:t>.</w:t>
      </w:r>
    </w:p>
    <w:p w14:paraId="17A11EFD" w14:textId="139DD05B" w:rsidR="00F92EC4" w:rsidRDefault="003E6A6C" w:rsidP="00F92EC4">
      <w:pPr>
        <w:pStyle w:val="Heading3"/>
        <w:numPr>
          <w:ilvl w:val="1"/>
          <w:numId w:val="27"/>
        </w:numPr>
        <w:ind w:left="1080"/>
      </w:pPr>
      <w:r>
        <w:t>County Superintendent Review of the Petition</w:t>
      </w:r>
    </w:p>
    <w:p w14:paraId="46492903" w14:textId="28C25BF3" w:rsidR="00B94007" w:rsidRDefault="004C4A82" w:rsidP="00B94007">
      <w:pPr>
        <w:ind w:left="1080"/>
      </w:pPr>
      <w:r w:rsidRPr="003344F4">
        <w:t xml:space="preserve">The </w:t>
      </w:r>
      <w:r w:rsidR="008D3D4C" w:rsidRPr="003344F4">
        <w:t>County S</w:t>
      </w:r>
      <w:r w:rsidRPr="003344F4">
        <w:t>uperintendent</w:t>
      </w:r>
      <w:r w:rsidR="0091643F" w:rsidRPr="0091643F">
        <w:t xml:space="preserve"> determin</w:t>
      </w:r>
      <w:r w:rsidR="0091643F">
        <w:t xml:space="preserve">ed the </w:t>
      </w:r>
      <w:r w:rsidR="0091643F" w:rsidRPr="0091643F">
        <w:t xml:space="preserve">sufficiency of the petition </w:t>
      </w:r>
      <w:r w:rsidR="004E29DE">
        <w:t>as required by and pursuant to the authority granted under</w:t>
      </w:r>
      <w:r w:rsidR="0091643F">
        <w:t xml:space="preserve"> </w:t>
      </w:r>
      <w:r w:rsidR="0091643F" w:rsidRPr="0091643F">
        <w:rPr>
          <w:i/>
        </w:rPr>
        <w:t>EC</w:t>
      </w:r>
      <w:r w:rsidR="0091643F" w:rsidRPr="0091643F">
        <w:t xml:space="preserve"> Section 35704</w:t>
      </w:r>
      <w:r w:rsidR="00FA0426">
        <w:t>, including identification of the area to be reorganized</w:t>
      </w:r>
      <w:r w:rsidR="003B097C">
        <w:t>.</w:t>
      </w:r>
    </w:p>
    <w:p w14:paraId="641FA59E" w14:textId="11D08034" w:rsidR="00587FEC" w:rsidRDefault="00B94007" w:rsidP="00587FEC">
      <w:pPr>
        <w:ind w:left="1080"/>
      </w:pPr>
      <w:r w:rsidRPr="003344F4">
        <w:t>The petition identifies the territory of the proposed Northgate USD to be “all of the territory within the MDUSD-specified attendance boundaries as of April 24, 2016, of the five MDUSD-administered schools (Foothill Middle, Bancroft Elementary, Valle Verde Elementary, Walnut Acres Elementary, and Northgate High).”</w:t>
      </w:r>
      <w:bookmarkStart w:id="1" w:name="_Hlk96942852"/>
      <w:r w:rsidRPr="003344F4">
        <w:t xml:space="preserve"> </w:t>
      </w:r>
      <w:bookmarkEnd w:id="1"/>
      <w:r>
        <w:t>The</w:t>
      </w:r>
      <w:r w:rsidR="003B097C">
        <w:t xml:space="preserve"> County Superintendent </w:t>
      </w:r>
      <w:r w:rsidR="00FA0426">
        <w:t>reviewed</w:t>
      </w:r>
      <w:r w:rsidR="003B097C">
        <w:t xml:space="preserve"> the Mt. Diablo USD attendance </w:t>
      </w:r>
      <w:r w:rsidR="00F11226">
        <w:t xml:space="preserve">area </w:t>
      </w:r>
      <w:r w:rsidR="003B097C">
        <w:t>maps from April 24, 2016</w:t>
      </w:r>
      <w:r w:rsidR="00844048">
        <w:t>,</w:t>
      </w:r>
      <w:r w:rsidR="003B097C">
        <w:t xml:space="preserve"> </w:t>
      </w:r>
      <w:r w:rsidR="00844048">
        <w:t>which showed that the</w:t>
      </w:r>
      <w:r w:rsidR="003B097C">
        <w:t xml:space="preserve"> territory includes the five schools named in the petition as well as Eagle Peak Montessori, Oak Grove Middle School and Ygnacio Valley High School. Eagle Peak Montessori is located in the attendance areas of both Walnut Acres Elementary and Northgate High. </w:t>
      </w:r>
      <w:r w:rsidR="00F11226">
        <w:t xml:space="preserve">The </w:t>
      </w:r>
      <w:r w:rsidR="003B097C">
        <w:t xml:space="preserve">Oak Grove Middle and Ygnacio Valley High </w:t>
      </w:r>
      <w:r>
        <w:t xml:space="preserve">school sites </w:t>
      </w:r>
      <w:r w:rsidR="003B097C">
        <w:t xml:space="preserve">are located within the Bancroft Elementary attendance area. </w:t>
      </w:r>
      <w:bookmarkStart w:id="2" w:name="_Hlk103581667"/>
      <w:r w:rsidR="003B097C">
        <w:t>(See figure 1)</w:t>
      </w:r>
      <w:r w:rsidR="00587FEC">
        <w:t xml:space="preserve"> </w:t>
      </w:r>
    </w:p>
    <w:p w14:paraId="31D8D06F" w14:textId="383A0331" w:rsidR="00B94007" w:rsidRDefault="00B94007" w:rsidP="00B94007">
      <w:pPr>
        <w:ind w:left="1080"/>
      </w:pPr>
      <w:r>
        <w:t xml:space="preserve">The proponents have stated that the inclusion of Oak Grove Middle and Ygnacio Valley High was inadvertent. Regardless of intent, </w:t>
      </w:r>
      <w:r w:rsidR="00F11226">
        <w:t xml:space="preserve">the </w:t>
      </w:r>
      <w:r>
        <w:t>County Superintendent</w:t>
      </w:r>
      <w:r w:rsidR="00B72F24">
        <w:t xml:space="preserve"> determined</w:t>
      </w:r>
      <w:r>
        <w:t xml:space="preserve"> that the sites are located in the territory </w:t>
      </w:r>
      <w:r w:rsidR="00B72F24">
        <w:t xml:space="preserve">of the proposed Northgate USD </w:t>
      </w:r>
      <w:r>
        <w:t xml:space="preserve">and the review of the County Committee was </w:t>
      </w:r>
      <w:r w:rsidR="00B72F24">
        <w:t xml:space="preserve">performed on that basis. </w:t>
      </w:r>
      <w:r w:rsidR="00BE39C8">
        <w:t xml:space="preserve">Prior to </w:t>
      </w:r>
      <w:r w:rsidR="00E540A6">
        <w:t xml:space="preserve">the </w:t>
      </w:r>
      <w:r w:rsidR="001D4647">
        <w:t xml:space="preserve">County Committee </w:t>
      </w:r>
      <w:r w:rsidR="00E540A6">
        <w:t>public hearings</w:t>
      </w:r>
      <w:r w:rsidR="00F11226">
        <w:t>, t</w:t>
      </w:r>
      <w:r w:rsidR="00B72F24">
        <w:t xml:space="preserve">he </w:t>
      </w:r>
      <w:r w:rsidR="00B72F24">
        <w:lastRenderedPageBreak/>
        <w:t>proponents were notified</w:t>
      </w:r>
      <w:r w:rsidR="00E540A6">
        <w:t xml:space="preserve"> by the county office of education</w:t>
      </w:r>
      <w:r w:rsidR="001D4647">
        <w:t xml:space="preserve"> of</w:t>
      </w:r>
      <w:r w:rsidR="00F11226">
        <w:t xml:space="preserve"> the issue that the additional sites presented</w:t>
      </w:r>
      <w:r w:rsidR="00E540A6">
        <w:t xml:space="preserve">. The proponents </w:t>
      </w:r>
      <w:r w:rsidR="00F11226">
        <w:t xml:space="preserve">were </w:t>
      </w:r>
      <w:r w:rsidR="001D4647">
        <w:t xml:space="preserve">aware </w:t>
      </w:r>
      <w:r w:rsidR="00B72F24">
        <w:t xml:space="preserve">that the County Committee did not have authority </w:t>
      </w:r>
      <w:r w:rsidR="00632BC5">
        <w:t xml:space="preserve">to </w:t>
      </w:r>
      <w:r w:rsidR="00B72F24">
        <w:t>modify the territory of the petition. Similarly, it is not within the authority of the SBE to change the territory description</w:t>
      </w:r>
      <w:r w:rsidR="00C37B1B">
        <w:t xml:space="preserve"> for a proposed reorganization</w:t>
      </w:r>
      <w:r w:rsidR="00B72F24">
        <w:t>.</w:t>
      </w:r>
    </w:p>
    <w:bookmarkEnd w:id="2"/>
    <w:p w14:paraId="4D28D33B" w14:textId="77777777" w:rsidR="00B47BC2" w:rsidRPr="009C0FDF" w:rsidRDefault="00B47BC2" w:rsidP="00B47BC2">
      <w:pPr>
        <w:pStyle w:val="Heading4"/>
        <w:ind w:left="0"/>
      </w:pPr>
      <w:r>
        <w:t xml:space="preserve">Figure 1. </w:t>
      </w:r>
      <w:r w:rsidRPr="009C0FDF">
        <w:t xml:space="preserve">Bancroft Elementary School Attendance Area Map </w:t>
      </w:r>
    </w:p>
    <w:p w14:paraId="323C6E61" w14:textId="11337705" w:rsidR="00B47BC2" w:rsidRDefault="00874EC4" w:rsidP="00B47BC2">
      <w:pPr>
        <w:tabs>
          <w:tab w:val="left" w:pos="1980"/>
        </w:tabs>
        <w:rPr>
          <w:szCs w:val="24"/>
        </w:rPr>
      </w:pPr>
      <w:r>
        <w:rPr>
          <w:noProof/>
        </w:rPr>
        <w:drawing>
          <wp:inline distT="0" distB="0" distL="0" distR="0" wp14:anchorId="3D878B06" wp14:editId="489C1D44">
            <wp:extent cx="5638800" cy="4648200"/>
            <wp:effectExtent l="0" t="0" r="0" b="0"/>
            <wp:docPr id="3" name="Picture 3" descr="This figure uses a heavy outline to indicate the attendance area of Bancroft Elementary School on an area street map with Mt. Diablo USD attendance areas represented by different colors. Within this area, Oak Grove MS, Ygnacio Valley HS, and Bancroft ES are labeled with schoolhous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653F.DC0E01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38800" cy="4648200"/>
                    </a:xfrm>
                    <a:prstGeom prst="rect">
                      <a:avLst/>
                    </a:prstGeom>
                    <a:noFill/>
                    <a:ln>
                      <a:noFill/>
                    </a:ln>
                  </pic:spPr>
                </pic:pic>
              </a:graphicData>
            </a:graphic>
          </wp:inline>
        </w:drawing>
      </w:r>
    </w:p>
    <w:p w14:paraId="30B7D907" w14:textId="77777777" w:rsidR="001B10A1" w:rsidRDefault="00B47BC2" w:rsidP="00115483">
      <w:pPr>
        <w:spacing w:before="120"/>
        <w:rPr>
          <w:rStyle w:val="Emphasis"/>
        </w:rPr>
      </w:pPr>
      <w:r w:rsidRPr="00B47BC2">
        <w:rPr>
          <w:rStyle w:val="Emphasis"/>
        </w:rPr>
        <w:t>Source: Contra Costa County Office of Education Reorganization Feasibility Study – Mt. Diablo Unified School District, August 8, 2017</w:t>
      </w:r>
    </w:p>
    <w:p w14:paraId="7D647F75" w14:textId="77777777" w:rsidR="001D4647" w:rsidRDefault="001D4647">
      <w:pPr>
        <w:spacing w:after="160"/>
        <w:rPr>
          <w:rFonts w:eastAsiaTheme="majorEastAsia" w:cstheme="majorBidi"/>
          <w:b/>
          <w:sz w:val="28"/>
          <w:szCs w:val="36"/>
        </w:rPr>
      </w:pPr>
      <w:r>
        <w:br w:type="page"/>
      </w:r>
    </w:p>
    <w:p w14:paraId="23D44EA9" w14:textId="42421D22" w:rsidR="001C19A4" w:rsidRPr="0042752B" w:rsidRDefault="001C19A4" w:rsidP="000A33F9">
      <w:pPr>
        <w:pStyle w:val="Heading2"/>
        <w:numPr>
          <w:ilvl w:val="0"/>
          <w:numId w:val="28"/>
        </w:numPr>
        <w:ind w:left="360"/>
      </w:pPr>
      <w:r w:rsidRPr="0042752B">
        <w:lastRenderedPageBreak/>
        <w:t>REASONS FOR THE UNIFICATION</w:t>
      </w:r>
    </w:p>
    <w:p w14:paraId="22DA6976" w14:textId="66B82455" w:rsidR="001C19A4" w:rsidRPr="0042752B" w:rsidRDefault="001C19A4" w:rsidP="008A2844">
      <w:pPr>
        <w:ind w:left="720"/>
      </w:pPr>
      <w:r w:rsidRPr="0042752B">
        <w:t>The petition</w:t>
      </w:r>
      <w:r>
        <w:t xml:space="preserve"> provides </w:t>
      </w:r>
      <w:r w:rsidRPr="0042752B">
        <w:t xml:space="preserve">the following reasons for a proposed Northgate </w:t>
      </w:r>
      <w:r w:rsidR="00E45815">
        <w:t>USD</w:t>
      </w:r>
      <w:r w:rsidRPr="0042752B">
        <w:t>:</w:t>
      </w:r>
    </w:p>
    <w:p w14:paraId="300C92F5" w14:textId="77777777" w:rsidR="001C19A4" w:rsidRPr="0042752B" w:rsidRDefault="001C19A4" w:rsidP="008A2844">
      <w:pPr>
        <w:pStyle w:val="ListParagraph"/>
        <w:numPr>
          <w:ilvl w:val="0"/>
          <w:numId w:val="5"/>
        </w:numPr>
        <w:spacing w:after="240" w:line="259" w:lineRule="auto"/>
        <w:ind w:left="1440"/>
        <w:contextualSpacing w:val="0"/>
      </w:pPr>
      <w:r w:rsidRPr="0042752B">
        <w:t xml:space="preserve">To create a smaller </w:t>
      </w:r>
      <w:proofErr w:type="gramStart"/>
      <w:r w:rsidRPr="0042752B">
        <w:t>public school</w:t>
      </w:r>
      <w:proofErr w:type="gramEnd"/>
      <w:r w:rsidRPr="0042752B">
        <w:t xml:space="preserve"> district that will be more accountable to families and voters in our territory as well as more responsive to the needs of our students and the educators who work in our schools.</w:t>
      </w:r>
    </w:p>
    <w:p w14:paraId="6D6E9898" w14:textId="77777777" w:rsidR="001C19A4" w:rsidRPr="0042752B" w:rsidRDefault="001C19A4" w:rsidP="008A2844">
      <w:pPr>
        <w:pStyle w:val="ListParagraph"/>
        <w:numPr>
          <w:ilvl w:val="0"/>
          <w:numId w:val="5"/>
        </w:numPr>
        <w:spacing w:after="240" w:line="259" w:lineRule="auto"/>
        <w:ind w:left="1440"/>
        <w:contextualSpacing w:val="0"/>
      </w:pPr>
      <w:r w:rsidRPr="0042752B">
        <w:t>To improve academic achievement, teacher satisfaction, and learning environments to realize the full potential of our students and educators.</w:t>
      </w:r>
    </w:p>
    <w:p w14:paraId="46E0E605" w14:textId="77777777" w:rsidR="001C19A4" w:rsidRDefault="001C19A4" w:rsidP="008A2844">
      <w:pPr>
        <w:pStyle w:val="ListParagraph"/>
        <w:numPr>
          <w:ilvl w:val="0"/>
          <w:numId w:val="5"/>
        </w:numPr>
        <w:spacing w:after="240" w:line="259" w:lineRule="auto"/>
        <w:ind w:left="1440"/>
        <w:contextualSpacing w:val="0"/>
      </w:pPr>
      <w:r w:rsidRPr="0042752B">
        <w:t>To increase community support for public education in the Northgate area with a school district that is dedicated to building positive, respectful, and productive partnerships that can maximize the district's impact on all of our 21st Century learners.</w:t>
      </w:r>
    </w:p>
    <w:p w14:paraId="3CE52FC0" w14:textId="77777777" w:rsidR="001C19A4" w:rsidRDefault="001C19A4" w:rsidP="008A2844">
      <w:pPr>
        <w:ind w:left="720"/>
      </w:pPr>
      <w:r>
        <w:t xml:space="preserve">In the April 2017 report titled </w:t>
      </w:r>
      <w:r w:rsidRPr="00FA723D">
        <w:rPr>
          <w:i/>
        </w:rPr>
        <w:t>Proposal for a Northgate Unified School District and Responses to the Nine Criteria for Public School District Reorganization</w:t>
      </w:r>
      <w:r>
        <w:rPr>
          <w:i/>
        </w:rPr>
        <w:t xml:space="preserve"> </w:t>
      </w:r>
      <w:r w:rsidRPr="008754DA">
        <w:t>(Petitioner</w:t>
      </w:r>
      <w:r>
        <w:t>’</w:t>
      </w:r>
      <w:r w:rsidRPr="008754DA">
        <w:t>s Report)</w:t>
      </w:r>
      <w:r>
        <w:t xml:space="preserve">, the petitioners expanded on the issues they believe will be resolved by the proposed reorganization: </w:t>
      </w:r>
    </w:p>
    <w:p w14:paraId="3F659BBC" w14:textId="23E20228" w:rsidR="001C19A4" w:rsidRPr="00E3772A" w:rsidRDefault="001C19A4" w:rsidP="008A2844">
      <w:pPr>
        <w:pStyle w:val="ListParagraph"/>
        <w:numPr>
          <w:ilvl w:val="0"/>
          <w:numId w:val="8"/>
        </w:numPr>
        <w:spacing w:after="240" w:line="259" w:lineRule="auto"/>
        <w:contextualSpacing w:val="0"/>
      </w:pPr>
      <w:r>
        <w:t>B</w:t>
      </w:r>
      <w:r w:rsidRPr="007812B8">
        <w:t xml:space="preserve">oard majorities that often fail to engage constructively with the public on our </w:t>
      </w:r>
      <w:r>
        <w:t xml:space="preserve">[Northgate area] </w:t>
      </w:r>
      <w:r w:rsidRPr="007812B8">
        <w:t>questions and concerns, and fail to insist on greater transparency and accountability for the entire district</w:t>
      </w:r>
    </w:p>
    <w:p w14:paraId="381463F9" w14:textId="6605A59A" w:rsidR="001C19A4" w:rsidRPr="00E3772A" w:rsidRDefault="001C19A4" w:rsidP="008A2844">
      <w:pPr>
        <w:pStyle w:val="ListParagraph"/>
        <w:numPr>
          <w:ilvl w:val="0"/>
          <w:numId w:val="8"/>
        </w:numPr>
        <w:spacing w:after="240" w:line="259" w:lineRule="auto"/>
        <w:contextualSpacing w:val="0"/>
      </w:pPr>
      <w:r w:rsidRPr="00E3772A">
        <w:t xml:space="preserve">Split feeder patterns [that] divide students at crucial transition years (after </w:t>
      </w:r>
      <w:r>
        <w:t xml:space="preserve">fifth </w:t>
      </w:r>
      <w:r w:rsidRPr="00E3772A">
        <w:t xml:space="preserve">and after </w:t>
      </w:r>
      <w:r>
        <w:t>eighth</w:t>
      </w:r>
      <w:r w:rsidRPr="00E3772A">
        <w:t xml:space="preserve"> grades), sending them to different schools, often resulting in disrupted friendships and difficult learning transitions for students and educators</w:t>
      </w:r>
    </w:p>
    <w:p w14:paraId="014C17C9" w14:textId="1CAE9C7C" w:rsidR="001C19A4" w:rsidRPr="00E3772A" w:rsidRDefault="001C19A4" w:rsidP="008A2844">
      <w:pPr>
        <w:pStyle w:val="ListParagraph"/>
        <w:numPr>
          <w:ilvl w:val="0"/>
          <w:numId w:val="8"/>
        </w:numPr>
        <w:spacing w:after="240" w:line="259" w:lineRule="auto"/>
        <w:contextualSpacing w:val="0"/>
      </w:pPr>
      <w:r w:rsidRPr="00E3772A">
        <w:t>An unpredictable number of students from the same area to elect to receive identical priority to attend Northgate HS as the residents of the traditional attendance area</w:t>
      </w:r>
    </w:p>
    <w:p w14:paraId="5F3922B4" w14:textId="77777777" w:rsidR="001C19A4" w:rsidRPr="0042752B" w:rsidRDefault="001C19A4" w:rsidP="000A33F9">
      <w:pPr>
        <w:pStyle w:val="Heading2"/>
        <w:numPr>
          <w:ilvl w:val="0"/>
          <w:numId w:val="29"/>
        </w:numPr>
        <w:ind w:left="360"/>
      </w:pPr>
      <w:r w:rsidRPr="0042752B">
        <w:t>POSITION OF MT. DIABLO USD</w:t>
      </w:r>
    </w:p>
    <w:p w14:paraId="2DF5456F" w14:textId="4B6E310C" w:rsidR="001C19A4" w:rsidRDefault="001C19A4" w:rsidP="00385C46">
      <w:pPr>
        <w:ind w:left="720"/>
      </w:pPr>
      <w:r w:rsidRPr="0042752B">
        <w:t xml:space="preserve">The Mt. Diablo USD governing board of the district unanimously approved a resolution opposing the formation of the new district. </w:t>
      </w:r>
      <w:r>
        <w:t>I</w:t>
      </w:r>
      <w:r w:rsidR="003A2081">
        <w:t>n</w:t>
      </w:r>
      <w:r>
        <w:t xml:space="preserve"> its presentation to the County Committee</w:t>
      </w:r>
      <w:r w:rsidRPr="00371535">
        <w:t xml:space="preserve"> </w:t>
      </w:r>
      <w:r>
        <w:t>regarding the reorganization proposal, the district made the following arguments:</w:t>
      </w:r>
    </w:p>
    <w:p w14:paraId="357583CC" w14:textId="77777777" w:rsidR="001C19A4" w:rsidRDefault="001C19A4" w:rsidP="00385C46">
      <w:pPr>
        <w:pStyle w:val="ListParagraph"/>
        <w:numPr>
          <w:ilvl w:val="0"/>
          <w:numId w:val="6"/>
        </w:numPr>
        <w:spacing w:after="240" w:line="259" w:lineRule="auto"/>
        <w:contextualSpacing w:val="0"/>
      </w:pPr>
      <w:r>
        <w:t>Unravels cohesive communities and disrupts the positive community identity that exists</w:t>
      </w:r>
    </w:p>
    <w:p w14:paraId="784E0618" w14:textId="77777777" w:rsidR="001C19A4" w:rsidRDefault="001C19A4" w:rsidP="00385C46">
      <w:pPr>
        <w:pStyle w:val="ListParagraph"/>
        <w:numPr>
          <w:ilvl w:val="0"/>
          <w:numId w:val="6"/>
        </w:numPr>
        <w:spacing w:after="240" w:line="259" w:lineRule="auto"/>
        <w:contextualSpacing w:val="0"/>
      </w:pPr>
      <w:r>
        <w:lastRenderedPageBreak/>
        <w:t>Isolates the less diverse, higher income population</w:t>
      </w:r>
    </w:p>
    <w:p w14:paraId="644CB084" w14:textId="77777777" w:rsidR="001C19A4" w:rsidRDefault="001C19A4" w:rsidP="00385C46">
      <w:pPr>
        <w:pStyle w:val="ListParagraph"/>
        <w:numPr>
          <w:ilvl w:val="0"/>
          <w:numId w:val="6"/>
        </w:numPr>
        <w:spacing w:after="240" w:line="259" w:lineRule="auto"/>
        <w:contextualSpacing w:val="0"/>
      </w:pPr>
      <w:r>
        <w:t xml:space="preserve">Results in inequitable division of school facilities </w:t>
      </w:r>
    </w:p>
    <w:p w14:paraId="6D1CA412" w14:textId="77777777" w:rsidR="001C19A4" w:rsidRDefault="001C19A4" w:rsidP="00385C46">
      <w:pPr>
        <w:pStyle w:val="ListParagraph"/>
        <w:numPr>
          <w:ilvl w:val="0"/>
          <w:numId w:val="6"/>
        </w:numPr>
        <w:spacing w:after="240" w:line="259" w:lineRule="auto"/>
        <w:contextualSpacing w:val="0"/>
      </w:pPr>
      <w:r>
        <w:t>Displaces a significant number of students</w:t>
      </w:r>
    </w:p>
    <w:p w14:paraId="7ECF4ADC" w14:textId="77777777" w:rsidR="001C19A4" w:rsidRDefault="001C19A4" w:rsidP="00385C46">
      <w:pPr>
        <w:pStyle w:val="ListParagraph"/>
        <w:numPr>
          <w:ilvl w:val="0"/>
          <w:numId w:val="6"/>
        </w:numPr>
        <w:spacing w:after="240" w:line="259" w:lineRule="auto"/>
        <w:contextualSpacing w:val="0"/>
      </w:pPr>
      <w:r>
        <w:t>Severely impacts special education programs and students</w:t>
      </w:r>
    </w:p>
    <w:p w14:paraId="7177D1BB" w14:textId="77777777" w:rsidR="001C19A4" w:rsidRDefault="001C19A4" w:rsidP="00385C46">
      <w:pPr>
        <w:pStyle w:val="ListParagraph"/>
        <w:numPr>
          <w:ilvl w:val="0"/>
          <w:numId w:val="6"/>
        </w:numPr>
        <w:spacing w:after="240" w:line="259" w:lineRule="auto"/>
        <w:contextualSpacing w:val="0"/>
      </w:pPr>
      <w:r>
        <w:t>Northgate students lose access to wide variety of districtwide programs and community partnerships offered by Mt. Diablo USD</w:t>
      </w:r>
    </w:p>
    <w:p w14:paraId="1CB5DDDC" w14:textId="77777777" w:rsidR="001C19A4" w:rsidRDefault="001C19A4" w:rsidP="00385C46">
      <w:pPr>
        <w:pStyle w:val="ListParagraph"/>
        <w:numPr>
          <w:ilvl w:val="0"/>
          <w:numId w:val="6"/>
        </w:numPr>
        <w:spacing w:after="240" w:line="259" w:lineRule="auto"/>
        <w:contextualSpacing w:val="0"/>
      </w:pPr>
      <w:r>
        <w:t>Increases state costs (Local Control Funding Formula and facilities)</w:t>
      </w:r>
    </w:p>
    <w:p w14:paraId="080CFC32" w14:textId="77777777" w:rsidR="001C19A4" w:rsidRDefault="001C19A4" w:rsidP="00385C46">
      <w:pPr>
        <w:pStyle w:val="ListParagraph"/>
        <w:numPr>
          <w:ilvl w:val="0"/>
          <w:numId w:val="6"/>
        </w:numPr>
        <w:spacing w:after="240" w:line="259" w:lineRule="auto"/>
        <w:contextualSpacing w:val="0"/>
      </w:pPr>
      <w:r>
        <w:t>Requires Mt. Diablo USD to incur substantial and disproportionate facilities costs</w:t>
      </w:r>
    </w:p>
    <w:p w14:paraId="7533B146" w14:textId="77777777" w:rsidR="001C19A4" w:rsidRDefault="001C19A4" w:rsidP="00385C46">
      <w:pPr>
        <w:pStyle w:val="ListParagraph"/>
        <w:numPr>
          <w:ilvl w:val="0"/>
          <w:numId w:val="6"/>
        </w:numPr>
        <w:spacing w:after="240" w:line="259" w:lineRule="auto"/>
        <w:contextualSpacing w:val="0"/>
      </w:pPr>
      <w:r>
        <w:t>Relies on discretionary inter-district transfers</w:t>
      </w:r>
    </w:p>
    <w:p w14:paraId="5B24C396" w14:textId="51F94438" w:rsidR="001C19A4" w:rsidRPr="0042752B" w:rsidRDefault="001C19A4" w:rsidP="000A33F9">
      <w:pPr>
        <w:pStyle w:val="Heading2"/>
        <w:numPr>
          <w:ilvl w:val="0"/>
          <w:numId w:val="30"/>
        </w:numPr>
        <w:ind w:left="360"/>
      </w:pPr>
      <w:r w:rsidRPr="00E9082B">
        <w:rPr>
          <w:i/>
        </w:rPr>
        <w:t>EC</w:t>
      </w:r>
      <w:r w:rsidRPr="0042752B">
        <w:t xml:space="preserve"> SECTION 35753 CONDITIONS </w:t>
      </w:r>
    </w:p>
    <w:p w14:paraId="2C7046C2" w14:textId="77777777" w:rsidR="001C19A4" w:rsidRPr="0042752B" w:rsidRDefault="001C19A4" w:rsidP="00385C46">
      <w:pPr>
        <w:ind w:left="720"/>
      </w:pPr>
      <w:r w:rsidRPr="0042752B">
        <w:t xml:space="preserve">The SBE may approve a proposal for the reorganization of </w:t>
      </w:r>
      <w:r>
        <w:t xml:space="preserve">school </w:t>
      </w:r>
      <w:r w:rsidRPr="0042752B">
        <w:t>districts if it has determined that the proposal substantially meets the nine</w:t>
      </w:r>
      <w:r>
        <w:t xml:space="preserve"> minimum</w:t>
      </w:r>
      <w:r w:rsidRPr="0042752B">
        <w:t xml:space="preserve"> threshold conditions in </w:t>
      </w:r>
      <w:r w:rsidRPr="006769B4">
        <w:rPr>
          <w:i/>
        </w:rPr>
        <w:t>EC</w:t>
      </w:r>
      <w:r w:rsidRPr="0042752B">
        <w:t xml:space="preserve"> Section 35753. These conditions are further clarified by </w:t>
      </w:r>
      <w:r w:rsidRPr="006769B4">
        <w:rPr>
          <w:i/>
        </w:rPr>
        <w:t>California Code of Regulations</w:t>
      </w:r>
      <w:r>
        <w:rPr>
          <w:i/>
        </w:rPr>
        <w:t xml:space="preserve">, </w:t>
      </w:r>
      <w:r w:rsidRPr="003E6A6C">
        <w:t>Title 5</w:t>
      </w:r>
      <w:r w:rsidRPr="0042752B">
        <w:t xml:space="preserve"> (5 </w:t>
      </w:r>
      <w:r w:rsidRPr="00746583">
        <w:rPr>
          <w:i/>
        </w:rPr>
        <w:t>CCR</w:t>
      </w:r>
      <w:r w:rsidRPr="0042752B">
        <w:t>) Section 18573.</w:t>
      </w:r>
    </w:p>
    <w:p w14:paraId="6A573E37" w14:textId="77777777" w:rsidR="001C19A4" w:rsidRPr="0042752B" w:rsidRDefault="001C19A4" w:rsidP="005F27A6">
      <w:pPr>
        <w:ind w:left="720"/>
      </w:pPr>
      <w:r w:rsidRPr="0042752B">
        <w:t xml:space="preserve">The SBE also may approve proposals if it finds that all </w:t>
      </w:r>
      <w:r w:rsidRPr="00BE7B38">
        <w:rPr>
          <w:i/>
        </w:rPr>
        <w:t>EC</w:t>
      </w:r>
      <w:r w:rsidRPr="0042752B">
        <w:t xml:space="preserve"> Section 35753 conditions are not substantially met, but subsequently “determines that it is not practical or possible to apply the criteria of this section literally, and that the circumstances with respect to the proposals provide an exceptional situation sufficient to justify approval</w:t>
      </w:r>
      <w:r>
        <w:t xml:space="preserve"> </w:t>
      </w:r>
      <w:r w:rsidRPr="0042752B">
        <w:t>…</w:t>
      </w:r>
      <w:r>
        <w:t>”</w:t>
      </w:r>
      <w:r w:rsidRPr="0042752B">
        <w:t xml:space="preserve"> </w:t>
      </w:r>
      <w:r>
        <w:t>(</w:t>
      </w:r>
      <w:r w:rsidRPr="006A06F8">
        <w:rPr>
          <w:i/>
        </w:rPr>
        <w:t>EC</w:t>
      </w:r>
      <w:r w:rsidRPr="0042752B">
        <w:t xml:space="preserve"> 35753</w:t>
      </w:r>
      <w:r>
        <w:t>[</w:t>
      </w:r>
      <w:r w:rsidRPr="0042752B">
        <w:t>b</w:t>
      </w:r>
      <w:r>
        <w:t>])</w:t>
      </w:r>
    </w:p>
    <w:p w14:paraId="2FFAB799" w14:textId="77777777" w:rsidR="001C19A4" w:rsidRPr="0042752B" w:rsidRDefault="001C19A4" w:rsidP="005F27A6">
      <w:pPr>
        <w:ind w:left="720"/>
      </w:pPr>
      <w:r w:rsidRPr="0042752B">
        <w:t xml:space="preserve">For its analysis of the proposal, the CDE conducted its own studies of the issues that the County Committee determined did not meet the </w:t>
      </w:r>
      <w:r w:rsidRPr="00746583">
        <w:rPr>
          <w:i/>
        </w:rPr>
        <w:t>EC</w:t>
      </w:r>
      <w:r w:rsidRPr="0042752B">
        <w:t xml:space="preserve"> Section 35753 conditions; and reviewed information provided by the County Superintendent, the Mt. Diablo USD, and the chief petitioners. Staff findings and conclusions regarding the </w:t>
      </w:r>
      <w:r w:rsidRPr="00746583">
        <w:rPr>
          <w:i/>
        </w:rPr>
        <w:t>EC</w:t>
      </w:r>
      <w:r w:rsidRPr="0042752B">
        <w:t xml:space="preserve"> Section 35753 and 5 </w:t>
      </w:r>
      <w:r w:rsidRPr="00746583">
        <w:rPr>
          <w:i/>
        </w:rPr>
        <w:t>CCR</w:t>
      </w:r>
      <w:r w:rsidRPr="0042752B">
        <w:t xml:space="preserve"> </w:t>
      </w:r>
      <w:r>
        <w:t xml:space="preserve">Section 18573 </w:t>
      </w:r>
      <w:r w:rsidRPr="0042752B">
        <w:t>requirements follow</w:t>
      </w:r>
      <w:r>
        <w:t>.</w:t>
      </w:r>
    </w:p>
    <w:p w14:paraId="40622679" w14:textId="2F35FE11" w:rsidR="001C19A4" w:rsidRPr="00CD78B8" w:rsidRDefault="001C19A4" w:rsidP="000A33F9">
      <w:pPr>
        <w:pStyle w:val="Heading3"/>
        <w:numPr>
          <w:ilvl w:val="1"/>
          <w:numId w:val="31"/>
        </w:numPr>
        <w:ind w:left="1080"/>
      </w:pPr>
      <w:r w:rsidRPr="00CD78B8">
        <w:t>The reorganized districts will be adequate in terms of number of pupils enrolled.</w:t>
      </w:r>
    </w:p>
    <w:p w14:paraId="106ACB26" w14:textId="77777777" w:rsidR="001C19A4" w:rsidRPr="00CA4E91" w:rsidRDefault="001C19A4" w:rsidP="00922849">
      <w:pPr>
        <w:pStyle w:val="Heading4"/>
        <w:ind w:left="1080"/>
      </w:pPr>
      <w:r w:rsidRPr="00CA4E91">
        <w:t>Standard of Review</w:t>
      </w:r>
    </w:p>
    <w:p w14:paraId="6C002673" w14:textId="77777777" w:rsidR="001C19A4" w:rsidRDefault="001C19A4" w:rsidP="00723E01">
      <w:pPr>
        <w:ind w:left="1080"/>
      </w:pPr>
      <w:r w:rsidRPr="0042752B">
        <w:t xml:space="preserve">It is the intent of the SBE that direct service districts not be created that will become more dependent upon county offices of education and state support </w:t>
      </w:r>
      <w:r w:rsidRPr="0042752B">
        <w:lastRenderedPageBreak/>
        <w:t xml:space="preserve">unless unusual circumstances exist. Therefore, each district affected must be adequate in terms of numbers of pupils, in that each such district should have the following projected enrollment on the date any new district becomes effective for all purposes: elementary district, 901; high school district, 301; unified district, 1,501 (5 </w:t>
      </w:r>
      <w:r w:rsidRPr="006A7A25">
        <w:rPr>
          <w:i/>
        </w:rPr>
        <w:t>CCR</w:t>
      </w:r>
      <w:r w:rsidRPr="0042752B">
        <w:t xml:space="preserve"> 18573[a][1][A]).</w:t>
      </w:r>
    </w:p>
    <w:p w14:paraId="5CD00C14" w14:textId="77777777" w:rsidR="001C19A4" w:rsidRDefault="001C19A4" w:rsidP="00922849">
      <w:pPr>
        <w:pStyle w:val="Heading4"/>
        <w:ind w:left="1080"/>
      </w:pPr>
      <w:r w:rsidRPr="00CB5427">
        <w:t>County Committee Review and Evaluation</w:t>
      </w:r>
    </w:p>
    <w:p w14:paraId="346C304F" w14:textId="37595ADE" w:rsidR="001C19A4" w:rsidRDefault="001C19A4" w:rsidP="00723E01">
      <w:pPr>
        <w:ind w:left="1080"/>
      </w:pPr>
      <w:r>
        <w:t xml:space="preserve">In the 2017 </w:t>
      </w:r>
      <w:r w:rsidRPr="008754DA">
        <w:rPr>
          <w:i/>
        </w:rPr>
        <w:t>Contra Costa County Office of Education Reorganization Feasibility Study</w:t>
      </w:r>
      <w:r>
        <w:rPr>
          <w:i/>
        </w:rPr>
        <w:t>: Mt. Diablo Unified School District</w:t>
      </w:r>
      <w:r>
        <w:t xml:space="preserve"> (</w:t>
      </w:r>
      <w:r w:rsidRPr="005444BA">
        <w:rPr>
          <w:i/>
        </w:rPr>
        <w:t>Feasibility Study</w:t>
      </w:r>
      <w:r>
        <w:t xml:space="preserve">) conducted by School Services of California (SSC), the 2016–17 enrollment of schools in the proposed Northgate USD and the remaining portion of Mt. Diablo USD was calculated to be 4,532 and 27,721, respectively. These enrollment totals far exceeded the minimum threshold value of 1,501 pupils for a unified school district. SSC used historical enrollment for schools in both areas to project enrollment for the subsequent five-year period. Data at that point in time indicated Northgate USD enrollment would increase while enrollment </w:t>
      </w:r>
      <w:r w:rsidR="003A2081">
        <w:t xml:space="preserve">in </w:t>
      </w:r>
      <w:r>
        <w:t>the remainder of the Mt. Diablo USD would decline, though it would continue to have more than 20,000 students enrolled. Based on this information, SSC determined that this criterion was substantially met.</w:t>
      </w:r>
      <w:r w:rsidR="0024655D">
        <w:t xml:space="preserve"> </w:t>
      </w:r>
    </w:p>
    <w:p w14:paraId="358626C2" w14:textId="77777777" w:rsidR="001C19A4" w:rsidRDefault="001C19A4" w:rsidP="00723E01">
      <w:pPr>
        <w:ind w:left="1080"/>
      </w:pPr>
      <w:r>
        <w:t xml:space="preserve">Both the Mt. Diablo USD and chief petitioners agreed that enrollments would meet the minimum threshold. </w:t>
      </w:r>
    </w:p>
    <w:p w14:paraId="7689B511" w14:textId="77777777" w:rsidR="001C19A4" w:rsidRDefault="001C19A4" w:rsidP="00723E01">
      <w:pPr>
        <w:ind w:left="1080"/>
      </w:pPr>
      <w:r w:rsidRPr="00482F47">
        <w:t>The County Committee voted (5-0-0) that this condition is substantially met.</w:t>
      </w:r>
    </w:p>
    <w:p w14:paraId="1BF45027" w14:textId="77777777" w:rsidR="001C19A4" w:rsidRDefault="001C19A4" w:rsidP="00922849">
      <w:pPr>
        <w:pStyle w:val="Heading4"/>
        <w:ind w:left="1080"/>
      </w:pPr>
      <w:r>
        <w:t>CDE Findings/Conclusion</w:t>
      </w:r>
    </w:p>
    <w:p w14:paraId="06B3AF21" w14:textId="77777777" w:rsidR="001C19A4" w:rsidRDefault="001C19A4" w:rsidP="00723E01">
      <w:pPr>
        <w:ind w:left="1080"/>
      </w:pPr>
      <w:r>
        <w:t xml:space="preserve">CDE staff also reviewed historical enrollment for the proposed Northgate USD and the remaining portion of Mt. Diablo USD and then estimated the enrollment for both areas over the next five years. </w:t>
      </w:r>
    </w:p>
    <w:p w14:paraId="365238FD" w14:textId="77777777" w:rsidR="001C19A4" w:rsidRDefault="001C19A4" w:rsidP="00723E01">
      <w:pPr>
        <w:ind w:left="1080"/>
      </w:pPr>
      <w:r>
        <w:t>Table 1 shows the 2016–17 and 2020–21 enrollment for each area and the annual growth rate, which was calculated using the following formula:</w:t>
      </w:r>
    </w:p>
    <w:p w14:paraId="0B611E00" w14:textId="77777777" w:rsidR="001C19A4" w:rsidRDefault="001C19A4" w:rsidP="00723E01">
      <w:pPr>
        <w:ind w:left="720"/>
        <w:jc w:val="center"/>
      </w:pPr>
      <w:r w:rsidRPr="00D9267B">
        <w:t>(End Value</w:t>
      </w:r>
      <w:r>
        <w:t xml:space="preserve"> </w:t>
      </w:r>
      <w:r w:rsidRPr="00D9267B">
        <w:t>/</w:t>
      </w:r>
      <w:r>
        <w:t xml:space="preserve"> </w:t>
      </w:r>
      <w:r w:rsidRPr="00D9267B">
        <w:t>Start Value)</w:t>
      </w:r>
      <w:r>
        <w:t xml:space="preserve"> </w:t>
      </w:r>
      <w:r w:rsidRPr="00D9267B">
        <w:t>^</w:t>
      </w:r>
      <w:r>
        <w:t xml:space="preserve"> </w:t>
      </w:r>
      <w:r w:rsidRPr="00D9267B">
        <w:t>(1</w:t>
      </w:r>
      <w:r>
        <w:t xml:space="preserve"> </w:t>
      </w:r>
      <w:r w:rsidRPr="00D9267B">
        <w:t>/</w:t>
      </w:r>
      <w:r>
        <w:t xml:space="preserve"> </w:t>
      </w:r>
      <w:r w:rsidRPr="00D9267B">
        <w:t xml:space="preserve">(Periods </w:t>
      </w:r>
      <w:r>
        <w:t>-</w:t>
      </w:r>
      <w:r w:rsidRPr="00D9267B">
        <w:t xml:space="preserve"> 1)) -</w:t>
      </w:r>
      <w:r>
        <w:t xml:space="preserve"> </w:t>
      </w:r>
      <w:r w:rsidRPr="00D9267B">
        <w:t>1</w:t>
      </w:r>
    </w:p>
    <w:p w14:paraId="25281F68" w14:textId="77777777" w:rsidR="00005379" w:rsidRDefault="00005379">
      <w:pPr>
        <w:spacing w:after="160"/>
        <w:rPr>
          <w:rFonts w:eastAsia="Times New Roman" w:cs="Arial"/>
          <w:b/>
          <w:i/>
          <w:szCs w:val="20"/>
        </w:rPr>
      </w:pPr>
      <w:r>
        <w:br w:type="page"/>
      </w:r>
    </w:p>
    <w:p w14:paraId="27C8A28B" w14:textId="72AAFFE6" w:rsidR="001C19A4" w:rsidRPr="00FC6DA8" w:rsidRDefault="001C19A4" w:rsidP="00A73A6F">
      <w:pPr>
        <w:pStyle w:val="Heading4"/>
        <w:ind w:left="1080"/>
      </w:pPr>
      <w:r w:rsidRPr="00FC6DA8">
        <w:lastRenderedPageBreak/>
        <w:t>Table</w:t>
      </w:r>
      <w:r>
        <w:t xml:space="preserve"> 1. Annual Enrollment</w:t>
      </w:r>
      <w:r w:rsidRPr="00FC6DA8">
        <w:t xml:space="preserve"> Growth</w:t>
      </w:r>
      <w:r>
        <w:t xml:space="preserve"> for Students in Each Area</w:t>
      </w:r>
    </w:p>
    <w:tbl>
      <w:tblPr>
        <w:tblStyle w:val="ListTable3"/>
        <w:tblW w:w="8100" w:type="dxa"/>
        <w:tblInd w:w="1075" w:type="dxa"/>
        <w:tblLayout w:type="fixed"/>
        <w:tblCellMar>
          <w:top w:w="115" w:type="dxa"/>
          <w:left w:w="115" w:type="dxa"/>
          <w:bottom w:w="115" w:type="dxa"/>
          <w:right w:w="115" w:type="dxa"/>
        </w:tblCellMar>
        <w:tblLook w:val="04A0" w:firstRow="1" w:lastRow="0" w:firstColumn="1" w:lastColumn="0" w:noHBand="0" w:noVBand="1"/>
        <w:tblDescription w:val="This table depicts the calculated annual growth rate of total enrollment for the proposed Northgate USD and the remaining portion of Mt. Diablo USD.  "/>
      </w:tblPr>
      <w:tblGrid>
        <w:gridCol w:w="2610"/>
        <w:gridCol w:w="2700"/>
        <w:gridCol w:w="2790"/>
      </w:tblGrid>
      <w:tr w:rsidR="001C19A4" w:rsidRPr="00426D7D" w14:paraId="4F1F7CF2" w14:textId="77777777" w:rsidTr="005F27A6">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107F58" w14:textId="77777777" w:rsidR="001C19A4" w:rsidRPr="00426D7D" w:rsidRDefault="001C19A4" w:rsidP="00213CD1">
            <w:pPr>
              <w:spacing w:after="0"/>
              <w:ind w:left="-30"/>
              <w:jc w:val="center"/>
              <w:rPr>
                <w:b w:val="0"/>
                <w:bCs w:val="0"/>
                <w:color w:val="auto"/>
              </w:rPr>
            </w:pPr>
            <w:r w:rsidRPr="00426D7D">
              <w:rPr>
                <w:color w:val="auto"/>
              </w:rPr>
              <w:t>Category</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22C6F" w14:textId="77777777" w:rsidR="001C19A4" w:rsidRPr="00426D7D"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426D7D">
              <w:rPr>
                <w:color w:val="auto"/>
              </w:rPr>
              <w:t>Proposed Northgate USD</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F7385" w14:textId="77777777" w:rsidR="001C19A4" w:rsidRPr="00426D7D"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426D7D">
              <w:rPr>
                <w:color w:val="auto"/>
              </w:rPr>
              <w:t>Remaining Portion of Mt. Diablo USD</w:t>
            </w:r>
          </w:p>
        </w:tc>
      </w:tr>
      <w:tr w:rsidR="001C19A4" w:rsidRPr="00553703" w14:paraId="5A04D7B0" w14:textId="77777777" w:rsidTr="005F27A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hideMark/>
          </w:tcPr>
          <w:p w14:paraId="060942A2" w14:textId="77777777" w:rsidR="001C19A4" w:rsidRPr="00426D7D" w:rsidRDefault="001C19A4" w:rsidP="005F27A6">
            <w:pPr>
              <w:spacing w:after="0"/>
              <w:rPr>
                <w:b w:val="0"/>
                <w:color w:val="000000"/>
              </w:rPr>
            </w:pPr>
            <w:r w:rsidRPr="00426D7D">
              <w:rPr>
                <w:b w:val="0"/>
              </w:rPr>
              <w:t>2016</w:t>
            </w:r>
            <w:r w:rsidRPr="00426D7D">
              <w:rPr>
                <w:rStyle w:val="Strong"/>
              </w:rPr>
              <w:t>–</w:t>
            </w:r>
            <w:r w:rsidRPr="00426D7D">
              <w:rPr>
                <w:b w:val="0"/>
              </w:rPr>
              <w:t>17 Enrollment</w:t>
            </w:r>
          </w:p>
        </w:tc>
        <w:tc>
          <w:tcPr>
            <w:tcW w:w="2700" w:type="dxa"/>
            <w:tcBorders>
              <w:top w:val="single" w:sz="4" w:space="0" w:color="auto"/>
              <w:left w:val="single" w:sz="4" w:space="0" w:color="auto"/>
              <w:bottom w:val="single" w:sz="4" w:space="0" w:color="auto"/>
              <w:right w:val="single" w:sz="4" w:space="0" w:color="auto"/>
            </w:tcBorders>
            <w:noWrap/>
            <w:hideMark/>
          </w:tcPr>
          <w:p w14:paraId="2C4DF7DA" w14:textId="77777777" w:rsidR="001C19A4" w:rsidRPr="00553703"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4,286</w:t>
            </w:r>
          </w:p>
        </w:tc>
        <w:tc>
          <w:tcPr>
            <w:tcW w:w="2790" w:type="dxa"/>
            <w:tcBorders>
              <w:top w:val="single" w:sz="4" w:space="0" w:color="auto"/>
              <w:left w:val="single" w:sz="4" w:space="0" w:color="auto"/>
              <w:bottom w:val="single" w:sz="4" w:space="0" w:color="auto"/>
              <w:right w:val="single" w:sz="4" w:space="0" w:color="auto"/>
            </w:tcBorders>
          </w:tcPr>
          <w:p w14:paraId="462A261C" w14:textId="77777777" w:rsidR="001C19A4"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27,153</w:t>
            </w:r>
          </w:p>
        </w:tc>
      </w:tr>
      <w:tr w:rsidR="001C19A4" w:rsidRPr="00553703" w14:paraId="4E676BC8" w14:textId="77777777" w:rsidTr="005F27A6">
        <w:trPr>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tcPr>
          <w:p w14:paraId="06D35AC6" w14:textId="77777777" w:rsidR="001C19A4" w:rsidRPr="00426D7D" w:rsidRDefault="001C19A4" w:rsidP="005F27A6">
            <w:pPr>
              <w:spacing w:after="0"/>
              <w:rPr>
                <w:b w:val="0"/>
                <w:color w:val="000000"/>
              </w:rPr>
            </w:pPr>
            <w:r w:rsidRPr="00426D7D">
              <w:rPr>
                <w:b w:val="0"/>
              </w:rPr>
              <w:t>2020</w:t>
            </w:r>
            <w:r w:rsidRPr="00426D7D">
              <w:rPr>
                <w:rStyle w:val="Strong"/>
              </w:rPr>
              <w:t>–</w:t>
            </w:r>
            <w:r w:rsidRPr="00426D7D">
              <w:rPr>
                <w:b w:val="0"/>
              </w:rPr>
              <w:t>21 Enrollment</w:t>
            </w:r>
          </w:p>
        </w:tc>
        <w:tc>
          <w:tcPr>
            <w:tcW w:w="2700" w:type="dxa"/>
            <w:tcBorders>
              <w:top w:val="single" w:sz="4" w:space="0" w:color="auto"/>
              <w:left w:val="single" w:sz="4" w:space="0" w:color="auto"/>
              <w:bottom w:val="single" w:sz="4" w:space="0" w:color="auto"/>
              <w:right w:val="single" w:sz="4" w:space="0" w:color="auto"/>
            </w:tcBorders>
            <w:noWrap/>
          </w:tcPr>
          <w:p w14:paraId="754E1D9E" w14:textId="77777777" w:rsidR="001C19A4" w:rsidRPr="00553703"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4,018</w:t>
            </w:r>
          </w:p>
        </w:tc>
        <w:tc>
          <w:tcPr>
            <w:tcW w:w="2790" w:type="dxa"/>
            <w:tcBorders>
              <w:top w:val="single" w:sz="4" w:space="0" w:color="auto"/>
              <w:left w:val="single" w:sz="4" w:space="0" w:color="auto"/>
              <w:bottom w:val="single" w:sz="4" w:space="0" w:color="auto"/>
              <w:right w:val="single" w:sz="4" w:space="0" w:color="auto"/>
            </w:tcBorders>
          </w:tcPr>
          <w:p w14:paraId="50D31F5F" w14:textId="77777777" w:rsidR="001C19A4"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25,456</w:t>
            </w:r>
          </w:p>
        </w:tc>
      </w:tr>
      <w:tr w:rsidR="001C19A4" w:rsidRPr="004C559A" w14:paraId="5E794BD1" w14:textId="77777777" w:rsidTr="005F27A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tcPr>
          <w:p w14:paraId="709EC38D" w14:textId="77777777" w:rsidR="001C19A4" w:rsidRPr="00426D7D" w:rsidRDefault="001C19A4" w:rsidP="005F27A6">
            <w:pPr>
              <w:spacing w:after="0"/>
              <w:rPr>
                <w:b w:val="0"/>
                <w:color w:val="000000"/>
              </w:rPr>
            </w:pPr>
            <w:r w:rsidRPr="00426D7D">
              <w:rPr>
                <w:b w:val="0"/>
              </w:rPr>
              <w:t>Annual Growth Rate</w:t>
            </w:r>
          </w:p>
        </w:tc>
        <w:tc>
          <w:tcPr>
            <w:tcW w:w="2700" w:type="dxa"/>
            <w:tcBorders>
              <w:top w:val="single" w:sz="4" w:space="0" w:color="auto"/>
              <w:left w:val="single" w:sz="4" w:space="0" w:color="auto"/>
              <w:bottom w:val="single" w:sz="4" w:space="0" w:color="auto"/>
              <w:right w:val="single" w:sz="4" w:space="0" w:color="auto"/>
            </w:tcBorders>
            <w:noWrap/>
          </w:tcPr>
          <w:p w14:paraId="15C0E7A5" w14:textId="77777777" w:rsidR="001C19A4" w:rsidRPr="00426D7D"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pPr>
            <w:r w:rsidRPr="00426D7D">
              <w:t>-1.6%</w:t>
            </w:r>
          </w:p>
        </w:tc>
        <w:tc>
          <w:tcPr>
            <w:tcW w:w="2790" w:type="dxa"/>
            <w:tcBorders>
              <w:top w:val="single" w:sz="4" w:space="0" w:color="auto"/>
              <w:left w:val="single" w:sz="4" w:space="0" w:color="auto"/>
              <w:bottom w:val="single" w:sz="4" w:space="0" w:color="auto"/>
              <w:right w:val="single" w:sz="4" w:space="0" w:color="auto"/>
            </w:tcBorders>
          </w:tcPr>
          <w:p w14:paraId="24835C51" w14:textId="77777777" w:rsidR="001C19A4" w:rsidRPr="00426D7D"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pPr>
            <w:r w:rsidRPr="00426D7D">
              <w:t>-1.6%</w:t>
            </w:r>
          </w:p>
        </w:tc>
      </w:tr>
    </w:tbl>
    <w:p w14:paraId="6E5E7A33" w14:textId="77777777" w:rsidR="001C19A4" w:rsidRPr="00D015B9" w:rsidRDefault="001C19A4" w:rsidP="005F27A6">
      <w:pPr>
        <w:pStyle w:val="TableSource"/>
        <w:ind w:left="1080"/>
        <w:rPr>
          <w:rStyle w:val="Strong"/>
          <w:b w:val="0"/>
          <w:bCs w:val="0"/>
        </w:rPr>
      </w:pPr>
      <w:r w:rsidRPr="00D015B9">
        <w:rPr>
          <w:rStyle w:val="Strong"/>
        </w:rPr>
        <w:t>Source data: CALPADS, 2016–17 and 2020–21</w:t>
      </w:r>
    </w:p>
    <w:p w14:paraId="3982D83C" w14:textId="77777777" w:rsidR="001C19A4" w:rsidRDefault="001C19A4" w:rsidP="005F27A6">
      <w:pPr>
        <w:ind w:left="1080"/>
      </w:pPr>
      <w:r>
        <w:t>Table 2 shows the estimated enrollment over the next five years calculated for both areas using the annual growth rate of -1.6 percent shown in table 1.</w:t>
      </w:r>
    </w:p>
    <w:p w14:paraId="6BAE4A3D" w14:textId="77777777" w:rsidR="001C19A4" w:rsidRPr="004271C8" w:rsidRDefault="001C19A4" w:rsidP="00A73A6F">
      <w:pPr>
        <w:pStyle w:val="Heading4"/>
        <w:ind w:left="720" w:firstLine="360"/>
      </w:pPr>
      <w:r w:rsidRPr="004271C8">
        <w:t xml:space="preserve">Table </w:t>
      </w:r>
      <w:r>
        <w:t>2</w:t>
      </w:r>
      <w:r w:rsidRPr="004271C8">
        <w:t>. Five-Year Projection of Total Students in Each Area</w:t>
      </w:r>
    </w:p>
    <w:tbl>
      <w:tblPr>
        <w:tblStyle w:val="ListTable3"/>
        <w:tblW w:w="810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Description w:val="This table depicts the projected total enrollment for the years 2021-22 through 2025-26 in the proposed Northgate USD and the remaining portion of Mt. Diablo USD based on the annual growth rate shown in the preceding table. "/>
      </w:tblPr>
      <w:tblGrid>
        <w:gridCol w:w="2610"/>
        <w:gridCol w:w="2700"/>
        <w:gridCol w:w="2790"/>
      </w:tblGrid>
      <w:tr w:rsidR="001C19A4" w:rsidRPr="00C532A0" w14:paraId="3DD73220" w14:textId="77777777" w:rsidTr="005F27A6">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2610" w:type="dxa"/>
            <w:tcBorders>
              <w:bottom w:val="none" w:sz="0" w:space="0" w:color="auto"/>
              <w:right w:val="none" w:sz="0" w:space="0" w:color="auto"/>
            </w:tcBorders>
            <w:shd w:val="clear" w:color="auto" w:fill="D9D9D9" w:themeFill="background1" w:themeFillShade="D9"/>
            <w:noWrap/>
            <w:vAlign w:val="center"/>
            <w:hideMark/>
          </w:tcPr>
          <w:p w14:paraId="1862FB33" w14:textId="77777777" w:rsidR="001C19A4" w:rsidRPr="00C532A0" w:rsidRDefault="001C19A4" w:rsidP="005F27A6">
            <w:pPr>
              <w:spacing w:after="0"/>
              <w:jc w:val="center"/>
              <w:rPr>
                <w:b w:val="0"/>
                <w:bCs w:val="0"/>
                <w:color w:val="000000"/>
              </w:rPr>
            </w:pPr>
            <w:r>
              <w:rPr>
                <w:color w:val="000000"/>
              </w:rPr>
              <w:t>Fiscal Year</w:t>
            </w:r>
          </w:p>
        </w:tc>
        <w:tc>
          <w:tcPr>
            <w:tcW w:w="2700" w:type="dxa"/>
            <w:shd w:val="clear" w:color="auto" w:fill="D9D9D9" w:themeFill="background1" w:themeFillShade="D9"/>
            <w:vAlign w:val="center"/>
            <w:hideMark/>
          </w:tcPr>
          <w:p w14:paraId="284BA2E1" w14:textId="77777777" w:rsidR="001C19A4" w:rsidRPr="00C532A0"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000000"/>
              </w:rPr>
            </w:pPr>
            <w:r w:rsidRPr="00C268B3">
              <w:rPr>
                <w:color w:val="000000"/>
              </w:rPr>
              <w:t>Proposed Northgate USD</w:t>
            </w:r>
          </w:p>
        </w:tc>
        <w:tc>
          <w:tcPr>
            <w:tcW w:w="2790" w:type="dxa"/>
            <w:shd w:val="clear" w:color="auto" w:fill="D9D9D9" w:themeFill="background1" w:themeFillShade="D9"/>
            <w:vAlign w:val="center"/>
            <w:hideMark/>
          </w:tcPr>
          <w:p w14:paraId="78B452EC" w14:textId="77777777" w:rsidR="001C19A4" w:rsidRDefault="001C19A4" w:rsidP="005F27A6">
            <w:pPr>
              <w:spacing w:after="0"/>
              <w:ind w:left="12"/>
              <w:jc w:val="center"/>
              <w:cnfStyle w:val="100000000000" w:firstRow="1" w:lastRow="0" w:firstColumn="0" w:lastColumn="0" w:oddVBand="0" w:evenVBand="0" w:oddHBand="0" w:evenHBand="0" w:firstRowFirstColumn="0" w:firstRowLastColumn="0" w:lastRowFirstColumn="0" w:lastRowLastColumn="0"/>
              <w:rPr>
                <w:b w:val="0"/>
                <w:color w:val="000000"/>
              </w:rPr>
            </w:pPr>
            <w:r w:rsidRPr="00C268B3">
              <w:rPr>
                <w:color w:val="000000"/>
              </w:rPr>
              <w:t>Remaining Portion of Mt. Diablo USD</w:t>
            </w:r>
          </w:p>
          <w:p w14:paraId="38DE28FD" w14:textId="77777777" w:rsidR="001C19A4" w:rsidRPr="00C532A0"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000000"/>
              </w:rPr>
            </w:pPr>
          </w:p>
        </w:tc>
      </w:tr>
      <w:tr w:rsidR="001C19A4" w:rsidRPr="00553703" w14:paraId="39B3AE41" w14:textId="77777777" w:rsidTr="005F27A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noWrap/>
          </w:tcPr>
          <w:p w14:paraId="03AAC2A8" w14:textId="77777777" w:rsidR="001C19A4" w:rsidRPr="00745863" w:rsidRDefault="001C19A4" w:rsidP="005F27A6">
            <w:pPr>
              <w:spacing w:after="0"/>
              <w:rPr>
                <w:rStyle w:val="Strong"/>
                <w:b/>
                <w:bCs/>
                <w:i/>
              </w:rPr>
            </w:pPr>
            <w:r w:rsidRPr="00745863">
              <w:rPr>
                <w:rStyle w:val="Strong"/>
                <w:i/>
              </w:rPr>
              <w:t>2021–22</w:t>
            </w:r>
          </w:p>
        </w:tc>
        <w:tc>
          <w:tcPr>
            <w:tcW w:w="2700" w:type="dxa"/>
            <w:noWrap/>
          </w:tcPr>
          <w:p w14:paraId="48FA5004" w14:textId="77777777" w:rsidR="001C19A4" w:rsidRPr="001A05B6" w:rsidRDefault="001C19A4" w:rsidP="005F27A6">
            <w:pPr>
              <w:spacing w:after="100" w:afterAutospacing="1"/>
              <w:jc w:val="right"/>
              <w:cnfStyle w:val="000000100000" w:firstRow="0" w:lastRow="0" w:firstColumn="0" w:lastColumn="0" w:oddVBand="0" w:evenVBand="0" w:oddHBand="1" w:evenHBand="0" w:firstRowFirstColumn="0" w:firstRowLastColumn="0" w:lastRowFirstColumn="0" w:lastRowLastColumn="0"/>
            </w:pPr>
            <w:r w:rsidRPr="001A05B6">
              <w:t>3,954</w:t>
            </w:r>
          </w:p>
        </w:tc>
        <w:tc>
          <w:tcPr>
            <w:tcW w:w="2790" w:type="dxa"/>
            <w:noWrap/>
          </w:tcPr>
          <w:p w14:paraId="45DC9101" w14:textId="77777777" w:rsidR="001C19A4" w:rsidRPr="001A05B6" w:rsidRDefault="001C19A4" w:rsidP="005F27A6">
            <w:pPr>
              <w:spacing w:after="100" w:afterAutospacing="1"/>
              <w:jc w:val="right"/>
              <w:cnfStyle w:val="000000100000" w:firstRow="0" w:lastRow="0" w:firstColumn="0" w:lastColumn="0" w:oddVBand="0" w:evenVBand="0" w:oddHBand="1" w:evenHBand="0" w:firstRowFirstColumn="0" w:firstRowLastColumn="0" w:lastRowFirstColumn="0" w:lastRowLastColumn="0"/>
            </w:pPr>
            <w:r w:rsidRPr="001A05B6">
              <w:t>25,049</w:t>
            </w:r>
          </w:p>
        </w:tc>
      </w:tr>
      <w:tr w:rsidR="001C19A4" w:rsidRPr="00553703" w14:paraId="04006952" w14:textId="77777777" w:rsidTr="005F27A6">
        <w:trPr>
          <w:trHeight w:val="244"/>
        </w:trPr>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noWrap/>
          </w:tcPr>
          <w:p w14:paraId="3D30B3C1" w14:textId="77777777" w:rsidR="001C19A4" w:rsidRPr="00745863" w:rsidRDefault="001C19A4" w:rsidP="005F27A6">
            <w:pPr>
              <w:spacing w:after="0"/>
              <w:rPr>
                <w:rStyle w:val="Strong"/>
                <w:b/>
                <w:bCs/>
                <w:i/>
              </w:rPr>
            </w:pPr>
            <w:r w:rsidRPr="00745863">
              <w:rPr>
                <w:rStyle w:val="Strong"/>
                <w:i/>
              </w:rPr>
              <w:t>2022–23</w:t>
            </w:r>
          </w:p>
        </w:tc>
        <w:tc>
          <w:tcPr>
            <w:tcW w:w="2700" w:type="dxa"/>
            <w:noWrap/>
          </w:tcPr>
          <w:p w14:paraId="106CB92D" w14:textId="77777777" w:rsidR="001C19A4" w:rsidRPr="001A05B6" w:rsidRDefault="001C19A4" w:rsidP="005F27A6">
            <w:pPr>
              <w:spacing w:after="100" w:afterAutospacing="1"/>
              <w:jc w:val="right"/>
              <w:cnfStyle w:val="000000000000" w:firstRow="0" w:lastRow="0" w:firstColumn="0" w:lastColumn="0" w:oddVBand="0" w:evenVBand="0" w:oddHBand="0" w:evenHBand="0" w:firstRowFirstColumn="0" w:firstRowLastColumn="0" w:lastRowFirstColumn="0" w:lastRowLastColumn="0"/>
            </w:pPr>
            <w:r w:rsidRPr="001A05B6">
              <w:t>3,891</w:t>
            </w:r>
          </w:p>
        </w:tc>
        <w:tc>
          <w:tcPr>
            <w:tcW w:w="2790" w:type="dxa"/>
            <w:noWrap/>
          </w:tcPr>
          <w:p w14:paraId="3608A075" w14:textId="77777777" w:rsidR="001C19A4" w:rsidRPr="001A05B6" w:rsidRDefault="001C19A4" w:rsidP="005F27A6">
            <w:pPr>
              <w:spacing w:after="100" w:afterAutospacing="1"/>
              <w:jc w:val="right"/>
              <w:cnfStyle w:val="000000000000" w:firstRow="0" w:lastRow="0" w:firstColumn="0" w:lastColumn="0" w:oddVBand="0" w:evenVBand="0" w:oddHBand="0" w:evenHBand="0" w:firstRowFirstColumn="0" w:firstRowLastColumn="0" w:lastRowFirstColumn="0" w:lastRowLastColumn="0"/>
            </w:pPr>
            <w:r w:rsidRPr="001A05B6">
              <w:t>24,648</w:t>
            </w:r>
          </w:p>
        </w:tc>
      </w:tr>
      <w:tr w:rsidR="001C19A4" w:rsidRPr="00553703" w14:paraId="2A572373" w14:textId="77777777" w:rsidTr="005F27A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noWrap/>
          </w:tcPr>
          <w:p w14:paraId="1ED526D6" w14:textId="77777777" w:rsidR="001C19A4" w:rsidRPr="00745863" w:rsidRDefault="001C19A4" w:rsidP="005F27A6">
            <w:pPr>
              <w:spacing w:after="0"/>
              <w:rPr>
                <w:rStyle w:val="Strong"/>
                <w:b/>
                <w:bCs/>
                <w:i/>
              </w:rPr>
            </w:pPr>
            <w:r w:rsidRPr="00745863">
              <w:rPr>
                <w:rStyle w:val="Strong"/>
                <w:i/>
              </w:rPr>
              <w:t>2023–24</w:t>
            </w:r>
          </w:p>
        </w:tc>
        <w:tc>
          <w:tcPr>
            <w:tcW w:w="2700" w:type="dxa"/>
            <w:noWrap/>
          </w:tcPr>
          <w:p w14:paraId="723FB47C" w14:textId="77777777" w:rsidR="001C19A4" w:rsidRPr="001A05B6" w:rsidRDefault="001C19A4" w:rsidP="005F27A6">
            <w:pPr>
              <w:spacing w:after="100" w:afterAutospacing="1"/>
              <w:jc w:val="right"/>
              <w:cnfStyle w:val="000000100000" w:firstRow="0" w:lastRow="0" w:firstColumn="0" w:lastColumn="0" w:oddVBand="0" w:evenVBand="0" w:oddHBand="1" w:evenHBand="0" w:firstRowFirstColumn="0" w:firstRowLastColumn="0" w:lastRowFirstColumn="0" w:lastRowLastColumn="0"/>
            </w:pPr>
            <w:r w:rsidRPr="001A05B6">
              <w:t>3,829</w:t>
            </w:r>
          </w:p>
        </w:tc>
        <w:tc>
          <w:tcPr>
            <w:tcW w:w="2790" w:type="dxa"/>
            <w:noWrap/>
          </w:tcPr>
          <w:p w14:paraId="10FBE399" w14:textId="77777777" w:rsidR="001C19A4" w:rsidRPr="001A05B6" w:rsidRDefault="001C19A4" w:rsidP="005F27A6">
            <w:pPr>
              <w:spacing w:after="100" w:afterAutospacing="1"/>
              <w:jc w:val="right"/>
              <w:cnfStyle w:val="000000100000" w:firstRow="0" w:lastRow="0" w:firstColumn="0" w:lastColumn="0" w:oddVBand="0" w:evenVBand="0" w:oddHBand="1" w:evenHBand="0" w:firstRowFirstColumn="0" w:firstRowLastColumn="0" w:lastRowFirstColumn="0" w:lastRowLastColumn="0"/>
            </w:pPr>
            <w:r w:rsidRPr="001A05B6">
              <w:t>24,254</w:t>
            </w:r>
          </w:p>
        </w:tc>
      </w:tr>
      <w:tr w:rsidR="001C19A4" w:rsidRPr="00553703" w14:paraId="1CFFBBE8" w14:textId="77777777" w:rsidTr="005F27A6">
        <w:trPr>
          <w:trHeight w:val="244"/>
        </w:trPr>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noWrap/>
            <w:hideMark/>
          </w:tcPr>
          <w:p w14:paraId="6BF7B576" w14:textId="77777777" w:rsidR="001C19A4" w:rsidRPr="00745863" w:rsidRDefault="001C19A4" w:rsidP="005F27A6">
            <w:pPr>
              <w:spacing w:after="0"/>
              <w:rPr>
                <w:b w:val="0"/>
                <w:i/>
                <w:color w:val="000000"/>
              </w:rPr>
            </w:pPr>
            <w:r w:rsidRPr="00745863">
              <w:rPr>
                <w:rStyle w:val="Strong"/>
                <w:i/>
              </w:rPr>
              <w:t>2024–25</w:t>
            </w:r>
          </w:p>
        </w:tc>
        <w:tc>
          <w:tcPr>
            <w:tcW w:w="2700" w:type="dxa"/>
            <w:noWrap/>
            <w:hideMark/>
          </w:tcPr>
          <w:p w14:paraId="18F96309" w14:textId="77777777" w:rsidR="001C19A4" w:rsidRPr="001A05B6" w:rsidRDefault="001C19A4" w:rsidP="005F27A6">
            <w:pPr>
              <w:spacing w:after="100" w:afterAutospacing="1"/>
              <w:jc w:val="right"/>
              <w:cnfStyle w:val="000000000000" w:firstRow="0" w:lastRow="0" w:firstColumn="0" w:lastColumn="0" w:oddVBand="0" w:evenVBand="0" w:oddHBand="0" w:evenHBand="0" w:firstRowFirstColumn="0" w:firstRowLastColumn="0" w:lastRowFirstColumn="0" w:lastRowLastColumn="0"/>
            </w:pPr>
            <w:r w:rsidRPr="001A05B6">
              <w:t>3,768</w:t>
            </w:r>
          </w:p>
        </w:tc>
        <w:tc>
          <w:tcPr>
            <w:tcW w:w="2790" w:type="dxa"/>
            <w:noWrap/>
            <w:hideMark/>
          </w:tcPr>
          <w:p w14:paraId="32590ACA" w14:textId="77777777" w:rsidR="001C19A4" w:rsidRPr="001A05B6" w:rsidRDefault="001C19A4" w:rsidP="005F27A6">
            <w:pPr>
              <w:spacing w:after="100" w:afterAutospacing="1"/>
              <w:jc w:val="right"/>
              <w:cnfStyle w:val="000000000000" w:firstRow="0" w:lastRow="0" w:firstColumn="0" w:lastColumn="0" w:oddVBand="0" w:evenVBand="0" w:oddHBand="0" w:evenHBand="0" w:firstRowFirstColumn="0" w:firstRowLastColumn="0" w:lastRowFirstColumn="0" w:lastRowLastColumn="0"/>
            </w:pPr>
            <w:r w:rsidRPr="001A05B6">
              <w:t>23,866</w:t>
            </w:r>
          </w:p>
        </w:tc>
      </w:tr>
      <w:tr w:rsidR="001C19A4" w:rsidRPr="00553703" w14:paraId="78E34208" w14:textId="77777777" w:rsidTr="005F27A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10" w:type="dxa"/>
            <w:tcBorders>
              <w:right w:val="none" w:sz="0" w:space="0" w:color="auto"/>
            </w:tcBorders>
            <w:noWrap/>
          </w:tcPr>
          <w:p w14:paraId="19D86290" w14:textId="77777777" w:rsidR="001C19A4" w:rsidRPr="00745863" w:rsidRDefault="001C19A4" w:rsidP="005F27A6">
            <w:pPr>
              <w:spacing w:after="0"/>
              <w:rPr>
                <w:rStyle w:val="Strong"/>
                <w:b/>
                <w:bCs/>
                <w:i/>
              </w:rPr>
            </w:pPr>
            <w:r w:rsidRPr="00745863">
              <w:rPr>
                <w:rStyle w:val="Strong"/>
                <w:i/>
              </w:rPr>
              <w:t>2025–26</w:t>
            </w:r>
          </w:p>
        </w:tc>
        <w:tc>
          <w:tcPr>
            <w:tcW w:w="2700" w:type="dxa"/>
            <w:noWrap/>
          </w:tcPr>
          <w:p w14:paraId="1D49F965" w14:textId="77777777" w:rsidR="001C19A4" w:rsidRPr="001A05B6" w:rsidRDefault="001C19A4" w:rsidP="005F27A6">
            <w:pPr>
              <w:spacing w:after="100" w:afterAutospacing="1"/>
              <w:jc w:val="right"/>
              <w:cnfStyle w:val="000000100000" w:firstRow="0" w:lastRow="0" w:firstColumn="0" w:lastColumn="0" w:oddVBand="0" w:evenVBand="0" w:oddHBand="1" w:evenHBand="0" w:firstRowFirstColumn="0" w:firstRowLastColumn="0" w:lastRowFirstColumn="0" w:lastRowLastColumn="0"/>
            </w:pPr>
            <w:r w:rsidRPr="001A05B6">
              <w:t>3,708</w:t>
            </w:r>
          </w:p>
        </w:tc>
        <w:tc>
          <w:tcPr>
            <w:tcW w:w="2790" w:type="dxa"/>
            <w:noWrap/>
          </w:tcPr>
          <w:p w14:paraId="39F14B51" w14:textId="77777777" w:rsidR="001C19A4" w:rsidRDefault="001C19A4" w:rsidP="005F27A6">
            <w:pPr>
              <w:spacing w:after="100" w:afterAutospacing="1"/>
              <w:jc w:val="right"/>
              <w:cnfStyle w:val="000000100000" w:firstRow="0" w:lastRow="0" w:firstColumn="0" w:lastColumn="0" w:oddVBand="0" w:evenVBand="0" w:oddHBand="1" w:evenHBand="0" w:firstRowFirstColumn="0" w:firstRowLastColumn="0" w:lastRowFirstColumn="0" w:lastRowLastColumn="0"/>
            </w:pPr>
            <w:r w:rsidRPr="001A05B6">
              <w:t>23,484</w:t>
            </w:r>
          </w:p>
        </w:tc>
      </w:tr>
    </w:tbl>
    <w:p w14:paraId="4169246B" w14:textId="66BA33E6" w:rsidR="001C19A4" w:rsidRDefault="001C19A4" w:rsidP="005F27A6">
      <w:pPr>
        <w:spacing w:before="240"/>
        <w:ind w:left="1080"/>
      </w:pPr>
      <w:r>
        <w:t>Though both areas have experienced</w:t>
      </w:r>
      <w:r w:rsidR="00966C80">
        <w:t>,</w:t>
      </w:r>
      <w:r>
        <w:t xml:space="preserve"> and are expected to continue to experience declining enrollment, they would retain total enrollment well in excess of the minimum required under this criterion. Therefore, CDE finds this criterion substantially met.</w:t>
      </w:r>
      <w:r w:rsidR="0024655D">
        <w:t xml:space="preserve"> </w:t>
      </w:r>
    </w:p>
    <w:p w14:paraId="79A6EBEB" w14:textId="77777777" w:rsidR="001C19A4" w:rsidRDefault="001C19A4" w:rsidP="000A33F9">
      <w:pPr>
        <w:pStyle w:val="Heading3"/>
        <w:numPr>
          <w:ilvl w:val="1"/>
          <w:numId w:val="31"/>
        </w:numPr>
        <w:ind w:left="1080"/>
      </w:pPr>
      <w:r w:rsidRPr="00405F42">
        <w:t>The districts are each organized on the basis of a substantial community identity.</w:t>
      </w:r>
    </w:p>
    <w:p w14:paraId="13B5886A" w14:textId="77777777" w:rsidR="001C19A4" w:rsidRDefault="001C19A4" w:rsidP="00922849">
      <w:pPr>
        <w:pStyle w:val="Heading4"/>
        <w:ind w:left="1080"/>
      </w:pPr>
      <w:r w:rsidRPr="00CB5427">
        <w:t>Standard</w:t>
      </w:r>
      <w:r w:rsidRPr="00CD78B8">
        <w:t xml:space="preserve"> of Review</w:t>
      </w:r>
    </w:p>
    <w:p w14:paraId="363F0FAB" w14:textId="77777777" w:rsidR="001C19A4" w:rsidRPr="001A6413" w:rsidRDefault="001C19A4" w:rsidP="005F27A6">
      <w:pPr>
        <w:ind w:left="1080"/>
      </w:pPr>
      <w:r w:rsidRPr="001A6413">
        <w:t xml:space="preserve">The following criteria from 5 </w:t>
      </w:r>
      <w:r w:rsidRPr="006F140A">
        <w:rPr>
          <w:i/>
        </w:rPr>
        <w:t>CCR</w:t>
      </w:r>
      <w:r w:rsidRPr="001A6413">
        <w:t xml:space="preserve"> Section 18573(a)(2) should be considered to determine whether a new district is organized on the basis of substantial community identity: isolation; geography; distance between social centers; </w:t>
      </w:r>
      <w:r w:rsidRPr="001A6413">
        <w:lastRenderedPageBreak/>
        <w:t>distance between school centers; topography; weather; community, school and social ties; and other circumstances peculiar to the area.</w:t>
      </w:r>
    </w:p>
    <w:p w14:paraId="2C48DFB3" w14:textId="77777777" w:rsidR="001C19A4" w:rsidRDefault="001C19A4" w:rsidP="00922849">
      <w:pPr>
        <w:pStyle w:val="Heading4"/>
        <w:ind w:left="1080"/>
      </w:pPr>
      <w:r w:rsidRPr="00CB5427">
        <w:t>County Committee Review and Evaluation</w:t>
      </w:r>
    </w:p>
    <w:p w14:paraId="02BAA1EF" w14:textId="77777777" w:rsidR="001C19A4" w:rsidRPr="00B10B4A" w:rsidRDefault="001C19A4" w:rsidP="005F27A6">
      <w:pPr>
        <w:ind w:left="1080"/>
        <w:rPr>
          <w:szCs w:val="24"/>
        </w:rPr>
      </w:pPr>
      <w:r w:rsidRPr="00B10B4A">
        <w:rPr>
          <w:szCs w:val="24"/>
        </w:rPr>
        <w:t xml:space="preserve">The </w:t>
      </w:r>
      <w:r w:rsidRPr="004215AA">
        <w:rPr>
          <w:i/>
          <w:szCs w:val="24"/>
        </w:rPr>
        <w:t>Feasibility Study</w:t>
      </w:r>
      <w:r w:rsidRPr="00B10B4A">
        <w:rPr>
          <w:szCs w:val="24"/>
        </w:rPr>
        <w:t xml:space="preserve"> recommends that this “community identity” condition is substantially met, noting that: (1) the boundary for the proposed Northgate USD is comprised of territory already located within an established community, (2) both the report provided by NCAPS [Northgate Community Advocacy for our Public Schools, Inc.] and accounts compiled by Mt. Diablo USD discuss and share the myriad of opportunities the residents of the greater community have to come together, either via programs initiated at the various school sites or through the various community recreational facilities and other events, and (3) the proposed Northgate USD area has sufficient resources to coalesce around and create a tight knit sense of community if the reorganization were to be approved. The </w:t>
      </w:r>
      <w:r w:rsidRPr="004215AA">
        <w:rPr>
          <w:i/>
          <w:szCs w:val="24"/>
        </w:rPr>
        <w:t>Feasibility Study</w:t>
      </w:r>
      <w:r w:rsidRPr="00B10B4A">
        <w:rPr>
          <w:szCs w:val="24"/>
        </w:rPr>
        <w:t xml:space="preserve"> finds that this criterion would be substantially met as there is an existing community identity. </w:t>
      </w:r>
    </w:p>
    <w:p w14:paraId="4CE30160" w14:textId="64F50AF6" w:rsidR="001C19A4" w:rsidRPr="00881351" w:rsidRDefault="001C19A4" w:rsidP="005F27A6">
      <w:pPr>
        <w:ind w:left="1080"/>
      </w:pPr>
      <w:r w:rsidRPr="00881351">
        <w:t>Chief petitioners note</w:t>
      </w:r>
      <w:r w:rsidR="00966C80">
        <w:t>:</w:t>
      </w:r>
      <w:r w:rsidRPr="00881351">
        <w:t xml:space="preserve"> (1) </w:t>
      </w:r>
      <w:r w:rsidR="00966C80">
        <w:t>T</w:t>
      </w:r>
      <w:r w:rsidRPr="00881351">
        <w:t>he proposed N</w:t>
      </w:r>
      <w:r w:rsidR="00F617CC">
        <w:t xml:space="preserve">orthgate </w:t>
      </w:r>
      <w:r w:rsidRPr="00881351">
        <w:t>USD area includes the eastern half of the City of Walnut Creek as well as adjacent areas within the City of Concord and Contra Costa County, and it is common to refer to the Northgate area in local advertising</w:t>
      </w:r>
      <w:r w:rsidR="00DB2D07">
        <w:t>,</w:t>
      </w:r>
      <w:r w:rsidRPr="00881351">
        <w:t xml:space="preserve"> (2) The relative remoteness of the current M</w:t>
      </w:r>
      <w:r w:rsidR="00F617CC">
        <w:t>t. Diablo USD</w:t>
      </w:r>
      <w:r w:rsidRPr="00881351">
        <w:t xml:space="preserve"> office from the Northgate area discourages many residents (and perhaps Northgate-area educators) from attending district meetings and from feeling connected to the district</w:t>
      </w:r>
      <w:r w:rsidR="00DB2D07">
        <w:t>,</w:t>
      </w:r>
      <w:r w:rsidRPr="00881351">
        <w:t xml:space="preserve"> and</w:t>
      </w:r>
      <w:r w:rsidR="00966C80">
        <w:t xml:space="preserve"> (3) T</w:t>
      </w:r>
      <w:r w:rsidRPr="00881351">
        <w:t>he relative distances between the schools and … social centers facilitate both spontaneous and planned get-togethers among members of the community.</w:t>
      </w:r>
    </w:p>
    <w:p w14:paraId="3BB89885" w14:textId="77777777" w:rsidR="001C19A4" w:rsidRDefault="001C19A4" w:rsidP="005F27A6">
      <w:pPr>
        <w:ind w:left="1080"/>
      </w:pPr>
      <w:r w:rsidRPr="00881351">
        <w:t>The Mt. Diablo USD concludes that the petition does not substantially meet this criterion. It states that the petition would unravel cohesive communities and disrupt the positive community identity that exists, which extends beyond the Northgate schools and results</w:t>
      </w:r>
      <w:r>
        <w:t xml:space="preserve"> from districtwide student experiences.</w:t>
      </w:r>
    </w:p>
    <w:p w14:paraId="33BFEC3A" w14:textId="77777777" w:rsidR="001C19A4" w:rsidRDefault="001C19A4" w:rsidP="005F27A6">
      <w:pPr>
        <w:ind w:left="1080"/>
      </w:pPr>
      <w:r w:rsidRPr="006F5CCD">
        <w:t>The County Committee voted (4-1-0) that this condition is substantially met.</w:t>
      </w:r>
    </w:p>
    <w:p w14:paraId="64D6329A" w14:textId="77777777" w:rsidR="001C19A4" w:rsidRPr="00CB5427" w:rsidRDefault="001C19A4" w:rsidP="00922849">
      <w:pPr>
        <w:pStyle w:val="Heading4"/>
        <w:ind w:left="1080"/>
      </w:pPr>
      <w:r>
        <w:t>CDE Findings/Conclusion</w:t>
      </w:r>
    </w:p>
    <w:p w14:paraId="08602D5E" w14:textId="77777777" w:rsidR="001C19A4" w:rsidRDefault="001C19A4" w:rsidP="005F27A6">
      <w:pPr>
        <w:ind w:left="1080"/>
      </w:pPr>
      <w:r>
        <w:t xml:space="preserve">The existing Mt. Diablo USD territory spans two cities entirely, portions of four other cities, and several unincorporated communities in Contra Costa County. Within the Mt. Diablo USD territory are multiple shopping and social centers; each city offers its own police department and a public library. </w:t>
      </w:r>
    </w:p>
    <w:p w14:paraId="6CB92671" w14:textId="0FA88AAE" w:rsidR="001C19A4" w:rsidRDefault="001C19A4" w:rsidP="005F27A6">
      <w:pPr>
        <w:ind w:left="1080"/>
      </w:pPr>
      <w:r>
        <w:lastRenderedPageBreak/>
        <w:t xml:space="preserve">The proposed Northgate USD territory is located in the southwest portion of the existing Mt. Diablo USD, adjacent to the north gate entrance to Mt. Diablo State Park, Shell Ridge Open Space, and Diablo Foothills Regional Park. The proposed district </w:t>
      </w:r>
      <w:r w:rsidRPr="00947033">
        <w:t>falls largely within the city of Walnut Creek, but also includes a small portion of the city of Concord and unincorporated area of the county</w:t>
      </w:r>
      <w:r>
        <w:t xml:space="preserve">. </w:t>
      </w:r>
    </w:p>
    <w:p w14:paraId="1604BF34" w14:textId="77777777" w:rsidR="001C19A4" w:rsidRPr="009050DF" w:rsidRDefault="001C19A4" w:rsidP="005F27A6">
      <w:pPr>
        <w:ind w:left="1080"/>
      </w:pPr>
      <w:r w:rsidRPr="009050DF">
        <w:t xml:space="preserve">The CDE agrees with the Mt. Diablo USD that the long history of multiple communities served by the same educational system contributes to a sense of the community identity across the region. However, it is the CDE’s opinion that this does not preclude the proposed Northgate USD from meeting the criteria of being organized on the basis of substantial community identity nor does it exclude a finding of substantial community identity for the remaining portion of the Mt. Diablo USD. </w:t>
      </w:r>
    </w:p>
    <w:p w14:paraId="4F27F4FF" w14:textId="62CFAE69" w:rsidR="001C19A4" w:rsidRPr="00CB5427" w:rsidRDefault="001C19A4" w:rsidP="005F27A6">
      <w:pPr>
        <w:ind w:left="1080"/>
      </w:pPr>
      <w:r w:rsidRPr="009050DF">
        <w:t xml:space="preserve">The CDE </w:t>
      </w:r>
      <w:r w:rsidR="001D4647" w:rsidRPr="009050DF">
        <w:t>conclu</w:t>
      </w:r>
      <w:r w:rsidR="001D4647">
        <w:t>d</w:t>
      </w:r>
      <w:r w:rsidR="001D4647" w:rsidRPr="009050DF">
        <w:t>es</w:t>
      </w:r>
      <w:r w:rsidRPr="009050DF">
        <w:t xml:space="preserve"> that this condition is substantially met.</w:t>
      </w:r>
    </w:p>
    <w:p w14:paraId="4AEEC2F0" w14:textId="77777777" w:rsidR="001C19A4" w:rsidRDefault="001C19A4" w:rsidP="000A33F9">
      <w:pPr>
        <w:pStyle w:val="Heading3"/>
        <w:numPr>
          <w:ilvl w:val="1"/>
          <w:numId w:val="31"/>
        </w:numPr>
        <w:ind w:left="1080"/>
      </w:pPr>
      <w:r w:rsidRPr="0073742B">
        <w:t>The proposal will result in an equitable division of property and facilities of the original district or districts.</w:t>
      </w:r>
    </w:p>
    <w:p w14:paraId="44B94508" w14:textId="77777777" w:rsidR="001C19A4" w:rsidRDefault="001C19A4" w:rsidP="00922849">
      <w:pPr>
        <w:pStyle w:val="Heading4"/>
        <w:ind w:left="1080"/>
      </w:pPr>
      <w:r w:rsidRPr="00CB5427">
        <w:t>Standard</w:t>
      </w:r>
      <w:r w:rsidRPr="00CD78B8">
        <w:t xml:space="preserve"> of Review</w:t>
      </w:r>
    </w:p>
    <w:p w14:paraId="129A2790" w14:textId="313B84A4" w:rsidR="001C19A4" w:rsidRPr="001A6413" w:rsidRDefault="001C19A4" w:rsidP="005F27A6">
      <w:pPr>
        <w:ind w:left="1080"/>
      </w:pPr>
      <w:r w:rsidRPr="001A6413">
        <w:t xml:space="preserve">To determine whether an equitable division of property and facilities will occur, the CDE reviews the proposal for compliance with </w:t>
      </w:r>
      <w:r w:rsidRPr="0073742B">
        <w:rPr>
          <w:i/>
        </w:rPr>
        <w:t>EC</w:t>
      </w:r>
      <w:r w:rsidRPr="001A6413">
        <w:t xml:space="preserve"> sections 35560 and 35564 and determines which of the criteria authorized in </w:t>
      </w:r>
      <w:r w:rsidRPr="0073742B">
        <w:rPr>
          <w:i/>
        </w:rPr>
        <w:t>EC</w:t>
      </w:r>
      <w:r w:rsidRPr="001A6413">
        <w:t xml:space="preserve"> Section 35736 shall be applied. The CDE also ascertains that the affected districts and</w:t>
      </w:r>
      <w:r w:rsidR="00006833">
        <w:t xml:space="preserve"> County Superintendent </w:t>
      </w:r>
      <w:r w:rsidRPr="001A6413">
        <w:t xml:space="preserve">are prepared to appoint the committee described in </w:t>
      </w:r>
      <w:r w:rsidRPr="0073742B">
        <w:rPr>
          <w:i/>
        </w:rPr>
        <w:t>EC</w:t>
      </w:r>
      <w:r w:rsidRPr="001A6413">
        <w:t xml:space="preserve"> Section 35565 to settle disputes arising from such division of property (5 </w:t>
      </w:r>
      <w:r w:rsidRPr="0073742B">
        <w:rPr>
          <w:i/>
        </w:rPr>
        <w:t>CCR</w:t>
      </w:r>
      <w:r w:rsidRPr="001A6413">
        <w:t xml:space="preserve"> 18573[a][3]).</w:t>
      </w:r>
    </w:p>
    <w:p w14:paraId="3EEC891E" w14:textId="77777777" w:rsidR="001C19A4" w:rsidRDefault="001C19A4" w:rsidP="00922849">
      <w:pPr>
        <w:pStyle w:val="Heading4"/>
        <w:ind w:left="1080"/>
      </w:pPr>
      <w:r w:rsidRPr="00CB5427">
        <w:t>County Committee Review and Evaluation</w:t>
      </w:r>
    </w:p>
    <w:p w14:paraId="13551A85" w14:textId="77777777" w:rsidR="001C19A4" w:rsidRDefault="001C19A4" w:rsidP="005F27A6">
      <w:pPr>
        <w:ind w:left="1080"/>
      </w:pPr>
      <w:r>
        <w:t xml:space="preserve">The </w:t>
      </w:r>
      <w:r w:rsidRPr="004215AA">
        <w:rPr>
          <w:i/>
        </w:rPr>
        <w:t>Feasibility Study</w:t>
      </w:r>
      <w:r>
        <w:t xml:space="preserve"> for this proposal addressed the following issues in the analysis of division of facilities, property, funds, and obligations: </w:t>
      </w:r>
    </w:p>
    <w:p w14:paraId="42E712E5" w14:textId="77777777" w:rsidR="001C19A4" w:rsidRDefault="001C19A4" w:rsidP="00115483">
      <w:pPr>
        <w:pStyle w:val="ListParagraph"/>
        <w:numPr>
          <w:ilvl w:val="0"/>
          <w:numId w:val="9"/>
        </w:numPr>
        <w:spacing w:after="240" w:line="259" w:lineRule="auto"/>
        <w:ind w:left="1440"/>
        <w:contextualSpacing w:val="0"/>
      </w:pPr>
      <w:r>
        <w:t>Real Property</w:t>
      </w:r>
    </w:p>
    <w:p w14:paraId="35CCA5F9" w14:textId="77777777" w:rsidR="001C19A4" w:rsidRDefault="001C19A4" w:rsidP="005F27A6">
      <w:pPr>
        <w:ind w:left="1440"/>
      </w:pPr>
      <w:r>
        <w:t>S</w:t>
      </w:r>
      <w:r w:rsidRPr="00302F61">
        <w:t>tatute</w:t>
      </w:r>
      <w:r>
        <w:t xml:space="preserve"> directs that real property (and personal property and fixtures situated thereat) would become the property of the district in which the real property is located (</w:t>
      </w:r>
      <w:r w:rsidRPr="00302F61">
        <w:rPr>
          <w:i/>
        </w:rPr>
        <w:t>EC</w:t>
      </w:r>
      <w:r>
        <w:t xml:space="preserve"> 35560[a][1]). </w:t>
      </w:r>
      <w:r w:rsidRPr="00B81B63">
        <w:t xml:space="preserve">Consequently, the proposed organization would result in the transfer of eight school sites (653,664 square feet of space and 151 acres) that are located within the territory identified in the petition for the proposed Northgate USD and the transfer would be effective concurrent with the effective date of the reorganization. </w:t>
      </w:r>
      <w:r>
        <w:t xml:space="preserve">The school sites that would become part of the new school district are: </w:t>
      </w:r>
      <w:r>
        <w:lastRenderedPageBreak/>
        <w:t xml:space="preserve">Bancroft Elementary, Castle Rock Elementary (site of Eagle Peak Montessori), Valle Verde Elementary, Walnut Acres Elementary, Foothill Middle, Oak Grove Middle, Northgate High, and Ygnacio Valley High. </w:t>
      </w:r>
      <w:r w:rsidRPr="00B81B63">
        <w:t xml:space="preserve">The report further notes, “The transfer of Oak Gove MS and Ygnacio Valley HS would impact Mt. Diablo USD’s ability to house its student population following reorganization, while the transfer of the former Castle Rock school site will affect the administration of Eagle Peak.” </w:t>
      </w:r>
    </w:p>
    <w:p w14:paraId="0707FF94" w14:textId="77777777" w:rsidR="001C19A4" w:rsidRDefault="001C19A4" w:rsidP="005F27A6">
      <w:pPr>
        <w:ind w:left="1440"/>
      </w:pPr>
      <w:r>
        <w:t xml:space="preserve">Though the petitioners have stated they did not intend for Oak Grove Middle and Ygnacio Valley High to be included in the territory of the proposed Northgate USD, the County Committee determined these two school sites are within the Mt. Diablo USD-specified attendance area for Bancroft Elementary in effect April 24, 2016 and, as such, are part of the territory for the proposed new school district as identified in the petition. </w:t>
      </w:r>
    </w:p>
    <w:p w14:paraId="58E47421" w14:textId="77777777" w:rsidR="001C19A4" w:rsidRPr="00B81B63" w:rsidRDefault="001C19A4" w:rsidP="00115483">
      <w:pPr>
        <w:pStyle w:val="ListParagraph"/>
        <w:numPr>
          <w:ilvl w:val="0"/>
          <w:numId w:val="9"/>
        </w:numPr>
        <w:spacing w:after="240" w:line="259" w:lineRule="auto"/>
        <w:ind w:left="1440"/>
        <w:contextualSpacing w:val="0"/>
      </w:pPr>
      <w:r w:rsidRPr="00B81B63">
        <w:t>Property and Funds</w:t>
      </w:r>
    </w:p>
    <w:p w14:paraId="4F480C00" w14:textId="77777777" w:rsidR="001C19A4" w:rsidRPr="00673000" w:rsidRDefault="001C19A4" w:rsidP="00953B96">
      <w:pPr>
        <w:pStyle w:val="ListParagraph"/>
        <w:spacing w:after="240" w:line="259" w:lineRule="auto"/>
        <w:ind w:left="1440"/>
        <w:contextualSpacing w:val="0"/>
      </w:pPr>
      <w:r>
        <w:t xml:space="preserve">Pursuant to </w:t>
      </w:r>
      <w:r w:rsidRPr="00093704">
        <w:rPr>
          <w:i/>
        </w:rPr>
        <w:t>EC</w:t>
      </w:r>
      <w:r>
        <w:t xml:space="preserve"> Section 35705.5(b), t</w:t>
      </w:r>
      <w:r w:rsidRPr="00673000">
        <w:t xml:space="preserve">he County Committee recommendation for the division of the property, </w:t>
      </w:r>
      <w:r>
        <w:t xml:space="preserve">funds, </w:t>
      </w:r>
      <w:r w:rsidRPr="00673000">
        <w:t>obligations</w:t>
      </w:r>
      <w:r>
        <w:t xml:space="preserve">, and bonded indebtedness </w:t>
      </w:r>
      <w:r w:rsidRPr="00673000">
        <w:t>of the Mt. Diablo USD is as follows:</w:t>
      </w:r>
    </w:p>
    <w:p w14:paraId="3BF6E538" w14:textId="77777777" w:rsidR="001C19A4" w:rsidRPr="00A70604" w:rsidRDefault="001C19A4" w:rsidP="00953B96">
      <w:pPr>
        <w:pStyle w:val="ListParagraph"/>
        <w:spacing w:after="240" w:line="259" w:lineRule="auto"/>
        <w:ind w:left="2160"/>
        <w:contextualSpacing w:val="0"/>
        <w:rPr>
          <w:i/>
        </w:rPr>
      </w:pPr>
      <w:r w:rsidRPr="00A70604">
        <w:rPr>
          <w:i/>
        </w:rPr>
        <w:t>All real property, and personal property and fixtures located thereat, within the boundaries of the proposed Northgate Unified School District territory would become the property of the proposed district. All other property, funds, and obligations, and bonded indebtedness would be divided between Mt. Diablo Unified School District and the proposed district in accordance with applicable provisions of the Education Code. Please refer to EC §35560, 35576, 35736, 35738.</w:t>
      </w:r>
    </w:p>
    <w:p w14:paraId="09C456FC" w14:textId="77777777" w:rsidR="001C19A4" w:rsidRDefault="001C19A4" w:rsidP="005F27A6">
      <w:pPr>
        <w:ind w:left="1440"/>
      </w:pPr>
      <w:r>
        <w:t xml:space="preserve">The </w:t>
      </w:r>
      <w:r w:rsidRPr="004215AA">
        <w:rPr>
          <w:i/>
        </w:rPr>
        <w:t>Feasibility Study</w:t>
      </w:r>
      <w:r>
        <w:t xml:space="preserve"> states that all other property, funds and obligations, other than bonded indebtedness, would be divided pro rata between the districts based on the assessed valuation (AV) of property within each district </w:t>
      </w:r>
      <w:bookmarkStart w:id="3" w:name="_Hlk98145462"/>
      <w:r w:rsidRPr="00A359F3">
        <w:t>(</w:t>
      </w:r>
      <w:r w:rsidRPr="00302F61">
        <w:rPr>
          <w:i/>
        </w:rPr>
        <w:t>EC</w:t>
      </w:r>
      <w:r>
        <w:t xml:space="preserve"> 35560[a][2]) </w:t>
      </w:r>
      <w:bookmarkEnd w:id="3"/>
      <w:r>
        <w:t xml:space="preserve">unless otherwise determined by the SBE </w:t>
      </w:r>
      <w:r w:rsidRPr="00A359F3">
        <w:t>(</w:t>
      </w:r>
      <w:r w:rsidRPr="00302F61">
        <w:rPr>
          <w:i/>
        </w:rPr>
        <w:t>EC</w:t>
      </w:r>
      <w:r>
        <w:t xml:space="preserve"> 35736). </w:t>
      </w:r>
    </w:p>
    <w:p w14:paraId="4C49B985" w14:textId="56C35032" w:rsidR="001C19A4" w:rsidRDefault="001C19A4" w:rsidP="005F27A6">
      <w:pPr>
        <w:ind w:left="1440"/>
      </w:pPr>
      <w:r>
        <w:t xml:space="preserve">The report </w:t>
      </w:r>
      <w:r w:rsidR="001217D3">
        <w:t xml:space="preserve">also </w:t>
      </w:r>
      <w:r>
        <w:t>notes that the district’s school buses are subject to division</w:t>
      </w:r>
      <w:r w:rsidR="0090642A">
        <w:t>,</w:t>
      </w:r>
      <w:r>
        <w:t xml:space="preserve"> as are non-site-specific personal property (</w:t>
      </w:r>
      <w:r w:rsidRPr="008C0E40">
        <w:t>e.g.</w:t>
      </w:r>
      <w:r>
        <w:t xml:space="preserve">, equipment and vehicles in use by the district office, maintenance and operations, and transportation). </w:t>
      </w:r>
      <w:r w:rsidRPr="00B967E6">
        <w:t>At the time of its analysis in 2017, SSC estimated that the Northgate territory AV was 17.9 percent of the AV of the entire existing Mt. Diablo USD territory</w:t>
      </w:r>
      <w:r>
        <w:t>. Approximately</w:t>
      </w:r>
      <w:r w:rsidRPr="00E31F02">
        <w:t xml:space="preserve"> $1.</w:t>
      </w:r>
      <w:r>
        <w:t>9</w:t>
      </w:r>
      <w:r w:rsidRPr="00E31F02">
        <w:t xml:space="preserve">9 million in personal property would be attributable to the proposed Northgate USD if allocated based on </w:t>
      </w:r>
      <w:r>
        <w:lastRenderedPageBreak/>
        <w:t>AV</w:t>
      </w:r>
      <w:r w:rsidRPr="00E31F02">
        <w:t xml:space="preserve"> or $1.</w:t>
      </w:r>
      <w:r>
        <w:t>5</w:t>
      </w:r>
      <w:r w:rsidRPr="00E31F02">
        <w:t xml:space="preserve">9 million if based on </w:t>
      </w:r>
      <w:r>
        <w:t>enrollment, which was 14.3 percent at the time of the estimate</w:t>
      </w:r>
      <w:r w:rsidRPr="00E31F02">
        <w:t>.</w:t>
      </w:r>
    </w:p>
    <w:p w14:paraId="435EF118" w14:textId="3042144F" w:rsidR="001C19A4" w:rsidRDefault="001C19A4" w:rsidP="005F27A6">
      <w:pPr>
        <w:ind w:left="1440"/>
      </w:pPr>
      <w:r w:rsidRPr="00BA6782">
        <w:t>The petitioners propose division on the basis of average daily attendance (ADA)</w:t>
      </w:r>
      <w:r>
        <w:t>, which they note was 13.7 percent for the Northgate area as of 2015–16.</w:t>
      </w:r>
      <w:r w:rsidR="0024655D">
        <w:t xml:space="preserve"> </w:t>
      </w:r>
    </w:p>
    <w:p w14:paraId="2C53EE07" w14:textId="77777777" w:rsidR="001C19A4" w:rsidRDefault="001C19A4" w:rsidP="00115483">
      <w:pPr>
        <w:pStyle w:val="ListParagraph"/>
        <w:numPr>
          <w:ilvl w:val="0"/>
          <w:numId w:val="9"/>
        </w:numPr>
        <w:spacing w:after="240"/>
        <w:ind w:left="1440"/>
        <w:contextualSpacing w:val="0"/>
      </w:pPr>
      <w:r>
        <w:t>Bonded Indebtedness</w:t>
      </w:r>
    </w:p>
    <w:p w14:paraId="2ADF40E3" w14:textId="77777777" w:rsidR="001C19A4" w:rsidRDefault="001C19A4" w:rsidP="005F27A6">
      <w:pPr>
        <w:ind w:left="1440"/>
      </w:pPr>
      <w:r>
        <w:t xml:space="preserve">If a Northgate unified district is formed, the outstanding bonded indebtedness of the Mt. Diablo USD would be divided between the remaining portion of that district and the Northgate district pursuant to provisions in the </w:t>
      </w:r>
      <w:r w:rsidRPr="008B7BD4">
        <w:rPr>
          <w:i/>
        </w:rPr>
        <w:t>Education Code</w:t>
      </w:r>
      <w:r>
        <w:t xml:space="preserve">. </w:t>
      </w:r>
    </w:p>
    <w:p w14:paraId="51C8FCBC" w14:textId="77777777" w:rsidR="001C19A4" w:rsidRDefault="001C19A4" w:rsidP="005F27A6">
      <w:pPr>
        <w:ind w:left="1440"/>
      </w:pPr>
      <w:r w:rsidRPr="008B7BD4">
        <w:rPr>
          <w:i/>
        </w:rPr>
        <w:t>EC</w:t>
      </w:r>
      <w:r>
        <w:t xml:space="preserve"> Section 35576 provides that the Northgate district would be liable for the greater of the following:</w:t>
      </w:r>
    </w:p>
    <w:p w14:paraId="2694A1F3" w14:textId="77777777" w:rsidR="001C19A4" w:rsidRDefault="001C19A4" w:rsidP="001C19A4">
      <w:pPr>
        <w:pStyle w:val="ListParagraph"/>
        <w:numPr>
          <w:ilvl w:val="1"/>
          <w:numId w:val="10"/>
        </w:numPr>
        <w:spacing w:after="240" w:line="259" w:lineRule="auto"/>
        <w:ind w:hanging="360"/>
        <w:contextualSpacing w:val="0"/>
      </w:pPr>
      <w:r>
        <w:t>A pro rata share of outstanding bonded indebtedness based upon the ratio of the Northgate district’s AV to the AV of the Mt. Diablo USD; or</w:t>
      </w:r>
    </w:p>
    <w:p w14:paraId="2F159F1A" w14:textId="77777777" w:rsidR="001C19A4" w:rsidRDefault="001C19A4" w:rsidP="001C19A4">
      <w:pPr>
        <w:pStyle w:val="ListParagraph"/>
        <w:numPr>
          <w:ilvl w:val="1"/>
          <w:numId w:val="10"/>
        </w:numPr>
        <w:spacing w:after="240" w:line="259" w:lineRule="auto"/>
        <w:ind w:hanging="360"/>
        <w:contextualSpacing w:val="0"/>
      </w:pPr>
      <w:r>
        <w:t xml:space="preserve">The portion of outstanding bonded indebtedness incurred for acquisition or improvement of real property within the boundaries of the new Northgate district. </w:t>
      </w:r>
    </w:p>
    <w:p w14:paraId="6B856848" w14:textId="77777777" w:rsidR="001C19A4" w:rsidRDefault="001C19A4" w:rsidP="005F27A6">
      <w:pPr>
        <w:ind w:left="1440"/>
      </w:pPr>
      <w:r w:rsidRPr="00C43D03">
        <w:rPr>
          <w:i/>
        </w:rPr>
        <w:t>EC</w:t>
      </w:r>
      <w:r>
        <w:t xml:space="preserve"> Section</w:t>
      </w:r>
      <w:r w:rsidRPr="00C43D03">
        <w:t xml:space="preserve"> 35738 provides </w:t>
      </w:r>
      <w:r>
        <w:t xml:space="preserve">for the use of </w:t>
      </w:r>
      <w:r w:rsidRPr="00C43D03">
        <w:t>alternative methods of dividing the bonded indebtedness other than that specified above</w:t>
      </w:r>
      <w:r>
        <w:t xml:space="preserve"> as deemed pertinent by the petitioners or the county committee</w:t>
      </w:r>
      <w:r w:rsidRPr="00C43D03">
        <w:t xml:space="preserve">. </w:t>
      </w:r>
    </w:p>
    <w:p w14:paraId="77FE8910" w14:textId="77777777" w:rsidR="001C19A4" w:rsidRDefault="001C19A4" w:rsidP="005F27A6">
      <w:pPr>
        <w:ind w:left="1440"/>
      </w:pPr>
      <w:r>
        <w:t>Using the pro rata method and the estimated 17.9 percent AV for the Northgate territory, the proposed district’s share of the Mt. Diablo USD’s $500 million in outstanding bonded indebtedness was $89.5 million in 2017. No data was provided regarding the estimated liability under the second method. T</w:t>
      </w:r>
      <w:r w:rsidRPr="00851483">
        <w:t xml:space="preserve">he </w:t>
      </w:r>
      <w:r>
        <w:t>bonded indebtedness of the remaining portion of Mt. Diablo USD’s would not exceed 5 percent of its estimated AV (</w:t>
      </w:r>
      <w:r w:rsidRPr="00851483">
        <w:rPr>
          <w:i/>
        </w:rPr>
        <w:t>EC</w:t>
      </w:r>
      <w:r>
        <w:t xml:space="preserve"> 35572). </w:t>
      </w:r>
    </w:p>
    <w:p w14:paraId="7ADD3534" w14:textId="6450CE46" w:rsidR="001C19A4" w:rsidRPr="00D125C4" w:rsidRDefault="0090642A" w:rsidP="005F27A6">
      <w:pPr>
        <w:ind w:left="1440"/>
      </w:pPr>
      <w:r>
        <w:t xml:space="preserve">Pursuant to </w:t>
      </w:r>
      <w:r>
        <w:rPr>
          <w:i/>
        </w:rPr>
        <w:t>EC</w:t>
      </w:r>
      <w:r>
        <w:t xml:space="preserve"> 35560(a)(2), t</w:t>
      </w:r>
      <w:r w:rsidR="001C19A4">
        <w:t>he proposed Northgate USD would receive a proportionate share of any unspent bond proceeds for use on project</w:t>
      </w:r>
      <w:r>
        <w:t>s</w:t>
      </w:r>
      <w:r w:rsidR="001C19A4">
        <w:t xml:space="preserve"> consistent with the measure that generated those funds. SSC estimated in 2017 that Northgate’s share based on AV would be $8 million.</w:t>
      </w:r>
    </w:p>
    <w:p w14:paraId="57A46817" w14:textId="27DB58E6" w:rsidR="001C19A4" w:rsidRPr="00953B96" w:rsidRDefault="001C19A4" w:rsidP="00953B96">
      <w:pPr>
        <w:ind w:left="1440"/>
      </w:pPr>
      <w:r>
        <w:t>As noted in section (b), above, t</w:t>
      </w:r>
      <w:r w:rsidRPr="00D125C4">
        <w:t xml:space="preserve">he </w:t>
      </w:r>
      <w:r>
        <w:t>County Committee</w:t>
      </w:r>
      <w:r w:rsidRPr="00D125C4">
        <w:t xml:space="preserve"> recommend</w:t>
      </w:r>
      <w:r>
        <w:t xml:space="preserve">ed the division of the district’s </w:t>
      </w:r>
      <w:r w:rsidRPr="00D125C4">
        <w:t>bonded indebtednes</w:t>
      </w:r>
      <w:r>
        <w:t xml:space="preserve">s in accordance with </w:t>
      </w:r>
      <w:r w:rsidRPr="004742A1">
        <w:rPr>
          <w:i/>
        </w:rPr>
        <w:t>EC</w:t>
      </w:r>
      <w:r>
        <w:t xml:space="preserve"> </w:t>
      </w:r>
      <w:r>
        <w:lastRenderedPageBreak/>
        <w:t xml:space="preserve">Section 35576. The petitioners have expressed support for division according to the pro rata share of AV. </w:t>
      </w:r>
    </w:p>
    <w:p w14:paraId="593A1804" w14:textId="52CAED05" w:rsidR="001C19A4" w:rsidRPr="0011648B" w:rsidRDefault="001C19A4" w:rsidP="00115483">
      <w:pPr>
        <w:pStyle w:val="ListParagraph"/>
        <w:numPr>
          <w:ilvl w:val="0"/>
          <w:numId w:val="9"/>
        </w:numPr>
        <w:spacing w:after="240"/>
        <w:ind w:left="1440"/>
        <w:contextualSpacing w:val="0"/>
      </w:pPr>
      <w:r w:rsidRPr="0011648B">
        <w:t>Community Facilities District</w:t>
      </w:r>
    </w:p>
    <w:p w14:paraId="24B82D3E" w14:textId="4092BFEC" w:rsidR="001C19A4" w:rsidRPr="00DA3E67" w:rsidRDefault="001C19A4" w:rsidP="005F27A6">
      <w:pPr>
        <w:ind w:left="1440"/>
        <w:rPr>
          <w:highlight w:val="yellow"/>
        </w:rPr>
      </w:pPr>
      <w:r w:rsidRPr="0011648B">
        <w:t xml:space="preserve">The Mt. Diablo USD has a community facilities district (CFD) that spans its entire territory. </w:t>
      </w:r>
      <w:r>
        <w:t xml:space="preserve">The </w:t>
      </w:r>
      <w:r w:rsidRPr="004215AA">
        <w:rPr>
          <w:i/>
        </w:rPr>
        <w:t>Feasibility Study</w:t>
      </w:r>
      <w:r>
        <w:t xml:space="preserve"> notes that </w:t>
      </w:r>
      <w:r w:rsidRPr="00990D29">
        <w:rPr>
          <w:i/>
        </w:rPr>
        <w:t>Government Code</w:t>
      </w:r>
      <w:r>
        <w:rPr>
          <w:i/>
        </w:rPr>
        <w:t xml:space="preserve"> </w:t>
      </w:r>
      <w:r w:rsidRPr="009375B1">
        <w:t>(</w:t>
      </w:r>
      <w:r>
        <w:rPr>
          <w:i/>
        </w:rPr>
        <w:t>GC</w:t>
      </w:r>
      <w:r w:rsidRPr="009375B1">
        <w:t>)</w:t>
      </w:r>
      <w:r>
        <w:rPr>
          <w:i/>
        </w:rPr>
        <w:t xml:space="preserve"> </w:t>
      </w:r>
      <w:r>
        <w:t xml:space="preserve">Section 53338.5 provides for the dissolution of a CFD and </w:t>
      </w:r>
      <w:r w:rsidRPr="004742A1">
        <w:rPr>
          <w:i/>
        </w:rPr>
        <w:t>GC</w:t>
      </w:r>
      <w:r>
        <w:t xml:space="preserve"> Section 53368 </w:t>
      </w:r>
      <w:r w:rsidRPr="00D41F3A">
        <w:rPr>
          <w:i/>
        </w:rPr>
        <w:t>et seq</w:t>
      </w:r>
      <w:r>
        <w:t xml:space="preserve"> provides for the transfer of a CFD from the jurisdiction of a county to a city; however, “</w:t>
      </w:r>
      <w:r w:rsidRPr="00EE512A">
        <w:t>cur</w:t>
      </w:r>
      <w:r>
        <w:t>re</w:t>
      </w:r>
      <w:r w:rsidRPr="00EE512A">
        <w:t>nt state law provides no guidance for transfer or division of a CFD among school districts.</w:t>
      </w:r>
      <w:r>
        <w:t>” As a result, there is no recommendation as to how to divide the CFD or even if there is authority under current law</w:t>
      </w:r>
      <w:r w:rsidRPr="003F5A5C">
        <w:t xml:space="preserve"> </w:t>
      </w:r>
      <w:r>
        <w:t xml:space="preserve">to divide it. The </w:t>
      </w:r>
      <w:r w:rsidR="00D316F1" w:rsidRPr="005444BA">
        <w:rPr>
          <w:i/>
        </w:rPr>
        <w:t>Feasibility Study</w:t>
      </w:r>
      <w:r w:rsidR="00D316F1">
        <w:t xml:space="preserve"> </w:t>
      </w:r>
      <w:r>
        <w:t>recommends the Mt. Diablo USD and the petitioners for the proposed Northgate USD each consult legal counsel on this issue as there is potential for legal challenge due to the absence of clear statutory authority.</w:t>
      </w:r>
    </w:p>
    <w:p w14:paraId="48AC6A8E" w14:textId="77777777" w:rsidR="001C19A4" w:rsidRPr="00673000" w:rsidRDefault="001C19A4" w:rsidP="00115483">
      <w:pPr>
        <w:pStyle w:val="ListParagraph"/>
        <w:numPr>
          <w:ilvl w:val="0"/>
          <w:numId w:val="9"/>
        </w:numPr>
        <w:spacing w:after="240" w:line="259" w:lineRule="auto"/>
        <w:ind w:left="1440"/>
        <w:contextualSpacing w:val="0"/>
      </w:pPr>
      <w:r w:rsidRPr="00673000">
        <w:t>County Committee Finding</w:t>
      </w:r>
    </w:p>
    <w:p w14:paraId="1980AAEC" w14:textId="0990452D" w:rsidR="001C19A4" w:rsidRPr="00DA3E67" w:rsidRDefault="001C19A4" w:rsidP="005F27A6">
      <w:pPr>
        <w:ind w:left="1440"/>
      </w:pPr>
      <w:r w:rsidRPr="00673000">
        <w:t>SSC found that the proposal does not substantially meet this condition. The</w:t>
      </w:r>
      <w:r>
        <w:t xml:space="preserve"> </w:t>
      </w:r>
      <w:r w:rsidRPr="004215AA">
        <w:rPr>
          <w:i/>
        </w:rPr>
        <w:t>Feasibility Study</w:t>
      </w:r>
      <w:r w:rsidRPr="00673000">
        <w:t xml:space="preserve"> specifically attributed its conclusion </w:t>
      </w:r>
      <w:r>
        <w:t>that there would be an</w:t>
      </w:r>
      <w:r w:rsidRPr="00673000">
        <w:t xml:space="preserve"> inequitable division of property </w:t>
      </w:r>
      <w:r>
        <w:t>and facilities</w:t>
      </w:r>
      <w:r w:rsidR="000314AB">
        <w:t xml:space="preserve"> </w:t>
      </w:r>
      <w:r>
        <w:t xml:space="preserve">to </w:t>
      </w:r>
      <w:r w:rsidRPr="00673000">
        <w:t>the inclusion of the Oak Grove Middle and Ygnacio Valley High sites</w:t>
      </w:r>
      <w:r w:rsidR="000314AB">
        <w:t xml:space="preserve"> in the proposed Northgate district</w:t>
      </w:r>
      <w:r w:rsidRPr="00673000">
        <w:t xml:space="preserve"> without their attendance areas, which would result in excess student capacity for the Northgate area and insufficient </w:t>
      </w:r>
      <w:r w:rsidRPr="00DA3E67">
        <w:t xml:space="preserve">capacity to serve students in the remainder of the Mt. Diablo USD. </w:t>
      </w:r>
    </w:p>
    <w:p w14:paraId="7829D155" w14:textId="77777777" w:rsidR="001C19A4" w:rsidRDefault="001C19A4" w:rsidP="005F27A6">
      <w:pPr>
        <w:ind w:left="1440"/>
      </w:pPr>
      <w:r w:rsidRPr="00DA3E67">
        <w:t>The County Committee voted (3-1-1) that this condition is not substantially met.</w:t>
      </w:r>
    </w:p>
    <w:p w14:paraId="7750B385" w14:textId="77777777" w:rsidR="001C19A4" w:rsidRPr="00CB5427" w:rsidRDefault="001C19A4" w:rsidP="00922849">
      <w:pPr>
        <w:pStyle w:val="Heading4"/>
        <w:ind w:left="1080"/>
      </w:pPr>
      <w:r>
        <w:t>CDE Findings/Conclusion</w:t>
      </w:r>
    </w:p>
    <w:p w14:paraId="6E03E914" w14:textId="35EAA34A" w:rsidR="001C19A4" w:rsidRDefault="001C19A4" w:rsidP="005F27A6">
      <w:pPr>
        <w:ind w:left="1080"/>
      </w:pPr>
      <w:r>
        <w:t xml:space="preserve">The CDE finds that existing </w:t>
      </w:r>
      <w:r w:rsidRPr="002445C1">
        <w:rPr>
          <w:i/>
        </w:rPr>
        <w:t>Education Code</w:t>
      </w:r>
      <w:r>
        <w:t xml:space="preserve"> provisions may be utilized to achieve equitable distribution of relevant property, funds, and obligations of the Mt. Diablo USD, with the exception of its facilities.</w:t>
      </w:r>
      <w:r w:rsidR="0024655D">
        <w:t xml:space="preserve"> </w:t>
      </w:r>
    </w:p>
    <w:p w14:paraId="27119688" w14:textId="77777777" w:rsidR="001C19A4" w:rsidRPr="004E1C2D" w:rsidRDefault="001C19A4" w:rsidP="005F27A6">
      <w:pPr>
        <w:ind w:left="1080"/>
      </w:pPr>
      <w:r w:rsidRPr="004E1C2D">
        <w:t xml:space="preserve">As discussed previously, the petition </w:t>
      </w:r>
      <w:r>
        <w:t>identifies</w:t>
      </w:r>
      <w:r w:rsidRPr="004E1C2D">
        <w:t xml:space="preserve"> the territory of the proposed Northgate USD</w:t>
      </w:r>
      <w:r>
        <w:t xml:space="preserve"> as</w:t>
      </w:r>
      <w:r w:rsidRPr="004E1C2D">
        <w:t xml:space="preserve"> the attendance areas of five schools</w:t>
      </w:r>
      <w:r>
        <w:t xml:space="preserve"> (Bancroft Elementary, Valle Verde Elementary, Walnut Acres Elementary, Foothill Middle, and Northgate High)</w:t>
      </w:r>
      <w:r w:rsidRPr="004E1C2D">
        <w:t>. The attendance area of Bancroft Elementary</w:t>
      </w:r>
      <w:r>
        <w:t xml:space="preserve"> </w:t>
      </w:r>
      <w:r w:rsidRPr="004E1C2D">
        <w:t xml:space="preserve">includes two other Mt. Diablo USD school sites: Oak Grove Middle and Ygnacio Valley High. The majority of the attendance areas of those two schools are outside of the Northgate USD territory, which means the school facilities would belong </w:t>
      </w:r>
      <w:r w:rsidRPr="004E1C2D">
        <w:lastRenderedPageBreak/>
        <w:t xml:space="preserve">to Northgate USD but the students would </w:t>
      </w:r>
      <w:r>
        <w:t>be</w:t>
      </w:r>
      <w:r w:rsidRPr="004E1C2D">
        <w:t xml:space="preserve"> residents of the Mt. Diablo USD</w:t>
      </w:r>
      <w:r>
        <w:t xml:space="preserve"> and attend its remaining schools</w:t>
      </w:r>
      <w:r w:rsidRPr="004E1C2D">
        <w:t xml:space="preserve">. </w:t>
      </w:r>
    </w:p>
    <w:p w14:paraId="68C8B965" w14:textId="11BC759C" w:rsidR="001C19A4" w:rsidRDefault="001C19A4" w:rsidP="005F27A6">
      <w:pPr>
        <w:ind w:left="1080"/>
        <w:rPr>
          <w:highlight w:val="yellow"/>
        </w:rPr>
      </w:pPr>
      <w:r>
        <w:t xml:space="preserve">CDE staff compared </w:t>
      </w:r>
      <w:r w:rsidRPr="004E1C2D">
        <w:t>the student capacity</w:t>
      </w:r>
      <w:r>
        <w:t xml:space="preserve"> of the seven schools and the enrollment of the five schools whose attendance areas are part</w:t>
      </w:r>
      <w:r w:rsidRPr="004E1C2D">
        <w:t xml:space="preserve"> of the </w:t>
      </w:r>
      <w:r>
        <w:t xml:space="preserve">proposed Northgate USD. The totals by school type are shown in table 3. It should be noted that the excess capacity identified in </w:t>
      </w:r>
      <w:r w:rsidR="00226EBB">
        <w:t>T</w:t>
      </w:r>
      <w:r>
        <w:t xml:space="preserve">able 3 differs from </w:t>
      </w:r>
      <w:r w:rsidR="002C1821">
        <w:t>A</w:t>
      </w:r>
      <w:r>
        <w:t xml:space="preserve">ttachment 4 because </w:t>
      </w:r>
      <w:r w:rsidR="002C1821">
        <w:t>T</w:t>
      </w:r>
      <w:r>
        <w:t xml:space="preserve">able 3 uses more recent enrollment data and </w:t>
      </w:r>
      <w:r w:rsidR="002C1821">
        <w:t>T</w:t>
      </w:r>
      <w:r>
        <w:t>able 3 excludes the enrollment of Oak Grove Middle and Ygnacio Valley High because those students will remain residents of the Mt. Diablo USD.</w:t>
      </w:r>
    </w:p>
    <w:p w14:paraId="777D374C" w14:textId="0B8AC352" w:rsidR="001C19A4" w:rsidRPr="00FC6DA8" w:rsidRDefault="001C19A4" w:rsidP="00A73A6F">
      <w:pPr>
        <w:pStyle w:val="Heading4"/>
        <w:ind w:left="720" w:firstLine="360"/>
      </w:pPr>
      <w:r w:rsidRPr="00FC6DA8">
        <w:t>Table</w:t>
      </w:r>
      <w:r>
        <w:t xml:space="preserve"> 3. </w:t>
      </w:r>
      <w:r w:rsidRPr="002445C1">
        <w:t xml:space="preserve">Capacity and Enrollment </w:t>
      </w:r>
      <w:r>
        <w:t>of the</w:t>
      </w:r>
      <w:r w:rsidRPr="002445C1">
        <w:t xml:space="preserve"> Proposed </w:t>
      </w:r>
      <w:r>
        <w:t>Northgate USD</w:t>
      </w:r>
    </w:p>
    <w:tbl>
      <w:tblPr>
        <w:tblStyle w:val="ListTable3"/>
        <w:tblW w:w="8280" w:type="dxa"/>
        <w:tblInd w:w="1075" w:type="dxa"/>
        <w:tblLayout w:type="fixed"/>
        <w:tblCellMar>
          <w:top w:w="115" w:type="dxa"/>
          <w:left w:w="115" w:type="dxa"/>
          <w:bottom w:w="115" w:type="dxa"/>
          <w:right w:w="115" w:type="dxa"/>
        </w:tblCellMar>
        <w:tblLook w:val="04A0" w:firstRow="1" w:lastRow="0" w:firstColumn="1" w:lastColumn="0" w:noHBand="0" w:noVBand="1"/>
        <w:tblDescription w:val="This table depicts the calculated annual growth rate of total enrollment for the proposed Northgate USD and the remaining portion of Mt. Diablo USD.  "/>
      </w:tblPr>
      <w:tblGrid>
        <w:gridCol w:w="2160"/>
        <w:gridCol w:w="2040"/>
        <w:gridCol w:w="2040"/>
        <w:gridCol w:w="2040"/>
      </w:tblGrid>
      <w:tr w:rsidR="001C19A4" w:rsidRPr="00426D7D" w14:paraId="69211FE8" w14:textId="77777777" w:rsidTr="00E11B67">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BF561F" w14:textId="77777777" w:rsidR="001C19A4" w:rsidRPr="005807FD" w:rsidRDefault="001C19A4" w:rsidP="005F27A6">
            <w:pPr>
              <w:spacing w:after="0"/>
              <w:jc w:val="center"/>
              <w:rPr>
                <w:b w:val="0"/>
                <w:bCs w:val="0"/>
                <w:color w:val="auto"/>
              </w:rPr>
            </w:pPr>
            <w:r>
              <w:rPr>
                <w:color w:val="auto"/>
              </w:rPr>
              <w:t>School Type</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7B24F" w14:textId="77777777" w:rsidR="001C19A4" w:rsidRPr="005807FD"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 xml:space="preserve">Student </w:t>
            </w:r>
            <w:r w:rsidRPr="005807FD">
              <w:rPr>
                <w:color w:val="auto"/>
              </w:rPr>
              <w:t>Capacity</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072BE" w14:textId="77777777" w:rsidR="001C19A4" w:rsidRPr="005807FD"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Enrollment</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EA809" w14:textId="77777777" w:rsidR="001C19A4" w:rsidRPr="005807FD" w:rsidRDefault="001C19A4" w:rsidP="005F27A6">
            <w:pPr>
              <w:spacing w:after="0"/>
              <w:jc w:val="center"/>
              <w:cnfStyle w:val="100000000000" w:firstRow="1" w:lastRow="0" w:firstColumn="0" w:lastColumn="0" w:oddVBand="0" w:evenVBand="0" w:oddHBand="0" w:evenHBand="0" w:firstRowFirstColumn="0" w:firstRowLastColumn="0" w:lastRowFirstColumn="0" w:lastRowLastColumn="0"/>
              <w:rPr>
                <w:b w:val="0"/>
                <w:color w:val="auto"/>
              </w:rPr>
            </w:pPr>
            <w:r w:rsidRPr="005807FD">
              <w:rPr>
                <w:color w:val="auto"/>
              </w:rPr>
              <w:t>Unused Space</w:t>
            </w:r>
          </w:p>
        </w:tc>
      </w:tr>
      <w:tr w:rsidR="001C19A4" w:rsidRPr="00553703" w14:paraId="388F5EE4" w14:textId="77777777" w:rsidTr="00E11B67">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noWrap/>
            <w:hideMark/>
          </w:tcPr>
          <w:p w14:paraId="36D201CA" w14:textId="77777777" w:rsidR="001C19A4" w:rsidRPr="00426D7D" w:rsidRDefault="001C19A4" w:rsidP="005F27A6">
            <w:pPr>
              <w:spacing w:after="0"/>
              <w:rPr>
                <w:b w:val="0"/>
                <w:color w:val="000000"/>
              </w:rPr>
            </w:pPr>
            <w:r w:rsidRPr="00DF10E0">
              <w:t>Elementary</w:t>
            </w:r>
          </w:p>
        </w:tc>
        <w:tc>
          <w:tcPr>
            <w:tcW w:w="2040" w:type="dxa"/>
            <w:tcBorders>
              <w:top w:val="single" w:sz="4" w:space="0" w:color="auto"/>
              <w:left w:val="single" w:sz="4" w:space="0" w:color="auto"/>
              <w:bottom w:val="single" w:sz="4" w:space="0" w:color="auto"/>
              <w:right w:val="single" w:sz="4" w:space="0" w:color="auto"/>
            </w:tcBorders>
            <w:noWrap/>
            <w:hideMark/>
          </w:tcPr>
          <w:p w14:paraId="319B7B8C" w14:textId="77777777" w:rsidR="001C19A4" w:rsidRPr="00553703"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rPr>
                <w:color w:val="000000"/>
              </w:rPr>
            </w:pPr>
            <w:r w:rsidRPr="00DF10E0">
              <w:t>1,</w:t>
            </w:r>
            <w:r>
              <w:t>967</w:t>
            </w:r>
          </w:p>
        </w:tc>
        <w:tc>
          <w:tcPr>
            <w:tcW w:w="2040" w:type="dxa"/>
            <w:tcBorders>
              <w:top w:val="single" w:sz="4" w:space="0" w:color="auto"/>
              <w:left w:val="single" w:sz="4" w:space="0" w:color="auto"/>
              <w:bottom w:val="single" w:sz="4" w:space="0" w:color="auto"/>
              <w:right w:val="single" w:sz="4" w:space="0" w:color="auto"/>
            </w:tcBorders>
          </w:tcPr>
          <w:p w14:paraId="34DF898B" w14:textId="77777777" w:rsidR="001C19A4"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1,698</w:t>
            </w:r>
          </w:p>
        </w:tc>
        <w:tc>
          <w:tcPr>
            <w:tcW w:w="2040" w:type="dxa"/>
            <w:tcBorders>
              <w:top w:val="single" w:sz="4" w:space="0" w:color="auto"/>
              <w:left w:val="single" w:sz="4" w:space="0" w:color="auto"/>
              <w:bottom w:val="single" w:sz="4" w:space="0" w:color="auto"/>
              <w:right w:val="single" w:sz="4" w:space="0" w:color="auto"/>
            </w:tcBorders>
          </w:tcPr>
          <w:p w14:paraId="7EAC719C" w14:textId="77777777" w:rsidR="001C19A4"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rPr>
                <w:color w:val="000000"/>
              </w:rPr>
            </w:pPr>
            <w:r w:rsidRPr="00BB1EA4">
              <w:t>269</w:t>
            </w:r>
          </w:p>
        </w:tc>
      </w:tr>
      <w:tr w:rsidR="001C19A4" w:rsidRPr="00553703" w14:paraId="705E933D" w14:textId="77777777" w:rsidTr="00E11B67">
        <w:trPr>
          <w:trHeight w:val="15"/>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noWrap/>
          </w:tcPr>
          <w:p w14:paraId="6F3815FC" w14:textId="77777777" w:rsidR="001C19A4" w:rsidRPr="00426D7D" w:rsidRDefault="001C19A4" w:rsidP="005F27A6">
            <w:pPr>
              <w:spacing w:after="0"/>
              <w:rPr>
                <w:b w:val="0"/>
                <w:color w:val="000000"/>
              </w:rPr>
            </w:pPr>
            <w:r w:rsidRPr="00DF10E0">
              <w:t>Middle</w:t>
            </w:r>
          </w:p>
        </w:tc>
        <w:tc>
          <w:tcPr>
            <w:tcW w:w="2040" w:type="dxa"/>
            <w:tcBorders>
              <w:top w:val="single" w:sz="4" w:space="0" w:color="auto"/>
              <w:left w:val="single" w:sz="4" w:space="0" w:color="auto"/>
              <w:bottom w:val="single" w:sz="4" w:space="0" w:color="auto"/>
              <w:right w:val="single" w:sz="4" w:space="0" w:color="auto"/>
            </w:tcBorders>
            <w:noWrap/>
          </w:tcPr>
          <w:p w14:paraId="55B0577C" w14:textId="77777777" w:rsidR="001C19A4" w:rsidRPr="00553703"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rPr>
                <w:color w:val="000000"/>
              </w:rPr>
            </w:pPr>
            <w:r>
              <w:t>2</w:t>
            </w:r>
            <w:r w:rsidRPr="00DF10E0">
              <w:t>,</w:t>
            </w:r>
            <w:r>
              <w:t>0</w:t>
            </w:r>
            <w:r w:rsidRPr="00DF10E0">
              <w:t>2</w:t>
            </w:r>
            <w:r>
              <w:t>4</w:t>
            </w:r>
          </w:p>
        </w:tc>
        <w:tc>
          <w:tcPr>
            <w:tcW w:w="2040" w:type="dxa"/>
            <w:tcBorders>
              <w:top w:val="single" w:sz="4" w:space="0" w:color="auto"/>
              <w:left w:val="single" w:sz="4" w:space="0" w:color="auto"/>
              <w:bottom w:val="single" w:sz="4" w:space="0" w:color="auto"/>
              <w:right w:val="single" w:sz="4" w:space="0" w:color="auto"/>
            </w:tcBorders>
          </w:tcPr>
          <w:p w14:paraId="69192276" w14:textId="77777777" w:rsidR="001C19A4"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828</w:t>
            </w:r>
          </w:p>
        </w:tc>
        <w:tc>
          <w:tcPr>
            <w:tcW w:w="2040" w:type="dxa"/>
            <w:tcBorders>
              <w:top w:val="single" w:sz="4" w:space="0" w:color="auto"/>
              <w:left w:val="single" w:sz="4" w:space="0" w:color="auto"/>
              <w:bottom w:val="single" w:sz="4" w:space="0" w:color="auto"/>
              <w:right w:val="single" w:sz="4" w:space="0" w:color="auto"/>
            </w:tcBorders>
          </w:tcPr>
          <w:p w14:paraId="044BF0B9" w14:textId="77777777" w:rsidR="001C19A4"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rPr>
                <w:color w:val="000000"/>
              </w:rPr>
            </w:pPr>
            <w:r>
              <w:t>1,1</w:t>
            </w:r>
            <w:r w:rsidRPr="00BB1EA4">
              <w:t>96</w:t>
            </w:r>
          </w:p>
        </w:tc>
      </w:tr>
      <w:tr w:rsidR="001C19A4" w:rsidRPr="004C559A" w14:paraId="19E9E292" w14:textId="77777777" w:rsidTr="00E11B67">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noWrap/>
          </w:tcPr>
          <w:p w14:paraId="7743878A" w14:textId="77777777" w:rsidR="001C19A4" w:rsidRPr="00426D7D" w:rsidRDefault="001C19A4" w:rsidP="005F27A6">
            <w:pPr>
              <w:spacing w:after="0"/>
              <w:rPr>
                <w:b w:val="0"/>
                <w:color w:val="000000"/>
              </w:rPr>
            </w:pPr>
            <w:r w:rsidRPr="00DF10E0">
              <w:t>High School</w:t>
            </w:r>
          </w:p>
        </w:tc>
        <w:tc>
          <w:tcPr>
            <w:tcW w:w="2040" w:type="dxa"/>
            <w:tcBorders>
              <w:top w:val="single" w:sz="4" w:space="0" w:color="auto"/>
              <w:left w:val="single" w:sz="4" w:space="0" w:color="auto"/>
              <w:bottom w:val="single" w:sz="4" w:space="0" w:color="auto"/>
              <w:right w:val="single" w:sz="4" w:space="0" w:color="auto"/>
            </w:tcBorders>
            <w:noWrap/>
          </w:tcPr>
          <w:p w14:paraId="74B3A70D" w14:textId="77777777" w:rsidR="001C19A4" w:rsidRPr="00426D7D"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pPr>
            <w:r>
              <w:t>3,352</w:t>
            </w:r>
          </w:p>
        </w:tc>
        <w:tc>
          <w:tcPr>
            <w:tcW w:w="2040" w:type="dxa"/>
            <w:tcBorders>
              <w:top w:val="single" w:sz="4" w:space="0" w:color="auto"/>
              <w:left w:val="single" w:sz="4" w:space="0" w:color="auto"/>
              <w:bottom w:val="single" w:sz="4" w:space="0" w:color="auto"/>
              <w:right w:val="single" w:sz="4" w:space="0" w:color="auto"/>
            </w:tcBorders>
          </w:tcPr>
          <w:p w14:paraId="2B1C898C" w14:textId="77777777" w:rsidR="001C19A4" w:rsidRPr="00426D7D"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pPr>
            <w:r>
              <w:t>1,492</w:t>
            </w:r>
          </w:p>
        </w:tc>
        <w:tc>
          <w:tcPr>
            <w:tcW w:w="2040" w:type="dxa"/>
            <w:tcBorders>
              <w:top w:val="single" w:sz="4" w:space="0" w:color="auto"/>
              <w:left w:val="single" w:sz="4" w:space="0" w:color="auto"/>
              <w:bottom w:val="single" w:sz="4" w:space="0" w:color="auto"/>
              <w:right w:val="single" w:sz="4" w:space="0" w:color="auto"/>
            </w:tcBorders>
          </w:tcPr>
          <w:p w14:paraId="00D58206" w14:textId="77777777" w:rsidR="001C19A4" w:rsidRPr="00426D7D" w:rsidRDefault="001C19A4" w:rsidP="005F27A6">
            <w:pPr>
              <w:spacing w:after="0"/>
              <w:jc w:val="right"/>
              <w:cnfStyle w:val="000000100000" w:firstRow="0" w:lastRow="0" w:firstColumn="0" w:lastColumn="0" w:oddVBand="0" w:evenVBand="0" w:oddHBand="1" w:evenHBand="0" w:firstRowFirstColumn="0" w:firstRowLastColumn="0" w:lastRowFirstColumn="0" w:lastRowLastColumn="0"/>
            </w:pPr>
            <w:r w:rsidRPr="00BB1EA4">
              <w:t>1,860</w:t>
            </w:r>
          </w:p>
        </w:tc>
      </w:tr>
      <w:tr w:rsidR="001C19A4" w:rsidRPr="004C559A" w14:paraId="61112C18" w14:textId="77777777" w:rsidTr="00E11B67">
        <w:trPr>
          <w:trHeight w:val="15"/>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noWrap/>
          </w:tcPr>
          <w:p w14:paraId="3CA5ABF8" w14:textId="77777777" w:rsidR="001C19A4" w:rsidRPr="00DF10E0" w:rsidRDefault="001C19A4" w:rsidP="005F27A6">
            <w:pPr>
              <w:spacing w:after="0"/>
            </w:pPr>
            <w:r>
              <w:t>Totals</w:t>
            </w:r>
          </w:p>
        </w:tc>
        <w:tc>
          <w:tcPr>
            <w:tcW w:w="2040" w:type="dxa"/>
            <w:tcBorders>
              <w:top w:val="single" w:sz="4" w:space="0" w:color="auto"/>
              <w:left w:val="single" w:sz="4" w:space="0" w:color="auto"/>
              <w:bottom w:val="single" w:sz="4" w:space="0" w:color="auto"/>
              <w:right w:val="single" w:sz="4" w:space="0" w:color="auto"/>
            </w:tcBorders>
            <w:noWrap/>
          </w:tcPr>
          <w:p w14:paraId="3AC31F86" w14:textId="77777777" w:rsidR="001C19A4"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pPr>
            <w:r>
              <w:t>6,443</w:t>
            </w:r>
          </w:p>
        </w:tc>
        <w:tc>
          <w:tcPr>
            <w:tcW w:w="2040" w:type="dxa"/>
            <w:tcBorders>
              <w:top w:val="single" w:sz="4" w:space="0" w:color="auto"/>
              <w:left w:val="single" w:sz="4" w:space="0" w:color="auto"/>
              <w:bottom w:val="single" w:sz="4" w:space="0" w:color="auto"/>
              <w:right w:val="single" w:sz="4" w:space="0" w:color="auto"/>
            </w:tcBorders>
          </w:tcPr>
          <w:p w14:paraId="6A9D3257" w14:textId="77777777" w:rsidR="001C19A4" w:rsidRPr="00426D7D"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pPr>
            <w:r>
              <w:t>4,018</w:t>
            </w:r>
          </w:p>
        </w:tc>
        <w:tc>
          <w:tcPr>
            <w:tcW w:w="2040" w:type="dxa"/>
            <w:tcBorders>
              <w:top w:val="single" w:sz="4" w:space="0" w:color="auto"/>
              <w:left w:val="single" w:sz="4" w:space="0" w:color="auto"/>
              <w:bottom w:val="single" w:sz="4" w:space="0" w:color="auto"/>
              <w:right w:val="single" w:sz="4" w:space="0" w:color="auto"/>
            </w:tcBorders>
          </w:tcPr>
          <w:p w14:paraId="2BA12B91" w14:textId="77777777" w:rsidR="001C19A4" w:rsidRPr="00426D7D" w:rsidRDefault="001C19A4" w:rsidP="005F27A6">
            <w:pPr>
              <w:spacing w:after="0"/>
              <w:jc w:val="right"/>
              <w:cnfStyle w:val="000000000000" w:firstRow="0" w:lastRow="0" w:firstColumn="0" w:lastColumn="0" w:oddVBand="0" w:evenVBand="0" w:oddHBand="0" w:evenHBand="0" w:firstRowFirstColumn="0" w:firstRowLastColumn="0" w:lastRowFirstColumn="0" w:lastRowLastColumn="0"/>
            </w:pPr>
            <w:r w:rsidRPr="00BB1EA4">
              <w:t>2,425</w:t>
            </w:r>
          </w:p>
        </w:tc>
      </w:tr>
    </w:tbl>
    <w:p w14:paraId="6AD58D6D" w14:textId="4C2E31B2" w:rsidR="001C19A4" w:rsidRDefault="001C19A4" w:rsidP="005F27A6">
      <w:pPr>
        <w:pStyle w:val="TableSource"/>
        <w:ind w:left="1080"/>
        <w:rPr>
          <w:rStyle w:val="Strong"/>
          <w:b w:val="0"/>
        </w:rPr>
      </w:pPr>
      <w:r w:rsidRPr="00D015B9">
        <w:rPr>
          <w:rStyle w:val="Strong"/>
        </w:rPr>
        <w:t xml:space="preserve">Source data: </w:t>
      </w:r>
      <w:r>
        <w:rPr>
          <w:rStyle w:val="Strong"/>
        </w:rPr>
        <w:t xml:space="preserve">Attachment 4, </w:t>
      </w:r>
      <w:r w:rsidRPr="00D015B9">
        <w:rPr>
          <w:rStyle w:val="Strong"/>
        </w:rPr>
        <w:t>CALPADS</w:t>
      </w:r>
      <w:r>
        <w:rPr>
          <w:rStyle w:val="Strong"/>
        </w:rPr>
        <w:t xml:space="preserve"> </w:t>
      </w:r>
      <w:r w:rsidRPr="00D015B9">
        <w:rPr>
          <w:rStyle w:val="Strong"/>
        </w:rPr>
        <w:t>2020–21</w:t>
      </w:r>
    </w:p>
    <w:p w14:paraId="1D9F8057" w14:textId="2A040495" w:rsidR="001C19A4" w:rsidRPr="00953B96" w:rsidRDefault="001C19A4" w:rsidP="00953B96">
      <w:pPr>
        <w:pStyle w:val="TableSource"/>
        <w:spacing w:line="259" w:lineRule="auto"/>
        <w:ind w:left="1080"/>
        <w:rPr>
          <w:rStyle w:val="Strong"/>
          <w:b w:val="0"/>
          <w:bCs w:val="0"/>
          <w:i w:val="0"/>
        </w:rPr>
      </w:pPr>
      <w:r w:rsidRPr="00953B96">
        <w:rPr>
          <w:rStyle w:val="Strong"/>
          <w:b w:val="0"/>
          <w:i w:val="0"/>
        </w:rPr>
        <w:t>The proposed Northgate USD would have excess capacity at elementary, middle and high school levels. This calculation does not account for the students currently attending Highland Elementary that would become residents of the Northgate USD as a result of the reorganization. If those students attend a Northgate USD school, the district would likely reach or exceed its capacity at the elementary level. The combined excess capacity at the middle and high school levels would be greater than 2,000. At the same time, based on the 2020–21 CALPADS</w:t>
      </w:r>
      <w:r w:rsidR="00F63C6E">
        <w:rPr>
          <w:rStyle w:val="Strong"/>
          <w:b w:val="0"/>
          <w:i w:val="0"/>
        </w:rPr>
        <w:t xml:space="preserve"> data</w:t>
      </w:r>
      <w:r w:rsidRPr="00953B96">
        <w:rPr>
          <w:rStyle w:val="Strong"/>
          <w:b w:val="0"/>
          <w:i w:val="0"/>
        </w:rPr>
        <w:t xml:space="preserve">, the 748 middle school students and 1,265 high school students attending Oak Grove Middle and Ygnacio Valley High would be unhoused and need to be accommodated elsewhere in the remaining portion of the Mt. Diablo USD. The </w:t>
      </w:r>
      <w:r w:rsidRPr="004215AA">
        <w:rPr>
          <w:rStyle w:val="Strong"/>
          <w:b w:val="0"/>
        </w:rPr>
        <w:t>Feasibility Study</w:t>
      </w:r>
      <w:r w:rsidRPr="00953B96">
        <w:rPr>
          <w:rStyle w:val="Strong"/>
          <w:b w:val="0"/>
          <w:i w:val="0"/>
        </w:rPr>
        <w:t xml:space="preserve"> capacity analysis determined there would be sufficient capacity available for the middle school students but not for high school students. Additional facilities would be needed for Mt. Diablo USD to serve all of the existing pupils.</w:t>
      </w:r>
    </w:p>
    <w:p w14:paraId="0B0B5942" w14:textId="565E40DA" w:rsidR="001C19A4" w:rsidRPr="00C764ED" w:rsidRDefault="001C19A4" w:rsidP="00AA2DDA">
      <w:pPr>
        <w:ind w:left="1080"/>
      </w:pPr>
      <w:r w:rsidRPr="00941D56">
        <w:lastRenderedPageBreak/>
        <w:t xml:space="preserve">As a result of the inequitable distribution of facilities, </w:t>
      </w:r>
      <w:r>
        <w:t xml:space="preserve">which </w:t>
      </w:r>
      <w:r w:rsidR="006873A0">
        <w:t xml:space="preserve">would </w:t>
      </w:r>
      <w:r w:rsidR="00AD2D43">
        <w:t>have disproportionate</w:t>
      </w:r>
      <w:r>
        <w:t xml:space="preserve"> negative</w:t>
      </w:r>
      <w:r w:rsidR="006873A0">
        <w:t xml:space="preserve"> effects on </w:t>
      </w:r>
      <w:r>
        <w:t xml:space="preserve">the Mt. Diablo USD, </w:t>
      </w:r>
      <w:r w:rsidRPr="00941D56">
        <w:t xml:space="preserve">the CDE determines </w:t>
      </w:r>
      <w:r w:rsidRPr="00C764ED">
        <w:t>that this condition is substantially not met.</w:t>
      </w:r>
    </w:p>
    <w:p w14:paraId="4D6BEFAC" w14:textId="2AA84397" w:rsidR="001C19A4" w:rsidRPr="00C764ED" w:rsidRDefault="001C19A4" w:rsidP="000A33F9">
      <w:pPr>
        <w:pStyle w:val="Heading3"/>
        <w:numPr>
          <w:ilvl w:val="1"/>
          <w:numId w:val="31"/>
        </w:numPr>
        <w:ind w:left="1080"/>
      </w:pPr>
      <w:r w:rsidRPr="00C764ED">
        <w:t>The reorganization of the districts will preserve each affected district's ability to educate students in an integrated environment and will not promote racial or ethnic discrimination or segregation.</w:t>
      </w:r>
    </w:p>
    <w:p w14:paraId="40D68A40" w14:textId="77777777" w:rsidR="001C19A4" w:rsidRDefault="001C19A4" w:rsidP="00922849">
      <w:pPr>
        <w:pStyle w:val="Heading4"/>
        <w:ind w:left="1080"/>
      </w:pPr>
      <w:r w:rsidRPr="00CB5427">
        <w:t>Standard</w:t>
      </w:r>
      <w:r w:rsidRPr="00CD78B8">
        <w:t xml:space="preserve"> of Review</w:t>
      </w:r>
    </w:p>
    <w:p w14:paraId="0182A141" w14:textId="77777777" w:rsidR="001C19A4" w:rsidRDefault="001C19A4" w:rsidP="005F27A6">
      <w:pPr>
        <w:ind w:left="1080"/>
      </w:pPr>
      <w:r>
        <w:t xml:space="preserve">In 5 </w:t>
      </w:r>
      <w:r w:rsidRPr="002D2EEA">
        <w:rPr>
          <w:i/>
        </w:rPr>
        <w:t>CCR</w:t>
      </w:r>
      <w:r>
        <w:t xml:space="preserve"> Section 18573(a)(4), the SBE set forth five factors to be considered in determining whether reorganization will promote racial or ethnic discrimination or segregation:</w:t>
      </w:r>
    </w:p>
    <w:p w14:paraId="0B70F297" w14:textId="77777777" w:rsidR="001C19A4" w:rsidRDefault="001C19A4" w:rsidP="005F27A6">
      <w:pPr>
        <w:ind w:left="1440" w:hanging="360"/>
      </w:pPr>
      <w:r>
        <w:t>(a)</w:t>
      </w:r>
      <w:r>
        <w:tab/>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07173246" w14:textId="77777777" w:rsidR="001C19A4" w:rsidRDefault="001C19A4" w:rsidP="005F27A6">
      <w:pPr>
        <w:ind w:left="1440" w:hanging="360"/>
      </w:pPr>
      <w:r>
        <w:t>(b)</w:t>
      </w:r>
      <w:r>
        <w:tab/>
        <w:t>The trends and rates of present and possible future growth or change in the total population in the districts affected, in each racial and ethnic group within the total district, and in each school of the affected districts.</w:t>
      </w:r>
    </w:p>
    <w:p w14:paraId="1FF054E0" w14:textId="77777777" w:rsidR="001C19A4" w:rsidRDefault="001C19A4" w:rsidP="005F27A6">
      <w:pPr>
        <w:ind w:left="1440" w:hanging="360"/>
      </w:pPr>
      <w:r>
        <w:t>(c)</w:t>
      </w:r>
      <w:r>
        <w:tab/>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alleviate racial or ethnic discrimination or segregation.</w:t>
      </w:r>
    </w:p>
    <w:p w14:paraId="61F4E25D" w14:textId="77777777" w:rsidR="001C19A4" w:rsidRDefault="001C19A4" w:rsidP="005F27A6">
      <w:pPr>
        <w:ind w:left="1440" w:hanging="360"/>
      </w:pPr>
      <w:r>
        <w:t>(d)</w:t>
      </w:r>
      <w:r>
        <w:tab/>
        <w:t>The effect of factors such as distance between schools and attendance centers, terrain, geographic features that may involve safety hazards to pupils, capacity of schools, and related conditions or circumstances that may have an effect on the feasibility of integration of the affected schools.</w:t>
      </w:r>
    </w:p>
    <w:p w14:paraId="0A9CE8D6" w14:textId="77777777" w:rsidR="001C19A4" w:rsidRPr="001A6413" w:rsidRDefault="001C19A4" w:rsidP="005F27A6">
      <w:pPr>
        <w:ind w:left="1440" w:hanging="360"/>
      </w:pPr>
      <w:r>
        <w:t>(e)</w:t>
      </w:r>
      <w:r>
        <w:tab/>
        <w:t>The effect of the proposal on the duty of the governing board of each of the affected districts to take steps, insofar as reasonably feasible, to alleviate segregation of minority pupils in schools regardless of its cause.</w:t>
      </w:r>
    </w:p>
    <w:p w14:paraId="409D09D9" w14:textId="77777777" w:rsidR="001C19A4" w:rsidRDefault="001C19A4" w:rsidP="00922849">
      <w:pPr>
        <w:pStyle w:val="Heading4"/>
        <w:ind w:left="1080"/>
      </w:pPr>
      <w:r w:rsidRPr="00CB5427">
        <w:t>County Committee Review and Evaluation</w:t>
      </w:r>
    </w:p>
    <w:p w14:paraId="638F94D5" w14:textId="77777777" w:rsidR="001C19A4" w:rsidRDefault="001C19A4" w:rsidP="005F27A6">
      <w:pPr>
        <w:ind w:left="1080"/>
      </w:pPr>
      <w:r>
        <w:t xml:space="preserve">The County Committee considered information and testimony provided by the petitioners, the Mt. Diablo USD, and School Services of California (SSC). </w:t>
      </w:r>
    </w:p>
    <w:p w14:paraId="164DA8C4" w14:textId="77777777" w:rsidR="001C19A4" w:rsidRDefault="001C19A4" w:rsidP="005F27A6">
      <w:pPr>
        <w:ind w:left="1080"/>
      </w:pPr>
      <w:r>
        <w:lastRenderedPageBreak/>
        <w:t>The petitioners argued that enrollment at the schools in the proposed Northgate USD would be substantially similar in racial and ethnic composition to their current state because “t</w:t>
      </w:r>
      <w:r w:rsidRPr="00F95920">
        <w:t>he proposed attendance boundaries for NUSD schools are based on the attendance boundaries established years ago by MDUSD, and we are proposing to accept numbers of transfers from MDUSD neighborhoods outside NUSD that are equivalent to what the Northgate-area schools have n</w:t>
      </w:r>
      <w:r>
        <w:t>ow.”</w:t>
      </w:r>
    </w:p>
    <w:p w14:paraId="3C502492" w14:textId="589C7D77" w:rsidR="001C19A4" w:rsidRDefault="001C19A4" w:rsidP="005F27A6">
      <w:pPr>
        <w:ind w:left="1080"/>
      </w:pPr>
      <w:r>
        <w:t>Mt. Diablo disagreed with this assessment. It argued that the petition would create issues of disparity and equity by isolating the less diverse, higher income population of the Northgate</w:t>
      </w:r>
      <w:r w:rsidR="00F63C6E">
        <w:t>-</w:t>
      </w:r>
      <w:r>
        <w:t>area schools. It has also argued that a large component of existing diversity at the Northgate</w:t>
      </w:r>
      <w:r w:rsidR="00F63C6E">
        <w:t>-</w:t>
      </w:r>
      <w:r>
        <w:t>area schools is the result of discretionary inter- and intra-district transfers, who would be displaced by the reorganization.</w:t>
      </w:r>
    </w:p>
    <w:p w14:paraId="6997C5CF" w14:textId="77777777" w:rsidR="001C19A4" w:rsidRDefault="001C19A4" w:rsidP="005F27A6">
      <w:pPr>
        <w:ind w:left="1080"/>
      </w:pPr>
      <w:r>
        <w:t xml:space="preserve">After conducting its analysis of the factors to be considered in </w:t>
      </w:r>
      <w:proofErr w:type="gramStart"/>
      <w:r>
        <w:t>making a determination</w:t>
      </w:r>
      <w:proofErr w:type="gramEnd"/>
      <w:r>
        <w:t>, SSC found that</w:t>
      </w:r>
      <w:r w:rsidRPr="00F7236B">
        <w:t xml:space="preserve"> </w:t>
      </w:r>
      <w:r>
        <w:t>“</w:t>
      </w:r>
      <w:r w:rsidRPr="00F7236B">
        <w:t>this criterion would be substantially met, as the proposed reorganization would not significantly increase the percentage of minority group students in either district and therefore would not promote racial or ethnic discrimination or segregation.</w:t>
      </w:r>
      <w:r>
        <w:t xml:space="preserve">” </w:t>
      </w:r>
    </w:p>
    <w:p w14:paraId="7E8C8F0E" w14:textId="77777777" w:rsidR="001C19A4" w:rsidRDefault="001C19A4" w:rsidP="005F27A6">
      <w:pPr>
        <w:ind w:left="1080"/>
      </w:pPr>
      <w:r w:rsidRPr="00BA1D18">
        <w:t>The County Committee voted (3-2-0) that this condition is not substantially met.</w:t>
      </w:r>
    </w:p>
    <w:p w14:paraId="71590BC3" w14:textId="77777777" w:rsidR="001C19A4" w:rsidRPr="00CB5427" w:rsidRDefault="001C19A4" w:rsidP="00922849">
      <w:pPr>
        <w:pStyle w:val="Heading4"/>
        <w:ind w:left="1080"/>
      </w:pPr>
      <w:r>
        <w:t>CDE Findings/Conclusion</w:t>
      </w:r>
    </w:p>
    <w:p w14:paraId="00252577" w14:textId="68BFCBB8" w:rsidR="001C19A4" w:rsidRPr="00CB5427" w:rsidRDefault="001C19A4" w:rsidP="004029D7">
      <w:pPr>
        <w:ind w:left="1080"/>
      </w:pPr>
      <w:r>
        <w:t xml:space="preserve">The CDE conducted its own an analysis in accordance with </w:t>
      </w:r>
      <w:r w:rsidRPr="00F73D74">
        <w:t>5 CCR Section 18573(a)(4)</w:t>
      </w:r>
      <w:r>
        <w:t xml:space="preserve"> and the Handbook for Conducting Racial and Ethnic Studies in School Districts (</w:t>
      </w:r>
      <w:r w:rsidR="00F63C6E">
        <w:t>s</w:t>
      </w:r>
      <w:r>
        <w:t>ee attachment 2)</w:t>
      </w:r>
      <w:r w:rsidR="00F63C6E">
        <w:t>.</w:t>
      </w:r>
      <w:r>
        <w:t xml:space="preserve"> The findings of fact of this report are as follows:</w:t>
      </w:r>
    </w:p>
    <w:p w14:paraId="2C1AEFD1" w14:textId="77777777" w:rsidR="001C19A4" w:rsidRDefault="001C19A4" w:rsidP="004029D7">
      <w:pPr>
        <w:ind w:left="1440"/>
        <w:rPr>
          <w:i/>
        </w:rPr>
      </w:pPr>
      <w:r w:rsidRPr="00BA1D18">
        <w:rPr>
          <w:i/>
        </w:rPr>
        <w:t>The Mt. Diablo USD is currently 70.6 percent minority. If the Northgate community were to withdraw from the district, the remaining area of Mt. Diablo USD would be 73.8 percent minority while the new Northgate USD would be 49.5 percent minority. Hispanic or Latino students account for 45.6 percent of the total student population in the existing district overall, but are 16.6 percent of the schools in the proposed new district. Though student demographics of the Northgate area schools are noticeably different from those of the rest of the Mt. Diablo USD, the racial and ethnic composition of the affected elementary, middle and high schools would be substantially unchanged by the reorganization and would preserve each affected district’s ability to educate students in an integrated environment.</w:t>
      </w:r>
    </w:p>
    <w:p w14:paraId="206EF780" w14:textId="49B5835C" w:rsidR="001C19A4" w:rsidRPr="00D805F1" w:rsidRDefault="001D4647" w:rsidP="004029D7">
      <w:pPr>
        <w:ind w:left="1080"/>
      </w:pPr>
      <w:r>
        <w:lastRenderedPageBreak/>
        <w:t>The</w:t>
      </w:r>
      <w:r w:rsidR="00FB2076">
        <w:t xml:space="preserve"> </w:t>
      </w:r>
      <w:r w:rsidR="001C19A4">
        <w:t>CDE</w:t>
      </w:r>
      <w:r>
        <w:t xml:space="preserve"> finds</w:t>
      </w:r>
      <w:r w:rsidR="001C19A4">
        <w:t xml:space="preserve"> the proposal substantially meets this condition. Despite meeting the statutory condition, the CDE is</w:t>
      </w:r>
      <w:r w:rsidR="001C19A4" w:rsidRPr="006615D5">
        <w:t xml:space="preserve"> concerned </w:t>
      </w:r>
      <w:r w:rsidR="001C19A4">
        <w:t>because the proposal</w:t>
      </w:r>
      <w:r w:rsidR="001C19A4" w:rsidRPr="006615D5">
        <w:t xml:space="preserve"> seeks to pull away the newest and highest</w:t>
      </w:r>
      <w:r w:rsidR="00F63C6E">
        <w:t>-</w:t>
      </w:r>
      <w:r w:rsidR="001C19A4" w:rsidRPr="006615D5">
        <w:t xml:space="preserve">performing high school </w:t>
      </w:r>
      <w:r w:rsidR="001C19A4">
        <w:t>that is</w:t>
      </w:r>
      <w:r w:rsidR="001C19A4" w:rsidRPr="006615D5">
        <w:t xml:space="preserve"> located in a less diverse, more affluent part of the district. The effect of the proposal appears to be </w:t>
      </w:r>
      <w:r w:rsidR="001C19A4">
        <w:t>a move toward</w:t>
      </w:r>
      <w:r w:rsidR="001C19A4" w:rsidRPr="006615D5">
        <w:t xml:space="preserve"> socioeconomic segregation.</w:t>
      </w:r>
      <w:r w:rsidR="001C19A4">
        <w:t xml:space="preserve"> This issue will be addressed in section 6.</w:t>
      </w:r>
    </w:p>
    <w:p w14:paraId="5C19B1CE" w14:textId="77777777" w:rsidR="001C19A4" w:rsidRDefault="001C19A4" w:rsidP="000A33F9">
      <w:pPr>
        <w:pStyle w:val="Heading3"/>
        <w:numPr>
          <w:ilvl w:val="1"/>
          <w:numId w:val="31"/>
        </w:numPr>
        <w:ind w:left="1080"/>
      </w:pPr>
      <w:r w:rsidRPr="00A23D43">
        <w:t>Any increase in costs to the state as a result of the proposed reorganization will be insignificant and otherwise incidental to the reorganization.</w:t>
      </w:r>
    </w:p>
    <w:p w14:paraId="60C7108A" w14:textId="77777777" w:rsidR="001C19A4" w:rsidRDefault="001C19A4" w:rsidP="00922849">
      <w:pPr>
        <w:pStyle w:val="Heading4"/>
        <w:ind w:left="1080"/>
      </w:pPr>
      <w:r w:rsidRPr="00CB5427">
        <w:t>Standard</w:t>
      </w:r>
      <w:r w:rsidRPr="00CD78B8">
        <w:t xml:space="preserve"> of Review</w:t>
      </w:r>
    </w:p>
    <w:p w14:paraId="4FD25CC4" w14:textId="77777777" w:rsidR="001C19A4" w:rsidRPr="00053F55" w:rsidRDefault="001C19A4" w:rsidP="005F27A6">
      <w:pPr>
        <w:ind w:left="1080"/>
      </w:pPr>
      <w:r w:rsidRPr="00A23D43">
        <w:rPr>
          <w:i/>
        </w:rPr>
        <w:t>EC</w:t>
      </w:r>
      <w:r w:rsidRPr="00053F55">
        <w:t xml:space="preserve"> sections 35735 through 35735.10 mandate a method of computing Local Control Funding Formula (LCFF) entitlements without regard to this condition. Although LCFF entitlements are considered in this section, only potential costs to the state other than those mandated by </w:t>
      </w:r>
      <w:r w:rsidRPr="00A23D43">
        <w:rPr>
          <w:i/>
        </w:rPr>
        <w:t>EC</w:t>
      </w:r>
      <w:r w:rsidRPr="00053F55">
        <w:t xml:space="preserve"> sections 35735 through 35735.10 are used to analyze the proposal for compliance with this condition.</w:t>
      </w:r>
    </w:p>
    <w:p w14:paraId="543DB4DA" w14:textId="77777777" w:rsidR="001C19A4" w:rsidRDefault="001C19A4" w:rsidP="00922849">
      <w:pPr>
        <w:pStyle w:val="Heading4"/>
        <w:ind w:left="1080"/>
      </w:pPr>
      <w:r w:rsidRPr="00CB5427">
        <w:t>County Committee Review and Evaluation</w:t>
      </w:r>
    </w:p>
    <w:p w14:paraId="5E4FED61" w14:textId="51CDA887" w:rsidR="001C19A4" w:rsidRDefault="001C19A4" w:rsidP="005F27A6">
      <w:pPr>
        <w:ind w:left="1080"/>
      </w:pPr>
      <w:r>
        <w:t xml:space="preserve">The </w:t>
      </w:r>
      <w:r w:rsidRPr="004215AA">
        <w:rPr>
          <w:i/>
        </w:rPr>
        <w:t>Feasibility Study</w:t>
      </w:r>
      <w:r>
        <w:t xml:space="preserve"> concluded that the proposed reorganization substantially meets this criterion, based on its finding that impacts to state funding would be revenue neutral: LCFF funding before and after the reorganization is substantially similar. Mt. Diablo USD is not a basic aid district and would continue to be</w:t>
      </w:r>
      <w:r w:rsidR="00660C37">
        <w:t xml:space="preserve"> a</w:t>
      </w:r>
      <w:r>
        <w:t xml:space="preserve"> state-funded district following reorganization (its local property taxes would not exceed its LCFF entitlement). The proposed Northgate USD also would be a state-funded district. The reorganization would not create a school district that would qualify for additional funding under the necessary small school provisions of statute. Additionally, the size of the resulting districts would not result in additional direct-service costs to the county office of education.</w:t>
      </w:r>
    </w:p>
    <w:p w14:paraId="3B528871" w14:textId="77777777" w:rsidR="001C19A4" w:rsidRDefault="001C19A4" w:rsidP="005F27A6">
      <w:pPr>
        <w:ind w:left="1080"/>
      </w:pPr>
      <w:r>
        <w:t xml:space="preserve">The County Committee </w:t>
      </w:r>
      <w:r w:rsidRPr="00B06B42">
        <w:t>voted (3-1-1) that this condition is substantially met.</w:t>
      </w:r>
    </w:p>
    <w:p w14:paraId="68492799" w14:textId="77777777" w:rsidR="001C19A4" w:rsidRPr="00CB5427" w:rsidRDefault="001C19A4" w:rsidP="00922849">
      <w:pPr>
        <w:pStyle w:val="Heading4"/>
        <w:ind w:left="1080"/>
      </w:pPr>
      <w:r>
        <w:t>CDE Findings/Conclusion</w:t>
      </w:r>
    </w:p>
    <w:p w14:paraId="5980FC89" w14:textId="7C68F2E0" w:rsidR="001C19A4" w:rsidRDefault="001C19A4" w:rsidP="005F27A6">
      <w:pPr>
        <w:tabs>
          <w:tab w:val="left" w:pos="-720"/>
        </w:tabs>
        <w:ind w:left="1080"/>
      </w:pPr>
      <w:r>
        <w:t>The LCFF</w:t>
      </w:r>
      <w:r w:rsidRPr="00CE4635">
        <w:t xml:space="preserve"> is the primary source of </w:t>
      </w:r>
      <w:r>
        <w:t>a school district’s</w:t>
      </w:r>
      <w:r w:rsidRPr="00CE4635">
        <w:t xml:space="preserve"> general</w:t>
      </w:r>
      <w:r>
        <w:t>-</w:t>
      </w:r>
      <w:r w:rsidRPr="00CE4635">
        <w:t>purpose funding</w:t>
      </w:r>
      <w:r>
        <w:t xml:space="preserve">. The CDE prepared a hypothetical LCFF funding estimate for the existing and reorganized districts to determine the anticipated impact of the proposal on state costs and found largely the same results as the </w:t>
      </w:r>
      <w:r w:rsidRPr="004215AA">
        <w:rPr>
          <w:i/>
        </w:rPr>
        <w:t>Feasibility Study</w:t>
      </w:r>
      <w:r>
        <w:t>: no increased state costs (</w:t>
      </w:r>
      <w:r w:rsidR="00660C37">
        <w:t>s</w:t>
      </w:r>
      <w:r>
        <w:t>ee attachment 5)</w:t>
      </w:r>
      <w:r w:rsidR="00660C37">
        <w:t>.</w:t>
      </w:r>
      <w:r>
        <w:t xml:space="preserve"> </w:t>
      </w:r>
    </w:p>
    <w:p w14:paraId="4464F973" w14:textId="4D527B0F" w:rsidR="001C19A4" w:rsidRDefault="001C19A4" w:rsidP="005F27A6">
      <w:pPr>
        <w:tabs>
          <w:tab w:val="left" w:pos="-720"/>
        </w:tabs>
        <w:ind w:left="1080"/>
      </w:pPr>
      <w:r w:rsidRPr="00F76074">
        <w:lastRenderedPageBreak/>
        <w:t>Based on 20</w:t>
      </w:r>
      <w:r>
        <w:t>20</w:t>
      </w:r>
      <w:r w:rsidRPr="00F76074">
        <w:t>–</w:t>
      </w:r>
      <w:r>
        <w:t>21</w:t>
      </w:r>
      <w:r w:rsidRPr="00F76074">
        <w:t xml:space="preserve"> data</w:t>
      </w:r>
      <w:r>
        <w:t>,</w:t>
      </w:r>
      <w:r w:rsidRPr="00F76074">
        <w:t xml:space="preserve"> and assuming the new district was effective for that year, the CDE calculates that the 20</w:t>
      </w:r>
      <w:r>
        <w:t>20</w:t>
      </w:r>
      <w:r w:rsidRPr="00F76074">
        <w:t>–</w:t>
      </w:r>
      <w:r>
        <w:t>21</w:t>
      </w:r>
      <w:r w:rsidRPr="00F76074">
        <w:t xml:space="preserve"> LCFF entitlements would have been $</w:t>
      </w:r>
      <w:r>
        <w:t>33.31</w:t>
      </w:r>
      <w:r w:rsidRPr="00F76074">
        <w:t xml:space="preserve"> million for the </w:t>
      </w:r>
      <w:r>
        <w:t>Northgate</w:t>
      </w:r>
      <w:r w:rsidRPr="00F76074">
        <w:t xml:space="preserve"> district and $</w:t>
      </w:r>
      <w:r>
        <w:t>242.06</w:t>
      </w:r>
      <w:r w:rsidRPr="00F76074">
        <w:t xml:space="preserve"> million for the remaining </w:t>
      </w:r>
      <w:r>
        <w:t>Mt. Diablo</w:t>
      </w:r>
      <w:r w:rsidRPr="00F76074">
        <w:t xml:space="preserve"> USD—the combined total being </w:t>
      </w:r>
      <w:r>
        <w:t xml:space="preserve">approximately </w:t>
      </w:r>
      <w:r w:rsidRPr="00F76074">
        <w:t>$</w:t>
      </w:r>
      <w:r>
        <w:t>1.7 million</w:t>
      </w:r>
      <w:r w:rsidRPr="00F76074">
        <w:t xml:space="preserve"> </w:t>
      </w:r>
      <w:r w:rsidR="00A06B62">
        <w:t>less than</w:t>
      </w:r>
      <w:r w:rsidR="00A06B62" w:rsidRPr="00F76074">
        <w:t xml:space="preserve"> </w:t>
      </w:r>
      <w:r w:rsidRPr="00F76074">
        <w:t>the 20</w:t>
      </w:r>
      <w:r>
        <w:t>20</w:t>
      </w:r>
      <w:r w:rsidRPr="00F76074">
        <w:t>–</w:t>
      </w:r>
      <w:r>
        <w:t>2</w:t>
      </w:r>
      <w:r w:rsidRPr="00F76074">
        <w:t xml:space="preserve">1 LCFF entitlement received by the </w:t>
      </w:r>
      <w:r>
        <w:t>Mt. Diablo</w:t>
      </w:r>
      <w:r w:rsidRPr="00F76074">
        <w:t xml:space="preserve"> USD. The actual LCFF entitlement recalculation would be based on data from one year prior to the effective year of the new district.</w:t>
      </w:r>
    </w:p>
    <w:p w14:paraId="70C276E8" w14:textId="7CC9BA01" w:rsidR="001C19A4" w:rsidRDefault="001C19A4" w:rsidP="005F27A6">
      <w:pPr>
        <w:tabs>
          <w:tab w:val="left" w:pos="-720"/>
        </w:tabs>
        <w:ind w:left="1080"/>
      </w:pPr>
      <w:r>
        <w:t xml:space="preserve">Other state costs for </w:t>
      </w:r>
      <w:r w:rsidRPr="0011676D">
        <w:t>transportation, categorical programs, and special education</w:t>
      </w:r>
      <w:r>
        <w:t xml:space="preserve"> should not be affected significantly by the proposed reorganization. The concern regarding the need for Mt. Diablo USD </w:t>
      </w:r>
      <w:r w:rsidR="008A5BED">
        <w:t xml:space="preserve">to </w:t>
      </w:r>
      <w:r>
        <w:t>request state funds to construct additional high school facilities will be addressed in Section 5.7 of this report.</w:t>
      </w:r>
    </w:p>
    <w:p w14:paraId="6F58A315" w14:textId="77777777" w:rsidR="001C19A4" w:rsidRPr="00FC5FC6" w:rsidRDefault="001C19A4" w:rsidP="005F27A6">
      <w:pPr>
        <w:ind w:left="1080"/>
      </w:pPr>
      <w:r>
        <w:t xml:space="preserve">The CDE agrees with the County Committee that the proposal substantially </w:t>
      </w:r>
      <w:r w:rsidRPr="00FC5FC6">
        <w:t>meets this condition.</w:t>
      </w:r>
    </w:p>
    <w:p w14:paraId="36753FC3" w14:textId="77777777" w:rsidR="001C19A4" w:rsidRPr="00FC5FC6" w:rsidRDefault="001C19A4" w:rsidP="000A33F9">
      <w:pPr>
        <w:pStyle w:val="Heading3"/>
        <w:numPr>
          <w:ilvl w:val="1"/>
          <w:numId w:val="31"/>
        </w:numPr>
        <w:ind w:left="1080"/>
      </w:pPr>
      <w:bookmarkStart w:id="4" w:name="_Hlk98237696"/>
      <w:r w:rsidRPr="00FC5FC6">
        <w:t>The proposed reorganization will continue to promote sound education performance and will not significantly disrupt the educational programs in the affected districts.</w:t>
      </w:r>
    </w:p>
    <w:bookmarkEnd w:id="4"/>
    <w:p w14:paraId="4B1BDB4E" w14:textId="77777777" w:rsidR="001C19A4" w:rsidRDefault="001C19A4" w:rsidP="00922849">
      <w:pPr>
        <w:pStyle w:val="Heading4"/>
        <w:ind w:left="1080"/>
      </w:pPr>
      <w:r w:rsidRPr="00CB5427">
        <w:t>Standard</w:t>
      </w:r>
      <w:r w:rsidRPr="00CD78B8">
        <w:t xml:space="preserve"> of Review</w:t>
      </w:r>
    </w:p>
    <w:p w14:paraId="06B91369" w14:textId="77777777" w:rsidR="001C19A4" w:rsidRPr="00053F55" w:rsidRDefault="001C19A4" w:rsidP="005F27A6">
      <w:pPr>
        <w:ind w:left="1080"/>
      </w:pPr>
      <w:r w:rsidRPr="00053F55">
        <w:t>The proposal or petition shall not have a significantly adverse effect on the educational programs of districts affected by the proposal or petition, and the CDE shall describe the district-wide programs, and the school site programs, in schools not a part of the proposal or petition that will be adversely affected by the proposal or petition</w:t>
      </w:r>
      <w:r>
        <w:t>.</w:t>
      </w:r>
      <w:r w:rsidRPr="00053F55">
        <w:t xml:space="preserve"> (5 </w:t>
      </w:r>
      <w:r w:rsidRPr="00A23D43">
        <w:rPr>
          <w:i/>
        </w:rPr>
        <w:t>CCR</w:t>
      </w:r>
      <w:r w:rsidRPr="00053F55">
        <w:t xml:space="preserve"> Section 18573[a][5])</w:t>
      </w:r>
    </w:p>
    <w:p w14:paraId="052A4EFB" w14:textId="77777777" w:rsidR="001C19A4" w:rsidRDefault="001C19A4" w:rsidP="00922849">
      <w:pPr>
        <w:pStyle w:val="Heading4"/>
        <w:ind w:left="1080"/>
      </w:pPr>
      <w:r w:rsidRPr="00CB5427">
        <w:t>County Committee Review and Evaluation</w:t>
      </w:r>
    </w:p>
    <w:p w14:paraId="4324B0A0" w14:textId="2A87D2D9" w:rsidR="001C19A4" w:rsidRDefault="001C19A4" w:rsidP="005F27A6">
      <w:pPr>
        <w:ind w:left="1080"/>
      </w:pPr>
      <w:r>
        <w:t xml:space="preserve">The </w:t>
      </w:r>
      <w:r w:rsidRPr="00D049A2">
        <w:rPr>
          <w:i/>
        </w:rPr>
        <w:t>Feasibility Study</w:t>
      </w:r>
      <w:r>
        <w:t xml:space="preserve"> included a review of several performance indicators on the California School Dashboard, </w:t>
      </w:r>
      <w:r w:rsidRPr="008B1C4E">
        <w:t>Smarter Balanced Assessment</w:t>
      </w:r>
      <w:r>
        <w:t xml:space="preserve"> results, and programs offered by schools in the existing and proposed district. SSC shared with the board its conclusion that “</w:t>
      </w:r>
      <w:r w:rsidRPr="007B4629">
        <w:t>the proposed unification</w:t>
      </w:r>
      <w:r>
        <w:t xml:space="preserve"> </w:t>
      </w:r>
      <w:r w:rsidRPr="007B4629">
        <w:t>will not undermine the educational programs remaining within Mt. Diablo USD nor should it be a detriment to the new district.</w:t>
      </w:r>
      <w:r>
        <w:t>”</w:t>
      </w:r>
      <w:r w:rsidR="0024655D">
        <w:t xml:space="preserve"> </w:t>
      </w:r>
    </w:p>
    <w:p w14:paraId="7198C1DD" w14:textId="77777777" w:rsidR="001C19A4" w:rsidRDefault="001C19A4" w:rsidP="005F27A6">
      <w:pPr>
        <w:ind w:left="1080"/>
      </w:pPr>
      <w:r>
        <w:t xml:space="preserve">It based its determination on several factors, including: </w:t>
      </w:r>
    </w:p>
    <w:p w14:paraId="0C523007" w14:textId="77777777" w:rsidR="001C19A4" w:rsidRDefault="001C19A4" w:rsidP="001C19A4">
      <w:pPr>
        <w:pStyle w:val="ListParagraph"/>
        <w:numPr>
          <w:ilvl w:val="0"/>
          <w:numId w:val="11"/>
        </w:numPr>
        <w:spacing w:after="240"/>
        <w:contextualSpacing w:val="0"/>
      </w:pPr>
      <w:r w:rsidRPr="007B4629">
        <w:t>The loss of 4,543 students from three elementary schools, a middle school, and a high school will not materially affect the programs offered by Mt. Diablo USD</w:t>
      </w:r>
      <w:r>
        <w:t>.</w:t>
      </w:r>
    </w:p>
    <w:p w14:paraId="48093005" w14:textId="77777777" w:rsidR="001C19A4" w:rsidRDefault="001C19A4" w:rsidP="001C19A4">
      <w:pPr>
        <w:pStyle w:val="ListParagraph"/>
        <w:numPr>
          <w:ilvl w:val="0"/>
          <w:numId w:val="11"/>
        </w:numPr>
        <w:spacing w:after="240"/>
        <w:contextualSpacing w:val="0"/>
      </w:pPr>
      <w:r w:rsidRPr="007B4629">
        <w:lastRenderedPageBreak/>
        <w:t xml:space="preserve">Mt. Diablo USD can move </w:t>
      </w:r>
      <w:r>
        <w:t xml:space="preserve">their specialty programs from the Northgate sites </w:t>
      </w:r>
      <w:r w:rsidRPr="007B4629">
        <w:t>to other school sites</w:t>
      </w:r>
      <w:r>
        <w:t>.</w:t>
      </w:r>
    </w:p>
    <w:p w14:paraId="2384017E" w14:textId="77777777" w:rsidR="001C19A4" w:rsidRDefault="001C19A4" w:rsidP="001C19A4">
      <w:pPr>
        <w:pStyle w:val="ListParagraph"/>
        <w:numPr>
          <w:ilvl w:val="0"/>
          <w:numId w:val="11"/>
        </w:numPr>
        <w:spacing w:after="240"/>
        <w:contextualSpacing w:val="0"/>
      </w:pPr>
      <w:r>
        <w:t>T</w:t>
      </w:r>
      <w:r w:rsidRPr="007B4629">
        <w:t xml:space="preserve">here are no districtwide programs or services housed at any of the five proposed Northgate USD school sites. </w:t>
      </w:r>
    </w:p>
    <w:p w14:paraId="1A39F1CD" w14:textId="77777777" w:rsidR="001C19A4" w:rsidRDefault="001C19A4" w:rsidP="001C19A4">
      <w:pPr>
        <w:pStyle w:val="ListParagraph"/>
        <w:numPr>
          <w:ilvl w:val="0"/>
          <w:numId w:val="11"/>
        </w:numPr>
        <w:spacing w:after="240"/>
        <w:contextualSpacing w:val="0"/>
      </w:pPr>
      <w:r>
        <w:t>The Northgate USD can join the Contra Costa Special Education Local Plan Area to serve its special education students.</w:t>
      </w:r>
    </w:p>
    <w:p w14:paraId="3BFE13B3" w14:textId="0F8E5CCC" w:rsidR="001C19A4" w:rsidRDefault="001C19A4" w:rsidP="005F27A6">
      <w:pPr>
        <w:ind w:left="1080"/>
      </w:pPr>
      <w:r>
        <w:t>The Mt. Diablo USD position is that this condition is not substantially met because the proposal would severely impact special education students, whose programs would have to be relocated, and the Northgate USD students would be negatively impacted due to the loss of access to the extensive variety of programs offered by the Mt. Diablo USD.</w:t>
      </w:r>
      <w:r w:rsidR="0024655D">
        <w:t xml:space="preserve"> </w:t>
      </w:r>
    </w:p>
    <w:p w14:paraId="1D4685C8" w14:textId="77777777" w:rsidR="001C19A4" w:rsidRPr="00FC5FC6" w:rsidRDefault="001C19A4" w:rsidP="005F27A6">
      <w:pPr>
        <w:ind w:left="1080"/>
      </w:pPr>
      <w:r>
        <w:t>The SSC report did acknowledge that “</w:t>
      </w:r>
      <w:r w:rsidRPr="007B4629">
        <w:t>the proposed Northgate USD would not likely be able to provide the exact same educational or extracurricular programs currently offered by Mt. Diablo USD</w:t>
      </w:r>
      <w:r>
        <w:t xml:space="preserve"> [due to its smaller size],” but it also stated that it was likely the new district under effective leadership should be able to continue </w:t>
      </w:r>
      <w:r w:rsidRPr="00FC5FC6">
        <w:t xml:space="preserve">providing a quality education to its students. </w:t>
      </w:r>
    </w:p>
    <w:p w14:paraId="358715A2" w14:textId="77777777" w:rsidR="001C19A4" w:rsidRDefault="001C19A4" w:rsidP="005F27A6">
      <w:pPr>
        <w:ind w:left="1080"/>
      </w:pPr>
      <w:r w:rsidRPr="00FC5FC6">
        <w:t>The County Committee voted (3-1-1) that this condition is not substantially</w:t>
      </w:r>
      <w:r>
        <w:t xml:space="preserve"> met.</w:t>
      </w:r>
    </w:p>
    <w:p w14:paraId="1A55C8BD" w14:textId="77777777" w:rsidR="001C19A4" w:rsidRPr="00CB5427" w:rsidRDefault="001C19A4" w:rsidP="00922849">
      <w:pPr>
        <w:pStyle w:val="Heading4"/>
        <w:ind w:left="1080"/>
      </w:pPr>
      <w:r>
        <w:t>CDE Findings/Conclusion</w:t>
      </w:r>
    </w:p>
    <w:p w14:paraId="6802A8D0" w14:textId="7DE4FE6F" w:rsidR="001C19A4" w:rsidRDefault="001C19A4" w:rsidP="005F27A6">
      <w:pPr>
        <w:ind w:left="1080"/>
      </w:pPr>
      <w:r>
        <w:t>The CDE staff report (</w:t>
      </w:r>
      <w:r w:rsidR="002C1821">
        <w:t>A</w:t>
      </w:r>
      <w:r>
        <w:t xml:space="preserve">ttachment 3) examined the education programs and academic performance of the schools of the existing Mt. Diablo USD in accordance with </w:t>
      </w:r>
      <w:r w:rsidRPr="00C96479">
        <w:t xml:space="preserve">5 </w:t>
      </w:r>
      <w:r w:rsidRPr="00C96479">
        <w:rPr>
          <w:i/>
        </w:rPr>
        <w:t>CCR</w:t>
      </w:r>
      <w:r w:rsidRPr="00C96479">
        <w:t xml:space="preserve"> Section 18573</w:t>
      </w:r>
      <w:r w:rsidR="00D049A2">
        <w:t>(a)(5)</w:t>
      </w:r>
      <w:r>
        <w:t xml:space="preserve">. Schools in both the proposed Northgate USD and the remaining portion of the Mt. Diablo USD offer a robust variety of programs. Most schools will continue to serve the same student population. Logistical challenges arise from the need for Mt. Diablo USD to accommodate enrollment from the Oak Grove Middle and Ygnacio Valley High schools, which would become </w:t>
      </w:r>
      <w:r w:rsidR="0091463E">
        <w:t>properties</w:t>
      </w:r>
      <w:r>
        <w:t xml:space="preserve"> of the Northgate USD. Additionally, special programs currently offered by Mt. Diablo USD at the Northgate area school sites would need to be relocated. </w:t>
      </w:r>
      <w:r w:rsidRPr="00B25D0D">
        <w:t>The loss of the Northgate area schools may impact the district-level performance level rating of some indicators</w:t>
      </w:r>
      <w:r>
        <w:t xml:space="preserve"> for Mt. Diablo USD</w:t>
      </w:r>
      <w:r w:rsidRPr="00B25D0D">
        <w:t>, but it would not significantly affect the programs or performance at the school</w:t>
      </w:r>
      <w:r>
        <w:t xml:space="preserve"> </w:t>
      </w:r>
      <w:r w:rsidRPr="00B25D0D">
        <w:t xml:space="preserve">level. </w:t>
      </w:r>
    </w:p>
    <w:p w14:paraId="49132F92" w14:textId="77777777" w:rsidR="001C19A4" w:rsidRDefault="001C19A4" w:rsidP="005F27A6">
      <w:pPr>
        <w:ind w:left="1080"/>
      </w:pPr>
      <w:r>
        <w:t xml:space="preserve">The Northgate USD governing board will need to address the educational needs of its special education students and program and facility needs for its alternative education students. Additionally, the proposed Northgate USD </w:t>
      </w:r>
      <w:r>
        <w:lastRenderedPageBreak/>
        <w:t xml:space="preserve">cannot count on teachers at the Northgate area schools remaining at those schools, as they have the option to remain with the Mt. Diablo USD. </w:t>
      </w:r>
    </w:p>
    <w:p w14:paraId="0014BF1F" w14:textId="50D8469C" w:rsidR="001C19A4" w:rsidRPr="00CB5427" w:rsidRDefault="001C19A4" w:rsidP="005F27A6">
      <w:pPr>
        <w:ind w:left="1080"/>
      </w:pPr>
      <w:r>
        <w:t xml:space="preserve">The </w:t>
      </w:r>
      <w:r w:rsidR="00004B5B">
        <w:t xml:space="preserve">CDE </w:t>
      </w:r>
      <w:r>
        <w:t xml:space="preserve">report found there would be an impact to the school districts, but the impact is primarily logistic in nature; </w:t>
      </w:r>
      <w:r w:rsidR="00BB1BF9">
        <w:t>i</w:t>
      </w:r>
      <w:r>
        <w:t xml:space="preserve">t would not impede the delivery of a sound education program nor would it result in the loss of programs for either district. Therefore, </w:t>
      </w:r>
      <w:r w:rsidR="00FB2076">
        <w:t xml:space="preserve">the </w:t>
      </w:r>
      <w:r>
        <w:t>CDE</w:t>
      </w:r>
      <w:r w:rsidR="001D4647">
        <w:t xml:space="preserve"> finds </w:t>
      </w:r>
      <w:r>
        <w:t>that the proposal substantially meets this condition.</w:t>
      </w:r>
    </w:p>
    <w:p w14:paraId="36F4BBE3" w14:textId="77777777" w:rsidR="001C19A4" w:rsidRPr="0055446E" w:rsidRDefault="001C19A4" w:rsidP="000A33F9">
      <w:pPr>
        <w:pStyle w:val="Heading3"/>
        <w:numPr>
          <w:ilvl w:val="1"/>
          <w:numId w:val="31"/>
        </w:numPr>
        <w:ind w:left="1080"/>
      </w:pPr>
      <w:r w:rsidRPr="0055446E">
        <w:t>Any increase in school facilities costs as a result of the proposed reorganization will be insignificant and otherwise incidental to the reorganization.</w:t>
      </w:r>
    </w:p>
    <w:p w14:paraId="65D8D313" w14:textId="77777777" w:rsidR="001C19A4" w:rsidRDefault="001C19A4" w:rsidP="00315751">
      <w:pPr>
        <w:pStyle w:val="Heading4"/>
        <w:ind w:left="1080"/>
      </w:pPr>
      <w:r w:rsidRPr="00CB5427">
        <w:t>Standard</w:t>
      </w:r>
      <w:r w:rsidRPr="00CD78B8">
        <w:t xml:space="preserve"> of Rev</w:t>
      </w:r>
      <w:r>
        <w:t>iew</w:t>
      </w:r>
    </w:p>
    <w:p w14:paraId="4A265EB0" w14:textId="77777777" w:rsidR="001C19A4" w:rsidRPr="00053F55" w:rsidRDefault="001C19A4" w:rsidP="005F27A6">
      <w:pPr>
        <w:ind w:left="1080"/>
      </w:pPr>
      <w:r w:rsidRPr="00053F55">
        <w:t xml:space="preserve">The SBE has not adopted regulations regarding this condition. However, an adequate analysis of the condition should include a determination of: (1) the availability of facilities to house all students at all grade </w:t>
      </w:r>
      <w:r>
        <w:t>l</w:t>
      </w:r>
      <w:r w:rsidRPr="00053F55">
        <w:t>evels in the reorganized area, (2) sources of funding for new construction, (3) effect on facilities and housing capacity of all affected districts, and (4) impact on bonding capacity of affected districts.</w:t>
      </w:r>
    </w:p>
    <w:p w14:paraId="3D0B5729" w14:textId="77777777" w:rsidR="001C19A4" w:rsidRDefault="001C19A4" w:rsidP="00315751">
      <w:pPr>
        <w:pStyle w:val="Heading4"/>
        <w:ind w:left="1080"/>
      </w:pPr>
      <w:r w:rsidRPr="00CB5427">
        <w:t>County Committee Review and Evaluation</w:t>
      </w:r>
    </w:p>
    <w:p w14:paraId="771B95D6" w14:textId="77777777" w:rsidR="001C19A4" w:rsidRDefault="001C19A4" w:rsidP="005F27A6">
      <w:pPr>
        <w:ind w:left="1080"/>
        <w:rPr>
          <w:i/>
        </w:rPr>
      </w:pPr>
      <w:r>
        <w:t xml:space="preserve">The proposal includes three elementary schools, two middle schools, and two high schools. The </w:t>
      </w:r>
      <w:r w:rsidRPr="00D049A2">
        <w:rPr>
          <w:i/>
        </w:rPr>
        <w:t>Feasibility Study</w:t>
      </w:r>
      <w:r>
        <w:t xml:space="preserve"> established that the reorganization would result in an inequitable division of facilities because the proposed Northgate USD would have insufficient capacity at the elementary school level and excess capacity at the middle and high school levels, while the remaining portion of Mt. Diablo USD would have insufficient capacity to serve existing high school students. SSC notes the proposed district will also need to provide facilities for alternative education, approximately 18,000 square feet of office space for district-level administration and support services, and maintenance and operations, including school buses.</w:t>
      </w:r>
    </w:p>
    <w:p w14:paraId="785019B1" w14:textId="77777777" w:rsidR="001C19A4" w:rsidRDefault="001C19A4" w:rsidP="005F27A6">
      <w:pPr>
        <w:ind w:left="1080"/>
      </w:pPr>
      <w:r>
        <w:t xml:space="preserve">The </w:t>
      </w:r>
      <w:r w:rsidRPr="004215AA">
        <w:rPr>
          <w:i/>
        </w:rPr>
        <w:t>Feasibility Study</w:t>
      </w:r>
      <w:r>
        <w:t xml:space="preserve"> states: </w:t>
      </w:r>
    </w:p>
    <w:p w14:paraId="33F68B52" w14:textId="70B2FB4B" w:rsidR="001C19A4" w:rsidRPr="004900C2" w:rsidRDefault="001C19A4" w:rsidP="005F27A6">
      <w:pPr>
        <w:ind w:left="1440"/>
        <w:rPr>
          <w:i/>
        </w:rPr>
      </w:pPr>
      <w:r w:rsidRPr="004900C2">
        <w:rPr>
          <w:i/>
        </w:rPr>
        <w:t xml:space="preserve">Therefore, as the petition is drafted, and without significant changes by both districts to their policies, increased facilities costs are inevitable for both districts. </w:t>
      </w:r>
    </w:p>
    <w:p w14:paraId="144B918C" w14:textId="5455489F" w:rsidR="001C19A4" w:rsidRPr="004900C2" w:rsidRDefault="001C19A4" w:rsidP="005F27A6">
      <w:pPr>
        <w:ind w:left="1440"/>
        <w:rPr>
          <w:i/>
        </w:rPr>
      </w:pPr>
      <w:r w:rsidRPr="004900C2">
        <w:rPr>
          <w:i/>
        </w:rPr>
        <w:t xml:space="preserve">The study finds that the proposed unification would not result in an insignificant or incidental increase in school facilities costs; therefore, </w:t>
      </w:r>
      <w:proofErr w:type="gramStart"/>
      <w:r w:rsidRPr="004900C2">
        <w:rPr>
          <w:i/>
        </w:rPr>
        <w:t>this criteria</w:t>
      </w:r>
      <w:proofErr w:type="gramEnd"/>
      <w:r w:rsidRPr="004900C2">
        <w:rPr>
          <w:i/>
        </w:rPr>
        <w:t xml:space="preserve"> [sic] would not be met…The construction of new facilities or the </w:t>
      </w:r>
      <w:r w:rsidRPr="004900C2">
        <w:rPr>
          <w:i/>
        </w:rPr>
        <w:lastRenderedPageBreak/>
        <w:t xml:space="preserve">modification of existing facilities to accommodate students would constitute a significant expense as a direct result of the </w:t>
      </w:r>
      <w:r w:rsidR="0091463E">
        <w:rPr>
          <w:i/>
        </w:rPr>
        <w:t>reorganization.</w:t>
      </w:r>
    </w:p>
    <w:p w14:paraId="321B69A6" w14:textId="4B3AB1BA" w:rsidR="001C19A4" w:rsidRDefault="0091463E" w:rsidP="005F27A6">
      <w:pPr>
        <w:ind w:left="1080"/>
      </w:pPr>
      <w:r>
        <w:t xml:space="preserve">The </w:t>
      </w:r>
      <w:r w:rsidR="001C19A4">
        <w:t xml:space="preserve">Mt. Diablo </w:t>
      </w:r>
      <w:r>
        <w:t xml:space="preserve">USD </w:t>
      </w:r>
      <w:r w:rsidR="001C19A4">
        <w:t xml:space="preserve">concurred with the assessment by SSC. </w:t>
      </w:r>
    </w:p>
    <w:p w14:paraId="60B0CB36" w14:textId="449D78D5" w:rsidR="001C19A4" w:rsidRPr="0055446E" w:rsidRDefault="001C19A4" w:rsidP="005F27A6">
      <w:pPr>
        <w:ind w:left="1080"/>
      </w:pPr>
      <w:r>
        <w:t xml:space="preserve">The petitioners disagree. While they acknowledge that the proposed district has several </w:t>
      </w:r>
      <w:proofErr w:type="gramStart"/>
      <w:r>
        <w:t>facility</w:t>
      </w:r>
      <w:proofErr w:type="gramEnd"/>
      <w:r>
        <w:t xml:space="preserve"> needs (i.e.</w:t>
      </w:r>
      <w:r w:rsidR="00FB2076">
        <w:t>,</w:t>
      </w:r>
      <w:r>
        <w:t xml:space="preserve"> more capacity needed at the elementary level, facilities for alternative education, and office space for district administration and support services), the proponents state the costs would be minimal and could be funded from reserves, borrowing, LCFF </w:t>
      </w:r>
      <w:r w:rsidRPr="0055446E">
        <w:t>revenue, and the general fund.</w:t>
      </w:r>
      <w:r>
        <w:t xml:space="preserve"> </w:t>
      </w:r>
    </w:p>
    <w:p w14:paraId="7970C283" w14:textId="77777777" w:rsidR="001C19A4" w:rsidRDefault="001C19A4" w:rsidP="005F27A6">
      <w:pPr>
        <w:ind w:left="1080"/>
      </w:pPr>
      <w:r w:rsidRPr="0055446E">
        <w:t>The County Committee voted (4-1-0) that this condition is not substantially met.</w:t>
      </w:r>
    </w:p>
    <w:p w14:paraId="75E30B01" w14:textId="77777777" w:rsidR="001C19A4" w:rsidRPr="00CB5427" w:rsidRDefault="001C19A4" w:rsidP="00315751">
      <w:pPr>
        <w:pStyle w:val="Heading4"/>
        <w:ind w:left="1080"/>
      </w:pPr>
      <w:r>
        <w:t>CDE Findings/Conclusion</w:t>
      </w:r>
    </w:p>
    <w:p w14:paraId="222A2977" w14:textId="5CC8EF13" w:rsidR="001C19A4" w:rsidRDefault="001C19A4" w:rsidP="005F27A6">
      <w:pPr>
        <w:ind w:left="1080"/>
      </w:pPr>
      <w:r w:rsidRPr="00CD2F55">
        <w:t xml:space="preserve">The CDE analysis of this condition was prepared by the School Facilities and Transportation Services Division and is </w:t>
      </w:r>
      <w:r w:rsidR="002C1821">
        <w:t>A</w:t>
      </w:r>
      <w:r w:rsidRPr="00CD2F55">
        <w:t>ttachment 4</w:t>
      </w:r>
      <w:r>
        <w:t>. The CDE found that the proposed new district would have approximately 1,000 unused seats at the middle and high school levels while Mt. Diablo USD would have insufficient capacity for its existing high school students. Mt. Diablo USD would need to provide facilities for these unhoused students, while the Northgate USD would need to procure facilities for its administration and operations. The report concluded, “T</w:t>
      </w:r>
      <w:r w:rsidRPr="00887D30">
        <w:t>he proposed reorganization is likely to increase school facility costs for both districts. Such costs will not be insignificant and are directly attributable to, rather than incidental to, the reorganization.</w:t>
      </w:r>
      <w:r>
        <w:t>” If new facilities are needed, the district would likely apply for state matching funds through the School Facility Program</w:t>
      </w:r>
      <w:r w:rsidR="00E50558">
        <w:t>.</w:t>
      </w:r>
    </w:p>
    <w:p w14:paraId="468576B3" w14:textId="4D3522EB" w:rsidR="001C19A4" w:rsidRPr="0082129A" w:rsidRDefault="0091463E" w:rsidP="005F27A6">
      <w:pPr>
        <w:ind w:left="1080"/>
      </w:pPr>
      <w:r>
        <w:t>If</w:t>
      </w:r>
      <w:r w:rsidR="001C19A4">
        <w:t xml:space="preserve"> the district is unable to provide school facilities to educate all of its own students within five years, the </w:t>
      </w:r>
      <w:r w:rsidR="00863ED1">
        <w:t>SBE</w:t>
      </w:r>
      <w:r w:rsidR="001C19A4">
        <w:t xml:space="preserve"> may direct the County Committee on School District Organization to revert the reorganized district to its former status or to have it annexed to one or more neighboring districts</w:t>
      </w:r>
      <w:r w:rsidR="00E50558">
        <w:t xml:space="preserve">. </w:t>
      </w:r>
      <w:r w:rsidR="00B06DA3">
        <w:t>(</w:t>
      </w:r>
      <w:r w:rsidR="00B06DA3" w:rsidRPr="00B06DA3">
        <w:rPr>
          <w:i/>
        </w:rPr>
        <w:t>EC</w:t>
      </w:r>
      <w:r w:rsidR="00B06DA3">
        <w:t xml:space="preserve"> Section 35780[b])</w:t>
      </w:r>
    </w:p>
    <w:p w14:paraId="09277AE9" w14:textId="7882EBFE" w:rsidR="001C19A4" w:rsidRPr="00CB5427" w:rsidRDefault="001D4647" w:rsidP="005F27A6">
      <w:pPr>
        <w:ind w:left="1080"/>
      </w:pPr>
      <w:r>
        <w:t xml:space="preserve">The </w:t>
      </w:r>
      <w:r w:rsidR="001C19A4">
        <w:t xml:space="preserve">CDE </w:t>
      </w:r>
      <w:r>
        <w:t>concludes</w:t>
      </w:r>
      <w:r w:rsidR="001C19A4">
        <w:t xml:space="preserve"> that this condition is not substantially met.</w:t>
      </w:r>
    </w:p>
    <w:p w14:paraId="4AA2F3DE" w14:textId="77777777" w:rsidR="001C19A4" w:rsidRDefault="001C19A4" w:rsidP="000A33F9">
      <w:pPr>
        <w:pStyle w:val="Heading3"/>
        <w:numPr>
          <w:ilvl w:val="1"/>
          <w:numId w:val="31"/>
        </w:numPr>
        <w:ind w:left="1080"/>
      </w:pPr>
      <w:r w:rsidRPr="00A23D43">
        <w:lastRenderedPageBreak/>
        <w:t>The proposed reorganization is primarily designed for purposes other than to significantly increase property values.</w:t>
      </w:r>
    </w:p>
    <w:p w14:paraId="68726077" w14:textId="77777777" w:rsidR="001C19A4" w:rsidRDefault="001C19A4" w:rsidP="00315751">
      <w:pPr>
        <w:pStyle w:val="Heading4"/>
        <w:ind w:left="1080"/>
      </w:pPr>
      <w:r w:rsidRPr="00CB5427">
        <w:t>Standard</w:t>
      </w:r>
      <w:r w:rsidRPr="00CD78B8">
        <w:t xml:space="preserve"> of Review</w:t>
      </w:r>
    </w:p>
    <w:p w14:paraId="06EBA6C0" w14:textId="77777777" w:rsidR="001C19A4" w:rsidRPr="00053F55" w:rsidRDefault="001C19A4" w:rsidP="005F27A6">
      <w:pPr>
        <w:ind w:left="1080"/>
      </w:pPr>
      <w:r w:rsidRPr="00053F55">
        <w:t>The SBE has not adopted regulations regarding this condition. The rationale for the reorganization should be analyzed and, if it is determined to be questionable or not compelling, there should be a consideration of increased property values as the primary reason for the reorganization.</w:t>
      </w:r>
    </w:p>
    <w:p w14:paraId="1968CE59" w14:textId="77777777" w:rsidR="001C19A4" w:rsidRDefault="001C19A4" w:rsidP="00315751">
      <w:pPr>
        <w:pStyle w:val="Heading4"/>
        <w:ind w:left="1080"/>
      </w:pPr>
      <w:r w:rsidRPr="00CB5427">
        <w:t>County Committee Review and Evaluation</w:t>
      </w:r>
    </w:p>
    <w:p w14:paraId="64C0E174" w14:textId="25413CF9" w:rsidR="001C19A4" w:rsidRDefault="001C19A4" w:rsidP="005F27A6">
      <w:pPr>
        <w:ind w:left="1080"/>
      </w:pPr>
      <w:r>
        <w:t xml:space="preserve">In its examination of this issue, SSC reviewed the rationale provided by the petitioners and prepared an estimate of the effect of the reorganization on the assessed valuations of residential and non-residential property. Northgate USD enjoys substantially higher property values on average than the rest of the Mt. Diablo USD. The residential and non-residential assessed valuation was estimated to be $500,344 and $1,935,688 per parcel, respectively, for the Northgate territory and $317,281 and $1,622,025 per parcel, respectively, for the remaining portion of the Mt. Diablo USD. Despite this difference, SSC did not find any evidence of the petitioners being motivated by an intent to affect property values. The </w:t>
      </w:r>
      <w:r w:rsidR="00D316F1" w:rsidRPr="005444BA">
        <w:rPr>
          <w:i/>
        </w:rPr>
        <w:t>Feasibility Study</w:t>
      </w:r>
      <w:r>
        <w:t xml:space="preserve"> concluded this condition is substantially met. </w:t>
      </w:r>
    </w:p>
    <w:p w14:paraId="56961706" w14:textId="77777777" w:rsidR="001C19A4" w:rsidRDefault="001C19A4" w:rsidP="005F27A6">
      <w:pPr>
        <w:ind w:left="1080"/>
      </w:pPr>
      <w:r>
        <w:t>The Mt. Diablo USD is neutral in its position on this condition.</w:t>
      </w:r>
    </w:p>
    <w:p w14:paraId="56FE32FF" w14:textId="77777777" w:rsidR="001C19A4" w:rsidRDefault="001C19A4" w:rsidP="005F27A6">
      <w:pPr>
        <w:ind w:left="1080"/>
      </w:pPr>
      <w:r w:rsidRPr="00EA344A">
        <w:t>The County Committee voted (5-0-0) that this condition is substantially met.</w:t>
      </w:r>
    </w:p>
    <w:p w14:paraId="70F7371A" w14:textId="77777777" w:rsidR="001C19A4" w:rsidRPr="00A73A6F" w:rsidRDefault="001C19A4" w:rsidP="00315751">
      <w:pPr>
        <w:pStyle w:val="Heading4"/>
        <w:ind w:left="1080"/>
      </w:pPr>
      <w:r w:rsidRPr="00A73A6F">
        <w:t>CDE Findings/Conclusion</w:t>
      </w:r>
    </w:p>
    <w:p w14:paraId="5709D1D0" w14:textId="77777777" w:rsidR="001C19A4" w:rsidRDefault="001C19A4" w:rsidP="005F27A6">
      <w:pPr>
        <w:ind w:left="1080"/>
      </w:pPr>
      <w:r>
        <w:t xml:space="preserve">The petition offers as its rationale that creating a new unified school district from largely existing attendance boundaries would retain what the petitioners enjoy about their schools and improve upon the items they find are lacking. </w:t>
      </w:r>
    </w:p>
    <w:p w14:paraId="2EC2EBA9" w14:textId="77777777" w:rsidR="001C19A4" w:rsidRDefault="001C19A4" w:rsidP="005F27A6">
      <w:pPr>
        <w:ind w:left="1080"/>
      </w:pPr>
      <w:r>
        <w:t xml:space="preserve">While it cannot be ignored that property values within the Northgate USD territory are substantially higher than that of the remaining part of the Mt. Diablo USD, it seems unlikely that increasing property values is the primary reason for the proposal. The Northgate area is largely built out according to the 2020 </w:t>
      </w:r>
      <w:r w:rsidRPr="002102FE">
        <w:rPr>
          <w:i/>
        </w:rPr>
        <w:t>Residential and Commercial/Industrial Development School Fee Justification Study for Mt. Diablo USD</w:t>
      </w:r>
      <w:r>
        <w:t xml:space="preserve">. All of the territory identified for inclusion in the proposed Northgate USD has been part of the attendance area of the schools to be included in the new district, with the exception of Oak Grove Middle and Ygnacio Valley High. </w:t>
      </w:r>
    </w:p>
    <w:p w14:paraId="06D776BC" w14:textId="08B42C5C" w:rsidR="001C19A4" w:rsidRDefault="006F4908" w:rsidP="005F27A6">
      <w:pPr>
        <w:ind w:left="1080"/>
      </w:pPr>
      <w:r>
        <w:lastRenderedPageBreak/>
        <w:t xml:space="preserve">The </w:t>
      </w:r>
      <w:r w:rsidR="001C19A4">
        <w:t>CDE agree</w:t>
      </w:r>
      <w:r w:rsidR="003D61EF">
        <w:t>s</w:t>
      </w:r>
      <w:r w:rsidR="001C19A4">
        <w:t xml:space="preserve"> with the County Committee that this condition is substantially met. </w:t>
      </w:r>
    </w:p>
    <w:p w14:paraId="12F2B097" w14:textId="77777777" w:rsidR="001C19A4" w:rsidRPr="00D13566" w:rsidRDefault="001C19A4" w:rsidP="000A33F9">
      <w:pPr>
        <w:pStyle w:val="Heading3"/>
        <w:numPr>
          <w:ilvl w:val="1"/>
          <w:numId w:val="31"/>
        </w:numPr>
        <w:ind w:left="1080"/>
      </w:pPr>
      <w:r w:rsidRPr="00D13566">
        <w:t>The proposed reorganization will continue to promote sound fiscal management and not cause a substantial negative effect on the fiscal status of the proposed district or any existing district affected by the proposed reorganization.</w:t>
      </w:r>
    </w:p>
    <w:p w14:paraId="036D3D5E" w14:textId="77777777" w:rsidR="001C19A4" w:rsidRDefault="001C19A4" w:rsidP="00315751">
      <w:pPr>
        <w:pStyle w:val="Heading4"/>
        <w:ind w:left="1080"/>
      </w:pPr>
      <w:r w:rsidRPr="00CB5427">
        <w:t>Standard</w:t>
      </w:r>
      <w:r w:rsidRPr="00CD78B8">
        <w:t xml:space="preserve"> of Review</w:t>
      </w:r>
    </w:p>
    <w:p w14:paraId="10D7EE95" w14:textId="77777777" w:rsidR="001C19A4" w:rsidRPr="00053F55" w:rsidRDefault="001C19A4" w:rsidP="005F27A6">
      <w:pPr>
        <w:ind w:left="1080"/>
      </w:pPr>
      <w:r w:rsidRPr="00053F55">
        <w:t xml:space="preserve">The SBE has not adopted regulations regarding this condition. The standards and criteria adopted by the SBE pursuant to </w:t>
      </w:r>
      <w:r w:rsidRPr="00A23D43">
        <w:rPr>
          <w:i/>
        </w:rPr>
        <w:t>EC</w:t>
      </w:r>
      <w:r w:rsidRPr="00053F55">
        <w:t xml:space="preserve"> Section 33127, and published in 5 </w:t>
      </w:r>
      <w:r w:rsidRPr="00A23D43">
        <w:rPr>
          <w:i/>
        </w:rPr>
        <w:t xml:space="preserve">CCR </w:t>
      </w:r>
      <w:r w:rsidRPr="00053F55">
        <w:t>sections 15440</w:t>
      </w:r>
      <w:r>
        <w:t xml:space="preserve"> through </w:t>
      </w:r>
      <w:r w:rsidRPr="00053F55">
        <w:t>15466, are recommended for evaluation of the financial conditions of the affected districts.</w:t>
      </w:r>
    </w:p>
    <w:p w14:paraId="46E87CC8" w14:textId="77777777" w:rsidR="001C19A4" w:rsidRDefault="001C19A4" w:rsidP="00315751">
      <w:pPr>
        <w:pStyle w:val="Heading4"/>
        <w:ind w:left="1080"/>
      </w:pPr>
      <w:r w:rsidRPr="00CB5427">
        <w:t>County Committee Review and Evaluation</w:t>
      </w:r>
    </w:p>
    <w:p w14:paraId="6007D667" w14:textId="5BEB0C3B" w:rsidR="001C19A4" w:rsidRDefault="001C19A4" w:rsidP="005F27A6">
      <w:pPr>
        <w:ind w:left="1080"/>
      </w:pPr>
      <w:r>
        <w:t xml:space="preserve">The County Committee considered the findings of the </w:t>
      </w:r>
      <w:r w:rsidR="00D316F1" w:rsidRPr="005444BA">
        <w:rPr>
          <w:i/>
        </w:rPr>
        <w:t>Feasibility Study</w:t>
      </w:r>
      <w:r w:rsidR="00D316F1">
        <w:t xml:space="preserve"> </w:t>
      </w:r>
      <w:r>
        <w:t>by SSC as well as points made by Mt. Diablo USD and representatives of Northgate CAPS on behalf of the petitioners.</w:t>
      </w:r>
      <w:r w:rsidR="0024655D">
        <w:t xml:space="preserve"> </w:t>
      </w:r>
    </w:p>
    <w:p w14:paraId="27B90DC7" w14:textId="77777777" w:rsidR="001C19A4" w:rsidRDefault="001C19A4" w:rsidP="005F27A6">
      <w:pPr>
        <w:ind w:left="1080"/>
      </w:pPr>
      <w:r>
        <w:t>To understand the fiscal ramifications and viability of the districts as a result of the proposed reorganization, the SSC reviewed the</w:t>
      </w:r>
      <w:r w:rsidRPr="005D207D">
        <w:t xml:space="preserve"> Mt. Diablo USD budget </w:t>
      </w:r>
      <w:r>
        <w:t>for</w:t>
      </w:r>
      <w:r w:rsidRPr="005D207D">
        <w:t xml:space="preserve"> the </w:t>
      </w:r>
      <w:r>
        <w:t>2017–18 fiscal</w:t>
      </w:r>
      <w:r w:rsidRPr="005D207D">
        <w:t xml:space="preserve"> year and the prior two years</w:t>
      </w:r>
      <w:r>
        <w:t xml:space="preserve"> as well as the district’s multi-year projection. SSC then recalculated the revenues and expenditures for the proposed district and the remaining portion of Mt. Diablo USD according to the estimated share of revenue generating ADA, enrollment, and expenditures of each district. The </w:t>
      </w:r>
      <w:r w:rsidRPr="004215AA">
        <w:rPr>
          <w:i/>
        </w:rPr>
        <w:t>Feasibility Study</w:t>
      </w:r>
      <w:r>
        <w:t xml:space="preserve"> determined that the reorganization would substantially meet this criterion with the caveat that it depended upon the Mt. Diablo USD carrying out planned budget adjustments to address its deficit spending. </w:t>
      </w:r>
    </w:p>
    <w:p w14:paraId="01525567" w14:textId="400B2E27" w:rsidR="001C19A4" w:rsidRDefault="001C19A4" w:rsidP="005F27A6">
      <w:pPr>
        <w:ind w:left="1080"/>
      </w:pPr>
      <w:r>
        <w:t xml:space="preserve">The Mt. Diablo USD argued that there were would be a substantial negative impact to it due to the additional facilities costs, lost revenue due to lost students, and lost taxpayer investments </w:t>
      </w:r>
      <w:r w:rsidR="00C06342">
        <w:t>in</w:t>
      </w:r>
      <w:r>
        <w:t xml:space="preserve"> districtwide amenities. </w:t>
      </w:r>
    </w:p>
    <w:p w14:paraId="4EA2F62E" w14:textId="77777777" w:rsidR="001C19A4" w:rsidRDefault="001C19A4" w:rsidP="005F27A6">
      <w:pPr>
        <w:ind w:left="1080"/>
      </w:pPr>
      <w:r>
        <w:t>The petitioners analyzed the data and concluded that the reorganization would not result in a negative impact to either district if the school district governing boards managed costs by adjusting programs and staffing to align with the enrollment needs post-reorganization. They concluded this condition was substantially met.</w:t>
      </w:r>
    </w:p>
    <w:p w14:paraId="5CCB3188" w14:textId="21BD13C9" w:rsidR="001C19A4" w:rsidRDefault="001C19A4" w:rsidP="005F27A6">
      <w:pPr>
        <w:ind w:left="1080"/>
      </w:pPr>
      <w:r>
        <w:t>The County Committee vote</w:t>
      </w:r>
      <w:r w:rsidR="00470726">
        <w:t xml:space="preserve"> was split</w:t>
      </w:r>
      <w:r>
        <w:t xml:space="preserve"> </w:t>
      </w:r>
      <w:r w:rsidRPr="00636FEA">
        <w:t>(2-2-1)</w:t>
      </w:r>
      <w:r w:rsidR="00470726">
        <w:t xml:space="preserve">; thus, there was no determination </w:t>
      </w:r>
      <w:r w:rsidRPr="00636FEA">
        <w:t xml:space="preserve">that this condition is </w:t>
      </w:r>
      <w:r>
        <w:t xml:space="preserve">substantially met. </w:t>
      </w:r>
    </w:p>
    <w:p w14:paraId="7A380625" w14:textId="77777777" w:rsidR="001C19A4" w:rsidRDefault="001C19A4" w:rsidP="00315751">
      <w:pPr>
        <w:pStyle w:val="Heading4"/>
        <w:ind w:left="1080"/>
      </w:pPr>
      <w:r>
        <w:lastRenderedPageBreak/>
        <w:t>CDE Findings/Conclusion</w:t>
      </w:r>
    </w:p>
    <w:p w14:paraId="5250AE2E" w14:textId="1869D095" w:rsidR="001C19A4" w:rsidRPr="00DF38BA" w:rsidRDefault="001C19A4" w:rsidP="005F27A6">
      <w:pPr>
        <w:ind w:left="1080"/>
      </w:pPr>
      <w:r w:rsidRPr="00DF38BA">
        <w:t xml:space="preserve">The CDE analysis of this condition is </w:t>
      </w:r>
      <w:r w:rsidR="002C1821">
        <w:t>A</w:t>
      </w:r>
      <w:r w:rsidRPr="00DF38BA">
        <w:t xml:space="preserve">ttachment 5. A summary of this analysis is presented below. </w:t>
      </w:r>
    </w:p>
    <w:p w14:paraId="7C36F48C" w14:textId="77777777" w:rsidR="001C19A4" w:rsidRPr="001670C2" w:rsidRDefault="001C19A4" w:rsidP="005F27A6">
      <w:pPr>
        <w:ind w:left="1080"/>
      </w:pPr>
      <w:r w:rsidRPr="001670C2">
        <w:t>The CDE acknowledges that there will be increased administrative costs due to duplication of services whenever one district is divided into two (or more) districts. However, the CDE also assumes that it was not the Legislature’s intent to prohibit all reorganizations that would divide a district―thus, additional administrative costs due to the reorganization are not considered a sole reason for determining if this condition is met.</w:t>
      </w:r>
    </w:p>
    <w:p w14:paraId="635096E5" w14:textId="2C1B9396" w:rsidR="001C19A4" w:rsidRPr="00BE4954" w:rsidRDefault="001C19A4" w:rsidP="005F27A6">
      <w:pPr>
        <w:ind w:left="1080"/>
      </w:pPr>
      <w:r w:rsidRPr="001670C2">
        <w:rPr>
          <w:i/>
        </w:rPr>
        <w:t>EC</w:t>
      </w:r>
      <w:r w:rsidRPr="001670C2">
        <w:t xml:space="preserve"> Section 35735 requires that an integral part of any reorganization proposal shall be the LCFF entitlement computed for the fiscal year prior to the year the district will be reorganized. Toward this end, calculated </w:t>
      </w:r>
      <w:r w:rsidR="009F043D" w:rsidRPr="001670C2">
        <w:t xml:space="preserve">Northgate </w:t>
      </w:r>
      <w:r w:rsidRPr="001670C2">
        <w:t xml:space="preserve">hypothetical LCFF entitlements for a new unified school district and remaining portion of the Mt. Diablo USD, assuming the districts were in effect for 2020–21 (see Section 5.5). Using this LCFF entitlement calculation and the 2020–21 Unaudited Actuals of the Mt. Diablo USD, </w:t>
      </w:r>
      <w:r w:rsidR="002C5CC6">
        <w:t xml:space="preserve">the </w:t>
      </w:r>
      <w:r w:rsidRPr="001670C2">
        <w:t xml:space="preserve">CDE developed a </w:t>
      </w:r>
      <w:r w:rsidRPr="00BE4954">
        <w:t>hypothetical fiscal scenario for use in analyzing this condition.</w:t>
      </w:r>
    </w:p>
    <w:p w14:paraId="25B9A8BC" w14:textId="45C8330E" w:rsidR="001C19A4" w:rsidRPr="00BE4954" w:rsidRDefault="001C19A4" w:rsidP="005F27A6">
      <w:pPr>
        <w:ind w:left="1080"/>
      </w:pPr>
      <w:r w:rsidRPr="00BE4954">
        <w:t>The 2020–21 scenario shows that the proposed Northgate district would have had a surplus of $1.1 million and the remaining Mt. Diablo portion of the district would have had a surplus of $36.8 million</w:t>
      </w:r>
      <w:r w:rsidRPr="00D13566">
        <w:t xml:space="preserve">. </w:t>
      </w:r>
      <w:r w:rsidR="00E30F0E" w:rsidRPr="00D13566">
        <w:t>Assuming prudent fiscal decisions by a governing board, the Northgate</w:t>
      </w:r>
      <w:r w:rsidRPr="00D13566">
        <w:t xml:space="preserve"> district would have been able to meet its minimum reserve for economic uncertainties for 2020–21. T</w:t>
      </w:r>
      <w:r w:rsidRPr="00BE4954">
        <w:t>he spending of the proposed district does not take into consideration the additional costs that it would incur for duplicate administrative services.</w:t>
      </w:r>
    </w:p>
    <w:p w14:paraId="5E8AEA18" w14:textId="306AE557" w:rsidR="001C19A4" w:rsidRPr="00D17777" w:rsidRDefault="001C19A4" w:rsidP="005F27A6">
      <w:pPr>
        <w:ind w:left="1080"/>
      </w:pPr>
      <w:r w:rsidRPr="00BE4954">
        <w:t>A similar fiscal projection for 2021–22 also was developed. Under this scenario, the Northgate would have</w:t>
      </w:r>
      <w:r w:rsidR="002C5CC6">
        <w:t xml:space="preserve"> had</w:t>
      </w:r>
      <w:r w:rsidRPr="00BE4954">
        <w:t xml:space="preserve"> deficit spending of $3.5 million, absent any corrective measures, and the remaining portion of Mt. Diablo USD would have had a surplus of $10.4 million</w:t>
      </w:r>
      <w:r w:rsidRPr="00D13566">
        <w:t xml:space="preserve">. </w:t>
      </w:r>
      <w:r w:rsidR="00E30F0E" w:rsidRPr="00D13566">
        <w:t>Again, assuming prudent fiscal decisions by a governing board, d</w:t>
      </w:r>
      <w:r w:rsidRPr="00D13566">
        <w:t>eficit spending for the proposed Northgate district would not prevent the district from meeting its minimum reserve for economic uncertainties for 2021–22. As with the 2020</w:t>
      </w:r>
      <w:r w:rsidRPr="00BE4954">
        <w:t>–21 scenario, these calculations do not include the increased costs to the Northgate district to create a new administrative structure.</w:t>
      </w:r>
    </w:p>
    <w:p w14:paraId="12438498" w14:textId="25FEAA67" w:rsidR="001C19A4" w:rsidRPr="002A0A9F" w:rsidRDefault="001C19A4" w:rsidP="005F27A6">
      <w:pPr>
        <w:ind w:left="1080"/>
      </w:pPr>
      <w:r w:rsidRPr="00CF2492">
        <w:t xml:space="preserve">That said, </w:t>
      </w:r>
      <w:r w:rsidR="002C5CC6">
        <w:t xml:space="preserve">the </w:t>
      </w:r>
      <w:r w:rsidRPr="00CF2492">
        <w:t xml:space="preserve">CDE agrees with the conclusion of the SSC </w:t>
      </w:r>
      <w:r w:rsidRPr="004215AA">
        <w:rPr>
          <w:i/>
        </w:rPr>
        <w:t>Feasibility Study</w:t>
      </w:r>
      <w:r w:rsidRPr="00CF2492">
        <w:t xml:space="preserve"> that</w:t>
      </w:r>
      <w:r>
        <w:t xml:space="preserve">, </w:t>
      </w:r>
      <w:r w:rsidRPr="00CF2492">
        <w:t>provided good stewardship of both districts, t</w:t>
      </w:r>
      <w:r>
        <w:t xml:space="preserve">he proposal would not endanger </w:t>
      </w:r>
      <w:r w:rsidRPr="00815E50">
        <w:t>sound fiscal management no</w:t>
      </w:r>
      <w:r>
        <w:t>r</w:t>
      </w:r>
      <w:r w:rsidRPr="00815E50">
        <w:t xml:space="preserve"> cause a substantial negative effect </w:t>
      </w:r>
      <w:r w:rsidRPr="00815E50">
        <w:lastRenderedPageBreak/>
        <w:t xml:space="preserve">on the fiscal status of the proposed district or </w:t>
      </w:r>
      <w:r>
        <w:t xml:space="preserve">the </w:t>
      </w:r>
      <w:r w:rsidRPr="00815E50">
        <w:t>existing district</w:t>
      </w:r>
      <w:r>
        <w:t xml:space="preserve">. </w:t>
      </w:r>
      <w:r w:rsidRPr="00CF2492">
        <w:t xml:space="preserve">Thus, it is the opinion of </w:t>
      </w:r>
      <w:r w:rsidR="002C5CC6">
        <w:t xml:space="preserve">the </w:t>
      </w:r>
      <w:r w:rsidRPr="00CF2492">
        <w:t>CDE that the proposal substantially meets this condition.</w:t>
      </w:r>
    </w:p>
    <w:p w14:paraId="434287F2" w14:textId="77777777" w:rsidR="001C19A4" w:rsidRPr="00972A13" w:rsidRDefault="001C19A4" w:rsidP="000A33F9">
      <w:pPr>
        <w:pStyle w:val="Heading2"/>
        <w:numPr>
          <w:ilvl w:val="0"/>
          <w:numId w:val="32"/>
        </w:numPr>
      </w:pPr>
      <w:r w:rsidRPr="00972A13">
        <w:t>Compelling Reasons for Approval of Unification Proposal</w:t>
      </w:r>
    </w:p>
    <w:p w14:paraId="7B3ED2B1" w14:textId="6AF76107" w:rsidR="00852316" w:rsidRDefault="001C19A4" w:rsidP="005F27A6">
      <w:pPr>
        <w:ind w:left="720"/>
      </w:pPr>
      <w:r>
        <w:t xml:space="preserve">Approval of any unification proposal by the SBE is a discretionary action, whether the SBE finds that all </w:t>
      </w:r>
      <w:r w:rsidRPr="00A23D43">
        <w:rPr>
          <w:i/>
        </w:rPr>
        <w:t>EC</w:t>
      </w:r>
      <w:r>
        <w:t xml:space="preserve"> Section 35753 conditions are substantially met or even if all the conditions are not met. </w:t>
      </w:r>
      <w:r w:rsidR="00852316">
        <w:t>The CDE recommends that the following two conditions are not substantially met:</w:t>
      </w:r>
    </w:p>
    <w:p w14:paraId="3D1D3996" w14:textId="51A4234B" w:rsidR="00852316" w:rsidRDefault="00852316" w:rsidP="00852316">
      <w:pPr>
        <w:pStyle w:val="ListParagraph"/>
        <w:numPr>
          <w:ilvl w:val="0"/>
          <w:numId w:val="43"/>
        </w:numPr>
        <w:spacing w:after="240" w:line="259" w:lineRule="auto"/>
        <w:contextualSpacing w:val="0"/>
      </w:pPr>
      <w:r w:rsidRPr="00852316">
        <w:rPr>
          <w:i/>
        </w:rPr>
        <w:t>EC</w:t>
      </w:r>
      <w:r>
        <w:t xml:space="preserve"> Section 35753(a)(3)—The proposal will result in an equitable division of property and facilities of the original district or districts.</w:t>
      </w:r>
    </w:p>
    <w:p w14:paraId="25370FA1" w14:textId="4BF9E9EB" w:rsidR="00852316" w:rsidRDefault="00852316" w:rsidP="00852316">
      <w:pPr>
        <w:pStyle w:val="ListParagraph"/>
        <w:numPr>
          <w:ilvl w:val="0"/>
          <w:numId w:val="43"/>
        </w:numPr>
        <w:spacing w:after="240" w:line="259" w:lineRule="auto"/>
        <w:contextualSpacing w:val="0"/>
      </w:pPr>
      <w:r w:rsidRPr="00852316">
        <w:rPr>
          <w:i/>
        </w:rPr>
        <w:t>EC</w:t>
      </w:r>
      <w:r>
        <w:t xml:space="preserve"> Section 35753(a)(7)—Any increase in school facilities costs as a result of the proposed reorganization will be insignificant and otherwise incidental to the reorganization.</w:t>
      </w:r>
    </w:p>
    <w:p w14:paraId="2F5231D8" w14:textId="4C5F48B0" w:rsidR="00852316" w:rsidRDefault="00852316" w:rsidP="00852316">
      <w:pPr>
        <w:ind w:left="720"/>
      </w:pPr>
      <w:r>
        <w:t xml:space="preserve">Subdivision (b) of </w:t>
      </w:r>
      <w:r w:rsidRPr="001B3344">
        <w:rPr>
          <w:i/>
        </w:rPr>
        <w:t>EC</w:t>
      </w:r>
      <w:r>
        <w:t xml:space="preserve"> Section 35753 provides that the SBE “may approve a proposal for the reorganization of school districts if the state board determines that it is not practical or possible to apply the criteria of this section literally, and that the circumstances with respect to the proposals provide an exceptional situation sufficient to justify approval of the proposals.” Thus, the SBE may approve a proposal even if it determines one or more of the </w:t>
      </w:r>
      <w:r w:rsidRPr="001B3344">
        <w:rPr>
          <w:i/>
        </w:rPr>
        <w:t>EC</w:t>
      </w:r>
      <w:r>
        <w:t xml:space="preserve"> Section 35753 conditions are not substantially met—if it finds a compelling reason to do so.</w:t>
      </w:r>
    </w:p>
    <w:p w14:paraId="6A6628C0" w14:textId="72FAFB2F" w:rsidR="001C19A4" w:rsidRDefault="001C19A4" w:rsidP="005F27A6">
      <w:pPr>
        <w:ind w:left="720"/>
      </w:pPr>
      <w:r>
        <w:t>Although the SBE cannot approve the proposal to form a new Northgate unified school district at this time</w:t>
      </w:r>
      <w:r w:rsidR="001B3344">
        <w:t xml:space="preserve"> (see section 9)</w:t>
      </w:r>
      <w:r>
        <w:t xml:space="preserve">, it must decide whether or not the proposal has sufficient merit to move forward. </w:t>
      </w:r>
    </w:p>
    <w:p w14:paraId="6C3645C8" w14:textId="7DEB1540" w:rsidR="001C19A4" w:rsidRDefault="001C19A4" w:rsidP="005F27A6">
      <w:pPr>
        <w:ind w:left="720"/>
      </w:pPr>
      <w:r>
        <w:t xml:space="preserve">Petitioners have offered a number of reasons for seeking the formation of a new Northgate unified school district in </w:t>
      </w:r>
      <w:r w:rsidR="00F72FC1">
        <w:t>s</w:t>
      </w:r>
      <w:r>
        <w:t>ection 3.0 of this report. The SBE may consider any of the petitioners’ reasons, or reasons of its own, when determin</w:t>
      </w:r>
      <w:r w:rsidR="001B3344">
        <w:t>ing if the proposal has merit.</w:t>
      </w:r>
    </w:p>
    <w:p w14:paraId="79200968" w14:textId="3B58F7CE" w:rsidR="001C19A4" w:rsidRDefault="001B3344" w:rsidP="005F27A6">
      <w:pPr>
        <w:ind w:left="720"/>
      </w:pPr>
      <w:r w:rsidRPr="001B3344">
        <w:t xml:space="preserve">Conversely, the SBE may consider compelling reasons to disapprove the proposal. </w:t>
      </w:r>
      <w:r w:rsidR="001C19A4">
        <w:t>As mentioned in section 5.6, the proposal would remove the newest and highest</w:t>
      </w:r>
      <w:r w:rsidR="00F72FC1">
        <w:t>-</w:t>
      </w:r>
      <w:r w:rsidR="001C19A4">
        <w:t xml:space="preserve">performing high school from the Mt. Diablo USD. This proposal has been highlighted in the national news because of its undercurrent of racial </w:t>
      </w:r>
      <w:r w:rsidR="001C19A4">
        <w:lastRenderedPageBreak/>
        <w:t>segregation.</w:t>
      </w:r>
      <w:r w:rsidR="001C19A4" w:rsidRPr="00E95A39">
        <w:rPr>
          <w:rStyle w:val="FootnoteReference"/>
          <w:vertAlign w:val="superscript"/>
        </w:rPr>
        <w:footnoteReference w:id="1"/>
      </w:r>
      <w:r w:rsidR="001C19A4">
        <w:t xml:space="preserve"> The perception nationally is that proposals, including the one considered here, are a </w:t>
      </w:r>
      <w:r w:rsidR="001C19A4" w:rsidRPr="00630B2A">
        <w:t>surreptitious</w:t>
      </w:r>
      <w:r w:rsidR="001C19A4">
        <w:t xml:space="preserve"> and perhaps unconscious effort to </w:t>
      </w:r>
      <w:proofErr w:type="spellStart"/>
      <w:r w:rsidR="001C19A4">
        <w:t>resegregate</w:t>
      </w:r>
      <w:proofErr w:type="spellEnd"/>
      <w:r w:rsidR="001C19A4">
        <w:t xml:space="preserve"> public schools.</w:t>
      </w:r>
      <w:r w:rsidR="001C19A4" w:rsidRPr="0090488A">
        <w:rPr>
          <w:rStyle w:val="FootnoteReference"/>
          <w:vertAlign w:val="superscript"/>
        </w:rPr>
        <w:footnoteReference w:id="2"/>
      </w:r>
      <w:r w:rsidR="001C19A4">
        <w:t xml:space="preserve"> Proponents cite the need to combat the ill effects of big bureaucracy on school administration and student outcomes. The proposal may not be perceived by the proponents as racially motivated, but the outcome is the same</w:t>
      </w:r>
      <w:r w:rsidR="00F72FC1" w:rsidRPr="00996B5A">
        <w:rPr>
          <w:rFonts w:cs="Arial"/>
        </w:rPr>
        <w:t>—</w:t>
      </w:r>
      <w:r w:rsidR="00F72FC1">
        <w:t>t</w:t>
      </w:r>
      <w:r w:rsidR="001C19A4">
        <w:t xml:space="preserve">he removal of affluent territory from a large, diverse school district to create a smaller, whiter, more affluent school district. </w:t>
      </w:r>
    </w:p>
    <w:p w14:paraId="5D15CF71" w14:textId="2DCCD53A" w:rsidR="001C19A4" w:rsidRDefault="004F7173" w:rsidP="005F27A6">
      <w:pPr>
        <w:ind w:left="720"/>
      </w:pPr>
      <w:r>
        <w:t>T</w:t>
      </w:r>
      <w:r w:rsidR="001C19A4">
        <w:t xml:space="preserve">he proponents have expressed the desire to continue to accept transfer students </w:t>
      </w:r>
      <w:r>
        <w:t>to</w:t>
      </w:r>
      <w:r w:rsidR="001C19A4">
        <w:t xml:space="preserve"> maintain as much racial and ethnic diversity as possible</w:t>
      </w:r>
      <w:r w:rsidR="0064013D">
        <w:t>.</w:t>
      </w:r>
      <w:r w:rsidR="001C19A4">
        <w:t xml:space="preserve"> At least one of the County Committee members expressed skepticism about the proponents’ statement that creating a new school district would actually enhance the diversity of Northgate High rather than create an additional barrier.</w:t>
      </w:r>
    </w:p>
    <w:p w14:paraId="28C41B36" w14:textId="5E865A65" w:rsidR="001C19A4" w:rsidRDefault="001C19A4" w:rsidP="005F27A6">
      <w:pPr>
        <w:ind w:left="720"/>
      </w:pPr>
      <w:r>
        <w:t>Further, proponents have argued that creating a smaller school district will result in better student outcomes and teacher satisfaction. The proponents provided no insight into how these goals would be realized other than the district superintendent being able to visit school sites more frequently. It</w:t>
      </w:r>
      <w:r w:rsidRPr="00AC174A">
        <w:t xml:space="preserve"> is difficult to see how simply </w:t>
      </w:r>
      <w:r w:rsidR="00555EE8">
        <w:t>creating</w:t>
      </w:r>
      <w:r w:rsidRPr="00AC174A">
        <w:t xml:space="preserve"> a smaller school district would improve student outcomes in what are recognized as high</w:t>
      </w:r>
      <w:r w:rsidR="00407237">
        <w:t>-</w:t>
      </w:r>
      <w:r w:rsidRPr="00AC174A">
        <w:t>achieving schools.</w:t>
      </w:r>
      <w:r>
        <w:t xml:space="preserve"> Additionally, no evidence has been provided in the administrative record to substantiate the assertion of teacher dissatisfaction; in fact, letters and testimony provided to the County Committee demonstrate there is high satisfaction</w:t>
      </w:r>
      <w:r w:rsidR="00555EE8">
        <w:t xml:space="preserve"> with Mt. Diablo USD</w:t>
      </w:r>
      <w:r>
        <w:t xml:space="preserve"> among faculty at Northgate High. </w:t>
      </w:r>
    </w:p>
    <w:p w14:paraId="0654B572" w14:textId="764092D3" w:rsidR="001C19A4" w:rsidRDefault="001C19A4" w:rsidP="005F27A6">
      <w:pPr>
        <w:ind w:left="720"/>
      </w:pPr>
      <w:r>
        <w:t xml:space="preserve">Though </w:t>
      </w:r>
      <w:r w:rsidR="00555EE8">
        <w:t xml:space="preserve">the </w:t>
      </w:r>
      <w:r>
        <w:t xml:space="preserve">CDE </w:t>
      </w:r>
      <w:r w:rsidR="00555EE8">
        <w:t xml:space="preserve">found that the proposal substantially met </w:t>
      </w:r>
      <w:r>
        <w:t>criterion 4 (</w:t>
      </w:r>
      <w:r w:rsidRPr="000E3C58">
        <w:rPr>
          <w:i/>
        </w:rPr>
        <w:t>EC</w:t>
      </w:r>
      <w:r>
        <w:t xml:space="preserve"> 35753[a][4]), the CDE </w:t>
      </w:r>
      <w:r w:rsidR="00555EE8">
        <w:t>believes that</w:t>
      </w:r>
      <w:r>
        <w:t xml:space="preserve"> the appearance of racial and socioeconomic segregation </w:t>
      </w:r>
      <w:r w:rsidR="00555EE8">
        <w:t>is a</w:t>
      </w:r>
      <w:r>
        <w:t xml:space="preserve"> compelling reason to disapprove this petition. </w:t>
      </w:r>
    </w:p>
    <w:p w14:paraId="0D2F2EE9" w14:textId="51F1AF23" w:rsidR="00555EE8" w:rsidRDefault="00555EE8" w:rsidP="005F27A6">
      <w:pPr>
        <w:ind w:left="720"/>
      </w:pPr>
      <w:r>
        <w:t>Further, the CDE finds no convincing academic need or concern to support creating a new school district</w:t>
      </w:r>
      <w:r w:rsidR="00407237" w:rsidRPr="00996B5A">
        <w:rPr>
          <w:rFonts w:cs="Arial"/>
        </w:rPr>
        <w:t>—</w:t>
      </w:r>
      <w:r>
        <w:t>thus, there are no compelling reasons to approve this petition.</w:t>
      </w:r>
    </w:p>
    <w:p w14:paraId="7AC18D2F" w14:textId="77777777" w:rsidR="001C19A4" w:rsidRPr="007873E4" w:rsidRDefault="001C19A4" w:rsidP="000A33F9">
      <w:pPr>
        <w:pStyle w:val="Heading2"/>
        <w:numPr>
          <w:ilvl w:val="0"/>
          <w:numId w:val="33"/>
        </w:numPr>
        <w:ind w:left="360"/>
      </w:pPr>
      <w:r w:rsidRPr="007873E4">
        <w:lastRenderedPageBreak/>
        <w:t xml:space="preserve">County Committee </w:t>
      </w:r>
      <w:r w:rsidRPr="007873E4">
        <w:rPr>
          <w:i/>
        </w:rPr>
        <w:t>EC</w:t>
      </w:r>
      <w:r w:rsidRPr="007873E4">
        <w:t xml:space="preserve"> 35707 Requirements</w:t>
      </w:r>
    </w:p>
    <w:p w14:paraId="6E523BCF" w14:textId="77777777" w:rsidR="001C19A4" w:rsidRDefault="001C19A4" w:rsidP="005F27A6">
      <w:pPr>
        <w:ind w:left="720"/>
      </w:pPr>
      <w:r w:rsidRPr="003C242F">
        <w:t xml:space="preserve">The </w:t>
      </w:r>
      <w:r w:rsidRPr="0005775B">
        <w:rPr>
          <w:i/>
        </w:rPr>
        <w:t>Education Code</w:t>
      </w:r>
      <w:r w:rsidRPr="003C242F">
        <w:t xml:space="preserve"> requires county committees to make certain findings and recommendations and to expeditiously transmit them along with the reorganization petition to the SBE. Although these required findings and recommendations have been presented previously in this report, they are summarized here:</w:t>
      </w:r>
    </w:p>
    <w:p w14:paraId="63CD583A" w14:textId="70EECD18" w:rsidR="001C19A4" w:rsidRDefault="001C19A4" w:rsidP="00E4423B">
      <w:pPr>
        <w:pStyle w:val="Heading3"/>
        <w:numPr>
          <w:ilvl w:val="1"/>
          <w:numId w:val="34"/>
        </w:numPr>
        <w:ind w:left="1440" w:hanging="720"/>
      </w:pPr>
      <w:r w:rsidRPr="003C242F">
        <w:t>County Committee Recommendation for the Petition</w:t>
      </w:r>
    </w:p>
    <w:p w14:paraId="57BE95CA" w14:textId="77777777" w:rsidR="001C19A4" w:rsidRPr="00A30A8C" w:rsidRDefault="001C19A4" w:rsidP="00E4423B">
      <w:pPr>
        <w:ind w:left="1440"/>
      </w:pPr>
      <w:r>
        <w:t>The County Committee voted 3-2 to recommend the SBE disapprove the petition.</w:t>
      </w:r>
    </w:p>
    <w:p w14:paraId="458555BA" w14:textId="1EC83520" w:rsidR="001C19A4" w:rsidRDefault="001C19A4" w:rsidP="00E4423B">
      <w:pPr>
        <w:pStyle w:val="Heading3"/>
        <w:numPr>
          <w:ilvl w:val="1"/>
          <w:numId w:val="34"/>
        </w:numPr>
        <w:ind w:left="1440" w:hanging="720"/>
      </w:pPr>
      <w:r w:rsidRPr="003C242F">
        <w:t>Effect on School District Organization of the County</w:t>
      </w:r>
    </w:p>
    <w:p w14:paraId="27369744" w14:textId="4FC0E76D" w:rsidR="001C19A4" w:rsidRPr="004D17FF" w:rsidRDefault="001C19A4" w:rsidP="00E4423B">
      <w:pPr>
        <w:ind w:left="1440"/>
      </w:pPr>
      <w:r w:rsidRPr="0064013D">
        <w:rPr>
          <w:i/>
        </w:rPr>
        <w:t>EC</w:t>
      </w:r>
      <w:r w:rsidRPr="0046494C">
        <w:t xml:space="preserve"> Section 35707 requires a county committee to report whether the proposal would adversely affect countywide school district organization. The County Committee</w:t>
      </w:r>
      <w:r>
        <w:t xml:space="preserve"> voted 3-2 that the proposal would adversely affect the school district organization of Contra Costa </w:t>
      </w:r>
      <w:r w:rsidR="00CD4E48">
        <w:t>C</w:t>
      </w:r>
      <w:r>
        <w:t>ounty</w:t>
      </w:r>
      <w:r w:rsidRPr="0046494C">
        <w:t>.</w:t>
      </w:r>
    </w:p>
    <w:p w14:paraId="7455C53F" w14:textId="3E5FFB2E" w:rsidR="001C19A4" w:rsidRDefault="001C19A4" w:rsidP="00E4423B">
      <w:pPr>
        <w:pStyle w:val="Heading3"/>
        <w:numPr>
          <w:ilvl w:val="1"/>
          <w:numId w:val="34"/>
        </w:numPr>
        <w:ind w:left="1440" w:hanging="720"/>
      </w:pPr>
      <w:r w:rsidRPr="003C242F">
        <w:t>County Committee Opinion Regarding EC Section 35753 Conditions</w:t>
      </w:r>
    </w:p>
    <w:p w14:paraId="197CEEE9" w14:textId="77777777" w:rsidR="001C19A4" w:rsidRDefault="001C19A4" w:rsidP="00E4423B">
      <w:pPr>
        <w:ind w:left="1440"/>
      </w:pPr>
      <w:r>
        <w:t xml:space="preserve">A county committee must submit to the SBE its opinion regarding whether the proposal complies with the provisions of </w:t>
      </w:r>
      <w:r w:rsidRPr="0064013D">
        <w:rPr>
          <w:i/>
        </w:rPr>
        <w:t>EC</w:t>
      </w:r>
      <w:r>
        <w:t xml:space="preserve"> Section 35753. The County Committee found that four of the nine conditions in </w:t>
      </w:r>
      <w:r w:rsidRPr="0064013D">
        <w:rPr>
          <w:i/>
        </w:rPr>
        <w:t>EC</w:t>
      </w:r>
      <w:r>
        <w:t xml:space="preserve"> Section 35753(a) are substantially met by the following votes:</w:t>
      </w:r>
    </w:p>
    <w:p w14:paraId="68E61F35" w14:textId="77777777" w:rsidR="001C19A4" w:rsidRDefault="001C19A4" w:rsidP="00E4423B">
      <w:pPr>
        <w:pStyle w:val="ListParagraph"/>
        <w:numPr>
          <w:ilvl w:val="0"/>
          <w:numId w:val="13"/>
        </w:numPr>
        <w:spacing w:line="480" w:lineRule="auto"/>
        <w:ind w:left="2160"/>
        <w:contextualSpacing w:val="0"/>
      </w:pPr>
      <w:r w:rsidRPr="00D23508">
        <w:t>Adequate Enrollment (5-0-0);</w:t>
      </w:r>
      <w:r>
        <w:t xml:space="preserve"> </w:t>
      </w:r>
    </w:p>
    <w:p w14:paraId="5F4827CB" w14:textId="77777777" w:rsidR="001C19A4" w:rsidRDefault="001C19A4" w:rsidP="00E4423B">
      <w:pPr>
        <w:pStyle w:val="ListParagraph"/>
        <w:numPr>
          <w:ilvl w:val="0"/>
          <w:numId w:val="13"/>
        </w:numPr>
        <w:spacing w:line="480" w:lineRule="auto"/>
        <w:ind w:left="2160"/>
        <w:contextualSpacing w:val="0"/>
      </w:pPr>
      <w:r w:rsidRPr="00D23508">
        <w:t>Community Identity (4-1-0);</w:t>
      </w:r>
      <w:r>
        <w:t xml:space="preserve"> </w:t>
      </w:r>
    </w:p>
    <w:p w14:paraId="6E2B7408" w14:textId="77777777" w:rsidR="001C19A4" w:rsidRDefault="001C19A4" w:rsidP="00E4423B">
      <w:pPr>
        <w:pStyle w:val="ListParagraph"/>
        <w:numPr>
          <w:ilvl w:val="0"/>
          <w:numId w:val="13"/>
        </w:numPr>
        <w:spacing w:line="480" w:lineRule="auto"/>
        <w:ind w:left="2160"/>
        <w:contextualSpacing w:val="0"/>
      </w:pPr>
      <w:r w:rsidRPr="00D23508">
        <w:t>Increased Costs to State (3-1-1);</w:t>
      </w:r>
      <w:r>
        <w:t xml:space="preserve"> </w:t>
      </w:r>
    </w:p>
    <w:p w14:paraId="140F3638" w14:textId="77777777" w:rsidR="001C19A4" w:rsidRPr="00D23508" w:rsidRDefault="001C19A4" w:rsidP="00E4423B">
      <w:pPr>
        <w:pStyle w:val="ListParagraph"/>
        <w:numPr>
          <w:ilvl w:val="0"/>
          <w:numId w:val="13"/>
        </w:numPr>
        <w:spacing w:line="480" w:lineRule="auto"/>
        <w:ind w:left="2160"/>
        <w:contextualSpacing w:val="0"/>
      </w:pPr>
      <w:r w:rsidRPr="00D23508">
        <w:t>Increased Property Values (5-0-0).</w:t>
      </w:r>
    </w:p>
    <w:p w14:paraId="269FB79F" w14:textId="77777777" w:rsidR="001C19A4" w:rsidRDefault="001C19A4" w:rsidP="00E4423B">
      <w:pPr>
        <w:ind w:left="1440"/>
      </w:pPr>
      <w:r>
        <w:t>The County Committee found that the remaining five conditions are not substantially met by the following votes:</w:t>
      </w:r>
    </w:p>
    <w:p w14:paraId="585407DB" w14:textId="77777777" w:rsidR="001C19A4" w:rsidRDefault="001C19A4" w:rsidP="00E4423B">
      <w:pPr>
        <w:pStyle w:val="ListParagraph"/>
        <w:numPr>
          <w:ilvl w:val="0"/>
          <w:numId w:val="12"/>
        </w:numPr>
        <w:spacing w:line="480" w:lineRule="auto"/>
        <w:ind w:left="2160"/>
        <w:contextualSpacing w:val="0"/>
      </w:pPr>
      <w:r>
        <w:t>Equitable Division of Property (3-1-1);</w:t>
      </w:r>
    </w:p>
    <w:p w14:paraId="2ABE4622" w14:textId="77777777" w:rsidR="001C19A4" w:rsidRDefault="001C19A4" w:rsidP="00E4423B">
      <w:pPr>
        <w:pStyle w:val="ListParagraph"/>
        <w:numPr>
          <w:ilvl w:val="0"/>
          <w:numId w:val="12"/>
        </w:numPr>
        <w:spacing w:line="480" w:lineRule="auto"/>
        <w:ind w:left="2160"/>
        <w:contextualSpacing w:val="0"/>
      </w:pPr>
      <w:r>
        <w:t>Promotion of Segregation (3-2-0);</w:t>
      </w:r>
    </w:p>
    <w:p w14:paraId="60955D91" w14:textId="77777777" w:rsidR="001C19A4" w:rsidRDefault="001C19A4" w:rsidP="00E4423B">
      <w:pPr>
        <w:pStyle w:val="ListParagraph"/>
        <w:numPr>
          <w:ilvl w:val="0"/>
          <w:numId w:val="12"/>
        </w:numPr>
        <w:spacing w:line="480" w:lineRule="auto"/>
        <w:ind w:left="2160"/>
        <w:contextualSpacing w:val="0"/>
      </w:pPr>
      <w:r>
        <w:t>Educational Programs (3-1-1);</w:t>
      </w:r>
    </w:p>
    <w:p w14:paraId="5D336DFF" w14:textId="77777777" w:rsidR="001C19A4" w:rsidRDefault="001C19A4" w:rsidP="00E4423B">
      <w:pPr>
        <w:pStyle w:val="ListParagraph"/>
        <w:numPr>
          <w:ilvl w:val="0"/>
          <w:numId w:val="12"/>
        </w:numPr>
        <w:spacing w:line="480" w:lineRule="auto"/>
        <w:contextualSpacing w:val="0"/>
      </w:pPr>
      <w:r>
        <w:lastRenderedPageBreak/>
        <w:t>Increased Housing Costs (4-1-0);</w:t>
      </w:r>
    </w:p>
    <w:p w14:paraId="190FC62D" w14:textId="77777777" w:rsidR="001C19A4" w:rsidRPr="004D17FF" w:rsidRDefault="001C19A4" w:rsidP="00E4423B">
      <w:pPr>
        <w:pStyle w:val="ListParagraph"/>
        <w:numPr>
          <w:ilvl w:val="0"/>
          <w:numId w:val="12"/>
        </w:numPr>
        <w:spacing w:line="480" w:lineRule="auto"/>
        <w:contextualSpacing w:val="0"/>
      </w:pPr>
      <w:r>
        <w:t>Fiscal Status and Management (2-2-1).</w:t>
      </w:r>
    </w:p>
    <w:p w14:paraId="0D326D77" w14:textId="77777777" w:rsidR="001C19A4" w:rsidRDefault="001C19A4" w:rsidP="000A33F9">
      <w:pPr>
        <w:pStyle w:val="Heading2"/>
        <w:numPr>
          <w:ilvl w:val="0"/>
          <w:numId w:val="35"/>
        </w:numPr>
        <w:ind w:left="360"/>
      </w:pPr>
      <w:r>
        <w:t>STAFF RECOMMENDED AMENDMENTS TO THE PETITION</w:t>
      </w:r>
    </w:p>
    <w:p w14:paraId="629E1BC9" w14:textId="77777777" w:rsidR="001C19A4" w:rsidRDefault="001C19A4" w:rsidP="00003C2E">
      <w:pPr>
        <w:ind w:left="720"/>
      </w:pPr>
      <w:r>
        <w:t>The SBE has authority to make certain amendments to a proposal to reorganize school districts. Since the SBE cannot approve the proposal at this time, it should not make any amendments at this point. The following CDE recommendations are presented to assist the SBE in determining whether or not the proposal has sufficient merit to move forward.</w:t>
      </w:r>
    </w:p>
    <w:p w14:paraId="669CD8A4" w14:textId="409472C8" w:rsidR="001C19A4" w:rsidRDefault="001C19A4" w:rsidP="00E4423B">
      <w:pPr>
        <w:pStyle w:val="Heading3"/>
        <w:numPr>
          <w:ilvl w:val="1"/>
          <w:numId w:val="36"/>
        </w:numPr>
        <w:ind w:left="1440" w:hanging="720"/>
      </w:pPr>
      <w:r w:rsidRPr="003C242F">
        <w:t>Article 3 Amendments</w:t>
      </w:r>
    </w:p>
    <w:p w14:paraId="2A2FF7A0" w14:textId="77777777" w:rsidR="001C19A4" w:rsidRDefault="001C19A4" w:rsidP="00E4423B">
      <w:pPr>
        <w:tabs>
          <w:tab w:val="left" w:pos="-720"/>
        </w:tabs>
        <w:ind w:left="1440"/>
        <w:rPr>
          <w:szCs w:val="20"/>
        </w:rPr>
      </w:pPr>
      <w:r>
        <w:rPr>
          <w:szCs w:val="20"/>
        </w:rPr>
        <w:t xml:space="preserve">Petitioners may include, and county committees or the SBE may add or amend, any of the appropriate provisions specified in Article 3 of the </w:t>
      </w:r>
      <w:r>
        <w:rPr>
          <w:i/>
          <w:szCs w:val="20"/>
        </w:rPr>
        <w:t>Education Code</w:t>
      </w:r>
      <w:r>
        <w:rPr>
          <w:szCs w:val="20"/>
        </w:rPr>
        <w:t xml:space="preserve"> (commencing with </w:t>
      </w:r>
      <w:r>
        <w:rPr>
          <w:i/>
          <w:szCs w:val="20"/>
        </w:rPr>
        <w:t>EC</w:t>
      </w:r>
      <w:r>
        <w:rPr>
          <w:szCs w:val="20"/>
        </w:rPr>
        <w:t xml:space="preserve"> Section 35730). These provisions include:</w:t>
      </w:r>
    </w:p>
    <w:p w14:paraId="0D3B8C1F" w14:textId="49A47099" w:rsidR="001C19A4" w:rsidRDefault="001C19A4" w:rsidP="007B75E5">
      <w:pPr>
        <w:pStyle w:val="Heading4"/>
        <w:numPr>
          <w:ilvl w:val="0"/>
          <w:numId w:val="46"/>
        </w:numPr>
      </w:pPr>
      <w:r>
        <w:t>Membership of Governing Board</w:t>
      </w:r>
    </w:p>
    <w:p w14:paraId="407B3051" w14:textId="77777777" w:rsidR="001C19A4" w:rsidRPr="00A067C4" w:rsidRDefault="001C19A4" w:rsidP="007B75E5">
      <w:pPr>
        <w:ind w:left="1800"/>
      </w:pPr>
      <w:r w:rsidRPr="00FB4748">
        <w:t xml:space="preserve">A proposal for unification may include a provision for a governing board of seven members. The petition contains no provision addressing the size of the governing board. CDE recommends that the governing board of a </w:t>
      </w:r>
      <w:r>
        <w:t>Northgate</w:t>
      </w:r>
      <w:r w:rsidRPr="00FB4748">
        <w:t xml:space="preserve"> school district (if approved) would have five members.</w:t>
      </w:r>
    </w:p>
    <w:p w14:paraId="6AF96F53" w14:textId="261C9F83" w:rsidR="001C19A4" w:rsidRDefault="001C19A4" w:rsidP="007B75E5">
      <w:pPr>
        <w:pStyle w:val="Heading5"/>
        <w:numPr>
          <w:ilvl w:val="0"/>
          <w:numId w:val="46"/>
        </w:numPr>
      </w:pPr>
      <w:r>
        <w:t>Election of Governing Board</w:t>
      </w:r>
      <w:r w:rsidR="00A245EF">
        <w:t xml:space="preserve"> </w:t>
      </w:r>
    </w:p>
    <w:p w14:paraId="7E30C539" w14:textId="77777777" w:rsidR="001C19A4" w:rsidRDefault="001C19A4" w:rsidP="007B75E5">
      <w:pPr>
        <w:ind w:left="1800"/>
      </w:pPr>
      <w:r>
        <w:t xml:space="preserve">A proposal for unification may include a provision specifying that the election for the first governing board be held at the same time as the election on the unification of the school district. The petition does not contain such a provision. The </w:t>
      </w:r>
      <w:r w:rsidRPr="00125466">
        <w:rPr>
          <w:i/>
        </w:rPr>
        <w:t>Education Code</w:t>
      </w:r>
      <w:r>
        <w:t xml:space="preserve"> also requires that, if this provision is included, the proposal specify the method whereby the length of the initial terms may be determined so that the governing board will ultimately have staggered terms that expire in years with regular election dates.</w:t>
      </w:r>
    </w:p>
    <w:p w14:paraId="300B2880" w14:textId="77777777" w:rsidR="001C19A4" w:rsidRDefault="001C19A4" w:rsidP="008B1D97">
      <w:pPr>
        <w:ind w:left="1800"/>
      </w:pPr>
      <w:r>
        <w:t xml:space="preserve">The CDE believes that there are at least two advantages in holding the governing board election at the same time as the election on the unification proposal. First, only one election is required, which reduces local costs. Second, the earlier election of board members gives the new board at least an additional four months to prepare for the </w:t>
      </w:r>
      <w:r>
        <w:lastRenderedPageBreak/>
        <w:t>formation of the new district. Thus, CDE staff recommends that a provision, specifying that the election for the first governing board be held at the same time as the election on the unification of the school district, be included as part of the unification proposal. Staff further recommends that the following method be employed to ensure the staggering of the terms of office for governing board members:</w:t>
      </w:r>
    </w:p>
    <w:p w14:paraId="36320138" w14:textId="77777777" w:rsidR="00A245EF" w:rsidRDefault="001C19A4" w:rsidP="00A245EF">
      <w:pPr>
        <w:ind w:left="1800"/>
      </w:pPr>
      <w:r>
        <w:t>The three governing board candidates receiving the highest number of votes will have four-year terms and the two candidates receiving the next highest number of votes will have two-year terms. All terms will be for four years in subsequent governing board elections.</w:t>
      </w:r>
    </w:p>
    <w:p w14:paraId="115BC640" w14:textId="77777777" w:rsidR="00A245EF" w:rsidRDefault="00A245EF" w:rsidP="00A245EF">
      <w:pPr>
        <w:pStyle w:val="Heading4"/>
        <w:numPr>
          <w:ilvl w:val="0"/>
          <w:numId w:val="46"/>
        </w:numPr>
      </w:pPr>
      <w:r>
        <w:t>Trustee Areas</w:t>
      </w:r>
    </w:p>
    <w:p w14:paraId="08D13C67" w14:textId="58338BC7" w:rsidR="00A245EF" w:rsidRPr="00A067C4" w:rsidRDefault="00A245EF" w:rsidP="00A245EF">
      <w:pPr>
        <w:ind w:left="1800"/>
      </w:pPr>
      <w:r w:rsidRPr="00125466">
        <w:t xml:space="preserve">The proposal for unification may include a provision for establishing trustee areas for the purpose of electing governing board members of the unified district. No provision regarding trustee areas for governing board elections is included in this petition. </w:t>
      </w:r>
      <w:r>
        <w:t>Al</w:t>
      </w:r>
      <w:r w:rsidRPr="00A245EF">
        <w:t xml:space="preserve">though </w:t>
      </w:r>
      <w:r>
        <w:t>CDE</w:t>
      </w:r>
      <w:r w:rsidRPr="00A245EF">
        <w:t xml:space="preserve"> support</w:t>
      </w:r>
      <w:r>
        <w:t>s</w:t>
      </w:r>
      <w:r w:rsidRPr="00A245EF">
        <w:t xml:space="preserve"> trustee areas, the advantage of holding a board election at the same time as the election on the proposal outweighs an immediate establishment of trustee areas. It would not make economic sense to expend the resources to develop trustee areas if the proposal fails at election.</w:t>
      </w:r>
      <w:r>
        <w:t xml:space="preserve"> Therefore, </w:t>
      </w:r>
      <w:r w:rsidRPr="00125466">
        <w:t xml:space="preserve">CDE recommends that governing board members of a </w:t>
      </w:r>
      <w:r>
        <w:t>Northgate</w:t>
      </w:r>
      <w:r w:rsidRPr="00125466">
        <w:t xml:space="preserve"> school district (if approved) should be elected at-large.</w:t>
      </w:r>
    </w:p>
    <w:p w14:paraId="0037D952" w14:textId="61813DF0" w:rsidR="001C19A4" w:rsidRDefault="0003378A" w:rsidP="00A245EF">
      <w:pPr>
        <w:pStyle w:val="Heading4"/>
        <w:ind w:left="1440"/>
      </w:pPr>
      <w:r>
        <w:t xml:space="preserve">d. </w:t>
      </w:r>
      <w:r w:rsidR="001C19A4">
        <w:t>Computation of Local Control Funding Formula Entitlement</w:t>
      </w:r>
    </w:p>
    <w:p w14:paraId="7998DB1A" w14:textId="63424F07" w:rsidR="001C19A4" w:rsidRDefault="001C19A4" w:rsidP="008B1D97">
      <w:pPr>
        <w:ind w:left="1800"/>
      </w:pPr>
      <w:r>
        <w:t xml:space="preserve">A proposal for reorganization of school districts must include a computation of the LCFF entitlement for each reorganized district. The CDE has calculated that the 2020–21 LCFF entitlements would have been $33.3 million for the Northgate district and $242.0 million for the remaining Mt. Diablo USD—the combined total being approximately $1.7 million </w:t>
      </w:r>
      <w:r w:rsidR="00A06B62">
        <w:t xml:space="preserve">less than </w:t>
      </w:r>
      <w:r>
        <w:t>the 2020–21 LCFF entitlement received by the Mt. Diablo USD.</w:t>
      </w:r>
    </w:p>
    <w:p w14:paraId="781A7D1D" w14:textId="77777777" w:rsidR="001C19A4" w:rsidRPr="00A067C4" w:rsidRDefault="001C19A4" w:rsidP="0003378A">
      <w:pPr>
        <w:ind w:left="1800"/>
      </w:pPr>
      <w:r>
        <w:t>If the unification is approved, the CDE will recalculate the LCFF entitlements based on information from one year prior to the effective date of the new school district.</w:t>
      </w:r>
    </w:p>
    <w:p w14:paraId="2B3EB5C0" w14:textId="52A5F0B7" w:rsidR="001C19A4" w:rsidRDefault="001C19A4" w:rsidP="005176B0">
      <w:pPr>
        <w:pStyle w:val="Heading5"/>
        <w:numPr>
          <w:ilvl w:val="0"/>
          <w:numId w:val="47"/>
        </w:numPr>
      </w:pPr>
      <w:r>
        <w:t>Division of Property and Obligations</w:t>
      </w:r>
    </w:p>
    <w:p w14:paraId="1FCF561A" w14:textId="3C0DED06" w:rsidR="001C19A4" w:rsidRDefault="001C19A4" w:rsidP="005176B0">
      <w:pPr>
        <w:ind w:left="1800"/>
      </w:pPr>
      <w:r w:rsidRPr="00A22F3E">
        <w:t xml:space="preserve">A proposal for the division of property (other than real property) and obligations of any district whose territory is being divided among other </w:t>
      </w:r>
      <w:r w:rsidRPr="00A22F3E">
        <w:lastRenderedPageBreak/>
        <w:t xml:space="preserve">districts may be included. As indicated in </w:t>
      </w:r>
      <w:r w:rsidR="00532186">
        <w:t>s</w:t>
      </w:r>
      <w:r w:rsidRPr="00A22F3E">
        <w:t xml:space="preserve">ection 5.3 of this attachment, CDE staff finds that existing provisions of the </w:t>
      </w:r>
      <w:r w:rsidRPr="00A22F3E">
        <w:rPr>
          <w:i/>
        </w:rPr>
        <w:t>Education Code</w:t>
      </w:r>
      <w:r w:rsidRPr="00A22F3E">
        <w:t xml:space="preserve"> may be utilized to achieve equitable distribution of property, funds, and obligations (other than bonded indebtedness) of Mt. Diablo USD. Specifically, staff further recommends the following:</w:t>
      </w:r>
    </w:p>
    <w:p w14:paraId="09F8CD0F" w14:textId="3A6DFB76" w:rsidR="00476AA3" w:rsidRDefault="00476AA3" w:rsidP="00476AA3">
      <w:pPr>
        <w:pStyle w:val="ListParagraph"/>
        <w:numPr>
          <w:ilvl w:val="0"/>
          <w:numId w:val="48"/>
        </w:numPr>
        <w:spacing w:after="240" w:line="259" w:lineRule="auto"/>
        <w:contextualSpacing w:val="0"/>
      </w:pPr>
      <w:r>
        <w:t>All assets and liabilities of the Mt. Diablo USD (other than outstanding bonded indebtedness and capital funds) shall be divided based on the proportionate average daily attendance (ADA) of the students residing in the areas of the two districts on June 30 of the school year immediately preceding the date on which the proposed unification becomes effective for all purposes (</w:t>
      </w:r>
      <w:r w:rsidRPr="00476AA3">
        <w:rPr>
          <w:i/>
        </w:rPr>
        <w:t>EC</w:t>
      </w:r>
      <w:r>
        <w:t xml:space="preserve"> Section 35736).</w:t>
      </w:r>
    </w:p>
    <w:p w14:paraId="6C7D4855" w14:textId="3EB5D37B" w:rsidR="00476AA3" w:rsidRPr="003F13F5" w:rsidRDefault="00476AA3" w:rsidP="00476AA3">
      <w:pPr>
        <w:pStyle w:val="ListParagraph"/>
        <w:numPr>
          <w:ilvl w:val="0"/>
          <w:numId w:val="48"/>
        </w:numPr>
        <w:spacing w:after="240" w:line="259" w:lineRule="auto"/>
        <w:contextualSpacing w:val="0"/>
      </w:pPr>
      <w:r>
        <w:t>All capital funds (except school facility impact mitigation fees [i.e., developer fees]) of the Mt. Diablo USD shall be divided pro rata based on the ratio of the AV of each district to the AV of the current Mt. Diablo USD (</w:t>
      </w:r>
      <w:r w:rsidRPr="00476AA3">
        <w:rPr>
          <w:i/>
        </w:rPr>
        <w:t>EC</w:t>
      </w:r>
      <w:r>
        <w:t xml:space="preserve"> sections 35560, 35736).</w:t>
      </w:r>
    </w:p>
    <w:p w14:paraId="1F1DF5BE" w14:textId="77777777" w:rsidR="001C19A4" w:rsidRPr="00A22F3E" w:rsidRDefault="001C19A4" w:rsidP="000719CB">
      <w:pPr>
        <w:pStyle w:val="ListParagraph"/>
        <w:numPr>
          <w:ilvl w:val="0"/>
          <w:numId w:val="48"/>
        </w:numPr>
        <w:spacing w:after="240" w:line="259" w:lineRule="auto"/>
        <w:contextualSpacing w:val="0"/>
      </w:pPr>
      <w:r w:rsidRPr="00A22F3E">
        <w:t>Student body property, funds, and obligations shall be divided proportionately, except that the share shall not exceed an amount equal to the ratio which the number of pupils leaving the schools bears to the total number of pupils enrolled; and funds from devises, bequests, or gifts made to the organized student body of a school shall remain the property of the organized student body of that school and shall not be divided (</w:t>
      </w:r>
      <w:r w:rsidRPr="00A22F3E">
        <w:rPr>
          <w:i/>
        </w:rPr>
        <w:t xml:space="preserve">EC </w:t>
      </w:r>
      <w:r w:rsidRPr="00A22F3E">
        <w:t>Section 35564).</w:t>
      </w:r>
    </w:p>
    <w:p w14:paraId="5B693A3C" w14:textId="6DED4505" w:rsidR="001C19A4" w:rsidRPr="00A22F3E" w:rsidRDefault="001C19A4" w:rsidP="000719CB">
      <w:pPr>
        <w:pStyle w:val="ListParagraph"/>
        <w:numPr>
          <w:ilvl w:val="0"/>
          <w:numId w:val="48"/>
        </w:numPr>
        <w:spacing w:after="240" w:line="259" w:lineRule="auto"/>
        <w:contextualSpacing w:val="0"/>
      </w:pPr>
      <w:r w:rsidRPr="00A22F3E">
        <w:t xml:space="preserve">As specified in </w:t>
      </w:r>
      <w:r w:rsidRPr="00A22F3E">
        <w:rPr>
          <w:i/>
        </w:rPr>
        <w:t>EC</w:t>
      </w:r>
      <w:r w:rsidRPr="00A22F3E">
        <w:t xml:space="preserve"> Section 35565, disputes arising from the division of property, funds, or obligations shall be resolved by the affected school districts and the county superintendent through a board of arbitrators. The board shall consist of one person appointed by each district and one by the county superintendent. By mutual accord, the county member may act as sole arbitrator; otherwise, arbitration will be the responsibility of the entire board. Expenses will be divided equally between the districts. The written findings and determination of the majority of the board of arbitrators is final, binding, and may not be appealed.</w:t>
      </w:r>
    </w:p>
    <w:p w14:paraId="6EEC032F" w14:textId="27012627" w:rsidR="001C19A4" w:rsidRPr="00A22F3E" w:rsidRDefault="001C19A4" w:rsidP="000719CB">
      <w:pPr>
        <w:pStyle w:val="Heading5"/>
        <w:numPr>
          <w:ilvl w:val="0"/>
          <w:numId w:val="47"/>
        </w:numPr>
      </w:pPr>
      <w:r w:rsidRPr="00A22F3E">
        <w:t>Method of Dividing Outstanding Bonded Indebtedness</w:t>
      </w:r>
    </w:p>
    <w:p w14:paraId="6F4317C9" w14:textId="77777777" w:rsidR="001C19A4" w:rsidRPr="00A22F3E" w:rsidRDefault="001C19A4" w:rsidP="000719CB">
      <w:pPr>
        <w:ind w:left="1800"/>
      </w:pPr>
      <w:r w:rsidRPr="00A22F3E">
        <w:t xml:space="preserve">The </w:t>
      </w:r>
      <w:r w:rsidRPr="00A22F3E">
        <w:rPr>
          <w:i/>
        </w:rPr>
        <w:t>Education Code</w:t>
      </w:r>
      <w:r w:rsidRPr="00A22F3E">
        <w:t xml:space="preserve"> guides the division of the outstanding bonded indebtedness of the Mt. Diablo USD. </w:t>
      </w:r>
      <w:r w:rsidRPr="00A22F3E">
        <w:rPr>
          <w:i/>
        </w:rPr>
        <w:t>EC</w:t>
      </w:r>
      <w:r w:rsidRPr="00A22F3E">
        <w:t xml:space="preserve"> Section 35576 provides </w:t>
      </w:r>
      <w:r w:rsidRPr="00A22F3E">
        <w:lastRenderedPageBreak/>
        <w:t>general methods for this division, indicating that the Northgate district would be liable for the greater of the following:</w:t>
      </w:r>
    </w:p>
    <w:p w14:paraId="7BF461A4" w14:textId="4C143159" w:rsidR="001C19A4" w:rsidRPr="00A22F3E" w:rsidRDefault="001C19A4" w:rsidP="000719CB">
      <w:pPr>
        <w:pStyle w:val="ListParagraph"/>
        <w:numPr>
          <w:ilvl w:val="0"/>
          <w:numId w:val="15"/>
        </w:numPr>
        <w:spacing w:after="240" w:line="259" w:lineRule="auto"/>
        <w:ind w:left="2160"/>
        <w:contextualSpacing w:val="0"/>
      </w:pPr>
      <w:r w:rsidRPr="00A22F3E">
        <w:t xml:space="preserve">A pro rata share of outstanding bonded indebtedness based upon the ratio of the </w:t>
      </w:r>
      <w:r w:rsidR="000462E5">
        <w:t>Northgate</w:t>
      </w:r>
      <w:r w:rsidRPr="00A22F3E">
        <w:t xml:space="preserve"> district’s AV to the AV of the Mt. Diablo USD; or</w:t>
      </w:r>
    </w:p>
    <w:p w14:paraId="6952D8DF" w14:textId="77777777" w:rsidR="001C19A4" w:rsidRPr="00A22F3E" w:rsidRDefault="001C19A4" w:rsidP="000719CB">
      <w:pPr>
        <w:pStyle w:val="ListParagraph"/>
        <w:numPr>
          <w:ilvl w:val="0"/>
          <w:numId w:val="15"/>
        </w:numPr>
        <w:spacing w:after="240" w:line="259" w:lineRule="auto"/>
        <w:ind w:left="2160"/>
        <w:contextualSpacing w:val="0"/>
      </w:pPr>
      <w:r w:rsidRPr="00A22F3E">
        <w:t xml:space="preserve">The portion of outstanding bonded indebtedness incurred for acquisition or improvement of real property within the boundaries of the new Northgate district. </w:t>
      </w:r>
    </w:p>
    <w:p w14:paraId="2A56CC70" w14:textId="77777777" w:rsidR="001C19A4" w:rsidRPr="000B4636" w:rsidRDefault="001C19A4" w:rsidP="000719CB">
      <w:pPr>
        <w:ind w:left="1080"/>
      </w:pPr>
      <w:r w:rsidRPr="00A22F3E">
        <w:t>The CDE recommends this existing provision for dividing outstanding bonded indebtedness.</w:t>
      </w:r>
    </w:p>
    <w:p w14:paraId="5EEDADF7" w14:textId="3AAF2B76" w:rsidR="001C19A4" w:rsidRDefault="001C19A4" w:rsidP="000A33F9">
      <w:pPr>
        <w:pStyle w:val="Heading3"/>
        <w:numPr>
          <w:ilvl w:val="1"/>
          <w:numId w:val="36"/>
        </w:numPr>
        <w:ind w:hanging="720"/>
      </w:pPr>
      <w:r>
        <w:t>Area of Election</w:t>
      </w:r>
    </w:p>
    <w:p w14:paraId="5F37CF4B" w14:textId="77777777" w:rsidR="001C19A4" w:rsidRDefault="001C19A4" w:rsidP="005F27A6">
      <w:pPr>
        <w:ind w:left="1080"/>
      </w:pPr>
      <w:r w:rsidRPr="00A22F3E">
        <w:rPr>
          <w:i/>
        </w:rPr>
        <w:t>EC</w:t>
      </w:r>
      <w:r>
        <w:t xml:space="preserve"> Section 35756 provides that, if the proposal will be sent to an election, the SBE must determine the area of election. </w:t>
      </w:r>
    </w:p>
    <w:p w14:paraId="7B186608" w14:textId="77777777" w:rsidR="001C19A4" w:rsidRDefault="001C19A4" w:rsidP="005F27A6">
      <w:pPr>
        <w:ind w:left="1080"/>
      </w:pPr>
      <w:r>
        <w:t>Plans and recommendations to reorganize districts may specify an election area, but specification of an election area is not required (</w:t>
      </w:r>
      <w:r w:rsidRPr="00A22F3E">
        <w:rPr>
          <w:i/>
        </w:rPr>
        <w:t>EC</w:t>
      </w:r>
      <w:r>
        <w:t xml:space="preserve"> Section 35732). If a plan does not specify the area of election, the statute provides that “the election shall be held only in the territory proposed for reorganization.” The County Committee recommends the election area for the proposed formation of a Northgate unified school district be the territory of the existing Mt. Diablo USD. The SBE may alter this area, but the alterations must comply with the principles discussed below. </w:t>
      </w:r>
    </w:p>
    <w:p w14:paraId="720F2F6C" w14:textId="4F17BF3A" w:rsidR="001C19A4" w:rsidRDefault="001C19A4" w:rsidP="005F27A6">
      <w:pPr>
        <w:ind w:left="1080"/>
      </w:pPr>
      <w:r>
        <w:t xml:space="preserve">In establishing the area of election, the CDE and SBE follow the legal precedent set by the California Supreme Court in </w:t>
      </w:r>
      <w:r w:rsidRPr="002566EB">
        <w:rPr>
          <w:i/>
        </w:rPr>
        <w:t>Board of Supervisors of Sacramento County, et al. v. Local Agency Formation Commission</w:t>
      </w:r>
      <w:r>
        <w:t xml:space="preserve"> (1992) 3 Cal. 4th 903 (the “LAFCO” decision). LAFCO holds that elections may be confined to within the boundaries of the territory proposed for reorganization (the “default” area), provided there is a rational basis for doing so. LAFCO requires </w:t>
      </w:r>
      <w:r w:rsidR="00210BDF">
        <w:t xml:space="preserve">that the CDE and SBE </w:t>
      </w:r>
      <w:r>
        <w:t>examine: (1) the public policy reasons for holding a reorganization election within the boundaries specified, and (2) whether there is a genuine difference in the relevant interests of the groups that the election plan creates</w:t>
      </w:r>
      <w:r w:rsidR="00210BDF">
        <w:t>. I</w:t>
      </w:r>
      <w:r>
        <w:t xml:space="preserve">n the current reorganization, the analysis examines the interests of voters in the territory of the proposed Northgate district and the interests of voters residing in the remaining portion of the Mt. Diablo USD. </w:t>
      </w:r>
    </w:p>
    <w:p w14:paraId="4B9B3F70" w14:textId="77777777" w:rsidR="001C19A4" w:rsidRDefault="001C19A4" w:rsidP="005F27A6">
      <w:pPr>
        <w:ind w:left="1080"/>
      </w:pPr>
      <w:r>
        <w:lastRenderedPageBreak/>
        <w:t>The reduced voting area must have a fair relationship to a legitimate public purpose. State policy favors procedures that promote orderly school district reorganization statewide in a manner that allows for planned, orderly community-based school systems that adequately address transportation, curriculum, faculty, and administration.</w:t>
      </w:r>
    </w:p>
    <w:p w14:paraId="1DDD999C" w14:textId="7FDDC284" w:rsidR="001C19A4" w:rsidRDefault="001C19A4" w:rsidP="005F27A6">
      <w:pPr>
        <w:ind w:left="1080"/>
      </w:pPr>
      <w:r>
        <w:t>The proposal presents two issues that will impact the district beyond the Northgate area: 1) The Mt. Diablo USD will be required to transfer all 2,000 students attending the Oak Grove Middle and Ygnacio Valley High schools to other schools remaining in the district and to create additional high school student capacity by increasing class sizes, constructing additional facilities on those sites, or acquiring a new site. 2) The proposal removes the highest</w:t>
      </w:r>
      <w:r w:rsidR="00AF3DCD">
        <w:t>-</w:t>
      </w:r>
      <w:r>
        <w:t>performing schools in Mt. Diablo USD, which enroll students who reside in school choice areas of the district and those attending specialized programs.</w:t>
      </w:r>
    </w:p>
    <w:p w14:paraId="08C6E992" w14:textId="5CE28DE5" w:rsidR="001C19A4" w:rsidRDefault="008A76E5" w:rsidP="005F27A6">
      <w:pPr>
        <w:ind w:left="1080"/>
      </w:pPr>
      <w:r w:rsidRPr="008A76E5">
        <w:t>On the basis of the impact to students in both the proposed district and remaining portion of the Mt. Diablo USD, the CDE agrees with the determination of the County Committee and recommends the election area be districtwide.</w:t>
      </w:r>
      <w:r w:rsidR="001C19A4">
        <w:t xml:space="preserve"> </w:t>
      </w:r>
    </w:p>
    <w:p w14:paraId="51FB4594" w14:textId="55AD4F8B" w:rsidR="001C19A4" w:rsidRDefault="001C19A4" w:rsidP="000A33F9">
      <w:pPr>
        <w:pStyle w:val="Heading2"/>
        <w:numPr>
          <w:ilvl w:val="0"/>
          <w:numId w:val="37"/>
        </w:numPr>
        <w:ind w:left="360"/>
      </w:pPr>
      <w:r>
        <w:t>State Board of Education Options and Recommendations</w:t>
      </w:r>
    </w:p>
    <w:p w14:paraId="2FA919CE" w14:textId="07A28596" w:rsidR="001C19A4" w:rsidRDefault="001C19A4" w:rsidP="00303107">
      <w:pPr>
        <w:pStyle w:val="Heading3"/>
        <w:numPr>
          <w:ilvl w:val="1"/>
          <w:numId w:val="38"/>
        </w:numPr>
        <w:ind w:left="1440" w:hanging="720"/>
      </w:pPr>
      <w:r>
        <w:t>SBE Options</w:t>
      </w:r>
    </w:p>
    <w:p w14:paraId="054FC1EA" w14:textId="77777777" w:rsidR="001C19A4" w:rsidRDefault="001C19A4" w:rsidP="00303107">
      <w:pPr>
        <w:ind w:left="1440"/>
      </w:pPr>
      <w:r>
        <w:t>At the present time, the SBE has two options regarding the proposal to form a Northgate unified school district. It may either:</w:t>
      </w:r>
    </w:p>
    <w:p w14:paraId="5FCEEBD2" w14:textId="77777777" w:rsidR="001C19A4" w:rsidRDefault="001C19A4" w:rsidP="00303107">
      <w:pPr>
        <w:ind w:left="1890" w:hanging="450"/>
      </w:pPr>
      <w:r>
        <w:t>(a)</w:t>
      </w:r>
      <w:r>
        <w:tab/>
        <w:t>Disapprove the proposal.</w:t>
      </w:r>
    </w:p>
    <w:p w14:paraId="2039D1E0" w14:textId="77777777" w:rsidR="001C19A4" w:rsidRDefault="001C19A4" w:rsidP="00303107">
      <w:pPr>
        <w:ind w:left="1890" w:hanging="450"/>
      </w:pPr>
      <w:r>
        <w:t>(b)</w:t>
      </w:r>
      <w:r>
        <w:tab/>
        <w:t>Determine the proposal has sufficient merit to move forward if the following occur:</w:t>
      </w:r>
    </w:p>
    <w:p w14:paraId="65353825" w14:textId="77777777" w:rsidR="001C19A4" w:rsidRDefault="001C19A4" w:rsidP="00303107">
      <w:pPr>
        <w:ind w:left="2160" w:hanging="360"/>
      </w:pPr>
      <w:r>
        <w:t>(1)</w:t>
      </w:r>
      <w:r>
        <w:tab/>
        <w:t xml:space="preserve">The SBE determines either: </w:t>
      </w:r>
    </w:p>
    <w:p w14:paraId="45B7BF01" w14:textId="77777777" w:rsidR="001C19A4" w:rsidRDefault="001C19A4" w:rsidP="001C19A4">
      <w:pPr>
        <w:pStyle w:val="ListParagraph"/>
        <w:numPr>
          <w:ilvl w:val="0"/>
          <w:numId w:val="7"/>
        </w:numPr>
        <w:spacing w:after="240" w:line="259" w:lineRule="auto"/>
        <w:contextualSpacing w:val="0"/>
      </w:pPr>
      <w:r>
        <w:t xml:space="preserve">All the conditions in </w:t>
      </w:r>
      <w:r w:rsidRPr="00753E57">
        <w:rPr>
          <w:i/>
        </w:rPr>
        <w:t>EC</w:t>
      </w:r>
      <w:r>
        <w:t xml:space="preserve"> Section 35753(a) have been substantially met, or</w:t>
      </w:r>
    </w:p>
    <w:p w14:paraId="352761DB" w14:textId="77777777" w:rsidR="001C19A4" w:rsidRDefault="001C19A4" w:rsidP="001C19A4">
      <w:pPr>
        <w:pStyle w:val="ListParagraph"/>
        <w:numPr>
          <w:ilvl w:val="0"/>
          <w:numId w:val="7"/>
        </w:numPr>
        <w:spacing w:after="240" w:line="259" w:lineRule="auto"/>
        <w:contextualSpacing w:val="0"/>
      </w:pPr>
      <w:r>
        <w:t xml:space="preserve">All the conditions in </w:t>
      </w:r>
      <w:r w:rsidRPr="00753E57">
        <w:rPr>
          <w:i/>
        </w:rPr>
        <w:t>EC</w:t>
      </w:r>
      <w:r>
        <w:t xml:space="preserve"> Section 35753(a) are not substantially met, but it is not possible to apply those conditions literally and an exceptional situation exists pursuant to </w:t>
      </w:r>
      <w:r w:rsidRPr="00753E57">
        <w:rPr>
          <w:i/>
        </w:rPr>
        <w:t>EC</w:t>
      </w:r>
      <w:r>
        <w:t xml:space="preserve"> Section 35753(b).</w:t>
      </w:r>
    </w:p>
    <w:p w14:paraId="42E1D5E4" w14:textId="77777777" w:rsidR="001C19A4" w:rsidRDefault="001C19A4" w:rsidP="00AF3DCD">
      <w:pPr>
        <w:ind w:left="2160" w:hanging="360"/>
      </w:pPr>
      <w:r>
        <w:t>(2)</w:t>
      </w:r>
      <w:r>
        <w:tab/>
        <w:t>The SBE finds there is a compelling reason to move the proposal forward.</w:t>
      </w:r>
    </w:p>
    <w:p w14:paraId="6CD762AB" w14:textId="224E2E2E" w:rsidR="001C19A4" w:rsidRDefault="001C19A4" w:rsidP="00A07978">
      <w:pPr>
        <w:ind w:left="1440"/>
      </w:pPr>
      <w:r>
        <w:lastRenderedPageBreak/>
        <w:t>If the SBE determines the proposal has sufficient merit, the CDE recommends that the SBE inform local agencies and chief petitioners that they must comply, under SBE and CDE oversight, with the requirements of the C</w:t>
      </w:r>
      <w:r w:rsidR="008A76E5">
        <w:t xml:space="preserve">alifornia </w:t>
      </w:r>
      <w:r>
        <w:t>E</w:t>
      </w:r>
      <w:r w:rsidR="008A76E5">
        <w:t xml:space="preserve">nvironment </w:t>
      </w:r>
      <w:r>
        <w:t>Q</w:t>
      </w:r>
      <w:r w:rsidR="008A76E5">
        <w:t xml:space="preserve">uality </w:t>
      </w:r>
      <w:r>
        <w:t>A</w:t>
      </w:r>
      <w:r w:rsidR="008A76E5">
        <w:t>ct</w:t>
      </w:r>
      <w:r>
        <w:t xml:space="preserve"> (pursuant to California </w:t>
      </w:r>
      <w:r w:rsidRPr="005C2288">
        <w:rPr>
          <w:i/>
        </w:rPr>
        <w:t>Public Resources Code</w:t>
      </w:r>
      <w:r>
        <w:t xml:space="preserve"> Section 21000 </w:t>
      </w:r>
      <w:r w:rsidRPr="005C2288">
        <w:rPr>
          <w:i/>
        </w:rPr>
        <w:t>et seq</w:t>
      </w:r>
      <w:r>
        <w:t>.) before a final action to approve can be considered by the SBE.</w:t>
      </w:r>
    </w:p>
    <w:p w14:paraId="1DF127F8" w14:textId="77777777" w:rsidR="001C19A4" w:rsidRPr="003C242F" w:rsidRDefault="001C19A4" w:rsidP="000A33F9">
      <w:pPr>
        <w:pStyle w:val="Heading3"/>
        <w:numPr>
          <w:ilvl w:val="1"/>
          <w:numId w:val="38"/>
        </w:numPr>
        <w:ind w:hanging="720"/>
      </w:pPr>
      <w:r>
        <w:t>Recommended Action</w:t>
      </w:r>
    </w:p>
    <w:p w14:paraId="479713A9" w14:textId="77777777" w:rsidR="001C19A4" w:rsidRDefault="001C19A4" w:rsidP="005F27A6">
      <w:pPr>
        <w:ind w:left="1080"/>
        <w:rPr>
          <w:szCs w:val="28"/>
        </w:rPr>
      </w:pPr>
      <w:r>
        <w:rPr>
          <w:szCs w:val="28"/>
        </w:rPr>
        <w:t>The CDE recommends that the SBE disapprove the petition to form a new unified school district from the Northgate portion of the Mt. Diablo USD.</w:t>
      </w:r>
    </w:p>
    <w:p w14:paraId="09FF083E" w14:textId="77777777" w:rsidR="00003C2E" w:rsidRDefault="00003C2E" w:rsidP="00EC33F3">
      <w:pPr>
        <w:pStyle w:val="Heading1"/>
        <w:sectPr w:rsidR="00003C2E" w:rsidSect="00AB6213">
          <w:headerReference w:type="default" r:id="rId13"/>
          <w:headerReference w:type="first" r:id="rId14"/>
          <w:footnotePr>
            <w:numRestart w:val="eachSect"/>
          </w:footnotePr>
          <w:pgSz w:w="12240" w:h="15840"/>
          <w:pgMar w:top="1440" w:right="1440" w:bottom="1440" w:left="1440" w:header="720" w:footer="720" w:gutter="0"/>
          <w:pgNumType w:start="1"/>
          <w:cols w:space="720"/>
          <w:docGrid w:linePitch="360"/>
        </w:sectPr>
      </w:pPr>
    </w:p>
    <w:p w14:paraId="456DBD9E" w14:textId="4EFE39DF" w:rsidR="001C19A4" w:rsidRPr="002B0FF8" w:rsidRDefault="001C19A4" w:rsidP="00EC33F3">
      <w:pPr>
        <w:pStyle w:val="Heading1"/>
      </w:pPr>
      <w:r w:rsidRPr="002B0FF8">
        <w:lastRenderedPageBreak/>
        <w:t xml:space="preserve">Attachment 2 </w:t>
      </w:r>
      <w:r w:rsidRPr="002B0FF8">
        <w:br/>
        <w:t xml:space="preserve">Racial/Ethnic Report on </w:t>
      </w:r>
      <w:r w:rsidRPr="002B0FF8">
        <w:br/>
        <w:t xml:space="preserve">Formation of a New Unified School District from </w:t>
      </w:r>
      <w:r w:rsidRPr="002B0FF8">
        <w:br/>
        <w:t xml:space="preserve">the Northgate </w:t>
      </w:r>
      <w:r>
        <w:t>P</w:t>
      </w:r>
      <w:r w:rsidRPr="002B0FF8">
        <w:t>ortion of the Mt. Diablo Unified School District in Contra Costa County</w:t>
      </w:r>
    </w:p>
    <w:p w14:paraId="1E102959" w14:textId="77777777" w:rsidR="001C19A4" w:rsidRPr="006830EC" w:rsidRDefault="001C19A4" w:rsidP="007F1E2D">
      <w:pPr>
        <w:pStyle w:val="Heading2"/>
      </w:pPr>
      <w:r w:rsidRPr="006830EC">
        <w:t>Background</w:t>
      </w:r>
    </w:p>
    <w:p w14:paraId="6D0EF1BA" w14:textId="77777777" w:rsidR="001C19A4" w:rsidRDefault="001C19A4" w:rsidP="005F27A6">
      <w:r w:rsidRPr="001C4584">
        <w:t xml:space="preserve">The Contra Costa County Committee on School District Organization (County Committee) recommended that the California State Board of Education (SBE) disapprove a proposal to create a Northgate Unified School District (USD) from the Northgate portion of the Mt. Diablo USD. </w:t>
      </w:r>
    </w:p>
    <w:p w14:paraId="715C67D3" w14:textId="77777777" w:rsidR="001C19A4" w:rsidRDefault="001C19A4" w:rsidP="005F27A6">
      <w:r w:rsidRPr="00AA2DC5">
        <w:t>The petition identif</w:t>
      </w:r>
      <w:r>
        <w:t>ies</w:t>
      </w:r>
      <w:r w:rsidRPr="00AA2DC5">
        <w:t xml:space="preserve"> the territory for the proposed Northgate USD</w:t>
      </w:r>
      <w:r>
        <w:t xml:space="preserve"> as the attendance areas of </w:t>
      </w:r>
      <w:r w:rsidRPr="009C45E9">
        <w:t>Bancroft Elementary, Walnut Acres Elementary, Valle Verde Elementary, Foothill Middle, and Northgate High</w:t>
      </w:r>
      <w:r>
        <w:t xml:space="preserve"> as they existed on April 24, 2016</w:t>
      </w:r>
      <w:r w:rsidRPr="009C45E9">
        <w:t xml:space="preserve">. </w:t>
      </w:r>
      <w:r>
        <w:t>Within this territory</w:t>
      </w:r>
      <w:r w:rsidRPr="009C45E9">
        <w:t xml:space="preserve"> </w:t>
      </w:r>
      <w:r>
        <w:t>are also</w:t>
      </w:r>
      <w:r w:rsidRPr="009C45E9">
        <w:t xml:space="preserve"> the school sites </w:t>
      </w:r>
      <w:r>
        <w:t>[</w:t>
      </w:r>
      <w:r w:rsidRPr="009C45E9">
        <w:t>but not the attendance areas</w:t>
      </w:r>
      <w:r>
        <w:t>]</w:t>
      </w:r>
      <w:r w:rsidRPr="009C45E9">
        <w:t xml:space="preserve"> of Oak Grove Middle School and Ygnacio Valley High, and a portion of the attendance area of Highlands Elementary </w:t>
      </w:r>
      <w:r>
        <w:t>[</w:t>
      </w:r>
      <w:r w:rsidRPr="009C45E9">
        <w:t>but not the school site</w:t>
      </w:r>
      <w:r>
        <w:t>]</w:t>
      </w:r>
      <w:r w:rsidRPr="009C45E9">
        <w:t>.</w:t>
      </w:r>
      <w:r>
        <w:t xml:space="preserve"> </w:t>
      </w:r>
      <w:r w:rsidRPr="00AA2DC5">
        <w:t xml:space="preserve">If the reorganization </w:t>
      </w:r>
      <w:r>
        <w:t>is</w:t>
      </w:r>
      <w:r w:rsidRPr="00AA2DC5">
        <w:t xml:space="preserve"> successful, </w:t>
      </w:r>
      <w:r>
        <w:t>seven</w:t>
      </w:r>
      <w:r w:rsidRPr="00AA2DC5">
        <w:t xml:space="preserve"> schools </w:t>
      </w:r>
      <w:r>
        <w:t xml:space="preserve">and </w:t>
      </w:r>
      <w:r w:rsidRPr="00AA2DC5">
        <w:t xml:space="preserve">approximately 4,018 students would be removed from the Mt. Diablo USD. Additionally, </w:t>
      </w:r>
      <w:r>
        <w:t xml:space="preserve">the new district territory includes </w:t>
      </w:r>
      <w:r w:rsidRPr="00AA2DC5">
        <w:t>the former Castle Rock Elementary sit</w:t>
      </w:r>
      <w:r>
        <w:t xml:space="preserve">e, which </w:t>
      </w:r>
      <w:r w:rsidRPr="00AA2DC5">
        <w:t xml:space="preserve">is currently in use by Eagle Peak Montessori charter school. </w:t>
      </w:r>
      <w:r>
        <w:t xml:space="preserve">This school site would also become the property of the Northgate USD; however, impacts to the students of </w:t>
      </w:r>
      <w:r w:rsidRPr="00AA2DC5">
        <w:t xml:space="preserve">Eagle Peak Montessori </w:t>
      </w:r>
      <w:r>
        <w:t>are</w:t>
      </w:r>
      <w:r w:rsidRPr="00AA2DC5">
        <w:t xml:space="preserve"> not included in this report</w:t>
      </w:r>
      <w:r>
        <w:t xml:space="preserve"> because charter schools are outside the scope of this analysis</w:t>
      </w:r>
      <w:r w:rsidRPr="00AA2DC5">
        <w:t>.</w:t>
      </w:r>
    </w:p>
    <w:p w14:paraId="01080237" w14:textId="77777777" w:rsidR="001C19A4" w:rsidRPr="001C4584" w:rsidRDefault="001C19A4" w:rsidP="005F27A6">
      <w:r w:rsidRPr="001C4584">
        <w:t>Before making its recommendation regarding the proposed Northgate USD, the County Committee was required to determine if the proposal substantially me</w:t>
      </w:r>
      <w:r>
        <w:t>t</w:t>
      </w:r>
      <w:r w:rsidRPr="001C4584">
        <w:t xml:space="preserve"> </w:t>
      </w:r>
      <w:r>
        <w:t>nine</w:t>
      </w:r>
      <w:r w:rsidRPr="001C4584">
        <w:t xml:space="preserve"> conditions, including the following: </w:t>
      </w:r>
    </w:p>
    <w:p w14:paraId="2B49B580" w14:textId="77777777" w:rsidR="001C19A4" w:rsidRPr="001C4584" w:rsidRDefault="001C19A4" w:rsidP="005F27A6">
      <w:pPr>
        <w:ind w:left="720" w:right="360"/>
      </w:pPr>
      <w:r w:rsidRPr="001C4584">
        <w:t>The reorganization of the districts will preserve each affected district’s ability to educat</w:t>
      </w:r>
      <w:r>
        <w:t>e</w:t>
      </w:r>
      <w:r w:rsidRPr="001C4584">
        <w:t xml:space="preserve"> students in an integrated environment and will not promote racial or ethnic discrimination or segregation. [</w:t>
      </w:r>
      <w:r w:rsidRPr="001C4584">
        <w:rPr>
          <w:i/>
        </w:rPr>
        <w:t>Education Code</w:t>
      </w:r>
      <w:r w:rsidRPr="001C4584">
        <w:t xml:space="preserve"> (</w:t>
      </w:r>
      <w:r w:rsidRPr="001C4584">
        <w:rPr>
          <w:i/>
        </w:rPr>
        <w:t>EC</w:t>
      </w:r>
      <w:r w:rsidRPr="001C4584">
        <w:t>) Section 35753(a)(4)]</w:t>
      </w:r>
    </w:p>
    <w:p w14:paraId="45C4A7D9" w14:textId="729E5FF9" w:rsidR="001C19A4" w:rsidRPr="001C4584" w:rsidRDefault="001C19A4" w:rsidP="005F27A6">
      <w:r w:rsidRPr="001C4584">
        <w:t xml:space="preserve">The Contra Costa County Office of Education contracted with School Services of California to prepare a feasibility </w:t>
      </w:r>
      <w:r w:rsidR="00D316F1">
        <w:t>study</w:t>
      </w:r>
      <w:r w:rsidRPr="001C4584">
        <w:t xml:space="preserve"> for the proposed reorganization. In </w:t>
      </w:r>
      <w:r w:rsidR="00D316F1">
        <w:t xml:space="preserve">the </w:t>
      </w:r>
      <w:r w:rsidR="00D316F1" w:rsidRPr="008754DA">
        <w:rPr>
          <w:i/>
        </w:rPr>
        <w:t>Contra Costa County Office of Education Reorganization Feasibility Study</w:t>
      </w:r>
      <w:r w:rsidR="00D316F1">
        <w:rPr>
          <w:i/>
        </w:rPr>
        <w:t>: Mt. Diablo Unified School District</w:t>
      </w:r>
      <w:r w:rsidR="00D316F1">
        <w:t xml:space="preserve"> (</w:t>
      </w:r>
      <w:r w:rsidR="00D316F1" w:rsidRPr="005444BA">
        <w:rPr>
          <w:i/>
        </w:rPr>
        <w:t>Feasibility Study</w:t>
      </w:r>
      <w:r w:rsidR="00D316F1">
        <w:t>)</w:t>
      </w:r>
      <w:r w:rsidRPr="001C4584">
        <w:t xml:space="preserve">, School Services of California found that the proposal substantially meets </w:t>
      </w:r>
      <w:r>
        <w:t xml:space="preserve">the </w:t>
      </w:r>
      <w:r w:rsidRPr="001C4584">
        <w:t xml:space="preserve">condition set forth in </w:t>
      </w:r>
      <w:r w:rsidRPr="00276E97">
        <w:rPr>
          <w:i/>
        </w:rPr>
        <w:t>EC</w:t>
      </w:r>
      <w:r w:rsidRPr="001C4584">
        <w:t xml:space="preserve"> Section 35753(a)(4), stating:</w:t>
      </w:r>
    </w:p>
    <w:p w14:paraId="24680597" w14:textId="77777777" w:rsidR="001C19A4" w:rsidRPr="001C4584" w:rsidRDefault="001C19A4" w:rsidP="005F27A6">
      <w:pPr>
        <w:ind w:left="720" w:right="360"/>
      </w:pPr>
      <w:r w:rsidRPr="001C4584">
        <w:lastRenderedPageBreak/>
        <w:t>“The study finds that this criterion would be substantially met, as the proposed reorganization would not significantly increase the percentage of minority group students in either district and therefore would not promote racial or ethnic discrimination or segregation.”</w:t>
      </w:r>
    </w:p>
    <w:p w14:paraId="45AB343E" w14:textId="2E745F5D" w:rsidR="001C19A4" w:rsidRDefault="001C19A4" w:rsidP="005F27A6">
      <w:r w:rsidRPr="001C4584">
        <w:t>After considering information</w:t>
      </w:r>
      <w:r>
        <w:t xml:space="preserve"> provided</w:t>
      </w:r>
      <w:r w:rsidRPr="001C4584">
        <w:t xml:space="preserve"> and </w:t>
      </w:r>
      <w:r>
        <w:t xml:space="preserve">the </w:t>
      </w:r>
      <w:r w:rsidRPr="001C4584">
        <w:t>finding</w:t>
      </w:r>
      <w:r>
        <w:t>s</w:t>
      </w:r>
      <w:r w:rsidRPr="001C4584">
        <w:t xml:space="preserve"> in the </w:t>
      </w:r>
      <w:r w:rsidR="00D316F1" w:rsidRPr="005444BA">
        <w:rPr>
          <w:i/>
        </w:rPr>
        <w:t>Feasibility Study</w:t>
      </w:r>
      <w:r w:rsidRPr="001C4584">
        <w:t xml:space="preserve">, the County Committee concluded the proposal failed to substantially meet the </w:t>
      </w:r>
      <w:r w:rsidRPr="001C4584">
        <w:rPr>
          <w:i/>
        </w:rPr>
        <w:t>EC</w:t>
      </w:r>
      <w:r w:rsidRPr="001C4584">
        <w:t xml:space="preserve"> Section 35753(a)(4) condition with a 3-2 vote. </w:t>
      </w:r>
    </w:p>
    <w:p w14:paraId="540005D0" w14:textId="5E534B4C" w:rsidR="001C19A4" w:rsidRDefault="001C19A4" w:rsidP="005F27A6">
      <w:r w:rsidRPr="00286232">
        <w:t xml:space="preserve">The County Committee did not provide a unified reason for its </w:t>
      </w:r>
      <w:r>
        <w:t>vote</w:t>
      </w:r>
      <w:r w:rsidRPr="00286232">
        <w:t xml:space="preserve">. However, </w:t>
      </w:r>
      <w:r>
        <w:t>during</w:t>
      </w:r>
      <w:r w:rsidRPr="00286232">
        <w:t xml:space="preserve"> the public hearing </w:t>
      </w:r>
      <w:r>
        <w:t xml:space="preserve">discussions </w:t>
      </w:r>
      <w:r w:rsidRPr="00286232">
        <w:t xml:space="preserve">and deliberation on the proposal, committee members expressed concern that the creation of a new school district would </w:t>
      </w:r>
      <w:r>
        <w:t>add</w:t>
      </w:r>
      <w:r w:rsidRPr="00286232">
        <w:t xml:space="preserve"> a barrier to minority access to high</w:t>
      </w:r>
      <w:r w:rsidR="00D91B9F">
        <w:t>-</w:t>
      </w:r>
      <w:r w:rsidRPr="00286232">
        <w:t xml:space="preserve">performing schools </w:t>
      </w:r>
      <w:r>
        <w:t xml:space="preserve">and that </w:t>
      </w:r>
      <w:r w:rsidRPr="00286232">
        <w:t xml:space="preserve">the </w:t>
      </w:r>
      <w:r w:rsidR="00D64B69" w:rsidRPr="00D64B69">
        <w:rPr>
          <w:i/>
        </w:rPr>
        <w:t>F</w:t>
      </w:r>
      <w:r w:rsidRPr="00D64B69">
        <w:rPr>
          <w:i/>
        </w:rPr>
        <w:t xml:space="preserve">easibility </w:t>
      </w:r>
      <w:r w:rsidR="00D64B69" w:rsidRPr="00D64B69">
        <w:rPr>
          <w:i/>
        </w:rPr>
        <w:t>S</w:t>
      </w:r>
      <w:r w:rsidRPr="00D64B69">
        <w:rPr>
          <w:i/>
        </w:rPr>
        <w:t>tudy</w:t>
      </w:r>
      <w:r w:rsidRPr="00286232">
        <w:t xml:space="preserve"> did not include an on-the-ground assessment of the affected schools that </w:t>
      </w:r>
      <w:r>
        <w:t>could</w:t>
      </w:r>
      <w:r w:rsidRPr="00286232">
        <w:t xml:space="preserve"> have </w:t>
      </w:r>
      <w:r>
        <w:t>possibly</w:t>
      </w:r>
      <w:r w:rsidRPr="00286232">
        <w:t xml:space="preserve"> led to a different conclusion.</w:t>
      </w:r>
    </w:p>
    <w:p w14:paraId="1FEBEDDB" w14:textId="77777777" w:rsidR="001C19A4" w:rsidRPr="001C4584" w:rsidRDefault="001C19A4" w:rsidP="007F1E2D">
      <w:pPr>
        <w:pStyle w:val="Heading2"/>
      </w:pPr>
      <w:r w:rsidRPr="006830EC">
        <w:t>Recommendation</w:t>
      </w:r>
    </w:p>
    <w:p w14:paraId="3910B69D" w14:textId="77777777" w:rsidR="001C19A4" w:rsidRDefault="001C19A4" w:rsidP="005F27A6">
      <w:r>
        <w:t xml:space="preserve">The CDE recommends that the proposal to form a new Northgate USD from a portion of the Mt. Diablo USD substantially complies with </w:t>
      </w:r>
      <w:r w:rsidRPr="00CD6BCC">
        <w:rPr>
          <w:i/>
        </w:rPr>
        <w:t>EC</w:t>
      </w:r>
      <w:r>
        <w:t xml:space="preserve"> Section 35753(a)(4)</w:t>
      </w:r>
      <w:r w:rsidRPr="001C4584">
        <w:t>.</w:t>
      </w:r>
    </w:p>
    <w:p w14:paraId="513A6686" w14:textId="77777777" w:rsidR="001C19A4" w:rsidRPr="000E4443" w:rsidRDefault="001C19A4" w:rsidP="005F27A6">
      <w:pPr>
        <w:rPr>
          <w:rStyle w:val="Strong"/>
          <w:b w:val="0"/>
        </w:rPr>
      </w:pPr>
      <w:r w:rsidRPr="000E4443">
        <w:rPr>
          <w:rStyle w:val="Strong"/>
          <w:b w:val="0"/>
        </w:rPr>
        <w:t xml:space="preserve">The Mt. Diablo USD is currently 70.6 percent minority. If the Northgate community were to withdraw from the district, the remaining area of Mt. Diablo USD would be 73.8 percent minority while the new Northgate USD would be 49.5 percent minority. The largest minority student group in the existing district is Hispanic or Latino, which accounts for 45.6 percent of the total student population; however, Hispanic or Latino students comprise only 16.6 percent of the students in the proposed new district. Though student demographics of the Northgate area schools are noticeably different from that of the rest of the Mt. Diablo USD, staff found that the racial and ethnic composition of the affected elementary, middle, and high schools of both areas would be substantially unchanged by the reorganization and would preserve each affected district’s ability to educate students in an integrated environment. </w:t>
      </w:r>
    </w:p>
    <w:p w14:paraId="487BF314" w14:textId="77777777" w:rsidR="001C19A4" w:rsidRDefault="001C19A4" w:rsidP="005F27A6">
      <w:pPr>
        <w:rPr>
          <w:rStyle w:val="Strong"/>
          <w:b w:val="0"/>
        </w:rPr>
      </w:pPr>
      <w:r>
        <w:t>The following report, prepared by the California Department of Education, provides detailed analyses to support this recommendation.</w:t>
      </w:r>
    </w:p>
    <w:p w14:paraId="56291C48" w14:textId="77777777" w:rsidR="001C19A4" w:rsidRPr="008E23D9" w:rsidRDefault="001C19A4" w:rsidP="005F27A6">
      <w:pPr>
        <w:rPr>
          <w:bCs/>
        </w:rPr>
      </w:pPr>
      <w:r>
        <w:rPr>
          <w:sz w:val="22"/>
        </w:rPr>
        <w:br w:type="page"/>
      </w:r>
    </w:p>
    <w:p w14:paraId="022EE415" w14:textId="77777777" w:rsidR="001C19A4" w:rsidRPr="00EA731B" w:rsidRDefault="001C19A4" w:rsidP="007F1E2D">
      <w:pPr>
        <w:pStyle w:val="Heading2"/>
      </w:pPr>
      <w:r>
        <w:lastRenderedPageBreak/>
        <w:t xml:space="preserve">Evaluation </w:t>
      </w:r>
      <w:r w:rsidRPr="00CC2A01">
        <w:t xml:space="preserve">Criteria </w:t>
      </w:r>
      <w:r>
        <w:t>for the</w:t>
      </w:r>
      <w:r w:rsidRPr="00CC2A01">
        <w:t xml:space="preserve"> </w:t>
      </w:r>
      <w:r>
        <w:t>U</w:t>
      </w:r>
      <w:r w:rsidRPr="00CC2A01">
        <w:t xml:space="preserve">nification </w:t>
      </w:r>
      <w:r>
        <w:t>P</w:t>
      </w:r>
      <w:r w:rsidRPr="00CC2A01">
        <w:t>roposal</w:t>
      </w:r>
    </w:p>
    <w:p w14:paraId="5BF098A6" w14:textId="77777777" w:rsidR="001C19A4" w:rsidRDefault="001C19A4" w:rsidP="005F27A6">
      <w:r>
        <w:t xml:space="preserve">Pursuant to </w:t>
      </w:r>
      <w:r w:rsidRPr="00276E97">
        <w:rPr>
          <w:i/>
        </w:rPr>
        <w:t>EC</w:t>
      </w:r>
      <w:r>
        <w:t xml:space="preserve"> Section 35753(a)(4), a proposal to reorganize a school district may be approved if it is substantially determined that it would: (1) </w:t>
      </w:r>
      <w:bookmarkStart w:id="5" w:name="_Hlk90905970"/>
      <w:r>
        <w:t>preserve each affected district’s ability to educate students in an integrated environment</w:t>
      </w:r>
      <w:bookmarkEnd w:id="5"/>
      <w:r>
        <w:t xml:space="preserve">, and (2) not promote racial or ethnic discrimination or segregation. Section 18573 of the </w:t>
      </w:r>
      <w:r w:rsidRPr="00276E97">
        <w:rPr>
          <w:i/>
        </w:rPr>
        <w:t>California</w:t>
      </w:r>
      <w:r>
        <w:t xml:space="preserve"> </w:t>
      </w:r>
      <w:r w:rsidRPr="00276E97">
        <w:rPr>
          <w:i/>
        </w:rPr>
        <w:t>Code of Regulations</w:t>
      </w:r>
      <w:r>
        <w:t>, Title 5 requires five factors to be considered in making these determinations:</w:t>
      </w:r>
    </w:p>
    <w:p w14:paraId="381CF9CA" w14:textId="77777777" w:rsidR="001C19A4" w:rsidRDefault="001C19A4" w:rsidP="001C19A4">
      <w:pPr>
        <w:pStyle w:val="ListParagraph"/>
        <w:numPr>
          <w:ilvl w:val="0"/>
          <w:numId w:val="16"/>
        </w:numPr>
        <w:spacing w:after="240"/>
        <w:contextualSpacing w:val="0"/>
      </w:pPr>
      <w:r>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4AA790ED" w14:textId="77777777" w:rsidR="001C19A4" w:rsidRDefault="001C19A4" w:rsidP="001C19A4">
      <w:pPr>
        <w:pStyle w:val="ListParagraph"/>
        <w:numPr>
          <w:ilvl w:val="0"/>
          <w:numId w:val="16"/>
        </w:numPr>
        <w:spacing w:after="240"/>
        <w:contextualSpacing w:val="0"/>
      </w:pPr>
      <w:r>
        <w:t>The trends and rates of present and possible future growth or change in the total population in the districts affected, in each racial and ethnic group within the total district, and in each school of the affected districts.</w:t>
      </w:r>
    </w:p>
    <w:p w14:paraId="196FA612" w14:textId="77777777" w:rsidR="001C19A4" w:rsidRDefault="001C19A4" w:rsidP="001C19A4">
      <w:pPr>
        <w:pStyle w:val="ListParagraph"/>
        <w:numPr>
          <w:ilvl w:val="0"/>
          <w:numId w:val="16"/>
        </w:numPr>
        <w:spacing w:after="240"/>
        <w:contextualSpacing w:val="0"/>
      </w:pPr>
      <w:r>
        <w:t xml:space="preserve">The school board policies regarding methods of preventing racial and ethnic segregation in the affected districts and the effect of the proposal or petition on any desegregation plan or program of the affected districts, whether voluntary or court ordered, designed to prevent or to alleviate racial or ethnic discrimination or segregation. </w:t>
      </w:r>
    </w:p>
    <w:p w14:paraId="6B42CF70" w14:textId="77777777" w:rsidR="001C19A4" w:rsidRDefault="001C19A4" w:rsidP="001C19A4">
      <w:pPr>
        <w:pStyle w:val="ListParagraph"/>
        <w:numPr>
          <w:ilvl w:val="0"/>
          <w:numId w:val="16"/>
        </w:numPr>
        <w:spacing w:after="240"/>
        <w:contextualSpacing w:val="0"/>
      </w:pPr>
      <w:r>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 schools.</w:t>
      </w:r>
    </w:p>
    <w:p w14:paraId="7D1CDFCA" w14:textId="77777777" w:rsidR="001C19A4" w:rsidRDefault="001C19A4" w:rsidP="001C19A4">
      <w:pPr>
        <w:pStyle w:val="ListParagraph"/>
        <w:numPr>
          <w:ilvl w:val="0"/>
          <w:numId w:val="16"/>
        </w:numPr>
        <w:spacing w:after="240"/>
        <w:contextualSpacing w:val="0"/>
      </w:pPr>
      <w:r>
        <w:t>The effect of the proposal on the duty of the governing board of each of the affected districts to take steps, insofar as reasonably feasible, to alleviate segregation of minority pupils in schools regardless of its cause.</w:t>
      </w:r>
    </w:p>
    <w:p w14:paraId="57C23BFF" w14:textId="77777777" w:rsidR="001C19A4" w:rsidRDefault="001C19A4" w:rsidP="005F27A6">
      <w:r>
        <w:t xml:space="preserve">Each of these factors will be evaluated in light of available information, including information derived from the California Longitudinal Pupil Achievement Data System (CALPADS). </w:t>
      </w:r>
    </w:p>
    <w:p w14:paraId="518489F7" w14:textId="77777777" w:rsidR="001C19A4" w:rsidRDefault="001C19A4" w:rsidP="005F27A6">
      <w:r>
        <w:t>For purposes of this report, minority students are those who regard themselves, or are regarded by the school or community, as belonging to one of the following groups:</w:t>
      </w:r>
    </w:p>
    <w:p w14:paraId="64ADAAE2" w14:textId="77777777" w:rsidR="001C19A4" w:rsidRDefault="001C19A4" w:rsidP="001C19A4">
      <w:pPr>
        <w:pStyle w:val="ListParagraph"/>
        <w:numPr>
          <w:ilvl w:val="0"/>
          <w:numId w:val="17"/>
        </w:numPr>
        <w:spacing w:after="240"/>
        <w:contextualSpacing w:val="0"/>
      </w:pPr>
      <w:r>
        <w:t>American Indian or Alaska Native, non-Hispanic or non-Latino</w:t>
      </w:r>
    </w:p>
    <w:p w14:paraId="75819E5A" w14:textId="77777777" w:rsidR="001C19A4" w:rsidRDefault="001C19A4" w:rsidP="001C19A4">
      <w:pPr>
        <w:pStyle w:val="ListParagraph"/>
        <w:numPr>
          <w:ilvl w:val="0"/>
          <w:numId w:val="17"/>
        </w:numPr>
        <w:spacing w:after="240"/>
        <w:contextualSpacing w:val="0"/>
      </w:pPr>
      <w:r>
        <w:t>Asian, non-Hispanic or non-Latino</w:t>
      </w:r>
    </w:p>
    <w:p w14:paraId="08A4E560" w14:textId="77777777" w:rsidR="001C19A4" w:rsidRDefault="001C19A4" w:rsidP="001C19A4">
      <w:pPr>
        <w:pStyle w:val="ListParagraph"/>
        <w:numPr>
          <w:ilvl w:val="0"/>
          <w:numId w:val="17"/>
        </w:numPr>
        <w:spacing w:after="240"/>
        <w:contextualSpacing w:val="0"/>
      </w:pPr>
      <w:r>
        <w:lastRenderedPageBreak/>
        <w:t>Black or African American, non-Hispanic or non-Latino</w:t>
      </w:r>
    </w:p>
    <w:p w14:paraId="39003EF6" w14:textId="77777777" w:rsidR="001C19A4" w:rsidRDefault="001C19A4" w:rsidP="001C19A4">
      <w:pPr>
        <w:pStyle w:val="ListParagraph"/>
        <w:numPr>
          <w:ilvl w:val="0"/>
          <w:numId w:val="17"/>
        </w:numPr>
        <w:spacing w:after="240"/>
        <w:contextualSpacing w:val="0"/>
      </w:pPr>
      <w:r>
        <w:t>Filipino, non-Hispanic or non-Latino</w:t>
      </w:r>
    </w:p>
    <w:p w14:paraId="597C27DA" w14:textId="77777777" w:rsidR="001C19A4" w:rsidRDefault="001C19A4" w:rsidP="001C19A4">
      <w:pPr>
        <w:pStyle w:val="ListParagraph"/>
        <w:numPr>
          <w:ilvl w:val="0"/>
          <w:numId w:val="17"/>
        </w:numPr>
        <w:spacing w:after="240"/>
        <w:contextualSpacing w:val="0"/>
      </w:pPr>
      <w:r>
        <w:t>Hispanic or Latino</w:t>
      </w:r>
    </w:p>
    <w:p w14:paraId="0B11B0CA" w14:textId="77777777" w:rsidR="001C19A4" w:rsidRDefault="001C19A4" w:rsidP="001C19A4">
      <w:pPr>
        <w:pStyle w:val="ListParagraph"/>
        <w:numPr>
          <w:ilvl w:val="0"/>
          <w:numId w:val="17"/>
        </w:numPr>
        <w:spacing w:after="240"/>
        <w:contextualSpacing w:val="0"/>
      </w:pPr>
      <w:r>
        <w:t>Native Hawaiian or Pacific Islander, non-Hispanic or non-Latino</w:t>
      </w:r>
    </w:p>
    <w:p w14:paraId="40B7D9A6" w14:textId="77777777" w:rsidR="001C19A4" w:rsidRDefault="001C19A4" w:rsidP="001C19A4">
      <w:pPr>
        <w:pStyle w:val="ListParagraph"/>
        <w:numPr>
          <w:ilvl w:val="0"/>
          <w:numId w:val="17"/>
        </w:numPr>
        <w:spacing w:after="240"/>
        <w:contextualSpacing w:val="0"/>
      </w:pPr>
      <w:r>
        <w:t>Two or More Races, non-Hispanic or non-Latino</w:t>
      </w:r>
    </w:p>
    <w:p w14:paraId="68258BD8" w14:textId="77777777" w:rsidR="001C19A4" w:rsidRDefault="001C19A4" w:rsidP="005F27A6">
      <w:pPr>
        <w:rPr>
          <w:highlight w:val="yellow"/>
        </w:rPr>
      </w:pPr>
      <w:r>
        <w:t xml:space="preserve">It should be pointed out that racial and ethnic groups identified as “minority” in many situations are not a numerical “minority” compared with the white “majority” group. A more realistic definition has its roots in past laws, which subjected these groups to discriminatory practices and segregation based solely on race, color, or ethnicity. Although all such laws have been repealed or declared unconstitutional by the courts or repealed by the California State Legislature, the pervasive, lingering effects of past discrimination and some continuing community practices require vigilance in overcoming past discrimination and protecting and expanding human rights and equal opportunity. In the review of this proposal, all minority groups are combined into one numerical quantity for comparison with the white group; this is consistent with the definition of segregation set forth by the California Supreme Court. </w:t>
      </w:r>
      <w:r w:rsidRPr="00153EB8">
        <w:t>[</w:t>
      </w:r>
      <w:bookmarkStart w:id="6" w:name="_Hlk90378747"/>
      <w:r w:rsidRPr="00757D37">
        <w:rPr>
          <w:i/>
          <w:iCs/>
        </w:rPr>
        <w:t xml:space="preserve">Crawford v. Board of Education of Los </w:t>
      </w:r>
      <w:r w:rsidRPr="00757D37">
        <w:t xml:space="preserve">Angeles (1976) </w:t>
      </w:r>
      <w:bookmarkEnd w:id="6"/>
      <w:r w:rsidRPr="00757D37">
        <w:t>17 Cal. 3d 280 and</w:t>
      </w:r>
      <w:r w:rsidRPr="00757D37">
        <w:rPr>
          <w:i/>
          <w:iCs/>
        </w:rPr>
        <w:t xml:space="preserve"> N.A.A.C.P. v. San Bernardino City Unified School District</w:t>
      </w:r>
      <w:r w:rsidRPr="00757D37">
        <w:t xml:space="preserve"> (1976) 17 Cal. 3d 311.</w:t>
      </w:r>
      <w:r>
        <w:t>]</w:t>
      </w:r>
      <w:r>
        <w:rPr>
          <w:highlight w:val="yellow"/>
        </w:rPr>
        <w:br w:type="page"/>
      </w:r>
    </w:p>
    <w:p w14:paraId="0372D5CF" w14:textId="77777777" w:rsidR="001C19A4" w:rsidRDefault="001C19A4" w:rsidP="007F1E2D">
      <w:pPr>
        <w:pStyle w:val="Heading2"/>
      </w:pPr>
      <w:r>
        <w:lastRenderedPageBreak/>
        <w:t>Discussion and Analysis</w:t>
      </w:r>
    </w:p>
    <w:p w14:paraId="67810EBC" w14:textId="738C4ED1" w:rsidR="001C19A4" w:rsidRDefault="001C19A4" w:rsidP="000A33F9">
      <w:pPr>
        <w:pStyle w:val="Heading3"/>
        <w:numPr>
          <w:ilvl w:val="1"/>
          <w:numId w:val="39"/>
        </w:numPr>
        <w:ind w:left="720" w:hanging="720"/>
      </w:pPr>
      <w:r>
        <w:t>Current Racial/Ethnic Enrollment: District Level Analysis</w:t>
      </w:r>
    </w:p>
    <w:p w14:paraId="5D1F2666" w14:textId="77777777" w:rsidR="001C19A4" w:rsidRDefault="001C19A4" w:rsidP="005F27A6">
      <w:pPr>
        <w:ind w:left="360"/>
      </w:pPr>
      <w:bookmarkStart w:id="7" w:name="_Toc504462740"/>
      <w:r w:rsidRPr="00D41228">
        <w:t>Table 1a depicts current (2020–21) racial/ethnic enrollment and percentages in the Mt. Diablo USD.</w:t>
      </w:r>
    </w:p>
    <w:p w14:paraId="0F110AAC" w14:textId="77777777" w:rsidR="001C19A4" w:rsidRPr="001F0B7E" w:rsidRDefault="001C19A4" w:rsidP="001F0B7E">
      <w:pPr>
        <w:pStyle w:val="Heading4"/>
      </w:pPr>
      <w:bookmarkStart w:id="8" w:name="Table1a"/>
      <w:r w:rsidRPr="001F0B7E">
        <w:t>Table 1a. Racial/Ethnic Enrollment within the Existing Mt. Diablo USD</w:t>
      </w:r>
    </w:p>
    <w:tbl>
      <w:tblPr>
        <w:tblStyle w:val="ListTable3-Accent5"/>
        <w:tblW w:w="919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and percentage of students in racial/ethnic categories for the existing Mt. Diablo USD as of 2020-21."/>
      </w:tblPr>
      <w:tblGrid>
        <w:gridCol w:w="2430"/>
        <w:gridCol w:w="919"/>
        <w:gridCol w:w="1337"/>
        <w:gridCol w:w="1273"/>
        <w:gridCol w:w="1079"/>
        <w:gridCol w:w="1080"/>
        <w:gridCol w:w="1080"/>
      </w:tblGrid>
      <w:tr w:rsidR="00AB6213" w:rsidRPr="00AB6213" w14:paraId="6A6826D7" w14:textId="77777777" w:rsidTr="00E440B4">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2430" w:type="dxa"/>
            <w:tcBorders>
              <w:bottom w:val="none" w:sz="0" w:space="0" w:color="auto"/>
              <w:right w:val="none" w:sz="0" w:space="0" w:color="auto"/>
            </w:tcBorders>
            <w:shd w:val="clear" w:color="auto" w:fill="B4C6E7" w:themeFill="accent1" w:themeFillTint="66"/>
            <w:noWrap/>
            <w:vAlign w:val="center"/>
            <w:hideMark/>
          </w:tcPr>
          <w:bookmarkEnd w:id="8"/>
          <w:p w14:paraId="1BD32661" w14:textId="77777777" w:rsidR="001C19A4" w:rsidRPr="00AB6213" w:rsidRDefault="001C19A4" w:rsidP="00E440B4">
            <w:pPr>
              <w:pStyle w:val="Tables"/>
              <w:spacing w:before="120" w:after="120"/>
              <w:rPr>
                <w:b w:val="0"/>
                <w:color w:val="auto"/>
              </w:rPr>
            </w:pPr>
            <w:r w:rsidRPr="00AB6213">
              <w:rPr>
                <w:color w:val="auto"/>
              </w:rPr>
              <w:t>Category</w:t>
            </w:r>
          </w:p>
        </w:tc>
        <w:tc>
          <w:tcPr>
            <w:tcW w:w="919" w:type="dxa"/>
            <w:shd w:val="clear" w:color="auto" w:fill="B4C6E7" w:themeFill="accent1" w:themeFillTint="66"/>
            <w:vAlign w:val="center"/>
          </w:tcPr>
          <w:p w14:paraId="0E740C11"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Asian</w:t>
            </w:r>
          </w:p>
        </w:tc>
        <w:tc>
          <w:tcPr>
            <w:tcW w:w="1337" w:type="dxa"/>
            <w:shd w:val="clear" w:color="auto" w:fill="B4C6E7" w:themeFill="accent1" w:themeFillTint="66"/>
            <w:vAlign w:val="center"/>
            <w:hideMark/>
          </w:tcPr>
          <w:p w14:paraId="14FF9DD4"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Black or African American</w:t>
            </w:r>
          </w:p>
        </w:tc>
        <w:tc>
          <w:tcPr>
            <w:tcW w:w="1273" w:type="dxa"/>
            <w:shd w:val="clear" w:color="auto" w:fill="B4C6E7" w:themeFill="accent1" w:themeFillTint="66"/>
            <w:vAlign w:val="center"/>
            <w:hideMark/>
          </w:tcPr>
          <w:p w14:paraId="2D568397"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Hispanic or Latino</w:t>
            </w:r>
          </w:p>
        </w:tc>
        <w:tc>
          <w:tcPr>
            <w:tcW w:w="1079" w:type="dxa"/>
            <w:shd w:val="clear" w:color="auto" w:fill="B4C6E7" w:themeFill="accent1" w:themeFillTint="66"/>
            <w:vAlign w:val="center"/>
            <w:hideMark/>
          </w:tcPr>
          <w:p w14:paraId="6B030CD2"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Other</w:t>
            </w:r>
            <w:r w:rsidRPr="00AB6213">
              <w:rPr>
                <w:rStyle w:val="FootnoteReference"/>
                <w:color w:val="auto"/>
                <w:vertAlign w:val="superscript"/>
              </w:rPr>
              <w:footnoteReference w:id="3"/>
            </w:r>
          </w:p>
        </w:tc>
        <w:tc>
          <w:tcPr>
            <w:tcW w:w="1080" w:type="dxa"/>
            <w:shd w:val="clear" w:color="auto" w:fill="B4C6E7" w:themeFill="accent1" w:themeFillTint="66"/>
            <w:vAlign w:val="center"/>
            <w:hideMark/>
          </w:tcPr>
          <w:p w14:paraId="6F0FD3BD"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White</w:t>
            </w:r>
          </w:p>
        </w:tc>
        <w:tc>
          <w:tcPr>
            <w:tcW w:w="1080" w:type="dxa"/>
            <w:shd w:val="clear" w:color="auto" w:fill="B4C6E7" w:themeFill="accent1" w:themeFillTint="66"/>
            <w:vAlign w:val="center"/>
            <w:hideMark/>
          </w:tcPr>
          <w:p w14:paraId="4D3AF8D0"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Total</w:t>
            </w:r>
            <w:r w:rsidRPr="00AB6213">
              <w:rPr>
                <w:rStyle w:val="FootnoteReference"/>
                <w:color w:val="auto"/>
                <w:vertAlign w:val="superscript"/>
              </w:rPr>
              <w:footnoteReference w:id="4"/>
            </w:r>
          </w:p>
        </w:tc>
      </w:tr>
      <w:tr w:rsidR="00AB6213" w:rsidRPr="00AB6213" w14:paraId="726A43BE" w14:textId="77777777" w:rsidTr="00E440B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bottom w:val="none" w:sz="0" w:space="0" w:color="auto"/>
              <w:right w:val="none" w:sz="0" w:space="0" w:color="auto"/>
            </w:tcBorders>
            <w:noWrap/>
            <w:hideMark/>
          </w:tcPr>
          <w:p w14:paraId="38A6F9CC" w14:textId="77777777" w:rsidR="001C19A4" w:rsidRPr="00E440B4" w:rsidRDefault="001C19A4" w:rsidP="00E440B4">
            <w:pPr>
              <w:pStyle w:val="Tables"/>
              <w:spacing w:before="120" w:after="120"/>
              <w:jc w:val="left"/>
              <w:rPr>
                <w:b w:val="0"/>
              </w:rPr>
            </w:pPr>
            <w:r w:rsidRPr="00E440B4">
              <w:rPr>
                <w:b w:val="0"/>
              </w:rPr>
              <w:t>Number of Students</w:t>
            </w:r>
          </w:p>
        </w:tc>
        <w:tc>
          <w:tcPr>
            <w:tcW w:w="919" w:type="dxa"/>
            <w:tcBorders>
              <w:top w:val="none" w:sz="0" w:space="0" w:color="auto"/>
              <w:bottom w:val="none" w:sz="0" w:space="0" w:color="auto"/>
            </w:tcBorders>
          </w:tcPr>
          <w:p w14:paraId="78C9CBF7"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rsidRPr="00AB6213">
              <w:t>2,291</w:t>
            </w:r>
          </w:p>
        </w:tc>
        <w:tc>
          <w:tcPr>
            <w:tcW w:w="1337" w:type="dxa"/>
            <w:tcBorders>
              <w:top w:val="none" w:sz="0" w:space="0" w:color="auto"/>
              <w:bottom w:val="none" w:sz="0" w:space="0" w:color="auto"/>
            </w:tcBorders>
            <w:noWrap/>
            <w:hideMark/>
          </w:tcPr>
          <w:p w14:paraId="70A2C028"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rsidRPr="00AB6213">
              <w:t>900</w:t>
            </w:r>
          </w:p>
        </w:tc>
        <w:tc>
          <w:tcPr>
            <w:tcW w:w="1273" w:type="dxa"/>
            <w:tcBorders>
              <w:top w:val="none" w:sz="0" w:space="0" w:color="auto"/>
              <w:bottom w:val="none" w:sz="0" w:space="0" w:color="auto"/>
            </w:tcBorders>
            <w:noWrap/>
            <w:hideMark/>
          </w:tcPr>
          <w:p w14:paraId="2EB2C16F"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rsidRPr="00AB6213">
              <w:t>12,772</w:t>
            </w:r>
          </w:p>
        </w:tc>
        <w:tc>
          <w:tcPr>
            <w:tcW w:w="1079" w:type="dxa"/>
            <w:tcBorders>
              <w:top w:val="none" w:sz="0" w:space="0" w:color="auto"/>
              <w:bottom w:val="none" w:sz="0" w:space="0" w:color="auto"/>
            </w:tcBorders>
            <w:noWrap/>
            <w:hideMark/>
          </w:tcPr>
          <w:p w14:paraId="1AB37F64"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rsidRPr="00AB6213">
              <w:t>3,819</w:t>
            </w:r>
          </w:p>
        </w:tc>
        <w:tc>
          <w:tcPr>
            <w:tcW w:w="1080" w:type="dxa"/>
            <w:tcBorders>
              <w:top w:val="none" w:sz="0" w:space="0" w:color="auto"/>
              <w:bottom w:val="none" w:sz="0" w:space="0" w:color="auto"/>
            </w:tcBorders>
            <w:noWrap/>
            <w:hideMark/>
          </w:tcPr>
          <w:p w14:paraId="732ADE6A"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rsidRPr="00AB6213">
              <w:t>8,249</w:t>
            </w:r>
          </w:p>
        </w:tc>
        <w:tc>
          <w:tcPr>
            <w:tcW w:w="1080" w:type="dxa"/>
            <w:tcBorders>
              <w:top w:val="none" w:sz="0" w:space="0" w:color="auto"/>
              <w:bottom w:val="none" w:sz="0" w:space="0" w:color="auto"/>
            </w:tcBorders>
            <w:noWrap/>
            <w:hideMark/>
          </w:tcPr>
          <w:p w14:paraId="4EA38676"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rsidRPr="00AB6213">
              <w:t>28,031</w:t>
            </w:r>
          </w:p>
        </w:tc>
      </w:tr>
      <w:tr w:rsidR="00AB6213" w:rsidRPr="00AB6213" w14:paraId="36BDC1E0" w14:textId="77777777" w:rsidTr="00E440B4">
        <w:trPr>
          <w:trHeight w:val="232"/>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noWrap/>
            <w:hideMark/>
          </w:tcPr>
          <w:p w14:paraId="71B5B8EC" w14:textId="77777777" w:rsidR="001C19A4" w:rsidRPr="00E440B4" w:rsidRDefault="001C19A4" w:rsidP="00E440B4">
            <w:pPr>
              <w:pStyle w:val="Tables"/>
              <w:spacing w:before="120" w:after="120"/>
              <w:jc w:val="left"/>
              <w:rPr>
                <w:b w:val="0"/>
              </w:rPr>
            </w:pPr>
            <w:r w:rsidRPr="00E440B4">
              <w:rPr>
                <w:b w:val="0"/>
              </w:rPr>
              <w:t>Percent of Students</w:t>
            </w:r>
          </w:p>
        </w:tc>
        <w:tc>
          <w:tcPr>
            <w:tcW w:w="919" w:type="dxa"/>
          </w:tcPr>
          <w:p w14:paraId="63841AF6"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rsidRPr="00AB6213">
              <w:t>8.2%</w:t>
            </w:r>
          </w:p>
        </w:tc>
        <w:tc>
          <w:tcPr>
            <w:tcW w:w="1337" w:type="dxa"/>
            <w:noWrap/>
            <w:hideMark/>
          </w:tcPr>
          <w:p w14:paraId="5E0B387D"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rsidRPr="00AB6213">
              <w:t>3.2%</w:t>
            </w:r>
          </w:p>
        </w:tc>
        <w:tc>
          <w:tcPr>
            <w:tcW w:w="1273" w:type="dxa"/>
            <w:noWrap/>
            <w:hideMark/>
          </w:tcPr>
          <w:p w14:paraId="6F830D8A"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rsidRPr="00AB6213">
              <w:t>45.6%</w:t>
            </w:r>
          </w:p>
        </w:tc>
        <w:tc>
          <w:tcPr>
            <w:tcW w:w="1079" w:type="dxa"/>
            <w:noWrap/>
            <w:hideMark/>
          </w:tcPr>
          <w:p w14:paraId="11AB6A30"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rsidRPr="00AB6213">
              <w:t>13.6%</w:t>
            </w:r>
          </w:p>
        </w:tc>
        <w:tc>
          <w:tcPr>
            <w:tcW w:w="1080" w:type="dxa"/>
            <w:noWrap/>
            <w:hideMark/>
          </w:tcPr>
          <w:p w14:paraId="78155B12"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rsidRPr="00AB6213">
              <w:t>29.4%</w:t>
            </w:r>
          </w:p>
        </w:tc>
        <w:tc>
          <w:tcPr>
            <w:tcW w:w="1080" w:type="dxa"/>
            <w:noWrap/>
            <w:hideMark/>
          </w:tcPr>
          <w:p w14:paraId="6653C51C"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rsidRPr="00AB6213">
              <w:t>100.0%</w:t>
            </w:r>
          </w:p>
        </w:tc>
      </w:tr>
    </w:tbl>
    <w:p w14:paraId="28C38E23" w14:textId="77777777" w:rsidR="001C19A4" w:rsidRPr="00BB7C54" w:rsidRDefault="001C19A4" w:rsidP="005F27A6">
      <w:pPr>
        <w:pStyle w:val="TableSource"/>
        <w:rPr>
          <w:rStyle w:val="Strong"/>
          <w:b w:val="0"/>
          <w:bCs w:val="0"/>
        </w:rPr>
      </w:pPr>
      <w:r w:rsidRPr="00BB7C54">
        <w:rPr>
          <w:rStyle w:val="Strong"/>
        </w:rPr>
        <w:t>Source data: CALPADS, 2020–21</w:t>
      </w:r>
    </w:p>
    <w:p w14:paraId="71308D6F" w14:textId="06FD1CF5" w:rsidR="001C19A4" w:rsidRPr="003E742B" w:rsidRDefault="001C19A4" w:rsidP="005F27A6">
      <w:pPr>
        <w:ind w:left="360"/>
        <w:rPr>
          <w:rStyle w:val="Strong"/>
          <w:b w:val="0"/>
          <w:bCs w:val="0"/>
        </w:rPr>
      </w:pPr>
      <w:r w:rsidRPr="003E742B">
        <w:rPr>
          <w:rStyle w:val="Strong"/>
          <w:b w:val="0"/>
        </w:rPr>
        <w:t xml:space="preserve">As indicated in </w:t>
      </w:r>
      <w:r w:rsidR="002F7493">
        <w:rPr>
          <w:rStyle w:val="Strong"/>
          <w:b w:val="0"/>
        </w:rPr>
        <w:t>T</w:t>
      </w:r>
      <w:r w:rsidRPr="003E742B">
        <w:rPr>
          <w:rStyle w:val="Strong"/>
          <w:b w:val="0"/>
        </w:rPr>
        <w:t>able 1a, the existing Mt. Diablo USD enrolls 28,031 kindergarten through twelfth grade students. The largest ethnic group in the district is the Hispanic or Latino group. Students in this group comprise 45.6 percent of the student population.</w:t>
      </w:r>
    </w:p>
    <w:p w14:paraId="6EAEC86B" w14:textId="39CD6A5B" w:rsidR="001C19A4" w:rsidRPr="003E742B" w:rsidRDefault="001C19A4" w:rsidP="005F27A6">
      <w:pPr>
        <w:ind w:left="360"/>
        <w:rPr>
          <w:rStyle w:val="Strong"/>
          <w:b w:val="0"/>
          <w:bCs w:val="0"/>
        </w:rPr>
      </w:pPr>
      <w:r w:rsidRPr="003E742B">
        <w:rPr>
          <w:rStyle w:val="Strong"/>
          <w:b w:val="0"/>
        </w:rPr>
        <w:t xml:space="preserve">Approximately 70 percent of the student population in the Mt. Diablo USD is designated as minority. The combined minority student population is shown in </w:t>
      </w:r>
      <w:r w:rsidR="002F7493">
        <w:rPr>
          <w:rStyle w:val="Strong"/>
          <w:b w:val="0"/>
        </w:rPr>
        <w:t>T</w:t>
      </w:r>
      <w:r w:rsidRPr="003E742B">
        <w:rPr>
          <w:rStyle w:val="Strong"/>
          <w:b w:val="0"/>
        </w:rPr>
        <w:t>able 1b, below.</w:t>
      </w:r>
    </w:p>
    <w:p w14:paraId="424B9CB1" w14:textId="77777777" w:rsidR="001C19A4" w:rsidRPr="007277B8" w:rsidRDefault="001C19A4" w:rsidP="001F0B7E">
      <w:pPr>
        <w:pStyle w:val="Heading4"/>
      </w:pPr>
      <w:bookmarkStart w:id="9" w:name="Table1b"/>
      <w:bookmarkStart w:id="10" w:name="_Hlk90026031"/>
      <w:r w:rsidRPr="007277B8">
        <w:t>Table 1b. Minority Student Enrollment within the Existing Mt. Diablo USD</w:t>
      </w:r>
    </w:p>
    <w:tbl>
      <w:tblPr>
        <w:tblStyle w:val="ListTable3-Accent5"/>
        <w:tblW w:w="92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and percentage of students in minority and white categories for the existing Mt. Diablo USD as of 2020-21."/>
      </w:tblPr>
      <w:tblGrid>
        <w:gridCol w:w="4410"/>
        <w:gridCol w:w="2394"/>
        <w:gridCol w:w="2396"/>
      </w:tblGrid>
      <w:tr w:rsidR="001C19A4" w:rsidRPr="00553703" w14:paraId="20A6000C" w14:textId="77777777" w:rsidTr="00E440B4">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4410" w:type="dxa"/>
            <w:tcBorders>
              <w:bottom w:val="none" w:sz="0" w:space="0" w:color="auto"/>
              <w:right w:val="none" w:sz="0" w:space="0" w:color="auto"/>
            </w:tcBorders>
            <w:shd w:val="clear" w:color="auto" w:fill="B4C6E7" w:themeFill="accent1" w:themeFillTint="66"/>
            <w:noWrap/>
            <w:hideMark/>
          </w:tcPr>
          <w:bookmarkEnd w:id="9"/>
          <w:p w14:paraId="69C71AD3" w14:textId="77777777" w:rsidR="001C19A4" w:rsidRPr="00553703" w:rsidRDefault="001C19A4" w:rsidP="005F27A6">
            <w:pPr>
              <w:spacing w:before="120" w:after="120"/>
              <w:jc w:val="center"/>
              <w:rPr>
                <w:b w:val="0"/>
                <w:bCs w:val="0"/>
                <w:color w:val="000000"/>
              </w:rPr>
            </w:pPr>
            <w:r w:rsidRPr="00553703">
              <w:rPr>
                <w:color w:val="000000"/>
              </w:rPr>
              <w:t>Category</w:t>
            </w:r>
          </w:p>
        </w:tc>
        <w:tc>
          <w:tcPr>
            <w:tcW w:w="2394" w:type="dxa"/>
            <w:shd w:val="clear" w:color="auto" w:fill="B4C6E7" w:themeFill="accent1" w:themeFillTint="66"/>
            <w:hideMark/>
          </w:tcPr>
          <w:p w14:paraId="165CF968" w14:textId="77777777" w:rsidR="001C19A4" w:rsidRPr="00C14F12" w:rsidRDefault="001C19A4" w:rsidP="005F27A6">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000000"/>
              </w:rPr>
            </w:pPr>
            <w:r w:rsidRPr="00C14F12">
              <w:rPr>
                <w:color w:val="000000"/>
              </w:rPr>
              <w:t>Minority</w:t>
            </w:r>
          </w:p>
        </w:tc>
        <w:tc>
          <w:tcPr>
            <w:tcW w:w="2396" w:type="dxa"/>
            <w:shd w:val="clear" w:color="auto" w:fill="B4C6E7" w:themeFill="accent1" w:themeFillTint="66"/>
            <w:hideMark/>
          </w:tcPr>
          <w:p w14:paraId="07D8BBB7" w14:textId="77777777" w:rsidR="001C19A4" w:rsidRPr="00C14F12" w:rsidRDefault="001C19A4" w:rsidP="005F27A6">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000000"/>
              </w:rPr>
            </w:pPr>
            <w:r w:rsidRPr="00C14F12">
              <w:rPr>
                <w:color w:val="000000"/>
              </w:rPr>
              <w:t>White</w:t>
            </w:r>
          </w:p>
        </w:tc>
      </w:tr>
      <w:tr w:rsidR="001C19A4" w:rsidRPr="00553703" w14:paraId="4203AD4A" w14:textId="77777777" w:rsidTr="00E440B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bottom w:val="none" w:sz="0" w:space="0" w:color="auto"/>
              <w:right w:val="none" w:sz="0" w:space="0" w:color="auto"/>
            </w:tcBorders>
            <w:noWrap/>
            <w:hideMark/>
          </w:tcPr>
          <w:p w14:paraId="1B5C986A" w14:textId="77777777" w:rsidR="001C19A4" w:rsidRPr="00E440B4" w:rsidRDefault="001C19A4" w:rsidP="005F27A6">
            <w:pPr>
              <w:spacing w:before="120" w:after="120"/>
              <w:rPr>
                <w:b w:val="0"/>
                <w:color w:val="000000"/>
              </w:rPr>
            </w:pPr>
            <w:r w:rsidRPr="00E440B4">
              <w:rPr>
                <w:b w:val="0"/>
                <w:color w:val="000000"/>
              </w:rPr>
              <w:t>Number of Students</w:t>
            </w:r>
          </w:p>
        </w:tc>
        <w:tc>
          <w:tcPr>
            <w:tcW w:w="2394" w:type="dxa"/>
            <w:tcBorders>
              <w:top w:val="none" w:sz="0" w:space="0" w:color="auto"/>
              <w:bottom w:val="none" w:sz="0" w:space="0" w:color="auto"/>
            </w:tcBorders>
            <w:noWrap/>
            <w:hideMark/>
          </w:tcPr>
          <w:p w14:paraId="4A4FDBFF" w14:textId="77777777" w:rsidR="001C19A4" w:rsidRPr="00553703" w:rsidRDefault="001C19A4" w:rsidP="005F27A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B37E12">
              <w:t xml:space="preserve">19,782 </w:t>
            </w:r>
          </w:p>
        </w:tc>
        <w:tc>
          <w:tcPr>
            <w:tcW w:w="2396" w:type="dxa"/>
            <w:tcBorders>
              <w:top w:val="none" w:sz="0" w:space="0" w:color="auto"/>
              <w:bottom w:val="none" w:sz="0" w:space="0" w:color="auto"/>
            </w:tcBorders>
            <w:noWrap/>
            <w:hideMark/>
          </w:tcPr>
          <w:p w14:paraId="74B79608" w14:textId="77777777" w:rsidR="001C19A4" w:rsidRPr="00553703" w:rsidRDefault="001C19A4" w:rsidP="005F27A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B37E12">
              <w:t xml:space="preserve">8,249 </w:t>
            </w:r>
          </w:p>
        </w:tc>
      </w:tr>
      <w:tr w:rsidR="001C19A4" w:rsidRPr="00553703" w14:paraId="010F42BE" w14:textId="77777777" w:rsidTr="00E440B4">
        <w:trPr>
          <w:trHeight w:val="161"/>
        </w:trPr>
        <w:tc>
          <w:tcPr>
            <w:cnfStyle w:val="001000000000" w:firstRow="0" w:lastRow="0" w:firstColumn="1" w:lastColumn="0" w:oddVBand="0" w:evenVBand="0" w:oddHBand="0" w:evenHBand="0" w:firstRowFirstColumn="0" w:firstRowLastColumn="0" w:lastRowFirstColumn="0" w:lastRowLastColumn="0"/>
            <w:tcW w:w="4410" w:type="dxa"/>
            <w:tcBorders>
              <w:right w:val="none" w:sz="0" w:space="0" w:color="auto"/>
            </w:tcBorders>
            <w:noWrap/>
            <w:hideMark/>
          </w:tcPr>
          <w:p w14:paraId="221BB771" w14:textId="77777777" w:rsidR="001C19A4" w:rsidRPr="00E440B4" w:rsidRDefault="001C19A4" w:rsidP="005F27A6">
            <w:pPr>
              <w:spacing w:before="120" w:after="120"/>
              <w:rPr>
                <w:b w:val="0"/>
                <w:color w:val="000000"/>
              </w:rPr>
            </w:pPr>
            <w:r w:rsidRPr="00E440B4">
              <w:rPr>
                <w:b w:val="0"/>
                <w:color w:val="000000"/>
              </w:rPr>
              <w:t>Percent of Students</w:t>
            </w:r>
          </w:p>
        </w:tc>
        <w:tc>
          <w:tcPr>
            <w:tcW w:w="2394" w:type="dxa"/>
            <w:noWrap/>
            <w:hideMark/>
          </w:tcPr>
          <w:p w14:paraId="1C592F70" w14:textId="77777777" w:rsidR="001C19A4" w:rsidRPr="00553703" w:rsidRDefault="001C19A4" w:rsidP="005F27A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B37E12">
              <w:t>70.6%</w:t>
            </w:r>
          </w:p>
        </w:tc>
        <w:tc>
          <w:tcPr>
            <w:tcW w:w="2396" w:type="dxa"/>
            <w:noWrap/>
            <w:hideMark/>
          </w:tcPr>
          <w:p w14:paraId="247D96CF" w14:textId="77777777" w:rsidR="001C19A4" w:rsidRPr="00553703" w:rsidRDefault="001C19A4" w:rsidP="005F27A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B37E12">
              <w:t>29.4%</w:t>
            </w:r>
          </w:p>
        </w:tc>
      </w:tr>
    </w:tbl>
    <w:p w14:paraId="418027B3" w14:textId="77777777" w:rsidR="001C19A4" w:rsidRPr="00BB7C54" w:rsidRDefault="001C19A4" w:rsidP="005F27A6">
      <w:pPr>
        <w:pStyle w:val="TableSource"/>
        <w:rPr>
          <w:rStyle w:val="Strong"/>
          <w:b w:val="0"/>
          <w:bCs w:val="0"/>
        </w:rPr>
      </w:pPr>
      <w:r w:rsidRPr="00BB7C54">
        <w:rPr>
          <w:rStyle w:val="Strong"/>
        </w:rPr>
        <w:t>Source data: CALPADS, 2020–21</w:t>
      </w:r>
    </w:p>
    <w:p w14:paraId="6C7FCC1A" w14:textId="77777777" w:rsidR="001C19A4" w:rsidRDefault="001C19A4" w:rsidP="000A33F9">
      <w:pPr>
        <w:pStyle w:val="Heading3"/>
        <w:numPr>
          <w:ilvl w:val="1"/>
          <w:numId w:val="39"/>
        </w:numPr>
        <w:ind w:left="720" w:hanging="720"/>
      </w:pPr>
      <w:r>
        <w:lastRenderedPageBreak/>
        <w:t>Current Racial/Ethnic Enrollment: School Level Analysis</w:t>
      </w:r>
    </w:p>
    <w:p w14:paraId="7DC5F116" w14:textId="77777777" w:rsidR="001C19A4" w:rsidRDefault="001C19A4" w:rsidP="005F27A6">
      <w:pPr>
        <w:ind w:left="360"/>
      </w:pPr>
      <w:bookmarkStart w:id="11" w:name="_Hlk92090909"/>
      <w:r>
        <w:t xml:space="preserve">The proposed boundary includes the schools and attendance areas of Bancroft Elementary, Walnut Acres Elementary, Valle Verde Elementary, Foothill Middle, and Northgate High. Additionally, it includes the sites but not the attendance areas of Oak Grove Middle and Ygnacio Valley High, and it includes a portion of the attendance area of Highlands Elementary but not the school site. </w:t>
      </w:r>
      <w:bookmarkEnd w:id="11"/>
      <w:r>
        <w:t xml:space="preserve">Table 2a </w:t>
      </w:r>
      <w:r w:rsidRPr="00FD520A">
        <w:t>depicts current (2020–21) enrollment and racial/ethnic percentages in the</w:t>
      </w:r>
      <w:r>
        <w:t xml:space="preserve"> eight affected schools.</w:t>
      </w:r>
    </w:p>
    <w:p w14:paraId="2DBECBB5" w14:textId="77777777" w:rsidR="001C19A4" w:rsidRPr="00553703" w:rsidRDefault="001C19A4" w:rsidP="001F0B7E">
      <w:pPr>
        <w:pStyle w:val="Heading4"/>
      </w:pPr>
      <w:r w:rsidRPr="00553703">
        <w:t xml:space="preserve">Table </w:t>
      </w:r>
      <w:r>
        <w:t>2a</w:t>
      </w:r>
      <w:r w:rsidRPr="00553703">
        <w:t xml:space="preserve">. </w:t>
      </w:r>
      <w:r w:rsidRPr="00D41228">
        <w:t xml:space="preserve">Racial/Ethnic Enrollment within </w:t>
      </w:r>
      <w:r>
        <w:t>Affected</w:t>
      </w:r>
      <w:r w:rsidRPr="00D41228">
        <w:t xml:space="preserve"> Mt. Diablo USD</w:t>
      </w:r>
      <w:r>
        <w:t xml:space="preserve"> Schools</w:t>
      </w:r>
    </w:p>
    <w:tbl>
      <w:tblPr>
        <w:tblStyle w:val="ListTable3-Accent5"/>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percentage of students in racial/ethnic categories as of 2020-21 for the schools that would be primarily affected by the reorganziation of the Mt. Diablo USD ."/>
      </w:tblPr>
      <w:tblGrid>
        <w:gridCol w:w="1710"/>
        <w:gridCol w:w="1530"/>
        <w:gridCol w:w="1080"/>
        <w:gridCol w:w="1350"/>
        <w:gridCol w:w="1260"/>
        <w:gridCol w:w="1080"/>
        <w:gridCol w:w="1080"/>
      </w:tblGrid>
      <w:tr w:rsidR="00AB6213" w:rsidRPr="0001527B" w14:paraId="7473A62E" w14:textId="77777777" w:rsidTr="00EE194E">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1710" w:type="dxa"/>
            <w:tcBorders>
              <w:bottom w:val="none" w:sz="0" w:space="0" w:color="auto"/>
              <w:right w:val="none" w:sz="0" w:space="0" w:color="auto"/>
            </w:tcBorders>
            <w:shd w:val="clear" w:color="auto" w:fill="B4C6E7" w:themeFill="accent1" w:themeFillTint="66"/>
            <w:noWrap/>
            <w:vAlign w:val="center"/>
            <w:hideMark/>
          </w:tcPr>
          <w:p w14:paraId="0B99BC31" w14:textId="77777777" w:rsidR="001C19A4" w:rsidRPr="00AB6213" w:rsidRDefault="001C19A4" w:rsidP="00E440B4">
            <w:pPr>
              <w:pStyle w:val="Tables"/>
              <w:spacing w:before="120" w:after="120"/>
              <w:rPr>
                <w:b w:val="0"/>
                <w:color w:val="auto"/>
              </w:rPr>
            </w:pPr>
            <w:r w:rsidRPr="00AB6213">
              <w:rPr>
                <w:color w:val="auto"/>
              </w:rPr>
              <w:t>Category</w:t>
            </w:r>
          </w:p>
        </w:tc>
        <w:tc>
          <w:tcPr>
            <w:tcW w:w="1530" w:type="dxa"/>
            <w:shd w:val="clear" w:color="auto" w:fill="B4C6E7" w:themeFill="accent1" w:themeFillTint="66"/>
            <w:vAlign w:val="center"/>
          </w:tcPr>
          <w:p w14:paraId="23D56AAF"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Total Enrollment</w:t>
            </w:r>
          </w:p>
        </w:tc>
        <w:tc>
          <w:tcPr>
            <w:tcW w:w="1080" w:type="dxa"/>
            <w:shd w:val="clear" w:color="auto" w:fill="B4C6E7" w:themeFill="accent1" w:themeFillTint="66"/>
            <w:vAlign w:val="center"/>
          </w:tcPr>
          <w:p w14:paraId="4D6A8EF8"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Asian</w:t>
            </w:r>
          </w:p>
        </w:tc>
        <w:tc>
          <w:tcPr>
            <w:tcW w:w="1350" w:type="dxa"/>
            <w:shd w:val="clear" w:color="auto" w:fill="B4C6E7" w:themeFill="accent1" w:themeFillTint="66"/>
            <w:vAlign w:val="center"/>
            <w:hideMark/>
          </w:tcPr>
          <w:p w14:paraId="0BFBA04E"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Black or African American</w:t>
            </w:r>
          </w:p>
        </w:tc>
        <w:tc>
          <w:tcPr>
            <w:tcW w:w="1260" w:type="dxa"/>
            <w:shd w:val="clear" w:color="auto" w:fill="B4C6E7" w:themeFill="accent1" w:themeFillTint="66"/>
            <w:vAlign w:val="center"/>
            <w:hideMark/>
          </w:tcPr>
          <w:p w14:paraId="4F418C81"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Hispanic or Latino</w:t>
            </w:r>
          </w:p>
        </w:tc>
        <w:tc>
          <w:tcPr>
            <w:tcW w:w="1080" w:type="dxa"/>
            <w:shd w:val="clear" w:color="auto" w:fill="B4C6E7" w:themeFill="accent1" w:themeFillTint="66"/>
            <w:vAlign w:val="center"/>
            <w:hideMark/>
          </w:tcPr>
          <w:p w14:paraId="20B8053C"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Other</w:t>
            </w:r>
          </w:p>
        </w:tc>
        <w:tc>
          <w:tcPr>
            <w:tcW w:w="1080" w:type="dxa"/>
            <w:shd w:val="clear" w:color="auto" w:fill="B4C6E7" w:themeFill="accent1" w:themeFillTint="66"/>
            <w:vAlign w:val="center"/>
            <w:hideMark/>
          </w:tcPr>
          <w:p w14:paraId="4EAD9681" w14:textId="77777777" w:rsidR="001C19A4" w:rsidRPr="00AB6213" w:rsidRDefault="001C19A4" w:rsidP="00E440B4">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B6213">
              <w:rPr>
                <w:color w:val="auto"/>
              </w:rPr>
              <w:t>White</w:t>
            </w:r>
          </w:p>
        </w:tc>
      </w:tr>
      <w:tr w:rsidR="001C19A4" w:rsidRPr="00553703" w14:paraId="4E98E95F" w14:textId="77777777" w:rsidTr="00EE194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bottom w:val="none" w:sz="0" w:space="0" w:color="auto"/>
              <w:right w:val="none" w:sz="0" w:space="0" w:color="auto"/>
            </w:tcBorders>
            <w:noWrap/>
            <w:vAlign w:val="center"/>
            <w:hideMark/>
          </w:tcPr>
          <w:p w14:paraId="13BB3251"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Bancroft Elementary</w:t>
            </w:r>
          </w:p>
        </w:tc>
        <w:tc>
          <w:tcPr>
            <w:tcW w:w="1530" w:type="dxa"/>
            <w:tcBorders>
              <w:top w:val="none" w:sz="0" w:space="0" w:color="auto"/>
              <w:bottom w:val="none" w:sz="0" w:space="0" w:color="auto"/>
            </w:tcBorders>
            <w:vAlign w:val="center"/>
          </w:tcPr>
          <w:p w14:paraId="0F860DCB"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573</w:t>
            </w:r>
          </w:p>
        </w:tc>
        <w:tc>
          <w:tcPr>
            <w:tcW w:w="1080" w:type="dxa"/>
            <w:tcBorders>
              <w:top w:val="none" w:sz="0" w:space="0" w:color="auto"/>
              <w:bottom w:val="none" w:sz="0" w:space="0" w:color="auto"/>
            </w:tcBorders>
            <w:vAlign w:val="center"/>
          </w:tcPr>
          <w:p w14:paraId="24CBD959"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14.30%</w:t>
            </w:r>
          </w:p>
        </w:tc>
        <w:tc>
          <w:tcPr>
            <w:tcW w:w="1350" w:type="dxa"/>
            <w:tcBorders>
              <w:top w:val="none" w:sz="0" w:space="0" w:color="auto"/>
              <w:bottom w:val="none" w:sz="0" w:space="0" w:color="auto"/>
            </w:tcBorders>
            <w:noWrap/>
            <w:vAlign w:val="center"/>
            <w:hideMark/>
          </w:tcPr>
          <w:p w14:paraId="3B5DF271"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0.20%</w:t>
            </w:r>
          </w:p>
        </w:tc>
        <w:tc>
          <w:tcPr>
            <w:tcW w:w="1260" w:type="dxa"/>
            <w:tcBorders>
              <w:top w:val="none" w:sz="0" w:space="0" w:color="auto"/>
              <w:bottom w:val="none" w:sz="0" w:space="0" w:color="auto"/>
            </w:tcBorders>
            <w:noWrap/>
            <w:vAlign w:val="center"/>
            <w:hideMark/>
          </w:tcPr>
          <w:p w14:paraId="1E2A9AFD"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25.30%</w:t>
            </w:r>
          </w:p>
        </w:tc>
        <w:tc>
          <w:tcPr>
            <w:tcW w:w="1080" w:type="dxa"/>
            <w:tcBorders>
              <w:top w:val="none" w:sz="0" w:space="0" w:color="auto"/>
              <w:bottom w:val="none" w:sz="0" w:space="0" w:color="auto"/>
            </w:tcBorders>
            <w:noWrap/>
            <w:vAlign w:val="center"/>
            <w:hideMark/>
          </w:tcPr>
          <w:p w14:paraId="6388AFC1"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15.90%</w:t>
            </w:r>
          </w:p>
        </w:tc>
        <w:tc>
          <w:tcPr>
            <w:tcW w:w="1080" w:type="dxa"/>
            <w:tcBorders>
              <w:top w:val="none" w:sz="0" w:space="0" w:color="auto"/>
              <w:bottom w:val="none" w:sz="0" w:space="0" w:color="auto"/>
            </w:tcBorders>
            <w:noWrap/>
            <w:vAlign w:val="center"/>
            <w:hideMark/>
          </w:tcPr>
          <w:p w14:paraId="0DCB62C5"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44.30%</w:t>
            </w:r>
          </w:p>
        </w:tc>
      </w:tr>
      <w:tr w:rsidR="001C19A4" w:rsidRPr="00553703" w14:paraId="5E2F4618" w14:textId="77777777" w:rsidTr="00EE194E">
        <w:trPr>
          <w:trHeight w:val="232"/>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noWrap/>
            <w:vAlign w:val="center"/>
          </w:tcPr>
          <w:p w14:paraId="5B3DB821"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Foothill Middle</w:t>
            </w:r>
          </w:p>
        </w:tc>
        <w:tc>
          <w:tcPr>
            <w:tcW w:w="1530" w:type="dxa"/>
            <w:vAlign w:val="center"/>
          </w:tcPr>
          <w:p w14:paraId="69CDA2ED"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773</w:t>
            </w:r>
          </w:p>
        </w:tc>
        <w:tc>
          <w:tcPr>
            <w:tcW w:w="1080" w:type="dxa"/>
            <w:vAlign w:val="center"/>
          </w:tcPr>
          <w:p w14:paraId="10F04F3E"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15.00%</w:t>
            </w:r>
          </w:p>
        </w:tc>
        <w:tc>
          <w:tcPr>
            <w:tcW w:w="1350" w:type="dxa"/>
            <w:noWrap/>
            <w:vAlign w:val="center"/>
          </w:tcPr>
          <w:p w14:paraId="6E1CBBA3"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1.00%</w:t>
            </w:r>
          </w:p>
        </w:tc>
        <w:tc>
          <w:tcPr>
            <w:tcW w:w="1260" w:type="dxa"/>
            <w:noWrap/>
            <w:vAlign w:val="center"/>
          </w:tcPr>
          <w:p w14:paraId="5F574C4E"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16.20%</w:t>
            </w:r>
          </w:p>
        </w:tc>
        <w:tc>
          <w:tcPr>
            <w:tcW w:w="1080" w:type="dxa"/>
            <w:noWrap/>
            <w:vAlign w:val="center"/>
          </w:tcPr>
          <w:p w14:paraId="33174259"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18.50%</w:t>
            </w:r>
          </w:p>
        </w:tc>
        <w:tc>
          <w:tcPr>
            <w:tcW w:w="1080" w:type="dxa"/>
            <w:noWrap/>
            <w:vAlign w:val="center"/>
          </w:tcPr>
          <w:p w14:paraId="1E592D65"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49.30%</w:t>
            </w:r>
          </w:p>
        </w:tc>
      </w:tr>
      <w:tr w:rsidR="001C19A4" w:rsidRPr="00553703" w14:paraId="1D4FE746" w14:textId="77777777" w:rsidTr="00EE194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bottom w:val="none" w:sz="0" w:space="0" w:color="auto"/>
              <w:right w:val="none" w:sz="0" w:space="0" w:color="auto"/>
            </w:tcBorders>
            <w:noWrap/>
            <w:vAlign w:val="center"/>
          </w:tcPr>
          <w:p w14:paraId="56A0EEB8"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Northgate High</w:t>
            </w:r>
          </w:p>
        </w:tc>
        <w:tc>
          <w:tcPr>
            <w:tcW w:w="1530" w:type="dxa"/>
            <w:tcBorders>
              <w:top w:val="none" w:sz="0" w:space="0" w:color="auto"/>
              <w:bottom w:val="none" w:sz="0" w:space="0" w:color="auto"/>
            </w:tcBorders>
            <w:vAlign w:val="center"/>
          </w:tcPr>
          <w:p w14:paraId="76F2E72D"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1,483</w:t>
            </w:r>
          </w:p>
        </w:tc>
        <w:tc>
          <w:tcPr>
            <w:tcW w:w="1080" w:type="dxa"/>
            <w:tcBorders>
              <w:top w:val="none" w:sz="0" w:space="0" w:color="auto"/>
              <w:bottom w:val="none" w:sz="0" w:space="0" w:color="auto"/>
            </w:tcBorders>
            <w:vAlign w:val="center"/>
          </w:tcPr>
          <w:p w14:paraId="5F9B9D7C"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14.30%</w:t>
            </w:r>
          </w:p>
        </w:tc>
        <w:tc>
          <w:tcPr>
            <w:tcW w:w="1350" w:type="dxa"/>
            <w:tcBorders>
              <w:top w:val="none" w:sz="0" w:space="0" w:color="auto"/>
              <w:bottom w:val="none" w:sz="0" w:space="0" w:color="auto"/>
            </w:tcBorders>
            <w:noWrap/>
            <w:vAlign w:val="center"/>
          </w:tcPr>
          <w:p w14:paraId="6FF58CDD"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1.60%</w:t>
            </w:r>
          </w:p>
        </w:tc>
        <w:tc>
          <w:tcPr>
            <w:tcW w:w="1260" w:type="dxa"/>
            <w:tcBorders>
              <w:top w:val="none" w:sz="0" w:space="0" w:color="auto"/>
              <w:bottom w:val="none" w:sz="0" w:space="0" w:color="auto"/>
            </w:tcBorders>
            <w:noWrap/>
            <w:vAlign w:val="center"/>
          </w:tcPr>
          <w:p w14:paraId="3A29ECED"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14.80%</w:t>
            </w:r>
          </w:p>
        </w:tc>
        <w:tc>
          <w:tcPr>
            <w:tcW w:w="1080" w:type="dxa"/>
            <w:tcBorders>
              <w:top w:val="none" w:sz="0" w:space="0" w:color="auto"/>
              <w:bottom w:val="none" w:sz="0" w:space="0" w:color="auto"/>
            </w:tcBorders>
            <w:noWrap/>
            <w:vAlign w:val="center"/>
          </w:tcPr>
          <w:p w14:paraId="757316A3"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17.70%</w:t>
            </w:r>
          </w:p>
        </w:tc>
        <w:tc>
          <w:tcPr>
            <w:tcW w:w="1080" w:type="dxa"/>
            <w:tcBorders>
              <w:top w:val="none" w:sz="0" w:space="0" w:color="auto"/>
              <w:bottom w:val="none" w:sz="0" w:space="0" w:color="auto"/>
            </w:tcBorders>
            <w:noWrap/>
            <w:vAlign w:val="center"/>
          </w:tcPr>
          <w:p w14:paraId="5B38638C"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51.70%</w:t>
            </w:r>
          </w:p>
        </w:tc>
      </w:tr>
      <w:tr w:rsidR="001C19A4" w:rsidRPr="00553703" w14:paraId="34DE3D9A" w14:textId="77777777" w:rsidTr="00EE194E">
        <w:trPr>
          <w:trHeight w:val="232"/>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noWrap/>
            <w:vAlign w:val="center"/>
          </w:tcPr>
          <w:p w14:paraId="1D68341C"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Valle Verde Elementary</w:t>
            </w:r>
          </w:p>
        </w:tc>
        <w:tc>
          <w:tcPr>
            <w:tcW w:w="1530" w:type="dxa"/>
            <w:vAlign w:val="center"/>
          </w:tcPr>
          <w:p w14:paraId="41A3DB2E"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335</w:t>
            </w:r>
          </w:p>
        </w:tc>
        <w:tc>
          <w:tcPr>
            <w:tcW w:w="1080" w:type="dxa"/>
            <w:vAlign w:val="center"/>
          </w:tcPr>
          <w:p w14:paraId="461C58B7"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15.20%</w:t>
            </w:r>
          </w:p>
        </w:tc>
        <w:tc>
          <w:tcPr>
            <w:tcW w:w="1350" w:type="dxa"/>
            <w:noWrap/>
            <w:vAlign w:val="center"/>
          </w:tcPr>
          <w:p w14:paraId="488438A0"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0.30%</w:t>
            </w:r>
          </w:p>
        </w:tc>
        <w:tc>
          <w:tcPr>
            <w:tcW w:w="1260" w:type="dxa"/>
            <w:noWrap/>
            <w:vAlign w:val="center"/>
          </w:tcPr>
          <w:p w14:paraId="137D2B4B"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18.20%</w:t>
            </w:r>
          </w:p>
        </w:tc>
        <w:tc>
          <w:tcPr>
            <w:tcW w:w="1080" w:type="dxa"/>
            <w:noWrap/>
            <w:vAlign w:val="center"/>
          </w:tcPr>
          <w:p w14:paraId="43F29591"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17.00%</w:t>
            </w:r>
          </w:p>
        </w:tc>
        <w:tc>
          <w:tcPr>
            <w:tcW w:w="1080" w:type="dxa"/>
            <w:noWrap/>
            <w:vAlign w:val="center"/>
          </w:tcPr>
          <w:p w14:paraId="4C60B3CB"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49.30%</w:t>
            </w:r>
          </w:p>
        </w:tc>
      </w:tr>
      <w:tr w:rsidR="001C19A4" w:rsidRPr="00553703" w14:paraId="5C96CAF9" w14:textId="77777777" w:rsidTr="00EE194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bottom w:val="none" w:sz="0" w:space="0" w:color="auto"/>
              <w:right w:val="none" w:sz="0" w:space="0" w:color="auto"/>
            </w:tcBorders>
            <w:noWrap/>
            <w:vAlign w:val="center"/>
          </w:tcPr>
          <w:p w14:paraId="4CEE0207"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Walnut Acres Elementary</w:t>
            </w:r>
          </w:p>
        </w:tc>
        <w:tc>
          <w:tcPr>
            <w:tcW w:w="1530" w:type="dxa"/>
            <w:tcBorders>
              <w:top w:val="none" w:sz="0" w:space="0" w:color="auto"/>
              <w:bottom w:val="none" w:sz="0" w:space="0" w:color="auto"/>
            </w:tcBorders>
            <w:vAlign w:val="center"/>
          </w:tcPr>
          <w:p w14:paraId="61D0B283"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582</w:t>
            </w:r>
          </w:p>
        </w:tc>
        <w:tc>
          <w:tcPr>
            <w:tcW w:w="1080" w:type="dxa"/>
            <w:tcBorders>
              <w:top w:val="none" w:sz="0" w:space="0" w:color="auto"/>
              <w:bottom w:val="none" w:sz="0" w:space="0" w:color="auto"/>
            </w:tcBorders>
            <w:vAlign w:val="center"/>
          </w:tcPr>
          <w:p w14:paraId="1E5D41FB"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13.10%</w:t>
            </w:r>
          </w:p>
        </w:tc>
        <w:tc>
          <w:tcPr>
            <w:tcW w:w="1350" w:type="dxa"/>
            <w:tcBorders>
              <w:top w:val="none" w:sz="0" w:space="0" w:color="auto"/>
              <w:bottom w:val="none" w:sz="0" w:space="0" w:color="auto"/>
            </w:tcBorders>
            <w:noWrap/>
            <w:vAlign w:val="center"/>
          </w:tcPr>
          <w:p w14:paraId="7AB8ED5B"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0.50%</w:t>
            </w:r>
          </w:p>
        </w:tc>
        <w:tc>
          <w:tcPr>
            <w:tcW w:w="1260" w:type="dxa"/>
            <w:tcBorders>
              <w:top w:val="none" w:sz="0" w:space="0" w:color="auto"/>
              <w:bottom w:val="none" w:sz="0" w:space="0" w:color="auto"/>
            </w:tcBorders>
            <w:noWrap/>
            <w:vAlign w:val="center"/>
          </w:tcPr>
          <w:p w14:paraId="2376BE96"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12.20%</w:t>
            </w:r>
          </w:p>
        </w:tc>
        <w:tc>
          <w:tcPr>
            <w:tcW w:w="1080" w:type="dxa"/>
            <w:tcBorders>
              <w:top w:val="none" w:sz="0" w:space="0" w:color="auto"/>
              <w:bottom w:val="none" w:sz="0" w:space="0" w:color="auto"/>
            </w:tcBorders>
            <w:noWrap/>
            <w:vAlign w:val="center"/>
          </w:tcPr>
          <w:p w14:paraId="1D7A4428"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18.20%</w:t>
            </w:r>
          </w:p>
        </w:tc>
        <w:tc>
          <w:tcPr>
            <w:tcW w:w="1080" w:type="dxa"/>
            <w:tcBorders>
              <w:top w:val="none" w:sz="0" w:space="0" w:color="auto"/>
              <w:bottom w:val="none" w:sz="0" w:space="0" w:color="auto"/>
            </w:tcBorders>
            <w:noWrap/>
            <w:vAlign w:val="center"/>
          </w:tcPr>
          <w:p w14:paraId="769566D4"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56.00%</w:t>
            </w:r>
          </w:p>
        </w:tc>
      </w:tr>
      <w:tr w:rsidR="001C19A4" w:rsidRPr="00553703" w14:paraId="74B9C9CD" w14:textId="77777777" w:rsidTr="00EE194E">
        <w:trPr>
          <w:trHeight w:val="232"/>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noWrap/>
            <w:vAlign w:val="center"/>
          </w:tcPr>
          <w:p w14:paraId="1FF5AB52"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Highlands Elementary</w:t>
            </w:r>
          </w:p>
        </w:tc>
        <w:tc>
          <w:tcPr>
            <w:tcW w:w="1530" w:type="dxa"/>
            <w:vAlign w:val="center"/>
          </w:tcPr>
          <w:p w14:paraId="2EBA1BBE"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465</w:t>
            </w:r>
          </w:p>
        </w:tc>
        <w:tc>
          <w:tcPr>
            <w:tcW w:w="1080" w:type="dxa"/>
            <w:vAlign w:val="center"/>
          </w:tcPr>
          <w:p w14:paraId="34C70F48"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8.20%</w:t>
            </w:r>
          </w:p>
        </w:tc>
        <w:tc>
          <w:tcPr>
            <w:tcW w:w="1350" w:type="dxa"/>
            <w:noWrap/>
            <w:vAlign w:val="center"/>
          </w:tcPr>
          <w:p w14:paraId="53A20D07"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2.20%</w:t>
            </w:r>
          </w:p>
        </w:tc>
        <w:tc>
          <w:tcPr>
            <w:tcW w:w="1260" w:type="dxa"/>
            <w:noWrap/>
            <w:vAlign w:val="center"/>
          </w:tcPr>
          <w:p w14:paraId="0ADAB783"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24.70%</w:t>
            </w:r>
          </w:p>
        </w:tc>
        <w:tc>
          <w:tcPr>
            <w:tcW w:w="1080" w:type="dxa"/>
            <w:noWrap/>
            <w:vAlign w:val="center"/>
          </w:tcPr>
          <w:p w14:paraId="03BEDAA2"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20.00%</w:t>
            </w:r>
          </w:p>
        </w:tc>
        <w:tc>
          <w:tcPr>
            <w:tcW w:w="1080" w:type="dxa"/>
            <w:noWrap/>
            <w:vAlign w:val="center"/>
          </w:tcPr>
          <w:p w14:paraId="4BD63B9D"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44.90%</w:t>
            </w:r>
          </w:p>
        </w:tc>
      </w:tr>
      <w:tr w:rsidR="001C19A4" w:rsidRPr="00553703" w14:paraId="25685E9D" w14:textId="77777777" w:rsidTr="00EE194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bottom w:val="none" w:sz="0" w:space="0" w:color="auto"/>
              <w:right w:val="none" w:sz="0" w:space="0" w:color="auto"/>
            </w:tcBorders>
            <w:noWrap/>
            <w:vAlign w:val="center"/>
          </w:tcPr>
          <w:p w14:paraId="167FC086"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Oak Grove Middle</w:t>
            </w:r>
          </w:p>
        </w:tc>
        <w:tc>
          <w:tcPr>
            <w:tcW w:w="1530" w:type="dxa"/>
            <w:tcBorders>
              <w:top w:val="none" w:sz="0" w:space="0" w:color="auto"/>
              <w:bottom w:val="none" w:sz="0" w:space="0" w:color="auto"/>
            </w:tcBorders>
            <w:vAlign w:val="center"/>
          </w:tcPr>
          <w:p w14:paraId="3E09A2AE"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723</w:t>
            </w:r>
          </w:p>
        </w:tc>
        <w:tc>
          <w:tcPr>
            <w:tcW w:w="1080" w:type="dxa"/>
            <w:tcBorders>
              <w:top w:val="none" w:sz="0" w:space="0" w:color="auto"/>
              <w:bottom w:val="none" w:sz="0" w:space="0" w:color="auto"/>
            </w:tcBorders>
            <w:vAlign w:val="center"/>
          </w:tcPr>
          <w:p w14:paraId="12B2CA6D"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3.50%</w:t>
            </w:r>
          </w:p>
        </w:tc>
        <w:tc>
          <w:tcPr>
            <w:tcW w:w="1350" w:type="dxa"/>
            <w:tcBorders>
              <w:top w:val="none" w:sz="0" w:space="0" w:color="auto"/>
              <w:bottom w:val="none" w:sz="0" w:space="0" w:color="auto"/>
            </w:tcBorders>
            <w:noWrap/>
            <w:vAlign w:val="center"/>
          </w:tcPr>
          <w:p w14:paraId="700C6992"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2.20%</w:t>
            </w:r>
          </w:p>
        </w:tc>
        <w:tc>
          <w:tcPr>
            <w:tcW w:w="1260" w:type="dxa"/>
            <w:tcBorders>
              <w:top w:val="none" w:sz="0" w:space="0" w:color="auto"/>
              <w:bottom w:val="none" w:sz="0" w:space="0" w:color="auto"/>
            </w:tcBorders>
            <w:noWrap/>
            <w:vAlign w:val="center"/>
          </w:tcPr>
          <w:p w14:paraId="273B0C2A"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85.90%</w:t>
            </w:r>
          </w:p>
        </w:tc>
        <w:tc>
          <w:tcPr>
            <w:tcW w:w="1080" w:type="dxa"/>
            <w:tcBorders>
              <w:top w:val="none" w:sz="0" w:space="0" w:color="auto"/>
              <w:bottom w:val="none" w:sz="0" w:space="0" w:color="auto"/>
            </w:tcBorders>
            <w:noWrap/>
            <w:vAlign w:val="center"/>
          </w:tcPr>
          <w:p w14:paraId="1F4E6021"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4.60%</w:t>
            </w:r>
          </w:p>
        </w:tc>
        <w:tc>
          <w:tcPr>
            <w:tcW w:w="1080" w:type="dxa"/>
            <w:tcBorders>
              <w:top w:val="none" w:sz="0" w:space="0" w:color="auto"/>
              <w:bottom w:val="none" w:sz="0" w:space="0" w:color="auto"/>
            </w:tcBorders>
            <w:noWrap/>
            <w:vAlign w:val="center"/>
          </w:tcPr>
          <w:p w14:paraId="1CCAA6A9" w14:textId="77777777" w:rsidR="001C19A4" w:rsidRPr="00AB6213" w:rsidRDefault="001C19A4" w:rsidP="00E440B4">
            <w:pPr>
              <w:pStyle w:val="Tables"/>
              <w:spacing w:before="120" w:after="120"/>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AB6213">
              <w:rPr>
                <w:color w:val="000000" w:themeColor="text1"/>
              </w:rPr>
              <w:t>3.90%</w:t>
            </w:r>
          </w:p>
        </w:tc>
      </w:tr>
      <w:tr w:rsidR="001C19A4" w:rsidRPr="00553703" w14:paraId="5DF7FE63" w14:textId="77777777" w:rsidTr="00EE194E">
        <w:trPr>
          <w:trHeight w:val="232"/>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noWrap/>
            <w:vAlign w:val="center"/>
          </w:tcPr>
          <w:p w14:paraId="30026FDF" w14:textId="77777777" w:rsidR="001C19A4" w:rsidRPr="00E440B4" w:rsidRDefault="001C19A4" w:rsidP="00E440B4">
            <w:pPr>
              <w:pStyle w:val="Tables"/>
              <w:spacing w:before="120" w:after="120"/>
              <w:jc w:val="left"/>
              <w:rPr>
                <w:b w:val="0"/>
                <w:color w:val="000000" w:themeColor="text1"/>
              </w:rPr>
            </w:pPr>
            <w:r w:rsidRPr="00E440B4">
              <w:rPr>
                <w:b w:val="0"/>
                <w:color w:val="000000" w:themeColor="text1"/>
              </w:rPr>
              <w:t>Ygnacio Valley High</w:t>
            </w:r>
          </w:p>
        </w:tc>
        <w:tc>
          <w:tcPr>
            <w:tcW w:w="1530" w:type="dxa"/>
            <w:vAlign w:val="center"/>
          </w:tcPr>
          <w:p w14:paraId="688A98BF"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1,255</w:t>
            </w:r>
          </w:p>
        </w:tc>
        <w:tc>
          <w:tcPr>
            <w:tcW w:w="1080" w:type="dxa"/>
            <w:vAlign w:val="center"/>
          </w:tcPr>
          <w:p w14:paraId="2812D651"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3.00%</w:t>
            </w:r>
          </w:p>
        </w:tc>
        <w:tc>
          <w:tcPr>
            <w:tcW w:w="1350" w:type="dxa"/>
            <w:noWrap/>
            <w:vAlign w:val="center"/>
          </w:tcPr>
          <w:p w14:paraId="75B4AFB9"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2.90%</w:t>
            </w:r>
          </w:p>
        </w:tc>
        <w:tc>
          <w:tcPr>
            <w:tcW w:w="1260" w:type="dxa"/>
            <w:noWrap/>
            <w:vAlign w:val="center"/>
          </w:tcPr>
          <w:p w14:paraId="2FC6454B"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80.20%</w:t>
            </w:r>
          </w:p>
        </w:tc>
        <w:tc>
          <w:tcPr>
            <w:tcW w:w="1080" w:type="dxa"/>
            <w:noWrap/>
            <w:vAlign w:val="center"/>
          </w:tcPr>
          <w:p w14:paraId="645D161A"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6.20%</w:t>
            </w:r>
          </w:p>
        </w:tc>
        <w:tc>
          <w:tcPr>
            <w:tcW w:w="1080" w:type="dxa"/>
            <w:noWrap/>
            <w:vAlign w:val="center"/>
          </w:tcPr>
          <w:p w14:paraId="6225C4B3" w14:textId="77777777" w:rsidR="001C19A4" w:rsidRPr="00AB6213" w:rsidRDefault="001C19A4" w:rsidP="00E440B4">
            <w:pPr>
              <w:pStyle w:val="Tables"/>
              <w:spacing w:before="120" w:after="120"/>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AB6213">
              <w:rPr>
                <w:color w:val="000000" w:themeColor="text1"/>
              </w:rPr>
              <w:t>7.70%</w:t>
            </w:r>
          </w:p>
        </w:tc>
      </w:tr>
    </w:tbl>
    <w:p w14:paraId="0DE7035F" w14:textId="77777777" w:rsidR="001C19A4" w:rsidRPr="00BB7C54" w:rsidRDefault="001C19A4" w:rsidP="005F27A6">
      <w:pPr>
        <w:pStyle w:val="TableSource"/>
        <w:rPr>
          <w:rStyle w:val="Strong"/>
          <w:b w:val="0"/>
          <w:bCs w:val="0"/>
        </w:rPr>
      </w:pPr>
      <w:r w:rsidRPr="00BB7C54">
        <w:rPr>
          <w:rStyle w:val="Strong"/>
        </w:rPr>
        <w:t>Source data: CALPADS, 2020–21</w:t>
      </w:r>
    </w:p>
    <w:p w14:paraId="6AA9FF6A" w14:textId="77777777" w:rsidR="00E440B4" w:rsidRDefault="00E440B4">
      <w:pPr>
        <w:spacing w:after="160"/>
        <w:rPr>
          <w:rFonts w:eastAsia="Times New Roman" w:cs="Arial"/>
          <w:b/>
          <w:i/>
          <w:szCs w:val="20"/>
        </w:rPr>
      </w:pPr>
      <w:r>
        <w:br w:type="page"/>
      </w:r>
    </w:p>
    <w:p w14:paraId="7278FA19" w14:textId="5581ABD5" w:rsidR="001C19A4" w:rsidRPr="00553703" w:rsidRDefault="001C19A4" w:rsidP="001F0B7E">
      <w:pPr>
        <w:pStyle w:val="Heading4"/>
      </w:pPr>
      <w:r w:rsidRPr="00553703">
        <w:lastRenderedPageBreak/>
        <w:t xml:space="preserve">Table </w:t>
      </w:r>
      <w:r>
        <w:t>2b</w:t>
      </w:r>
      <w:r w:rsidRPr="00553703">
        <w:t xml:space="preserve">. </w:t>
      </w:r>
      <w:r w:rsidRPr="00D41228">
        <w:t xml:space="preserve">Racial/Ethnic Enrollment within </w:t>
      </w:r>
      <w:r>
        <w:t>Affected</w:t>
      </w:r>
      <w:r w:rsidRPr="00D41228">
        <w:t xml:space="preserve"> Mt. Diablo USD</w:t>
      </w:r>
      <w:r>
        <w:t xml:space="preserve"> Schools</w:t>
      </w:r>
      <w:r w:rsidRPr="001F0B7E">
        <w:rPr>
          <w:rStyle w:val="FootnoteReference"/>
          <w:vertAlign w:val="superscript"/>
        </w:rPr>
        <w:footnoteReference w:id="5"/>
      </w:r>
    </w:p>
    <w:tbl>
      <w:tblPr>
        <w:tblStyle w:val="TableGrid"/>
        <w:tblW w:w="8763" w:type="dxa"/>
        <w:tblInd w:w="355" w:type="dxa"/>
        <w:tblCellMar>
          <w:top w:w="115" w:type="dxa"/>
          <w:left w:w="115" w:type="dxa"/>
          <w:bottom w:w="115" w:type="dxa"/>
          <w:right w:w="115" w:type="dxa"/>
        </w:tblCellMar>
        <w:tblLook w:val="04A0" w:firstRow="1" w:lastRow="0" w:firstColumn="1" w:lastColumn="0" w:noHBand="0" w:noVBand="1"/>
        <w:tblDescription w:val="This table depicts the percentage of students in racial/ethnic categories as of 2020-21 for the schools that would be primarily affected by the reorganziation of the Mt. Diablo USD ."/>
      </w:tblPr>
      <w:tblGrid>
        <w:gridCol w:w="3570"/>
        <w:gridCol w:w="1839"/>
        <w:gridCol w:w="1677"/>
        <w:gridCol w:w="1677"/>
      </w:tblGrid>
      <w:tr w:rsidR="001C19A4" w:rsidRPr="00B67976" w14:paraId="1762E5BA" w14:textId="77777777" w:rsidTr="005F27A6">
        <w:trPr>
          <w:trHeight w:val="538"/>
          <w:tblHeader/>
        </w:trPr>
        <w:tc>
          <w:tcPr>
            <w:tcW w:w="3570" w:type="dxa"/>
            <w:shd w:val="clear" w:color="auto" w:fill="B4C6E7" w:themeFill="accent1" w:themeFillTint="66"/>
            <w:vAlign w:val="center"/>
            <w:hideMark/>
          </w:tcPr>
          <w:p w14:paraId="261F7FD4" w14:textId="77777777" w:rsidR="001C19A4" w:rsidRPr="00B67976" w:rsidRDefault="001C19A4" w:rsidP="005F27A6">
            <w:pPr>
              <w:spacing w:after="0"/>
              <w:jc w:val="center"/>
              <w:rPr>
                <w:b/>
              </w:rPr>
            </w:pPr>
            <w:r w:rsidRPr="00B67976">
              <w:rPr>
                <w:b/>
              </w:rPr>
              <w:t>School Name</w:t>
            </w:r>
          </w:p>
        </w:tc>
        <w:tc>
          <w:tcPr>
            <w:tcW w:w="1839" w:type="dxa"/>
            <w:shd w:val="clear" w:color="auto" w:fill="B4C6E7" w:themeFill="accent1" w:themeFillTint="66"/>
            <w:vAlign w:val="center"/>
          </w:tcPr>
          <w:p w14:paraId="2177AD7A" w14:textId="77777777" w:rsidR="001C19A4" w:rsidRPr="00B67976" w:rsidRDefault="001C19A4" w:rsidP="005F27A6">
            <w:pPr>
              <w:spacing w:after="0"/>
              <w:jc w:val="center"/>
              <w:rPr>
                <w:b/>
              </w:rPr>
            </w:pPr>
            <w:r>
              <w:rPr>
                <w:b/>
              </w:rPr>
              <w:t xml:space="preserve">Total </w:t>
            </w:r>
            <w:r w:rsidRPr="00B67976">
              <w:rPr>
                <w:b/>
              </w:rPr>
              <w:t>Enrollment</w:t>
            </w:r>
          </w:p>
        </w:tc>
        <w:tc>
          <w:tcPr>
            <w:tcW w:w="1677" w:type="dxa"/>
            <w:shd w:val="clear" w:color="auto" w:fill="B4C6E7" w:themeFill="accent1" w:themeFillTint="66"/>
          </w:tcPr>
          <w:p w14:paraId="0746E369" w14:textId="77777777" w:rsidR="001C19A4" w:rsidRPr="00B67976" w:rsidRDefault="001C19A4" w:rsidP="005F27A6">
            <w:pPr>
              <w:spacing w:after="0"/>
              <w:jc w:val="center"/>
              <w:rPr>
                <w:b/>
              </w:rPr>
            </w:pPr>
            <w:r w:rsidRPr="00B67976">
              <w:rPr>
                <w:b/>
              </w:rPr>
              <w:t>Minority Students</w:t>
            </w:r>
          </w:p>
        </w:tc>
        <w:tc>
          <w:tcPr>
            <w:tcW w:w="1677" w:type="dxa"/>
            <w:shd w:val="clear" w:color="auto" w:fill="B4C6E7" w:themeFill="accent1" w:themeFillTint="66"/>
          </w:tcPr>
          <w:p w14:paraId="458EEE90" w14:textId="77777777" w:rsidR="001C19A4" w:rsidRPr="00B67976" w:rsidRDefault="001C19A4" w:rsidP="005F27A6">
            <w:pPr>
              <w:spacing w:after="0"/>
              <w:jc w:val="center"/>
              <w:rPr>
                <w:b/>
              </w:rPr>
            </w:pPr>
            <w:r w:rsidRPr="00B67976">
              <w:rPr>
                <w:b/>
              </w:rPr>
              <w:t>White Students</w:t>
            </w:r>
          </w:p>
        </w:tc>
      </w:tr>
      <w:tr w:rsidR="001C19A4" w:rsidRPr="00092A70" w14:paraId="0D5B4E26" w14:textId="77777777" w:rsidTr="005F27A6">
        <w:trPr>
          <w:trHeight w:val="263"/>
        </w:trPr>
        <w:tc>
          <w:tcPr>
            <w:tcW w:w="3570" w:type="dxa"/>
            <w:noWrap/>
            <w:vAlign w:val="center"/>
            <w:hideMark/>
          </w:tcPr>
          <w:p w14:paraId="4813DB20" w14:textId="77777777" w:rsidR="001C19A4" w:rsidRPr="00092A70" w:rsidRDefault="001C19A4" w:rsidP="005F27A6">
            <w:pPr>
              <w:spacing w:after="0"/>
            </w:pPr>
            <w:r w:rsidRPr="00092A70">
              <w:t>Bancroft Elementary</w:t>
            </w:r>
          </w:p>
        </w:tc>
        <w:tc>
          <w:tcPr>
            <w:tcW w:w="1839" w:type="dxa"/>
            <w:vAlign w:val="center"/>
          </w:tcPr>
          <w:p w14:paraId="3CCA2A33" w14:textId="77777777" w:rsidR="001C19A4" w:rsidRPr="00AF3C1E" w:rsidRDefault="001C19A4" w:rsidP="005F27A6">
            <w:pPr>
              <w:spacing w:after="0"/>
              <w:jc w:val="right"/>
            </w:pPr>
            <w:r w:rsidRPr="00F557AA">
              <w:t>573</w:t>
            </w:r>
          </w:p>
        </w:tc>
        <w:tc>
          <w:tcPr>
            <w:tcW w:w="1677" w:type="dxa"/>
            <w:vAlign w:val="center"/>
          </w:tcPr>
          <w:p w14:paraId="32C1BC9F" w14:textId="77777777" w:rsidR="001C19A4" w:rsidRDefault="001C19A4" w:rsidP="005F27A6">
            <w:pPr>
              <w:spacing w:after="0"/>
              <w:jc w:val="right"/>
            </w:pPr>
            <w:r w:rsidRPr="00CD6EB9">
              <w:t>55.70%</w:t>
            </w:r>
          </w:p>
        </w:tc>
        <w:tc>
          <w:tcPr>
            <w:tcW w:w="1677" w:type="dxa"/>
            <w:vAlign w:val="center"/>
          </w:tcPr>
          <w:p w14:paraId="4D6DEE49" w14:textId="77777777" w:rsidR="001C19A4" w:rsidRPr="00092A70" w:rsidRDefault="001C19A4" w:rsidP="005F27A6">
            <w:pPr>
              <w:spacing w:after="0"/>
              <w:jc w:val="right"/>
            </w:pPr>
            <w:r w:rsidRPr="00356AA5">
              <w:t>44.30%</w:t>
            </w:r>
          </w:p>
        </w:tc>
      </w:tr>
      <w:tr w:rsidR="001C19A4" w:rsidRPr="00092A70" w14:paraId="6594A942" w14:textId="77777777" w:rsidTr="005F27A6">
        <w:trPr>
          <w:trHeight w:val="263"/>
        </w:trPr>
        <w:tc>
          <w:tcPr>
            <w:tcW w:w="3570" w:type="dxa"/>
            <w:noWrap/>
            <w:vAlign w:val="center"/>
            <w:hideMark/>
          </w:tcPr>
          <w:p w14:paraId="02D1C34D" w14:textId="77777777" w:rsidR="001C19A4" w:rsidRPr="00092A70" w:rsidRDefault="001C19A4" w:rsidP="005F27A6">
            <w:pPr>
              <w:spacing w:after="0"/>
            </w:pPr>
            <w:r w:rsidRPr="00092A70">
              <w:t>Foothill Middle</w:t>
            </w:r>
          </w:p>
        </w:tc>
        <w:tc>
          <w:tcPr>
            <w:tcW w:w="1839" w:type="dxa"/>
            <w:vAlign w:val="center"/>
          </w:tcPr>
          <w:p w14:paraId="443E1CFE" w14:textId="77777777" w:rsidR="001C19A4" w:rsidRPr="00AE6FB7" w:rsidRDefault="001C19A4" w:rsidP="005F27A6">
            <w:pPr>
              <w:spacing w:after="0"/>
              <w:jc w:val="right"/>
            </w:pPr>
            <w:r w:rsidRPr="00F557AA">
              <w:t>773</w:t>
            </w:r>
          </w:p>
        </w:tc>
        <w:tc>
          <w:tcPr>
            <w:tcW w:w="1677" w:type="dxa"/>
            <w:vAlign w:val="center"/>
          </w:tcPr>
          <w:p w14:paraId="1DEB02B6" w14:textId="77777777" w:rsidR="001C19A4" w:rsidRDefault="001C19A4" w:rsidP="005F27A6">
            <w:pPr>
              <w:spacing w:after="0"/>
              <w:jc w:val="right"/>
            </w:pPr>
            <w:r w:rsidRPr="00CD6EB9">
              <w:t>50.70%</w:t>
            </w:r>
          </w:p>
        </w:tc>
        <w:tc>
          <w:tcPr>
            <w:tcW w:w="1677" w:type="dxa"/>
            <w:vAlign w:val="center"/>
          </w:tcPr>
          <w:p w14:paraId="5BD3C0B4" w14:textId="77777777" w:rsidR="001C19A4" w:rsidRPr="00092A70" w:rsidRDefault="001C19A4" w:rsidP="005F27A6">
            <w:pPr>
              <w:spacing w:after="0"/>
              <w:jc w:val="right"/>
            </w:pPr>
            <w:r w:rsidRPr="00356AA5">
              <w:t>49.30%</w:t>
            </w:r>
          </w:p>
        </w:tc>
      </w:tr>
      <w:tr w:rsidR="001C19A4" w:rsidRPr="00092A70" w14:paraId="36982CDD" w14:textId="77777777" w:rsidTr="005F27A6">
        <w:trPr>
          <w:trHeight w:val="307"/>
        </w:trPr>
        <w:tc>
          <w:tcPr>
            <w:tcW w:w="3570" w:type="dxa"/>
            <w:noWrap/>
            <w:vAlign w:val="center"/>
            <w:hideMark/>
          </w:tcPr>
          <w:p w14:paraId="132E2A16" w14:textId="77777777" w:rsidR="001C19A4" w:rsidRPr="00092A70" w:rsidRDefault="001C19A4" w:rsidP="005F27A6">
            <w:pPr>
              <w:spacing w:after="0"/>
            </w:pPr>
            <w:r w:rsidRPr="00092A70">
              <w:t>Northgate High</w:t>
            </w:r>
          </w:p>
        </w:tc>
        <w:tc>
          <w:tcPr>
            <w:tcW w:w="1839" w:type="dxa"/>
            <w:vAlign w:val="center"/>
          </w:tcPr>
          <w:p w14:paraId="6D11510D" w14:textId="77777777" w:rsidR="001C19A4" w:rsidRPr="009C2592" w:rsidRDefault="001C19A4" w:rsidP="005F27A6">
            <w:pPr>
              <w:spacing w:after="0"/>
              <w:jc w:val="right"/>
            </w:pPr>
            <w:r w:rsidRPr="00F557AA">
              <w:t>1</w:t>
            </w:r>
            <w:r>
              <w:t>,</w:t>
            </w:r>
            <w:r w:rsidRPr="00F557AA">
              <w:t>483</w:t>
            </w:r>
          </w:p>
        </w:tc>
        <w:tc>
          <w:tcPr>
            <w:tcW w:w="1677" w:type="dxa"/>
            <w:vAlign w:val="center"/>
          </w:tcPr>
          <w:p w14:paraId="4C5F4F5E" w14:textId="77777777" w:rsidR="001C19A4" w:rsidRDefault="001C19A4" w:rsidP="005F27A6">
            <w:pPr>
              <w:spacing w:after="0"/>
              <w:jc w:val="right"/>
            </w:pPr>
            <w:r w:rsidRPr="00CD6EB9">
              <w:t>48.40%</w:t>
            </w:r>
          </w:p>
        </w:tc>
        <w:tc>
          <w:tcPr>
            <w:tcW w:w="1677" w:type="dxa"/>
            <w:vAlign w:val="center"/>
          </w:tcPr>
          <w:p w14:paraId="7F74957F" w14:textId="77777777" w:rsidR="001C19A4" w:rsidRPr="00092A70" w:rsidRDefault="001C19A4" w:rsidP="005F27A6">
            <w:pPr>
              <w:spacing w:after="0"/>
              <w:jc w:val="right"/>
            </w:pPr>
            <w:r w:rsidRPr="00356AA5">
              <w:t>51.70%</w:t>
            </w:r>
          </w:p>
        </w:tc>
      </w:tr>
      <w:tr w:rsidR="001C19A4" w:rsidRPr="00092A70" w14:paraId="2EC015E4" w14:textId="77777777" w:rsidTr="005F27A6">
        <w:trPr>
          <w:trHeight w:val="263"/>
        </w:trPr>
        <w:tc>
          <w:tcPr>
            <w:tcW w:w="3570" w:type="dxa"/>
            <w:noWrap/>
            <w:vAlign w:val="center"/>
            <w:hideMark/>
          </w:tcPr>
          <w:p w14:paraId="06FDDA5A" w14:textId="77777777" w:rsidR="001C19A4" w:rsidRPr="00092A70" w:rsidRDefault="001C19A4" w:rsidP="005F27A6">
            <w:pPr>
              <w:spacing w:after="0"/>
            </w:pPr>
            <w:r w:rsidRPr="00092A70">
              <w:t>Valle Verde Elementary</w:t>
            </w:r>
          </w:p>
        </w:tc>
        <w:tc>
          <w:tcPr>
            <w:tcW w:w="1839" w:type="dxa"/>
            <w:vAlign w:val="center"/>
          </w:tcPr>
          <w:p w14:paraId="53AE6DC9" w14:textId="77777777" w:rsidR="001C19A4" w:rsidRPr="00F75C3B" w:rsidRDefault="001C19A4" w:rsidP="005F27A6">
            <w:pPr>
              <w:spacing w:after="0"/>
              <w:jc w:val="right"/>
            </w:pPr>
            <w:r w:rsidRPr="00F557AA">
              <w:t>335</w:t>
            </w:r>
          </w:p>
        </w:tc>
        <w:tc>
          <w:tcPr>
            <w:tcW w:w="1677" w:type="dxa"/>
            <w:vAlign w:val="center"/>
          </w:tcPr>
          <w:p w14:paraId="65B68F9C" w14:textId="77777777" w:rsidR="001C19A4" w:rsidRDefault="001C19A4" w:rsidP="005F27A6">
            <w:pPr>
              <w:spacing w:after="0"/>
              <w:jc w:val="right"/>
            </w:pPr>
            <w:r w:rsidRPr="00CD6EB9">
              <w:t>50.70%</w:t>
            </w:r>
          </w:p>
        </w:tc>
        <w:tc>
          <w:tcPr>
            <w:tcW w:w="1677" w:type="dxa"/>
            <w:vAlign w:val="center"/>
          </w:tcPr>
          <w:p w14:paraId="27B03A7A" w14:textId="77777777" w:rsidR="001C19A4" w:rsidRPr="00092A70" w:rsidRDefault="001C19A4" w:rsidP="005F27A6">
            <w:pPr>
              <w:spacing w:after="0"/>
              <w:jc w:val="right"/>
            </w:pPr>
            <w:r w:rsidRPr="00356AA5">
              <w:t>49.30%</w:t>
            </w:r>
          </w:p>
        </w:tc>
      </w:tr>
      <w:tr w:rsidR="001C19A4" w:rsidRPr="00092A70" w14:paraId="6716C4C2" w14:textId="77777777" w:rsidTr="005F27A6">
        <w:trPr>
          <w:trHeight w:val="263"/>
        </w:trPr>
        <w:tc>
          <w:tcPr>
            <w:tcW w:w="3570" w:type="dxa"/>
            <w:noWrap/>
            <w:vAlign w:val="center"/>
            <w:hideMark/>
          </w:tcPr>
          <w:p w14:paraId="1A148ED1" w14:textId="77777777" w:rsidR="001C19A4" w:rsidRPr="00092A70" w:rsidRDefault="001C19A4" w:rsidP="005F27A6">
            <w:pPr>
              <w:spacing w:after="0"/>
            </w:pPr>
            <w:r w:rsidRPr="00092A70">
              <w:t>Walnut Acres Elementary</w:t>
            </w:r>
          </w:p>
        </w:tc>
        <w:tc>
          <w:tcPr>
            <w:tcW w:w="1839" w:type="dxa"/>
            <w:vAlign w:val="center"/>
          </w:tcPr>
          <w:p w14:paraId="21B7AA3D" w14:textId="77777777" w:rsidR="001C19A4" w:rsidRPr="00B5064F" w:rsidRDefault="001C19A4" w:rsidP="005F27A6">
            <w:pPr>
              <w:spacing w:after="0"/>
              <w:jc w:val="right"/>
            </w:pPr>
            <w:r w:rsidRPr="00F557AA">
              <w:t>582</w:t>
            </w:r>
          </w:p>
        </w:tc>
        <w:tc>
          <w:tcPr>
            <w:tcW w:w="1677" w:type="dxa"/>
            <w:vAlign w:val="center"/>
          </w:tcPr>
          <w:p w14:paraId="1E0AB67C" w14:textId="77777777" w:rsidR="001C19A4" w:rsidRDefault="001C19A4" w:rsidP="005F27A6">
            <w:pPr>
              <w:spacing w:after="0"/>
              <w:jc w:val="right"/>
            </w:pPr>
            <w:r w:rsidRPr="00CD6EB9">
              <w:t>44.00%</w:t>
            </w:r>
          </w:p>
        </w:tc>
        <w:tc>
          <w:tcPr>
            <w:tcW w:w="1677" w:type="dxa"/>
            <w:vAlign w:val="center"/>
          </w:tcPr>
          <w:p w14:paraId="1C078219" w14:textId="77777777" w:rsidR="001C19A4" w:rsidRPr="00092A70" w:rsidRDefault="001C19A4" w:rsidP="005F27A6">
            <w:pPr>
              <w:spacing w:after="0"/>
              <w:jc w:val="right"/>
            </w:pPr>
            <w:r w:rsidRPr="00356AA5">
              <w:t>56.00%</w:t>
            </w:r>
          </w:p>
        </w:tc>
      </w:tr>
      <w:tr w:rsidR="001C19A4" w:rsidRPr="00092A70" w14:paraId="654B242B" w14:textId="77777777" w:rsidTr="005F27A6">
        <w:trPr>
          <w:trHeight w:val="263"/>
        </w:trPr>
        <w:tc>
          <w:tcPr>
            <w:tcW w:w="3570" w:type="dxa"/>
            <w:noWrap/>
            <w:vAlign w:val="center"/>
            <w:hideMark/>
          </w:tcPr>
          <w:p w14:paraId="6F8731D9" w14:textId="77777777" w:rsidR="001C19A4" w:rsidRPr="00092A70" w:rsidRDefault="001C19A4" w:rsidP="005F27A6">
            <w:pPr>
              <w:spacing w:after="0"/>
            </w:pPr>
            <w:r w:rsidRPr="00092A70">
              <w:t>Highlands Elementary</w:t>
            </w:r>
          </w:p>
        </w:tc>
        <w:tc>
          <w:tcPr>
            <w:tcW w:w="1839" w:type="dxa"/>
            <w:vAlign w:val="center"/>
          </w:tcPr>
          <w:p w14:paraId="309036D6" w14:textId="77777777" w:rsidR="001C19A4" w:rsidRPr="00EA2CD4" w:rsidRDefault="001C19A4" w:rsidP="005F27A6">
            <w:pPr>
              <w:spacing w:after="0"/>
              <w:jc w:val="right"/>
            </w:pPr>
            <w:r w:rsidRPr="00F557AA">
              <w:t>465</w:t>
            </w:r>
          </w:p>
        </w:tc>
        <w:tc>
          <w:tcPr>
            <w:tcW w:w="1677" w:type="dxa"/>
            <w:vAlign w:val="center"/>
          </w:tcPr>
          <w:p w14:paraId="279483E3" w14:textId="77777777" w:rsidR="001C19A4" w:rsidRDefault="001C19A4" w:rsidP="005F27A6">
            <w:pPr>
              <w:spacing w:after="0"/>
              <w:jc w:val="right"/>
            </w:pPr>
            <w:r w:rsidRPr="00CD6EB9">
              <w:t>55.10%</w:t>
            </w:r>
          </w:p>
        </w:tc>
        <w:tc>
          <w:tcPr>
            <w:tcW w:w="1677" w:type="dxa"/>
            <w:vAlign w:val="center"/>
          </w:tcPr>
          <w:p w14:paraId="079474A2" w14:textId="77777777" w:rsidR="001C19A4" w:rsidRPr="00092A70" w:rsidRDefault="001C19A4" w:rsidP="005F27A6">
            <w:pPr>
              <w:spacing w:after="0"/>
              <w:jc w:val="right"/>
            </w:pPr>
            <w:r w:rsidRPr="00356AA5">
              <w:t>44.90%</w:t>
            </w:r>
          </w:p>
        </w:tc>
      </w:tr>
      <w:tr w:rsidR="001C19A4" w:rsidRPr="00092A70" w14:paraId="4E6D1B8C" w14:textId="77777777" w:rsidTr="005F27A6">
        <w:trPr>
          <w:trHeight w:val="263"/>
        </w:trPr>
        <w:tc>
          <w:tcPr>
            <w:tcW w:w="3570" w:type="dxa"/>
            <w:noWrap/>
            <w:vAlign w:val="center"/>
            <w:hideMark/>
          </w:tcPr>
          <w:p w14:paraId="0EB7841A" w14:textId="77777777" w:rsidR="001C19A4" w:rsidRPr="00092A70" w:rsidRDefault="001C19A4" w:rsidP="005F27A6">
            <w:pPr>
              <w:spacing w:after="0"/>
            </w:pPr>
            <w:r w:rsidRPr="00092A70">
              <w:t>Oak Grove Middle</w:t>
            </w:r>
          </w:p>
        </w:tc>
        <w:tc>
          <w:tcPr>
            <w:tcW w:w="1839" w:type="dxa"/>
            <w:vAlign w:val="center"/>
          </w:tcPr>
          <w:p w14:paraId="3153A44D" w14:textId="77777777" w:rsidR="001C19A4" w:rsidRPr="000F7984" w:rsidRDefault="001C19A4" w:rsidP="005F27A6">
            <w:pPr>
              <w:spacing w:after="0"/>
              <w:jc w:val="right"/>
            </w:pPr>
            <w:r w:rsidRPr="00F557AA">
              <w:t>723</w:t>
            </w:r>
          </w:p>
        </w:tc>
        <w:tc>
          <w:tcPr>
            <w:tcW w:w="1677" w:type="dxa"/>
            <w:vAlign w:val="center"/>
          </w:tcPr>
          <w:p w14:paraId="70D2E30E" w14:textId="77777777" w:rsidR="001C19A4" w:rsidRDefault="001C19A4" w:rsidP="005F27A6">
            <w:pPr>
              <w:spacing w:after="0"/>
              <w:jc w:val="right"/>
            </w:pPr>
            <w:r w:rsidRPr="00CD6EB9">
              <w:t>96.20%</w:t>
            </w:r>
          </w:p>
        </w:tc>
        <w:tc>
          <w:tcPr>
            <w:tcW w:w="1677" w:type="dxa"/>
            <w:vAlign w:val="center"/>
          </w:tcPr>
          <w:p w14:paraId="655D7C0E" w14:textId="77777777" w:rsidR="001C19A4" w:rsidRPr="00092A70" w:rsidRDefault="001C19A4" w:rsidP="005F27A6">
            <w:pPr>
              <w:spacing w:after="0"/>
              <w:jc w:val="right"/>
            </w:pPr>
            <w:r w:rsidRPr="00356AA5">
              <w:t>3.90%</w:t>
            </w:r>
          </w:p>
        </w:tc>
      </w:tr>
      <w:tr w:rsidR="001C19A4" w:rsidRPr="00092A70" w14:paraId="7E27D8AC" w14:textId="77777777" w:rsidTr="005F27A6">
        <w:trPr>
          <w:trHeight w:val="424"/>
        </w:trPr>
        <w:tc>
          <w:tcPr>
            <w:tcW w:w="3570" w:type="dxa"/>
            <w:noWrap/>
            <w:vAlign w:val="center"/>
          </w:tcPr>
          <w:p w14:paraId="4AC6AA5E" w14:textId="77777777" w:rsidR="001C19A4" w:rsidRPr="00092A70" w:rsidRDefault="001C19A4" w:rsidP="005F27A6">
            <w:pPr>
              <w:spacing w:after="0"/>
            </w:pPr>
            <w:r w:rsidRPr="00284693">
              <w:t>Ygnacio Valley High</w:t>
            </w:r>
          </w:p>
        </w:tc>
        <w:tc>
          <w:tcPr>
            <w:tcW w:w="1839" w:type="dxa"/>
            <w:vAlign w:val="center"/>
          </w:tcPr>
          <w:p w14:paraId="4282B030" w14:textId="77777777" w:rsidR="001C19A4" w:rsidRPr="00215FA2" w:rsidRDefault="001C19A4" w:rsidP="005F27A6">
            <w:pPr>
              <w:spacing w:after="0"/>
              <w:jc w:val="right"/>
            </w:pPr>
            <w:r w:rsidRPr="00F557AA">
              <w:t>1</w:t>
            </w:r>
            <w:r>
              <w:t>,</w:t>
            </w:r>
            <w:r w:rsidRPr="00F557AA">
              <w:t>255</w:t>
            </w:r>
          </w:p>
        </w:tc>
        <w:tc>
          <w:tcPr>
            <w:tcW w:w="1677" w:type="dxa"/>
            <w:vAlign w:val="center"/>
          </w:tcPr>
          <w:p w14:paraId="2AAE0BB0" w14:textId="77777777" w:rsidR="001C19A4" w:rsidRDefault="001C19A4" w:rsidP="005F27A6">
            <w:pPr>
              <w:spacing w:after="0"/>
              <w:jc w:val="right"/>
            </w:pPr>
            <w:r w:rsidRPr="00CD6EB9">
              <w:t>92.30%</w:t>
            </w:r>
          </w:p>
        </w:tc>
        <w:tc>
          <w:tcPr>
            <w:tcW w:w="1677" w:type="dxa"/>
            <w:vAlign w:val="center"/>
          </w:tcPr>
          <w:p w14:paraId="72032824" w14:textId="77777777" w:rsidR="001C19A4" w:rsidRPr="00284693" w:rsidRDefault="001C19A4" w:rsidP="005F27A6">
            <w:pPr>
              <w:spacing w:after="0"/>
              <w:jc w:val="right"/>
            </w:pPr>
            <w:r w:rsidRPr="00356AA5">
              <w:t>7.70%</w:t>
            </w:r>
          </w:p>
        </w:tc>
      </w:tr>
    </w:tbl>
    <w:p w14:paraId="59B03864" w14:textId="77777777" w:rsidR="001C19A4" w:rsidRPr="00BB7C54" w:rsidRDefault="001C19A4" w:rsidP="005F27A6">
      <w:pPr>
        <w:pStyle w:val="TableSource"/>
        <w:rPr>
          <w:rStyle w:val="Strong"/>
          <w:b w:val="0"/>
          <w:bCs w:val="0"/>
        </w:rPr>
      </w:pPr>
      <w:r w:rsidRPr="00BB7C54">
        <w:rPr>
          <w:rStyle w:val="Strong"/>
        </w:rPr>
        <w:t>Source data: CALPADS, 2020–21</w:t>
      </w:r>
    </w:p>
    <w:p w14:paraId="5870428C" w14:textId="51E4BEAF" w:rsidR="001C19A4" w:rsidRPr="00B67D1F" w:rsidRDefault="001C19A4" w:rsidP="005F27A6">
      <w:pPr>
        <w:pStyle w:val="ListParagraph"/>
        <w:spacing w:before="120"/>
        <w:ind w:left="360"/>
        <w:rPr>
          <w:rStyle w:val="Strong"/>
          <w:b w:val="0"/>
          <w:bCs w:val="0"/>
        </w:rPr>
      </w:pPr>
      <w:r w:rsidRPr="00B67D1F">
        <w:rPr>
          <w:rStyle w:val="Strong"/>
          <w:b w:val="0"/>
        </w:rPr>
        <w:t>Enrollment of the affected schools is substantially similar</w:t>
      </w:r>
      <w:r w:rsidR="00D371A1" w:rsidRPr="00996B5A">
        <w:t>—</w:t>
      </w:r>
      <w:r w:rsidRPr="00B67D1F">
        <w:rPr>
          <w:rStyle w:val="Strong"/>
          <w:b w:val="0"/>
        </w:rPr>
        <w:t>about half of the students are minority and half are white</w:t>
      </w:r>
      <w:r w:rsidR="00D371A1" w:rsidRPr="00996B5A">
        <w:t>—</w:t>
      </w:r>
      <w:r w:rsidRPr="00B67D1F">
        <w:rPr>
          <w:rStyle w:val="Strong"/>
          <w:b w:val="0"/>
        </w:rPr>
        <w:t>with the exception of the Oak Grove Middle and Ygnacio Valley High schools. Minority students at these two schools account for more than 90 percent of the total enrollment.</w:t>
      </w:r>
    </w:p>
    <w:p w14:paraId="65B5D61D" w14:textId="77777777" w:rsidR="001C19A4" w:rsidRPr="004D6F87" w:rsidRDefault="001C19A4" w:rsidP="000A33F9">
      <w:pPr>
        <w:pStyle w:val="Heading3"/>
        <w:numPr>
          <w:ilvl w:val="1"/>
          <w:numId w:val="39"/>
        </w:numPr>
        <w:ind w:left="720" w:hanging="720"/>
      </w:pPr>
      <w:r w:rsidRPr="004D6F87">
        <w:t>Minority Enrollment in Proposed Unification: District Level Analysis</w:t>
      </w:r>
    </w:p>
    <w:bookmarkEnd w:id="10"/>
    <w:p w14:paraId="0BE40DE6" w14:textId="7B7CAAF9" w:rsidR="001C19A4" w:rsidRDefault="001C19A4" w:rsidP="005F27A6">
      <w:pPr>
        <w:ind w:left="360"/>
      </w:pPr>
      <w:r w:rsidRPr="00FC66FB">
        <w:t xml:space="preserve">Table </w:t>
      </w:r>
      <w:r>
        <w:t>3</w:t>
      </w:r>
      <w:r w:rsidRPr="00FC66FB">
        <w:t>a depicts current (2020–21) racial/ethnic enrollment of the proposed Northgate USD and the remaining portion of Mt. Diablo USD. The number of students in the proposed</w:t>
      </w:r>
      <w:r>
        <w:t xml:space="preserve"> Northgate USD</w:t>
      </w:r>
      <w:r w:rsidRPr="00FC66FB">
        <w:t xml:space="preserve"> was obtained by combining the total enrollment at Bancroft Elementary, Foothill Middle, Northgate High, Walnut Acres Elementary, and Valle Verde Elementary schools. Enrollment for the remaining part of Mt. Diablo USD is the difference between the total enrollment shown in </w:t>
      </w:r>
      <w:r w:rsidR="002F7493">
        <w:t>T</w:t>
      </w:r>
      <w:r w:rsidRPr="00FC66FB">
        <w:t xml:space="preserve">able 1a, above, and the amount for the schools in the proposed Northgate USD in </w:t>
      </w:r>
      <w:r w:rsidR="002F7493">
        <w:t>T</w:t>
      </w:r>
      <w:r w:rsidRPr="00FC66FB">
        <w:t xml:space="preserve">able </w:t>
      </w:r>
      <w:r>
        <w:t>3</w:t>
      </w:r>
      <w:r w:rsidRPr="00FC66FB">
        <w:t>a.</w:t>
      </w:r>
    </w:p>
    <w:p w14:paraId="46F5F198" w14:textId="77777777" w:rsidR="001C19A4" w:rsidRPr="00553703" w:rsidRDefault="001C19A4" w:rsidP="001F0B7E">
      <w:pPr>
        <w:pStyle w:val="Heading4"/>
      </w:pPr>
      <w:bookmarkStart w:id="12" w:name="Table2a"/>
      <w:r w:rsidRPr="00553703">
        <w:lastRenderedPageBreak/>
        <w:t xml:space="preserve">Table </w:t>
      </w:r>
      <w:r>
        <w:t>3</w:t>
      </w:r>
      <w:r w:rsidRPr="00553703">
        <w:t xml:space="preserve">a. Racial/Ethnic Enrollment </w:t>
      </w:r>
      <w:r>
        <w:t>in the Proposed Districts (Number)</w:t>
      </w:r>
    </w:p>
    <w:tbl>
      <w:tblPr>
        <w:tblStyle w:val="ListTable3-Accent5"/>
        <w:tblW w:w="881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for the proposed Northgate USD and the remaining portion of the Mt. Diablo USD as of 2020-21."/>
      </w:tblPr>
      <w:tblGrid>
        <w:gridCol w:w="2430"/>
        <w:gridCol w:w="990"/>
        <w:gridCol w:w="1350"/>
        <w:gridCol w:w="1260"/>
        <w:gridCol w:w="900"/>
        <w:gridCol w:w="900"/>
        <w:gridCol w:w="989"/>
      </w:tblGrid>
      <w:tr w:rsidR="001C19A4" w:rsidRPr="00FC66FB" w14:paraId="6DD2D0C0" w14:textId="77777777" w:rsidTr="00EE194E">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430" w:type="dxa"/>
            <w:tcBorders>
              <w:bottom w:val="none" w:sz="0" w:space="0" w:color="auto"/>
              <w:right w:val="none" w:sz="0" w:space="0" w:color="auto"/>
            </w:tcBorders>
            <w:shd w:val="clear" w:color="auto" w:fill="B4C6E7" w:themeFill="accent1" w:themeFillTint="66"/>
            <w:noWrap/>
            <w:vAlign w:val="center"/>
            <w:hideMark/>
          </w:tcPr>
          <w:bookmarkEnd w:id="12"/>
          <w:p w14:paraId="6442212B" w14:textId="77777777" w:rsidR="001C19A4" w:rsidRPr="00D75C42" w:rsidRDefault="001C19A4" w:rsidP="00EE194E">
            <w:pPr>
              <w:pStyle w:val="Tables"/>
              <w:spacing w:before="120" w:after="120"/>
              <w:rPr>
                <w:b w:val="0"/>
                <w:color w:val="000000" w:themeColor="text1"/>
              </w:rPr>
            </w:pPr>
            <w:r w:rsidRPr="00D75C42">
              <w:rPr>
                <w:color w:val="000000" w:themeColor="text1"/>
              </w:rPr>
              <w:t>Category</w:t>
            </w:r>
          </w:p>
        </w:tc>
        <w:tc>
          <w:tcPr>
            <w:tcW w:w="990" w:type="dxa"/>
            <w:shd w:val="clear" w:color="auto" w:fill="B4C6E7" w:themeFill="accent1" w:themeFillTint="66"/>
            <w:vAlign w:val="center"/>
          </w:tcPr>
          <w:p w14:paraId="57FF5D5D" w14:textId="77777777" w:rsidR="001C19A4" w:rsidRPr="00D75C42" w:rsidRDefault="001C19A4" w:rsidP="00EE194E">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C42">
              <w:rPr>
                <w:color w:val="000000" w:themeColor="text1"/>
              </w:rPr>
              <w:t>Asian</w:t>
            </w:r>
          </w:p>
        </w:tc>
        <w:tc>
          <w:tcPr>
            <w:tcW w:w="1350" w:type="dxa"/>
            <w:shd w:val="clear" w:color="auto" w:fill="B4C6E7" w:themeFill="accent1" w:themeFillTint="66"/>
            <w:vAlign w:val="center"/>
            <w:hideMark/>
          </w:tcPr>
          <w:p w14:paraId="7AADA474" w14:textId="77777777" w:rsidR="001C19A4" w:rsidRPr="00D75C42" w:rsidRDefault="001C19A4" w:rsidP="00EE194E">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C42">
              <w:rPr>
                <w:color w:val="000000" w:themeColor="text1"/>
              </w:rPr>
              <w:t>Black or African American</w:t>
            </w:r>
          </w:p>
        </w:tc>
        <w:tc>
          <w:tcPr>
            <w:tcW w:w="1260" w:type="dxa"/>
            <w:shd w:val="clear" w:color="auto" w:fill="B4C6E7" w:themeFill="accent1" w:themeFillTint="66"/>
            <w:vAlign w:val="center"/>
            <w:hideMark/>
          </w:tcPr>
          <w:p w14:paraId="728AF704" w14:textId="77777777" w:rsidR="001C19A4" w:rsidRPr="00D75C42" w:rsidRDefault="001C19A4" w:rsidP="00EE194E">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C42">
              <w:rPr>
                <w:color w:val="000000" w:themeColor="text1"/>
              </w:rPr>
              <w:t>Hispanic or Latino</w:t>
            </w:r>
          </w:p>
        </w:tc>
        <w:tc>
          <w:tcPr>
            <w:tcW w:w="900" w:type="dxa"/>
            <w:shd w:val="clear" w:color="auto" w:fill="B4C6E7" w:themeFill="accent1" w:themeFillTint="66"/>
            <w:vAlign w:val="center"/>
            <w:hideMark/>
          </w:tcPr>
          <w:p w14:paraId="58333E7A" w14:textId="77777777" w:rsidR="001C19A4" w:rsidRPr="00D75C42" w:rsidRDefault="001C19A4" w:rsidP="00EE194E">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C42">
              <w:rPr>
                <w:color w:val="000000" w:themeColor="text1"/>
              </w:rPr>
              <w:t>Other</w:t>
            </w:r>
          </w:p>
        </w:tc>
        <w:tc>
          <w:tcPr>
            <w:tcW w:w="900" w:type="dxa"/>
            <w:shd w:val="clear" w:color="auto" w:fill="B4C6E7" w:themeFill="accent1" w:themeFillTint="66"/>
            <w:vAlign w:val="center"/>
            <w:hideMark/>
          </w:tcPr>
          <w:p w14:paraId="40F0A90F" w14:textId="77777777" w:rsidR="001C19A4" w:rsidRPr="00D75C42" w:rsidRDefault="001C19A4" w:rsidP="00EE194E">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C42">
              <w:rPr>
                <w:color w:val="000000" w:themeColor="text1"/>
              </w:rPr>
              <w:t>White</w:t>
            </w:r>
          </w:p>
        </w:tc>
        <w:tc>
          <w:tcPr>
            <w:tcW w:w="989" w:type="dxa"/>
            <w:shd w:val="clear" w:color="auto" w:fill="B4C6E7" w:themeFill="accent1" w:themeFillTint="66"/>
            <w:vAlign w:val="center"/>
            <w:hideMark/>
          </w:tcPr>
          <w:p w14:paraId="6B927D03" w14:textId="77777777" w:rsidR="001C19A4" w:rsidRPr="00D75C42" w:rsidRDefault="001C19A4" w:rsidP="00EE194E">
            <w:pPr>
              <w:pStyle w:val="Tables"/>
              <w:spacing w:before="120" w:after="120"/>
              <w:cnfStyle w:val="100000000000" w:firstRow="1" w:lastRow="0" w:firstColumn="0" w:lastColumn="0" w:oddVBand="0" w:evenVBand="0" w:oddHBand="0" w:evenHBand="0" w:firstRowFirstColumn="0" w:firstRowLastColumn="0" w:lastRowFirstColumn="0" w:lastRowLastColumn="0"/>
              <w:rPr>
                <w:b w:val="0"/>
                <w:color w:val="000000" w:themeColor="text1"/>
              </w:rPr>
            </w:pPr>
            <w:r w:rsidRPr="00D75C42">
              <w:rPr>
                <w:color w:val="000000" w:themeColor="text1"/>
              </w:rPr>
              <w:t>Total</w:t>
            </w:r>
          </w:p>
        </w:tc>
      </w:tr>
      <w:tr w:rsidR="001C19A4" w:rsidRPr="00553703" w14:paraId="32DBC7CE" w14:textId="77777777" w:rsidTr="00EE194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bottom w:val="none" w:sz="0" w:space="0" w:color="auto"/>
              <w:right w:val="none" w:sz="0" w:space="0" w:color="auto"/>
            </w:tcBorders>
            <w:noWrap/>
            <w:vAlign w:val="center"/>
            <w:hideMark/>
          </w:tcPr>
          <w:p w14:paraId="4B9F4EE9" w14:textId="77777777" w:rsidR="001C19A4" w:rsidRPr="00EE194E" w:rsidRDefault="001C19A4" w:rsidP="00EE194E">
            <w:pPr>
              <w:pStyle w:val="Tables"/>
              <w:spacing w:before="120" w:after="120"/>
              <w:jc w:val="left"/>
              <w:rPr>
                <w:b w:val="0"/>
              </w:rPr>
            </w:pPr>
            <w:r w:rsidRPr="00EE194E">
              <w:rPr>
                <w:b w:val="0"/>
              </w:rPr>
              <w:t>Proposed Northgate USD</w:t>
            </w:r>
          </w:p>
        </w:tc>
        <w:tc>
          <w:tcPr>
            <w:tcW w:w="990" w:type="dxa"/>
            <w:tcBorders>
              <w:top w:val="none" w:sz="0" w:space="0" w:color="auto"/>
              <w:bottom w:val="none" w:sz="0" w:space="0" w:color="auto"/>
            </w:tcBorders>
            <w:vAlign w:val="center"/>
          </w:tcPr>
          <w:p w14:paraId="39A30F8B" w14:textId="77777777" w:rsidR="001C19A4" w:rsidRDefault="001C19A4" w:rsidP="00EE194E">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t>537</w:t>
            </w:r>
            <w:r w:rsidRPr="00553703">
              <w:t xml:space="preserve"> </w:t>
            </w:r>
          </w:p>
        </w:tc>
        <w:tc>
          <w:tcPr>
            <w:tcW w:w="1350" w:type="dxa"/>
            <w:tcBorders>
              <w:top w:val="none" w:sz="0" w:space="0" w:color="auto"/>
              <w:bottom w:val="none" w:sz="0" w:space="0" w:color="auto"/>
            </w:tcBorders>
            <w:noWrap/>
            <w:vAlign w:val="center"/>
            <w:hideMark/>
          </w:tcPr>
          <w:p w14:paraId="3F982B9A" w14:textId="77777777" w:rsidR="001C19A4" w:rsidRPr="00553703" w:rsidRDefault="001C19A4" w:rsidP="00EE194E">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t>36</w:t>
            </w:r>
          </w:p>
        </w:tc>
        <w:tc>
          <w:tcPr>
            <w:tcW w:w="1260" w:type="dxa"/>
            <w:tcBorders>
              <w:top w:val="none" w:sz="0" w:space="0" w:color="auto"/>
              <w:bottom w:val="none" w:sz="0" w:space="0" w:color="auto"/>
            </w:tcBorders>
            <w:noWrap/>
            <w:vAlign w:val="center"/>
            <w:hideMark/>
          </w:tcPr>
          <w:p w14:paraId="4BCD8032" w14:textId="77777777" w:rsidR="001C19A4" w:rsidRPr="00553703" w:rsidRDefault="001C19A4" w:rsidP="00EE194E">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t>621</w:t>
            </w:r>
            <w:r w:rsidRPr="00553703">
              <w:t xml:space="preserve"> </w:t>
            </w:r>
          </w:p>
        </w:tc>
        <w:tc>
          <w:tcPr>
            <w:tcW w:w="900" w:type="dxa"/>
            <w:tcBorders>
              <w:top w:val="none" w:sz="0" w:space="0" w:color="auto"/>
              <w:bottom w:val="none" w:sz="0" w:space="0" w:color="auto"/>
            </w:tcBorders>
            <w:noWrap/>
            <w:vAlign w:val="center"/>
            <w:hideMark/>
          </w:tcPr>
          <w:p w14:paraId="25BBE26C" w14:textId="77777777" w:rsidR="001C19A4" w:rsidRPr="00553703" w:rsidRDefault="001C19A4" w:rsidP="00EE194E">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t>659</w:t>
            </w:r>
            <w:r w:rsidRPr="00553703">
              <w:t xml:space="preserve"> </w:t>
            </w:r>
          </w:p>
        </w:tc>
        <w:tc>
          <w:tcPr>
            <w:tcW w:w="900" w:type="dxa"/>
            <w:tcBorders>
              <w:top w:val="none" w:sz="0" w:space="0" w:color="auto"/>
              <w:bottom w:val="none" w:sz="0" w:space="0" w:color="auto"/>
            </w:tcBorders>
            <w:noWrap/>
            <w:vAlign w:val="center"/>
            <w:hideMark/>
          </w:tcPr>
          <w:p w14:paraId="33E9FE0F" w14:textId="77777777" w:rsidR="001C19A4" w:rsidRPr="00553703" w:rsidRDefault="001C19A4" w:rsidP="00EE194E">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t>1,</w:t>
            </w:r>
            <w:r w:rsidRPr="00553703">
              <w:t>8</w:t>
            </w:r>
            <w:r>
              <w:t>93</w:t>
            </w:r>
            <w:r w:rsidRPr="00553703">
              <w:t xml:space="preserve"> </w:t>
            </w:r>
          </w:p>
        </w:tc>
        <w:tc>
          <w:tcPr>
            <w:tcW w:w="989" w:type="dxa"/>
            <w:tcBorders>
              <w:top w:val="none" w:sz="0" w:space="0" w:color="auto"/>
              <w:bottom w:val="none" w:sz="0" w:space="0" w:color="auto"/>
            </w:tcBorders>
            <w:noWrap/>
            <w:vAlign w:val="center"/>
            <w:hideMark/>
          </w:tcPr>
          <w:p w14:paraId="32C46176" w14:textId="77777777" w:rsidR="001C19A4" w:rsidRPr="00553703" w:rsidRDefault="001C19A4" w:rsidP="00EE194E">
            <w:pPr>
              <w:pStyle w:val="Tables"/>
              <w:spacing w:before="120" w:after="120"/>
              <w:jc w:val="right"/>
              <w:cnfStyle w:val="000000100000" w:firstRow="0" w:lastRow="0" w:firstColumn="0" w:lastColumn="0" w:oddVBand="0" w:evenVBand="0" w:oddHBand="1" w:evenHBand="0" w:firstRowFirstColumn="0" w:firstRowLastColumn="0" w:lastRowFirstColumn="0" w:lastRowLastColumn="0"/>
            </w:pPr>
            <w:r>
              <w:t>3,746</w:t>
            </w:r>
            <w:r w:rsidRPr="00553703">
              <w:t xml:space="preserve"> </w:t>
            </w:r>
          </w:p>
        </w:tc>
      </w:tr>
      <w:tr w:rsidR="001C19A4" w:rsidRPr="00553703" w14:paraId="2A28F599" w14:textId="77777777" w:rsidTr="00EE194E">
        <w:trPr>
          <w:trHeight w:val="232"/>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noWrap/>
            <w:vAlign w:val="center"/>
            <w:hideMark/>
          </w:tcPr>
          <w:p w14:paraId="348CFECE" w14:textId="77777777" w:rsidR="001C19A4" w:rsidRPr="00EE194E" w:rsidRDefault="001C19A4" w:rsidP="00EE194E">
            <w:pPr>
              <w:pStyle w:val="Tables"/>
              <w:spacing w:before="120" w:after="120"/>
              <w:jc w:val="left"/>
              <w:rPr>
                <w:b w:val="0"/>
              </w:rPr>
            </w:pPr>
            <w:r w:rsidRPr="00EE194E">
              <w:rPr>
                <w:b w:val="0"/>
              </w:rPr>
              <w:t xml:space="preserve">Remaining Portion of Mt. Diablo USD </w:t>
            </w:r>
          </w:p>
        </w:tc>
        <w:tc>
          <w:tcPr>
            <w:tcW w:w="990" w:type="dxa"/>
            <w:vAlign w:val="center"/>
          </w:tcPr>
          <w:p w14:paraId="2017FDEE" w14:textId="77777777" w:rsidR="001C19A4" w:rsidRDefault="001C19A4" w:rsidP="00EE194E">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t>1,754</w:t>
            </w:r>
          </w:p>
        </w:tc>
        <w:tc>
          <w:tcPr>
            <w:tcW w:w="1350" w:type="dxa"/>
            <w:noWrap/>
            <w:vAlign w:val="center"/>
            <w:hideMark/>
          </w:tcPr>
          <w:p w14:paraId="537545D0" w14:textId="77777777" w:rsidR="001C19A4" w:rsidRPr="00553703" w:rsidRDefault="001C19A4" w:rsidP="00EE194E">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t>864</w:t>
            </w:r>
          </w:p>
        </w:tc>
        <w:tc>
          <w:tcPr>
            <w:tcW w:w="1260" w:type="dxa"/>
            <w:noWrap/>
            <w:vAlign w:val="center"/>
            <w:hideMark/>
          </w:tcPr>
          <w:p w14:paraId="550418CC" w14:textId="77777777" w:rsidR="001C19A4" w:rsidRPr="00553703" w:rsidRDefault="001C19A4" w:rsidP="00EE194E">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t>12,151</w:t>
            </w:r>
          </w:p>
        </w:tc>
        <w:tc>
          <w:tcPr>
            <w:tcW w:w="900" w:type="dxa"/>
            <w:noWrap/>
            <w:vAlign w:val="center"/>
            <w:hideMark/>
          </w:tcPr>
          <w:p w14:paraId="19383AF4" w14:textId="77777777" w:rsidR="001C19A4" w:rsidRPr="00553703" w:rsidRDefault="001C19A4" w:rsidP="00EE194E">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t>3,160</w:t>
            </w:r>
          </w:p>
        </w:tc>
        <w:tc>
          <w:tcPr>
            <w:tcW w:w="900" w:type="dxa"/>
            <w:noWrap/>
            <w:vAlign w:val="center"/>
            <w:hideMark/>
          </w:tcPr>
          <w:p w14:paraId="1D3A6B40" w14:textId="77777777" w:rsidR="001C19A4" w:rsidRPr="00553703" w:rsidRDefault="001C19A4" w:rsidP="00EE194E">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t>6,356</w:t>
            </w:r>
          </w:p>
        </w:tc>
        <w:tc>
          <w:tcPr>
            <w:tcW w:w="989" w:type="dxa"/>
            <w:noWrap/>
            <w:vAlign w:val="center"/>
            <w:hideMark/>
          </w:tcPr>
          <w:p w14:paraId="65312A19" w14:textId="77777777" w:rsidR="001C19A4" w:rsidRPr="00553703" w:rsidRDefault="001C19A4" w:rsidP="00EE194E">
            <w:pPr>
              <w:pStyle w:val="Tables"/>
              <w:spacing w:before="120" w:after="120"/>
              <w:jc w:val="right"/>
              <w:cnfStyle w:val="000000000000" w:firstRow="0" w:lastRow="0" w:firstColumn="0" w:lastColumn="0" w:oddVBand="0" w:evenVBand="0" w:oddHBand="0" w:evenHBand="0" w:firstRowFirstColumn="0" w:firstRowLastColumn="0" w:lastRowFirstColumn="0" w:lastRowLastColumn="0"/>
            </w:pPr>
            <w:r>
              <w:t>24,285</w:t>
            </w:r>
          </w:p>
        </w:tc>
      </w:tr>
    </w:tbl>
    <w:p w14:paraId="0062B35F" w14:textId="77777777" w:rsidR="001C19A4" w:rsidRPr="00BB7C54" w:rsidRDefault="001C19A4" w:rsidP="005F27A6">
      <w:pPr>
        <w:pStyle w:val="TableSource"/>
        <w:rPr>
          <w:rStyle w:val="Strong"/>
          <w:b w:val="0"/>
          <w:bCs w:val="0"/>
        </w:rPr>
      </w:pPr>
      <w:r w:rsidRPr="00BB7C54">
        <w:rPr>
          <w:rStyle w:val="Strong"/>
        </w:rPr>
        <w:t>Source data: CALPADS, 2020–21</w:t>
      </w:r>
    </w:p>
    <w:p w14:paraId="6587ED3F" w14:textId="0B3C9331" w:rsidR="001C19A4" w:rsidRPr="001F0B7E" w:rsidRDefault="001C19A4" w:rsidP="001F0B7E">
      <w:pPr>
        <w:ind w:left="360"/>
        <w:rPr>
          <w:rStyle w:val="Strong"/>
          <w:b w:val="0"/>
          <w:bCs w:val="0"/>
        </w:rPr>
      </w:pPr>
      <w:r w:rsidRPr="001F0B7E">
        <w:rPr>
          <w:rStyle w:val="Strong"/>
          <w:b w:val="0"/>
        </w:rPr>
        <w:t>Table 3b displays the percentage of enrollment in each racial/ethnic group. The largest group in the proposed Northgate USD schools is the “White” group at 50.5 percent of total enrollment; the largest group in the remaining portion of the Mt. Diablo USD is the “Latino or Hispanic” group at 50.0 percent of total enrollment.</w:t>
      </w:r>
      <w:r w:rsidR="0024655D">
        <w:rPr>
          <w:rStyle w:val="Strong"/>
          <w:b w:val="0"/>
        </w:rPr>
        <w:t xml:space="preserve"> </w:t>
      </w:r>
    </w:p>
    <w:p w14:paraId="2AA56A66" w14:textId="77777777" w:rsidR="001C19A4" w:rsidRPr="00553703" w:rsidRDefault="001C19A4" w:rsidP="001F0B7E">
      <w:pPr>
        <w:pStyle w:val="Heading4"/>
      </w:pPr>
      <w:bookmarkStart w:id="13" w:name="Table2b"/>
      <w:r w:rsidRPr="00553703">
        <w:t xml:space="preserve">Table </w:t>
      </w:r>
      <w:r>
        <w:t>3b</w:t>
      </w:r>
      <w:r w:rsidRPr="00553703">
        <w:t xml:space="preserve">. Racial/Ethnic Enrollment </w:t>
      </w:r>
      <w:r>
        <w:t>in the Proposed Districts (Percent)</w:t>
      </w:r>
    </w:p>
    <w:tbl>
      <w:tblPr>
        <w:tblStyle w:val="ListTable3-Accent5"/>
        <w:tblW w:w="88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percentage of students in racial/ethnic categories for the proposed Northgate USD and the remaining portion of the Mt. Diablo USD as of 2020-21."/>
      </w:tblPr>
      <w:tblGrid>
        <w:gridCol w:w="2430"/>
        <w:gridCol w:w="1170"/>
        <w:gridCol w:w="1440"/>
        <w:gridCol w:w="1260"/>
        <w:gridCol w:w="1242"/>
        <w:gridCol w:w="1278"/>
      </w:tblGrid>
      <w:tr w:rsidR="001C19A4" w:rsidRPr="00EE194E" w14:paraId="724AFD9F" w14:textId="77777777" w:rsidTr="00EE194E">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2430" w:type="dxa"/>
            <w:tcBorders>
              <w:bottom w:val="none" w:sz="0" w:space="0" w:color="auto"/>
              <w:right w:val="none" w:sz="0" w:space="0" w:color="auto"/>
            </w:tcBorders>
            <w:shd w:val="clear" w:color="auto" w:fill="B4C6E7" w:themeFill="accent1" w:themeFillTint="66"/>
            <w:noWrap/>
            <w:vAlign w:val="center"/>
            <w:hideMark/>
          </w:tcPr>
          <w:bookmarkEnd w:id="13"/>
          <w:p w14:paraId="26EF8B1F" w14:textId="77777777" w:rsidR="001C19A4" w:rsidRPr="00EE194E" w:rsidRDefault="001C19A4" w:rsidP="00EE194E">
            <w:pPr>
              <w:spacing w:before="120" w:after="120"/>
              <w:jc w:val="center"/>
              <w:rPr>
                <w:bCs w:val="0"/>
                <w:color w:val="000000"/>
              </w:rPr>
            </w:pPr>
            <w:r w:rsidRPr="00EE194E">
              <w:rPr>
                <w:bCs w:val="0"/>
                <w:color w:val="000000"/>
              </w:rPr>
              <w:t>Category</w:t>
            </w:r>
          </w:p>
        </w:tc>
        <w:tc>
          <w:tcPr>
            <w:tcW w:w="1170" w:type="dxa"/>
            <w:shd w:val="clear" w:color="auto" w:fill="B4C6E7" w:themeFill="accent1" w:themeFillTint="66"/>
            <w:vAlign w:val="center"/>
          </w:tcPr>
          <w:p w14:paraId="4EB8E35A" w14:textId="77777777" w:rsidR="001C19A4" w:rsidRPr="00EE194E" w:rsidRDefault="001C19A4" w:rsidP="00EE194E">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Asian</w:t>
            </w:r>
          </w:p>
        </w:tc>
        <w:tc>
          <w:tcPr>
            <w:tcW w:w="1440" w:type="dxa"/>
            <w:shd w:val="clear" w:color="auto" w:fill="B4C6E7" w:themeFill="accent1" w:themeFillTint="66"/>
            <w:vAlign w:val="center"/>
            <w:hideMark/>
          </w:tcPr>
          <w:p w14:paraId="25F6CB4A" w14:textId="77777777" w:rsidR="001C19A4" w:rsidRPr="00EE194E" w:rsidRDefault="001C19A4" w:rsidP="00EE194E">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Black or African American</w:t>
            </w:r>
          </w:p>
        </w:tc>
        <w:tc>
          <w:tcPr>
            <w:tcW w:w="1260" w:type="dxa"/>
            <w:shd w:val="clear" w:color="auto" w:fill="B4C6E7" w:themeFill="accent1" w:themeFillTint="66"/>
            <w:vAlign w:val="center"/>
            <w:hideMark/>
          </w:tcPr>
          <w:p w14:paraId="07E19653" w14:textId="77777777" w:rsidR="001C19A4" w:rsidRPr="00EE194E" w:rsidRDefault="001C19A4" w:rsidP="00EE194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Hispanic or Latino</w:t>
            </w:r>
          </w:p>
        </w:tc>
        <w:tc>
          <w:tcPr>
            <w:tcW w:w="1242" w:type="dxa"/>
            <w:shd w:val="clear" w:color="auto" w:fill="B4C6E7" w:themeFill="accent1" w:themeFillTint="66"/>
            <w:vAlign w:val="center"/>
            <w:hideMark/>
          </w:tcPr>
          <w:p w14:paraId="7450A9B8" w14:textId="77777777" w:rsidR="001C19A4" w:rsidRPr="00EE194E" w:rsidRDefault="001C19A4" w:rsidP="00EE194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Other</w:t>
            </w:r>
          </w:p>
        </w:tc>
        <w:tc>
          <w:tcPr>
            <w:tcW w:w="1278" w:type="dxa"/>
            <w:shd w:val="clear" w:color="auto" w:fill="B4C6E7" w:themeFill="accent1" w:themeFillTint="66"/>
            <w:vAlign w:val="center"/>
            <w:hideMark/>
          </w:tcPr>
          <w:p w14:paraId="558BE131" w14:textId="77777777" w:rsidR="001C19A4" w:rsidRPr="00EE194E" w:rsidRDefault="001C19A4" w:rsidP="00EE194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White</w:t>
            </w:r>
          </w:p>
        </w:tc>
      </w:tr>
      <w:tr w:rsidR="001C19A4" w:rsidRPr="00553703" w14:paraId="24C5FB4B" w14:textId="77777777" w:rsidTr="00EE194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bottom w:val="none" w:sz="0" w:space="0" w:color="auto"/>
              <w:right w:val="none" w:sz="0" w:space="0" w:color="auto"/>
            </w:tcBorders>
            <w:noWrap/>
            <w:vAlign w:val="center"/>
            <w:hideMark/>
          </w:tcPr>
          <w:p w14:paraId="41F0C163" w14:textId="77777777" w:rsidR="001C19A4" w:rsidRPr="00EE194E" w:rsidRDefault="001C19A4" w:rsidP="00EE194E">
            <w:pPr>
              <w:spacing w:before="120" w:after="120"/>
              <w:rPr>
                <w:b w:val="0"/>
                <w:color w:val="000000"/>
              </w:rPr>
            </w:pPr>
            <w:r w:rsidRPr="00EE194E">
              <w:rPr>
                <w:b w:val="0"/>
                <w:color w:val="000000"/>
              </w:rPr>
              <w:t>Proposed Northgate USD</w:t>
            </w:r>
          </w:p>
        </w:tc>
        <w:tc>
          <w:tcPr>
            <w:tcW w:w="1170" w:type="dxa"/>
            <w:tcBorders>
              <w:top w:val="none" w:sz="0" w:space="0" w:color="auto"/>
              <w:bottom w:val="none" w:sz="0" w:space="0" w:color="auto"/>
            </w:tcBorders>
            <w:vAlign w:val="center"/>
          </w:tcPr>
          <w:p w14:paraId="4C37B9EC" w14:textId="77777777" w:rsidR="001C19A4"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14.3%</w:t>
            </w:r>
          </w:p>
        </w:tc>
        <w:tc>
          <w:tcPr>
            <w:tcW w:w="1440" w:type="dxa"/>
            <w:tcBorders>
              <w:top w:val="none" w:sz="0" w:space="0" w:color="auto"/>
              <w:bottom w:val="none" w:sz="0" w:space="0" w:color="auto"/>
            </w:tcBorders>
            <w:noWrap/>
            <w:vAlign w:val="center"/>
            <w:hideMark/>
          </w:tcPr>
          <w:p w14:paraId="10E46D1A" w14:textId="77777777" w:rsidR="001C19A4" w:rsidRPr="00553703"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1260" w:type="dxa"/>
            <w:tcBorders>
              <w:top w:val="none" w:sz="0" w:space="0" w:color="auto"/>
              <w:bottom w:val="none" w:sz="0" w:space="0" w:color="auto"/>
            </w:tcBorders>
            <w:noWrap/>
            <w:vAlign w:val="center"/>
            <w:hideMark/>
          </w:tcPr>
          <w:p w14:paraId="263A342C" w14:textId="77777777" w:rsidR="001C19A4" w:rsidRPr="00553703"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16.6%</w:t>
            </w:r>
          </w:p>
        </w:tc>
        <w:tc>
          <w:tcPr>
            <w:tcW w:w="1242" w:type="dxa"/>
            <w:tcBorders>
              <w:top w:val="none" w:sz="0" w:space="0" w:color="auto"/>
              <w:bottom w:val="none" w:sz="0" w:space="0" w:color="auto"/>
            </w:tcBorders>
            <w:noWrap/>
            <w:vAlign w:val="center"/>
            <w:hideMark/>
          </w:tcPr>
          <w:p w14:paraId="21F03887" w14:textId="77777777" w:rsidR="001C19A4" w:rsidRPr="00553703"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17.6%</w:t>
            </w:r>
          </w:p>
        </w:tc>
        <w:tc>
          <w:tcPr>
            <w:tcW w:w="1278" w:type="dxa"/>
            <w:tcBorders>
              <w:top w:val="none" w:sz="0" w:space="0" w:color="auto"/>
              <w:bottom w:val="none" w:sz="0" w:space="0" w:color="auto"/>
            </w:tcBorders>
            <w:noWrap/>
            <w:vAlign w:val="center"/>
            <w:hideMark/>
          </w:tcPr>
          <w:p w14:paraId="17B563E5" w14:textId="77777777" w:rsidR="001C19A4" w:rsidRPr="00553703"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50.5%</w:t>
            </w:r>
          </w:p>
        </w:tc>
      </w:tr>
      <w:tr w:rsidR="001C19A4" w:rsidRPr="00553703" w14:paraId="380C16B0" w14:textId="77777777" w:rsidTr="00EE194E">
        <w:trPr>
          <w:trHeight w:val="235"/>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noWrap/>
            <w:vAlign w:val="center"/>
            <w:hideMark/>
          </w:tcPr>
          <w:p w14:paraId="5A464170" w14:textId="77777777" w:rsidR="001C19A4" w:rsidRPr="00EE194E" w:rsidRDefault="001C19A4" w:rsidP="00EE194E">
            <w:pPr>
              <w:spacing w:before="120" w:after="120"/>
              <w:rPr>
                <w:b w:val="0"/>
                <w:color w:val="000000"/>
              </w:rPr>
            </w:pPr>
            <w:r w:rsidRPr="00EE194E">
              <w:rPr>
                <w:b w:val="0"/>
                <w:color w:val="000000"/>
              </w:rPr>
              <w:t>Remaining Portion of Mt. Diablo USD</w:t>
            </w:r>
          </w:p>
        </w:tc>
        <w:tc>
          <w:tcPr>
            <w:tcW w:w="1170" w:type="dxa"/>
            <w:vAlign w:val="center"/>
          </w:tcPr>
          <w:p w14:paraId="544953AE" w14:textId="77777777" w:rsidR="001C19A4"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7.2%</w:t>
            </w:r>
          </w:p>
        </w:tc>
        <w:tc>
          <w:tcPr>
            <w:tcW w:w="1440" w:type="dxa"/>
            <w:noWrap/>
            <w:vAlign w:val="center"/>
            <w:hideMark/>
          </w:tcPr>
          <w:p w14:paraId="1C1C2CEE" w14:textId="77777777" w:rsidR="001C19A4" w:rsidRPr="00553703"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3.6%</w:t>
            </w:r>
          </w:p>
        </w:tc>
        <w:tc>
          <w:tcPr>
            <w:tcW w:w="1260" w:type="dxa"/>
            <w:noWrap/>
            <w:vAlign w:val="center"/>
            <w:hideMark/>
          </w:tcPr>
          <w:p w14:paraId="7FF45D74" w14:textId="77777777" w:rsidR="001C19A4" w:rsidRPr="00553703"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50.0%</w:t>
            </w:r>
          </w:p>
        </w:tc>
        <w:tc>
          <w:tcPr>
            <w:tcW w:w="1242" w:type="dxa"/>
            <w:noWrap/>
            <w:vAlign w:val="center"/>
            <w:hideMark/>
          </w:tcPr>
          <w:p w14:paraId="5CB237C8" w14:textId="77777777" w:rsidR="001C19A4" w:rsidRPr="00553703"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13.0%</w:t>
            </w:r>
          </w:p>
        </w:tc>
        <w:tc>
          <w:tcPr>
            <w:tcW w:w="1278" w:type="dxa"/>
            <w:noWrap/>
            <w:vAlign w:val="center"/>
            <w:hideMark/>
          </w:tcPr>
          <w:p w14:paraId="3C12CB3F" w14:textId="77777777" w:rsidR="001C19A4" w:rsidRPr="00553703"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26.2%</w:t>
            </w:r>
          </w:p>
        </w:tc>
      </w:tr>
    </w:tbl>
    <w:p w14:paraId="42CF3FDE" w14:textId="77777777" w:rsidR="001C19A4" w:rsidRPr="00BB7C54" w:rsidRDefault="001C19A4" w:rsidP="005F27A6">
      <w:pPr>
        <w:pStyle w:val="TableSource"/>
        <w:rPr>
          <w:rStyle w:val="Strong"/>
          <w:b w:val="0"/>
          <w:bCs w:val="0"/>
        </w:rPr>
      </w:pPr>
      <w:r w:rsidRPr="00BB7C54">
        <w:rPr>
          <w:rStyle w:val="Strong"/>
        </w:rPr>
        <w:t>Source data: CALPADS, 2020–21</w:t>
      </w:r>
    </w:p>
    <w:p w14:paraId="23D21100" w14:textId="77777777" w:rsidR="001C19A4" w:rsidRDefault="001C19A4" w:rsidP="005F27A6">
      <w:pPr>
        <w:ind w:left="360"/>
      </w:pPr>
      <w:r>
        <w:t>Table 3c shows the total of all minority students as compared with the total of white students in the proposed Northgate USD schools as compared to the schools that remain part of Mt. Diablo USD after the reorganization.</w:t>
      </w:r>
    </w:p>
    <w:p w14:paraId="4CE2EF50" w14:textId="77777777" w:rsidR="001C19A4" w:rsidRPr="00553703" w:rsidRDefault="001C19A4" w:rsidP="001F0B7E">
      <w:pPr>
        <w:pStyle w:val="Heading4"/>
      </w:pPr>
      <w:bookmarkStart w:id="14" w:name="Table2c"/>
      <w:r w:rsidRPr="00553703">
        <w:t xml:space="preserve">Table </w:t>
      </w:r>
      <w:r>
        <w:t>3c</w:t>
      </w:r>
      <w:r w:rsidRPr="00553703">
        <w:t xml:space="preserve">. </w:t>
      </w:r>
      <w:r>
        <w:t>Minority</w:t>
      </w:r>
      <w:r w:rsidRPr="00553703">
        <w:t xml:space="preserve"> Enrollment </w:t>
      </w:r>
      <w:r>
        <w:t>in the Proposed Districts</w:t>
      </w:r>
    </w:p>
    <w:tbl>
      <w:tblPr>
        <w:tblStyle w:val="ListTable3-Accent5"/>
        <w:tblW w:w="873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and percentage of students in minority and white categories for the proposed Northgate USD and the remaining portion of the Mt. Diablo USD as of 2020-21."/>
      </w:tblPr>
      <w:tblGrid>
        <w:gridCol w:w="4320"/>
        <w:gridCol w:w="2209"/>
        <w:gridCol w:w="2209"/>
      </w:tblGrid>
      <w:tr w:rsidR="001C19A4" w:rsidRPr="00553703" w14:paraId="0A853B5D" w14:textId="77777777" w:rsidTr="00EE194E">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4320" w:type="dxa"/>
            <w:tcBorders>
              <w:bottom w:val="none" w:sz="0" w:space="0" w:color="auto"/>
              <w:right w:val="none" w:sz="0" w:space="0" w:color="auto"/>
            </w:tcBorders>
            <w:shd w:val="clear" w:color="auto" w:fill="B4C6E7" w:themeFill="accent1" w:themeFillTint="66"/>
            <w:noWrap/>
            <w:vAlign w:val="center"/>
            <w:hideMark/>
          </w:tcPr>
          <w:bookmarkEnd w:id="14"/>
          <w:p w14:paraId="3903A063" w14:textId="77777777" w:rsidR="001C19A4" w:rsidRPr="00EE194E" w:rsidRDefault="001C19A4" w:rsidP="00EE194E">
            <w:pPr>
              <w:spacing w:before="120" w:after="120"/>
              <w:jc w:val="center"/>
              <w:rPr>
                <w:bCs w:val="0"/>
                <w:color w:val="000000"/>
              </w:rPr>
            </w:pPr>
            <w:r w:rsidRPr="00EE194E">
              <w:rPr>
                <w:bCs w:val="0"/>
                <w:color w:val="000000"/>
              </w:rPr>
              <w:t>Category</w:t>
            </w:r>
          </w:p>
        </w:tc>
        <w:tc>
          <w:tcPr>
            <w:tcW w:w="2209" w:type="dxa"/>
            <w:shd w:val="clear" w:color="auto" w:fill="B4C6E7" w:themeFill="accent1" w:themeFillTint="66"/>
            <w:vAlign w:val="center"/>
            <w:hideMark/>
          </w:tcPr>
          <w:p w14:paraId="5B2CC503" w14:textId="77777777" w:rsidR="001C19A4" w:rsidRPr="00EE194E" w:rsidRDefault="001C19A4" w:rsidP="00EE194E">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Minority</w:t>
            </w:r>
          </w:p>
        </w:tc>
        <w:tc>
          <w:tcPr>
            <w:tcW w:w="2209" w:type="dxa"/>
            <w:shd w:val="clear" w:color="auto" w:fill="B4C6E7" w:themeFill="accent1" w:themeFillTint="66"/>
            <w:vAlign w:val="center"/>
            <w:hideMark/>
          </w:tcPr>
          <w:p w14:paraId="5F8EF621" w14:textId="77777777" w:rsidR="001C19A4" w:rsidRPr="00EE194E" w:rsidRDefault="001C19A4" w:rsidP="00EE194E">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E194E">
              <w:rPr>
                <w:color w:val="000000"/>
              </w:rPr>
              <w:t>White</w:t>
            </w:r>
          </w:p>
        </w:tc>
      </w:tr>
      <w:tr w:rsidR="001C19A4" w:rsidRPr="00553703" w14:paraId="5E649D1F" w14:textId="77777777" w:rsidTr="00EE194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bottom w:val="none" w:sz="0" w:space="0" w:color="auto"/>
              <w:right w:val="none" w:sz="0" w:space="0" w:color="auto"/>
            </w:tcBorders>
            <w:noWrap/>
            <w:vAlign w:val="center"/>
            <w:hideMark/>
          </w:tcPr>
          <w:p w14:paraId="34431D6D" w14:textId="77777777" w:rsidR="001C19A4" w:rsidRPr="00EE194E" w:rsidRDefault="001C19A4" w:rsidP="00EE194E">
            <w:pPr>
              <w:spacing w:before="120" w:after="120"/>
              <w:rPr>
                <w:b w:val="0"/>
                <w:color w:val="000000"/>
              </w:rPr>
            </w:pPr>
            <w:r w:rsidRPr="00EE194E">
              <w:rPr>
                <w:b w:val="0"/>
                <w:color w:val="000000"/>
              </w:rPr>
              <w:t>Proposed Northgate USD</w:t>
            </w:r>
          </w:p>
        </w:tc>
        <w:tc>
          <w:tcPr>
            <w:tcW w:w="2209" w:type="dxa"/>
            <w:tcBorders>
              <w:top w:val="none" w:sz="0" w:space="0" w:color="auto"/>
              <w:bottom w:val="none" w:sz="0" w:space="0" w:color="auto"/>
            </w:tcBorders>
            <w:noWrap/>
            <w:vAlign w:val="center"/>
            <w:hideMark/>
          </w:tcPr>
          <w:p w14:paraId="0DCCB2BF" w14:textId="77777777" w:rsidR="001C19A4" w:rsidRPr="00553703"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6143A">
              <w:t>1,853 (49.5%)</w:t>
            </w:r>
            <w:r w:rsidRPr="00B37E12">
              <w:t xml:space="preserve"> </w:t>
            </w:r>
          </w:p>
        </w:tc>
        <w:tc>
          <w:tcPr>
            <w:tcW w:w="2209" w:type="dxa"/>
            <w:tcBorders>
              <w:top w:val="none" w:sz="0" w:space="0" w:color="auto"/>
              <w:bottom w:val="none" w:sz="0" w:space="0" w:color="auto"/>
            </w:tcBorders>
            <w:noWrap/>
            <w:vAlign w:val="center"/>
            <w:hideMark/>
          </w:tcPr>
          <w:p w14:paraId="00F1FC31" w14:textId="77777777" w:rsidR="001C19A4" w:rsidRPr="00553703" w:rsidRDefault="001C19A4" w:rsidP="00EE194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r w:rsidRPr="00553703">
              <w:rPr>
                <w:color w:val="000000"/>
              </w:rPr>
              <w:t>8</w:t>
            </w:r>
            <w:r>
              <w:rPr>
                <w:color w:val="000000"/>
              </w:rPr>
              <w:t>93 (50.5%)</w:t>
            </w:r>
            <w:r w:rsidRPr="00553703">
              <w:rPr>
                <w:color w:val="000000"/>
              </w:rPr>
              <w:t xml:space="preserve"> </w:t>
            </w:r>
          </w:p>
        </w:tc>
      </w:tr>
      <w:tr w:rsidR="001C19A4" w:rsidRPr="00553703" w14:paraId="4AC848B7" w14:textId="77777777" w:rsidTr="00EE194E">
        <w:trPr>
          <w:trHeight w:val="302"/>
        </w:trPr>
        <w:tc>
          <w:tcPr>
            <w:cnfStyle w:val="001000000000" w:firstRow="0" w:lastRow="0" w:firstColumn="1" w:lastColumn="0" w:oddVBand="0" w:evenVBand="0" w:oddHBand="0" w:evenHBand="0" w:firstRowFirstColumn="0" w:firstRowLastColumn="0" w:lastRowFirstColumn="0" w:lastRowLastColumn="0"/>
            <w:tcW w:w="4320" w:type="dxa"/>
            <w:tcBorders>
              <w:right w:val="none" w:sz="0" w:space="0" w:color="auto"/>
            </w:tcBorders>
            <w:noWrap/>
            <w:vAlign w:val="center"/>
            <w:hideMark/>
          </w:tcPr>
          <w:p w14:paraId="54EC8661" w14:textId="77777777" w:rsidR="001C19A4" w:rsidRPr="00EE194E" w:rsidRDefault="001C19A4" w:rsidP="00EE194E">
            <w:pPr>
              <w:spacing w:before="120" w:after="120"/>
              <w:rPr>
                <w:b w:val="0"/>
                <w:color w:val="000000"/>
              </w:rPr>
            </w:pPr>
            <w:r w:rsidRPr="00EE194E">
              <w:rPr>
                <w:b w:val="0"/>
                <w:color w:val="000000"/>
              </w:rPr>
              <w:t>Remaining Portion of Mt. Diablo USD</w:t>
            </w:r>
          </w:p>
        </w:tc>
        <w:tc>
          <w:tcPr>
            <w:tcW w:w="2209" w:type="dxa"/>
            <w:noWrap/>
            <w:vAlign w:val="center"/>
            <w:hideMark/>
          </w:tcPr>
          <w:p w14:paraId="10EC0D8F" w14:textId="77777777" w:rsidR="001C19A4" w:rsidRPr="00553703"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56143A">
              <w:rPr>
                <w:color w:val="000000"/>
              </w:rPr>
              <w:t>17,929 (73.</w:t>
            </w:r>
            <w:r>
              <w:rPr>
                <w:color w:val="000000"/>
              </w:rPr>
              <w:t>8</w:t>
            </w:r>
            <w:r w:rsidRPr="0056143A">
              <w:rPr>
                <w:color w:val="000000"/>
              </w:rPr>
              <w:t>%)</w:t>
            </w:r>
          </w:p>
        </w:tc>
        <w:tc>
          <w:tcPr>
            <w:tcW w:w="2209" w:type="dxa"/>
            <w:noWrap/>
            <w:vAlign w:val="center"/>
            <w:hideMark/>
          </w:tcPr>
          <w:p w14:paraId="4AD0E404" w14:textId="77777777" w:rsidR="001C19A4" w:rsidRPr="00553703" w:rsidRDefault="001C19A4" w:rsidP="00EE194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6,356 (26.2%)</w:t>
            </w:r>
          </w:p>
        </w:tc>
      </w:tr>
    </w:tbl>
    <w:p w14:paraId="40E5C1AF" w14:textId="65554B25" w:rsidR="001C19A4" w:rsidRPr="001F0B7E" w:rsidRDefault="001C19A4" w:rsidP="00EE194E">
      <w:pPr>
        <w:spacing w:before="240"/>
        <w:ind w:left="360"/>
      </w:pPr>
      <w:r>
        <w:lastRenderedPageBreak/>
        <w:t xml:space="preserve">The minority student population accounts for roughly half of the enrollment of the Northgate area schools whereas the total enrollment of the remaining schools Mt. </w:t>
      </w:r>
      <w:r w:rsidRPr="001F0B7E">
        <w:t>Diablo USD is nearly three quarters minority students.</w:t>
      </w:r>
    </w:p>
    <w:p w14:paraId="49442BEB" w14:textId="77777777" w:rsidR="001C19A4" w:rsidRPr="001F0B7E" w:rsidRDefault="001C19A4" w:rsidP="005F27A6">
      <w:pPr>
        <w:ind w:left="360"/>
        <w:rPr>
          <w:rStyle w:val="Strong"/>
          <w:b w:val="0"/>
          <w:bCs w:val="0"/>
        </w:rPr>
      </w:pPr>
      <w:r w:rsidRPr="001F0B7E">
        <w:rPr>
          <w:rStyle w:val="Strong"/>
          <w:b w:val="0"/>
        </w:rPr>
        <w:t xml:space="preserve">In 2017, the Mt. Diablo USD contracted with a consultant to prepare a demographic report and analysis of its schools that would be affected by the reorganization, which includes the five schools named in the petition plus Highlands Elementary, Oak Grove Middle, Pine Hollow Middle, and Ygnacio Valley High. </w:t>
      </w:r>
    </w:p>
    <w:p w14:paraId="5755B767" w14:textId="77777777" w:rsidR="001C19A4" w:rsidRPr="001F0B7E" w:rsidRDefault="001C19A4" w:rsidP="005F27A6">
      <w:pPr>
        <w:ind w:left="360"/>
      </w:pPr>
      <w:r w:rsidRPr="001F0B7E">
        <w:rPr>
          <w:rStyle w:val="Strong"/>
          <w:b w:val="0"/>
        </w:rPr>
        <w:t>The demographic report identified 249 students who lived within the proposed Northgate USD territory but who were enrolled in schools in the remaining portion of the Mt. Diablo USD</w:t>
      </w:r>
      <w:r w:rsidRPr="001F0B7E">
        <w:t xml:space="preserve">. The </w:t>
      </w:r>
      <w:r w:rsidRPr="001F0B7E">
        <w:rPr>
          <w:rStyle w:val="Strong"/>
          <w:b w:val="0"/>
        </w:rPr>
        <w:t xml:space="preserve">report further identified 736 students who were enrolled in the five Northgate area schools but who lived outside of the proposed territory for the new school district. For the purpose of this report, these students shall be collectively referred to as “transfer students.” Table 3d contains the transfer student data provided in the demographic report. </w:t>
      </w:r>
    </w:p>
    <w:p w14:paraId="0E69CCE1" w14:textId="77777777" w:rsidR="001C19A4" w:rsidRPr="00553703" w:rsidRDefault="001C19A4" w:rsidP="001F0B7E">
      <w:pPr>
        <w:pStyle w:val="Heading4"/>
      </w:pPr>
      <w:bookmarkStart w:id="15" w:name="Table2e"/>
      <w:r w:rsidRPr="00553703">
        <w:t xml:space="preserve">Table </w:t>
      </w:r>
      <w:r>
        <w:t>3d. Transfer Student Enrollment by Race/Ethnicity, 2016–17</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that resided in the proposed Northgate USD territory and attended schools outside of its territory and the number of students in racial/ethnic categories that attended .Northgate USD schools and who lived outside of its territory as of 2016-17."/>
      </w:tblPr>
      <w:tblGrid>
        <w:gridCol w:w="2700"/>
        <w:gridCol w:w="900"/>
        <w:gridCol w:w="1350"/>
        <w:gridCol w:w="1260"/>
        <w:gridCol w:w="990"/>
        <w:gridCol w:w="900"/>
        <w:gridCol w:w="900"/>
      </w:tblGrid>
      <w:tr w:rsidR="001C19A4" w:rsidRPr="00A26121" w14:paraId="6D74F40D" w14:textId="77777777" w:rsidTr="00A26121">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700" w:type="dxa"/>
            <w:tcBorders>
              <w:bottom w:val="none" w:sz="0" w:space="0" w:color="auto"/>
              <w:right w:val="none" w:sz="0" w:space="0" w:color="auto"/>
            </w:tcBorders>
            <w:shd w:val="clear" w:color="auto" w:fill="B4C6E7" w:themeFill="accent1" w:themeFillTint="66"/>
            <w:noWrap/>
            <w:vAlign w:val="center"/>
            <w:hideMark/>
          </w:tcPr>
          <w:bookmarkEnd w:id="15"/>
          <w:p w14:paraId="0BE57AC8" w14:textId="77777777" w:rsidR="001C19A4" w:rsidRPr="00A26121" w:rsidRDefault="001C19A4" w:rsidP="00A26121">
            <w:pPr>
              <w:spacing w:before="120" w:after="120"/>
              <w:jc w:val="center"/>
              <w:rPr>
                <w:bCs w:val="0"/>
                <w:color w:val="000000"/>
              </w:rPr>
            </w:pPr>
            <w:r w:rsidRPr="00A26121">
              <w:rPr>
                <w:bCs w:val="0"/>
                <w:color w:val="000000"/>
              </w:rPr>
              <w:t>Category</w:t>
            </w:r>
          </w:p>
        </w:tc>
        <w:tc>
          <w:tcPr>
            <w:tcW w:w="900" w:type="dxa"/>
            <w:shd w:val="clear" w:color="auto" w:fill="B4C6E7" w:themeFill="accent1" w:themeFillTint="66"/>
            <w:vAlign w:val="center"/>
          </w:tcPr>
          <w:p w14:paraId="7DA3F01E" w14:textId="77777777" w:rsidR="001C19A4" w:rsidRPr="00A26121" w:rsidRDefault="001C19A4" w:rsidP="00A2612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Asian</w:t>
            </w:r>
          </w:p>
        </w:tc>
        <w:tc>
          <w:tcPr>
            <w:tcW w:w="1350" w:type="dxa"/>
            <w:shd w:val="clear" w:color="auto" w:fill="B4C6E7" w:themeFill="accent1" w:themeFillTint="66"/>
            <w:vAlign w:val="center"/>
            <w:hideMark/>
          </w:tcPr>
          <w:p w14:paraId="153FA836" w14:textId="77777777" w:rsidR="001C19A4" w:rsidRPr="00A26121" w:rsidRDefault="001C19A4" w:rsidP="00A2612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Black or African American</w:t>
            </w:r>
          </w:p>
        </w:tc>
        <w:tc>
          <w:tcPr>
            <w:tcW w:w="1260" w:type="dxa"/>
            <w:shd w:val="clear" w:color="auto" w:fill="B4C6E7" w:themeFill="accent1" w:themeFillTint="66"/>
            <w:vAlign w:val="center"/>
            <w:hideMark/>
          </w:tcPr>
          <w:p w14:paraId="4624D617" w14:textId="77777777" w:rsidR="001C19A4" w:rsidRPr="00A26121" w:rsidRDefault="001C19A4" w:rsidP="00A26121">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Hispanic or Latino</w:t>
            </w:r>
          </w:p>
        </w:tc>
        <w:tc>
          <w:tcPr>
            <w:tcW w:w="990" w:type="dxa"/>
            <w:shd w:val="clear" w:color="auto" w:fill="B4C6E7" w:themeFill="accent1" w:themeFillTint="66"/>
            <w:vAlign w:val="center"/>
            <w:hideMark/>
          </w:tcPr>
          <w:p w14:paraId="0E360C39" w14:textId="77777777" w:rsidR="001C19A4" w:rsidRPr="00A26121" w:rsidRDefault="001C19A4" w:rsidP="00A26121">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Other</w:t>
            </w:r>
          </w:p>
        </w:tc>
        <w:tc>
          <w:tcPr>
            <w:tcW w:w="900" w:type="dxa"/>
            <w:shd w:val="clear" w:color="auto" w:fill="B4C6E7" w:themeFill="accent1" w:themeFillTint="66"/>
            <w:vAlign w:val="center"/>
            <w:hideMark/>
          </w:tcPr>
          <w:p w14:paraId="4A7F8E58" w14:textId="77777777" w:rsidR="001C19A4" w:rsidRPr="00A26121" w:rsidRDefault="001C19A4" w:rsidP="00A26121">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White</w:t>
            </w:r>
          </w:p>
        </w:tc>
        <w:tc>
          <w:tcPr>
            <w:tcW w:w="900" w:type="dxa"/>
            <w:shd w:val="clear" w:color="auto" w:fill="B4C6E7" w:themeFill="accent1" w:themeFillTint="66"/>
            <w:vAlign w:val="center"/>
            <w:hideMark/>
          </w:tcPr>
          <w:p w14:paraId="1A84A32F" w14:textId="77777777" w:rsidR="001C19A4" w:rsidRPr="00A26121" w:rsidRDefault="001C19A4" w:rsidP="00A26121">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Total</w:t>
            </w:r>
          </w:p>
        </w:tc>
      </w:tr>
      <w:tr w:rsidR="001C19A4" w:rsidRPr="00553703" w14:paraId="00F66532" w14:textId="77777777" w:rsidTr="00A261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noWrap/>
            <w:vAlign w:val="center"/>
            <w:hideMark/>
          </w:tcPr>
          <w:p w14:paraId="3AC3767B" w14:textId="77777777" w:rsidR="001C19A4" w:rsidRPr="00A26121" w:rsidRDefault="001C19A4" w:rsidP="00A26121">
            <w:pPr>
              <w:spacing w:before="120" w:after="120"/>
              <w:rPr>
                <w:b w:val="0"/>
                <w:color w:val="000000"/>
              </w:rPr>
            </w:pPr>
            <w:r w:rsidRPr="00A26121">
              <w:rPr>
                <w:b w:val="0"/>
                <w:color w:val="000000"/>
              </w:rPr>
              <w:t>Resides in Northgate USD Territory, Attends Out of District</w:t>
            </w:r>
          </w:p>
        </w:tc>
        <w:tc>
          <w:tcPr>
            <w:tcW w:w="900" w:type="dxa"/>
            <w:tcBorders>
              <w:top w:val="none" w:sz="0" w:space="0" w:color="auto"/>
              <w:bottom w:val="none" w:sz="0" w:space="0" w:color="auto"/>
            </w:tcBorders>
            <w:vAlign w:val="center"/>
          </w:tcPr>
          <w:p w14:paraId="77A52BEA" w14:textId="77777777" w:rsidR="001C19A4" w:rsidRPr="00F06096"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62</w:t>
            </w:r>
          </w:p>
        </w:tc>
        <w:tc>
          <w:tcPr>
            <w:tcW w:w="1350" w:type="dxa"/>
            <w:tcBorders>
              <w:top w:val="none" w:sz="0" w:space="0" w:color="auto"/>
              <w:bottom w:val="none" w:sz="0" w:space="0" w:color="auto"/>
            </w:tcBorders>
            <w:noWrap/>
            <w:vAlign w:val="center"/>
            <w:hideMark/>
          </w:tcPr>
          <w:p w14:paraId="1692AB0B"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F06096">
              <w:rPr>
                <w:color w:val="000000"/>
              </w:rPr>
              <w:t>1</w:t>
            </w:r>
            <w:r>
              <w:rPr>
                <w:color w:val="000000"/>
              </w:rPr>
              <w:t>2</w:t>
            </w:r>
          </w:p>
        </w:tc>
        <w:tc>
          <w:tcPr>
            <w:tcW w:w="1260" w:type="dxa"/>
            <w:tcBorders>
              <w:top w:val="none" w:sz="0" w:space="0" w:color="auto"/>
              <w:bottom w:val="none" w:sz="0" w:space="0" w:color="auto"/>
            </w:tcBorders>
            <w:noWrap/>
            <w:vAlign w:val="center"/>
            <w:hideMark/>
          </w:tcPr>
          <w:p w14:paraId="13B8825E"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41</w:t>
            </w:r>
          </w:p>
        </w:tc>
        <w:tc>
          <w:tcPr>
            <w:tcW w:w="990" w:type="dxa"/>
            <w:tcBorders>
              <w:top w:val="none" w:sz="0" w:space="0" w:color="auto"/>
              <w:bottom w:val="none" w:sz="0" w:space="0" w:color="auto"/>
            </w:tcBorders>
            <w:noWrap/>
            <w:vAlign w:val="center"/>
            <w:hideMark/>
          </w:tcPr>
          <w:p w14:paraId="286DFA8F"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900" w:type="dxa"/>
            <w:tcBorders>
              <w:top w:val="none" w:sz="0" w:space="0" w:color="auto"/>
              <w:bottom w:val="none" w:sz="0" w:space="0" w:color="auto"/>
            </w:tcBorders>
            <w:noWrap/>
            <w:vAlign w:val="center"/>
            <w:hideMark/>
          </w:tcPr>
          <w:p w14:paraId="1E321273"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132</w:t>
            </w:r>
          </w:p>
        </w:tc>
        <w:tc>
          <w:tcPr>
            <w:tcW w:w="900" w:type="dxa"/>
            <w:tcBorders>
              <w:top w:val="none" w:sz="0" w:space="0" w:color="auto"/>
              <w:bottom w:val="none" w:sz="0" w:space="0" w:color="auto"/>
            </w:tcBorders>
            <w:noWrap/>
            <w:vAlign w:val="center"/>
            <w:hideMark/>
          </w:tcPr>
          <w:p w14:paraId="01FA78BC"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3700A">
              <w:rPr>
                <w:color w:val="000000"/>
              </w:rPr>
              <w:t>249</w:t>
            </w:r>
          </w:p>
        </w:tc>
      </w:tr>
      <w:tr w:rsidR="001C19A4" w:rsidRPr="00553703" w14:paraId="27A200C0" w14:textId="77777777" w:rsidTr="00A26121">
        <w:trPr>
          <w:trHeight w:val="232"/>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noWrap/>
            <w:vAlign w:val="center"/>
            <w:hideMark/>
          </w:tcPr>
          <w:p w14:paraId="0794D8AE" w14:textId="77777777" w:rsidR="001C19A4" w:rsidRPr="00A26121" w:rsidRDefault="001C19A4" w:rsidP="00A26121">
            <w:pPr>
              <w:spacing w:before="120" w:after="120"/>
              <w:rPr>
                <w:b w:val="0"/>
                <w:color w:val="000000"/>
              </w:rPr>
            </w:pPr>
            <w:r w:rsidRPr="00A26121">
              <w:rPr>
                <w:b w:val="0"/>
                <w:color w:val="000000"/>
              </w:rPr>
              <w:t>Attends Northgate USD Schools, Resides Outside of District</w:t>
            </w:r>
          </w:p>
        </w:tc>
        <w:tc>
          <w:tcPr>
            <w:tcW w:w="900" w:type="dxa"/>
            <w:vAlign w:val="center"/>
          </w:tcPr>
          <w:p w14:paraId="74494772" w14:textId="77777777" w:rsidR="001C19A4" w:rsidRPr="00F06096"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175</w:t>
            </w:r>
          </w:p>
        </w:tc>
        <w:tc>
          <w:tcPr>
            <w:tcW w:w="1350" w:type="dxa"/>
            <w:noWrap/>
            <w:vAlign w:val="center"/>
            <w:hideMark/>
          </w:tcPr>
          <w:p w14:paraId="3A46CEFD"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F06096">
              <w:rPr>
                <w:color w:val="000000"/>
              </w:rPr>
              <w:t>40</w:t>
            </w:r>
          </w:p>
        </w:tc>
        <w:tc>
          <w:tcPr>
            <w:tcW w:w="1260" w:type="dxa"/>
            <w:noWrap/>
            <w:vAlign w:val="center"/>
            <w:hideMark/>
          </w:tcPr>
          <w:p w14:paraId="497FA596"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139</w:t>
            </w:r>
          </w:p>
        </w:tc>
        <w:tc>
          <w:tcPr>
            <w:tcW w:w="990" w:type="dxa"/>
            <w:noWrap/>
            <w:vAlign w:val="center"/>
            <w:hideMark/>
          </w:tcPr>
          <w:p w14:paraId="410057FD"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17</w:t>
            </w:r>
          </w:p>
        </w:tc>
        <w:tc>
          <w:tcPr>
            <w:tcW w:w="900" w:type="dxa"/>
            <w:noWrap/>
            <w:vAlign w:val="center"/>
            <w:hideMark/>
          </w:tcPr>
          <w:p w14:paraId="453C5F59"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365</w:t>
            </w:r>
          </w:p>
        </w:tc>
        <w:tc>
          <w:tcPr>
            <w:tcW w:w="900" w:type="dxa"/>
            <w:noWrap/>
            <w:vAlign w:val="center"/>
            <w:hideMark/>
          </w:tcPr>
          <w:p w14:paraId="3822BC63"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736</w:t>
            </w:r>
          </w:p>
        </w:tc>
      </w:tr>
      <w:tr w:rsidR="001C19A4" w:rsidRPr="00553703" w14:paraId="4BF12FA3" w14:textId="77777777" w:rsidTr="00A261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noWrap/>
            <w:vAlign w:val="center"/>
          </w:tcPr>
          <w:p w14:paraId="0D0396FA" w14:textId="77777777" w:rsidR="001C19A4" w:rsidRPr="00A26121" w:rsidRDefault="001C19A4" w:rsidP="00A26121">
            <w:pPr>
              <w:spacing w:before="120" w:after="120"/>
              <w:rPr>
                <w:color w:val="000000"/>
              </w:rPr>
            </w:pPr>
            <w:r w:rsidRPr="00A26121">
              <w:rPr>
                <w:color w:val="000000"/>
              </w:rPr>
              <w:t>Net Total to Northgate USD Schools</w:t>
            </w:r>
          </w:p>
        </w:tc>
        <w:tc>
          <w:tcPr>
            <w:tcW w:w="900" w:type="dxa"/>
            <w:tcBorders>
              <w:top w:val="none" w:sz="0" w:space="0" w:color="auto"/>
              <w:bottom w:val="none" w:sz="0" w:space="0" w:color="auto"/>
            </w:tcBorders>
            <w:vAlign w:val="center"/>
          </w:tcPr>
          <w:p w14:paraId="5DC3A466"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- 113</w:t>
            </w:r>
          </w:p>
        </w:tc>
        <w:tc>
          <w:tcPr>
            <w:tcW w:w="1350" w:type="dxa"/>
            <w:tcBorders>
              <w:top w:val="none" w:sz="0" w:space="0" w:color="auto"/>
              <w:bottom w:val="none" w:sz="0" w:space="0" w:color="auto"/>
            </w:tcBorders>
            <w:noWrap/>
            <w:vAlign w:val="center"/>
          </w:tcPr>
          <w:p w14:paraId="3586C402"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- 28</w:t>
            </w:r>
          </w:p>
        </w:tc>
        <w:tc>
          <w:tcPr>
            <w:tcW w:w="1260" w:type="dxa"/>
            <w:tcBorders>
              <w:top w:val="none" w:sz="0" w:space="0" w:color="auto"/>
              <w:bottom w:val="none" w:sz="0" w:space="0" w:color="auto"/>
            </w:tcBorders>
            <w:noWrap/>
            <w:vAlign w:val="center"/>
          </w:tcPr>
          <w:p w14:paraId="0E1A4A3C"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- 98</w:t>
            </w:r>
          </w:p>
        </w:tc>
        <w:tc>
          <w:tcPr>
            <w:tcW w:w="990" w:type="dxa"/>
            <w:tcBorders>
              <w:top w:val="none" w:sz="0" w:space="0" w:color="auto"/>
              <w:bottom w:val="none" w:sz="0" w:space="0" w:color="auto"/>
            </w:tcBorders>
            <w:noWrap/>
            <w:vAlign w:val="center"/>
          </w:tcPr>
          <w:p w14:paraId="219E9A8B"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- 15</w:t>
            </w:r>
          </w:p>
        </w:tc>
        <w:tc>
          <w:tcPr>
            <w:tcW w:w="900" w:type="dxa"/>
            <w:tcBorders>
              <w:top w:val="none" w:sz="0" w:space="0" w:color="auto"/>
              <w:bottom w:val="none" w:sz="0" w:space="0" w:color="auto"/>
            </w:tcBorders>
            <w:noWrap/>
            <w:vAlign w:val="center"/>
          </w:tcPr>
          <w:p w14:paraId="5C9B898E" w14:textId="2F49C9CE"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w:t>
            </w:r>
            <w:r w:rsidR="00D371A1">
              <w:rPr>
                <w:b/>
                <w:color w:val="000000"/>
              </w:rPr>
              <w:t xml:space="preserve"> </w:t>
            </w:r>
            <w:r w:rsidRPr="00EE18F7">
              <w:rPr>
                <w:b/>
                <w:color w:val="000000"/>
              </w:rPr>
              <w:t>233</w:t>
            </w:r>
          </w:p>
        </w:tc>
        <w:tc>
          <w:tcPr>
            <w:tcW w:w="900" w:type="dxa"/>
            <w:tcBorders>
              <w:top w:val="none" w:sz="0" w:space="0" w:color="auto"/>
              <w:bottom w:val="none" w:sz="0" w:space="0" w:color="auto"/>
            </w:tcBorders>
            <w:noWrap/>
            <w:vAlign w:val="center"/>
          </w:tcPr>
          <w:p w14:paraId="55F8FC3A"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- 487</w:t>
            </w:r>
          </w:p>
        </w:tc>
      </w:tr>
    </w:tbl>
    <w:p w14:paraId="7EBD4FA3" w14:textId="77777777" w:rsidR="001C19A4" w:rsidRPr="00BB7C54" w:rsidRDefault="001C19A4" w:rsidP="005F27A6">
      <w:pPr>
        <w:pStyle w:val="TableSource"/>
      </w:pPr>
      <w:r w:rsidRPr="00BB7C54">
        <w:rPr>
          <w:rStyle w:val="Strong"/>
        </w:rPr>
        <w:t>Source data: Mt. Diablo Unified School District Demographics Analysis of Potential Northgate Territory Transfer and Unification, August 2017</w:t>
      </w:r>
    </w:p>
    <w:p w14:paraId="3002D690" w14:textId="77777777" w:rsidR="00D13566" w:rsidRDefault="00D13566">
      <w:pPr>
        <w:spacing w:after="160"/>
      </w:pPr>
      <w:r>
        <w:br w:type="page"/>
      </w:r>
    </w:p>
    <w:p w14:paraId="3FA50EBC" w14:textId="6277FBC6" w:rsidR="001C19A4" w:rsidRPr="001F0B7E" w:rsidRDefault="001C19A4" w:rsidP="005F27A6">
      <w:pPr>
        <w:ind w:left="360"/>
      </w:pPr>
      <w:r>
        <w:lastRenderedPageBreak/>
        <w:t xml:space="preserve">There were only 26 students attending Northgate area schools from other school districts (inter-district transfer students). It is not a statistically significant number of students, so for the purpose of this analysis it is it is assumed that all students attending Northgate USD schools but who reside outside the Northgate USD </w:t>
      </w:r>
      <w:r w:rsidRPr="001F0B7E">
        <w:t xml:space="preserve">territory would transfer to schools in the remaining portion of the Mt. Diablo USD. </w:t>
      </w:r>
    </w:p>
    <w:p w14:paraId="3A331924" w14:textId="77777777" w:rsidR="001C19A4" w:rsidRPr="001F0B7E" w:rsidRDefault="001C19A4" w:rsidP="005F27A6">
      <w:pPr>
        <w:ind w:left="360"/>
        <w:rPr>
          <w:rStyle w:val="Strong"/>
          <w:b w:val="0"/>
        </w:rPr>
      </w:pPr>
      <w:r w:rsidRPr="001F0B7E">
        <w:t xml:space="preserve">Using a proportionality formula based on the data in the 2017 demographic report, the CDE estimated that </w:t>
      </w:r>
      <w:r w:rsidRPr="001F0B7E">
        <w:rPr>
          <w:rStyle w:val="Strong"/>
          <w:b w:val="0"/>
        </w:rPr>
        <w:t xml:space="preserve">216 students who lived within the proposed Northgate USD territory attended schools in the remaining portion of the </w:t>
      </w:r>
      <w:r w:rsidRPr="001F0B7E">
        <w:t>Mt. Diablo USD. There were also 693 students enrolled in</w:t>
      </w:r>
      <w:r w:rsidRPr="001F0B7E">
        <w:rPr>
          <w:rStyle w:val="Strong"/>
          <w:b w:val="0"/>
        </w:rPr>
        <w:t xml:space="preserve"> the five Northgate area schools in 2020–21 but who lived outside of the boundary of the territory for the proposed new school district.</w:t>
      </w:r>
    </w:p>
    <w:p w14:paraId="5558418F" w14:textId="77777777" w:rsidR="001C19A4" w:rsidRPr="00553703" w:rsidRDefault="001C19A4" w:rsidP="001F0B7E">
      <w:pPr>
        <w:pStyle w:val="Heading4"/>
      </w:pPr>
      <w:bookmarkStart w:id="16" w:name="Table2f"/>
      <w:r w:rsidRPr="00553703">
        <w:t xml:space="preserve">Table </w:t>
      </w:r>
      <w:r>
        <w:t>3e. Estimated Transfer Student Enrollment by Race/Ethnicity, 2020–21</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that resided in the proposed Northgate USD territory and attended schools outside of its territory and the number of students in racial/ethnic categories that attended .Northgate USD schools and who lived outside of its territory as of 2016-17."/>
      </w:tblPr>
      <w:tblGrid>
        <w:gridCol w:w="2700"/>
        <w:gridCol w:w="900"/>
        <w:gridCol w:w="1350"/>
        <w:gridCol w:w="1260"/>
        <w:gridCol w:w="990"/>
        <w:gridCol w:w="900"/>
        <w:gridCol w:w="900"/>
      </w:tblGrid>
      <w:tr w:rsidR="001C19A4" w:rsidRPr="00A26121" w14:paraId="607750A3" w14:textId="77777777" w:rsidTr="00A26121">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700" w:type="dxa"/>
            <w:tcBorders>
              <w:bottom w:val="none" w:sz="0" w:space="0" w:color="auto"/>
              <w:right w:val="none" w:sz="0" w:space="0" w:color="auto"/>
            </w:tcBorders>
            <w:shd w:val="clear" w:color="auto" w:fill="B4C6E7" w:themeFill="accent1" w:themeFillTint="66"/>
            <w:noWrap/>
            <w:vAlign w:val="center"/>
            <w:hideMark/>
          </w:tcPr>
          <w:p w14:paraId="35D7EFBB" w14:textId="77777777" w:rsidR="001C19A4" w:rsidRPr="00A26121" w:rsidRDefault="001C19A4" w:rsidP="00A26121">
            <w:pPr>
              <w:spacing w:before="120" w:after="120"/>
              <w:jc w:val="center"/>
              <w:rPr>
                <w:bCs w:val="0"/>
                <w:color w:val="000000"/>
              </w:rPr>
            </w:pPr>
            <w:r w:rsidRPr="00A26121">
              <w:rPr>
                <w:bCs w:val="0"/>
                <w:color w:val="000000"/>
              </w:rPr>
              <w:t>Category</w:t>
            </w:r>
          </w:p>
        </w:tc>
        <w:tc>
          <w:tcPr>
            <w:tcW w:w="900" w:type="dxa"/>
            <w:shd w:val="clear" w:color="auto" w:fill="B4C6E7" w:themeFill="accent1" w:themeFillTint="66"/>
            <w:vAlign w:val="center"/>
          </w:tcPr>
          <w:p w14:paraId="3814982D" w14:textId="77777777" w:rsidR="001C19A4" w:rsidRPr="00A26121" w:rsidRDefault="001C19A4" w:rsidP="00A2612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Asian</w:t>
            </w:r>
          </w:p>
        </w:tc>
        <w:tc>
          <w:tcPr>
            <w:tcW w:w="1350" w:type="dxa"/>
            <w:shd w:val="clear" w:color="auto" w:fill="B4C6E7" w:themeFill="accent1" w:themeFillTint="66"/>
            <w:vAlign w:val="center"/>
            <w:hideMark/>
          </w:tcPr>
          <w:p w14:paraId="091EB584" w14:textId="77777777" w:rsidR="001C19A4" w:rsidRPr="00A26121" w:rsidRDefault="001C19A4" w:rsidP="00A2612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Black or African American</w:t>
            </w:r>
          </w:p>
        </w:tc>
        <w:tc>
          <w:tcPr>
            <w:tcW w:w="1260" w:type="dxa"/>
            <w:shd w:val="clear" w:color="auto" w:fill="B4C6E7" w:themeFill="accent1" w:themeFillTint="66"/>
            <w:vAlign w:val="center"/>
            <w:hideMark/>
          </w:tcPr>
          <w:p w14:paraId="7A264125" w14:textId="77777777" w:rsidR="001C19A4" w:rsidRPr="00A26121" w:rsidRDefault="001C19A4" w:rsidP="00A26121">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Hispanic or Latino</w:t>
            </w:r>
          </w:p>
        </w:tc>
        <w:tc>
          <w:tcPr>
            <w:tcW w:w="990" w:type="dxa"/>
            <w:shd w:val="clear" w:color="auto" w:fill="B4C6E7" w:themeFill="accent1" w:themeFillTint="66"/>
            <w:vAlign w:val="center"/>
            <w:hideMark/>
          </w:tcPr>
          <w:p w14:paraId="289E317D" w14:textId="77777777" w:rsidR="001C19A4" w:rsidRPr="00A26121" w:rsidRDefault="001C19A4" w:rsidP="00A26121">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Other</w:t>
            </w:r>
          </w:p>
        </w:tc>
        <w:tc>
          <w:tcPr>
            <w:tcW w:w="900" w:type="dxa"/>
            <w:shd w:val="clear" w:color="auto" w:fill="B4C6E7" w:themeFill="accent1" w:themeFillTint="66"/>
            <w:vAlign w:val="center"/>
            <w:hideMark/>
          </w:tcPr>
          <w:p w14:paraId="57DD446D" w14:textId="77777777" w:rsidR="001C19A4" w:rsidRPr="00A26121" w:rsidRDefault="001C19A4" w:rsidP="00A26121">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White</w:t>
            </w:r>
          </w:p>
        </w:tc>
        <w:tc>
          <w:tcPr>
            <w:tcW w:w="900" w:type="dxa"/>
            <w:shd w:val="clear" w:color="auto" w:fill="B4C6E7" w:themeFill="accent1" w:themeFillTint="66"/>
            <w:vAlign w:val="center"/>
            <w:hideMark/>
          </w:tcPr>
          <w:p w14:paraId="5E96F664" w14:textId="77777777" w:rsidR="001C19A4" w:rsidRPr="00A26121" w:rsidRDefault="001C19A4" w:rsidP="00A26121">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A26121">
              <w:rPr>
                <w:color w:val="000000"/>
              </w:rPr>
              <w:t>Total</w:t>
            </w:r>
          </w:p>
        </w:tc>
      </w:tr>
      <w:bookmarkEnd w:id="16"/>
      <w:tr w:rsidR="001C19A4" w:rsidRPr="00553703" w14:paraId="2EDEF6A5" w14:textId="77777777" w:rsidTr="00A261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noWrap/>
            <w:vAlign w:val="center"/>
            <w:hideMark/>
          </w:tcPr>
          <w:p w14:paraId="5C5D7626" w14:textId="77777777" w:rsidR="001C19A4" w:rsidRPr="00A26121" w:rsidRDefault="001C19A4" w:rsidP="00A26121">
            <w:pPr>
              <w:spacing w:before="120" w:after="120"/>
              <w:rPr>
                <w:b w:val="0"/>
                <w:color w:val="000000"/>
              </w:rPr>
            </w:pPr>
            <w:r w:rsidRPr="00A26121">
              <w:rPr>
                <w:b w:val="0"/>
              </w:rPr>
              <w:t>Resides in Northgate USD Territory, Attends Out of District</w:t>
            </w:r>
          </w:p>
        </w:tc>
        <w:tc>
          <w:tcPr>
            <w:tcW w:w="900" w:type="dxa"/>
            <w:tcBorders>
              <w:top w:val="none" w:sz="0" w:space="0" w:color="auto"/>
              <w:bottom w:val="none" w:sz="0" w:space="0" w:color="auto"/>
            </w:tcBorders>
            <w:vAlign w:val="center"/>
          </w:tcPr>
          <w:p w14:paraId="088A7017" w14:textId="77777777" w:rsidR="001C19A4" w:rsidRPr="00FC7EE8"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pPr>
            <w:r w:rsidRPr="00332CEE">
              <w:t>51</w:t>
            </w:r>
          </w:p>
        </w:tc>
        <w:tc>
          <w:tcPr>
            <w:tcW w:w="1350" w:type="dxa"/>
            <w:tcBorders>
              <w:top w:val="none" w:sz="0" w:space="0" w:color="auto"/>
              <w:bottom w:val="none" w:sz="0" w:space="0" w:color="auto"/>
            </w:tcBorders>
            <w:noWrap/>
            <w:vAlign w:val="center"/>
            <w:hideMark/>
          </w:tcPr>
          <w:p w14:paraId="41FAE57E"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FC7EE8">
              <w:t>15</w:t>
            </w:r>
          </w:p>
        </w:tc>
        <w:tc>
          <w:tcPr>
            <w:tcW w:w="1260" w:type="dxa"/>
            <w:tcBorders>
              <w:top w:val="none" w:sz="0" w:space="0" w:color="auto"/>
              <w:bottom w:val="none" w:sz="0" w:space="0" w:color="auto"/>
            </w:tcBorders>
            <w:noWrap/>
            <w:vAlign w:val="center"/>
            <w:hideMark/>
          </w:tcPr>
          <w:p w14:paraId="5142E305"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887EC5">
              <w:t>34</w:t>
            </w:r>
          </w:p>
        </w:tc>
        <w:tc>
          <w:tcPr>
            <w:tcW w:w="990" w:type="dxa"/>
            <w:tcBorders>
              <w:top w:val="none" w:sz="0" w:space="0" w:color="auto"/>
              <w:bottom w:val="none" w:sz="0" w:space="0" w:color="auto"/>
            </w:tcBorders>
            <w:noWrap/>
            <w:vAlign w:val="center"/>
            <w:hideMark/>
          </w:tcPr>
          <w:p w14:paraId="0E0C2544"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900" w:type="dxa"/>
            <w:tcBorders>
              <w:top w:val="none" w:sz="0" w:space="0" w:color="auto"/>
              <w:bottom w:val="none" w:sz="0" w:space="0" w:color="auto"/>
            </w:tcBorders>
            <w:noWrap/>
            <w:vAlign w:val="center"/>
            <w:hideMark/>
          </w:tcPr>
          <w:p w14:paraId="02FE4B24"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64D55">
              <w:t>109</w:t>
            </w:r>
          </w:p>
        </w:tc>
        <w:tc>
          <w:tcPr>
            <w:tcW w:w="900" w:type="dxa"/>
            <w:tcBorders>
              <w:top w:val="none" w:sz="0" w:space="0" w:color="auto"/>
              <w:bottom w:val="none" w:sz="0" w:space="0" w:color="auto"/>
            </w:tcBorders>
            <w:noWrap/>
            <w:vAlign w:val="center"/>
            <w:hideMark/>
          </w:tcPr>
          <w:p w14:paraId="709568B6" w14:textId="77777777" w:rsidR="001C19A4" w:rsidRPr="00553703"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216</w:t>
            </w:r>
          </w:p>
        </w:tc>
      </w:tr>
      <w:tr w:rsidR="001C19A4" w:rsidRPr="00553703" w14:paraId="7CAB84A4" w14:textId="77777777" w:rsidTr="00A26121">
        <w:trPr>
          <w:trHeight w:val="232"/>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noWrap/>
            <w:vAlign w:val="center"/>
            <w:hideMark/>
          </w:tcPr>
          <w:p w14:paraId="3AA8F155" w14:textId="77777777" w:rsidR="001C19A4" w:rsidRPr="00A26121" w:rsidRDefault="001C19A4" w:rsidP="00A26121">
            <w:pPr>
              <w:spacing w:before="120" w:after="120"/>
              <w:rPr>
                <w:b w:val="0"/>
                <w:color w:val="000000"/>
              </w:rPr>
            </w:pPr>
            <w:r w:rsidRPr="00A26121">
              <w:rPr>
                <w:b w:val="0"/>
              </w:rPr>
              <w:t>Attends Northgate USD Schools, Resides Outside of District</w:t>
            </w:r>
          </w:p>
        </w:tc>
        <w:tc>
          <w:tcPr>
            <w:tcW w:w="900" w:type="dxa"/>
            <w:vAlign w:val="center"/>
          </w:tcPr>
          <w:p w14:paraId="7E3F181A" w14:textId="77777777" w:rsidR="001C19A4" w:rsidRPr="00FC7EE8"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pPr>
            <w:r w:rsidRPr="00332CEE">
              <w:t>165</w:t>
            </w:r>
          </w:p>
        </w:tc>
        <w:tc>
          <w:tcPr>
            <w:tcW w:w="1350" w:type="dxa"/>
            <w:noWrap/>
            <w:vAlign w:val="center"/>
            <w:hideMark/>
          </w:tcPr>
          <w:p w14:paraId="558C8F8F"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FC7EE8">
              <w:t>38</w:t>
            </w:r>
          </w:p>
        </w:tc>
        <w:tc>
          <w:tcPr>
            <w:tcW w:w="1260" w:type="dxa"/>
            <w:noWrap/>
            <w:vAlign w:val="center"/>
            <w:hideMark/>
          </w:tcPr>
          <w:p w14:paraId="0C6C535E"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887EC5">
              <w:t>132</w:t>
            </w:r>
          </w:p>
        </w:tc>
        <w:tc>
          <w:tcPr>
            <w:tcW w:w="990" w:type="dxa"/>
            <w:noWrap/>
            <w:vAlign w:val="center"/>
            <w:hideMark/>
          </w:tcPr>
          <w:p w14:paraId="32C6FEA3"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16</w:t>
            </w:r>
          </w:p>
        </w:tc>
        <w:tc>
          <w:tcPr>
            <w:tcW w:w="900" w:type="dxa"/>
            <w:noWrap/>
            <w:vAlign w:val="center"/>
            <w:hideMark/>
          </w:tcPr>
          <w:p w14:paraId="1723839E"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64D55">
              <w:t>342</w:t>
            </w:r>
          </w:p>
        </w:tc>
        <w:tc>
          <w:tcPr>
            <w:tcW w:w="900" w:type="dxa"/>
            <w:noWrap/>
            <w:vAlign w:val="center"/>
            <w:hideMark/>
          </w:tcPr>
          <w:p w14:paraId="487CF40D" w14:textId="77777777" w:rsidR="001C19A4" w:rsidRPr="00553703" w:rsidRDefault="001C19A4" w:rsidP="00A2612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693</w:t>
            </w:r>
          </w:p>
        </w:tc>
      </w:tr>
      <w:tr w:rsidR="001C19A4" w:rsidRPr="00553703" w14:paraId="0650211E" w14:textId="77777777" w:rsidTr="00A2612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noWrap/>
            <w:vAlign w:val="center"/>
          </w:tcPr>
          <w:p w14:paraId="5B0C7353" w14:textId="77777777" w:rsidR="001C19A4" w:rsidRPr="00A26121" w:rsidRDefault="001C19A4" w:rsidP="00A26121">
            <w:pPr>
              <w:spacing w:before="120" w:after="120"/>
              <w:rPr>
                <w:color w:val="000000"/>
              </w:rPr>
            </w:pPr>
            <w:r w:rsidRPr="00A26121">
              <w:rPr>
                <w:color w:val="000000"/>
              </w:rPr>
              <w:t>Net Total to Northgate USD Schools</w:t>
            </w:r>
          </w:p>
        </w:tc>
        <w:tc>
          <w:tcPr>
            <w:tcW w:w="900" w:type="dxa"/>
            <w:tcBorders>
              <w:top w:val="none" w:sz="0" w:space="0" w:color="auto"/>
              <w:bottom w:val="none" w:sz="0" w:space="0" w:color="auto"/>
            </w:tcBorders>
            <w:vAlign w:val="center"/>
          </w:tcPr>
          <w:p w14:paraId="07B118CA"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- 114</w:t>
            </w:r>
          </w:p>
        </w:tc>
        <w:tc>
          <w:tcPr>
            <w:tcW w:w="1350" w:type="dxa"/>
            <w:tcBorders>
              <w:top w:val="none" w:sz="0" w:space="0" w:color="auto"/>
              <w:bottom w:val="none" w:sz="0" w:space="0" w:color="auto"/>
            </w:tcBorders>
            <w:noWrap/>
            <w:vAlign w:val="center"/>
          </w:tcPr>
          <w:p w14:paraId="3010A47F"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- 23</w:t>
            </w:r>
          </w:p>
        </w:tc>
        <w:tc>
          <w:tcPr>
            <w:tcW w:w="1260" w:type="dxa"/>
            <w:tcBorders>
              <w:top w:val="none" w:sz="0" w:space="0" w:color="auto"/>
              <w:bottom w:val="none" w:sz="0" w:space="0" w:color="auto"/>
            </w:tcBorders>
            <w:noWrap/>
            <w:vAlign w:val="center"/>
          </w:tcPr>
          <w:p w14:paraId="09836EF0"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- 98</w:t>
            </w:r>
          </w:p>
        </w:tc>
        <w:tc>
          <w:tcPr>
            <w:tcW w:w="990" w:type="dxa"/>
            <w:tcBorders>
              <w:top w:val="none" w:sz="0" w:space="0" w:color="auto"/>
              <w:bottom w:val="none" w:sz="0" w:space="0" w:color="auto"/>
            </w:tcBorders>
            <w:noWrap/>
            <w:vAlign w:val="center"/>
          </w:tcPr>
          <w:p w14:paraId="124395A7"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- 9</w:t>
            </w:r>
          </w:p>
        </w:tc>
        <w:tc>
          <w:tcPr>
            <w:tcW w:w="900" w:type="dxa"/>
            <w:tcBorders>
              <w:top w:val="none" w:sz="0" w:space="0" w:color="auto"/>
              <w:bottom w:val="none" w:sz="0" w:space="0" w:color="auto"/>
            </w:tcBorders>
            <w:noWrap/>
            <w:vAlign w:val="center"/>
          </w:tcPr>
          <w:p w14:paraId="45D0DE71"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- 233</w:t>
            </w:r>
          </w:p>
        </w:tc>
        <w:tc>
          <w:tcPr>
            <w:tcW w:w="900" w:type="dxa"/>
            <w:tcBorders>
              <w:top w:val="none" w:sz="0" w:space="0" w:color="auto"/>
              <w:bottom w:val="none" w:sz="0" w:space="0" w:color="auto"/>
            </w:tcBorders>
            <w:noWrap/>
            <w:vAlign w:val="center"/>
          </w:tcPr>
          <w:p w14:paraId="78F2666B" w14:textId="77777777" w:rsidR="001C19A4" w:rsidRPr="00EE18F7" w:rsidRDefault="001C19A4" w:rsidP="00A26121">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color w:val="000000"/>
              </w:rPr>
              <w:t>- 477</w:t>
            </w:r>
          </w:p>
        </w:tc>
      </w:tr>
    </w:tbl>
    <w:p w14:paraId="4B133452" w14:textId="77777777" w:rsidR="001C19A4" w:rsidRPr="00BB7C54" w:rsidRDefault="001C19A4" w:rsidP="005F27A6">
      <w:pPr>
        <w:pStyle w:val="TableSource"/>
        <w:rPr>
          <w:rStyle w:val="Strong"/>
          <w:b w:val="0"/>
          <w:bCs w:val="0"/>
        </w:rPr>
      </w:pPr>
      <w:r w:rsidRPr="00BB7C54">
        <w:rPr>
          <w:rStyle w:val="Strong"/>
        </w:rPr>
        <w:t>Source data: CALPADS, 2020–21; Mt. Diablo Unified School District Demographics Analysis of Potential Northgate Territory Transfer and Unification, August 2017</w:t>
      </w:r>
    </w:p>
    <w:p w14:paraId="3ACAFF03" w14:textId="344BFCDD" w:rsidR="001C19A4" w:rsidRPr="00E354A6" w:rsidRDefault="001C19A4" w:rsidP="00243332">
      <w:pPr>
        <w:ind w:left="360"/>
        <w:rPr>
          <w:rStyle w:val="Strong"/>
          <w:b w:val="0"/>
          <w:bCs w:val="0"/>
        </w:rPr>
      </w:pPr>
      <w:bookmarkStart w:id="17" w:name="Table2g"/>
      <w:r>
        <w:t xml:space="preserve">As shown in </w:t>
      </w:r>
      <w:r w:rsidR="002F7493">
        <w:t>T</w:t>
      </w:r>
      <w:r>
        <w:t xml:space="preserve">able 3e, the net transfer from Northgate USD to remaining Mt. Diablo USD schools would be approximately 244 minority students and 233 white students and would change the balance of minority and white students within both school districts by no more than 0.5 percent. See </w:t>
      </w:r>
      <w:r w:rsidR="002F7493">
        <w:t>T</w:t>
      </w:r>
      <w:r>
        <w:t>able 3f.</w:t>
      </w:r>
    </w:p>
    <w:p w14:paraId="7BC052F4" w14:textId="77777777" w:rsidR="00D13566" w:rsidRDefault="00D13566">
      <w:pPr>
        <w:spacing w:after="160"/>
        <w:rPr>
          <w:rFonts w:eastAsia="Times New Roman" w:cs="Arial"/>
          <w:b/>
          <w:i/>
          <w:szCs w:val="20"/>
        </w:rPr>
      </w:pPr>
      <w:r>
        <w:br w:type="page"/>
      </w:r>
    </w:p>
    <w:p w14:paraId="18A5EC09" w14:textId="28AFCFB6" w:rsidR="001C19A4" w:rsidRPr="00553703" w:rsidRDefault="001C19A4" w:rsidP="001F0B7E">
      <w:pPr>
        <w:pStyle w:val="Heading4"/>
      </w:pPr>
      <w:r w:rsidRPr="00553703">
        <w:lastRenderedPageBreak/>
        <w:t xml:space="preserve">Table </w:t>
      </w:r>
      <w:r>
        <w:t>3f. Minority Enrollment by Area</w:t>
      </w:r>
    </w:p>
    <w:tbl>
      <w:tblPr>
        <w:tblStyle w:val="ListTable3-Accent5"/>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estimated number and percentage of students in minority and white categories, adjusted for transfer students in the preceding table, for the proposed Northgate USD and the remaining portion of the Mt. Diablo USD as of 2020-21."/>
      </w:tblPr>
      <w:tblGrid>
        <w:gridCol w:w="4320"/>
        <w:gridCol w:w="2209"/>
        <w:gridCol w:w="2561"/>
      </w:tblGrid>
      <w:tr w:rsidR="001C19A4" w:rsidRPr="00AF27C6" w14:paraId="6F6A32D0" w14:textId="77777777" w:rsidTr="00AF27C6">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4320" w:type="dxa"/>
            <w:tcBorders>
              <w:bottom w:val="none" w:sz="0" w:space="0" w:color="auto"/>
              <w:right w:val="none" w:sz="0" w:space="0" w:color="auto"/>
            </w:tcBorders>
            <w:shd w:val="clear" w:color="auto" w:fill="B4C6E7" w:themeFill="accent1" w:themeFillTint="66"/>
            <w:noWrap/>
            <w:vAlign w:val="center"/>
            <w:hideMark/>
          </w:tcPr>
          <w:bookmarkEnd w:id="17"/>
          <w:p w14:paraId="305CD5DC" w14:textId="77777777" w:rsidR="001C19A4" w:rsidRPr="00AF27C6" w:rsidRDefault="001C19A4" w:rsidP="00AF27C6">
            <w:pPr>
              <w:spacing w:before="120" w:after="120"/>
              <w:jc w:val="center"/>
              <w:rPr>
                <w:bCs w:val="0"/>
                <w:color w:val="000000"/>
              </w:rPr>
            </w:pPr>
            <w:r w:rsidRPr="00AF27C6">
              <w:rPr>
                <w:bCs w:val="0"/>
                <w:color w:val="000000"/>
              </w:rPr>
              <w:t>Category</w:t>
            </w:r>
          </w:p>
        </w:tc>
        <w:tc>
          <w:tcPr>
            <w:tcW w:w="2209" w:type="dxa"/>
            <w:shd w:val="clear" w:color="auto" w:fill="B4C6E7" w:themeFill="accent1" w:themeFillTint="66"/>
            <w:vAlign w:val="center"/>
            <w:hideMark/>
          </w:tcPr>
          <w:p w14:paraId="7485226C" w14:textId="77777777" w:rsidR="001C19A4" w:rsidRPr="00AF27C6" w:rsidRDefault="001C19A4" w:rsidP="00AF27C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F27C6">
              <w:rPr>
                <w:color w:val="000000"/>
              </w:rPr>
              <w:t>Minority</w:t>
            </w:r>
          </w:p>
        </w:tc>
        <w:tc>
          <w:tcPr>
            <w:tcW w:w="2561" w:type="dxa"/>
            <w:shd w:val="clear" w:color="auto" w:fill="B4C6E7" w:themeFill="accent1" w:themeFillTint="66"/>
            <w:vAlign w:val="center"/>
            <w:hideMark/>
          </w:tcPr>
          <w:p w14:paraId="328690B5" w14:textId="77777777" w:rsidR="001C19A4" w:rsidRPr="00AF27C6" w:rsidRDefault="001C19A4" w:rsidP="00AF27C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F27C6">
              <w:rPr>
                <w:color w:val="000000"/>
              </w:rPr>
              <w:t>White</w:t>
            </w:r>
          </w:p>
        </w:tc>
      </w:tr>
      <w:tr w:rsidR="001C19A4" w:rsidRPr="00553703" w14:paraId="16439F67" w14:textId="77777777" w:rsidTr="00AF2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bottom w:val="none" w:sz="0" w:space="0" w:color="auto"/>
              <w:right w:val="none" w:sz="0" w:space="0" w:color="auto"/>
            </w:tcBorders>
            <w:noWrap/>
            <w:vAlign w:val="center"/>
            <w:hideMark/>
          </w:tcPr>
          <w:p w14:paraId="582C4534" w14:textId="77777777" w:rsidR="001C19A4" w:rsidRPr="00AF27C6" w:rsidRDefault="001C19A4" w:rsidP="00AF27C6">
            <w:pPr>
              <w:spacing w:before="120" w:after="120"/>
              <w:rPr>
                <w:b w:val="0"/>
                <w:color w:val="000000"/>
              </w:rPr>
            </w:pPr>
            <w:bookmarkStart w:id="18" w:name="_Hlk89164500"/>
            <w:r w:rsidRPr="00AF27C6">
              <w:rPr>
                <w:b w:val="0"/>
                <w:color w:val="000000"/>
              </w:rPr>
              <w:t>Proposed Northgate USD Before Transfer Adjustment</w:t>
            </w:r>
          </w:p>
        </w:tc>
        <w:tc>
          <w:tcPr>
            <w:tcW w:w="2209" w:type="dxa"/>
            <w:tcBorders>
              <w:top w:val="none" w:sz="0" w:space="0" w:color="auto"/>
              <w:bottom w:val="none" w:sz="0" w:space="0" w:color="auto"/>
            </w:tcBorders>
            <w:noWrap/>
            <w:vAlign w:val="center"/>
            <w:hideMark/>
          </w:tcPr>
          <w:p w14:paraId="3567CE9B" w14:textId="77777777" w:rsidR="001C19A4" w:rsidRPr="00553703" w:rsidRDefault="001C19A4" w:rsidP="00AF27C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96A49">
              <w:t>1,</w:t>
            </w:r>
            <w:r>
              <w:t>853</w:t>
            </w:r>
            <w:r w:rsidRPr="00E96A49">
              <w:t xml:space="preserve"> (49.</w:t>
            </w:r>
            <w:r>
              <w:t>5</w:t>
            </w:r>
            <w:r w:rsidRPr="00E96A49">
              <w:t>%)</w:t>
            </w:r>
          </w:p>
        </w:tc>
        <w:tc>
          <w:tcPr>
            <w:tcW w:w="2561" w:type="dxa"/>
            <w:tcBorders>
              <w:top w:val="none" w:sz="0" w:space="0" w:color="auto"/>
              <w:bottom w:val="none" w:sz="0" w:space="0" w:color="auto"/>
            </w:tcBorders>
            <w:noWrap/>
            <w:vAlign w:val="center"/>
            <w:hideMark/>
          </w:tcPr>
          <w:p w14:paraId="6A6DEDAB" w14:textId="77777777" w:rsidR="001C19A4" w:rsidRPr="00553703" w:rsidRDefault="001C19A4" w:rsidP="00AF27C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96A49">
              <w:t>1,</w:t>
            </w:r>
            <w:r>
              <w:t>893</w:t>
            </w:r>
            <w:r w:rsidRPr="00E96A49">
              <w:t xml:space="preserve"> (50.</w:t>
            </w:r>
            <w:r>
              <w:t>5</w:t>
            </w:r>
            <w:r w:rsidRPr="00E96A49">
              <w:t>%)</w:t>
            </w:r>
          </w:p>
        </w:tc>
      </w:tr>
      <w:tr w:rsidR="001C19A4" w:rsidRPr="00553703" w14:paraId="33ABEACA" w14:textId="77777777" w:rsidTr="00AF27C6">
        <w:trPr>
          <w:trHeight w:val="302"/>
        </w:trPr>
        <w:tc>
          <w:tcPr>
            <w:cnfStyle w:val="001000000000" w:firstRow="0" w:lastRow="0" w:firstColumn="1" w:lastColumn="0" w:oddVBand="0" w:evenVBand="0" w:oddHBand="0" w:evenHBand="0" w:firstRowFirstColumn="0" w:firstRowLastColumn="0" w:lastRowFirstColumn="0" w:lastRowLastColumn="0"/>
            <w:tcW w:w="4320" w:type="dxa"/>
            <w:tcBorders>
              <w:right w:val="none" w:sz="0" w:space="0" w:color="auto"/>
            </w:tcBorders>
            <w:noWrap/>
            <w:vAlign w:val="center"/>
            <w:hideMark/>
          </w:tcPr>
          <w:p w14:paraId="3B46E392" w14:textId="77777777" w:rsidR="001C19A4" w:rsidRPr="00AF27C6" w:rsidRDefault="001C19A4" w:rsidP="00AF27C6">
            <w:pPr>
              <w:spacing w:before="120" w:after="120"/>
              <w:rPr>
                <w:b w:val="0"/>
                <w:color w:val="000000"/>
              </w:rPr>
            </w:pPr>
            <w:r w:rsidRPr="00AF27C6">
              <w:rPr>
                <w:b w:val="0"/>
                <w:color w:val="000000"/>
              </w:rPr>
              <w:t>Proposed Northgate USD After Transfer Adjustment</w:t>
            </w:r>
          </w:p>
        </w:tc>
        <w:tc>
          <w:tcPr>
            <w:tcW w:w="2209" w:type="dxa"/>
            <w:noWrap/>
            <w:vAlign w:val="center"/>
            <w:hideMark/>
          </w:tcPr>
          <w:p w14:paraId="299537E0" w14:textId="77777777" w:rsidR="001C19A4" w:rsidRPr="00553703" w:rsidRDefault="001C19A4" w:rsidP="00AF27C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96A49">
              <w:t>1,609 (49.2%)</w:t>
            </w:r>
          </w:p>
        </w:tc>
        <w:tc>
          <w:tcPr>
            <w:tcW w:w="2561" w:type="dxa"/>
            <w:noWrap/>
            <w:vAlign w:val="center"/>
            <w:hideMark/>
          </w:tcPr>
          <w:p w14:paraId="5C8D4C10" w14:textId="77777777" w:rsidR="001C19A4" w:rsidRPr="00553703" w:rsidRDefault="001C19A4" w:rsidP="00AF27C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96A49">
              <w:t>1,660 (50.8%)</w:t>
            </w:r>
          </w:p>
        </w:tc>
      </w:tr>
      <w:bookmarkEnd w:id="18"/>
      <w:tr w:rsidR="001C19A4" w:rsidRPr="00553703" w14:paraId="204CC3BA" w14:textId="77777777" w:rsidTr="00AF27C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bottom w:val="none" w:sz="0" w:space="0" w:color="auto"/>
              <w:right w:val="none" w:sz="0" w:space="0" w:color="auto"/>
            </w:tcBorders>
            <w:noWrap/>
            <w:vAlign w:val="center"/>
            <w:hideMark/>
          </w:tcPr>
          <w:p w14:paraId="655B0D37" w14:textId="77777777" w:rsidR="001C19A4" w:rsidRPr="00AF27C6" w:rsidRDefault="001C19A4" w:rsidP="00AF27C6">
            <w:pPr>
              <w:spacing w:before="120" w:after="120"/>
              <w:rPr>
                <w:b w:val="0"/>
                <w:color w:val="000000"/>
              </w:rPr>
            </w:pPr>
            <w:r w:rsidRPr="00AF27C6">
              <w:rPr>
                <w:b w:val="0"/>
                <w:color w:val="000000"/>
              </w:rPr>
              <w:t>Remaining Portion of Mt. Diablo USD Before Transfer Adjustment</w:t>
            </w:r>
          </w:p>
        </w:tc>
        <w:tc>
          <w:tcPr>
            <w:tcW w:w="2209" w:type="dxa"/>
            <w:tcBorders>
              <w:top w:val="none" w:sz="0" w:space="0" w:color="auto"/>
              <w:bottom w:val="none" w:sz="0" w:space="0" w:color="auto"/>
            </w:tcBorders>
            <w:noWrap/>
            <w:vAlign w:val="center"/>
            <w:hideMark/>
          </w:tcPr>
          <w:p w14:paraId="7116DBE8" w14:textId="77777777" w:rsidR="001C19A4" w:rsidRPr="00553703" w:rsidRDefault="001C19A4" w:rsidP="00AF27C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t>17,929</w:t>
            </w:r>
            <w:r w:rsidRPr="00E96A49">
              <w:t xml:space="preserve"> (73.</w:t>
            </w:r>
            <w:r>
              <w:t>8</w:t>
            </w:r>
            <w:r w:rsidRPr="00E96A49">
              <w:t>%)</w:t>
            </w:r>
          </w:p>
        </w:tc>
        <w:tc>
          <w:tcPr>
            <w:tcW w:w="2561" w:type="dxa"/>
            <w:tcBorders>
              <w:top w:val="none" w:sz="0" w:space="0" w:color="auto"/>
              <w:bottom w:val="none" w:sz="0" w:space="0" w:color="auto"/>
            </w:tcBorders>
            <w:noWrap/>
            <w:vAlign w:val="center"/>
            <w:hideMark/>
          </w:tcPr>
          <w:p w14:paraId="14FF46D3" w14:textId="77777777" w:rsidR="001C19A4" w:rsidRPr="00553703" w:rsidRDefault="001C19A4" w:rsidP="00AF27C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96A49">
              <w:t>6,</w:t>
            </w:r>
            <w:r>
              <w:t xml:space="preserve">356 </w:t>
            </w:r>
            <w:r w:rsidRPr="00E96A49">
              <w:t>(26.</w:t>
            </w:r>
            <w:r>
              <w:t>2</w:t>
            </w:r>
            <w:r w:rsidRPr="00E96A49">
              <w:t>%)</w:t>
            </w:r>
          </w:p>
        </w:tc>
      </w:tr>
      <w:tr w:rsidR="001C19A4" w:rsidRPr="00553703" w14:paraId="4B12D25A" w14:textId="77777777" w:rsidTr="00AF27C6">
        <w:trPr>
          <w:trHeight w:val="302"/>
        </w:trPr>
        <w:tc>
          <w:tcPr>
            <w:cnfStyle w:val="001000000000" w:firstRow="0" w:lastRow="0" w:firstColumn="1" w:lastColumn="0" w:oddVBand="0" w:evenVBand="0" w:oddHBand="0" w:evenHBand="0" w:firstRowFirstColumn="0" w:firstRowLastColumn="0" w:lastRowFirstColumn="0" w:lastRowLastColumn="0"/>
            <w:tcW w:w="4320" w:type="dxa"/>
            <w:tcBorders>
              <w:right w:val="none" w:sz="0" w:space="0" w:color="auto"/>
            </w:tcBorders>
            <w:noWrap/>
            <w:vAlign w:val="center"/>
            <w:hideMark/>
          </w:tcPr>
          <w:p w14:paraId="3BFD7D74" w14:textId="77777777" w:rsidR="001C19A4" w:rsidRPr="00AF27C6" w:rsidRDefault="001C19A4" w:rsidP="00AF27C6">
            <w:pPr>
              <w:spacing w:before="120" w:after="120"/>
              <w:rPr>
                <w:b w:val="0"/>
                <w:color w:val="000000"/>
              </w:rPr>
            </w:pPr>
            <w:r w:rsidRPr="00AF27C6">
              <w:rPr>
                <w:b w:val="0"/>
                <w:color w:val="000000"/>
              </w:rPr>
              <w:t>Remaining Portion of Mt. Diablo USD After Transfer Adjustment</w:t>
            </w:r>
          </w:p>
        </w:tc>
        <w:tc>
          <w:tcPr>
            <w:tcW w:w="2209" w:type="dxa"/>
            <w:noWrap/>
            <w:vAlign w:val="center"/>
            <w:hideMark/>
          </w:tcPr>
          <w:p w14:paraId="06C29E8A" w14:textId="77777777" w:rsidR="001C19A4" w:rsidRPr="00553703" w:rsidRDefault="001C19A4" w:rsidP="00AF27C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96A49">
              <w:t>18,173 (73.4%)</w:t>
            </w:r>
          </w:p>
        </w:tc>
        <w:tc>
          <w:tcPr>
            <w:tcW w:w="2561" w:type="dxa"/>
            <w:noWrap/>
            <w:vAlign w:val="center"/>
            <w:hideMark/>
          </w:tcPr>
          <w:p w14:paraId="7348CDFA" w14:textId="77777777" w:rsidR="001C19A4" w:rsidRPr="00553703" w:rsidRDefault="001C19A4" w:rsidP="00AF27C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96A49">
              <w:t>6,589 (26.6%)</w:t>
            </w:r>
          </w:p>
        </w:tc>
      </w:tr>
    </w:tbl>
    <w:p w14:paraId="2C1C9B24" w14:textId="77777777" w:rsidR="001C19A4" w:rsidRPr="00BB7C54" w:rsidRDefault="001C19A4" w:rsidP="005F27A6">
      <w:pPr>
        <w:pStyle w:val="TableSource"/>
        <w:rPr>
          <w:rStyle w:val="Strong"/>
          <w:b w:val="0"/>
          <w:bCs w:val="0"/>
        </w:rPr>
      </w:pPr>
      <w:r w:rsidRPr="00BB7C54">
        <w:rPr>
          <w:rStyle w:val="Strong"/>
        </w:rPr>
        <w:t>Source data: CALPADS, 2020–21; Mt. Diablo Unified School District Demographics Analysis of Potential Northgate Territory Transfer and Unification, August 2017</w:t>
      </w:r>
    </w:p>
    <w:p w14:paraId="607882C0" w14:textId="77777777" w:rsidR="001C19A4" w:rsidRPr="00E354A6" w:rsidRDefault="001C19A4" w:rsidP="005F27A6">
      <w:pPr>
        <w:ind w:left="360"/>
        <w:rPr>
          <w:sz w:val="28"/>
        </w:rPr>
      </w:pPr>
      <w:r>
        <w:t xml:space="preserve">The minority student population would decrease by 0.3 percent to 49.2 percent and the white student population would increase by 0.3 percent to 50.8 percent in the proposed Northgate USD. The result is a decrease of 0.4 percent in the minority student population, while the portion of the student population identified as white would increase by 0.4 percent to 26.8 percent. </w:t>
      </w:r>
    </w:p>
    <w:p w14:paraId="0A3CF551" w14:textId="77777777" w:rsidR="001C19A4" w:rsidRPr="00D43356" w:rsidRDefault="001C19A4" w:rsidP="005F27A6">
      <w:pPr>
        <w:pStyle w:val="ListParagraph"/>
        <w:ind w:left="360"/>
        <w:rPr>
          <w:b/>
        </w:rPr>
      </w:pPr>
      <w:r w:rsidRPr="00D43356">
        <w:rPr>
          <w:rStyle w:val="Strong"/>
          <w:b w:val="0"/>
        </w:rPr>
        <w:t xml:space="preserve">Because the effect of the adjustment for transfer students is minimal (less than +/- 0.5%), the remainder of this report will utilize CALPADS data unadjusted for transfer students. </w:t>
      </w:r>
    </w:p>
    <w:p w14:paraId="5F9BD7AD" w14:textId="77777777" w:rsidR="001C19A4" w:rsidRPr="00DA09B3" w:rsidRDefault="001C19A4" w:rsidP="000A33F9">
      <w:pPr>
        <w:pStyle w:val="Heading3"/>
        <w:numPr>
          <w:ilvl w:val="1"/>
          <w:numId w:val="39"/>
        </w:numPr>
        <w:ind w:left="720" w:hanging="720"/>
        <w:rPr>
          <w:rStyle w:val="Strong"/>
          <w:b/>
          <w:bCs w:val="0"/>
        </w:rPr>
      </w:pPr>
      <w:r w:rsidRPr="00DA09B3">
        <w:rPr>
          <w:rStyle w:val="Strong"/>
          <w:b/>
        </w:rPr>
        <w:t>Racial and Ethnic Enrollment: Trends and Rates of Change</w:t>
      </w:r>
    </w:p>
    <w:p w14:paraId="78ADEAFA" w14:textId="77777777" w:rsidR="001C19A4" w:rsidRPr="00243332" w:rsidRDefault="001C19A4" w:rsidP="005F27A6">
      <w:pPr>
        <w:ind w:left="360"/>
        <w:rPr>
          <w:rStyle w:val="Strong"/>
          <w:b w:val="0"/>
        </w:rPr>
      </w:pPr>
      <w:r w:rsidRPr="00243332">
        <w:rPr>
          <w:rStyle w:val="Strong"/>
          <w:b w:val="0"/>
        </w:rPr>
        <w:t xml:space="preserve">The following tables depict five-year trends and rates of change in racial/ethnic enrollment for the Mt. Diablo USD and its schools. </w:t>
      </w:r>
    </w:p>
    <w:p w14:paraId="431C5E93" w14:textId="77777777" w:rsidR="001C19A4" w:rsidRPr="007B0D4F" w:rsidRDefault="001C19A4" w:rsidP="001F0B7E">
      <w:pPr>
        <w:pStyle w:val="Heading4"/>
      </w:pPr>
      <w:bookmarkStart w:id="19" w:name="Table3a"/>
      <w:r w:rsidRPr="007B0D4F">
        <w:t xml:space="preserve">Table </w:t>
      </w:r>
      <w:r>
        <w:t>4</w:t>
      </w:r>
      <w:r w:rsidRPr="007B0D4F">
        <w:t>a. Mt. Diablo USD Historical Racial/Ethnic Enrollment</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that resided in the proposed Northgate USD territory and attended schools outside of its territory and the number of students in racial/ethnic categories that attended .Northgate USD schools and who lived outside of its territory as of 2016-17."/>
      </w:tblPr>
      <w:tblGrid>
        <w:gridCol w:w="2160"/>
        <w:gridCol w:w="1080"/>
        <w:gridCol w:w="1350"/>
        <w:gridCol w:w="1260"/>
        <w:gridCol w:w="990"/>
        <w:gridCol w:w="1080"/>
        <w:gridCol w:w="1080"/>
      </w:tblGrid>
      <w:tr w:rsidR="001C19A4" w:rsidRPr="00E061FC" w14:paraId="6272D64D" w14:textId="77777777" w:rsidTr="00E061FC">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shd w:val="clear" w:color="auto" w:fill="B4C6E7" w:themeFill="accent1" w:themeFillTint="66"/>
            <w:noWrap/>
            <w:vAlign w:val="center"/>
            <w:hideMark/>
          </w:tcPr>
          <w:p w14:paraId="3264FAA8" w14:textId="77777777" w:rsidR="001C19A4" w:rsidRPr="00E061FC" w:rsidRDefault="001C19A4" w:rsidP="00E061FC">
            <w:pPr>
              <w:spacing w:before="120" w:after="120"/>
              <w:jc w:val="center"/>
              <w:rPr>
                <w:bCs w:val="0"/>
                <w:color w:val="000000"/>
              </w:rPr>
            </w:pPr>
            <w:r w:rsidRPr="00E061FC">
              <w:rPr>
                <w:bCs w:val="0"/>
                <w:color w:val="000000"/>
              </w:rPr>
              <w:t>Year</w:t>
            </w:r>
          </w:p>
        </w:tc>
        <w:tc>
          <w:tcPr>
            <w:tcW w:w="1080" w:type="dxa"/>
            <w:shd w:val="clear" w:color="auto" w:fill="B4C6E7" w:themeFill="accent1" w:themeFillTint="66"/>
            <w:vAlign w:val="center"/>
          </w:tcPr>
          <w:p w14:paraId="66F0BCEC" w14:textId="77777777" w:rsidR="001C19A4" w:rsidRPr="00E061FC" w:rsidRDefault="001C19A4" w:rsidP="00E061FC">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Asian</w:t>
            </w:r>
          </w:p>
        </w:tc>
        <w:tc>
          <w:tcPr>
            <w:tcW w:w="1350" w:type="dxa"/>
            <w:shd w:val="clear" w:color="auto" w:fill="B4C6E7" w:themeFill="accent1" w:themeFillTint="66"/>
            <w:vAlign w:val="center"/>
            <w:hideMark/>
          </w:tcPr>
          <w:p w14:paraId="3C8C84EC" w14:textId="77777777" w:rsidR="001C19A4" w:rsidRPr="00E061FC" w:rsidRDefault="001C19A4" w:rsidP="00E061FC">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Black or African American</w:t>
            </w:r>
          </w:p>
        </w:tc>
        <w:tc>
          <w:tcPr>
            <w:tcW w:w="1260" w:type="dxa"/>
            <w:shd w:val="clear" w:color="auto" w:fill="B4C6E7" w:themeFill="accent1" w:themeFillTint="66"/>
            <w:vAlign w:val="center"/>
            <w:hideMark/>
          </w:tcPr>
          <w:p w14:paraId="75D42DBE" w14:textId="77777777" w:rsidR="001C19A4" w:rsidRPr="00E061FC" w:rsidRDefault="001C19A4" w:rsidP="00E061F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Hispanic or Latino</w:t>
            </w:r>
          </w:p>
        </w:tc>
        <w:tc>
          <w:tcPr>
            <w:tcW w:w="990" w:type="dxa"/>
            <w:shd w:val="clear" w:color="auto" w:fill="B4C6E7" w:themeFill="accent1" w:themeFillTint="66"/>
            <w:vAlign w:val="center"/>
            <w:hideMark/>
          </w:tcPr>
          <w:p w14:paraId="67EBD452" w14:textId="77777777" w:rsidR="001C19A4" w:rsidRPr="00E061FC" w:rsidRDefault="001C19A4" w:rsidP="00E061F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Other</w:t>
            </w:r>
          </w:p>
        </w:tc>
        <w:tc>
          <w:tcPr>
            <w:tcW w:w="1080" w:type="dxa"/>
            <w:shd w:val="clear" w:color="auto" w:fill="B4C6E7" w:themeFill="accent1" w:themeFillTint="66"/>
            <w:vAlign w:val="center"/>
            <w:hideMark/>
          </w:tcPr>
          <w:p w14:paraId="5D3D4932" w14:textId="77777777" w:rsidR="001C19A4" w:rsidRPr="00E061FC" w:rsidRDefault="001C19A4" w:rsidP="00E061F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White</w:t>
            </w:r>
          </w:p>
        </w:tc>
        <w:tc>
          <w:tcPr>
            <w:tcW w:w="1080" w:type="dxa"/>
            <w:shd w:val="clear" w:color="auto" w:fill="B4C6E7" w:themeFill="accent1" w:themeFillTint="66"/>
            <w:vAlign w:val="center"/>
            <w:hideMark/>
          </w:tcPr>
          <w:p w14:paraId="132DE33A" w14:textId="77777777" w:rsidR="001C19A4" w:rsidRPr="00E061FC" w:rsidRDefault="001C19A4" w:rsidP="00E061F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Total</w:t>
            </w:r>
          </w:p>
        </w:tc>
      </w:tr>
      <w:bookmarkEnd w:id="19"/>
      <w:tr w:rsidR="001C19A4" w:rsidRPr="00553703" w14:paraId="5FCA219F"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6A942495" w14:textId="77777777" w:rsidR="001C19A4" w:rsidRPr="00E061FC" w:rsidRDefault="001C19A4" w:rsidP="00E061FC">
            <w:pPr>
              <w:spacing w:before="120" w:after="120"/>
              <w:rPr>
                <w:b w:val="0"/>
                <w:color w:val="000000"/>
              </w:rPr>
            </w:pPr>
            <w:r w:rsidRPr="00E061FC">
              <w:rPr>
                <w:rStyle w:val="Strong"/>
                <w:b/>
              </w:rPr>
              <w:t>2016–17</w:t>
            </w:r>
          </w:p>
        </w:tc>
        <w:tc>
          <w:tcPr>
            <w:tcW w:w="1080" w:type="dxa"/>
            <w:tcBorders>
              <w:top w:val="none" w:sz="0" w:space="0" w:color="auto"/>
              <w:bottom w:val="none" w:sz="0" w:space="0" w:color="auto"/>
            </w:tcBorders>
            <w:vAlign w:val="center"/>
          </w:tcPr>
          <w:p w14:paraId="504C5573" w14:textId="77777777" w:rsidR="001C19A4" w:rsidRPr="00693C1A"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pPr>
            <w:r w:rsidRPr="00693C1A">
              <w:t>2</w:t>
            </w:r>
            <w:r>
              <w:t>,</w:t>
            </w:r>
            <w:r w:rsidRPr="00693C1A">
              <w:t>303</w:t>
            </w:r>
          </w:p>
        </w:tc>
        <w:tc>
          <w:tcPr>
            <w:tcW w:w="1350" w:type="dxa"/>
            <w:tcBorders>
              <w:top w:val="none" w:sz="0" w:space="0" w:color="auto"/>
              <w:bottom w:val="none" w:sz="0" w:space="0" w:color="auto"/>
            </w:tcBorders>
            <w:noWrap/>
            <w:vAlign w:val="center"/>
            <w:hideMark/>
          </w:tcPr>
          <w:p w14:paraId="1B76F725"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1</w:t>
            </w:r>
            <w:r>
              <w:t>,</w:t>
            </w:r>
            <w:r w:rsidRPr="00693C1A">
              <w:t>204</w:t>
            </w:r>
          </w:p>
        </w:tc>
        <w:tc>
          <w:tcPr>
            <w:tcW w:w="1260" w:type="dxa"/>
            <w:tcBorders>
              <w:top w:val="none" w:sz="0" w:space="0" w:color="auto"/>
              <w:bottom w:val="none" w:sz="0" w:space="0" w:color="auto"/>
            </w:tcBorders>
            <w:noWrap/>
            <w:vAlign w:val="center"/>
            <w:hideMark/>
          </w:tcPr>
          <w:p w14:paraId="3DF3FC2A"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13</w:t>
            </w:r>
            <w:r>
              <w:t>,</w:t>
            </w:r>
            <w:r w:rsidRPr="00693C1A">
              <w:t>238</w:t>
            </w:r>
          </w:p>
        </w:tc>
        <w:tc>
          <w:tcPr>
            <w:tcW w:w="990" w:type="dxa"/>
            <w:tcBorders>
              <w:top w:val="none" w:sz="0" w:space="0" w:color="auto"/>
              <w:bottom w:val="none" w:sz="0" w:space="0" w:color="auto"/>
            </w:tcBorders>
            <w:noWrap/>
            <w:vAlign w:val="center"/>
            <w:hideMark/>
          </w:tcPr>
          <w:p w14:paraId="541DBA2A"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3</w:t>
            </w:r>
            <w:r>
              <w:t>,</w:t>
            </w:r>
            <w:r w:rsidRPr="00693C1A">
              <w:t>482</w:t>
            </w:r>
          </w:p>
        </w:tc>
        <w:tc>
          <w:tcPr>
            <w:tcW w:w="1080" w:type="dxa"/>
            <w:tcBorders>
              <w:top w:val="none" w:sz="0" w:space="0" w:color="auto"/>
              <w:bottom w:val="none" w:sz="0" w:space="0" w:color="auto"/>
            </w:tcBorders>
            <w:noWrap/>
            <w:vAlign w:val="center"/>
            <w:hideMark/>
          </w:tcPr>
          <w:p w14:paraId="137BAE1C"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10</w:t>
            </w:r>
            <w:r>
              <w:t>,</w:t>
            </w:r>
            <w:r w:rsidRPr="00693C1A">
              <w:t>114</w:t>
            </w:r>
          </w:p>
        </w:tc>
        <w:tc>
          <w:tcPr>
            <w:tcW w:w="1080" w:type="dxa"/>
            <w:tcBorders>
              <w:top w:val="none" w:sz="0" w:space="0" w:color="auto"/>
              <w:bottom w:val="none" w:sz="0" w:space="0" w:color="auto"/>
            </w:tcBorders>
            <w:noWrap/>
            <w:vAlign w:val="center"/>
            <w:hideMark/>
          </w:tcPr>
          <w:p w14:paraId="0AD31B47"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30</w:t>
            </w:r>
            <w:r>
              <w:t>,</w:t>
            </w:r>
            <w:r w:rsidRPr="00693C1A">
              <w:t>341</w:t>
            </w:r>
          </w:p>
        </w:tc>
      </w:tr>
      <w:tr w:rsidR="001C19A4" w:rsidRPr="00553703" w14:paraId="68C5C8BE" w14:textId="77777777" w:rsidTr="00E061F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6878BEC1" w14:textId="77777777" w:rsidR="001C19A4" w:rsidRPr="00E061FC" w:rsidRDefault="001C19A4" w:rsidP="00E061FC">
            <w:pPr>
              <w:spacing w:before="120" w:after="120"/>
              <w:rPr>
                <w:rStyle w:val="Strong"/>
                <w:b/>
                <w:bCs/>
              </w:rPr>
            </w:pPr>
            <w:r w:rsidRPr="00E061FC">
              <w:rPr>
                <w:rStyle w:val="Strong"/>
                <w:b/>
              </w:rPr>
              <w:t>2017–18</w:t>
            </w:r>
          </w:p>
        </w:tc>
        <w:tc>
          <w:tcPr>
            <w:tcW w:w="1080" w:type="dxa"/>
            <w:vAlign w:val="center"/>
          </w:tcPr>
          <w:p w14:paraId="7B3AE4D3" w14:textId="77777777" w:rsidR="001C19A4" w:rsidRPr="00693C1A"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pPr>
            <w:r w:rsidRPr="00693C1A">
              <w:t>2</w:t>
            </w:r>
            <w:r>
              <w:t>,</w:t>
            </w:r>
            <w:r w:rsidRPr="00693C1A">
              <w:t>275</w:t>
            </w:r>
          </w:p>
        </w:tc>
        <w:tc>
          <w:tcPr>
            <w:tcW w:w="1350" w:type="dxa"/>
            <w:noWrap/>
            <w:vAlign w:val="center"/>
          </w:tcPr>
          <w:p w14:paraId="1D697661"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1</w:t>
            </w:r>
            <w:r>
              <w:t>,</w:t>
            </w:r>
            <w:r w:rsidRPr="00693C1A">
              <w:t>130</w:t>
            </w:r>
          </w:p>
        </w:tc>
        <w:tc>
          <w:tcPr>
            <w:tcW w:w="1260" w:type="dxa"/>
            <w:noWrap/>
            <w:vAlign w:val="center"/>
          </w:tcPr>
          <w:p w14:paraId="71EF274D"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13</w:t>
            </w:r>
            <w:r>
              <w:t>,</w:t>
            </w:r>
            <w:r w:rsidRPr="00693C1A">
              <w:t>198</w:t>
            </w:r>
          </w:p>
        </w:tc>
        <w:tc>
          <w:tcPr>
            <w:tcW w:w="990" w:type="dxa"/>
            <w:noWrap/>
            <w:vAlign w:val="center"/>
          </w:tcPr>
          <w:p w14:paraId="7EC39A6C"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3</w:t>
            </w:r>
            <w:r>
              <w:t>,</w:t>
            </w:r>
            <w:r w:rsidRPr="00693C1A">
              <w:t>686</w:t>
            </w:r>
          </w:p>
        </w:tc>
        <w:tc>
          <w:tcPr>
            <w:tcW w:w="1080" w:type="dxa"/>
            <w:noWrap/>
            <w:vAlign w:val="center"/>
          </w:tcPr>
          <w:p w14:paraId="31081F57"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9</w:t>
            </w:r>
            <w:r>
              <w:t>,</w:t>
            </w:r>
            <w:r w:rsidRPr="00693C1A">
              <w:t>480</w:t>
            </w:r>
          </w:p>
        </w:tc>
        <w:tc>
          <w:tcPr>
            <w:tcW w:w="1080" w:type="dxa"/>
            <w:noWrap/>
            <w:vAlign w:val="center"/>
          </w:tcPr>
          <w:p w14:paraId="1FA71B0F"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29</w:t>
            </w:r>
            <w:r>
              <w:t>,</w:t>
            </w:r>
            <w:r w:rsidRPr="00693C1A">
              <w:t>769</w:t>
            </w:r>
          </w:p>
        </w:tc>
      </w:tr>
      <w:tr w:rsidR="001C19A4" w:rsidRPr="00553703" w14:paraId="006E9C75"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06B30701" w14:textId="77777777" w:rsidR="001C19A4" w:rsidRPr="00E061FC" w:rsidRDefault="001C19A4" w:rsidP="00E061FC">
            <w:pPr>
              <w:spacing w:before="120" w:after="120"/>
              <w:rPr>
                <w:rStyle w:val="Strong"/>
                <w:b/>
                <w:bCs/>
              </w:rPr>
            </w:pPr>
            <w:r w:rsidRPr="00E061FC">
              <w:rPr>
                <w:rStyle w:val="Strong"/>
                <w:b/>
              </w:rPr>
              <w:lastRenderedPageBreak/>
              <w:t>2018–19</w:t>
            </w:r>
          </w:p>
        </w:tc>
        <w:tc>
          <w:tcPr>
            <w:tcW w:w="1080" w:type="dxa"/>
            <w:tcBorders>
              <w:top w:val="none" w:sz="0" w:space="0" w:color="auto"/>
              <w:bottom w:val="none" w:sz="0" w:space="0" w:color="auto"/>
            </w:tcBorders>
            <w:vAlign w:val="center"/>
          </w:tcPr>
          <w:p w14:paraId="1D206D02" w14:textId="77777777" w:rsidR="001C19A4" w:rsidRPr="00693C1A"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pPr>
            <w:r w:rsidRPr="00693C1A">
              <w:t>2</w:t>
            </w:r>
            <w:r>
              <w:t>,</w:t>
            </w:r>
            <w:r w:rsidRPr="00693C1A">
              <w:t>188</w:t>
            </w:r>
          </w:p>
        </w:tc>
        <w:tc>
          <w:tcPr>
            <w:tcW w:w="1350" w:type="dxa"/>
            <w:tcBorders>
              <w:top w:val="none" w:sz="0" w:space="0" w:color="auto"/>
              <w:bottom w:val="none" w:sz="0" w:space="0" w:color="auto"/>
            </w:tcBorders>
            <w:noWrap/>
            <w:vAlign w:val="center"/>
          </w:tcPr>
          <w:p w14:paraId="0002AFAF"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967</w:t>
            </w:r>
          </w:p>
        </w:tc>
        <w:tc>
          <w:tcPr>
            <w:tcW w:w="1260" w:type="dxa"/>
            <w:tcBorders>
              <w:top w:val="none" w:sz="0" w:space="0" w:color="auto"/>
              <w:bottom w:val="none" w:sz="0" w:space="0" w:color="auto"/>
            </w:tcBorders>
            <w:noWrap/>
            <w:vAlign w:val="center"/>
          </w:tcPr>
          <w:p w14:paraId="021A8AC5"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13</w:t>
            </w:r>
            <w:r>
              <w:t>,</w:t>
            </w:r>
            <w:r w:rsidRPr="00693C1A">
              <w:t>120</w:t>
            </w:r>
          </w:p>
        </w:tc>
        <w:tc>
          <w:tcPr>
            <w:tcW w:w="990" w:type="dxa"/>
            <w:tcBorders>
              <w:top w:val="none" w:sz="0" w:space="0" w:color="auto"/>
              <w:bottom w:val="none" w:sz="0" w:space="0" w:color="auto"/>
            </w:tcBorders>
            <w:noWrap/>
            <w:vAlign w:val="center"/>
          </w:tcPr>
          <w:p w14:paraId="4F4A51E7"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3</w:t>
            </w:r>
            <w:r>
              <w:t>,</w:t>
            </w:r>
            <w:r w:rsidRPr="00693C1A">
              <w:t>621</w:t>
            </w:r>
          </w:p>
        </w:tc>
        <w:tc>
          <w:tcPr>
            <w:tcW w:w="1080" w:type="dxa"/>
            <w:tcBorders>
              <w:top w:val="none" w:sz="0" w:space="0" w:color="auto"/>
              <w:bottom w:val="none" w:sz="0" w:space="0" w:color="auto"/>
            </w:tcBorders>
            <w:noWrap/>
            <w:vAlign w:val="center"/>
          </w:tcPr>
          <w:p w14:paraId="7134E447"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8</w:t>
            </w:r>
            <w:r>
              <w:t>,</w:t>
            </w:r>
            <w:r w:rsidRPr="00693C1A">
              <w:t>613</w:t>
            </w:r>
          </w:p>
        </w:tc>
        <w:tc>
          <w:tcPr>
            <w:tcW w:w="1080" w:type="dxa"/>
            <w:tcBorders>
              <w:top w:val="none" w:sz="0" w:space="0" w:color="auto"/>
              <w:bottom w:val="none" w:sz="0" w:space="0" w:color="auto"/>
            </w:tcBorders>
            <w:noWrap/>
            <w:vAlign w:val="center"/>
          </w:tcPr>
          <w:p w14:paraId="15267BF8"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28</w:t>
            </w:r>
            <w:r>
              <w:t>,</w:t>
            </w:r>
            <w:r w:rsidRPr="00693C1A">
              <w:t>509</w:t>
            </w:r>
          </w:p>
        </w:tc>
      </w:tr>
      <w:tr w:rsidR="001C19A4" w:rsidRPr="00553703" w14:paraId="0823C5BC" w14:textId="77777777" w:rsidTr="00E061F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2E74F34C" w14:textId="77777777" w:rsidR="001C19A4" w:rsidRPr="00E061FC" w:rsidRDefault="001C19A4" w:rsidP="00E061FC">
            <w:pPr>
              <w:spacing w:before="120" w:after="120"/>
              <w:rPr>
                <w:rStyle w:val="Strong"/>
                <w:b/>
                <w:bCs/>
              </w:rPr>
            </w:pPr>
            <w:r w:rsidRPr="00E061FC">
              <w:rPr>
                <w:rStyle w:val="Strong"/>
                <w:b/>
              </w:rPr>
              <w:t>2019–20</w:t>
            </w:r>
          </w:p>
        </w:tc>
        <w:tc>
          <w:tcPr>
            <w:tcW w:w="1080" w:type="dxa"/>
            <w:vAlign w:val="center"/>
          </w:tcPr>
          <w:p w14:paraId="57A66654" w14:textId="77777777" w:rsidR="001C19A4" w:rsidRPr="00693C1A"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pPr>
            <w:r w:rsidRPr="00693C1A">
              <w:t>2</w:t>
            </w:r>
            <w:r>
              <w:t>,</w:t>
            </w:r>
            <w:r w:rsidRPr="00693C1A">
              <w:t>362</w:t>
            </w:r>
          </w:p>
        </w:tc>
        <w:tc>
          <w:tcPr>
            <w:tcW w:w="1350" w:type="dxa"/>
            <w:noWrap/>
            <w:vAlign w:val="center"/>
          </w:tcPr>
          <w:p w14:paraId="25B080F1"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1</w:t>
            </w:r>
            <w:r>
              <w:t>,</w:t>
            </w:r>
            <w:r w:rsidRPr="00693C1A">
              <w:t>015</w:t>
            </w:r>
          </w:p>
        </w:tc>
        <w:tc>
          <w:tcPr>
            <w:tcW w:w="1260" w:type="dxa"/>
            <w:noWrap/>
            <w:vAlign w:val="center"/>
          </w:tcPr>
          <w:p w14:paraId="7F4F663A"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13</w:t>
            </w:r>
            <w:r>
              <w:t>,</w:t>
            </w:r>
            <w:r w:rsidRPr="00693C1A">
              <w:t>201</w:t>
            </w:r>
          </w:p>
        </w:tc>
        <w:tc>
          <w:tcPr>
            <w:tcW w:w="990" w:type="dxa"/>
            <w:noWrap/>
            <w:vAlign w:val="center"/>
          </w:tcPr>
          <w:p w14:paraId="2411C69E"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3</w:t>
            </w:r>
            <w:r>
              <w:t>,</w:t>
            </w:r>
            <w:r w:rsidRPr="00693C1A">
              <w:t>980</w:t>
            </w:r>
          </w:p>
        </w:tc>
        <w:tc>
          <w:tcPr>
            <w:tcW w:w="1080" w:type="dxa"/>
            <w:noWrap/>
            <w:vAlign w:val="center"/>
          </w:tcPr>
          <w:p w14:paraId="58FD6580"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8</w:t>
            </w:r>
            <w:r>
              <w:t>,</w:t>
            </w:r>
            <w:r w:rsidRPr="00693C1A">
              <w:t>950</w:t>
            </w:r>
          </w:p>
        </w:tc>
        <w:tc>
          <w:tcPr>
            <w:tcW w:w="1080" w:type="dxa"/>
            <w:noWrap/>
            <w:vAlign w:val="center"/>
          </w:tcPr>
          <w:p w14:paraId="0C2BD1FE"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93C1A">
              <w:t>29</w:t>
            </w:r>
            <w:r>
              <w:t>,</w:t>
            </w:r>
            <w:r w:rsidRPr="00693C1A">
              <w:t>508</w:t>
            </w:r>
          </w:p>
        </w:tc>
      </w:tr>
      <w:tr w:rsidR="001C19A4" w:rsidRPr="00553703" w14:paraId="01FA4492"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5F656336" w14:textId="77777777" w:rsidR="001C19A4" w:rsidRPr="00E061FC" w:rsidRDefault="001C19A4" w:rsidP="00E061FC">
            <w:pPr>
              <w:spacing w:before="120" w:after="120"/>
              <w:rPr>
                <w:b w:val="0"/>
                <w:color w:val="000000"/>
              </w:rPr>
            </w:pPr>
            <w:r w:rsidRPr="00E061FC">
              <w:rPr>
                <w:rStyle w:val="Strong"/>
                <w:b/>
              </w:rPr>
              <w:t>2020–21</w:t>
            </w:r>
          </w:p>
        </w:tc>
        <w:tc>
          <w:tcPr>
            <w:tcW w:w="1080" w:type="dxa"/>
            <w:tcBorders>
              <w:top w:val="none" w:sz="0" w:space="0" w:color="auto"/>
              <w:bottom w:val="none" w:sz="0" w:space="0" w:color="auto"/>
            </w:tcBorders>
            <w:vAlign w:val="center"/>
          </w:tcPr>
          <w:p w14:paraId="4F9BE502" w14:textId="77777777" w:rsidR="001C19A4" w:rsidRPr="00693C1A"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pPr>
            <w:r w:rsidRPr="00693C1A">
              <w:t>2</w:t>
            </w:r>
            <w:r>
              <w:t>,</w:t>
            </w:r>
            <w:r w:rsidRPr="00693C1A">
              <w:t>291</w:t>
            </w:r>
          </w:p>
        </w:tc>
        <w:tc>
          <w:tcPr>
            <w:tcW w:w="1350" w:type="dxa"/>
            <w:tcBorders>
              <w:top w:val="none" w:sz="0" w:space="0" w:color="auto"/>
              <w:bottom w:val="none" w:sz="0" w:space="0" w:color="auto"/>
            </w:tcBorders>
            <w:noWrap/>
            <w:vAlign w:val="center"/>
            <w:hideMark/>
          </w:tcPr>
          <w:p w14:paraId="2AAD6820"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900</w:t>
            </w:r>
          </w:p>
        </w:tc>
        <w:tc>
          <w:tcPr>
            <w:tcW w:w="1260" w:type="dxa"/>
            <w:tcBorders>
              <w:top w:val="none" w:sz="0" w:space="0" w:color="auto"/>
              <w:bottom w:val="none" w:sz="0" w:space="0" w:color="auto"/>
            </w:tcBorders>
            <w:noWrap/>
            <w:vAlign w:val="center"/>
            <w:hideMark/>
          </w:tcPr>
          <w:p w14:paraId="59806AC4"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12</w:t>
            </w:r>
            <w:r>
              <w:t>,</w:t>
            </w:r>
            <w:r w:rsidRPr="00693C1A">
              <w:t>772</w:t>
            </w:r>
          </w:p>
        </w:tc>
        <w:tc>
          <w:tcPr>
            <w:tcW w:w="990" w:type="dxa"/>
            <w:tcBorders>
              <w:top w:val="none" w:sz="0" w:space="0" w:color="auto"/>
              <w:bottom w:val="none" w:sz="0" w:space="0" w:color="auto"/>
            </w:tcBorders>
            <w:noWrap/>
            <w:vAlign w:val="center"/>
            <w:hideMark/>
          </w:tcPr>
          <w:p w14:paraId="2E8CC48F"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3</w:t>
            </w:r>
            <w:r>
              <w:t>,</w:t>
            </w:r>
            <w:r w:rsidRPr="00693C1A">
              <w:t>819</w:t>
            </w:r>
          </w:p>
        </w:tc>
        <w:tc>
          <w:tcPr>
            <w:tcW w:w="1080" w:type="dxa"/>
            <w:tcBorders>
              <w:top w:val="none" w:sz="0" w:space="0" w:color="auto"/>
              <w:bottom w:val="none" w:sz="0" w:space="0" w:color="auto"/>
            </w:tcBorders>
            <w:noWrap/>
            <w:vAlign w:val="center"/>
            <w:hideMark/>
          </w:tcPr>
          <w:p w14:paraId="695D763E"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8</w:t>
            </w:r>
            <w:r>
              <w:t>,</w:t>
            </w:r>
            <w:r w:rsidRPr="00693C1A">
              <w:t>249</w:t>
            </w:r>
          </w:p>
        </w:tc>
        <w:tc>
          <w:tcPr>
            <w:tcW w:w="1080" w:type="dxa"/>
            <w:tcBorders>
              <w:top w:val="none" w:sz="0" w:space="0" w:color="auto"/>
              <w:bottom w:val="none" w:sz="0" w:space="0" w:color="auto"/>
            </w:tcBorders>
            <w:noWrap/>
            <w:vAlign w:val="center"/>
            <w:hideMark/>
          </w:tcPr>
          <w:p w14:paraId="418E0FA0"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93C1A">
              <w:t>28</w:t>
            </w:r>
            <w:r>
              <w:t>,</w:t>
            </w:r>
            <w:r w:rsidRPr="00693C1A">
              <w:t>031</w:t>
            </w:r>
          </w:p>
        </w:tc>
      </w:tr>
      <w:tr w:rsidR="001C19A4" w:rsidRPr="00553703" w14:paraId="34365096" w14:textId="77777777" w:rsidTr="00E061F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7925478A" w14:textId="77777777" w:rsidR="001C19A4" w:rsidRPr="00E061FC" w:rsidRDefault="001C19A4" w:rsidP="00E061FC">
            <w:pPr>
              <w:spacing w:before="120" w:after="120"/>
              <w:rPr>
                <w:rStyle w:val="Strong"/>
                <w:b/>
                <w:bCs/>
              </w:rPr>
            </w:pPr>
            <w:r w:rsidRPr="00E061FC">
              <w:rPr>
                <w:rStyle w:val="Strong"/>
                <w:b/>
              </w:rPr>
              <w:t>5-Year Amount Change</w:t>
            </w:r>
          </w:p>
        </w:tc>
        <w:tc>
          <w:tcPr>
            <w:tcW w:w="1080" w:type="dxa"/>
            <w:vAlign w:val="center"/>
          </w:tcPr>
          <w:p w14:paraId="2636634F"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- 12</w:t>
            </w:r>
          </w:p>
        </w:tc>
        <w:tc>
          <w:tcPr>
            <w:tcW w:w="1350" w:type="dxa"/>
            <w:noWrap/>
            <w:vAlign w:val="center"/>
          </w:tcPr>
          <w:p w14:paraId="0F8CA6F1"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- 304</w:t>
            </w:r>
          </w:p>
        </w:tc>
        <w:tc>
          <w:tcPr>
            <w:tcW w:w="1260" w:type="dxa"/>
            <w:noWrap/>
            <w:vAlign w:val="center"/>
          </w:tcPr>
          <w:p w14:paraId="21ED2BD7"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- 466</w:t>
            </w:r>
          </w:p>
        </w:tc>
        <w:tc>
          <w:tcPr>
            <w:tcW w:w="990" w:type="dxa"/>
            <w:noWrap/>
            <w:vAlign w:val="center"/>
          </w:tcPr>
          <w:p w14:paraId="22B7AB1A"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337</w:t>
            </w:r>
          </w:p>
        </w:tc>
        <w:tc>
          <w:tcPr>
            <w:tcW w:w="1080" w:type="dxa"/>
            <w:noWrap/>
            <w:vAlign w:val="center"/>
          </w:tcPr>
          <w:p w14:paraId="7B2BCFAC"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- 1,865</w:t>
            </w:r>
          </w:p>
        </w:tc>
        <w:tc>
          <w:tcPr>
            <w:tcW w:w="1080" w:type="dxa"/>
            <w:noWrap/>
            <w:vAlign w:val="center"/>
          </w:tcPr>
          <w:p w14:paraId="5ACAE169"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- 2,310</w:t>
            </w:r>
          </w:p>
        </w:tc>
      </w:tr>
      <w:tr w:rsidR="001C19A4" w:rsidRPr="00553703" w14:paraId="6C3BBB52"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22BE635C" w14:textId="77777777" w:rsidR="001C19A4" w:rsidRPr="00E061FC" w:rsidRDefault="001C19A4" w:rsidP="00E061FC">
            <w:pPr>
              <w:spacing w:before="120" w:after="120"/>
              <w:rPr>
                <w:rStyle w:val="Strong"/>
                <w:b/>
                <w:bCs/>
              </w:rPr>
            </w:pPr>
            <w:r w:rsidRPr="00E061FC">
              <w:rPr>
                <w:rStyle w:val="Strong"/>
                <w:b/>
              </w:rPr>
              <w:t>5-Year Percent Change</w:t>
            </w:r>
          </w:p>
        </w:tc>
        <w:tc>
          <w:tcPr>
            <w:tcW w:w="1080" w:type="dxa"/>
            <w:tcBorders>
              <w:top w:val="none" w:sz="0" w:space="0" w:color="auto"/>
              <w:bottom w:val="none" w:sz="0" w:space="0" w:color="auto"/>
            </w:tcBorders>
            <w:vAlign w:val="center"/>
          </w:tcPr>
          <w:p w14:paraId="7CF6843B"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- 0.5%</w:t>
            </w:r>
          </w:p>
        </w:tc>
        <w:tc>
          <w:tcPr>
            <w:tcW w:w="1350" w:type="dxa"/>
            <w:tcBorders>
              <w:top w:val="none" w:sz="0" w:space="0" w:color="auto"/>
              <w:bottom w:val="none" w:sz="0" w:space="0" w:color="auto"/>
            </w:tcBorders>
            <w:noWrap/>
            <w:vAlign w:val="center"/>
          </w:tcPr>
          <w:p w14:paraId="183BB409"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- 25.2%</w:t>
            </w:r>
          </w:p>
        </w:tc>
        <w:tc>
          <w:tcPr>
            <w:tcW w:w="1260" w:type="dxa"/>
            <w:tcBorders>
              <w:top w:val="none" w:sz="0" w:space="0" w:color="auto"/>
              <w:bottom w:val="none" w:sz="0" w:space="0" w:color="auto"/>
            </w:tcBorders>
            <w:noWrap/>
            <w:vAlign w:val="center"/>
          </w:tcPr>
          <w:p w14:paraId="457686A0"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- 3.5%</w:t>
            </w:r>
          </w:p>
        </w:tc>
        <w:tc>
          <w:tcPr>
            <w:tcW w:w="990" w:type="dxa"/>
            <w:tcBorders>
              <w:top w:val="none" w:sz="0" w:space="0" w:color="auto"/>
              <w:bottom w:val="none" w:sz="0" w:space="0" w:color="auto"/>
            </w:tcBorders>
            <w:noWrap/>
            <w:vAlign w:val="center"/>
          </w:tcPr>
          <w:p w14:paraId="6F177B4B"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9.7%</w:t>
            </w:r>
          </w:p>
        </w:tc>
        <w:tc>
          <w:tcPr>
            <w:tcW w:w="1080" w:type="dxa"/>
            <w:tcBorders>
              <w:top w:val="none" w:sz="0" w:space="0" w:color="auto"/>
              <w:bottom w:val="none" w:sz="0" w:space="0" w:color="auto"/>
            </w:tcBorders>
            <w:noWrap/>
            <w:vAlign w:val="center"/>
          </w:tcPr>
          <w:p w14:paraId="72E1DDE9"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- 18.4%</w:t>
            </w:r>
          </w:p>
        </w:tc>
        <w:tc>
          <w:tcPr>
            <w:tcW w:w="1080" w:type="dxa"/>
            <w:tcBorders>
              <w:top w:val="none" w:sz="0" w:space="0" w:color="auto"/>
              <w:bottom w:val="none" w:sz="0" w:space="0" w:color="auto"/>
            </w:tcBorders>
            <w:noWrap/>
            <w:vAlign w:val="center"/>
          </w:tcPr>
          <w:p w14:paraId="5E0B229D"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- 7.6%</w:t>
            </w:r>
          </w:p>
        </w:tc>
      </w:tr>
    </w:tbl>
    <w:p w14:paraId="4A8E3445" w14:textId="77777777" w:rsidR="001C19A4" w:rsidRPr="00BB7C54" w:rsidRDefault="001C19A4" w:rsidP="005F27A6">
      <w:pPr>
        <w:pStyle w:val="TableSource"/>
        <w:rPr>
          <w:rStyle w:val="Strong"/>
          <w:b w:val="0"/>
          <w:bCs w:val="0"/>
        </w:rPr>
      </w:pPr>
      <w:r w:rsidRPr="00BB7C54">
        <w:rPr>
          <w:rStyle w:val="Strong"/>
        </w:rPr>
        <w:t>Source data: CALPADS</w:t>
      </w:r>
    </w:p>
    <w:p w14:paraId="4C782218" w14:textId="77777777" w:rsidR="001C19A4" w:rsidRPr="00243332" w:rsidRDefault="001C19A4" w:rsidP="005F27A6">
      <w:pPr>
        <w:ind w:left="360"/>
        <w:rPr>
          <w:rStyle w:val="Strong"/>
          <w:b w:val="0"/>
        </w:rPr>
      </w:pPr>
      <w:r w:rsidRPr="00243332">
        <w:rPr>
          <w:rStyle w:val="Strong"/>
          <w:b w:val="0"/>
        </w:rPr>
        <w:t>Over the past five years, the Mt. Diablo USD has had a 7.6 percent decrease in total student population, with the most significant changes (in terms of student numbers) being an 18.4 percent decrease in the white student population and a 3.5 percent decrease in the Hispanic or Latino student population. The African American or Black student population declined by a significant percentage (25.2 percent) during this time whereas the students identifying in other minority categories increased by 9.7 percent.</w:t>
      </w:r>
    </w:p>
    <w:p w14:paraId="37C0C331" w14:textId="64DFF64B" w:rsidR="001C19A4" w:rsidRDefault="001C19A4" w:rsidP="005F27A6">
      <w:pPr>
        <w:ind w:left="360"/>
      </w:pPr>
      <w:r w:rsidRPr="001A27E4">
        <w:t xml:space="preserve">As shown in </w:t>
      </w:r>
      <w:r w:rsidR="002F7493">
        <w:t>T</w:t>
      </w:r>
      <w:r w:rsidRPr="001A27E4">
        <w:t xml:space="preserve">able </w:t>
      </w:r>
      <w:r>
        <w:t>4</w:t>
      </w:r>
      <w:r w:rsidRPr="001A27E4">
        <w:t xml:space="preserve">b, the number of students in the combined grouping of all minorities in the Mt. Diablo USD decreased by </w:t>
      </w:r>
      <w:r>
        <w:t>2.2</w:t>
      </w:r>
      <w:r w:rsidRPr="001A27E4">
        <w:t xml:space="preserve"> percent during the five-year period from 2016–17 to 2020–21. The white student population decreased by 18.4 percent over the same time.</w:t>
      </w:r>
    </w:p>
    <w:p w14:paraId="790D0BC9" w14:textId="77777777" w:rsidR="001C19A4" w:rsidRPr="007A2408" w:rsidRDefault="001C19A4" w:rsidP="001F0B7E">
      <w:pPr>
        <w:pStyle w:val="Heading4"/>
      </w:pPr>
      <w:r w:rsidRPr="007A2408">
        <w:t xml:space="preserve">Table </w:t>
      </w:r>
      <w:r>
        <w:t>4</w:t>
      </w:r>
      <w:r w:rsidRPr="007A2408">
        <w:t>b. Mt. Diablo USD Minority Enrollment Change</w:t>
      </w:r>
    </w:p>
    <w:tbl>
      <w:tblPr>
        <w:tblStyle w:val="ListTable3-Accent5"/>
        <w:tblW w:w="8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hange of students in minority and white categories for the existing Mt. Diablo USD during the five year period from 2016-17 through 2020-21."/>
      </w:tblPr>
      <w:tblGrid>
        <w:gridCol w:w="4590"/>
        <w:gridCol w:w="1436"/>
        <w:gridCol w:w="1437"/>
        <w:gridCol w:w="1437"/>
      </w:tblGrid>
      <w:tr w:rsidR="001C19A4" w:rsidRPr="00E061FC" w14:paraId="65045EE7" w14:textId="77777777" w:rsidTr="00E061FC">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B4C6E7" w:themeFill="accent1" w:themeFillTint="66"/>
            <w:noWrap/>
            <w:vAlign w:val="center"/>
            <w:hideMark/>
          </w:tcPr>
          <w:p w14:paraId="048A07D2" w14:textId="77777777" w:rsidR="001C19A4" w:rsidRPr="00E061FC" w:rsidRDefault="001C19A4" w:rsidP="00E061FC">
            <w:pPr>
              <w:spacing w:before="120" w:after="120"/>
              <w:jc w:val="center"/>
              <w:rPr>
                <w:bCs w:val="0"/>
                <w:color w:val="000000"/>
              </w:rPr>
            </w:pPr>
            <w:r w:rsidRPr="00E061FC">
              <w:rPr>
                <w:bCs w:val="0"/>
                <w:color w:val="000000"/>
              </w:rPr>
              <w:t>Year</w:t>
            </w:r>
          </w:p>
        </w:tc>
        <w:tc>
          <w:tcPr>
            <w:tcW w:w="1436" w:type="dxa"/>
            <w:shd w:val="clear" w:color="auto" w:fill="B4C6E7" w:themeFill="accent1" w:themeFillTint="66"/>
            <w:vAlign w:val="center"/>
            <w:hideMark/>
          </w:tcPr>
          <w:p w14:paraId="3E5AC90C" w14:textId="77777777" w:rsidR="001C19A4" w:rsidRPr="00E061FC" w:rsidRDefault="001C19A4" w:rsidP="00E061F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Minority</w:t>
            </w:r>
          </w:p>
        </w:tc>
        <w:tc>
          <w:tcPr>
            <w:tcW w:w="1437" w:type="dxa"/>
            <w:shd w:val="clear" w:color="auto" w:fill="B4C6E7" w:themeFill="accent1" w:themeFillTint="66"/>
            <w:vAlign w:val="center"/>
            <w:hideMark/>
          </w:tcPr>
          <w:p w14:paraId="3BDFAF52" w14:textId="77777777" w:rsidR="001C19A4" w:rsidRPr="00E061FC" w:rsidRDefault="001C19A4" w:rsidP="00E061F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White</w:t>
            </w:r>
          </w:p>
        </w:tc>
        <w:tc>
          <w:tcPr>
            <w:tcW w:w="1437" w:type="dxa"/>
            <w:shd w:val="clear" w:color="auto" w:fill="B4C6E7" w:themeFill="accent1" w:themeFillTint="66"/>
            <w:vAlign w:val="center"/>
            <w:hideMark/>
          </w:tcPr>
          <w:p w14:paraId="0F55AE17" w14:textId="77777777" w:rsidR="001C19A4" w:rsidRPr="00E061FC" w:rsidRDefault="001C19A4" w:rsidP="00E061F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Total</w:t>
            </w:r>
          </w:p>
        </w:tc>
      </w:tr>
      <w:tr w:rsidR="001C19A4" w:rsidRPr="00553703" w14:paraId="0A88F04B" w14:textId="77777777" w:rsidTr="00E061F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hideMark/>
          </w:tcPr>
          <w:p w14:paraId="73B9A6BF" w14:textId="77777777" w:rsidR="001C19A4" w:rsidRPr="00E061FC" w:rsidRDefault="001C19A4" w:rsidP="00E061FC">
            <w:pPr>
              <w:spacing w:before="120" w:after="120"/>
              <w:rPr>
                <w:b w:val="0"/>
                <w:color w:val="000000"/>
              </w:rPr>
            </w:pPr>
            <w:r w:rsidRPr="00E061FC">
              <w:rPr>
                <w:rStyle w:val="Strong"/>
                <w:b/>
              </w:rPr>
              <w:t>2016–17</w:t>
            </w:r>
          </w:p>
        </w:tc>
        <w:tc>
          <w:tcPr>
            <w:tcW w:w="1436" w:type="dxa"/>
            <w:tcBorders>
              <w:top w:val="none" w:sz="0" w:space="0" w:color="auto"/>
              <w:bottom w:val="none" w:sz="0" w:space="0" w:color="auto"/>
            </w:tcBorders>
            <w:noWrap/>
            <w:vAlign w:val="center"/>
            <w:hideMark/>
          </w:tcPr>
          <w:p w14:paraId="343EDDA1"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20,227</w:t>
            </w:r>
          </w:p>
        </w:tc>
        <w:tc>
          <w:tcPr>
            <w:tcW w:w="1437" w:type="dxa"/>
            <w:tcBorders>
              <w:top w:val="none" w:sz="0" w:space="0" w:color="auto"/>
              <w:bottom w:val="none" w:sz="0" w:space="0" w:color="auto"/>
            </w:tcBorders>
            <w:noWrap/>
            <w:vAlign w:val="center"/>
            <w:hideMark/>
          </w:tcPr>
          <w:p w14:paraId="6AC94739"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F5617B">
              <w:t>10</w:t>
            </w:r>
            <w:r>
              <w:t>,</w:t>
            </w:r>
            <w:r w:rsidRPr="00F5617B">
              <w:t>114</w:t>
            </w:r>
          </w:p>
        </w:tc>
        <w:tc>
          <w:tcPr>
            <w:tcW w:w="1437" w:type="dxa"/>
            <w:tcBorders>
              <w:top w:val="none" w:sz="0" w:space="0" w:color="auto"/>
              <w:bottom w:val="none" w:sz="0" w:space="0" w:color="auto"/>
            </w:tcBorders>
            <w:noWrap/>
            <w:vAlign w:val="center"/>
            <w:hideMark/>
          </w:tcPr>
          <w:p w14:paraId="46BE3876"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F5617B">
              <w:t>30</w:t>
            </w:r>
            <w:r>
              <w:t>,</w:t>
            </w:r>
            <w:r w:rsidRPr="00F5617B">
              <w:t>341</w:t>
            </w:r>
          </w:p>
        </w:tc>
      </w:tr>
      <w:tr w:rsidR="001C19A4" w:rsidRPr="00553703" w14:paraId="2635451D" w14:textId="77777777" w:rsidTr="00E061FC">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hideMark/>
          </w:tcPr>
          <w:p w14:paraId="42773687" w14:textId="77777777" w:rsidR="001C19A4" w:rsidRPr="00E061FC" w:rsidRDefault="001C19A4" w:rsidP="00E061FC">
            <w:pPr>
              <w:spacing w:before="120" w:after="120"/>
              <w:rPr>
                <w:b w:val="0"/>
                <w:color w:val="000000"/>
              </w:rPr>
            </w:pPr>
            <w:r w:rsidRPr="00E061FC">
              <w:rPr>
                <w:rStyle w:val="Strong"/>
                <w:b/>
              </w:rPr>
              <w:t>2020–21</w:t>
            </w:r>
          </w:p>
        </w:tc>
        <w:tc>
          <w:tcPr>
            <w:tcW w:w="1436" w:type="dxa"/>
            <w:noWrap/>
            <w:vAlign w:val="center"/>
            <w:hideMark/>
          </w:tcPr>
          <w:p w14:paraId="7273A53E" w14:textId="77777777" w:rsidR="001C19A4" w:rsidRPr="00553703"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19,782</w:t>
            </w:r>
          </w:p>
        </w:tc>
        <w:tc>
          <w:tcPr>
            <w:tcW w:w="1437" w:type="dxa"/>
            <w:noWrap/>
            <w:vAlign w:val="center"/>
            <w:hideMark/>
          </w:tcPr>
          <w:p w14:paraId="5997314F" w14:textId="77777777" w:rsidR="001C19A4" w:rsidRPr="00553703"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F5617B">
              <w:t>8</w:t>
            </w:r>
            <w:r>
              <w:t>,</w:t>
            </w:r>
            <w:r w:rsidRPr="00F5617B">
              <w:t>249</w:t>
            </w:r>
          </w:p>
        </w:tc>
        <w:tc>
          <w:tcPr>
            <w:tcW w:w="1437" w:type="dxa"/>
            <w:noWrap/>
            <w:vAlign w:val="center"/>
            <w:hideMark/>
          </w:tcPr>
          <w:p w14:paraId="184B9239" w14:textId="77777777" w:rsidR="001C19A4" w:rsidRPr="00553703"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F5617B">
              <w:t>28</w:t>
            </w:r>
            <w:r>
              <w:t>,</w:t>
            </w:r>
            <w:r w:rsidRPr="00F5617B">
              <w:t>031</w:t>
            </w:r>
          </w:p>
        </w:tc>
      </w:tr>
      <w:tr w:rsidR="001C19A4" w:rsidRPr="004838FC" w14:paraId="4443955A" w14:textId="77777777" w:rsidTr="00E061F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tcPr>
          <w:p w14:paraId="64A92A0C" w14:textId="77777777" w:rsidR="001C19A4" w:rsidRPr="00E061FC" w:rsidRDefault="001C19A4" w:rsidP="00E061FC">
            <w:pPr>
              <w:spacing w:before="120" w:after="120"/>
              <w:rPr>
                <w:rStyle w:val="Strong"/>
                <w:b/>
                <w:bCs/>
              </w:rPr>
            </w:pPr>
            <w:r w:rsidRPr="00E061FC">
              <w:rPr>
                <w:rStyle w:val="Strong"/>
                <w:b/>
              </w:rPr>
              <w:t>5-Year Amount Change</w:t>
            </w:r>
          </w:p>
        </w:tc>
        <w:tc>
          <w:tcPr>
            <w:tcW w:w="1436" w:type="dxa"/>
            <w:tcBorders>
              <w:top w:val="none" w:sz="0" w:space="0" w:color="auto"/>
              <w:bottom w:val="none" w:sz="0" w:space="0" w:color="auto"/>
            </w:tcBorders>
            <w:noWrap/>
            <w:vAlign w:val="center"/>
          </w:tcPr>
          <w:p w14:paraId="48BEF742"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- 445</w:t>
            </w:r>
          </w:p>
        </w:tc>
        <w:tc>
          <w:tcPr>
            <w:tcW w:w="1437" w:type="dxa"/>
            <w:tcBorders>
              <w:top w:val="none" w:sz="0" w:space="0" w:color="auto"/>
              <w:bottom w:val="none" w:sz="0" w:space="0" w:color="auto"/>
            </w:tcBorders>
            <w:noWrap/>
            <w:vAlign w:val="center"/>
          </w:tcPr>
          <w:p w14:paraId="61208434"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- 1,865</w:t>
            </w:r>
          </w:p>
        </w:tc>
        <w:tc>
          <w:tcPr>
            <w:tcW w:w="1437" w:type="dxa"/>
            <w:tcBorders>
              <w:top w:val="none" w:sz="0" w:space="0" w:color="auto"/>
              <w:bottom w:val="none" w:sz="0" w:space="0" w:color="auto"/>
            </w:tcBorders>
            <w:noWrap/>
            <w:vAlign w:val="center"/>
          </w:tcPr>
          <w:p w14:paraId="377CA7F1"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xml:space="preserve"> - 2,310</w:t>
            </w:r>
          </w:p>
        </w:tc>
      </w:tr>
      <w:tr w:rsidR="001C19A4" w:rsidRPr="004838FC" w14:paraId="37F7ABC1" w14:textId="77777777" w:rsidTr="00E061FC">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6FC57E80" w14:textId="77777777" w:rsidR="001C19A4" w:rsidRPr="00E061FC" w:rsidRDefault="001C19A4" w:rsidP="00E061FC">
            <w:pPr>
              <w:spacing w:before="120" w:after="120"/>
              <w:rPr>
                <w:rStyle w:val="Strong"/>
                <w:b/>
                <w:bCs/>
              </w:rPr>
            </w:pPr>
            <w:r w:rsidRPr="00E061FC">
              <w:rPr>
                <w:rStyle w:val="Strong"/>
                <w:b/>
              </w:rPr>
              <w:t>5-Year Percent Change</w:t>
            </w:r>
          </w:p>
        </w:tc>
        <w:tc>
          <w:tcPr>
            <w:tcW w:w="1436" w:type="dxa"/>
            <w:noWrap/>
            <w:vAlign w:val="center"/>
          </w:tcPr>
          <w:p w14:paraId="0692E86B"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EE18F7">
              <w:rPr>
                <w:b/>
              </w:rPr>
              <w:t xml:space="preserve">- </w:t>
            </w:r>
            <w:r>
              <w:rPr>
                <w:b/>
              </w:rPr>
              <w:t>2</w:t>
            </w:r>
            <w:r w:rsidRPr="00EE18F7">
              <w:rPr>
                <w:b/>
              </w:rPr>
              <w:t>.</w:t>
            </w:r>
            <w:r>
              <w:rPr>
                <w:b/>
              </w:rPr>
              <w:t>2</w:t>
            </w:r>
            <w:r w:rsidRPr="00EE18F7">
              <w:rPr>
                <w:b/>
              </w:rPr>
              <w:t>%</w:t>
            </w:r>
          </w:p>
        </w:tc>
        <w:tc>
          <w:tcPr>
            <w:tcW w:w="1437" w:type="dxa"/>
            <w:noWrap/>
            <w:vAlign w:val="center"/>
          </w:tcPr>
          <w:p w14:paraId="4CEB0459"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EE18F7">
              <w:rPr>
                <w:b/>
              </w:rPr>
              <w:t>- 18.4%</w:t>
            </w:r>
          </w:p>
        </w:tc>
        <w:tc>
          <w:tcPr>
            <w:tcW w:w="1437" w:type="dxa"/>
            <w:noWrap/>
            <w:vAlign w:val="center"/>
          </w:tcPr>
          <w:p w14:paraId="6F129C00"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EE18F7">
              <w:rPr>
                <w:b/>
              </w:rPr>
              <w:t>- 7.6%</w:t>
            </w:r>
          </w:p>
        </w:tc>
      </w:tr>
    </w:tbl>
    <w:p w14:paraId="3384D96A" w14:textId="77777777" w:rsidR="001C19A4" w:rsidRPr="00BB7C54" w:rsidRDefault="001C19A4" w:rsidP="005F27A6">
      <w:pPr>
        <w:pStyle w:val="TableSource"/>
        <w:rPr>
          <w:rStyle w:val="Strong"/>
          <w:b w:val="0"/>
          <w:bCs w:val="0"/>
        </w:rPr>
      </w:pPr>
      <w:r w:rsidRPr="00BB7C54">
        <w:rPr>
          <w:rStyle w:val="Strong"/>
        </w:rPr>
        <w:t>Source data: CALPADS</w:t>
      </w:r>
    </w:p>
    <w:p w14:paraId="0A958A3B" w14:textId="4DBDBB87" w:rsidR="001C19A4" w:rsidRPr="001C652C" w:rsidRDefault="001C19A4" w:rsidP="005F27A6">
      <w:pPr>
        <w:ind w:left="360"/>
      </w:pPr>
      <w:r>
        <w:lastRenderedPageBreak/>
        <w:t xml:space="preserve">Tables 4c through 4j provide similar comparisons and trends for elementary, middle, and high school students in the existing Mt. Diablo USD. While both total enrollment and minority student enrollment declined overall as well as at the elementary and middle school levels over the five-year period examined, high schools experienced an increase of minority students. See </w:t>
      </w:r>
      <w:r w:rsidR="002F7493">
        <w:t>T</w:t>
      </w:r>
      <w:r>
        <w:t>ables 4i and 4j.</w:t>
      </w:r>
      <w:r w:rsidR="0024655D">
        <w:t xml:space="preserve"> </w:t>
      </w:r>
    </w:p>
    <w:p w14:paraId="25E4C14B" w14:textId="77777777" w:rsidR="001C19A4" w:rsidRPr="00F25A73" w:rsidRDefault="001C19A4" w:rsidP="001F0B7E">
      <w:pPr>
        <w:pStyle w:val="Heading4"/>
      </w:pPr>
      <w:bookmarkStart w:id="20" w:name="Table3c"/>
      <w:r w:rsidRPr="00F25A73">
        <w:t xml:space="preserve">Table </w:t>
      </w:r>
      <w:r>
        <w:t>4</w:t>
      </w:r>
      <w:r w:rsidRPr="00F25A73">
        <w:t>c. Elementary School Historical Racial/Ethnic Enrollment</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that resided in the proposed Northgate USD territory and attended schools outside of its territory and the number of students in racial/ethnic categories that attended .Northgate USD schools and who lived outside of its territory as of 2016-17."/>
      </w:tblPr>
      <w:tblGrid>
        <w:gridCol w:w="2160"/>
        <w:gridCol w:w="1080"/>
        <w:gridCol w:w="1350"/>
        <w:gridCol w:w="1260"/>
        <w:gridCol w:w="990"/>
        <w:gridCol w:w="1080"/>
        <w:gridCol w:w="1080"/>
      </w:tblGrid>
      <w:tr w:rsidR="001C19A4" w:rsidRPr="00E061FC" w14:paraId="6B7823EA" w14:textId="77777777" w:rsidTr="00E061FC">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shd w:val="clear" w:color="auto" w:fill="B4C6E7" w:themeFill="accent1" w:themeFillTint="66"/>
            <w:noWrap/>
            <w:vAlign w:val="center"/>
            <w:hideMark/>
          </w:tcPr>
          <w:p w14:paraId="53D81524" w14:textId="77777777" w:rsidR="001C19A4" w:rsidRPr="00E061FC" w:rsidRDefault="001C19A4" w:rsidP="00E061FC">
            <w:pPr>
              <w:spacing w:before="120" w:after="120"/>
              <w:jc w:val="center"/>
              <w:rPr>
                <w:bCs w:val="0"/>
                <w:color w:val="000000"/>
              </w:rPr>
            </w:pPr>
            <w:bookmarkStart w:id="21" w:name="_Hlk92096615"/>
            <w:r w:rsidRPr="00E061FC">
              <w:rPr>
                <w:bCs w:val="0"/>
                <w:color w:val="000000"/>
              </w:rPr>
              <w:t>Year</w:t>
            </w:r>
          </w:p>
        </w:tc>
        <w:tc>
          <w:tcPr>
            <w:tcW w:w="1080" w:type="dxa"/>
            <w:shd w:val="clear" w:color="auto" w:fill="B4C6E7" w:themeFill="accent1" w:themeFillTint="66"/>
            <w:vAlign w:val="center"/>
          </w:tcPr>
          <w:p w14:paraId="23AFD714" w14:textId="77777777" w:rsidR="001C19A4" w:rsidRPr="00E061FC" w:rsidRDefault="001C19A4" w:rsidP="00E061FC">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Asian</w:t>
            </w:r>
          </w:p>
        </w:tc>
        <w:tc>
          <w:tcPr>
            <w:tcW w:w="1350" w:type="dxa"/>
            <w:shd w:val="clear" w:color="auto" w:fill="B4C6E7" w:themeFill="accent1" w:themeFillTint="66"/>
            <w:vAlign w:val="center"/>
            <w:hideMark/>
          </w:tcPr>
          <w:p w14:paraId="2BDADB4E" w14:textId="77777777" w:rsidR="001C19A4" w:rsidRPr="00E061FC" w:rsidRDefault="001C19A4" w:rsidP="00E061FC">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Black or African American</w:t>
            </w:r>
          </w:p>
        </w:tc>
        <w:tc>
          <w:tcPr>
            <w:tcW w:w="1260" w:type="dxa"/>
            <w:shd w:val="clear" w:color="auto" w:fill="B4C6E7" w:themeFill="accent1" w:themeFillTint="66"/>
            <w:vAlign w:val="center"/>
            <w:hideMark/>
          </w:tcPr>
          <w:p w14:paraId="061C0C4B" w14:textId="77777777" w:rsidR="001C19A4" w:rsidRPr="00E061FC" w:rsidRDefault="001C19A4" w:rsidP="00E061F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Hispanic or Latino</w:t>
            </w:r>
          </w:p>
        </w:tc>
        <w:tc>
          <w:tcPr>
            <w:tcW w:w="990" w:type="dxa"/>
            <w:shd w:val="clear" w:color="auto" w:fill="B4C6E7" w:themeFill="accent1" w:themeFillTint="66"/>
            <w:vAlign w:val="center"/>
            <w:hideMark/>
          </w:tcPr>
          <w:p w14:paraId="7D103B43" w14:textId="77777777" w:rsidR="001C19A4" w:rsidRPr="00E061FC" w:rsidRDefault="001C19A4" w:rsidP="00E061F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Other</w:t>
            </w:r>
          </w:p>
        </w:tc>
        <w:tc>
          <w:tcPr>
            <w:tcW w:w="1080" w:type="dxa"/>
            <w:shd w:val="clear" w:color="auto" w:fill="B4C6E7" w:themeFill="accent1" w:themeFillTint="66"/>
            <w:vAlign w:val="center"/>
            <w:hideMark/>
          </w:tcPr>
          <w:p w14:paraId="72BE6502" w14:textId="77777777" w:rsidR="001C19A4" w:rsidRPr="00E061FC" w:rsidRDefault="001C19A4" w:rsidP="00E061F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White</w:t>
            </w:r>
          </w:p>
        </w:tc>
        <w:tc>
          <w:tcPr>
            <w:tcW w:w="1080" w:type="dxa"/>
            <w:shd w:val="clear" w:color="auto" w:fill="B4C6E7" w:themeFill="accent1" w:themeFillTint="66"/>
            <w:vAlign w:val="center"/>
            <w:hideMark/>
          </w:tcPr>
          <w:p w14:paraId="0D35FEAE" w14:textId="77777777" w:rsidR="001C19A4" w:rsidRPr="00E061FC" w:rsidRDefault="001C19A4" w:rsidP="00E061F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E061FC">
              <w:rPr>
                <w:color w:val="000000"/>
              </w:rPr>
              <w:t>Total</w:t>
            </w:r>
          </w:p>
        </w:tc>
      </w:tr>
      <w:bookmarkEnd w:id="20"/>
      <w:bookmarkEnd w:id="21"/>
      <w:tr w:rsidR="001C19A4" w:rsidRPr="00553703" w14:paraId="57F2277E"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7B06A584" w14:textId="77777777" w:rsidR="001C19A4" w:rsidRPr="00E061FC" w:rsidRDefault="001C19A4" w:rsidP="00E061FC">
            <w:pPr>
              <w:spacing w:before="120" w:after="120"/>
              <w:rPr>
                <w:b w:val="0"/>
                <w:color w:val="000000"/>
              </w:rPr>
            </w:pPr>
            <w:r w:rsidRPr="00E061FC">
              <w:rPr>
                <w:rStyle w:val="Strong"/>
                <w:b/>
              </w:rPr>
              <w:t>2016–17</w:t>
            </w:r>
          </w:p>
        </w:tc>
        <w:tc>
          <w:tcPr>
            <w:tcW w:w="1080" w:type="dxa"/>
            <w:tcBorders>
              <w:top w:val="none" w:sz="0" w:space="0" w:color="auto"/>
              <w:bottom w:val="none" w:sz="0" w:space="0" w:color="auto"/>
            </w:tcBorders>
            <w:vAlign w:val="center"/>
          </w:tcPr>
          <w:p w14:paraId="4908AD2B" w14:textId="77777777" w:rsidR="001C19A4" w:rsidRPr="006611AA"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pPr>
            <w:r w:rsidRPr="006611AA">
              <w:t>1</w:t>
            </w:r>
            <w:r>
              <w:t>,</w:t>
            </w:r>
            <w:r w:rsidRPr="006611AA">
              <w:t>098</w:t>
            </w:r>
          </w:p>
        </w:tc>
        <w:tc>
          <w:tcPr>
            <w:tcW w:w="1350" w:type="dxa"/>
            <w:tcBorders>
              <w:top w:val="none" w:sz="0" w:space="0" w:color="auto"/>
              <w:bottom w:val="none" w:sz="0" w:space="0" w:color="auto"/>
            </w:tcBorders>
            <w:noWrap/>
            <w:vAlign w:val="center"/>
            <w:hideMark/>
          </w:tcPr>
          <w:p w14:paraId="6CE819F8"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517</w:t>
            </w:r>
          </w:p>
        </w:tc>
        <w:tc>
          <w:tcPr>
            <w:tcW w:w="1260" w:type="dxa"/>
            <w:tcBorders>
              <w:top w:val="none" w:sz="0" w:space="0" w:color="auto"/>
              <w:bottom w:val="none" w:sz="0" w:space="0" w:color="auto"/>
            </w:tcBorders>
            <w:noWrap/>
            <w:vAlign w:val="center"/>
            <w:hideMark/>
          </w:tcPr>
          <w:p w14:paraId="1F3926A6"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6</w:t>
            </w:r>
            <w:r>
              <w:t>,</w:t>
            </w:r>
            <w:r w:rsidRPr="006611AA">
              <w:t>610</w:t>
            </w:r>
          </w:p>
        </w:tc>
        <w:tc>
          <w:tcPr>
            <w:tcW w:w="990" w:type="dxa"/>
            <w:tcBorders>
              <w:top w:val="none" w:sz="0" w:space="0" w:color="auto"/>
              <w:bottom w:val="none" w:sz="0" w:space="0" w:color="auto"/>
            </w:tcBorders>
            <w:noWrap/>
            <w:vAlign w:val="center"/>
            <w:hideMark/>
          </w:tcPr>
          <w:p w14:paraId="6E8C62FA"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1</w:t>
            </w:r>
            <w:r>
              <w:t>,</w:t>
            </w:r>
            <w:r w:rsidRPr="006611AA">
              <w:t>885</w:t>
            </w:r>
          </w:p>
        </w:tc>
        <w:tc>
          <w:tcPr>
            <w:tcW w:w="1080" w:type="dxa"/>
            <w:tcBorders>
              <w:top w:val="none" w:sz="0" w:space="0" w:color="auto"/>
              <w:bottom w:val="none" w:sz="0" w:space="0" w:color="auto"/>
            </w:tcBorders>
            <w:noWrap/>
            <w:vAlign w:val="center"/>
            <w:hideMark/>
          </w:tcPr>
          <w:p w14:paraId="1ABE0543"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4</w:t>
            </w:r>
            <w:r>
              <w:t>,</w:t>
            </w:r>
            <w:r w:rsidRPr="006611AA">
              <w:t>713</w:t>
            </w:r>
          </w:p>
        </w:tc>
        <w:tc>
          <w:tcPr>
            <w:tcW w:w="1080" w:type="dxa"/>
            <w:tcBorders>
              <w:top w:val="none" w:sz="0" w:space="0" w:color="auto"/>
              <w:bottom w:val="none" w:sz="0" w:space="0" w:color="auto"/>
            </w:tcBorders>
            <w:noWrap/>
            <w:vAlign w:val="center"/>
            <w:hideMark/>
          </w:tcPr>
          <w:p w14:paraId="06DC994F"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14</w:t>
            </w:r>
            <w:r>
              <w:t>,</w:t>
            </w:r>
            <w:r w:rsidRPr="006611AA">
              <w:t>823</w:t>
            </w:r>
          </w:p>
        </w:tc>
      </w:tr>
      <w:tr w:rsidR="001C19A4" w:rsidRPr="00553703" w14:paraId="566A0594" w14:textId="77777777" w:rsidTr="00E061F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7FE1E4A9" w14:textId="77777777" w:rsidR="001C19A4" w:rsidRPr="00E061FC" w:rsidRDefault="001C19A4" w:rsidP="00E061FC">
            <w:pPr>
              <w:spacing w:before="120" w:after="120"/>
              <w:rPr>
                <w:rStyle w:val="Strong"/>
                <w:b/>
                <w:bCs/>
              </w:rPr>
            </w:pPr>
            <w:r w:rsidRPr="00E061FC">
              <w:rPr>
                <w:rStyle w:val="Strong"/>
                <w:b/>
              </w:rPr>
              <w:t>2017–18</w:t>
            </w:r>
          </w:p>
        </w:tc>
        <w:tc>
          <w:tcPr>
            <w:tcW w:w="1080" w:type="dxa"/>
            <w:vAlign w:val="center"/>
          </w:tcPr>
          <w:p w14:paraId="180E2A12" w14:textId="77777777" w:rsidR="001C19A4" w:rsidRPr="006611AA"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pPr>
            <w:r w:rsidRPr="006611AA">
              <w:t>1</w:t>
            </w:r>
            <w:r>
              <w:t>,</w:t>
            </w:r>
            <w:r w:rsidRPr="006611AA">
              <w:t>112</w:t>
            </w:r>
          </w:p>
        </w:tc>
        <w:tc>
          <w:tcPr>
            <w:tcW w:w="1350" w:type="dxa"/>
            <w:noWrap/>
            <w:vAlign w:val="center"/>
          </w:tcPr>
          <w:p w14:paraId="7270C5FC"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471</w:t>
            </w:r>
          </w:p>
        </w:tc>
        <w:tc>
          <w:tcPr>
            <w:tcW w:w="1260" w:type="dxa"/>
            <w:noWrap/>
            <w:vAlign w:val="center"/>
          </w:tcPr>
          <w:p w14:paraId="6B683F64"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6</w:t>
            </w:r>
            <w:r>
              <w:t>,</w:t>
            </w:r>
            <w:r w:rsidRPr="006611AA">
              <w:t>272</w:t>
            </w:r>
          </w:p>
        </w:tc>
        <w:tc>
          <w:tcPr>
            <w:tcW w:w="990" w:type="dxa"/>
            <w:noWrap/>
            <w:vAlign w:val="center"/>
          </w:tcPr>
          <w:p w14:paraId="1954E06F"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1</w:t>
            </w:r>
            <w:r>
              <w:t>,</w:t>
            </w:r>
            <w:r w:rsidRPr="006611AA">
              <w:t>917</w:t>
            </w:r>
          </w:p>
        </w:tc>
        <w:tc>
          <w:tcPr>
            <w:tcW w:w="1080" w:type="dxa"/>
            <w:noWrap/>
            <w:vAlign w:val="center"/>
          </w:tcPr>
          <w:p w14:paraId="6832B499"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4</w:t>
            </w:r>
            <w:r>
              <w:t>,</w:t>
            </w:r>
            <w:r w:rsidRPr="006611AA">
              <w:t>447</w:t>
            </w:r>
          </w:p>
        </w:tc>
        <w:tc>
          <w:tcPr>
            <w:tcW w:w="1080" w:type="dxa"/>
            <w:noWrap/>
            <w:vAlign w:val="center"/>
          </w:tcPr>
          <w:p w14:paraId="7C474D36"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14</w:t>
            </w:r>
            <w:r>
              <w:t>,</w:t>
            </w:r>
            <w:r w:rsidRPr="006611AA">
              <w:t>219</w:t>
            </w:r>
          </w:p>
        </w:tc>
      </w:tr>
      <w:tr w:rsidR="001C19A4" w:rsidRPr="00553703" w14:paraId="10938FBF"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3C64ED6F" w14:textId="77777777" w:rsidR="001C19A4" w:rsidRPr="00E061FC" w:rsidRDefault="001C19A4" w:rsidP="00E061FC">
            <w:pPr>
              <w:spacing w:before="120" w:after="120"/>
              <w:rPr>
                <w:rStyle w:val="Strong"/>
                <w:b/>
                <w:bCs/>
              </w:rPr>
            </w:pPr>
            <w:r w:rsidRPr="00E061FC">
              <w:rPr>
                <w:rStyle w:val="Strong"/>
                <w:b/>
              </w:rPr>
              <w:t>2018–19</w:t>
            </w:r>
          </w:p>
        </w:tc>
        <w:tc>
          <w:tcPr>
            <w:tcW w:w="1080" w:type="dxa"/>
            <w:tcBorders>
              <w:top w:val="none" w:sz="0" w:space="0" w:color="auto"/>
              <w:bottom w:val="none" w:sz="0" w:space="0" w:color="auto"/>
            </w:tcBorders>
            <w:vAlign w:val="center"/>
          </w:tcPr>
          <w:p w14:paraId="06F5A008" w14:textId="77777777" w:rsidR="001C19A4" w:rsidRPr="009D21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pPr>
            <w:r w:rsidRPr="009D2103">
              <w:t>1</w:t>
            </w:r>
            <w:r>
              <w:t>,</w:t>
            </w:r>
            <w:r w:rsidRPr="009D2103">
              <w:t>039</w:t>
            </w:r>
          </w:p>
        </w:tc>
        <w:tc>
          <w:tcPr>
            <w:tcW w:w="1350" w:type="dxa"/>
            <w:tcBorders>
              <w:top w:val="none" w:sz="0" w:space="0" w:color="auto"/>
              <w:bottom w:val="none" w:sz="0" w:space="0" w:color="auto"/>
            </w:tcBorders>
            <w:noWrap/>
            <w:vAlign w:val="center"/>
          </w:tcPr>
          <w:p w14:paraId="18090B2E"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D2103">
              <w:t>399</w:t>
            </w:r>
          </w:p>
        </w:tc>
        <w:tc>
          <w:tcPr>
            <w:tcW w:w="1260" w:type="dxa"/>
            <w:tcBorders>
              <w:top w:val="none" w:sz="0" w:space="0" w:color="auto"/>
              <w:bottom w:val="none" w:sz="0" w:space="0" w:color="auto"/>
            </w:tcBorders>
            <w:noWrap/>
            <w:vAlign w:val="center"/>
          </w:tcPr>
          <w:p w14:paraId="2DFEA6FF"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D2103">
              <w:t>6</w:t>
            </w:r>
            <w:r>
              <w:t>,</w:t>
            </w:r>
            <w:r w:rsidRPr="009D2103">
              <w:t>147</w:t>
            </w:r>
          </w:p>
        </w:tc>
        <w:tc>
          <w:tcPr>
            <w:tcW w:w="990" w:type="dxa"/>
            <w:tcBorders>
              <w:top w:val="none" w:sz="0" w:space="0" w:color="auto"/>
              <w:bottom w:val="none" w:sz="0" w:space="0" w:color="auto"/>
            </w:tcBorders>
            <w:noWrap/>
            <w:vAlign w:val="center"/>
          </w:tcPr>
          <w:p w14:paraId="1D5962D3"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D2103">
              <w:t>1</w:t>
            </w:r>
            <w:r>
              <w:t>,</w:t>
            </w:r>
            <w:r w:rsidRPr="009D2103">
              <w:t>779</w:t>
            </w:r>
          </w:p>
        </w:tc>
        <w:tc>
          <w:tcPr>
            <w:tcW w:w="1080" w:type="dxa"/>
            <w:tcBorders>
              <w:top w:val="none" w:sz="0" w:space="0" w:color="auto"/>
              <w:bottom w:val="none" w:sz="0" w:space="0" w:color="auto"/>
            </w:tcBorders>
            <w:noWrap/>
            <w:vAlign w:val="center"/>
          </w:tcPr>
          <w:p w14:paraId="0930F87F"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D2103">
              <w:t>3</w:t>
            </w:r>
            <w:r>
              <w:t>,</w:t>
            </w:r>
            <w:r w:rsidRPr="009D2103">
              <w:t>914</w:t>
            </w:r>
          </w:p>
        </w:tc>
        <w:tc>
          <w:tcPr>
            <w:tcW w:w="1080" w:type="dxa"/>
            <w:tcBorders>
              <w:top w:val="none" w:sz="0" w:space="0" w:color="auto"/>
              <w:bottom w:val="none" w:sz="0" w:space="0" w:color="auto"/>
            </w:tcBorders>
            <w:noWrap/>
            <w:vAlign w:val="center"/>
          </w:tcPr>
          <w:p w14:paraId="36B9CA52" w14:textId="77777777" w:rsidR="001C19A4"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D2103">
              <w:t>13</w:t>
            </w:r>
            <w:r>
              <w:t>,</w:t>
            </w:r>
            <w:r w:rsidRPr="009D2103">
              <w:t>278</w:t>
            </w:r>
          </w:p>
        </w:tc>
      </w:tr>
      <w:tr w:rsidR="001C19A4" w:rsidRPr="00553703" w14:paraId="2087D563" w14:textId="77777777" w:rsidTr="00E061F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07FE51B4" w14:textId="77777777" w:rsidR="001C19A4" w:rsidRPr="00E061FC" w:rsidRDefault="001C19A4" w:rsidP="00E061FC">
            <w:pPr>
              <w:spacing w:before="120" w:after="120"/>
              <w:rPr>
                <w:rStyle w:val="Strong"/>
                <w:b/>
                <w:bCs/>
              </w:rPr>
            </w:pPr>
            <w:r w:rsidRPr="00E061FC">
              <w:rPr>
                <w:rStyle w:val="Strong"/>
                <w:b/>
              </w:rPr>
              <w:t>2019–20</w:t>
            </w:r>
          </w:p>
        </w:tc>
        <w:tc>
          <w:tcPr>
            <w:tcW w:w="1080" w:type="dxa"/>
            <w:vAlign w:val="center"/>
          </w:tcPr>
          <w:p w14:paraId="42912C86" w14:textId="77777777" w:rsidR="001C19A4" w:rsidRPr="006611AA"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pPr>
            <w:r w:rsidRPr="006611AA">
              <w:t>1</w:t>
            </w:r>
            <w:r>
              <w:t>,</w:t>
            </w:r>
            <w:r w:rsidRPr="006611AA">
              <w:t>186</w:t>
            </w:r>
          </w:p>
        </w:tc>
        <w:tc>
          <w:tcPr>
            <w:tcW w:w="1350" w:type="dxa"/>
            <w:noWrap/>
            <w:vAlign w:val="center"/>
          </w:tcPr>
          <w:p w14:paraId="5665EB1E"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478</w:t>
            </w:r>
          </w:p>
        </w:tc>
        <w:tc>
          <w:tcPr>
            <w:tcW w:w="1260" w:type="dxa"/>
            <w:noWrap/>
            <w:vAlign w:val="center"/>
          </w:tcPr>
          <w:p w14:paraId="1EF9C0F5"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6</w:t>
            </w:r>
            <w:r>
              <w:t>,</w:t>
            </w:r>
            <w:r w:rsidRPr="006611AA">
              <w:t>104</w:t>
            </w:r>
          </w:p>
        </w:tc>
        <w:tc>
          <w:tcPr>
            <w:tcW w:w="990" w:type="dxa"/>
            <w:noWrap/>
            <w:vAlign w:val="center"/>
          </w:tcPr>
          <w:p w14:paraId="6E6C2F6C"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2</w:t>
            </w:r>
            <w:r>
              <w:t>,</w:t>
            </w:r>
            <w:r w:rsidRPr="006611AA">
              <w:t>078</w:t>
            </w:r>
          </w:p>
        </w:tc>
        <w:tc>
          <w:tcPr>
            <w:tcW w:w="1080" w:type="dxa"/>
            <w:noWrap/>
            <w:vAlign w:val="center"/>
          </w:tcPr>
          <w:p w14:paraId="476439D2"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4</w:t>
            </w:r>
            <w:r>
              <w:t>,</w:t>
            </w:r>
            <w:r w:rsidRPr="006611AA">
              <w:t>406</w:t>
            </w:r>
          </w:p>
        </w:tc>
        <w:tc>
          <w:tcPr>
            <w:tcW w:w="1080" w:type="dxa"/>
            <w:noWrap/>
            <w:vAlign w:val="center"/>
          </w:tcPr>
          <w:p w14:paraId="6B0B033B" w14:textId="77777777" w:rsidR="001C19A4"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6611AA">
              <w:t>14</w:t>
            </w:r>
            <w:r>
              <w:t>,</w:t>
            </w:r>
            <w:r w:rsidRPr="006611AA">
              <w:t>252</w:t>
            </w:r>
          </w:p>
        </w:tc>
      </w:tr>
      <w:tr w:rsidR="001C19A4" w:rsidRPr="00553703" w14:paraId="4C6138EA"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1612009F" w14:textId="77777777" w:rsidR="001C19A4" w:rsidRPr="00E061FC" w:rsidRDefault="001C19A4" w:rsidP="00E061FC">
            <w:pPr>
              <w:spacing w:before="120" w:after="120"/>
              <w:rPr>
                <w:b w:val="0"/>
                <w:color w:val="000000"/>
              </w:rPr>
            </w:pPr>
            <w:r w:rsidRPr="00E061FC">
              <w:rPr>
                <w:rStyle w:val="Strong"/>
                <w:b/>
              </w:rPr>
              <w:t>2020–21</w:t>
            </w:r>
          </w:p>
        </w:tc>
        <w:tc>
          <w:tcPr>
            <w:tcW w:w="1080" w:type="dxa"/>
            <w:tcBorders>
              <w:top w:val="none" w:sz="0" w:space="0" w:color="auto"/>
              <w:bottom w:val="none" w:sz="0" w:space="0" w:color="auto"/>
            </w:tcBorders>
            <w:vAlign w:val="center"/>
          </w:tcPr>
          <w:p w14:paraId="4BAE9C71" w14:textId="77777777" w:rsidR="001C19A4" w:rsidRPr="006611AA"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pPr>
            <w:r w:rsidRPr="006611AA">
              <w:t>1</w:t>
            </w:r>
            <w:r>
              <w:t>,</w:t>
            </w:r>
            <w:r w:rsidRPr="006611AA">
              <w:t>180</w:t>
            </w:r>
          </w:p>
        </w:tc>
        <w:tc>
          <w:tcPr>
            <w:tcW w:w="1350" w:type="dxa"/>
            <w:tcBorders>
              <w:top w:val="none" w:sz="0" w:space="0" w:color="auto"/>
              <w:bottom w:val="none" w:sz="0" w:space="0" w:color="auto"/>
            </w:tcBorders>
            <w:noWrap/>
            <w:vAlign w:val="center"/>
            <w:hideMark/>
          </w:tcPr>
          <w:p w14:paraId="04B47C3D"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407</w:t>
            </w:r>
          </w:p>
        </w:tc>
        <w:tc>
          <w:tcPr>
            <w:tcW w:w="1260" w:type="dxa"/>
            <w:tcBorders>
              <w:top w:val="none" w:sz="0" w:space="0" w:color="auto"/>
              <w:bottom w:val="none" w:sz="0" w:space="0" w:color="auto"/>
            </w:tcBorders>
            <w:noWrap/>
            <w:vAlign w:val="center"/>
            <w:hideMark/>
          </w:tcPr>
          <w:p w14:paraId="1B0ED3D4"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5</w:t>
            </w:r>
            <w:r>
              <w:t>,</w:t>
            </w:r>
            <w:r w:rsidRPr="006611AA">
              <w:t>746</w:t>
            </w:r>
          </w:p>
        </w:tc>
        <w:tc>
          <w:tcPr>
            <w:tcW w:w="990" w:type="dxa"/>
            <w:tcBorders>
              <w:top w:val="none" w:sz="0" w:space="0" w:color="auto"/>
              <w:bottom w:val="none" w:sz="0" w:space="0" w:color="auto"/>
            </w:tcBorders>
            <w:noWrap/>
            <w:vAlign w:val="center"/>
            <w:hideMark/>
          </w:tcPr>
          <w:p w14:paraId="22E1312D"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1</w:t>
            </w:r>
            <w:r>
              <w:t>,</w:t>
            </w:r>
            <w:r w:rsidRPr="006611AA">
              <w:t>989</w:t>
            </w:r>
          </w:p>
        </w:tc>
        <w:tc>
          <w:tcPr>
            <w:tcW w:w="1080" w:type="dxa"/>
            <w:tcBorders>
              <w:top w:val="none" w:sz="0" w:space="0" w:color="auto"/>
              <w:bottom w:val="none" w:sz="0" w:space="0" w:color="auto"/>
            </w:tcBorders>
            <w:noWrap/>
            <w:vAlign w:val="center"/>
            <w:hideMark/>
          </w:tcPr>
          <w:p w14:paraId="342857ED"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4</w:t>
            </w:r>
            <w:r>
              <w:t>,</w:t>
            </w:r>
            <w:r w:rsidRPr="006611AA">
              <w:t>110</w:t>
            </w:r>
          </w:p>
        </w:tc>
        <w:tc>
          <w:tcPr>
            <w:tcW w:w="1080" w:type="dxa"/>
            <w:tcBorders>
              <w:top w:val="none" w:sz="0" w:space="0" w:color="auto"/>
              <w:bottom w:val="none" w:sz="0" w:space="0" w:color="auto"/>
            </w:tcBorders>
            <w:noWrap/>
            <w:vAlign w:val="center"/>
            <w:hideMark/>
          </w:tcPr>
          <w:p w14:paraId="0AC1EB01" w14:textId="77777777" w:rsidR="001C19A4" w:rsidRPr="00553703"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6611AA">
              <w:t>13</w:t>
            </w:r>
            <w:r>
              <w:t>,</w:t>
            </w:r>
            <w:r w:rsidRPr="006611AA">
              <w:t>432</w:t>
            </w:r>
          </w:p>
        </w:tc>
      </w:tr>
      <w:tr w:rsidR="001C19A4" w:rsidRPr="004838FC" w14:paraId="63469140" w14:textId="77777777" w:rsidTr="00E061F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48D141A6" w14:textId="77777777" w:rsidR="001C19A4" w:rsidRPr="00E061FC" w:rsidRDefault="001C19A4" w:rsidP="00E061FC">
            <w:pPr>
              <w:spacing w:before="120" w:after="120"/>
              <w:rPr>
                <w:rStyle w:val="Strong"/>
                <w:b/>
                <w:bCs/>
              </w:rPr>
            </w:pPr>
            <w:r w:rsidRPr="00E061FC">
              <w:rPr>
                <w:rStyle w:val="Strong"/>
                <w:b/>
              </w:rPr>
              <w:t>5-Year Amount Change</w:t>
            </w:r>
          </w:p>
        </w:tc>
        <w:tc>
          <w:tcPr>
            <w:tcW w:w="1080" w:type="dxa"/>
            <w:vAlign w:val="center"/>
          </w:tcPr>
          <w:p w14:paraId="1ED05293"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82</w:t>
            </w:r>
          </w:p>
        </w:tc>
        <w:tc>
          <w:tcPr>
            <w:tcW w:w="1350" w:type="dxa"/>
            <w:noWrap/>
            <w:vAlign w:val="center"/>
          </w:tcPr>
          <w:p w14:paraId="38FCA001"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- 110</w:t>
            </w:r>
          </w:p>
        </w:tc>
        <w:tc>
          <w:tcPr>
            <w:tcW w:w="1260" w:type="dxa"/>
            <w:noWrap/>
            <w:vAlign w:val="center"/>
          </w:tcPr>
          <w:p w14:paraId="4E930E98"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- 864</w:t>
            </w:r>
          </w:p>
        </w:tc>
        <w:tc>
          <w:tcPr>
            <w:tcW w:w="990" w:type="dxa"/>
            <w:noWrap/>
            <w:vAlign w:val="center"/>
          </w:tcPr>
          <w:p w14:paraId="7AA3BAF3"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104</w:t>
            </w:r>
          </w:p>
        </w:tc>
        <w:tc>
          <w:tcPr>
            <w:tcW w:w="1080" w:type="dxa"/>
            <w:noWrap/>
            <w:vAlign w:val="center"/>
          </w:tcPr>
          <w:p w14:paraId="76480565"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- 603</w:t>
            </w:r>
          </w:p>
        </w:tc>
        <w:tc>
          <w:tcPr>
            <w:tcW w:w="1080" w:type="dxa"/>
            <w:noWrap/>
            <w:vAlign w:val="center"/>
          </w:tcPr>
          <w:p w14:paraId="4403DD1E" w14:textId="77777777" w:rsidR="001C19A4" w:rsidRPr="00EE18F7" w:rsidRDefault="001C19A4" w:rsidP="00E061F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EE18F7">
              <w:rPr>
                <w:b/>
              </w:rPr>
              <w:t>- 1,391</w:t>
            </w:r>
          </w:p>
        </w:tc>
      </w:tr>
      <w:tr w:rsidR="001C19A4" w:rsidRPr="004838FC" w14:paraId="23CD78C4" w14:textId="77777777" w:rsidTr="00E061F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253F3DC9" w14:textId="77777777" w:rsidR="001C19A4" w:rsidRPr="00E061FC" w:rsidRDefault="001C19A4" w:rsidP="00E061FC">
            <w:pPr>
              <w:spacing w:before="120" w:after="120"/>
              <w:rPr>
                <w:rStyle w:val="Strong"/>
                <w:b/>
                <w:bCs/>
              </w:rPr>
            </w:pPr>
            <w:r w:rsidRPr="00E061FC">
              <w:rPr>
                <w:rStyle w:val="Strong"/>
                <w:b/>
              </w:rPr>
              <w:t>5-Year Percent Change</w:t>
            </w:r>
          </w:p>
        </w:tc>
        <w:tc>
          <w:tcPr>
            <w:tcW w:w="1080" w:type="dxa"/>
            <w:tcBorders>
              <w:top w:val="none" w:sz="0" w:space="0" w:color="auto"/>
              <w:bottom w:val="none" w:sz="0" w:space="0" w:color="auto"/>
            </w:tcBorders>
            <w:vAlign w:val="center"/>
          </w:tcPr>
          <w:p w14:paraId="06321354"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7.5%</w:t>
            </w:r>
          </w:p>
        </w:tc>
        <w:tc>
          <w:tcPr>
            <w:tcW w:w="1350" w:type="dxa"/>
            <w:tcBorders>
              <w:top w:val="none" w:sz="0" w:space="0" w:color="auto"/>
              <w:bottom w:val="none" w:sz="0" w:space="0" w:color="auto"/>
            </w:tcBorders>
            <w:noWrap/>
            <w:vAlign w:val="center"/>
          </w:tcPr>
          <w:p w14:paraId="4A1C1FAF"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- 21.3%</w:t>
            </w:r>
          </w:p>
        </w:tc>
        <w:tc>
          <w:tcPr>
            <w:tcW w:w="1260" w:type="dxa"/>
            <w:tcBorders>
              <w:top w:val="none" w:sz="0" w:space="0" w:color="auto"/>
              <w:bottom w:val="none" w:sz="0" w:space="0" w:color="auto"/>
            </w:tcBorders>
            <w:noWrap/>
            <w:vAlign w:val="center"/>
          </w:tcPr>
          <w:p w14:paraId="33F84FD2"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- 13.1%</w:t>
            </w:r>
          </w:p>
        </w:tc>
        <w:tc>
          <w:tcPr>
            <w:tcW w:w="990" w:type="dxa"/>
            <w:tcBorders>
              <w:top w:val="none" w:sz="0" w:space="0" w:color="auto"/>
              <w:bottom w:val="none" w:sz="0" w:space="0" w:color="auto"/>
            </w:tcBorders>
            <w:noWrap/>
            <w:vAlign w:val="center"/>
          </w:tcPr>
          <w:p w14:paraId="581AFD8F"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5.5%</w:t>
            </w:r>
          </w:p>
        </w:tc>
        <w:tc>
          <w:tcPr>
            <w:tcW w:w="1080" w:type="dxa"/>
            <w:tcBorders>
              <w:top w:val="none" w:sz="0" w:space="0" w:color="auto"/>
              <w:bottom w:val="none" w:sz="0" w:space="0" w:color="auto"/>
            </w:tcBorders>
            <w:noWrap/>
            <w:vAlign w:val="center"/>
          </w:tcPr>
          <w:p w14:paraId="1E7E41B9"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- 12.8%</w:t>
            </w:r>
          </w:p>
        </w:tc>
        <w:tc>
          <w:tcPr>
            <w:tcW w:w="1080" w:type="dxa"/>
            <w:tcBorders>
              <w:top w:val="none" w:sz="0" w:space="0" w:color="auto"/>
              <w:bottom w:val="none" w:sz="0" w:space="0" w:color="auto"/>
            </w:tcBorders>
            <w:noWrap/>
            <w:vAlign w:val="center"/>
          </w:tcPr>
          <w:p w14:paraId="6CAC29D3" w14:textId="77777777" w:rsidR="001C19A4" w:rsidRPr="00EE18F7" w:rsidRDefault="001C19A4" w:rsidP="00E061F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EE18F7">
              <w:rPr>
                <w:b/>
              </w:rPr>
              <w:t>- 9.4%</w:t>
            </w:r>
          </w:p>
        </w:tc>
      </w:tr>
    </w:tbl>
    <w:p w14:paraId="1C9ECD73" w14:textId="77777777" w:rsidR="001C19A4" w:rsidRPr="00BB7C54" w:rsidRDefault="001C19A4" w:rsidP="005F27A6">
      <w:pPr>
        <w:pStyle w:val="TableSource"/>
        <w:rPr>
          <w:rStyle w:val="Strong"/>
          <w:b w:val="0"/>
          <w:bCs w:val="0"/>
        </w:rPr>
      </w:pPr>
      <w:r w:rsidRPr="00BB7C54">
        <w:rPr>
          <w:rStyle w:val="Strong"/>
        </w:rPr>
        <w:t>Source data: CALPADS</w:t>
      </w:r>
    </w:p>
    <w:p w14:paraId="133C6AE1" w14:textId="77777777" w:rsidR="001C19A4" w:rsidRPr="00F25A73" w:rsidRDefault="001C19A4" w:rsidP="001F0B7E">
      <w:pPr>
        <w:pStyle w:val="Heading4"/>
      </w:pPr>
      <w:bookmarkStart w:id="22" w:name="Table3d"/>
      <w:r w:rsidRPr="00F25A73">
        <w:t xml:space="preserve">Table </w:t>
      </w:r>
      <w:r>
        <w:t>4</w:t>
      </w:r>
      <w:r w:rsidRPr="00F25A73">
        <w:t>d. Elementary School Minority Enrollment Change</w:t>
      </w:r>
    </w:p>
    <w:tbl>
      <w:tblPr>
        <w:tblStyle w:val="ListTable3-Accent5"/>
        <w:tblW w:w="8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hange of students in minority and white categories for the existing Mt. Diablo USD during the five year period from 2016-17 through 2020-21."/>
      </w:tblPr>
      <w:tblGrid>
        <w:gridCol w:w="4590"/>
        <w:gridCol w:w="1436"/>
        <w:gridCol w:w="1437"/>
        <w:gridCol w:w="1437"/>
      </w:tblGrid>
      <w:tr w:rsidR="001C19A4" w:rsidRPr="00D74D7C" w14:paraId="4C015AE8" w14:textId="77777777" w:rsidTr="00D74D7C">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B4C6E7" w:themeFill="accent1" w:themeFillTint="66"/>
            <w:noWrap/>
            <w:vAlign w:val="center"/>
            <w:hideMark/>
          </w:tcPr>
          <w:bookmarkEnd w:id="22"/>
          <w:p w14:paraId="0FDCF2C3" w14:textId="77777777" w:rsidR="001C19A4" w:rsidRPr="00D74D7C" w:rsidRDefault="001C19A4" w:rsidP="00D74D7C">
            <w:pPr>
              <w:spacing w:before="120" w:after="120"/>
              <w:jc w:val="center"/>
              <w:rPr>
                <w:bCs w:val="0"/>
                <w:color w:val="000000"/>
              </w:rPr>
            </w:pPr>
            <w:r w:rsidRPr="00D74D7C">
              <w:rPr>
                <w:bCs w:val="0"/>
                <w:color w:val="000000"/>
              </w:rPr>
              <w:t>Year</w:t>
            </w:r>
          </w:p>
        </w:tc>
        <w:tc>
          <w:tcPr>
            <w:tcW w:w="1436" w:type="dxa"/>
            <w:shd w:val="clear" w:color="auto" w:fill="B4C6E7" w:themeFill="accent1" w:themeFillTint="66"/>
            <w:vAlign w:val="center"/>
            <w:hideMark/>
          </w:tcPr>
          <w:p w14:paraId="2A59DF15" w14:textId="77777777" w:rsidR="001C19A4" w:rsidRPr="00D74D7C" w:rsidRDefault="001C19A4" w:rsidP="00D74D7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Minority</w:t>
            </w:r>
          </w:p>
        </w:tc>
        <w:tc>
          <w:tcPr>
            <w:tcW w:w="1437" w:type="dxa"/>
            <w:shd w:val="clear" w:color="auto" w:fill="B4C6E7" w:themeFill="accent1" w:themeFillTint="66"/>
            <w:vAlign w:val="center"/>
            <w:hideMark/>
          </w:tcPr>
          <w:p w14:paraId="54D003F7" w14:textId="77777777" w:rsidR="001C19A4" w:rsidRPr="00D74D7C" w:rsidRDefault="001C19A4" w:rsidP="00D74D7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White</w:t>
            </w:r>
          </w:p>
        </w:tc>
        <w:tc>
          <w:tcPr>
            <w:tcW w:w="1437" w:type="dxa"/>
            <w:shd w:val="clear" w:color="auto" w:fill="B4C6E7" w:themeFill="accent1" w:themeFillTint="66"/>
            <w:vAlign w:val="center"/>
            <w:hideMark/>
          </w:tcPr>
          <w:p w14:paraId="4B3504AE" w14:textId="77777777" w:rsidR="001C19A4" w:rsidRPr="00D74D7C" w:rsidRDefault="001C19A4" w:rsidP="00D74D7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Total</w:t>
            </w:r>
          </w:p>
        </w:tc>
      </w:tr>
      <w:tr w:rsidR="001C19A4" w:rsidRPr="00553703" w14:paraId="3F4355C1" w14:textId="77777777" w:rsidTr="00D74D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hideMark/>
          </w:tcPr>
          <w:p w14:paraId="6B094BFF" w14:textId="77777777" w:rsidR="001C19A4" w:rsidRPr="00D74D7C" w:rsidRDefault="001C19A4" w:rsidP="00D74D7C">
            <w:pPr>
              <w:spacing w:before="120" w:after="120"/>
              <w:rPr>
                <w:b w:val="0"/>
                <w:color w:val="000000"/>
              </w:rPr>
            </w:pPr>
            <w:r w:rsidRPr="00D74D7C">
              <w:rPr>
                <w:rStyle w:val="Strong"/>
                <w:b/>
              </w:rPr>
              <w:t>2016–17</w:t>
            </w:r>
          </w:p>
        </w:tc>
        <w:tc>
          <w:tcPr>
            <w:tcW w:w="1436" w:type="dxa"/>
            <w:tcBorders>
              <w:top w:val="none" w:sz="0" w:space="0" w:color="auto"/>
              <w:bottom w:val="none" w:sz="0" w:space="0" w:color="auto"/>
            </w:tcBorders>
            <w:noWrap/>
            <w:vAlign w:val="center"/>
            <w:hideMark/>
          </w:tcPr>
          <w:p w14:paraId="5EB56E0C" w14:textId="77777777" w:rsidR="001C19A4" w:rsidRPr="0017478E"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7478E">
              <w:rPr>
                <w:color w:val="000000"/>
              </w:rPr>
              <w:t>10,110</w:t>
            </w:r>
          </w:p>
        </w:tc>
        <w:tc>
          <w:tcPr>
            <w:tcW w:w="1437" w:type="dxa"/>
            <w:tcBorders>
              <w:top w:val="none" w:sz="0" w:space="0" w:color="auto"/>
              <w:bottom w:val="none" w:sz="0" w:space="0" w:color="auto"/>
            </w:tcBorders>
            <w:noWrap/>
            <w:vAlign w:val="center"/>
            <w:hideMark/>
          </w:tcPr>
          <w:p w14:paraId="714B984D" w14:textId="77777777" w:rsidR="001C19A4" w:rsidRPr="0017478E"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7478E">
              <w:t>4,713</w:t>
            </w:r>
          </w:p>
        </w:tc>
        <w:tc>
          <w:tcPr>
            <w:tcW w:w="1437" w:type="dxa"/>
            <w:tcBorders>
              <w:top w:val="none" w:sz="0" w:space="0" w:color="auto"/>
              <w:bottom w:val="none" w:sz="0" w:space="0" w:color="auto"/>
            </w:tcBorders>
            <w:noWrap/>
            <w:vAlign w:val="center"/>
            <w:hideMark/>
          </w:tcPr>
          <w:p w14:paraId="7C1EA8EC" w14:textId="77777777" w:rsidR="001C19A4" w:rsidRPr="0017478E"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7478E">
              <w:t>14,823</w:t>
            </w:r>
          </w:p>
        </w:tc>
      </w:tr>
      <w:tr w:rsidR="001C19A4" w:rsidRPr="00553703" w14:paraId="1718D7A5" w14:textId="77777777" w:rsidTr="00D74D7C">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hideMark/>
          </w:tcPr>
          <w:p w14:paraId="153D95DF" w14:textId="77777777" w:rsidR="001C19A4" w:rsidRPr="00D74D7C" w:rsidRDefault="001C19A4" w:rsidP="00D74D7C">
            <w:pPr>
              <w:spacing w:before="120" w:after="120"/>
              <w:rPr>
                <w:b w:val="0"/>
                <w:color w:val="000000"/>
              </w:rPr>
            </w:pPr>
            <w:r w:rsidRPr="00D74D7C">
              <w:rPr>
                <w:rStyle w:val="Strong"/>
                <w:b/>
              </w:rPr>
              <w:t>2020–21</w:t>
            </w:r>
          </w:p>
        </w:tc>
        <w:tc>
          <w:tcPr>
            <w:tcW w:w="1436" w:type="dxa"/>
            <w:noWrap/>
            <w:vAlign w:val="center"/>
            <w:hideMark/>
          </w:tcPr>
          <w:p w14:paraId="76AB4DCC" w14:textId="77777777" w:rsidR="001C19A4" w:rsidRPr="0017478E"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7478E">
              <w:t>9,322</w:t>
            </w:r>
          </w:p>
        </w:tc>
        <w:tc>
          <w:tcPr>
            <w:tcW w:w="1437" w:type="dxa"/>
            <w:noWrap/>
            <w:vAlign w:val="center"/>
            <w:hideMark/>
          </w:tcPr>
          <w:p w14:paraId="24D47762" w14:textId="77777777" w:rsidR="001C19A4" w:rsidRPr="0017478E"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7478E">
              <w:t>4,110</w:t>
            </w:r>
          </w:p>
        </w:tc>
        <w:tc>
          <w:tcPr>
            <w:tcW w:w="1437" w:type="dxa"/>
            <w:noWrap/>
            <w:vAlign w:val="center"/>
            <w:hideMark/>
          </w:tcPr>
          <w:p w14:paraId="05F4B037" w14:textId="77777777" w:rsidR="001C19A4" w:rsidRPr="0017478E"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7478E">
              <w:t>13,432</w:t>
            </w:r>
          </w:p>
        </w:tc>
      </w:tr>
      <w:tr w:rsidR="001C19A4" w:rsidRPr="002C1139" w14:paraId="6B285D93" w14:textId="77777777" w:rsidTr="00D74D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tcPr>
          <w:p w14:paraId="2F15881E" w14:textId="77777777" w:rsidR="001C19A4" w:rsidRPr="00D74D7C" w:rsidRDefault="001C19A4" w:rsidP="00D74D7C">
            <w:pPr>
              <w:spacing w:before="120" w:after="120"/>
              <w:rPr>
                <w:rStyle w:val="Strong"/>
                <w:b/>
                <w:bCs/>
              </w:rPr>
            </w:pPr>
            <w:r w:rsidRPr="00D74D7C">
              <w:rPr>
                <w:rStyle w:val="Strong"/>
                <w:b/>
              </w:rPr>
              <w:t>5-Year Amount Change</w:t>
            </w:r>
          </w:p>
        </w:tc>
        <w:tc>
          <w:tcPr>
            <w:tcW w:w="1436" w:type="dxa"/>
            <w:tcBorders>
              <w:top w:val="none" w:sz="0" w:space="0" w:color="auto"/>
              <w:bottom w:val="none" w:sz="0" w:space="0" w:color="auto"/>
            </w:tcBorders>
            <w:noWrap/>
            <w:vAlign w:val="center"/>
          </w:tcPr>
          <w:p w14:paraId="6813C30F" w14:textId="77777777" w:rsidR="001C19A4" w:rsidRPr="00EE18F7"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- 788</w:t>
            </w:r>
          </w:p>
        </w:tc>
        <w:tc>
          <w:tcPr>
            <w:tcW w:w="1437" w:type="dxa"/>
            <w:tcBorders>
              <w:top w:val="none" w:sz="0" w:space="0" w:color="auto"/>
              <w:bottom w:val="none" w:sz="0" w:space="0" w:color="auto"/>
            </w:tcBorders>
            <w:noWrap/>
            <w:vAlign w:val="center"/>
          </w:tcPr>
          <w:p w14:paraId="592F0052" w14:textId="77777777" w:rsidR="001C19A4" w:rsidRPr="00EE18F7"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- 603</w:t>
            </w:r>
          </w:p>
        </w:tc>
        <w:tc>
          <w:tcPr>
            <w:tcW w:w="1437" w:type="dxa"/>
            <w:tcBorders>
              <w:top w:val="none" w:sz="0" w:space="0" w:color="auto"/>
              <w:bottom w:val="none" w:sz="0" w:space="0" w:color="auto"/>
            </w:tcBorders>
            <w:noWrap/>
            <w:vAlign w:val="center"/>
          </w:tcPr>
          <w:p w14:paraId="7B2C3CE0" w14:textId="77777777" w:rsidR="001C19A4" w:rsidRPr="00EE18F7"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E18F7">
              <w:rPr>
                <w:b/>
              </w:rPr>
              <w:t>- 1,391</w:t>
            </w:r>
          </w:p>
        </w:tc>
      </w:tr>
      <w:tr w:rsidR="001C19A4" w:rsidRPr="002C1139" w14:paraId="6EFE2E68" w14:textId="77777777" w:rsidTr="00D74D7C">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069AC884" w14:textId="77777777" w:rsidR="001C19A4" w:rsidRPr="00D74D7C" w:rsidRDefault="001C19A4" w:rsidP="00D74D7C">
            <w:pPr>
              <w:spacing w:before="120" w:after="120"/>
              <w:rPr>
                <w:rStyle w:val="Strong"/>
                <w:b/>
                <w:bCs/>
              </w:rPr>
            </w:pPr>
            <w:r w:rsidRPr="00D74D7C">
              <w:rPr>
                <w:rStyle w:val="Strong"/>
                <w:b/>
              </w:rPr>
              <w:t>5-Year Percent Change</w:t>
            </w:r>
          </w:p>
        </w:tc>
        <w:tc>
          <w:tcPr>
            <w:tcW w:w="1436" w:type="dxa"/>
            <w:noWrap/>
            <w:vAlign w:val="center"/>
          </w:tcPr>
          <w:p w14:paraId="7B0B2A05" w14:textId="77777777" w:rsidR="001C19A4" w:rsidRPr="00EE18F7"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EE18F7">
              <w:rPr>
                <w:b/>
              </w:rPr>
              <w:t>- 7.8%</w:t>
            </w:r>
          </w:p>
        </w:tc>
        <w:tc>
          <w:tcPr>
            <w:tcW w:w="1437" w:type="dxa"/>
            <w:noWrap/>
            <w:vAlign w:val="center"/>
          </w:tcPr>
          <w:p w14:paraId="7657F940" w14:textId="77777777" w:rsidR="001C19A4" w:rsidRPr="00EE18F7"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EE18F7">
              <w:rPr>
                <w:b/>
              </w:rPr>
              <w:t>- 12.8%</w:t>
            </w:r>
          </w:p>
        </w:tc>
        <w:tc>
          <w:tcPr>
            <w:tcW w:w="1437" w:type="dxa"/>
            <w:noWrap/>
            <w:vAlign w:val="center"/>
          </w:tcPr>
          <w:p w14:paraId="2801FAC5" w14:textId="77777777" w:rsidR="001C19A4" w:rsidRPr="00EE18F7"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EE18F7">
              <w:rPr>
                <w:b/>
              </w:rPr>
              <w:t>- 9.4%</w:t>
            </w:r>
          </w:p>
        </w:tc>
      </w:tr>
    </w:tbl>
    <w:p w14:paraId="284739A1" w14:textId="77777777" w:rsidR="001C19A4" w:rsidRPr="00BB7C54" w:rsidRDefault="001C19A4" w:rsidP="005F27A6">
      <w:pPr>
        <w:pStyle w:val="TableSource"/>
        <w:rPr>
          <w:rStyle w:val="Strong"/>
          <w:b w:val="0"/>
          <w:bCs w:val="0"/>
        </w:rPr>
      </w:pPr>
      <w:r w:rsidRPr="00BB7C54">
        <w:rPr>
          <w:rStyle w:val="Strong"/>
        </w:rPr>
        <w:t>Source data: CALPADS</w:t>
      </w:r>
    </w:p>
    <w:p w14:paraId="20985CB4" w14:textId="77777777" w:rsidR="00417777" w:rsidRDefault="00417777">
      <w:pPr>
        <w:spacing w:after="160"/>
        <w:rPr>
          <w:rFonts w:eastAsia="Times New Roman" w:cs="Arial"/>
          <w:b/>
          <w:i/>
          <w:szCs w:val="20"/>
        </w:rPr>
      </w:pPr>
      <w:bookmarkStart w:id="23" w:name="Table3e"/>
      <w:r>
        <w:br w:type="page"/>
      </w:r>
    </w:p>
    <w:p w14:paraId="4F7A940E" w14:textId="5D1242C5" w:rsidR="001C19A4" w:rsidRPr="00F25A73" w:rsidRDefault="001C19A4" w:rsidP="001F0B7E">
      <w:pPr>
        <w:pStyle w:val="Heading4"/>
      </w:pPr>
      <w:r w:rsidRPr="00F25A73">
        <w:lastRenderedPageBreak/>
        <w:t xml:space="preserve">Table </w:t>
      </w:r>
      <w:r>
        <w:t>4</w:t>
      </w:r>
      <w:r w:rsidRPr="00F25A73">
        <w:t>e. Middle School Historical Racial/Ethnic Enrollment</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that resided in the proposed Northgate USD territory and attended schools outside of its territory and the number of students in racial/ethnic categories that attended .Northgate USD schools and who lived outside of its territory as of 2016-17."/>
      </w:tblPr>
      <w:tblGrid>
        <w:gridCol w:w="2160"/>
        <w:gridCol w:w="1080"/>
        <w:gridCol w:w="1350"/>
        <w:gridCol w:w="1260"/>
        <w:gridCol w:w="990"/>
        <w:gridCol w:w="1080"/>
        <w:gridCol w:w="1080"/>
      </w:tblGrid>
      <w:tr w:rsidR="001C19A4" w:rsidRPr="00D74D7C" w14:paraId="6D8B7A0B" w14:textId="77777777" w:rsidTr="00D74D7C">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shd w:val="clear" w:color="auto" w:fill="B4C6E7" w:themeFill="accent1" w:themeFillTint="66"/>
            <w:noWrap/>
            <w:vAlign w:val="center"/>
            <w:hideMark/>
          </w:tcPr>
          <w:p w14:paraId="2C8EAA43" w14:textId="77777777" w:rsidR="001C19A4" w:rsidRPr="00D74D7C" w:rsidRDefault="001C19A4" w:rsidP="00D74D7C">
            <w:pPr>
              <w:spacing w:before="120" w:after="120"/>
              <w:jc w:val="center"/>
              <w:rPr>
                <w:bCs w:val="0"/>
                <w:color w:val="000000"/>
              </w:rPr>
            </w:pPr>
            <w:r w:rsidRPr="00D74D7C">
              <w:rPr>
                <w:bCs w:val="0"/>
                <w:color w:val="000000"/>
              </w:rPr>
              <w:t>Year</w:t>
            </w:r>
          </w:p>
        </w:tc>
        <w:tc>
          <w:tcPr>
            <w:tcW w:w="1080" w:type="dxa"/>
            <w:shd w:val="clear" w:color="auto" w:fill="B4C6E7" w:themeFill="accent1" w:themeFillTint="66"/>
            <w:vAlign w:val="center"/>
          </w:tcPr>
          <w:p w14:paraId="7826A99F" w14:textId="77777777" w:rsidR="001C19A4" w:rsidRPr="00D74D7C" w:rsidRDefault="001C19A4" w:rsidP="00D74D7C">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Asian</w:t>
            </w:r>
          </w:p>
        </w:tc>
        <w:tc>
          <w:tcPr>
            <w:tcW w:w="1350" w:type="dxa"/>
            <w:shd w:val="clear" w:color="auto" w:fill="B4C6E7" w:themeFill="accent1" w:themeFillTint="66"/>
            <w:vAlign w:val="center"/>
            <w:hideMark/>
          </w:tcPr>
          <w:p w14:paraId="7E463E6E" w14:textId="77777777" w:rsidR="001C19A4" w:rsidRPr="00D74D7C" w:rsidRDefault="001C19A4" w:rsidP="00D74D7C">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Black or African American</w:t>
            </w:r>
          </w:p>
        </w:tc>
        <w:tc>
          <w:tcPr>
            <w:tcW w:w="1260" w:type="dxa"/>
            <w:shd w:val="clear" w:color="auto" w:fill="B4C6E7" w:themeFill="accent1" w:themeFillTint="66"/>
            <w:vAlign w:val="center"/>
            <w:hideMark/>
          </w:tcPr>
          <w:p w14:paraId="67D603F6" w14:textId="77777777" w:rsidR="001C19A4" w:rsidRPr="00D74D7C" w:rsidRDefault="001C19A4" w:rsidP="00D74D7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Hispanic or Latino</w:t>
            </w:r>
          </w:p>
        </w:tc>
        <w:tc>
          <w:tcPr>
            <w:tcW w:w="990" w:type="dxa"/>
            <w:shd w:val="clear" w:color="auto" w:fill="B4C6E7" w:themeFill="accent1" w:themeFillTint="66"/>
            <w:vAlign w:val="center"/>
            <w:hideMark/>
          </w:tcPr>
          <w:p w14:paraId="1862D3E7" w14:textId="77777777" w:rsidR="001C19A4" w:rsidRPr="00D74D7C" w:rsidRDefault="001C19A4" w:rsidP="00D74D7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Other</w:t>
            </w:r>
          </w:p>
        </w:tc>
        <w:tc>
          <w:tcPr>
            <w:tcW w:w="1080" w:type="dxa"/>
            <w:shd w:val="clear" w:color="auto" w:fill="B4C6E7" w:themeFill="accent1" w:themeFillTint="66"/>
            <w:vAlign w:val="center"/>
            <w:hideMark/>
          </w:tcPr>
          <w:p w14:paraId="22680F19" w14:textId="77777777" w:rsidR="001C19A4" w:rsidRPr="00D74D7C" w:rsidRDefault="001C19A4" w:rsidP="00D74D7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White</w:t>
            </w:r>
          </w:p>
        </w:tc>
        <w:tc>
          <w:tcPr>
            <w:tcW w:w="1080" w:type="dxa"/>
            <w:shd w:val="clear" w:color="auto" w:fill="B4C6E7" w:themeFill="accent1" w:themeFillTint="66"/>
            <w:vAlign w:val="center"/>
            <w:hideMark/>
          </w:tcPr>
          <w:p w14:paraId="0D18052E" w14:textId="77777777" w:rsidR="001C19A4" w:rsidRPr="00D74D7C" w:rsidRDefault="001C19A4" w:rsidP="00D74D7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Total</w:t>
            </w:r>
          </w:p>
        </w:tc>
      </w:tr>
      <w:bookmarkEnd w:id="23"/>
      <w:tr w:rsidR="001C19A4" w:rsidRPr="00553703" w14:paraId="39E60426" w14:textId="77777777" w:rsidTr="00D74D7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1AD5EB03" w14:textId="77777777" w:rsidR="001C19A4" w:rsidRPr="00D74D7C" w:rsidRDefault="001C19A4" w:rsidP="00D74D7C">
            <w:pPr>
              <w:spacing w:before="120" w:after="120"/>
              <w:rPr>
                <w:color w:val="000000"/>
              </w:rPr>
            </w:pPr>
            <w:r w:rsidRPr="00D74D7C">
              <w:rPr>
                <w:rStyle w:val="Strong"/>
              </w:rPr>
              <w:t>2016–17</w:t>
            </w:r>
          </w:p>
        </w:tc>
        <w:tc>
          <w:tcPr>
            <w:tcW w:w="1080" w:type="dxa"/>
            <w:tcBorders>
              <w:top w:val="none" w:sz="0" w:space="0" w:color="auto"/>
              <w:bottom w:val="none" w:sz="0" w:space="0" w:color="auto"/>
            </w:tcBorders>
            <w:vAlign w:val="center"/>
          </w:tcPr>
          <w:p w14:paraId="1BA5A50A"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pPr>
            <w:r w:rsidRPr="001535D2">
              <w:t>534</w:t>
            </w:r>
          </w:p>
        </w:tc>
        <w:tc>
          <w:tcPr>
            <w:tcW w:w="1350" w:type="dxa"/>
            <w:tcBorders>
              <w:top w:val="none" w:sz="0" w:space="0" w:color="auto"/>
              <w:bottom w:val="none" w:sz="0" w:space="0" w:color="auto"/>
            </w:tcBorders>
            <w:noWrap/>
            <w:vAlign w:val="center"/>
            <w:hideMark/>
          </w:tcPr>
          <w:p w14:paraId="3CB92708"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265</w:t>
            </w:r>
          </w:p>
        </w:tc>
        <w:tc>
          <w:tcPr>
            <w:tcW w:w="1260" w:type="dxa"/>
            <w:tcBorders>
              <w:top w:val="none" w:sz="0" w:space="0" w:color="auto"/>
              <w:bottom w:val="none" w:sz="0" w:space="0" w:color="auto"/>
            </w:tcBorders>
            <w:noWrap/>
            <w:vAlign w:val="center"/>
            <w:hideMark/>
          </w:tcPr>
          <w:p w14:paraId="261B32CD"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3,173</w:t>
            </w:r>
          </w:p>
        </w:tc>
        <w:tc>
          <w:tcPr>
            <w:tcW w:w="990" w:type="dxa"/>
            <w:tcBorders>
              <w:top w:val="none" w:sz="0" w:space="0" w:color="auto"/>
              <w:bottom w:val="none" w:sz="0" w:space="0" w:color="auto"/>
            </w:tcBorders>
            <w:noWrap/>
            <w:vAlign w:val="center"/>
            <w:hideMark/>
          </w:tcPr>
          <w:p w14:paraId="7C78B497"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838</w:t>
            </w:r>
          </w:p>
        </w:tc>
        <w:tc>
          <w:tcPr>
            <w:tcW w:w="1080" w:type="dxa"/>
            <w:tcBorders>
              <w:top w:val="none" w:sz="0" w:space="0" w:color="auto"/>
              <w:bottom w:val="none" w:sz="0" w:space="0" w:color="auto"/>
            </w:tcBorders>
            <w:noWrap/>
            <w:vAlign w:val="center"/>
            <w:hideMark/>
          </w:tcPr>
          <w:p w14:paraId="3DB5080E" w14:textId="01787719"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2</w:t>
            </w:r>
            <w:r w:rsidR="00C2453F">
              <w:t>,</w:t>
            </w:r>
            <w:r w:rsidRPr="001535D2">
              <w:t>476</w:t>
            </w:r>
          </w:p>
        </w:tc>
        <w:tc>
          <w:tcPr>
            <w:tcW w:w="1080" w:type="dxa"/>
            <w:tcBorders>
              <w:top w:val="none" w:sz="0" w:space="0" w:color="auto"/>
              <w:bottom w:val="none" w:sz="0" w:space="0" w:color="auto"/>
            </w:tcBorders>
            <w:noWrap/>
            <w:vAlign w:val="center"/>
            <w:hideMark/>
          </w:tcPr>
          <w:p w14:paraId="6502DD05" w14:textId="2596F033"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7</w:t>
            </w:r>
            <w:r w:rsidR="00C2453F">
              <w:t>,</w:t>
            </w:r>
            <w:r w:rsidRPr="001535D2">
              <w:t>286</w:t>
            </w:r>
          </w:p>
        </w:tc>
      </w:tr>
      <w:tr w:rsidR="001C19A4" w:rsidRPr="00553703" w14:paraId="041A2715" w14:textId="77777777" w:rsidTr="00D74D7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4839FEE5" w14:textId="77777777" w:rsidR="001C19A4" w:rsidRPr="00D74D7C" w:rsidRDefault="001C19A4" w:rsidP="00D74D7C">
            <w:pPr>
              <w:spacing w:before="120" w:after="120"/>
              <w:rPr>
                <w:rStyle w:val="Strong"/>
                <w:bCs/>
              </w:rPr>
            </w:pPr>
            <w:r w:rsidRPr="00D74D7C">
              <w:rPr>
                <w:rStyle w:val="Strong"/>
              </w:rPr>
              <w:t>2017–18</w:t>
            </w:r>
          </w:p>
        </w:tc>
        <w:tc>
          <w:tcPr>
            <w:tcW w:w="1080" w:type="dxa"/>
            <w:vAlign w:val="center"/>
          </w:tcPr>
          <w:p w14:paraId="73F46FE7"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pPr>
            <w:r w:rsidRPr="001535D2">
              <w:t>520</w:t>
            </w:r>
          </w:p>
        </w:tc>
        <w:tc>
          <w:tcPr>
            <w:tcW w:w="1350" w:type="dxa"/>
            <w:noWrap/>
            <w:vAlign w:val="center"/>
          </w:tcPr>
          <w:p w14:paraId="0375F386"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269</w:t>
            </w:r>
          </w:p>
        </w:tc>
        <w:tc>
          <w:tcPr>
            <w:tcW w:w="1260" w:type="dxa"/>
            <w:noWrap/>
            <w:vAlign w:val="center"/>
          </w:tcPr>
          <w:p w14:paraId="5F0BFFDE"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3,324</w:t>
            </w:r>
          </w:p>
        </w:tc>
        <w:tc>
          <w:tcPr>
            <w:tcW w:w="990" w:type="dxa"/>
            <w:noWrap/>
            <w:vAlign w:val="center"/>
          </w:tcPr>
          <w:p w14:paraId="6A63DD95"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878</w:t>
            </w:r>
          </w:p>
        </w:tc>
        <w:tc>
          <w:tcPr>
            <w:tcW w:w="1080" w:type="dxa"/>
            <w:noWrap/>
            <w:vAlign w:val="center"/>
          </w:tcPr>
          <w:p w14:paraId="14389996" w14:textId="057DA4DF"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2</w:t>
            </w:r>
            <w:r w:rsidR="00C2453F">
              <w:t>,</w:t>
            </w:r>
            <w:r w:rsidRPr="001535D2">
              <w:t>363</w:t>
            </w:r>
          </w:p>
        </w:tc>
        <w:tc>
          <w:tcPr>
            <w:tcW w:w="1080" w:type="dxa"/>
            <w:noWrap/>
            <w:vAlign w:val="center"/>
          </w:tcPr>
          <w:p w14:paraId="5A68DE04" w14:textId="2A89A873"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7</w:t>
            </w:r>
            <w:r w:rsidR="00C2453F">
              <w:t>,</w:t>
            </w:r>
            <w:r w:rsidRPr="001535D2">
              <w:t>354</w:t>
            </w:r>
          </w:p>
        </w:tc>
      </w:tr>
      <w:tr w:rsidR="001C19A4" w:rsidRPr="00553703" w14:paraId="39AB39AB" w14:textId="77777777" w:rsidTr="00D74D7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7A5A0C1E" w14:textId="77777777" w:rsidR="001C19A4" w:rsidRPr="00D74D7C" w:rsidRDefault="001C19A4" w:rsidP="00D74D7C">
            <w:pPr>
              <w:spacing w:before="120" w:after="120"/>
              <w:rPr>
                <w:rStyle w:val="Strong"/>
                <w:bCs/>
              </w:rPr>
            </w:pPr>
            <w:r w:rsidRPr="00D74D7C">
              <w:rPr>
                <w:rStyle w:val="Strong"/>
              </w:rPr>
              <w:t>2018–19</w:t>
            </w:r>
          </w:p>
        </w:tc>
        <w:tc>
          <w:tcPr>
            <w:tcW w:w="1080" w:type="dxa"/>
            <w:tcBorders>
              <w:top w:val="none" w:sz="0" w:space="0" w:color="auto"/>
              <w:bottom w:val="none" w:sz="0" w:space="0" w:color="auto"/>
            </w:tcBorders>
            <w:vAlign w:val="center"/>
          </w:tcPr>
          <w:p w14:paraId="6B8FE3A4"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pPr>
            <w:r w:rsidRPr="001535D2">
              <w:t>521</w:t>
            </w:r>
          </w:p>
        </w:tc>
        <w:tc>
          <w:tcPr>
            <w:tcW w:w="1350" w:type="dxa"/>
            <w:tcBorders>
              <w:top w:val="none" w:sz="0" w:space="0" w:color="auto"/>
              <w:bottom w:val="none" w:sz="0" w:space="0" w:color="auto"/>
            </w:tcBorders>
            <w:noWrap/>
            <w:vAlign w:val="center"/>
          </w:tcPr>
          <w:p w14:paraId="0A1CF774"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239</w:t>
            </w:r>
          </w:p>
        </w:tc>
        <w:tc>
          <w:tcPr>
            <w:tcW w:w="1260" w:type="dxa"/>
            <w:tcBorders>
              <w:top w:val="none" w:sz="0" w:space="0" w:color="auto"/>
              <w:bottom w:val="none" w:sz="0" w:space="0" w:color="auto"/>
            </w:tcBorders>
            <w:noWrap/>
            <w:vAlign w:val="center"/>
          </w:tcPr>
          <w:p w14:paraId="144DCDC6" w14:textId="3EBA05AC"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3</w:t>
            </w:r>
            <w:r w:rsidR="00C2453F">
              <w:t>,</w:t>
            </w:r>
            <w:r w:rsidRPr="001535D2">
              <w:t>302</w:t>
            </w:r>
          </w:p>
        </w:tc>
        <w:tc>
          <w:tcPr>
            <w:tcW w:w="990" w:type="dxa"/>
            <w:tcBorders>
              <w:top w:val="none" w:sz="0" w:space="0" w:color="auto"/>
              <w:bottom w:val="none" w:sz="0" w:space="0" w:color="auto"/>
            </w:tcBorders>
            <w:noWrap/>
            <w:vAlign w:val="center"/>
          </w:tcPr>
          <w:p w14:paraId="07DBD3FD"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906</w:t>
            </w:r>
          </w:p>
        </w:tc>
        <w:tc>
          <w:tcPr>
            <w:tcW w:w="1080" w:type="dxa"/>
            <w:tcBorders>
              <w:top w:val="none" w:sz="0" w:space="0" w:color="auto"/>
              <w:bottom w:val="none" w:sz="0" w:space="0" w:color="auto"/>
            </w:tcBorders>
            <w:noWrap/>
            <w:vAlign w:val="center"/>
          </w:tcPr>
          <w:p w14:paraId="17604716" w14:textId="402AA7A0"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2</w:t>
            </w:r>
            <w:r w:rsidR="00C2453F">
              <w:t>,</w:t>
            </w:r>
            <w:r w:rsidRPr="001535D2">
              <w:t>163</w:t>
            </w:r>
          </w:p>
        </w:tc>
        <w:tc>
          <w:tcPr>
            <w:tcW w:w="1080" w:type="dxa"/>
            <w:tcBorders>
              <w:top w:val="none" w:sz="0" w:space="0" w:color="auto"/>
              <w:bottom w:val="none" w:sz="0" w:space="0" w:color="auto"/>
            </w:tcBorders>
            <w:noWrap/>
            <w:vAlign w:val="center"/>
          </w:tcPr>
          <w:p w14:paraId="6393D6FB" w14:textId="7E100809"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7</w:t>
            </w:r>
            <w:r w:rsidR="00C2453F">
              <w:t>,</w:t>
            </w:r>
            <w:r w:rsidRPr="001535D2">
              <w:t>131</w:t>
            </w:r>
          </w:p>
        </w:tc>
      </w:tr>
      <w:tr w:rsidR="001C19A4" w:rsidRPr="00553703" w14:paraId="343F9995" w14:textId="77777777" w:rsidTr="00D74D7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78D030D5" w14:textId="77777777" w:rsidR="001C19A4" w:rsidRPr="00D74D7C" w:rsidRDefault="001C19A4" w:rsidP="00D74D7C">
            <w:pPr>
              <w:spacing w:before="120" w:after="120"/>
              <w:rPr>
                <w:rStyle w:val="Strong"/>
                <w:bCs/>
              </w:rPr>
            </w:pPr>
            <w:r w:rsidRPr="00D74D7C">
              <w:rPr>
                <w:rStyle w:val="Strong"/>
              </w:rPr>
              <w:t>2019–20</w:t>
            </w:r>
          </w:p>
        </w:tc>
        <w:tc>
          <w:tcPr>
            <w:tcW w:w="1080" w:type="dxa"/>
            <w:vAlign w:val="center"/>
          </w:tcPr>
          <w:p w14:paraId="65EE41CE"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pPr>
            <w:r w:rsidRPr="001535D2">
              <w:t>531</w:t>
            </w:r>
          </w:p>
        </w:tc>
        <w:tc>
          <w:tcPr>
            <w:tcW w:w="1350" w:type="dxa"/>
            <w:noWrap/>
            <w:vAlign w:val="center"/>
          </w:tcPr>
          <w:p w14:paraId="005F615E"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243</w:t>
            </w:r>
          </w:p>
        </w:tc>
        <w:tc>
          <w:tcPr>
            <w:tcW w:w="1260" w:type="dxa"/>
            <w:noWrap/>
            <w:vAlign w:val="center"/>
          </w:tcPr>
          <w:p w14:paraId="66270B58"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3,242</w:t>
            </w:r>
          </w:p>
        </w:tc>
        <w:tc>
          <w:tcPr>
            <w:tcW w:w="990" w:type="dxa"/>
            <w:noWrap/>
            <w:vAlign w:val="center"/>
          </w:tcPr>
          <w:p w14:paraId="02EB11A8"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882</w:t>
            </w:r>
          </w:p>
        </w:tc>
        <w:tc>
          <w:tcPr>
            <w:tcW w:w="1080" w:type="dxa"/>
            <w:noWrap/>
            <w:vAlign w:val="center"/>
          </w:tcPr>
          <w:p w14:paraId="0F10FE00" w14:textId="3F6D7555"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2</w:t>
            </w:r>
            <w:r w:rsidR="00C2453F">
              <w:t>,</w:t>
            </w:r>
            <w:r w:rsidRPr="001535D2">
              <w:t>075</w:t>
            </w:r>
          </w:p>
        </w:tc>
        <w:tc>
          <w:tcPr>
            <w:tcW w:w="1080" w:type="dxa"/>
            <w:noWrap/>
            <w:vAlign w:val="center"/>
          </w:tcPr>
          <w:p w14:paraId="19ED00AD" w14:textId="48112D51"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535D2">
              <w:t>6</w:t>
            </w:r>
            <w:r w:rsidR="00C2453F">
              <w:t>,</w:t>
            </w:r>
            <w:r w:rsidRPr="001535D2">
              <w:t>973</w:t>
            </w:r>
          </w:p>
        </w:tc>
      </w:tr>
      <w:tr w:rsidR="001C19A4" w:rsidRPr="00553703" w14:paraId="35D32706" w14:textId="77777777" w:rsidTr="00D74D7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06F3AD78" w14:textId="77777777" w:rsidR="001C19A4" w:rsidRPr="00D74D7C" w:rsidRDefault="001C19A4" w:rsidP="00D74D7C">
            <w:pPr>
              <w:spacing w:before="120" w:after="120"/>
              <w:rPr>
                <w:color w:val="000000"/>
              </w:rPr>
            </w:pPr>
            <w:r w:rsidRPr="00D74D7C">
              <w:rPr>
                <w:rStyle w:val="Strong"/>
              </w:rPr>
              <w:t>2020–21</w:t>
            </w:r>
          </w:p>
        </w:tc>
        <w:tc>
          <w:tcPr>
            <w:tcW w:w="1080" w:type="dxa"/>
            <w:tcBorders>
              <w:top w:val="none" w:sz="0" w:space="0" w:color="auto"/>
              <w:bottom w:val="none" w:sz="0" w:space="0" w:color="auto"/>
            </w:tcBorders>
            <w:vAlign w:val="center"/>
          </w:tcPr>
          <w:p w14:paraId="4D527AE2"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pPr>
            <w:r w:rsidRPr="001535D2">
              <w:t>494</w:t>
            </w:r>
          </w:p>
        </w:tc>
        <w:tc>
          <w:tcPr>
            <w:tcW w:w="1350" w:type="dxa"/>
            <w:tcBorders>
              <w:top w:val="none" w:sz="0" w:space="0" w:color="auto"/>
              <w:bottom w:val="none" w:sz="0" w:space="0" w:color="auto"/>
            </w:tcBorders>
            <w:noWrap/>
            <w:vAlign w:val="center"/>
            <w:hideMark/>
          </w:tcPr>
          <w:p w14:paraId="704102F8"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215</w:t>
            </w:r>
          </w:p>
        </w:tc>
        <w:tc>
          <w:tcPr>
            <w:tcW w:w="1260" w:type="dxa"/>
            <w:tcBorders>
              <w:top w:val="none" w:sz="0" w:space="0" w:color="auto"/>
              <w:bottom w:val="none" w:sz="0" w:space="0" w:color="auto"/>
            </w:tcBorders>
            <w:noWrap/>
            <w:vAlign w:val="center"/>
            <w:hideMark/>
          </w:tcPr>
          <w:p w14:paraId="091BE041"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3,078</w:t>
            </w:r>
          </w:p>
        </w:tc>
        <w:tc>
          <w:tcPr>
            <w:tcW w:w="990" w:type="dxa"/>
            <w:tcBorders>
              <w:top w:val="none" w:sz="0" w:space="0" w:color="auto"/>
              <w:bottom w:val="none" w:sz="0" w:space="0" w:color="auto"/>
            </w:tcBorders>
            <w:noWrap/>
            <w:vAlign w:val="center"/>
            <w:hideMark/>
          </w:tcPr>
          <w:p w14:paraId="0D76D058"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815</w:t>
            </w:r>
          </w:p>
        </w:tc>
        <w:tc>
          <w:tcPr>
            <w:tcW w:w="1080" w:type="dxa"/>
            <w:tcBorders>
              <w:top w:val="none" w:sz="0" w:space="0" w:color="auto"/>
              <w:bottom w:val="none" w:sz="0" w:space="0" w:color="auto"/>
            </w:tcBorders>
            <w:noWrap/>
            <w:vAlign w:val="center"/>
            <w:hideMark/>
          </w:tcPr>
          <w:p w14:paraId="22237253" w14:textId="653B0E0D"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1</w:t>
            </w:r>
            <w:r w:rsidR="00C2453F">
              <w:t>,</w:t>
            </w:r>
            <w:r w:rsidRPr="001535D2">
              <w:t>843</w:t>
            </w:r>
          </w:p>
        </w:tc>
        <w:tc>
          <w:tcPr>
            <w:tcW w:w="1080" w:type="dxa"/>
            <w:tcBorders>
              <w:top w:val="none" w:sz="0" w:space="0" w:color="auto"/>
              <w:bottom w:val="none" w:sz="0" w:space="0" w:color="auto"/>
            </w:tcBorders>
            <w:noWrap/>
            <w:vAlign w:val="center"/>
            <w:hideMark/>
          </w:tcPr>
          <w:p w14:paraId="44E59007" w14:textId="56045391"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1535D2">
              <w:t>6</w:t>
            </w:r>
            <w:r w:rsidR="00C2453F">
              <w:t>,</w:t>
            </w:r>
            <w:r w:rsidRPr="001535D2">
              <w:t>445</w:t>
            </w:r>
          </w:p>
        </w:tc>
      </w:tr>
      <w:tr w:rsidR="001C19A4" w:rsidRPr="00553703" w14:paraId="141E2EBE" w14:textId="77777777" w:rsidTr="00D74D7C">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008CD9CA" w14:textId="77777777" w:rsidR="001C19A4" w:rsidRPr="00D74D7C" w:rsidRDefault="001C19A4" w:rsidP="00D74D7C">
            <w:pPr>
              <w:spacing w:before="120" w:after="120"/>
              <w:rPr>
                <w:rStyle w:val="Strong"/>
                <w:b/>
                <w:bCs/>
              </w:rPr>
            </w:pPr>
            <w:r w:rsidRPr="00D74D7C">
              <w:rPr>
                <w:rStyle w:val="Strong"/>
                <w:b/>
              </w:rPr>
              <w:t>5-Year Amount Change</w:t>
            </w:r>
          </w:p>
        </w:tc>
        <w:tc>
          <w:tcPr>
            <w:tcW w:w="1080" w:type="dxa"/>
            <w:vAlign w:val="center"/>
          </w:tcPr>
          <w:p w14:paraId="368BCE3C"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1535D2">
              <w:rPr>
                <w:b/>
              </w:rPr>
              <w:t>- 40</w:t>
            </w:r>
          </w:p>
        </w:tc>
        <w:tc>
          <w:tcPr>
            <w:tcW w:w="1350" w:type="dxa"/>
            <w:noWrap/>
            <w:vAlign w:val="center"/>
          </w:tcPr>
          <w:p w14:paraId="2C73A1F3"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1535D2">
              <w:rPr>
                <w:b/>
              </w:rPr>
              <w:t>- 50</w:t>
            </w:r>
          </w:p>
        </w:tc>
        <w:tc>
          <w:tcPr>
            <w:tcW w:w="1260" w:type="dxa"/>
            <w:noWrap/>
            <w:vAlign w:val="center"/>
          </w:tcPr>
          <w:p w14:paraId="6B18B786"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1535D2">
              <w:rPr>
                <w:b/>
              </w:rPr>
              <w:t>- 95</w:t>
            </w:r>
          </w:p>
        </w:tc>
        <w:tc>
          <w:tcPr>
            <w:tcW w:w="990" w:type="dxa"/>
            <w:noWrap/>
            <w:vAlign w:val="center"/>
          </w:tcPr>
          <w:p w14:paraId="2E457E20"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1535D2">
              <w:rPr>
                <w:b/>
              </w:rPr>
              <w:t>- 23</w:t>
            </w:r>
          </w:p>
        </w:tc>
        <w:tc>
          <w:tcPr>
            <w:tcW w:w="1080" w:type="dxa"/>
            <w:noWrap/>
            <w:vAlign w:val="center"/>
          </w:tcPr>
          <w:p w14:paraId="3B046193"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1535D2">
              <w:rPr>
                <w:b/>
              </w:rPr>
              <w:t>- 633</w:t>
            </w:r>
          </w:p>
        </w:tc>
        <w:tc>
          <w:tcPr>
            <w:tcW w:w="1080" w:type="dxa"/>
            <w:noWrap/>
            <w:vAlign w:val="center"/>
          </w:tcPr>
          <w:p w14:paraId="322016F9" w14:textId="77777777" w:rsidR="001C19A4" w:rsidRPr="001535D2"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1535D2">
              <w:rPr>
                <w:b/>
              </w:rPr>
              <w:t>- 841</w:t>
            </w:r>
          </w:p>
        </w:tc>
      </w:tr>
      <w:tr w:rsidR="001C19A4" w:rsidRPr="00553703" w14:paraId="79E51D92" w14:textId="77777777" w:rsidTr="00D74D7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64F3F228" w14:textId="77777777" w:rsidR="001C19A4" w:rsidRPr="00D74D7C" w:rsidRDefault="001C19A4" w:rsidP="00D74D7C">
            <w:pPr>
              <w:spacing w:before="120" w:after="120"/>
              <w:rPr>
                <w:rStyle w:val="Strong"/>
                <w:b/>
                <w:bCs/>
              </w:rPr>
            </w:pPr>
            <w:r w:rsidRPr="00D74D7C">
              <w:rPr>
                <w:rStyle w:val="Strong"/>
                <w:b/>
              </w:rPr>
              <w:t>5-Year Percent Change</w:t>
            </w:r>
          </w:p>
        </w:tc>
        <w:tc>
          <w:tcPr>
            <w:tcW w:w="1080" w:type="dxa"/>
            <w:tcBorders>
              <w:top w:val="none" w:sz="0" w:space="0" w:color="auto"/>
              <w:bottom w:val="none" w:sz="0" w:space="0" w:color="auto"/>
            </w:tcBorders>
            <w:vAlign w:val="center"/>
          </w:tcPr>
          <w:p w14:paraId="7D9DDF24"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1535D2">
              <w:rPr>
                <w:b/>
              </w:rPr>
              <w:t>- 7.5%</w:t>
            </w:r>
          </w:p>
        </w:tc>
        <w:tc>
          <w:tcPr>
            <w:tcW w:w="1350" w:type="dxa"/>
            <w:tcBorders>
              <w:top w:val="none" w:sz="0" w:space="0" w:color="auto"/>
              <w:bottom w:val="none" w:sz="0" w:space="0" w:color="auto"/>
            </w:tcBorders>
            <w:noWrap/>
            <w:vAlign w:val="center"/>
          </w:tcPr>
          <w:p w14:paraId="2C865686"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1535D2">
              <w:rPr>
                <w:b/>
              </w:rPr>
              <w:t>- 18.9%</w:t>
            </w:r>
          </w:p>
        </w:tc>
        <w:tc>
          <w:tcPr>
            <w:tcW w:w="1260" w:type="dxa"/>
            <w:tcBorders>
              <w:top w:val="none" w:sz="0" w:space="0" w:color="auto"/>
              <w:bottom w:val="none" w:sz="0" w:space="0" w:color="auto"/>
            </w:tcBorders>
            <w:noWrap/>
            <w:vAlign w:val="center"/>
          </w:tcPr>
          <w:p w14:paraId="38B222A1"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1535D2">
              <w:rPr>
                <w:b/>
              </w:rPr>
              <w:t>- 3.0%</w:t>
            </w:r>
          </w:p>
        </w:tc>
        <w:tc>
          <w:tcPr>
            <w:tcW w:w="990" w:type="dxa"/>
            <w:tcBorders>
              <w:top w:val="none" w:sz="0" w:space="0" w:color="auto"/>
              <w:bottom w:val="none" w:sz="0" w:space="0" w:color="auto"/>
            </w:tcBorders>
            <w:noWrap/>
            <w:vAlign w:val="center"/>
          </w:tcPr>
          <w:p w14:paraId="24E74D10"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1535D2">
              <w:rPr>
                <w:b/>
              </w:rPr>
              <w:t>- 2.7%</w:t>
            </w:r>
          </w:p>
        </w:tc>
        <w:tc>
          <w:tcPr>
            <w:tcW w:w="1080" w:type="dxa"/>
            <w:tcBorders>
              <w:top w:val="none" w:sz="0" w:space="0" w:color="auto"/>
              <w:bottom w:val="none" w:sz="0" w:space="0" w:color="auto"/>
            </w:tcBorders>
            <w:noWrap/>
            <w:vAlign w:val="center"/>
          </w:tcPr>
          <w:p w14:paraId="588418BB"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1535D2">
              <w:rPr>
                <w:b/>
              </w:rPr>
              <w:t>- 25.6%</w:t>
            </w:r>
          </w:p>
        </w:tc>
        <w:tc>
          <w:tcPr>
            <w:tcW w:w="1080" w:type="dxa"/>
            <w:tcBorders>
              <w:top w:val="none" w:sz="0" w:space="0" w:color="auto"/>
              <w:bottom w:val="none" w:sz="0" w:space="0" w:color="auto"/>
            </w:tcBorders>
            <w:noWrap/>
            <w:vAlign w:val="center"/>
          </w:tcPr>
          <w:p w14:paraId="5EB5A76E" w14:textId="77777777" w:rsidR="001C19A4" w:rsidRPr="001535D2"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1535D2">
              <w:rPr>
                <w:b/>
              </w:rPr>
              <w:t>- 11.5%</w:t>
            </w:r>
          </w:p>
        </w:tc>
      </w:tr>
    </w:tbl>
    <w:p w14:paraId="65AC587B" w14:textId="77777777" w:rsidR="001C19A4" w:rsidRPr="00BB7C54" w:rsidRDefault="001C19A4" w:rsidP="005F27A6">
      <w:pPr>
        <w:pStyle w:val="TableSource"/>
        <w:rPr>
          <w:rStyle w:val="Strong"/>
          <w:b w:val="0"/>
          <w:bCs w:val="0"/>
        </w:rPr>
      </w:pPr>
      <w:r w:rsidRPr="00BB7C54">
        <w:rPr>
          <w:rStyle w:val="Strong"/>
        </w:rPr>
        <w:t>Source data: CALPADS</w:t>
      </w:r>
    </w:p>
    <w:p w14:paraId="57BB7535" w14:textId="77777777" w:rsidR="001C19A4" w:rsidRPr="00F25A73" w:rsidRDefault="001C19A4" w:rsidP="001F0B7E">
      <w:pPr>
        <w:pStyle w:val="Heading4"/>
      </w:pPr>
      <w:bookmarkStart w:id="24" w:name="Table3f"/>
      <w:r w:rsidRPr="00F25A73">
        <w:t xml:space="preserve">Table </w:t>
      </w:r>
      <w:r>
        <w:t>4</w:t>
      </w:r>
      <w:r w:rsidRPr="00F25A73">
        <w:t>f. Middle School Minority Enrollment Change</w:t>
      </w:r>
    </w:p>
    <w:tbl>
      <w:tblPr>
        <w:tblStyle w:val="ListTable3-Accent5"/>
        <w:tblW w:w="8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hange of students in minority and white categories for the existing Mt. Diablo USD during the five year period from 2016-17 through 2020-21."/>
      </w:tblPr>
      <w:tblGrid>
        <w:gridCol w:w="4590"/>
        <w:gridCol w:w="1436"/>
        <w:gridCol w:w="1437"/>
        <w:gridCol w:w="1437"/>
      </w:tblGrid>
      <w:tr w:rsidR="001C19A4" w:rsidRPr="00D74D7C" w14:paraId="6B847006" w14:textId="77777777" w:rsidTr="00D74D7C">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B4C6E7" w:themeFill="accent1" w:themeFillTint="66"/>
            <w:noWrap/>
            <w:vAlign w:val="center"/>
            <w:hideMark/>
          </w:tcPr>
          <w:bookmarkEnd w:id="24"/>
          <w:p w14:paraId="4D8C5289" w14:textId="77777777" w:rsidR="001C19A4" w:rsidRPr="00D74D7C" w:rsidRDefault="001C19A4" w:rsidP="00D74D7C">
            <w:pPr>
              <w:spacing w:before="120" w:after="120"/>
              <w:jc w:val="center"/>
              <w:rPr>
                <w:bCs w:val="0"/>
                <w:color w:val="000000"/>
              </w:rPr>
            </w:pPr>
            <w:r w:rsidRPr="00D74D7C">
              <w:rPr>
                <w:bCs w:val="0"/>
                <w:color w:val="000000"/>
              </w:rPr>
              <w:t>Year</w:t>
            </w:r>
          </w:p>
        </w:tc>
        <w:tc>
          <w:tcPr>
            <w:tcW w:w="1436" w:type="dxa"/>
            <w:shd w:val="clear" w:color="auto" w:fill="B4C6E7" w:themeFill="accent1" w:themeFillTint="66"/>
            <w:vAlign w:val="center"/>
            <w:hideMark/>
          </w:tcPr>
          <w:p w14:paraId="1B473B45" w14:textId="77777777" w:rsidR="001C19A4" w:rsidRPr="00D74D7C" w:rsidRDefault="001C19A4" w:rsidP="00D74D7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Minority</w:t>
            </w:r>
          </w:p>
        </w:tc>
        <w:tc>
          <w:tcPr>
            <w:tcW w:w="1437" w:type="dxa"/>
            <w:shd w:val="clear" w:color="auto" w:fill="B4C6E7" w:themeFill="accent1" w:themeFillTint="66"/>
            <w:vAlign w:val="center"/>
            <w:hideMark/>
          </w:tcPr>
          <w:p w14:paraId="16B99651" w14:textId="77777777" w:rsidR="001C19A4" w:rsidRPr="00D74D7C" w:rsidRDefault="001C19A4" w:rsidP="00D74D7C">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White</w:t>
            </w:r>
          </w:p>
        </w:tc>
        <w:tc>
          <w:tcPr>
            <w:tcW w:w="1437" w:type="dxa"/>
            <w:shd w:val="clear" w:color="auto" w:fill="B4C6E7" w:themeFill="accent1" w:themeFillTint="66"/>
            <w:vAlign w:val="center"/>
            <w:hideMark/>
          </w:tcPr>
          <w:p w14:paraId="68C86981" w14:textId="77777777" w:rsidR="001C19A4" w:rsidRPr="00D74D7C" w:rsidRDefault="001C19A4" w:rsidP="00D74D7C">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D74D7C">
              <w:rPr>
                <w:color w:val="000000"/>
              </w:rPr>
              <w:t>Total</w:t>
            </w:r>
          </w:p>
        </w:tc>
      </w:tr>
      <w:tr w:rsidR="001C19A4" w:rsidRPr="00553703" w14:paraId="13AC6D48" w14:textId="77777777" w:rsidTr="00D74D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hideMark/>
          </w:tcPr>
          <w:p w14:paraId="52CA812D" w14:textId="77777777" w:rsidR="001C19A4" w:rsidRPr="00D74D7C" w:rsidRDefault="001C19A4" w:rsidP="00D74D7C">
            <w:pPr>
              <w:spacing w:before="120" w:after="120"/>
              <w:rPr>
                <w:color w:val="000000"/>
              </w:rPr>
            </w:pPr>
            <w:r w:rsidRPr="00D74D7C">
              <w:rPr>
                <w:rStyle w:val="Strong"/>
              </w:rPr>
              <w:t>2016–17</w:t>
            </w:r>
          </w:p>
        </w:tc>
        <w:tc>
          <w:tcPr>
            <w:tcW w:w="1436" w:type="dxa"/>
            <w:tcBorders>
              <w:top w:val="none" w:sz="0" w:space="0" w:color="auto"/>
              <w:bottom w:val="none" w:sz="0" w:space="0" w:color="auto"/>
            </w:tcBorders>
            <w:noWrap/>
            <w:vAlign w:val="center"/>
            <w:hideMark/>
          </w:tcPr>
          <w:p w14:paraId="3DCA83E0" w14:textId="77777777" w:rsidR="001C19A4" w:rsidRPr="00553703"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15C16">
              <w:t>4</w:t>
            </w:r>
            <w:r>
              <w:t>,</w:t>
            </w:r>
            <w:r w:rsidRPr="00715C16">
              <w:t>810</w:t>
            </w:r>
          </w:p>
        </w:tc>
        <w:tc>
          <w:tcPr>
            <w:tcW w:w="1437" w:type="dxa"/>
            <w:tcBorders>
              <w:top w:val="none" w:sz="0" w:space="0" w:color="auto"/>
              <w:bottom w:val="none" w:sz="0" w:space="0" w:color="auto"/>
            </w:tcBorders>
            <w:noWrap/>
            <w:vAlign w:val="center"/>
            <w:hideMark/>
          </w:tcPr>
          <w:p w14:paraId="1D31EAC4" w14:textId="77777777" w:rsidR="001C19A4" w:rsidRPr="00553703"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15C16">
              <w:t>2</w:t>
            </w:r>
            <w:r>
              <w:t>,</w:t>
            </w:r>
            <w:r w:rsidRPr="00715C16">
              <w:t>476</w:t>
            </w:r>
          </w:p>
        </w:tc>
        <w:tc>
          <w:tcPr>
            <w:tcW w:w="1437" w:type="dxa"/>
            <w:tcBorders>
              <w:top w:val="none" w:sz="0" w:space="0" w:color="auto"/>
              <w:bottom w:val="none" w:sz="0" w:space="0" w:color="auto"/>
            </w:tcBorders>
            <w:noWrap/>
            <w:vAlign w:val="center"/>
            <w:hideMark/>
          </w:tcPr>
          <w:p w14:paraId="1F081222" w14:textId="77777777" w:rsidR="001C19A4" w:rsidRPr="00553703"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7,286</w:t>
            </w:r>
          </w:p>
        </w:tc>
      </w:tr>
      <w:tr w:rsidR="001C19A4" w:rsidRPr="00553703" w14:paraId="520EE7FC" w14:textId="77777777" w:rsidTr="00D74D7C">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hideMark/>
          </w:tcPr>
          <w:p w14:paraId="58E92F35" w14:textId="77777777" w:rsidR="001C19A4" w:rsidRPr="00D74D7C" w:rsidRDefault="001C19A4" w:rsidP="00D74D7C">
            <w:pPr>
              <w:spacing w:before="120" w:after="120"/>
              <w:rPr>
                <w:color w:val="000000"/>
              </w:rPr>
            </w:pPr>
            <w:r w:rsidRPr="00D74D7C">
              <w:rPr>
                <w:rStyle w:val="Strong"/>
              </w:rPr>
              <w:t>2020–21</w:t>
            </w:r>
          </w:p>
        </w:tc>
        <w:tc>
          <w:tcPr>
            <w:tcW w:w="1436" w:type="dxa"/>
            <w:noWrap/>
            <w:vAlign w:val="center"/>
            <w:hideMark/>
          </w:tcPr>
          <w:p w14:paraId="04C4EC1C" w14:textId="77777777" w:rsidR="001C19A4" w:rsidRPr="00553703"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2D106E">
              <w:t>4</w:t>
            </w:r>
            <w:r>
              <w:t>,</w:t>
            </w:r>
            <w:r w:rsidRPr="002D106E">
              <w:t>602</w:t>
            </w:r>
          </w:p>
        </w:tc>
        <w:tc>
          <w:tcPr>
            <w:tcW w:w="1437" w:type="dxa"/>
            <w:noWrap/>
            <w:vAlign w:val="center"/>
            <w:hideMark/>
          </w:tcPr>
          <w:p w14:paraId="11A29836" w14:textId="77777777" w:rsidR="001C19A4" w:rsidRPr="00553703"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2D106E">
              <w:t>1</w:t>
            </w:r>
            <w:r>
              <w:t>,</w:t>
            </w:r>
            <w:r w:rsidRPr="002D106E">
              <w:t>843</w:t>
            </w:r>
          </w:p>
        </w:tc>
        <w:tc>
          <w:tcPr>
            <w:tcW w:w="1437" w:type="dxa"/>
            <w:noWrap/>
            <w:vAlign w:val="center"/>
            <w:hideMark/>
          </w:tcPr>
          <w:p w14:paraId="25B5FF46" w14:textId="77777777" w:rsidR="001C19A4" w:rsidRPr="00553703"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FD463A">
              <w:t>6</w:t>
            </w:r>
            <w:r>
              <w:t>,</w:t>
            </w:r>
            <w:r w:rsidRPr="00FD463A">
              <w:t>445</w:t>
            </w:r>
          </w:p>
        </w:tc>
      </w:tr>
      <w:tr w:rsidR="001C19A4" w:rsidRPr="00553703" w14:paraId="73728DB6" w14:textId="77777777" w:rsidTr="00D74D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tcPr>
          <w:p w14:paraId="20E69A4C" w14:textId="77777777" w:rsidR="001C19A4" w:rsidRPr="00D74D7C" w:rsidRDefault="001C19A4" w:rsidP="00D74D7C">
            <w:pPr>
              <w:spacing w:before="120" w:after="120"/>
              <w:rPr>
                <w:rStyle w:val="Strong"/>
                <w:b/>
                <w:bCs/>
              </w:rPr>
            </w:pPr>
            <w:r w:rsidRPr="00D74D7C">
              <w:rPr>
                <w:rStyle w:val="Strong"/>
                <w:b/>
              </w:rPr>
              <w:t>Amount 5-Year Change</w:t>
            </w:r>
          </w:p>
        </w:tc>
        <w:tc>
          <w:tcPr>
            <w:tcW w:w="1436" w:type="dxa"/>
            <w:tcBorders>
              <w:top w:val="none" w:sz="0" w:space="0" w:color="auto"/>
              <w:bottom w:val="none" w:sz="0" w:space="0" w:color="auto"/>
            </w:tcBorders>
            <w:noWrap/>
            <w:vAlign w:val="center"/>
          </w:tcPr>
          <w:p w14:paraId="49BA10BA" w14:textId="7F06C507" w:rsidR="001C19A4" w:rsidRPr="00C532A0"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Pr>
                <w:b/>
              </w:rPr>
              <w:t>-</w:t>
            </w:r>
            <w:r w:rsidR="00C2453F">
              <w:rPr>
                <w:b/>
              </w:rPr>
              <w:t xml:space="preserve"> </w:t>
            </w:r>
            <w:r w:rsidRPr="00C532A0">
              <w:rPr>
                <w:b/>
              </w:rPr>
              <w:t>208</w:t>
            </w:r>
          </w:p>
        </w:tc>
        <w:tc>
          <w:tcPr>
            <w:tcW w:w="1437" w:type="dxa"/>
            <w:tcBorders>
              <w:top w:val="none" w:sz="0" w:space="0" w:color="auto"/>
              <w:bottom w:val="none" w:sz="0" w:space="0" w:color="auto"/>
            </w:tcBorders>
            <w:noWrap/>
            <w:vAlign w:val="center"/>
          </w:tcPr>
          <w:p w14:paraId="0220957A" w14:textId="41C19833" w:rsidR="001C19A4" w:rsidRPr="00C532A0"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Pr>
                <w:b/>
              </w:rPr>
              <w:t>-</w:t>
            </w:r>
            <w:r w:rsidR="00C2453F">
              <w:rPr>
                <w:b/>
              </w:rPr>
              <w:t xml:space="preserve"> </w:t>
            </w:r>
            <w:r w:rsidRPr="00C532A0">
              <w:rPr>
                <w:b/>
              </w:rPr>
              <w:t>633</w:t>
            </w:r>
          </w:p>
        </w:tc>
        <w:tc>
          <w:tcPr>
            <w:tcW w:w="1437" w:type="dxa"/>
            <w:tcBorders>
              <w:top w:val="none" w:sz="0" w:space="0" w:color="auto"/>
              <w:bottom w:val="none" w:sz="0" w:space="0" w:color="auto"/>
            </w:tcBorders>
            <w:noWrap/>
            <w:vAlign w:val="center"/>
          </w:tcPr>
          <w:p w14:paraId="37131DFF" w14:textId="3AF8C3B4" w:rsidR="001C19A4" w:rsidRPr="00C532A0" w:rsidRDefault="001C19A4" w:rsidP="00D74D7C">
            <w:pPr>
              <w:spacing w:before="120" w:after="120"/>
              <w:jc w:val="right"/>
              <w:cnfStyle w:val="000000100000" w:firstRow="0" w:lastRow="0" w:firstColumn="0" w:lastColumn="0" w:oddVBand="0" w:evenVBand="0" w:oddHBand="1" w:evenHBand="0" w:firstRowFirstColumn="0" w:firstRowLastColumn="0" w:lastRowFirstColumn="0" w:lastRowLastColumn="0"/>
              <w:rPr>
                <w:b/>
              </w:rPr>
            </w:pPr>
            <w:r>
              <w:rPr>
                <w:b/>
              </w:rPr>
              <w:t>-</w:t>
            </w:r>
            <w:r w:rsidR="00C2453F">
              <w:rPr>
                <w:b/>
              </w:rPr>
              <w:t xml:space="preserve"> </w:t>
            </w:r>
            <w:r w:rsidRPr="00C532A0">
              <w:rPr>
                <w:b/>
              </w:rPr>
              <w:t>841</w:t>
            </w:r>
          </w:p>
        </w:tc>
      </w:tr>
      <w:tr w:rsidR="001C19A4" w:rsidRPr="00553703" w14:paraId="3E40E0EC" w14:textId="77777777" w:rsidTr="00D74D7C">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0CB37A4E" w14:textId="77777777" w:rsidR="001C19A4" w:rsidRPr="00D74D7C" w:rsidRDefault="001C19A4" w:rsidP="00D74D7C">
            <w:pPr>
              <w:spacing w:before="120" w:after="120"/>
              <w:rPr>
                <w:rStyle w:val="Strong"/>
                <w:b/>
                <w:bCs/>
              </w:rPr>
            </w:pPr>
            <w:r w:rsidRPr="00D74D7C">
              <w:rPr>
                <w:rStyle w:val="Strong"/>
                <w:b/>
              </w:rPr>
              <w:t>Percent 5-Year Change</w:t>
            </w:r>
          </w:p>
        </w:tc>
        <w:tc>
          <w:tcPr>
            <w:tcW w:w="1436" w:type="dxa"/>
            <w:noWrap/>
            <w:vAlign w:val="center"/>
          </w:tcPr>
          <w:p w14:paraId="5C67A720" w14:textId="77777777" w:rsidR="001C19A4" w:rsidRPr="00C532A0"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C532A0">
              <w:rPr>
                <w:b/>
              </w:rPr>
              <w:t>-</w:t>
            </w:r>
            <w:r>
              <w:rPr>
                <w:b/>
              </w:rPr>
              <w:t xml:space="preserve"> </w:t>
            </w:r>
            <w:r w:rsidRPr="00C532A0">
              <w:rPr>
                <w:b/>
              </w:rPr>
              <w:t>4.3%</w:t>
            </w:r>
          </w:p>
        </w:tc>
        <w:tc>
          <w:tcPr>
            <w:tcW w:w="1437" w:type="dxa"/>
            <w:noWrap/>
            <w:vAlign w:val="center"/>
          </w:tcPr>
          <w:p w14:paraId="0F835796" w14:textId="77777777" w:rsidR="001C19A4" w:rsidRPr="00C532A0"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C532A0">
              <w:rPr>
                <w:b/>
              </w:rPr>
              <w:t>-</w:t>
            </w:r>
            <w:r>
              <w:rPr>
                <w:b/>
              </w:rPr>
              <w:t xml:space="preserve"> </w:t>
            </w:r>
            <w:r w:rsidRPr="00C532A0">
              <w:rPr>
                <w:b/>
              </w:rPr>
              <w:t>25.6%</w:t>
            </w:r>
          </w:p>
        </w:tc>
        <w:tc>
          <w:tcPr>
            <w:tcW w:w="1437" w:type="dxa"/>
            <w:noWrap/>
            <w:vAlign w:val="center"/>
          </w:tcPr>
          <w:p w14:paraId="3CC3CA9E" w14:textId="77777777" w:rsidR="001C19A4" w:rsidRPr="00C532A0" w:rsidRDefault="001C19A4" w:rsidP="00D74D7C">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C532A0">
              <w:rPr>
                <w:b/>
              </w:rPr>
              <w:t>-</w:t>
            </w:r>
            <w:r>
              <w:rPr>
                <w:b/>
              </w:rPr>
              <w:t xml:space="preserve"> </w:t>
            </w:r>
            <w:r w:rsidRPr="00C532A0">
              <w:rPr>
                <w:b/>
              </w:rPr>
              <w:t>11.5%</w:t>
            </w:r>
          </w:p>
        </w:tc>
      </w:tr>
    </w:tbl>
    <w:p w14:paraId="5A018930" w14:textId="77777777" w:rsidR="001C19A4" w:rsidRPr="00BB7C54" w:rsidRDefault="001C19A4" w:rsidP="005F27A6">
      <w:pPr>
        <w:pStyle w:val="TableSource"/>
        <w:rPr>
          <w:rStyle w:val="Strong"/>
          <w:b w:val="0"/>
          <w:bCs w:val="0"/>
        </w:rPr>
      </w:pPr>
      <w:bookmarkStart w:id="25" w:name="Table3g"/>
      <w:r w:rsidRPr="00BB7C54">
        <w:rPr>
          <w:rStyle w:val="Strong"/>
        </w:rPr>
        <w:t>Source data: CALPADS</w:t>
      </w:r>
    </w:p>
    <w:p w14:paraId="18579247" w14:textId="77777777" w:rsidR="00D43356" w:rsidRDefault="00D43356">
      <w:pPr>
        <w:spacing w:after="160"/>
        <w:rPr>
          <w:rFonts w:eastAsia="Times New Roman" w:cs="Arial"/>
          <w:b/>
          <w:i/>
          <w:szCs w:val="20"/>
        </w:rPr>
      </w:pPr>
      <w:r>
        <w:br w:type="page"/>
      </w:r>
    </w:p>
    <w:p w14:paraId="07F8CCE9" w14:textId="68261745" w:rsidR="001C19A4" w:rsidRPr="00BB7C54" w:rsidRDefault="001C19A4" w:rsidP="001F0B7E">
      <w:pPr>
        <w:pStyle w:val="Heading4"/>
      </w:pPr>
      <w:r w:rsidRPr="00BB7C54">
        <w:lastRenderedPageBreak/>
        <w:t>Table 4g. High School Historical Racial/Ethnic Enrollment</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number of students in racial/ethnic categories that resided in the proposed Northgate USD territory and attended schools outside of its territory and the number of students in racial/ethnic categories that attended .Northgate USD schools and who lived outside of its territory as of 2016-17."/>
      </w:tblPr>
      <w:tblGrid>
        <w:gridCol w:w="2160"/>
        <w:gridCol w:w="1080"/>
        <w:gridCol w:w="1350"/>
        <w:gridCol w:w="1260"/>
        <w:gridCol w:w="990"/>
        <w:gridCol w:w="1080"/>
        <w:gridCol w:w="1080"/>
      </w:tblGrid>
      <w:tr w:rsidR="001C19A4" w:rsidRPr="000D10AE" w14:paraId="1A9C442D" w14:textId="77777777" w:rsidTr="000D10AE">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shd w:val="clear" w:color="auto" w:fill="B4C6E7" w:themeFill="accent1" w:themeFillTint="66"/>
            <w:noWrap/>
            <w:vAlign w:val="center"/>
            <w:hideMark/>
          </w:tcPr>
          <w:p w14:paraId="6ED9AB48" w14:textId="77777777" w:rsidR="001C19A4" w:rsidRPr="000D10AE" w:rsidRDefault="001C19A4" w:rsidP="000D10AE">
            <w:pPr>
              <w:spacing w:before="120" w:after="120"/>
              <w:jc w:val="center"/>
              <w:rPr>
                <w:bCs w:val="0"/>
                <w:color w:val="000000"/>
              </w:rPr>
            </w:pPr>
            <w:r w:rsidRPr="000D10AE">
              <w:rPr>
                <w:bCs w:val="0"/>
                <w:color w:val="000000"/>
              </w:rPr>
              <w:t>Year</w:t>
            </w:r>
          </w:p>
        </w:tc>
        <w:tc>
          <w:tcPr>
            <w:tcW w:w="1080" w:type="dxa"/>
            <w:shd w:val="clear" w:color="auto" w:fill="B4C6E7" w:themeFill="accent1" w:themeFillTint="66"/>
            <w:vAlign w:val="center"/>
          </w:tcPr>
          <w:p w14:paraId="2F8CE28B" w14:textId="77777777" w:rsidR="001C19A4" w:rsidRPr="000D10AE" w:rsidRDefault="001C19A4" w:rsidP="000D10AE">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Asian</w:t>
            </w:r>
          </w:p>
        </w:tc>
        <w:tc>
          <w:tcPr>
            <w:tcW w:w="1350" w:type="dxa"/>
            <w:shd w:val="clear" w:color="auto" w:fill="B4C6E7" w:themeFill="accent1" w:themeFillTint="66"/>
            <w:vAlign w:val="center"/>
            <w:hideMark/>
          </w:tcPr>
          <w:p w14:paraId="4ADBABDD" w14:textId="77777777" w:rsidR="001C19A4" w:rsidRPr="000D10AE" w:rsidRDefault="001C19A4" w:rsidP="000D10AE">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Black or African American</w:t>
            </w:r>
          </w:p>
        </w:tc>
        <w:tc>
          <w:tcPr>
            <w:tcW w:w="1260" w:type="dxa"/>
            <w:shd w:val="clear" w:color="auto" w:fill="B4C6E7" w:themeFill="accent1" w:themeFillTint="66"/>
            <w:vAlign w:val="center"/>
            <w:hideMark/>
          </w:tcPr>
          <w:p w14:paraId="685D0E0E" w14:textId="77777777" w:rsidR="001C19A4" w:rsidRPr="000D10AE" w:rsidRDefault="001C19A4" w:rsidP="000D10A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Hispanic or Latino</w:t>
            </w:r>
          </w:p>
        </w:tc>
        <w:tc>
          <w:tcPr>
            <w:tcW w:w="990" w:type="dxa"/>
            <w:shd w:val="clear" w:color="auto" w:fill="B4C6E7" w:themeFill="accent1" w:themeFillTint="66"/>
            <w:vAlign w:val="center"/>
            <w:hideMark/>
          </w:tcPr>
          <w:p w14:paraId="54F127F2" w14:textId="77777777" w:rsidR="001C19A4" w:rsidRPr="000D10AE" w:rsidRDefault="001C19A4"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Other</w:t>
            </w:r>
          </w:p>
        </w:tc>
        <w:tc>
          <w:tcPr>
            <w:tcW w:w="1080" w:type="dxa"/>
            <w:shd w:val="clear" w:color="auto" w:fill="B4C6E7" w:themeFill="accent1" w:themeFillTint="66"/>
            <w:vAlign w:val="center"/>
            <w:hideMark/>
          </w:tcPr>
          <w:p w14:paraId="4296483B" w14:textId="77777777" w:rsidR="001C19A4" w:rsidRPr="000D10AE" w:rsidRDefault="001C19A4" w:rsidP="000D10A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White</w:t>
            </w:r>
          </w:p>
        </w:tc>
        <w:tc>
          <w:tcPr>
            <w:tcW w:w="1080" w:type="dxa"/>
            <w:shd w:val="clear" w:color="auto" w:fill="B4C6E7" w:themeFill="accent1" w:themeFillTint="66"/>
            <w:vAlign w:val="center"/>
            <w:hideMark/>
          </w:tcPr>
          <w:p w14:paraId="1A5DC6B1" w14:textId="77777777" w:rsidR="001C19A4" w:rsidRPr="000D10AE" w:rsidRDefault="001C19A4"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Total</w:t>
            </w:r>
          </w:p>
        </w:tc>
      </w:tr>
      <w:bookmarkEnd w:id="25"/>
      <w:tr w:rsidR="001C19A4" w:rsidRPr="00553703" w14:paraId="6DFC3E1E" w14:textId="77777777" w:rsidTr="000D10A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77F03DF2" w14:textId="77777777" w:rsidR="001C19A4" w:rsidRPr="000D10AE" w:rsidRDefault="001C19A4" w:rsidP="000D10AE">
            <w:pPr>
              <w:spacing w:before="120" w:after="120"/>
              <w:rPr>
                <w:color w:val="000000"/>
              </w:rPr>
            </w:pPr>
            <w:r w:rsidRPr="000D10AE">
              <w:rPr>
                <w:rStyle w:val="Strong"/>
              </w:rPr>
              <w:t>2016–17</w:t>
            </w:r>
          </w:p>
        </w:tc>
        <w:tc>
          <w:tcPr>
            <w:tcW w:w="1080" w:type="dxa"/>
            <w:tcBorders>
              <w:top w:val="none" w:sz="0" w:space="0" w:color="auto"/>
              <w:bottom w:val="none" w:sz="0" w:space="0" w:color="auto"/>
            </w:tcBorders>
            <w:vAlign w:val="center"/>
          </w:tcPr>
          <w:p w14:paraId="568577AE" w14:textId="77777777" w:rsidR="001C19A4" w:rsidRPr="0075571B"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pPr>
            <w:r w:rsidRPr="0075571B">
              <w:t>671</w:t>
            </w:r>
          </w:p>
        </w:tc>
        <w:tc>
          <w:tcPr>
            <w:tcW w:w="1350" w:type="dxa"/>
            <w:tcBorders>
              <w:top w:val="none" w:sz="0" w:space="0" w:color="auto"/>
              <w:bottom w:val="none" w:sz="0" w:space="0" w:color="auto"/>
            </w:tcBorders>
            <w:noWrap/>
            <w:vAlign w:val="center"/>
            <w:hideMark/>
          </w:tcPr>
          <w:p w14:paraId="594D3756"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422</w:t>
            </w:r>
          </w:p>
        </w:tc>
        <w:tc>
          <w:tcPr>
            <w:tcW w:w="1260" w:type="dxa"/>
            <w:tcBorders>
              <w:top w:val="none" w:sz="0" w:space="0" w:color="auto"/>
              <w:bottom w:val="none" w:sz="0" w:space="0" w:color="auto"/>
            </w:tcBorders>
            <w:noWrap/>
            <w:vAlign w:val="center"/>
            <w:hideMark/>
          </w:tcPr>
          <w:p w14:paraId="0250B204"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3</w:t>
            </w:r>
            <w:r>
              <w:t>,</w:t>
            </w:r>
            <w:r w:rsidRPr="0075571B">
              <w:t>455</w:t>
            </w:r>
          </w:p>
        </w:tc>
        <w:tc>
          <w:tcPr>
            <w:tcW w:w="990" w:type="dxa"/>
            <w:tcBorders>
              <w:top w:val="none" w:sz="0" w:space="0" w:color="auto"/>
              <w:bottom w:val="none" w:sz="0" w:space="0" w:color="auto"/>
            </w:tcBorders>
            <w:noWrap/>
            <w:vAlign w:val="center"/>
            <w:hideMark/>
          </w:tcPr>
          <w:p w14:paraId="6CC9F9C6"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759</w:t>
            </w:r>
          </w:p>
        </w:tc>
        <w:tc>
          <w:tcPr>
            <w:tcW w:w="1080" w:type="dxa"/>
            <w:tcBorders>
              <w:top w:val="none" w:sz="0" w:space="0" w:color="auto"/>
              <w:bottom w:val="none" w:sz="0" w:space="0" w:color="auto"/>
            </w:tcBorders>
            <w:noWrap/>
            <w:vAlign w:val="center"/>
            <w:hideMark/>
          </w:tcPr>
          <w:p w14:paraId="1B801539"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2</w:t>
            </w:r>
            <w:r>
              <w:t>,</w:t>
            </w:r>
            <w:r w:rsidRPr="0075571B">
              <w:t>925</w:t>
            </w:r>
          </w:p>
        </w:tc>
        <w:tc>
          <w:tcPr>
            <w:tcW w:w="1080" w:type="dxa"/>
            <w:tcBorders>
              <w:top w:val="none" w:sz="0" w:space="0" w:color="auto"/>
              <w:bottom w:val="none" w:sz="0" w:space="0" w:color="auto"/>
            </w:tcBorders>
            <w:noWrap/>
            <w:vAlign w:val="center"/>
            <w:hideMark/>
          </w:tcPr>
          <w:p w14:paraId="1BBAF2AB"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8</w:t>
            </w:r>
            <w:r>
              <w:t>,</w:t>
            </w:r>
            <w:r w:rsidRPr="0075571B">
              <w:t>232</w:t>
            </w:r>
          </w:p>
        </w:tc>
      </w:tr>
      <w:tr w:rsidR="001C19A4" w:rsidRPr="00553703" w14:paraId="7A9759D7" w14:textId="77777777" w:rsidTr="000D10AE">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00E8075A" w14:textId="77777777" w:rsidR="001C19A4" w:rsidRPr="000D10AE" w:rsidRDefault="001C19A4" w:rsidP="000D10AE">
            <w:pPr>
              <w:spacing w:before="120" w:after="120"/>
              <w:rPr>
                <w:rStyle w:val="Strong"/>
                <w:bCs/>
              </w:rPr>
            </w:pPr>
            <w:r w:rsidRPr="000D10AE">
              <w:rPr>
                <w:rStyle w:val="Strong"/>
              </w:rPr>
              <w:t>2017–18</w:t>
            </w:r>
          </w:p>
        </w:tc>
        <w:tc>
          <w:tcPr>
            <w:tcW w:w="1080" w:type="dxa"/>
            <w:vAlign w:val="center"/>
          </w:tcPr>
          <w:p w14:paraId="606EC450" w14:textId="77777777" w:rsidR="001C19A4" w:rsidRPr="0075571B"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pPr>
            <w:r w:rsidRPr="0075571B">
              <w:t>643</w:t>
            </w:r>
          </w:p>
        </w:tc>
        <w:tc>
          <w:tcPr>
            <w:tcW w:w="1350" w:type="dxa"/>
            <w:noWrap/>
            <w:vAlign w:val="center"/>
          </w:tcPr>
          <w:p w14:paraId="146E08E2"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390</w:t>
            </w:r>
          </w:p>
        </w:tc>
        <w:tc>
          <w:tcPr>
            <w:tcW w:w="1260" w:type="dxa"/>
            <w:noWrap/>
            <w:vAlign w:val="center"/>
          </w:tcPr>
          <w:p w14:paraId="5C57808B"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3</w:t>
            </w:r>
            <w:r>
              <w:t>,</w:t>
            </w:r>
            <w:r w:rsidRPr="0075571B">
              <w:t>602</w:t>
            </w:r>
          </w:p>
        </w:tc>
        <w:tc>
          <w:tcPr>
            <w:tcW w:w="990" w:type="dxa"/>
            <w:noWrap/>
            <w:vAlign w:val="center"/>
          </w:tcPr>
          <w:p w14:paraId="23EB486A"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891</w:t>
            </w:r>
          </w:p>
        </w:tc>
        <w:tc>
          <w:tcPr>
            <w:tcW w:w="1080" w:type="dxa"/>
            <w:noWrap/>
            <w:vAlign w:val="center"/>
          </w:tcPr>
          <w:p w14:paraId="1445BDE9"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2</w:t>
            </w:r>
            <w:r>
              <w:t>,</w:t>
            </w:r>
            <w:r w:rsidRPr="0075571B">
              <w:t>670</w:t>
            </w:r>
          </w:p>
        </w:tc>
        <w:tc>
          <w:tcPr>
            <w:tcW w:w="1080" w:type="dxa"/>
            <w:noWrap/>
            <w:vAlign w:val="center"/>
          </w:tcPr>
          <w:p w14:paraId="52935E59"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8</w:t>
            </w:r>
            <w:r>
              <w:t>,</w:t>
            </w:r>
            <w:r w:rsidRPr="0075571B">
              <w:t>196</w:t>
            </w:r>
          </w:p>
        </w:tc>
      </w:tr>
      <w:tr w:rsidR="001C19A4" w:rsidRPr="00553703" w14:paraId="2615D259" w14:textId="77777777" w:rsidTr="000D10A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1B5E8152" w14:textId="77777777" w:rsidR="001C19A4" w:rsidRPr="000D10AE" w:rsidRDefault="001C19A4" w:rsidP="000D10AE">
            <w:pPr>
              <w:spacing w:before="120" w:after="120"/>
              <w:rPr>
                <w:rStyle w:val="Strong"/>
                <w:bCs/>
              </w:rPr>
            </w:pPr>
            <w:r w:rsidRPr="000D10AE">
              <w:rPr>
                <w:rStyle w:val="Strong"/>
              </w:rPr>
              <w:t>2018–19</w:t>
            </w:r>
          </w:p>
        </w:tc>
        <w:tc>
          <w:tcPr>
            <w:tcW w:w="1080" w:type="dxa"/>
            <w:tcBorders>
              <w:top w:val="none" w:sz="0" w:space="0" w:color="auto"/>
              <w:bottom w:val="none" w:sz="0" w:space="0" w:color="auto"/>
            </w:tcBorders>
            <w:vAlign w:val="center"/>
          </w:tcPr>
          <w:p w14:paraId="1393F624" w14:textId="77777777" w:rsidR="001C19A4" w:rsidRPr="0075571B"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pPr>
            <w:r w:rsidRPr="0075571B">
              <w:t>628</w:t>
            </w:r>
          </w:p>
        </w:tc>
        <w:tc>
          <w:tcPr>
            <w:tcW w:w="1350" w:type="dxa"/>
            <w:tcBorders>
              <w:top w:val="none" w:sz="0" w:space="0" w:color="auto"/>
              <w:bottom w:val="none" w:sz="0" w:space="0" w:color="auto"/>
            </w:tcBorders>
            <w:noWrap/>
            <w:vAlign w:val="center"/>
          </w:tcPr>
          <w:p w14:paraId="2E568444"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329</w:t>
            </w:r>
          </w:p>
        </w:tc>
        <w:tc>
          <w:tcPr>
            <w:tcW w:w="1260" w:type="dxa"/>
            <w:tcBorders>
              <w:top w:val="none" w:sz="0" w:space="0" w:color="auto"/>
              <w:bottom w:val="none" w:sz="0" w:space="0" w:color="auto"/>
            </w:tcBorders>
            <w:noWrap/>
            <w:vAlign w:val="center"/>
          </w:tcPr>
          <w:p w14:paraId="481CFF97"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3</w:t>
            </w:r>
            <w:r>
              <w:t>,</w:t>
            </w:r>
            <w:r w:rsidRPr="0075571B">
              <w:t>671</w:t>
            </w:r>
          </w:p>
        </w:tc>
        <w:tc>
          <w:tcPr>
            <w:tcW w:w="990" w:type="dxa"/>
            <w:tcBorders>
              <w:top w:val="none" w:sz="0" w:space="0" w:color="auto"/>
              <w:bottom w:val="none" w:sz="0" w:space="0" w:color="auto"/>
            </w:tcBorders>
            <w:noWrap/>
            <w:vAlign w:val="center"/>
          </w:tcPr>
          <w:p w14:paraId="1B862A5C"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936</w:t>
            </w:r>
          </w:p>
        </w:tc>
        <w:tc>
          <w:tcPr>
            <w:tcW w:w="1080" w:type="dxa"/>
            <w:tcBorders>
              <w:top w:val="none" w:sz="0" w:space="0" w:color="auto"/>
              <w:bottom w:val="none" w:sz="0" w:space="0" w:color="auto"/>
            </w:tcBorders>
            <w:noWrap/>
            <w:vAlign w:val="center"/>
          </w:tcPr>
          <w:p w14:paraId="0513D17C"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2</w:t>
            </w:r>
            <w:r>
              <w:t>,</w:t>
            </w:r>
            <w:r w:rsidRPr="0075571B">
              <w:t>536</w:t>
            </w:r>
          </w:p>
        </w:tc>
        <w:tc>
          <w:tcPr>
            <w:tcW w:w="1080" w:type="dxa"/>
            <w:tcBorders>
              <w:top w:val="none" w:sz="0" w:space="0" w:color="auto"/>
              <w:bottom w:val="none" w:sz="0" w:space="0" w:color="auto"/>
            </w:tcBorders>
            <w:noWrap/>
            <w:vAlign w:val="center"/>
          </w:tcPr>
          <w:p w14:paraId="64582F27"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8</w:t>
            </w:r>
            <w:r>
              <w:t>,</w:t>
            </w:r>
            <w:r w:rsidRPr="0075571B">
              <w:t>100</w:t>
            </w:r>
          </w:p>
        </w:tc>
      </w:tr>
      <w:tr w:rsidR="001C19A4" w:rsidRPr="00553703" w14:paraId="60C350F1" w14:textId="77777777" w:rsidTr="000D10AE">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2E335861" w14:textId="77777777" w:rsidR="001C19A4" w:rsidRPr="000D10AE" w:rsidRDefault="001C19A4" w:rsidP="000D10AE">
            <w:pPr>
              <w:spacing w:before="120" w:after="120"/>
              <w:rPr>
                <w:rStyle w:val="Strong"/>
                <w:bCs/>
              </w:rPr>
            </w:pPr>
            <w:r w:rsidRPr="000D10AE">
              <w:rPr>
                <w:rStyle w:val="Strong"/>
              </w:rPr>
              <w:t>2019–20</w:t>
            </w:r>
          </w:p>
        </w:tc>
        <w:tc>
          <w:tcPr>
            <w:tcW w:w="1080" w:type="dxa"/>
            <w:vAlign w:val="center"/>
          </w:tcPr>
          <w:p w14:paraId="02D255FC" w14:textId="77777777" w:rsidR="001C19A4" w:rsidRPr="0075571B"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pPr>
            <w:r w:rsidRPr="0075571B">
              <w:t>645</w:t>
            </w:r>
          </w:p>
        </w:tc>
        <w:tc>
          <w:tcPr>
            <w:tcW w:w="1350" w:type="dxa"/>
            <w:noWrap/>
            <w:vAlign w:val="center"/>
          </w:tcPr>
          <w:p w14:paraId="5A3968BB"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294</w:t>
            </w:r>
          </w:p>
        </w:tc>
        <w:tc>
          <w:tcPr>
            <w:tcW w:w="1260" w:type="dxa"/>
            <w:noWrap/>
            <w:vAlign w:val="center"/>
          </w:tcPr>
          <w:p w14:paraId="6773B303"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3</w:t>
            </w:r>
            <w:r>
              <w:t>,</w:t>
            </w:r>
            <w:r w:rsidRPr="0075571B">
              <w:t>855</w:t>
            </w:r>
          </w:p>
        </w:tc>
        <w:tc>
          <w:tcPr>
            <w:tcW w:w="990" w:type="dxa"/>
            <w:noWrap/>
            <w:vAlign w:val="center"/>
          </w:tcPr>
          <w:p w14:paraId="5CA76C34"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1</w:t>
            </w:r>
            <w:r>
              <w:t>,</w:t>
            </w:r>
            <w:r w:rsidRPr="0075571B">
              <w:t>020</w:t>
            </w:r>
          </w:p>
        </w:tc>
        <w:tc>
          <w:tcPr>
            <w:tcW w:w="1080" w:type="dxa"/>
            <w:noWrap/>
            <w:vAlign w:val="center"/>
          </w:tcPr>
          <w:p w14:paraId="1DEEF93C"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2</w:t>
            </w:r>
            <w:r>
              <w:t>,</w:t>
            </w:r>
            <w:r w:rsidRPr="0075571B">
              <w:t>469</w:t>
            </w:r>
          </w:p>
        </w:tc>
        <w:tc>
          <w:tcPr>
            <w:tcW w:w="1080" w:type="dxa"/>
            <w:noWrap/>
            <w:vAlign w:val="center"/>
          </w:tcPr>
          <w:p w14:paraId="73DC2D50"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5571B">
              <w:t>8</w:t>
            </w:r>
            <w:r>
              <w:t>,</w:t>
            </w:r>
            <w:r w:rsidRPr="0075571B">
              <w:t>283</w:t>
            </w:r>
          </w:p>
        </w:tc>
      </w:tr>
      <w:tr w:rsidR="001C19A4" w:rsidRPr="00553703" w14:paraId="118DA98C" w14:textId="77777777" w:rsidTr="000D10A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hideMark/>
          </w:tcPr>
          <w:p w14:paraId="4005298F" w14:textId="77777777" w:rsidR="001C19A4" w:rsidRPr="000D10AE" w:rsidRDefault="001C19A4" w:rsidP="000D10AE">
            <w:pPr>
              <w:spacing w:before="120" w:after="120"/>
              <w:rPr>
                <w:color w:val="000000"/>
              </w:rPr>
            </w:pPr>
            <w:r w:rsidRPr="000D10AE">
              <w:rPr>
                <w:rStyle w:val="Strong"/>
              </w:rPr>
              <w:t>2020–21</w:t>
            </w:r>
          </w:p>
        </w:tc>
        <w:tc>
          <w:tcPr>
            <w:tcW w:w="1080" w:type="dxa"/>
            <w:tcBorders>
              <w:top w:val="none" w:sz="0" w:space="0" w:color="auto"/>
              <w:bottom w:val="none" w:sz="0" w:space="0" w:color="auto"/>
            </w:tcBorders>
            <w:vAlign w:val="center"/>
          </w:tcPr>
          <w:p w14:paraId="21181E08" w14:textId="77777777" w:rsidR="001C19A4" w:rsidRPr="0075571B"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pPr>
            <w:r w:rsidRPr="0075571B">
              <w:t>617</w:t>
            </w:r>
          </w:p>
        </w:tc>
        <w:tc>
          <w:tcPr>
            <w:tcW w:w="1350" w:type="dxa"/>
            <w:tcBorders>
              <w:top w:val="none" w:sz="0" w:space="0" w:color="auto"/>
              <w:bottom w:val="none" w:sz="0" w:space="0" w:color="auto"/>
            </w:tcBorders>
            <w:noWrap/>
            <w:vAlign w:val="center"/>
            <w:hideMark/>
          </w:tcPr>
          <w:p w14:paraId="3544CC88"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278</w:t>
            </w:r>
          </w:p>
        </w:tc>
        <w:tc>
          <w:tcPr>
            <w:tcW w:w="1260" w:type="dxa"/>
            <w:tcBorders>
              <w:top w:val="none" w:sz="0" w:space="0" w:color="auto"/>
              <w:bottom w:val="none" w:sz="0" w:space="0" w:color="auto"/>
            </w:tcBorders>
            <w:noWrap/>
            <w:vAlign w:val="center"/>
            <w:hideMark/>
          </w:tcPr>
          <w:p w14:paraId="2B675D04"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3</w:t>
            </w:r>
            <w:r>
              <w:t>,</w:t>
            </w:r>
            <w:r w:rsidRPr="0075571B">
              <w:t>948</w:t>
            </w:r>
          </w:p>
        </w:tc>
        <w:tc>
          <w:tcPr>
            <w:tcW w:w="990" w:type="dxa"/>
            <w:tcBorders>
              <w:top w:val="none" w:sz="0" w:space="0" w:color="auto"/>
              <w:bottom w:val="none" w:sz="0" w:space="0" w:color="auto"/>
            </w:tcBorders>
            <w:noWrap/>
            <w:vAlign w:val="center"/>
            <w:hideMark/>
          </w:tcPr>
          <w:p w14:paraId="3768339A"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1</w:t>
            </w:r>
            <w:r>
              <w:t>,</w:t>
            </w:r>
            <w:r w:rsidRPr="0075571B">
              <w:t>015</w:t>
            </w:r>
          </w:p>
        </w:tc>
        <w:tc>
          <w:tcPr>
            <w:tcW w:w="1080" w:type="dxa"/>
            <w:tcBorders>
              <w:top w:val="none" w:sz="0" w:space="0" w:color="auto"/>
              <w:bottom w:val="none" w:sz="0" w:space="0" w:color="auto"/>
            </w:tcBorders>
            <w:noWrap/>
            <w:vAlign w:val="center"/>
            <w:hideMark/>
          </w:tcPr>
          <w:p w14:paraId="339069EC"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2</w:t>
            </w:r>
            <w:r>
              <w:t>,</w:t>
            </w:r>
            <w:r w:rsidRPr="0075571B">
              <w:t>296</w:t>
            </w:r>
          </w:p>
        </w:tc>
        <w:tc>
          <w:tcPr>
            <w:tcW w:w="1080" w:type="dxa"/>
            <w:tcBorders>
              <w:top w:val="none" w:sz="0" w:space="0" w:color="auto"/>
              <w:bottom w:val="none" w:sz="0" w:space="0" w:color="auto"/>
            </w:tcBorders>
            <w:noWrap/>
            <w:vAlign w:val="center"/>
            <w:hideMark/>
          </w:tcPr>
          <w:p w14:paraId="463C4772"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5571B">
              <w:t>8</w:t>
            </w:r>
            <w:r>
              <w:t>,</w:t>
            </w:r>
            <w:r w:rsidRPr="0075571B">
              <w:t>154</w:t>
            </w:r>
          </w:p>
        </w:tc>
      </w:tr>
      <w:tr w:rsidR="001C19A4" w:rsidRPr="00553703" w14:paraId="66E2D8AB" w14:textId="77777777" w:rsidTr="000D10AE">
        <w:trPr>
          <w:trHeight w:val="232"/>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noWrap/>
            <w:vAlign w:val="center"/>
          </w:tcPr>
          <w:p w14:paraId="02AE1E21" w14:textId="77777777" w:rsidR="001C19A4" w:rsidRPr="000D10AE" w:rsidRDefault="001C19A4" w:rsidP="000D10AE">
            <w:pPr>
              <w:spacing w:before="120" w:after="120"/>
              <w:rPr>
                <w:rStyle w:val="Strong"/>
                <w:b/>
                <w:bCs/>
              </w:rPr>
            </w:pPr>
            <w:r w:rsidRPr="000D10AE">
              <w:rPr>
                <w:rStyle w:val="Strong"/>
                <w:b/>
              </w:rPr>
              <w:t>5-Year Amount Change</w:t>
            </w:r>
          </w:p>
        </w:tc>
        <w:tc>
          <w:tcPr>
            <w:tcW w:w="1080" w:type="dxa"/>
            <w:vAlign w:val="center"/>
          </w:tcPr>
          <w:p w14:paraId="6CC6894A"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Pr="00C532A0">
              <w:rPr>
                <w:b/>
              </w:rPr>
              <w:t>54</w:t>
            </w:r>
          </w:p>
        </w:tc>
        <w:tc>
          <w:tcPr>
            <w:tcW w:w="1350" w:type="dxa"/>
            <w:noWrap/>
            <w:vAlign w:val="center"/>
          </w:tcPr>
          <w:p w14:paraId="178DC9A8"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Pr="00C532A0">
              <w:rPr>
                <w:b/>
              </w:rPr>
              <w:t>144</w:t>
            </w:r>
          </w:p>
        </w:tc>
        <w:tc>
          <w:tcPr>
            <w:tcW w:w="1260" w:type="dxa"/>
            <w:noWrap/>
            <w:vAlign w:val="center"/>
          </w:tcPr>
          <w:p w14:paraId="357E007B"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C532A0">
              <w:rPr>
                <w:b/>
              </w:rPr>
              <w:t>493</w:t>
            </w:r>
          </w:p>
        </w:tc>
        <w:tc>
          <w:tcPr>
            <w:tcW w:w="990" w:type="dxa"/>
            <w:noWrap/>
            <w:vAlign w:val="center"/>
          </w:tcPr>
          <w:p w14:paraId="3DE54F57"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C532A0">
              <w:rPr>
                <w:b/>
              </w:rPr>
              <w:t>256</w:t>
            </w:r>
          </w:p>
        </w:tc>
        <w:tc>
          <w:tcPr>
            <w:tcW w:w="1080" w:type="dxa"/>
            <w:noWrap/>
            <w:vAlign w:val="center"/>
          </w:tcPr>
          <w:p w14:paraId="2121A296"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Pr="00C532A0">
              <w:rPr>
                <w:b/>
              </w:rPr>
              <w:t>629</w:t>
            </w:r>
          </w:p>
        </w:tc>
        <w:tc>
          <w:tcPr>
            <w:tcW w:w="1080" w:type="dxa"/>
            <w:noWrap/>
            <w:vAlign w:val="center"/>
          </w:tcPr>
          <w:p w14:paraId="22671023"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Pr="00C532A0">
              <w:rPr>
                <w:b/>
              </w:rPr>
              <w:t>78</w:t>
            </w:r>
          </w:p>
        </w:tc>
      </w:tr>
      <w:tr w:rsidR="001C19A4" w:rsidRPr="00553703" w14:paraId="75668896" w14:textId="77777777" w:rsidTr="000D10A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bottom w:val="none" w:sz="0" w:space="0" w:color="auto"/>
              <w:right w:val="none" w:sz="0" w:space="0" w:color="auto"/>
            </w:tcBorders>
            <w:noWrap/>
            <w:vAlign w:val="center"/>
          </w:tcPr>
          <w:p w14:paraId="279EFCAD" w14:textId="77777777" w:rsidR="001C19A4" w:rsidRPr="000D10AE" w:rsidRDefault="001C19A4" w:rsidP="000D10AE">
            <w:pPr>
              <w:spacing w:before="120" w:after="120"/>
              <w:rPr>
                <w:rStyle w:val="Strong"/>
                <w:b/>
                <w:bCs/>
              </w:rPr>
            </w:pPr>
            <w:r w:rsidRPr="000D10AE">
              <w:rPr>
                <w:rStyle w:val="Strong"/>
                <w:b/>
              </w:rPr>
              <w:t>5-Year Percent Change</w:t>
            </w:r>
          </w:p>
        </w:tc>
        <w:tc>
          <w:tcPr>
            <w:tcW w:w="1080" w:type="dxa"/>
            <w:tcBorders>
              <w:top w:val="none" w:sz="0" w:space="0" w:color="auto"/>
              <w:bottom w:val="none" w:sz="0" w:space="0" w:color="auto"/>
            </w:tcBorders>
            <w:vAlign w:val="center"/>
          </w:tcPr>
          <w:p w14:paraId="1950498C"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C532A0">
              <w:rPr>
                <w:b/>
              </w:rPr>
              <w:t>-</w:t>
            </w:r>
            <w:r>
              <w:rPr>
                <w:b/>
              </w:rPr>
              <w:t xml:space="preserve"> </w:t>
            </w:r>
            <w:r w:rsidRPr="00C532A0">
              <w:rPr>
                <w:b/>
              </w:rPr>
              <w:t>8.0%</w:t>
            </w:r>
          </w:p>
        </w:tc>
        <w:tc>
          <w:tcPr>
            <w:tcW w:w="1350" w:type="dxa"/>
            <w:tcBorders>
              <w:top w:val="none" w:sz="0" w:space="0" w:color="auto"/>
              <w:bottom w:val="none" w:sz="0" w:space="0" w:color="auto"/>
            </w:tcBorders>
            <w:noWrap/>
            <w:vAlign w:val="center"/>
          </w:tcPr>
          <w:p w14:paraId="38224B63"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C532A0">
              <w:rPr>
                <w:b/>
              </w:rPr>
              <w:t>-</w:t>
            </w:r>
            <w:r>
              <w:rPr>
                <w:b/>
              </w:rPr>
              <w:t xml:space="preserve"> </w:t>
            </w:r>
            <w:r w:rsidRPr="00C532A0">
              <w:rPr>
                <w:b/>
              </w:rPr>
              <w:t>34.1%</w:t>
            </w:r>
          </w:p>
        </w:tc>
        <w:tc>
          <w:tcPr>
            <w:tcW w:w="1260" w:type="dxa"/>
            <w:tcBorders>
              <w:top w:val="none" w:sz="0" w:space="0" w:color="auto"/>
              <w:bottom w:val="none" w:sz="0" w:space="0" w:color="auto"/>
            </w:tcBorders>
            <w:noWrap/>
            <w:vAlign w:val="center"/>
          </w:tcPr>
          <w:p w14:paraId="16B2F267"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C532A0">
              <w:rPr>
                <w:b/>
              </w:rPr>
              <w:t>14.3%</w:t>
            </w:r>
          </w:p>
        </w:tc>
        <w:tc>
          <w:tcPr>
            <w:tcW w:w="990" w:type="dxa"/>
            <w:tcBorders>
              <w:top w:val="none" w:sz="0" w:space="0" w:color="auto"/>
              <w:bottom w:val="none" w:sz="0" w:space="0" w:color="auto"/>
            </w:tcBorders>
            <w:noWrap/>
            <w:vAlign w:val="center"/>
          </w:tcPr>
          <w:p w14:paraId="6A0A204C"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C532A0">
              <w:rPr>
                <w:b/>
              </w:rPr>
              <w:t>33.7%</w:t>
            </w:r>
          </w:p>
        </w:tc>
        <w:tc>
          <w:tcPr>
            <w:tcW w:w="1080" w:type="dxa"/>
            <w:tcBorders>
              <w:top w:val="none" w:sz="0" w:space="0" w:color="auto"/>
              <w:bottom w:val="none" w:sz="0" w:space="0" w:color="auto"/>
            </w:tcBorders>
            <w:noWrap/>
            <w:vAlign w:val="center"/>
          </w:tcPr>
          <w:p w14:paraId="2185FD5F"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C532A0">
              <w:rPr>
                <w:b/>
              </w:rPr>
              <w:t>-</w:t>
            </w:r>
            <w:r>
              <w:rPr>
                <w:b/>
              </w:rPr>
              <w:t xml:space="preserve"> </w:t>
            </w:r>
            <w:r w:rsidRPr="00C532A0">
              <w:rPr>
                <w:b/>
              </w:rPr>
              <w:t>21.5%</w:t>
            </w:r>
          </w:p>
        </w:tc>
        <w:tc>
          <w:tcPr>
            <w:tcW w:w="1080" w:type="dxa"/>
            <w:tcBorders>
              <w:top w:val="none" w:sz="0" w:space="0" w:color="auto"/>
              <w:bottom w:val="none" w:sz="0" w:space="0" w:color="auto"/>
            </w:tcBorders>
            <w:noWrap/>
            <w:vAlign w:val="center"/>
          </w:tcPr>
          <w:p w14:paraId="2C55DF5C"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color w:val="000000"/>
              </w:rPr>
            </w:pPr>
            <w:r w:rsidRPr="00C532A0">
              <w:rPr>
                <w:b/>
              </w:rPr>
              <w:t>-</w:t>
            </w:r>
            <w:r>
              <w:rPr>
                <w:b/>
              </w:rPr>
              <w:t xml:space="preserve"> </w:t>
            </w:r>
            <w:r w:rsidRPr="00C532A0">
              <w:rPr>
                <w:b/>
              </w:rPr>
              <w:t>0.9%</w:t>
            </w:r>
          </w:p>
        </w:tc>
      </w:tr>
    </w:tbl>
    <w:p w14:paraId="7992DD39" w14:textId="77777777" w:rsidR="001C19A4" w:rsidRPr="00BB7C54" w:rsidRDefault="001C19A4" w:rsidP="005F27A6">
      <w:pPr>
        <w:pStyle w:val="TableSource"/>
        <w:rPr>
          <w:rStyle w:val="Strong"/>
          <w:b w:val="0"/>
          <w:bCs w:val="0"/>
        </w:rPr>
      </w:pPr>
      <w:bookmarkStart w:id="26" w:name="Table3h"/>
      <w:r w:rsidRPr="00BB7C54">
        <w:rPr>
          <w:rStyle w:val="Strong"/>
        </w:rPr>
        <w:t>Source data: CALPADS</w:t>
      </w:r>
    </w:p>
    <w:p w14:paraId="6645826D" w14:textId="77777777" w:rsidR="001C19A4" w:rsidRPr="00F25A73" w:rsidRDefault="001C19A4" w:rsidP="001F0B7E">
      <w:pPr>
        <w:pStyle w:val="Heading4"/>
      </w:pPr>
      <w:r w:rsidRPr="00F25A73">
        <w:t xml:space="preserve">Table </w:t>
      </w:r>
      <w:r>
        <w:t>4</w:t>
      </w:r>
      <w:r w:rsidRPr="00F25A73">
        <w:t>h. High School Minority Enrollment Change</w:t>
      </w:r>
    </w:p>
    <w:tbl>
      <w:tblPr>
        <w:tblStyle w:val="ListTable3-Accent5"/>
        <w:tblW w:w="8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hange of students in minority and white categories for the existing Mt. Diablo USD during the five year period from 2016-17 through 2020-21."/>
      </w:tblPr>
      <w:tblGrid>
        <w:gridCol w:w="4590"/>
        <w:gridCol w:w="1436"/>
        <w:gridCol w:w="1437"/>
        <w:gridCol w:w="1437"/>
      </w:tblGrid>
      <w:tr w:rsidR="001C19A4" w:rsidRPr="000D10AE" w14:paraId="590927E9" w14:textId="77777777" w:rsidTr="000D10AE">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B4C6E7" w:themeFill="accent1" w:themeFillTint="66"/>
            <w:noWrap/>
            <w:vAlign w:val="center"/>
            <w:hideMark/>
          </w:tcPr>
          <w:bookmarkEnd w:id="26"/>
          <w:p w14:paraId="13A98DEE" w14:textId="77777777" w:rsidR="001C19A4" w:rsidRPr="000D10AE" w:rsidRDefault="001C19A4" w:rsidP="000D10AE">
            <w:pPr>
              <w:spacing w:before="120" w:after="120"/>
              <w:jc w:val="center"/>
              <w:rPr>
                <w:bCs w:val="0"/>
                <w:color w:val="000000"/>
              </w:rPr>
            </w:pPr>
            <w:r w:rsidRPr="000D10AE">
              <w:rPr>
                <w:bCs w:val="0"/>
                <w:color w:val="000000"/>
              </w:rPr>
              <w:t>Year</w:t>
            </w:r>
          </w:p>
        </w:tc>
        <w:tc>
          <w:tcPr>
            <w:tcW w:w="1436" w:type="dxa"/>
            <w:shd w:val="clear" w:color="auto" w:fill="B4C6E7" w:themeFill="accent1" w:themeFillTint="66"/>
            <w:vAlign w:val="center"/>
            <w:hideMark/>
          </w:tcPr>
          <w:p w14:paraId="6AB6A060" w14:textId="77777777" w:rsidR="001C19A4" w:rsidRPr="000D10AE" w:rsidRDefault="001C19A4" w:rsidP="000D10A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Minority</w:t>
            </w:r>
          </w:p>
        </w:tc>
        <w:tc>
          <w:tcPr>
            <w:tcW w:w="1437" w:type="dxa"/>
            <w:shd w:val="clear" w:color="auto" w:fill="B4C6E7" w:themeFill="accent1" w:themeFillTint="66"/>
            <w:vAlign w:val="center"/>
            <w:hideMark/>
          </w:tcPr>
          <w:p w14:paraId="7B337690" w14:textId="77777777" w:rsidR="001C19A4" w:rsidRPr="000D10AE" w:rsidRDefault="001C19A4" w:rsidP="000D10A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White</w:t>
            </w:r>
          </w:p>
        </w:tc>
        <w:tc>
          <w:tcPr>
            <w:tcW w:w="1437" w:type="dxa"/>
            <w:shd w:val="clear" w:color="auto" w:fill="B4C6E7" w:themeFill="accent1" w:themeFillTint="66"/>
            <w:vAlign w:val="center"/>
            <w:hideMark/>
          </w:tcPr>
          <w:p w14:paraId="00585D8A" w14:textId="77777777" w:rsidR="001C19A4" w:rsidRPr="000D10AE" w:rsidRDefault="001C19A4"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Total</w:t>
            </w:r>
          </w:p>
        </w:tc>
      </w:tr>
      <w:tr w:rsidR="001C19A4" w:rsidRPr="00553703" w14:paraId="6305B5B9" w14:textId="77777777" w:rsidTr="000D10A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hideMark/>
          </w:tcPr>
          <w:p w14:paraId="4F4CF900" w14:textId="77777777" w:rsidR="001C19A4" w:rsidRPr="000D10AE" w:rsidRDefault="001C19A4" w:rsidP="000D10AE">
            <w:pPr>
              <w:spacing w:before="120" w:after="120"/>
              <w:rPr>
                <w:color w:val="000000"/>
              </w:rPr>
            </w:pPr>
            <w:r w:rsidRPr="000D10AE">
              <w:rPr>
                <w:rStyle w:val="Strong"/>
              </w:rPr>
              <w:t>2016–17</w:t>
            </w:r>
          </w:p>
        </w:tc>
        <w:tc>
          <w:tcPr>
            <w:tcW w:w="1436" w:type="dxa"/>
            <w:tcBorders>
              <w:top w:val="none" w:sz="0" w:space="0" w:color="auto"/>
              <w:bottom w:val="none" w:sz="0" w:space="0" w:color="auto"/>
            </w:tcBorders>
            <w:noWrap/>
            <w:vAlign w:val="center"/>
            <w:hideMark/>
          </w:tcPr>
          <w:p w14:paraId="56F957AE"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83321">
              <w:t>5</w:t>
            </w:r>
            <w:r>
              <w:t>,</w:t>
            </w:r>
            <w:r w:rsidRPr="00983321">
              <w:t>307</w:t>
            </w:r>
          </w:p>
        </w:tc>
        <w:tc>
          <w:tcPr>
            <w:tcW w:w="1437" w:type="dxa"/>
            <w:tcBorders>
              <w:top w:val="none" w:sz="0" w:space="0" w:color="auto"/>
              <w:bottom w:val="none" w:sz="0" w:space="0" w:color="auto"/>
            </w:tcBorders>
            <w:noWrap/>
            <w:vAlign w:val="center"/>
            <w:hideMark/>
          </w:tcPr>
          <w:p w14:paraId="36A59085"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83321">
              <w:t>2</w:t>
            </w:r>
            <w:r>
              <w:t>,</w:t>
            </w:r>
            <w:r w:rsidRPr="00983321">
              <w:t>925</w:t>
            </w:r>
          </w:p>
        </w:tc>
        <w:tc>
          <w:tcPr>
            <w:tcW w:w="1437" w:type="dxa"/>
            <w:tcBorders>
              <w:top w:val="none" w:sz="0" w:space="0" w:color="auto"/>
              <w:bottom w:val="none" w:sz="0" w:space="0" w:color="auto"/>
            </w:tcBorders>
            <w:noWrap/>
            <w:vAlign w:val="center"/>
            <w:hideMark/>
          </w:tcPr>
          <w:p w14:paraId="08A5FDC9"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3E59DC">
              <w:rPr>
                <w:color w:val="000000"/>
              </w:rPr>
              <w:t>8</w:t>
            </w:r>
            <w:r>
              <w:rPr>
                <w:color w:val="000000"/>
              </w:rPr>
              <w:t>,</w:t>
            </w:r>
            <w:r w:rsidRPr="003E59DC">
              <w:rPr>
                <w:color w:val="000000"/>
              </w:rPr>
              <w:t>232</w:t>
            </w:r>
          </w:p>
        </w:tc>
      </w:tr>
      <w:tr w:rsidR="001C19A4" w:rsidRPr="00553703" w14:paraId="27EBADC9" w14:textId="77777777" w:rsidTr="000D10AE">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hideMark/>
          </w:tcPr>
          <w:p w14:paraId="6D1972C4" w14:textId="77777777" w:rsidR="001C19A4" w:rsidRPr="000D10AE" w:rsidRDefault="001C19A4" w:rsidP="000D10AE">
            <w:pPr>
              <w:spacing w:before="120" w:after="120"/>
              <w:rPr>
                <w:color w:val="000000"/>
              </w:rPr>
            </w:pPr>
            <w:r w:rsidRPr="000D10AE">
              <w:rPr>
                <w:rStyle w:val="Strong"/>
              </w:rPr>
              <w:t>2020–21</w:t>
            </w:r>
          </w:p>
        </w:tc>
        <w:tc>
          <w:tcPr>
            <w:tcW w:w="1436" w:type="dxa"/>
            <w:noWrap/>
            <w:vAlign w:val="center"/>
            <w:hideMark/>
          </w:tcPr>
          <w:p w14:paraId="0454AD03" w14:textId="77777777" w:rsidR="001C19A4" w:rsidRPr="00553703"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E78D3">
              <w:t>5</w:t>
            </w:r>
            <w:r>
              <w:t>,</w:t>
            </w:r>
            <w:r w:rsidRPr="00EE78D3">
              <w:t>858</w:t>
            </w:r>
          </w:p>
        </w:tc>
        <w:tc>
          <w:tcPr>
            <w:tcW w:w="1437" w:type="dxa"/>
            <w:noWrap/>
            <w:vAlign w:val="center"/>
            <w:hideMark/>
          </w:tcPr>
          <w:p w14:paraId="3F7DFD78" w14:textId="77777777" w:rsidR="001C19A4" w:rsidRPr="00553703"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E78D3">
              <w:t>2</w:t>
            </w:r>
            <w:r>
              <w:t>,</w:t>
            </w:r>
            <w:r w:rsidRPr="00EE78D3">
              <w:t>296</w:t>
            </w:r>
          </w:p>
        </w:tc>
        <w:tc>
          <w:tcPr>
            <w:tcW w:w="1437" w:type="dxa"/>
            <w:noWrap/>
            <w:vAlign w:val="center"/>
            <w:hideMark/>
          </w:tcPr>
          <w:p w14:paraId="5F71B2F8" w14:textId="77777777" w:rsidR="001C19A4" w:rsidRPr="00553703"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567599">
              <w:t>8</w:t>
            </w:r>
            <w:r>
              <w:t>,</w:t>
            </w:r>
            <w:r w:rsidRPr="00567599">
              <w:t>154</w:t>
            </w:r>
          </w:p>
        </w:tc>
      </w:tr>
      <w:tr w:rsidR="001C19A4" w:rsidRPr="00553703" w14:paraId="3CECF974" w14:textId="77777777" w:rsidTr="000D10A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tcPr>
          <w:p w14:paraId="1776BBC2" w14:textId="77777777" w:rsidR="001C19A4" w:rsidRPr="000D10AE" w:rsidRDefault="001C19A4" w:rsidP="000D10AE">
            <w:pPr>
              <w:spacing w:before="120" w:after="120"/>
              <w:rPr>
                <w:rStyle w:val="Strong"/>
                <w:b/>
                <w:bCs/>
              </w:rPr>
            </w:pPr>
            <w:r w:rsidRPr="000D10AE">
              <w:rPr>
                <w:rStyle w:val="Strong"/>
                <w:b/>
              </w:rPr>
              <w:t>5-Year Amount Change</w:t>
            </w:r>
          </w:p>
        </w:tc>
        <w:tc>
          <w:tcPr>
            <w:tcW w:w="1436" w:type="dxa"/>
            <w:tcBorders>
              <w:top w:val="none" w:sz="0" w:space="0" w:color="auto"/>
              <w:bottom w:val="none" w:sz="0" w:space="0" w:color="auto"/>
            </w:tcBorders>
            <w:noWrap/>
            <w:vAlign w:val="center"/>
          </w:tcPr>
          <w:p w14:paraId="410DBCBF"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C532A0">
              <w:rPr>
                <w:b/>
              </w:rPr>
              <w:t>551</w:t>
            </w:r>
          </w:p>
        </w:tc>
        <w:tc>
          <w:tcPr>
            <w:tcW w:w="1437" w:type="dxa"/>
            <w:tcBorders>
              <w:top w:val="none" w:sz="0" w:space="0" w:color="auto"/>
              <w:bottom w:val="none" w:sz="0" w:space="0" w:color="auto"/>
            </w:tcBorders>
            <w:noWrap/>
            <w:vAlign w:val="center"/>
          </w:tcPr>
          <w:p w14:paraId="470EB8DD"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rPr>
            </w:pPr>
            <w:r>
              <w:rPr>
                <w:b/>
              </w:rPr>
              <w:t xml:space="preserve">- </w:t>
            </w:r>
            <w:r w:rsidRPr="00C532A0">
              <w:rPr>
                <w:b/>
              </w:rPr>
              <w:t>629</w:t>
            </w:r>
          </w:p>
        </w:tc>
        <w:tc>
          <w:tcPr>
            <w:tcW w:w="1437" w:type="dxa"/>
            <w:tcBorders>
              <w:top w:val="none" w:sz="0" w:space="0" w:color="auto"/>
              <w:bottom w:val="none" w:sz="0" w:space="0" w:color="auto"/>
            </w:tcBorders>
            <w:noWrap/>
            <w:vAlign w:val="center"/>
          </w:tcPr>
          <w:p w14:paraId="1AD6C915" w14:textId="77777777" w:rsidR="001C19A4" w:rsidRPr="00C532A0"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b/>
              </w:rPr>
            </w:pPr>
            <w:r>
              <w:rPr>
                <w:b/>
              </w:rPr>
              <w:t xml:space="preserve">- </w:t>
            </w:r>
            <w:r w:rsidRPr="00C532A0">
              <w:rPr>
                <w:b/>
              </w:rPr>
              <w:t>78</w:t>
            </w:r>
          </w:p>
        </w:tc>
      </w:tr>
      <w:tr w:rsidR="001C19A4" w:rsidRPr="00553703" w14:paraId="42E8E3DB" w14:textId="77777777" w:rsidTr="000D10AE">
        <w:trPr>
          <w:trHeight w:val="24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6A2AB446" w14:textId="77777777" w:rsidR="001C19A4" w:rsidRPr="000D10AE" w:rsidRDefault="001C19A4" w:rsidP="000D10AE">
            <w:pPr>
              <w:spacing w:before="120" w:after="120"/>
              <w:rPr>
                <w:rStyle w:val="Strong"/>
                <w:b/>
                <w:bCs/>
              </w:rPr>
            </w:pPr>
            <w:r w:rsidRPr="000D10AE">
              <w:rPr>
                <w:rStyle w:val="Strong"/>
                <w:b/>
              </w:rPr>
              <w:t>5-Year Percent Change</w:t>
            </w:r>
          </w:p>
        </w:tc>
        <w:tc>
          <w:tcPr>
            <w:tcW w:w="1436" w:type="dxa"/>
            <w:noWrap/>
            <w:vAlign w:val="center"/>
          </w:tcPr>
          <w:p w14:paraId="0352D92B"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C532A0">
              <w:rPr>
                <w:b/>
              </w:rPr>
              <w:t>10.4%</w:t>
            </w:r>
          </w:p>
        </w:tc>
        <w:tc>
          <w:tcPr>
            <w:tcW w:w="1437" w:type="dxa"/>
            <w:noWrap/>
            <w:vAlign w:val="center"/>
          </w:tcPr>
          <w:p w14:paraId="1C620424"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C532A0">
              <w:rPr>
                <w:b/>
              </w:rPr>
              <w:t>-</w:t>
            </w:r>
            <w:r>
              <w:rPr>
                <w:b/>
              </w:rPr>
              <w:t xml:space="preserve"> </w:t>
            </w:r>
            <w:r w:rsidRPr="00C532A0">
              <w:rPr>
                <w:b/>
              </w:rPr>
              <w:t>21.5%</w:t>
            </w:r>
          </w:p>
        </w:tc>
        <w:tc>
          <w:tcPr>
            <w:tcW w:w="1437" w:type="dxa"/>
            <w:noWrap/>
            <w:vAlign w:val="center"/>
          </w:tcPr>
          <w:p w14:paraId="7745916C" w14:textId="77777777" w:rsidR="001C19A4" w:rsidRPr="00C532A0"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C532A0">
              <w:rPr>
                <w:b/>
              </w:rPr>
              <w:t>-</w:t>
            </w:r>
            <w:r>
              <w:rPr>
                <w:b/>
              </w:rPr>
              <w:t xml:space="preserve"> </w:t>
            </w:r>
            <w:r w:rsidRPr="00C532A0">
              <w:rPr>
                <w:b/>
              </w:rPr>
              <w:t>0.9%</w:t>
            </w:r>
          </w:p>
        </w:tc>
      </w:tr>
    </w:tbl>
    <w:p w14:paraId="7B7A19B4" w14:textId="77777777" w:rsidR="001C19A4" w:rsidRPr="00BB7C54" w:rsidRDefault="001C19A4" w:rsidP="005F27A6">
      <w:pPr>
        <w:pStyle w:val="TableSource"/>
        <w:rPr>
          <w:rStyle w:val="Strong"/>
          <w:b w:val="0"/>
          <w:bCs w:val="0"/>
        </w:rPr>
      </w:pPr>
      <w:r w:rsidRPr="00BB7C54">
        <w:rPr>
          <w:rStyle w:val="Strong"/>
        </w:rPr>
        <w:t>Source data: CALPADS</w:t>
      </w:r>
    </w:p>
    <w:p w14:paraId="163903BB" w14:textId="77777777" w:rsidR="001C19A4" w:rsidRPr="00D43356" w:rsidRDefault="001C19A4" w:rsidP="005F27A6">
      <w:pPr>
        <w:ind w:left="360"/>
        <w:rPr>
          <w:rStyle w:val="Strong"/>
          <w:b w:val="0"/>
        </w:rPr>
      </w:pPr>
      <w:r w:rsidRPr="00D43356">
        <w:rPr>
          <w:rStyle w:val="Strong"/>
          <w:b w:val="0"/>
        </w:rPr>
        <w:t>Both minority and white student enrollment at the elementary and middle school levels have decreased over the past five years. However, minority student enrollment at the high school level has increased while the white student population has decreased. This was largely due to a significant increase in the number of high school students identifying as Latino (+14.3%) and “Two or More Races” (+186.2%), which is a component of the “Other” data category.</w:t>
      </w:r>
    </w:p>
    <w:p w14:paraId="2450E1CB" w14:textId="77777777" w:rsidR="001C19A4" w:rsidRPr="00D43356" w:rsidRDefault="001C19A4" w:rsidP="005F27A6">
      <w:pPr>
        <w:ind w:left="360"/>
        <w:rPr>
          <w:rStyle w:val="Strong"/>
          <w:b w:val="0"/>
        </w:rPr>
      </w:pPr>
      <w:r w:rsidRPr="00D43356">
        <w:rPr>
          <w:rStyle w:val="Strong"/>
          <w:b w:val="0"/>
        </w:rPr>
        <w:lastRenderedPageBreak/>
        <w:t xml:space="preserve">Despite an increase in minority student enrollment at the high school level, there has been an overall decrease in minority students enrolled in Mt. Diablo USD. As shown in the tables below, minority student enrollment in the Mt. Diablo USD has decreased by 2.2 percent over the five-year period examined. The white student population decreased by 18.4 percent. In terms of actual student numbers, the white student population decline was fourfold that of the minority student grouping. </w:t>
      </w:r>
    </w:p>
    <w:p w14:paraId="4DF2FFD0" w14:textId="77777777" w:rsidR="001C19A4" w:rsidRPr="00305F80" w:rsidRDefault="001C19A4" w:rsidP="001F0B7E">
      <w:pPr>
        <w:pStyle w:val="Heading4"/>
      </w:pPr>
      <w:bookmarkStart w:id="27" w:name="Table3i"/>
      <w:r w:rsidRPr="00305F80">
        <w:t xml:space="preserve">Table </w:t>
      </w:r>
      <w:r>
        <w:t>4</w:t>
      </w:r>
      <w:r w:rsidRPr="00305F80">
        <w:t>i. Five-Year Enrollment Trends by School Type (Number of Students)</w:t>
      </w:r>
    </w:p>
    <w:tbl>
      <w:tblPr>
        <w:tblStyle w:val="ListTable3-Accent5"/>
        <w:tblW w:w="886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hange of elementary, middle, and high school students in minority and white categories for the existing Mt. Diablo USD during the five year period from 2016-17 through 2020-21."/>
      </w:tblPr>
      <w:tblGrid>
        <w:gridCol w:w="4590"/>
        <w:gridCol w:w="1425"/>
        <w:gridCol w:w="1425"/>
        <w:gridCol w:w="1426"/>
      </w:tblGrid>
      <w:tr w:rsidR="001C19A4" w:rsidRPr="000D10AE" w14:paraId="5E67D655" w14:textId="77777777" w:rsidTr="000D10AE">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B4C6E7" w:themeFill="accent1" w:themeFillTint="66"/>
            <w:noWrap/>
            <w:vAlign w:val="center"/>
            <w:hideMark/>
          </w:tcPr>
          <w:bookmarkEnd w:id="27"/>
          <w:p w14:paraId="7E4CAAF2" w14:textId="77777777" w:rsidR="001C19A4" w:rsidRPr="000D10AE" w:rsidRDefault="001C19A4" w:rsidP="000D10AE">
            <w:pPr>
              <w:spacing w:before="120" w:after="120"/>
              <w:jc w:val="center"/>
              <w:rPr>
                <w:bCs w:val="0"/>
                <w:color w:val="000000"/>
              </w:rPr>
            </w:pPr>
            <w:r w:rsidRPr="000D10AE">
              <w:rPr>
                <w:bCs w:val="0"/>
                <w:color w:val="000000"/>
              </w:rPr>
              <w:t>Category</w:t>
            </w:r>
          </w:p>
        </w:tc>
        <w:tc>
          <w:tcPr>
            <w:tcW w:w="1425" w:type="dxa"/>
            <w:shd w:val="clear" w:color="auto" w:fill="B4C6E7" w:themeFill="accent1" w:themeFillTint="66"/>
            <w:vAlign w:val="center"/>
            <w:hideMark/>
          </w:tcPr>
          <w:p w14:paraId="5E4704B1" w14:textId="77777777" w:rsidR="001C19A4" w:rsidRPr="000D10AE" w:rsidRDefault="001C19A4"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Minority</w:t>
            </w:r>
          </w:p>
        </w:tc>
        <w:tc>
          <w:tcPr>
            <w:tcW w:w="1425" w:type="dxa"/>
            <w:shd w:val="clear" w:color="auto" w:fill="B4C6E7" w:themeFill="accent1" w:themeFillTint="66"/>
            <w:vAlign w:val="center"/>
            <w:hideMark/>
          </w:tcPr>
          <w:p w14:paraId="658BE107" w14:textId="77777777" w:rsidR="001C19A4" w:rsidRPr="000D10AE" w:rsidRDefault="001C19A4" w:rsidP="000D10A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White</w:t>
            </w:r>
          </w:p>
        </w:tc>
        <w:tc>
          <w:tcPr>
            <w:tcW w:w="1426" w:type="dxa"/>
            <w:shd w:val="clear" w:color="auto" w:fill="B4C6E7" w:themeFill="accent1" w:themeFillTint="66"/>
            <w:vAlign w:val="center"/>
            <w:hideMark/>
          </w:tcPr>
          <w:p w14:paraId="4244A482" w14:textId="77777777" w:rsidR="001C19A4" w:rsidRPr="000D10AE" w:rsidRDefault="001C19A4"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Total</w:t>
            </w:r>
          </w:p>
        </w:tc>
      </w:tr>
      <w:tr w:rsidR="001C19A4" w:rsidRPr="00553703" w14:paraId="1967DF23" w14:textId="77777777" w:rsidTr="000D10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hideMark/>
          </w:tcPr>
          <w:p w14:paraId="5096632E" w14:textId="77777777" w:rsidR="001C19A4" w:rsidRPr="000D10AE" w:rsidRDefault="001C19A4" w:rsidP="000D10AE">
            <w:pPr>
              <w:spacing w:before="120" w:after="120"/>
              <w:rPr>
                <w:b w:val="0"/>
                <w:color w:val="000000"/>
              </w:rPr>
            </w:pPr>
            <w:r w:rsidRPr="000D10AE">
              <w:rPr>
                <w:b w:val="0"/>
              </w:rPr>
              <w:t>Elementary</w:t>
            </w:r>
          </w:p>
        </w:tc>
        <w:tc>
          <w:tcPr>
            <w:tcW w:w="1425" w:type="dxa"/>
            <w:tcBorders>
              <w:top w:val="none" w:sz="0" w:space="0" w:color="auto"/>
              <w:bottom w:val="none" w:sz="0" w:space="0" w:color="auto"/>
            </w:tcBorders>
            <w:noWrap/>
            <w:vAlign w:val="center"/>
            <w:hideMark/>
          </w:tcPr>
          <w:p w14:paraId="3467AF8F"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t xml:space="preserve">- </w:t>
            </w:r>
            <w:r w:rsidRPr="00455CE2">
              <w:t>788</w:t>
            </w:r>
          </w:p>
        </w:tc>
        <w:tc>
          <w:tcPr>
            <w:tcW w:w="1425" w:type="dxa"/>
            <w:tcBorders>
              <w:top w:val="none" w:sz="0" w:space="0" w:color="auto"/>
              <w:bottom w:val="none" w:sz="0" w:space="0" w:color="auto"/>
            </w:tcBorders>
            <w:noWrap/>
            <w:vAlign w:val="center"/>
            <w:hideMark/>
          </w:tcPr>
          <w:p w14:paraId="08C6BE3F"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t xml:space="preserve">- </w:t>
            </w:r>
            <w:r w:rsidRPr="00455CE2">
              <w:t>603</w:t>
            </w:r>
          </w:p>
        </w:tc>
        <w:tc>
          <w:tcPr>
            <w:tcW w:w="1426" w:type="dxa"/>
            <w:tcBorders>
              <w:top w:val="none" w:sz="0" w:space="0" w:color="auto"/>
              <w:bottom w:val="none" w:sz="0" w:space="0" w:color="auto"/>
            </w:tcBorders>
            <w:noWrap/>
            <w:vAlign w:val="center"/>
            <w:hideMark/>
          </w:tcPr>
          <w:p w14:paraId="4B7D1A54" w14:textId="77777777" w:rsidR="001C19A4" w:rsidRPr="00553703"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t xml:space="preserve">- </w:t>
            </w:r>
            <w:r w:rsidRPr="00455CE2">
              <w:t>1</w:t>
            </w:r>
            <w:r>
              <w:t>,</w:t>
            </w:r>
            <w:r w:rsidRPr="00455CE2">
              <w:t>391</w:t>
            </w:r>
          </w:p>
        </w:tc>
      </w:tr>
      <w:tr w:rsidR="001C19A4" w:rsidRPr="00553703" w14:paraId="78701A45" w14:textId="77777777" w:rsidTr="000D10AE">
        <w:trPr>
          <w:trHeight w:val="29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40E7F44B" w14:textId="77777777" w:rsidR="001C19A4" w:rsidRPr="000D10AE" w:rsidRDefault="001C19A4" w:rsidP="000D10AE">
            <w:pPr>
              <w:spacing w:before="120" w:after="120"/>
              <w:rPr>
                <w:rStyle w:val="Strong"/>
                <w:b/>
                <w:bCs/>
              </w:rPr>
            </w:pPr>
            <w:r w:rsidRPr="000D10AE">
              <w:rPr>
                <w:b w:val="0"/>
              </w:rPr>
              <w:t>Middle</w:t>
            </w:r>
          </w:p>
        </w:tc>
        <w:tc>
          <w:tcPr>
            <w:tcW w:w="1425" w:type="dxa"/>
            <w:noWrap/>
            <w:vAlign w:val="center"/>
          </w:tcPr>
          <w:p w14:paraId="1D93AC07"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t xml:space="preserve">- </w:t>
            </w:r>
            <w:r w:rsidRPr="00455CE2">
              <w:t>208</w:t>
            </w:r>
          </w:p>
        </w:tc>
        <w:tc>
          <w:tcPr>
            <w:tcW w:w="1425" w:type="dxa"/>
            <w:noWrap/>
            <w:vAlign w:val="center"/>
          </w:tcPr>
          <w:p w14:paraId="453B46A9"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t xml:space="preserve">- </w:t>
            </w:r>
            <w:r w:rsidRPr="00455CE2">
              <w:t>633</w:t>
            </w:r>
          </w:p>
        </w:tc>
        <w:tc>
          <w:tcPr>
            <w:tcW w:w="1426" w:type="dxa"/>
            <w:noWrap/>
            <w:vAlign w:val="center"/>
          </w:tcPr>
          <w:p w14:paraId="0E128B21" w14:textId="77777777" w:rsidR="001C19A4"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t xml:space="preserve">- </w:t>
            </w:r>
            <w:r w:rsidRPr="00455CE2">
              <w:t>841</w:t>
            </w:r>
          </w:p>
        </w:tc>
      </w:tr>
      <w:tr w:rsidR="001C19A4" w:rsidRPr="00553703" w14:paraId="36629A32" w14:textId="77777777" w:rsidTr="000D10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tcPr>
          <w:p w14:paraId="7FACCC7D" w14:textId="77777777" w:rsidR="001C19A4" w:rsidRPr="000D10AE" w:rsidRDefault="001C19A4" w:rsidP="000D10AE">
            <w:pPr>
              <w:spacing w:before="120" w:after="120"/>
              <w:rPr>
                <w:rStyle w:val="Strong"/>
                <w:b/>
                <w:bCs/>
              </w:rPr>
            </w:pPr>
            <w:r w:rsidRPr="000D10AE">
              <w:rPr>
                <w:b w:val="0"/>
              </w:rPr>
              <w:t>High</w:t>
            </w:r>
          </w:p>
        </w:tc>
        <w:tc>
          <w:tcPr>
            <w:tcW w:w="1425" w:type="dxa"/>
            <w:tcBorders>
              <w:top w:val="none" w:sz="0" w:space="0" w:color="auto"/>
              <w:bottom w:val="none" w:sz="0" w:space="0" w:color="auto"/>
            </w:tcBorders>
            <w:noWrap/>
            <w:vAlign w:val="center"/>
          </w:tcPr>
          <w:p w14:paraId="232DC854"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55CE2">
              <w:t>551</w:t>
            </w:r>
          </w:p>
        </w:tc>
        <w:tc>
          <w:tcPr>
            <w:tcW w:w="1425" w:type="dxa"/>
            <w:tcBorders>
              <w:top w:val="none" w:sz="0" w:space="0" w:color="auto"/>
              <w:bottom w:val="none" w:sz="0" w:space="0" w:color="auto"/>
            </w:tcBorders>
            <w:noWrap/>
            <w:vAlign w:val="center"/>
          </w:tcPr>
          <w:p w14:paraId="2E6B0E2A"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t xml:space="preserve">- </w:t>
            </w:r>
            <w:r w:rsidRPr="00455CE2">
              <w:t>629</w:t>
            </w:r>
          </w:p>
        </w:tc>
        <w:tc>
          <w:tcPr>
            <w:tcW w:w="1426" w:type="dxa"/>
            <w:tcBorders>
              <w:top w:val="none" w:sz="0" w:space="0" w:color="auto"/>
              <w:bottom w:val="none" w:sz="0" w:space="0" w:color="auto"/>
            </w:tcBorders>
            <w:noWrap/>
            <w:vAlign w:val="center"/>
          </w:tcPr>
          <w:p w14:paraId="5C0B3E51" w14:textId="77777777" w:rsidR="001C19A4" w:rsidRDefault="001C19A4"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t xml:space="preserve">- </w:t>
            </w:r>
            <w:r w:rsidRPr="00455CE2">
              <w:t>78</w:t>
            </w:r>
          </w:p>
        </w:tc>
      </w:tr>
      <w:tr w:rsidR="001C19A4" w:rsidRPr="000D10AE" w14:paraId="03AFCE39" w14:textId="77777777" w:rsidTr="000D10AE">
        <w:trPr>
          <w:trHeight w:val="29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7FC231CC" w14:textId="77777777" w:rsidR="001C19A4" w:rsidRPr="000D10AE" w:rsidRDefault="001C19A4" w:rsidP="000D10AE">
            <w:pPr>
              <w:spacing w:before="120" w:after="120"/>
              <w:rPr>
                <w:rStyle w:val="Strong"/>
                <w:b/>
                <w:bCs/>
              </w:rPr>
            </w:pPr>
            <w:r w:rsidRPr="000D10AE">
              <w:rPr>
                <w:rStyle w:val="Strong"/>
                <w:b/>
              </w:rPr>
              <w:t>Change 2016–17 to 2020–21</w:t>
            </w:r>
          </w:p>
        </w:tc>
        <w:tc>
          <w:tcPr>
            <w:tcW w:w="1425" w:type="dxa"/>
            <w:noWrap/>
            <w:vAlign w:val="center"/>
          </w:tcPr>
          <w:p w14:paraId="57FD63CE" w14:textId="77777777" w:rsidR="001C19A4" w:rsidRPr="000D10AE"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0D10AE">
              <w:rPr>
                <w:b/>
              </w:rPr>
              <w:t>- 445</w:t>
            </w:r>
          </w:p>
        </w:tc>
        <w:tc>
          <w:tcPr>
            <w:tcW w:w="1425" w:type="dxa"/>
            <w:noWrap/>
            <w:vAlign w:val="center"/>
          </w:tcPr>
          <w:p w14:paraId="2EEACA0D" w14:textId="77777777" w:rsidR="001C19A4" w:rsidRPr="000D10AE"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0D10AE">
              <w:rPr>
                <w:b/>
              </w:rPr>
              <w:t>- 1,865</w:t>
            </w:r>
          </w:p>
        </w:tc>
        <w:tc>
          <w:tcPr>
            <w:tcW w:w="1426" w:type="dxa"/>
            <w:noWrap/>
            <w:vAlign w:val="center"/>
          </w:tcPr>
          <w:p w14:paraId="00562400" w14:textId="77777777" w:rsidR="001C19A4" w:rsidRPr="000D10AE" w:rsidRDefault="001C19A4"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0D10AE">
              <w:rPr>
                <w:b/>
              </w:rPr>
              <w:t>- 2,310</w:t>
            </w:r>
          </w:p>
        </w:tc>
      </w:tr>
    </w:tbl>
    <w:p w14:paraId="0A87195C" w14:textId="77777777" w:rsidR="001C19A4" w:rsidRPr="00BB7C54" w:rsidRDefault="001C19A4" w:rsidP="005F27A6">
      <w:pPr>
        <w:pStyle w:val="TableSource"/>
        <w:rPr>
          <w:rStyle w:val="Strong"/>
          <w:b w:val="0"/>
          <w:bCs w:val="0"/>
        </w:rPr>
      </w:pPr>
      <w:bookmarkStart w:id="28" w:name="Table3j"/>
      <w:r w:rsidRPr="00BB7C54">
        <w:rPr>
          <w:rStyle w:val="Strong"/>
        </w:rPr>
        <w:t>Source data: CALPADS</w:t>
      </w:r>
    </w:p>
    <w:p w14:paraId="7902782E" w14:textId="77777777" w:rsidR="00BA166E" w:rsidRPr="00F25A73" w:rsidRDefault="00BA166E" w:rsidP="00BA166E">
      <w:pPr>
        <w:pStyle w:val="Heading4"/>
      </w:pPr>
      <w:r w:rsidRPr="00F25A73">
        <w:t xml:space="preserve">Table </w:t>
      </w:r>
      <w:r>
        <w:t>4</w:t>
      </w:r>
      <w:r w:rsidRPr="00F25A73">
        <w:t>j. Five-Year Enrollment Trends by School Type (Percent Change)</w:t>
      </w:r>
    </w:p>
    <w:tbl>
      <w:tblPr>
        <w:tblStyle w:val="ListTable3-Accent5"/>
        <w:tblW w:w="886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percentage change of elementary, middle, and high school students in minority and white categories for the existing Mt. Diablo USD during the five year period from 2016-17 through 2020-21."/>
      </w:tblPr>
      <w:tblGrid>
        <w:gridCol w:w="4590"/>
        <w:gridCol w:w="1425"/>
        <w:gridCol w:w="1425"/>
        <w:gridCol w:w="1426"/>
      </w:tblGrid>
      <w:tr w:rsidR="00BA166E" w:rsidRPr="000D10AE" w14:paraId="01BD5A3B" w14:textId="77777777" w:rsidTr="000D10AE">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4590" w:type="dxa"/>
            <w:tcBorders>
              <w:bottom w:val="none" w:sz="0" w:space="0" w:color="auto"/>
              <w:right w:val="none" w:sz="0" w:space="0" w:color="auto"/>
            </w:tcBorders>
            <w:shd w:val="clear" w:color="auto" w:fill="B4C6E7" w:themeFill="accent1" w:themeFillTint="66"/>
            <w:noWrap/>
            <w:vAlign w:val="center"/>
            <w:hideMark/>
          </w:tcPr>
          <w:p w14:paraId="1F8A9855" w14:textId="245886D0" w:rsidR="00BA166E" w:rsidRPr="000D10AE" w:rsidRDefault="000D10AE" w:rsidP="000D10AE">
            <w:pPr>
              <w:tabs>
                <w:tab w:val="left" w:pos="525"/>
                <w:tab w:val="center" w:pos="2187"/>
              </w:tabs>
              <w:spacing w:before="120" w:after="120"/>
              <w:rPr>
                <w:bCs w:val="0"/>
                <w:color w:val="000000"/>
              </w:rPr>
            </w:pPr>
            <w:r>
              <w:rPr>
                <w:bCs w:val="0"/>
                <w:color w:val="000000"/>
              </w:rPr>
              <w:tab/>
            </w:r>
            <w:r>
              <w:rPr>
                <w:bCs w:val="0"/>
                <w:color w:val="000000"/>
              </w:rPr>
              <w:tab/>
            </w:r>
            <w:r w:rsidR="00BA166E" w:rsidRPr="000D10AE">
              <w:rPr>
                <w:bCs w:val="0"/>
                <w:color w:val="000000"/>
              </w:rPr>
              <w:t>Category</w:t>
            </w:r>
          </w:p>
        </w:tc>
        <w:tc>
          <w:tcPr>
            <w:tcW w:w="1425" w:type="dxa"/>
            <w:shd w:val="clear" w:color="auto" w:fill="B4C6E7" w:themeFill="accent1" w:themeFillTint="66"/>
            <w:vAlign w:val="center"/>
            <w:hideMark/>
          </w:tcPr>
          <w:p w14:paraId="2302C4C1" w14:textId="77777777" w:rsidR="00BA166E" w:rsidRPr="000D10AE" w:rsidRDefault="00BA166E"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Minority</w:t>
            </w:r>
          </w:p>
        </w:tc>
        <w:tc>
          <w:tcPr>
            <w:tcW w:w="1425" w:type="dxa"/>
            <w:shd w:val="clear" w:color="auto" w:fill="B4C6E7" w:themeFill="accent1" w:themeFillTint="66"/>
            <w:vAlign w:val="center"/>
            <w:hideMark/>
          </w:tcPr>
          <w:p w14:paraId="3C42EBB7" w14:textId="77777777" w:rsidR="00BA166E" w:rsidRPr="000D10AE" w:rsidRDefault="00BA166E" w:rsidP="000D10AE">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White</w:t>
            </w:r>
          </w:p>
        </w:tc>
        <w:tc>
          <w:tcPr>
            <w:tcW w:w="1426" w:type="dxa"/>
            <w:shd w:val="clear" w:color="auto" w:fill="B4C6E7" w:themeFill="accent1" w:themeFillTint="66"/>
            <w:vAlign w:val="center"/>
            <w:hideMark/>
          </w:tcPr>
          <w:p w14:paraId="6E59AFE2" w14:textId="77777777" w:rsidR="00BA166E" w:rsidRPr="000D10AE" w:rsidRDefault="00BA166E" w:rsidP="000D10AE">
            <w:pPr>
              <w:spacing w:before="120" w:after="120"/>
              <w:ind w:left="42"/>
              <w:jc w:val="center"/>
              <w:cnfStyle w:val="100000000000" w:firstRow="1" w:lastRow="0" w:firstColumn="0" w:lastColumn="0" w:oddVBand="0" w:evenVBand="0" w:oddHBand="0" w:evenHBand="0" w:firstRowFirstColumn="0" w:firstRowLastColumn="0" w:lastRowFirstColumn="0" w:lastRowLastColumn="0"/>
              <w:rPr>
                <w:color w:val="000000"/>
              </w:rPr>
            </w:pPr>
            <w:r w:rsidRPr="000D10AE">
              <w:rPr>
                <w:color w:val="000000"/>
              </w:rPr>
              <w:t>Total</w:t>
            </w:r>
          </w:p>
        </w:tc>
      </w:tr>
      <w:tr w:rsidR="00BA166E" w:rsidRPr="00553703" w14:paraId="140076D6" w14:textId="77777777" w:rsidTr="000D10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hideMark/>
          </w:tcPr>
          <w:p w14:paraId="583B36EA" w14:textId="77777777" w:rsidR="00BA166E" w:rsidRPr="000D10AE" w:rsidRDefault="00BA166E" w:rsidP="000D10AE">
            <w:pPr>
              <w:spacing w:before="120" w:after="120"/>
              <w:rPr>
                <w:b w:val="0"/>
                <w:color w:val="000000"/>
              </w:rPr>
            </w:pPr>
            <w:r w:rsidRPr="000D10AE">
              <w:rPr>
                <w:b w:val="0"/>
              </w:rPr>
              <w:t>Elementary</w:t>
            </w:r>
          </w:p>
        </w:tc>
        <w:tc>
          <w:tcPr>
            <w:tcW w:w="1425" w:type="dxa"/>
            <w:tcBorders>
              <w:top w:val="none" w:sz="0" w:space="0" w:color="auto"/>
              <w:bottom w:val="none" w:sz="0" w:space="0" w:color="auto"/>
            </w:tcBorders>
            <w:noWrap/>
            <w:vAlign w:val="center"/>
            <w:hideMark/>
          </w:tcPr>
          <w:p w14:paraId="72B692A9" w14:textId="4B14CB67" w:rsidR="00BA166E" w:rsidRPr="00553703" w:rsidRDefault="00BA166E"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D6366">
              <w:t>- 7.8%</w:t>
            </w:r>
          </w:p>
        </w:tc>
        <w:tc>
          <w:tcPr>
            <w:tcW w:w="1425" w:type="dxa"/>
            <w:tcBorders>
              <w:top w:val="none" w:sz="0" w:space="0" w:color="auto"/>
              <w:bottom w:val="none" w:sz="0" w:space="0" w:color="auto"/>
            </w:tcBorders>
            <w:noWrap/>
            <w:vAlign w:val="center"/>
            <w:hideMark/>
          </w:tcPr>
          <w:p w14:paraId="61256490" w14:textId="69CFF8DC" w:rsidR="00BA166E" w:rsidRPr="00553703" w:rsidRDefault="00BA166E"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D6366">
              <w:t>- 12.8%</w:t>
            </w:r>
          </w:p>
        </w:tc>
        <w:tc>
          <w:tcPr>
            <w:tcW w:w="1426" w:type="dxa"/>
            <w:tcBorders>
              <w:top w:val="none" w:sz="0" w:space="0" w:color="auto"/>
              <w:bottom w:val="none" w:sz="0" w:space="0" w:color="auto"/>
            </w:tcBorders>
            <w:noWrap/>
            <w:vAlign w:val="center"/>
            <w:hideMark/>
          </w:tcPr>
          <w:p w14:paraId="728FDC39" w14:textId="740D6C42" w:rsidR="00BA166E" w:rsidRPr="00553703" w:rsidRDefault="00BA166E"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D6366">
              <w:t>- 9.4%</w:t>
            </w:r>
          </w:p>
        </w:tc>
      </w:tr>
      <w:tr w:rsidR="00BA166E" w:rsidRPr="00553703" w14:paraId="55E36653" w14:textId="77777777" w:rsidTr="000D10AE">
        <w:trPr>
          <w:trHeight w:val="29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70DBBA98" w14:textId="77777777" w:rsidR="00BA166E" w:rsidRPr="000D10AE" w:rsidRDefault="00BA166E" w:rsidP="000D10AE">
            <w:pPr>
              <w:spacing w:before="120" w:after="120"/>
              <w:rPr>
                <w:rStyle w:val="Strong"/>
                <w:b/>
                <w:bCs/>
              </w:rPr>
            </w:pPr>
            <w:r w:rsidRPr="000D10AE">
              <w:rPr>
                <w:b w:val="0"/>
              </w:rPr>
              <w:t>Middle</w:t>
            </w:r>
          </w:p>
        </w:tc>
        <w:tc>
          <w:tcPr>
            <w:tcW w:w="1425" w:type="dxa"/>
            <w:noWrap/>
            <w:vAlign w:val="center"/>
          </w:tcPr>
          <w:p w14:paraId="389244AB" w14:textId="74400DEB" w:rsidR="00BA166E" w:rsidRDefault="00BA166E"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D6366">
              <w:t>- 4.3%</w:t>
            </w:r>
          </w:p>
        </w:tc>
        <w:tc>
          <w:tcPr>
            <w:tcW w:w="1425" w:type="dxa"/>
            <w:noWrap/>
            <w:vAlign w:val="center"/>
          </w:tcPr>
          <w:p w14:paraId="5E6119E1" w14:textId="6729E3C5" w:rsidR="00BA166E" w:rsidRDefault="00BA166E"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D6366">
              <w:t>- 25.6%</w:t>
            </w:r>
          </w:p>
        </w:tc>
        <w:tc>
          <w:tcPr>
            <w:tcW w:w="1426" w:type="dxa"/>
            <w:noWrap/>
            <w:vAlign w:val="center"/>
          </w:tcPr>
          <w:p w14:paraId="4E2AAAB3" w14:textId="10709ECA" w:rsidR="00BA166E" w:rsidRDefault="00BA166E" w:rsidP="000D10AE">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D6366">
              <w:t>- 11.5%</w:t>
            </w:r>
          </w:p>
        </w:tc>
      </w:tr>
      <w:tr w:rsidR="00BA166E" w:rsidRPr="00553703" w14:paraId="61AED532" w14:textId="77777777" w:rsidTr="000D10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noWrap/>
            <w:vAlign w:val="center"/>
          </w:tcPr>
          <w:p w14:paraId="0FD95B11" w14:textId="77777777" w:rsidR="00BA166E" w:rsidRPr="000D10AE" w:rsidRDefault="00BA166E" w:rsidP="000D10AE">
            <w:pPr>
              <w:spacing w:before="120" w:after="120"/>
              <w:rPr>
                <w:rStyle w:val="Strong"/>
                <w:b/>
                <w:bCs/>
              </w:rPr>
            </w:pPr>
            <w:r w:rsidRPr="000D10AE">
              <w:rPr>
                <w:b w:val="0"/>
              </w:rPr>
              <w:t>High</w:t>
            </w:r>
          </w:p>
        </w:tc>
        <w:tc>
          <w:tcPr>
            <w:tcW w:w="1425" w:type="dxa"/>
            <w:tcBorders>
              <w:top w:val="none" w:sz="0" w:space="0" w:color="auto"/>
              <w:bottom w:val="none" w:sz="0" w:space="0" w:color="auto"/>
            </w:tcBorders>
            <w:noWrap/>
            <w:vAlign w:val="center"/>
          </w:tcPr>
          <w:p w14:paraId="208757A5" w14:textId="48EB5842" w:rsidR="00BA166E" w:rsidRDefault="00BA166E"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D6366">
              <w:t>10.4%</w:t>
            </w:r>
          </w:p>
        </w:tc>
        <w:tc>
          <w:tcPr>
            <w:tcW w:w="1425" w:type="dxa"/>
            <w:tcBorders>
              <w:top w:val="none" w:sz="0" w:space="0" w:color="auto"/>
              <w:bottom w:val="none" w:sz="0" w:space="0" w:color="auto"/>
            </w:tcBorders>
            <w:noWrap/>
            <w:vAlign w:val="center"/>
          </w:tcPr>
          <w:p w14:paraId="033A1ED3" w14:textId="7C4DF84F" w:rsidR="00BA166E" w:rsidRDefault="00BA166E"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D6366">
              <w:t>- 21.5%</w:t>
            </w:r>
          </w:p>
        </w:tc>
        <w:tc>
          <w:tcPr>
            <w:tcW w:w="1426" w:type="dxa"/>
            <w:tcBorders>
              <w:top w:val="none" w:sz="0" w:space="0" w:color="auto"/>
              <w:bottom w:val="none" w:sz="0" w:space="0" w:color="auto"/>
            </w:tcBorders>
            <w:noWrap/>
            <w:vAlign w:val="center"/>
          </w:tcPr>
          <w:p w14:paraId="67BD3BDF" w14:textId="5309D3F2" w:rsidR="00BA166E" w:rsidRDefault="00BA166E" w:rsidP="000D10AE">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D6366">
              <w:t>- 0.9%</w:t>
            </w:r>
          </w:p>
        </w:tc>
      </w:tr>
      <w:tr w:rsidR="00BA166E" w:rsidRPr="00F8793F" w14:paraId="7CFD2178" w14:textId="77777777" w:rsidTr="000D10AE">
        <w:trPr>
          <w:trHeight w:val="296"/>
        </w:trPr>
        <w:tc>
          <w:tcPr>
            <w:cnfStyle w:val="001000000000" w:firstRow="0" w:lastRow="0" w:firstColumn="1" w:lastColumn="0" w:oddVBand="0" w:evenVBand="0" w:oddHBand="0" w:evenHBand="0" w:firstRowFirstColumn="0" w:firstRowLastColumn="0" w:lastRowFirstColumn="0" w:lastRowLastColumn="0"/>
            <w:tcW w:w="4590" w:type="dxa"/>
            <w:tcBorders>
              <w:right w:val="none" w:sz="0" w:space="0" w:color="auto"/>
            </w:tcBorders>
            <w:noWrap/>
            <w:vAlign w:val="center"/>
          </w:tcPr>
          <w:p w14:paraId="0B35C153" w14:textId="77777777" w:rsidR="00BA166E" w:rsidRPr="000D10AE" w:rsidRDefault="00BA166E" w:rsidP="000D10AE">
            <w:pPr>
              <w:spacing w:before="120" w:after="120"/>
              <w:rPr>
                <w:rStyle w:val="Strong"/>
                <w:b/>
                <w:bCs/>
              </w:rPr>
            </w:pPr>
            <w:r w:rsidRPr="000D10AE">
              <w:rPr>
                <w:rStyle w:val="Strong"/>
                <w:b/>
              </w:rPr>
              <w:t>Change 2016–17 to 2020–21</w:t>
            </w:r>
          </w:p>
        </w:tc>
        <w:tc>
          <w:tcPr>
            <w:tcW w:w="1425" w:type="dxa"/>
            <w:noWrap/>
            <w:vAlign w:val="center"/>
          </w:tcPr>
          <w:p w14:paraId="28463EAF" w14:textId="264B979B" w:rsidR="00BA166E" w:rsidRPr="000D10AE" w:rsidRDefault="00BA166E"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0D10AE">
              <w:rPr>
                <w:b/>
              </w:rPr>
              <w:t>- 2.2%</w:t>
            </w:r>
          </w:p>
        </w:tc>
        <w:tc>
          <w:tcPr>
            <w:tcW w:w="1425" w:type="dxa"/>
            <w:noWrap/>
            <w:vAlign w:val="center"/>
          </w:tcPr>
          <w:p w14:paraId="29DF7586" w14:textId="59F4C23E" w:rsidR="00BA166E" w:rsidRPr="000D10AE" w:rsidRDefault="00BA166E"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0D10AE">
              <w:rPr>
                <w:b/>
              </w:rPr>
              <w:t>- 18.4%</w:t>
            </w:r>
          </w:p>
        </w:tc>
        <w:tc>
          <w:tcPr>
            <w:tcW w:w="1426" w:type="dxa"/>
            <w:noWrap/>
            <w:vAlign w:val="center"/>
          </w:tcPr>
          <w:p w14:paraId="7CAC6720" w14:textId="524814E4" w:rsidR="00BA166E" w:rsidRPr="000D10AE" w:rsidRDefault="00BA166E" w:rsidP="000D10AE">
            <w:pPr>
              <w:spacing w:before="120" w:after="120"/>
              <w:jc w:val="right"/>
              <w:cnfStyle w:val="000000000000" w:firstRow="0" w:lastRow="0" w:firstColumn="0" w:lastColumn="0" w:oddVBand="0" w:evenVBand="0" w:oddHBand="0" w:evenHBand="0" w:firstRowFirstColumn="0" w:firstRowLastColumn="0" w:lastRowFirstColumn="0" w:lastRowLastColumn="0"/>
              <w:rPr>
                <w:b/>
                <w:color w:val="000000"/>
              </w:rPr>
            </w:pPr>
            <w:r w:rsidRPr="000D10AE">
              <w:rPr>
                <w:b/>
              </w:rPr>
              <w:t>- 7.6%</w:t>
            </w:r>
          </w:p>
        </w:tc>
      </w:tr>
    </w:tbl>
    <w:bookmarkEnd w:id="28"/>
    <w:p w14:paraId="3F84B50D" w14:textId="77777777" w:rsidR="001C19A4" w:rsidRPr="00BB7C54" w:rsidRDefault="001C19A4" w:rsidP="005F27A6">
      <w:pPr>
        <w:pStyle w:val="TableSource"/>
        <w:rPr>
          <w:rStyle w:val="Strong"/>
          <w:b w:val="0"/>
          <w:bCs w:val="0"/>
        </w:rPr>
      </w:pPr>
      <w:r w:rsidRPr="00BB7C54">
        <w:rPr>
          <w:rStyle w:val="Strong"/>
        </w:rPr>
        <w:t>Source data: CALPADS</w:t>
      </w:r>
    </w:p>
    <w:p w14:paraId="61229594" w14:textId="77777777" w:rsidR="001C19A4" w:rsidRPr="00DA09B3" w:rsidRDefault="001C19A4" w:rsidP="000A33F9">
      <w:pPr>
        <w:pStyle w:val="Heading3"/>
        <w:numPr>
          <w:ilvl w:val="1"/>
          <w:numId w:val="39"/>
        </w:numPr>
        <w:ind w:left="720" w:hanging="720"/>
        <w:rPr>
          <w:rStyle w:val="Strong"/>
          <w:b/>
          <w:bCs w:val="0"/>
        </w:rPr>
      </w:pPr>
      <w:r w:rsidRPr="00DA09B3">
        <w:rPr>
          <w:rStyle w:val="Strong"/>
          <w:b/>
        </w:rPr>
        <w:t>Minority Student Enrollment: Projections</w:t>
      </w:r>
    </w:p>
    <w:p w14:paraId="06D13126" w14:textId="7C88D74F" w:rsidR="001C19A4" w:rsidRPr="00243332" w:rsidRDefault="001C19A4" w:rsidP="00243332">
      <w:pPr>
        <w:ind w:left="360"/>
        <w:rPr>
          <w:rStyle w:val="Strong"/>
          <w:b w:val="0"/>
        </w:rPr>
      </w:pPr>
      <w:r w:rsidRPr="00243332">
        <w:rPr>
          <w:rStyle w:val="Strong"/>
          <w:b w:val="0"/>
        </w:rPr>
        <w:t xml:space="preserve">As noted in the previous section, minority student enrollment in the Mt. Diablo USD has decreased by 2.2 percent over the past five-year period, while white student enrollment has decreased by 18.4 percent, and enrollment in the district has fallen by 7.6 percent overall. See </w:t>
      </w:r>
      <w:r w:rsidR="002F7493">
        <w:rPr>
          <w:rStyle w:val="Strong"/>
          <w:b w:val="0"/>
        </w:rPr>
        <w:t>T</w:t>
      </w:r>
      <w:r w:rsidRPr="00243332">
        <w:rPr>
          <w:rStyle w:val="Strong"/>
          <w:b w:val="0"/>
        </w:rPr>
        <w:t xml:space="preserve">ables 4i and 4j, above. This section projects the percentage of minority student enrollment over the next five-year period for the existing Mt. Diablo USD, the proposed Northgate USD, and the remaining portion of the Mt. Diablo USD should the Northgate USD be formed. </w:t>
      </w:r>
    </w:p>
    <w:p w14:paraId="2257453D" w14:textId="77777777" w:rsidR="001C19A4" w:rsidRPr="00243332" w:rsidRDefault="001C19A4" w:rsidP="00243332">
      <w:pPr>
        <w:ind w:left="360"/>
        <w:rPr>
          <w:rStyle w:val="Strong"/>
          <w:b w:val="0"/>
        </w:rPr>
      </w:pPr>
      <w:r w:rsidRPr="00243332">
        <w:rPr>
          <w:rStyle w:val="Strong"/>
          <w:b w:val="0"/>
        </w:rPr>
        <w:lastRenderedPageBreak/>
        <w:t xml:space="preserve">Table 5a shows the minority enrollment by school type for the existing Mt. Diablo USD as compared to the schools in the proposed Northgate USD and the remaining portion of Mt. Diablo. </w:t>
      </w:r>
    </w:p>
    <w:p w14:paraId="0908051D" w14:textId="77777777" w:rsidR="001C19A4" w:rsidRPr="00377AB1" w:rsidRDefault="001C19A4" w:rsidP="001F0B7E">
      <w:pPr>
        <w:pStyle w:val="Heading4"/>
      </w:pPr>
      <w:bookmarkStart w:id="29" w:name="Table4a"/>
      <w:r w:rsidRPr="00377AB1">
        <w:t xml:space="preserve">Table </w:t>
      </w:r>
      <w:r>
        <w:t>5</w:t>
      </w:r>
      <w:r w:rsidRPr="00377AB1">
        <w:t xml:space="preserve">a. </w:t>
      </w:r>
      <w:r>
        <w:t xml:space="preserve">Current </w:t>
      </w:r>
      <w:r w:rsidRPr="00377AB1">
        <w:t>Minority Enrollment by School Type</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urrent elementary, middle, and high school enrollment the existing Mt. Diablo USD, the proposed Northgate USD, and the remaining portion of the Mt. Diablo USD for 2020-21."/>
      </w:tblPr>
      <w:tblGrid>
        <w:gridCol w:w="2970"/>
        <w:gridCol w:w="1530"/>
        <w:gridCol w:w="1500"/>
        <w:gridCol w:w="1500"/>
        <w:gridCol w:w="1500"/>
      </w:tblGrid>
      <w:tr w:rsidR="001C19A4" w:rsidRPr="00510CA1" w14:paraId="6E1C4ABA" w14:textId="77777777" w:rsidTr="00510CA1">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2970" w:type="dxa"/>
            <w:tcBorders>
              <w:bottom w:val="none" w:sz="0" w:space="0" w:color="auto"/>
              <w:right w:val="none" w:sz="0" w:space="0" w:color="auto"/>
            </w:tcBorders>
            <w:shd w:val="clear" w:color="auto" w:fill="B4C6E7" w:themeFill="accent1" w:themeFillTint="66"/>
            <w:noWrap/>
            <w:vAlign w:val="center"/>
            <w:hideMark/>
          </w:tcPr>
          <w:bookmarkEnd w:id="29"/>
          <w:p w14:paraId="13B8D5BF" w14:textId="77777777" w:rsidR="001C19A4" w:rsidRPr="00510CA1" w:rsidRDefault="001C19A4" w:rsidP="00510CA1">
            <w:pPr>
              <w:spacing w:before="120" w:after="120"/>
              <w:jc w:val="center"/>
              <w:rPr>
                <w:bCs w:val="0"/>
                <w:color w:val="000000"/>
              </w:rPr>
            </w:pPr>
            <w:r w:rsidRPr="00510CA1">
              <w:rPr>
                <w:bCs w:val="0"/>
                <w:color w:val="000000"/>
              </w:rPr>
              <w:t>Area</w:t>
            </w:r>
          </w:p>
        </w:tc>
        <w:tc>
          <w:tcPr>
            <w:tcW w:w="1530" w:type="dxa"/>
            <w:shd w:val="clear" w:color="auto" w:fill="B4C6E7" w:themeFill="accent1" w:themeFillTint="66"/>
            <w:vAlign w:val="center"/>
            <w:hideMark/>
          </w:tcPr>
          <w:p w14:paraId="34ECBA4F" w14:textId="77777777" w:rsidR="001C19A4" w:rsidRPr="00510CA1" w:rsidRDefault="001C19A4" w:rsidP="00510CA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510CA1">
              <w:rPr>
                <w:color w:val="000000"/>
              </w:rPr>
              <w:t>Elementary</w:t>
            </w:r>
          </w:p>
        </w:tc>
        <w:tc>
          <w:tcPr>
            <w:tcW w:w="1500" w:type="dxa"/>
            <w:shd w:val="clear" w:color="auto" w:fill="B4C6E7" w:themeFill="accent1" w:themeFillTint="66"/>
            <w:vAlign w:val="center"/>
            <w:hideMark/>
          </w:tcPr>
          <w:p w14:paraId="78B42BD5" w14:textId="77777777" w:rsidR="001C19A4" w:rsidRPr="00510CA1" w:rsidRDefault="001C19A4" w:rsidP="00510CA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510CA1">
              <w:rPr>
                <w:color w:val="000000"/>
              </w:rPr>
              <w:t>Middle</w:t>
            </w:r>
          </w:p>
        </w:tc>
        <w:tc>
          <w:tcPr>
            <w:tcW w:w="1500" w:type="dxa"/>
            <w:shd w:val="clear" w:color="auto" w:fill="B4C6E7" w:themeFill="accent1" w:themeFillTint="66"/>
            <w:vAlign w:val="center"/>
          </w:tcPr>
          <w:p w14:paraId="330280FE" w14:textId="77777777" w:rsidR="001C19A4" w:rsidRPr="00510CA1" w:rsidRDefault="001C19A4" w:rsidP="00510CA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510CA1">
              <w:rPr>
                <w:color w:val="000000"/>
              </w:rPr>
              <w:t>High</w:t>
            </w:r>
          </w:p>
        </w:tc>
        <w:tc>
          <w:tcPr>
            <w:tcW w:w="1500" w:type="dxa"/>
            <w:shd w:val="clear" w:color="auto" w:fill="B4C6E7" w:themeFill="accent1" w:themeFillTint="66"/>
            <w:vAlign w:val="center"/>
          </w:tcPr>
          <w:p w14:paraId="021B586F" w14:textId="77777777" w:rsidR="001C19A4" w:rsidRPr="00510CA1" w:rsidRDefault="001C19A4" w:rsidP="00510CA1">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510CA1">
              <w:rPr>
                <w:color w:val="000000"/>
              </w:rPr>
              <w:t>Overall</w:t>
            </w:r>
          </w:p>
        </w:tc>
      </w:tr>
      <w:tr w:rsidR="001C19A4" w:rsidRPr="00553703" w14:paraId="6FDDB136" w14:textId="77777777" w:rsidTr="00510CA1">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tcPr>
          <w:p w14:paraId="4E6BA873" w14:textId="77777777" w:rsidR="001C19A4" w:rsidRPr="00510CA1" w:rsidRDefault="001C19A4" w:rsidP="00510CA1">
            <w:pPr>
              <w:spacing w:before="120" w:after="120"/>
              <w:rPr>
                <w:b w:val="0"/>
                <w:color w:val="000000"/>
              </w:rPr>
            </w:pPr>
            <w:r w:rsidRPr="00510CA1">
              <w:rPr>
                <w:b w:val="0"/>
                <w:color w:val="000000"/>
              </w:rPr>
              <w:t>Existing Mt. Diablo USD</w:t>
            </w:r>
          </w:p>
        </w:tc>
        <w:tc>
          <w:tcPr>
            <w:tcW w:w="1530" w:type="dxa"/>
            <w:tcBorders>
              <w:top w:val="none" w:sz="0" w:space="0" w:color="auto"/>
              <w:bottom w:val="none" w:sz="0" w:space="0" w:color="auto"/>
            </w:tcBorders>
            <w:noWrap/>
            <w:vAlign w:val="center"/>
          </w:tcPr>
          <w:p w14:paraId="132A1D52" w14:textId="77777777" w:rsidR="001C19A4" w:rsidRPr="00553703"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AE10D7">
              <w:t>69.4%</w:t>
            </w:r>
          </w:p>
        </w:tc>
        <w:tc>
          <w:tcPr>
            <w:tcW w:w="1500" w:type="dxa"/>
            <w:tcBorders>
              <w:top w:val="none" w:sz="0" w:space="0" w:color="auto"/>
              <w:bottom w:val="none" w:sz="0" w:space="0" w:color="auto"/>
            </w:tcBorders>
            <w:noWrap/>
            <w:vAlign w:val="center"/>
          </w:tcPr>
          <w:p w14:paraId="51B38896" w14:textId="77777777" w:rsidR="001C19A4" w:rsidRPr="00553703"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AE10D7">
              <w:t>71.4%</w:t>
            </w:r>
          </w:p>
        </w:tc>
        <w:tc>
          <w:tcPr>
            <w:tcW w:w="1500" w:type="dxa"/>
            <w:tcBorders>
              <w:top w:val="none" w:sz="0" w:space="0" w:color="auto"/>
              <w:bottom w:val="none" w:sz="0" w:space="0" w:color="auto"/>
            </w:tcBorders>
            <w:vAlign w:val="center"/>
          </w:tcPr>
          <w:p w14:paraId="6F8BCC5D" w14:textId="77777777" w:rsidR="001C19A4"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AE10D7">
              <w:t>71.8%</w:t>
            </w:r>
          </w:p>
        </w:tc>
        <w:tc>
          <w:tcPr>
            <w:tcW w:w="1500" w:type="dxa"/>
            <w:tcBorders>
              <w:top w:val="none" w:sz="0" w:space="0" w:color="auto"/>
              <w:bottom w:val="none" w:sz="0" w:space="0" w:color="auto"/>
            </w:tcBorders>
            <w:vAlign w:val="center"/>
          </w:tcPr>
          <w:p w14:paraId="612BFEE0" w14:textId="77777777" w:rsidR="001C19A4"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AE10D7">
              <w:t>70.6%</w:t>
            </w:r>
          </w:p>
        </w:tc>
      </w:tr>
      <w:tr w:rsidR="001C19A4" w:rsidRPr="00553703" w14:paraId="2B4AB55B" w14:textId="77777777" w:rsidTr="00510CA1">
        <w:trPr>
          <w:trHeight w:val="521"/>
        </w:trPr>
        <w:tc>
          <w:tcPr>
            <w:cnfStyle w:val="001000000000" w:firstRow="0" w:lastRow="0" w:firstColumn="1" w:lastColumn="0" w:oddVBand="0" w:evenVBand="0" w:oddHBand="0" w:evenHBand="0" w:firstRowFirstColumn="0" w:firstRowLastColumn="0" w:lastRowFirstColumn="0" w:lastRowLastColumn="0"/>
            <w:tcW w:w="2970" w:type="dxa"/>
            <w:tcBorders>
              <w:right w:val="none" w:sz="0" w:space="0" w:color="auto"/>
            </w:tcBorders>
            <w:noWrap/>
            <w:vAlign w:val="center"/>
            <w:hideMark/>
          </w:tcPr>
          <w:p w14:paraId="26E45CA7" w14:textId="77777777" w:rsidR="001C19A4" w:rsidRPr="00510CA1" w:rsidRDefault="001C19A4" w:rsidP="00510CA1">
            <w:pPr>
              <w:spacing w:before="120" w:after="120"/>
              <w:rPr>
                <w:b w:val="0"/>
                <w:color w:val="000000"/>
              </w:rPr>
            </w:pPr>
            <w:r w:rsidRPr="00510CA1">
              <w:rPr>
                <w:b w:val="0"/>
                <w:color w:val="000000"/>
              </w:rPr>
              <w:t>Proposed Northgate USD</w:t>
            </w:r>
          </w:p>
        </w:tc>
        <w:tc>
          <w:tcPr>
            <w:tcW w:w="1530" w:type="dxa"/>
            <w:noWrap/>
            <w:vAlign w:val="center"/>
            <w:hideMark/>
          </w:tcPr>
          <w:p w14:paraId="21C34C36" w14:textId="77777777" w:rsidR="001C19A4" w:rsidRPr="00553703" w:rsidRDefault="001C19A4" w:rsidP="00510CA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9D2E54">
              <w:t>50.0%</w:t>
            </w:r>
          </w:p>
        </w:tc>
        <w:tc>
          <w:tcPr>
            <w:tcW w:w="1500" w:type="dxa"/>
            <w:noWrap/>
            <w:vAlign w:val="center"/>
            <w:hideMark/>
          </w:tcPr>
          <w:p w14:paraId="5C4F696A" w14:textId="77777777" w:rsidR="001C19A4" w:rsidRPr="00553703" w:rsidRDefault="001C19A4" w:rsidP="00510CA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9D2E54">
              <w:t>50.7%</w:t>
            </w:r>
          </w:p>
        </w:tc>
        <w:tc>
          <w:tcPr>
            <w:tcW w:w="1500" w:type="dxa"/>
            <w:vAlign w:val="center"/>
          </w:tcPr>
          <w:p w14:paraId="6D8BF161" w14:textId="77777777" w:rsidR="001C19A4" w:rsidRDefault="001C19A4" w:rsidP="00510CA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9D2E54">
              <w:t>48.3%</w:t>
            </w:r>
          </w:p>
        </w:tc>
        <w:tc>
          <w:tcPr>
            <w:tcW w:w="1500" w:type="dxa"/>
            <w:vAlign w:val="center"/>
          </w:tcPr>
          <w:p w14:paraId="2CB80954" w14:textId="77777777" w:rsidR="001C19A4" w:rsidRDefault="001C19A4" w:rsidP="00510CA1">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9D2E54">
              <w:t>49.5%</w:t>
            </w:r>
          </w:p>
        </w:tc>
      </w:tr>
      <w:tr w:rsidR="001C19A4" w:rsidRPr="00553703" w14:paraId="590BFE55" w14:textId="77777777" w:rsidTr="00510CA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hideMark/>
          </w:tcPr>
          <w:p w14:paraId="6C1C35BA" w14:textId="77777777" w:rsidR="001C19A4" w:rsidRPr="00510CA1" w:rsidRDefault="001C19A4" w:rsidP="00510CA1">
            <w:pPr>
              <w:spacing w:before="120" w:after="120"/>
              <w:rPr>
                <w:b w:val="0"/>
                <w:color w:val="000000"/>
              </w:rPr>
            </w:pPr>
            <w:r w:rsidRPr="00510CA1">
              <w:rPr>
                <w:b w:val="0"/>
                <w:color w:val="000000"/>
              </w:rPr>
              <w:t>Remaining Portion of Mt. Diablo USD</w:t>
            </w:r>
          </w:p>
        </w:tc>
        <w:tc>
          <w:tcPr>
            <w:tcW w:w="1530" w:type="dxa"/>
            <w:tcBorders>
              <w:top w:val="none" w:sz="0" w:space="0" w:color="auto"/>
              <w:bottom w:val="none" w:sz="0" w:space="0" w:color="auto"/>
            </w:tcBorders>
            <w:noWrap/>
            <w:vAlign w:val="center"/>
            <w:hideMark/>
          </w:tcPr>
          <w:p w14:paraId="11462054" w14:textId="77777777" w:rsidR="001C19A4" w:rsidRPr="00553703"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A076F">
              <w:t>71.8%</w:t>
            </w:r>
          </w:p>
        </w:tc>
        <w:tc>
          <w:tcPr>
            <w:tcW w:w="1500" w:type="dxa"/>
            <w:tcBorders>
              <w:top w:val="none" w:sz="0" w:space="0" w:color="auto"/>
              <w:bottom w:val="none" w:sz="0" w:space="0" w:color="auto"/>
            </w:tcBorders>
            <w:noWrap/>
            <w:vAlign w:val="center"/>
            <w:hideMark/>
          </w:tcPr>
          <w:p w14:paraId="4A52DE74" w14:textId="77777777" w:rsidR="001C19A4" w:rsidRPr="00553703"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A076F">
              <w:t>74.2%</w:t>
            </w:r>
          </w:p>
        </w:tc>
        <w:tc>
          <w:tcPr>
            <w:tcW w:w="1500" w:type="dxa"/>
            <w:tcBorders>
              <w:top w:val="none" w:sz="0" w:space="0" w:color="auto"/>
              <w:bottom w:val="none" w:sz="0" w:space="0" w:color="auto"/>
            </w:tcBorders>
            <w:vAlign w:val="center"/>
          </w:tcPr>
          <w:p w14:paraId="682CDADC" w14:textId="77777777" w:rsidR="001C19A4"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A076F">
              <w:t>77.1%</w:t>
            </w:r>
          </w:p>
        </w:tc>
        <w:tc>
          <w:tcPr>
            <w:tcW w:w="1500" w:type="dxa"/>
            <w:tcBorders>
              <w:top w:val="none" w:sz="0" w:space="0" w:color="auto"/>
              <w:bottom w:val="none" w:sz="0" w:space="0" w:color="auto"/>
            </w:tcBorders>
            <w:vAlign w:val="center"/>
          </w:tcPr>
          <w:p w14:paraId="1BD51825" w14:textId="77777777" w:rsidR="001C19A4" w:rsidRDefault="001C19A4" w:rsidP="00510CA1">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A076F">
              <w:t>73.8%</w:t>
            </w:r>
          </w:p>
        </w:tc>
      </w:tr>
    </w:tbl>
    <w:p w14:paraId="3C28FA3D" w14:textId="77777777" w:rsidR="001C19A4" w:rsidRPr="00BB7C54" w:rsidRDefault="001C19A4" w:rsidP="005F27A6">
      <w:pPr>
        <w:pStyle w:val="TableSource"/>
        <w:rPr>
          <w:rStyle w:val="Strong"/>
          <w:b w:val="0"/>
          <w:bCs w:val="0"/>
        </w:rPr>
      </w:pPr>
      <w:r w:rsidRPr="00BB7C54">
        <w:rPr>
          <w:rStyle w:val="Strong"/>
        </w:rPr>
        <w:t>Source data: CALPADS, 2020–21</w:t>
      </w:r>
    </w:p>
    <w:p w14:paraId="0B14DD91" w14:textId="04E4E5CD" w:rsidR="001C19A4" w:rsidRPr="00C70024" w:rsidRDefault="001C19A4" w:rsidP="005F27A6">
      <w:pPr>
        <w:ind w:left="360"/>
        <w:rPr>
          <w:rStyle w:val="Strong"/>
          <w:b w:val="0"/>
        </w:rPr>
      </w:pPr>
      <w:r w:rsidRPr="00C70024">
        <w:rPr>
          <w:rStyle w:val="Strong"/>
          <w:b w:val="0"/>
        </w:rPr>
        <w:t xml:space="preserve">There has been a positive rate of growth for minority student population in the schools within the proposed Northgate USD territory whereas the minority student population growth in the remaining portion of the Mt. Diablo USD is negative and closely mirrors that of the existing district as a whole. Enrollment within the proposed Northgate USD schools is about 50 percent minority across all school types, whereas the remaining portion of Mt. Diablo USD ranges from 71.8 percent to 77.1 percent for each school type. </w:t>
      </w:r>
    </w:p>
    <w:p w14:paraId="3A84AA44" w14:textId="1DB169B8" w:rsidR="001C19A4" w:rsidRPr="00C70024" w:rsidRDefault="001C19A4" w:rsidP="005F27A6">
      <w:pPr>
        <w:ind w:left="360"/>
        <w:rPr>
          <w:rStyle w:val="Strong"/>
          <w:b w:val="0"/>
        </w:rPr>
      </w:pPr>
      <w:r w:rsidRPr="00C70024">
        <w:rPr>
          <w:rStyle w:val="Strong"/>
          <w:b w:val="0"/>
        </w:rPr>
        <w:t xml:space="preserve">For the purpose of estimating the minority student population for each of the three areas over the next five years, an annual growth rate percentage was calculated for each area based on enrollment data for the five-year period from 2016–17 through 2020–21. See </w:t>
      </w:r>
      <w:r w:rsidR="002F7493">
        <w:rPr>
          <w:rStyle w:val="Strong"/>
          <w:b w:val="0"/>
        </w:rPr>
        <w:t>T</w:t>
      </w:r>
      <w:r w:rsidRPr="00C70024">
        <w:rPr>
          <w:rStyle w:val="Strong"/>
          <w:b w:val="0"/>
        </w:rPr>
        <w:t xml:space="preserve">ables 5b through 5d. </w:t>
      </w:r>
    </w:p>
    <w:p w14:paraId="0E84BB16" w14:textId="77777777" w:rsidR="001C19A4" w:rsidRPr="00C70024" w:rsidRDefault="001C19A4" w:rsidP="005F27A6">
      <w:pPr>
        <w:ind w:left="360"/>
        <w:rPr>
          <w:rStyle w:val="Strong"/>
          <w:b w:val="0"/>
        </w:rPr>
      </w:pPr>
      <w:r w:rsidRPr="00C70024">
        <w:rPr>
          <w:rStyle w:val="Strong"/>
          <w:b w:val="0"/>
        </w:rPr>
        <w:t xml:space="preserve">The growth rate formula used is as follows: </w:t>
      </w:r>
    </w:p>
    <w:p w14:paraId="150A004E" w14:textId="77777777" w:rsidR="001C19A4" w:rsidRDefault="001C19A4" w:rsidP="005F27A6">
      <w:pPr>
        <w:jc w:val="center"/>
      </w:pPr>
      <w:r w:rsidRPr="00140ABF">
        <w:t>((End Value</w:t>
      </w:r>
      <w:r>
        <w:t xml:space="preserve"> </w:t>
      </w:r>
      <w:r w:rsidRPr="00140ABF">
        <w:t>/</w:t>
      </w:r>
      <w:r>
        <w:t xml:space="preserve"> </w:t>
      </w:r>
      <w:r w:rsidRPr="00140ABF">
        <w:t>Start Value)</w:t>
      </w:r>
      <w:r>
        <w:t xml:space="preserve"> </w:t>
      </w:r>
      <w:r>
        <w:rPr>
          <w:vertAlign w:val="superscript"/>
        </w:rPr>
        <w:t>(1 / (Periods – 1)</w:t>
      </w:r>
      <w:r>
        <w:t xml:space="preserve"> -1) x 100</w:t>
      </w:r>
    </w:p>
    <w:p w14:paraId="6CD91AFE" w14:textId="77777777" w:rsidR="00D43356" w:rsidRDefault="00D43356">
      <w:pPr>
        <w:spacing w:after="160"/>
        <w:rPr>
          <w:rFonts w:eastAsia="Times New Roman" w:cs="Arial"/>
          <w:b/>
          <w:i/>
          <w:szCs w:val="20"/>
        </w:rPr>
      </w:pPr>
      <w:r>
        <w:br w:type="page"/>
      </w:r>
    </w:p>
    <w:p w14:paraId="3BBA647D" w14:textId="39F7A747" w:rsidR="001C19A4" w:rsidRPr="00FC6DA8" w:rsidRDefault="001C19A4" w:rsidP="001F0B7E">
      <w:pPr>
        <w:pStyle w:val="Heading4"/>
      </w:pPr>
      <w:r w:rsidRPr="00FC6DA8">
        <w:lastRenderedPageBreak/>
        <w:t>Table</w:t>
      </w:r>
      <w:r>
        <w:t xml:space="preserve"> 5b</w:t>
      </w:r>
      <w:r w:rsidRPr="00FC6DA8">
        <w:t xml:space="preserve">. Minority </w:t>
      </w:r>
      <w:r>
        <w:t xml:space="preserve">Enrollment </w:t>
      </w:r>
      <w:r w:rsidRPr="00FC6DA8">
        <w:t>Growth</w:t>
      </w:r>
      <w:r>
        <w:t xml:space="preserve"> for Existing Mt. Diablo USD</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hange in elementary, middle, and high school enrollment the existing Mt. Diablo USD, the proposed Northgate USD, and the remaining portion of the Mt. Diablo USD between the years 2016-17 and 2020-21."/>
      </w:tblPr>
      <w:tblGrid>
        <w:gridCol w:w="2970"/>
        <w:gridCol w:w="1597"/>
        <w:gridCol w:w="1477"/>
        <w:gridCol w:w="1478"/>
        <w:gridCol w:w="1478"/>
      </w:tblGrid>
      <w:tr w:rsidR="001C19A4" w:rsidRPr="00AD2666" w14:paraId="6783296D" w14:textId="77777777" w:rsidTr="00AD2666">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2970" w:type="dxa"/>
            <w:tcBorders>
              <w:bottom w:val="none" w:sz="0" w:space="0" w:color="auto"/>
              <w:right w:val="none" w:sz="0" w:space="0" w:color="auto"/>
            </w:tcBorders>
            <w:shd w:val="clear" w:color="auto" w:fill="B4C6E7" w:themeFill="accent1" w:themeFillTint="66"/>
            <w:noWrap/>
            <w:vAlign w:val="center"/>
            <w:hideMark/>
          </w:tcPr>
          <w:p w14:paraId="78ADD311" w14:textId="77777777" w:rsidR="001C19A4" w:rsidRPr="00AD2666" w:rsidRDefault="001C19A4" w:rsidP="00AD2666">
            <w:pPr>
              <w:spacing w:before="120" w:after="120"/>
              <w:jc w:val="center"/>
              <w:rPr>
                <w:bCs w:val="0"/>
                <w:color w:val="000000"/>
              </w:rPr>
            </w:pPr>
            <w:r w:rsidRPr="00AD2666">
              <w:rPr>
                <w:bCs w:val="0"/>
                <w:color w:val="000000"/>
              </w:rPr>
              <w:t>Category</w:t>
            </w:r>
          </w:p>
        </w:tc>
        <w:tc>
          <w:tcPr>
            <w:tcW w:w="1597" w:type="dxa"/>
            <w:shd w:val="clear" w:color="auto" w:fill="B4C6E7" w:themeFill="accent1" w:themeFillTint="66"/>
            <w:vAlign w:val="center"/>
            <w:hideMark/>
          </w:tcPr>
          <w:p w14:paraId="3F873434"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Elementary</w:t>
            </w:r>
          </w:p>
        </w:tc>
        <w:tc>
          <w:tcPr>
            <w:tcW w:w="1477" w:type="dxa"/>
            <w:shd w:val="clear" w:color="auto" w:fill="B4C6E7" w:themeFill="accent1" w:themeFillTint="66"/>
            <w:vAlign w:val="center"/>
            <w:hideMark/>
          </w:tcPr>
          <w:p w14:paraId="40EA80A3"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Middle</w:t>
            </w:r>
          </w:p>
        </w:tc>
        <w:tc>
          <w:tcPr>
            <w:tcW w:w="1478" w:type="dxa"/>
            <w:shd w:val="clear" w:color="auto" w:fill="B4C6E7" w:themeFill="accent1" w:themeFillTint="66"/>
            <w:vAlign w:val="center"/>
          </w:tcPr>
          <w:p w14:paraId="7F55CD92"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High</w:t>
            </w:r>
          </w:p>
        </w:tc>
        <w:tc>
          <w:tcPr>
            <w:tcW w:w="1478" w:type="dxa"/>
            <w:shd w:val="clear" w:color="auto" w:fill="B4C6E7" w:themeFill="accent1" w:themeFillTint="66"/>
            <w:vAlign w:val="center"/>
          </w:tcPr>
          <w:p w14:paraId="19BC4A82"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Combined</w:t>
            </w:r>
          </w:p>
        </w:tc>
      </w:tr>
      <w:tr w:rsidR="001C19A4" w:rsidRPr="00553703" w14:paraId="0D9D83F8" w14:textId="77777777" w:rsidTr="00AD266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hideMark/>
          </w:tcPr>
          <w:p w14:paraId="2DD93063" w14:textId="77777777" w:rsidR="001C19A4" w:rsidRPr="00AD2666" w:rsidRDefault="001C19A4" w:rsidP="00AD2666">
            <w:pPr>
              <w:spacing w:before="120" w:after="120"/>
              <w:rPr>
                <w:b w:val="0"/>
                <w:color w:val="000000"/>
              </w:rPr>
            </w:pPr>
            <w:r w:rsidRPr="00AD2666">
              <w:rPr>
                <w:b w:val="0"/>
              </w:rPr>
              <w:t>2016</w:t>
            </w:r>
            <w:r w:rsidRPr="00AD2666">
              <w:rPr>
                <w:rStyle w:val="Strong"/>
              </w:rPr>
              <w:t>–</w:t>
            </w:r>
            <w:r w:rsidRPr="00AD2666">
              <w:rPr>
                <w:b w:val="0"/>
              </w:rPr>
              <w:t>17 Enrollment</w:t>
            </w:r>
          </w:p>
        </w:tc>
        <w:tc>
          <w:tcPr>
            <w:tcW w:w="1597" w:type="dxa"/>
            <w:tcBorders>
              <w:top w:val="none" w:sz="0" w:space="0" w:color="auto"/>
              <w:bottom w:val="none" w:sz="0" w:space="0" w:color="auto"/>
            </w:tcBorders>
            <w:noWrap/>
            <w:vAlign w:val="center"/>
            <w:hideMark/>
          </w:tcPr>
          <w:p w14:paraId="00220E20" w14:textId="77777777" w:rsidR="001C19A4" w:rsidRPr="00553703"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1560C">
              <w:t>10</w:t>
            </w:r>
            <w:r>
              <w:t>,</w:t>
            </w:r>
            <w:r w:rsidRPr="0051560C">
              <w:t>110</w:t>
            </w:r>
          </w:p>
        </w:tc>
        <w:tc>
          <w:tcPr>
            <w:tcW w:w="1477" w:type="dxa"/>
            <w:tcBorders>
              <w:top w:val="none" w:sz="0" w:space="0" w:color="auto"/>
              <w:bottom w:val="none" w:sz="0" w:space="0" w:color="auto"/>
            </w:tcBorders>
            <w:noWrap/>
            <w:vAlign w:val="center"/>
            <w:hideMark/>
          </w:tcPr>
          <w:p w14:paraId="35849208" w14:textId="77777777" w:rsidR="001C19A4" w:rsidRPr="00553703"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1560C">
              <w:t>4</w:t>
            </w:r>
            <w:r>
              <w:t>,</w:t>
            </w:r>
            <w:r w:rsidRPr="0051560C">
              <w:t>810</w:t>
            </w:r>
          </w:p>
        </w:tc>
        <w:tc>
          <w:tcPr>
            <w:tcW w:w="1478" w:type="dxa"/>
            <w:tcBorders>
              <w:top w:val="none" w:sz="0" w:space="0" w:color="auto"/>
              <w:bottom w:val="none" w:sz="0" w:space="0" w:color="auto"/>
            </w:tcBorders>
            <w:vAlign w:val="center"/>
          </w:tcPr>
          <w:p w14:paraId="39E2FD6C" w14:textId="77777777" w:rsidR="001C19A4"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1560C">
              <w:t>5</w:t>
            </w:r>
            <w:r>
              <w:t>,</w:t>
            </w:r>
            <w:r w:rsidRPr="0051560C">
              <w:t>307</w:t>
            </w:r>
          </w:p>
        </w:tc>
        <w:tc>
          <w:tcPr>
            <w:tcW w:w="1478" w:type="dxa"/>
            <w:tcBorders>
              <w:top w:val="none" w:sz="0" w:space="0" w:color="auto"/>
              <w:bottom w:val="none" w:sz="0" w:space="0" w:color="auto"/>
            </w:tcBorders>
            <w:vAlign w:val="center"/>
          </w:tcPr>
          <w:p w14:paraId="5420E928" w14:textId="77777777" w:rsidR="001C19A4" w:rsidRPr="003606D5"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pPr>
            <w:r w:rsidRPr="0051560C">
              <w:t>20</w:t>
            </w:r>
            <w:r>
              <w:t>,</w:t>
            </w:r>
            <w:r w:rsidRPr="0051560C">
              <w:t>227</w:t>
            </w:r>
          </w:p>
        </w:tc>
      </w:tr>
      <w:tr w:rsidR="001C19A4" w:rsidRPr="00553703" w14:paraId="1EDAD452" w14:textId="77777777" w:rsidTr="00AD2666">
        <w:trPr>
          <w:trHeight w:val="449"/>
        </w:trPr>
        <w:tc>
          <w:tcPr>
            <w:cnfStyle w:val="001000000000" w:firstRow="0" w:lastRow="0" w:firstColumn="1" w:lastColumn="0" w:oddVBand="0" w:evenVBand="0" w:oddHBand="0" w:evenHBand="0" w:firstRowFirstColumn="0" w:firstRowLastColumn="0" w:lastRowFirstColumn="0" w:lastRowLastColumn="0"/>
            <w:tcW w:w="2970" w:type="dxa"/>
            <w:tcBorders>
              <w:right w:val="none" w:sz="0" w:space="0" w:color="auto"/>
            </w:tcBorders>
            <w:noWrap/>
            <w:vAlign w:val="center"/>
          </w:tcPr>
          <w:p w14:paraId="6EDC6BCD" w14:textId="77777777" w:rsidR="001C19A4" w:rsidRPr="00AD2666" w:rsidRDefault="001C19A4" w:rsidP="00AD2666">
            <w:pPr>
              <w:spacing w:before="120" w:after="120"/>
              <w:rPr>
                <w:b w:val="0"/>
                <w:color w:val="000000"/>
              </w:rPr>
            </w:pPr>
            <w:r w:rsidRPr="00AD2666">
              <w:rPr>
                <w:b w:val="0"/>
              </w:rPr>
              <w:t>2020</w:t>
            </w:r>
            <w:r w:rsidRPr="00AD2666">
              <w:rPr>
                <w:rStyle w:val="Strong"/>
              </w:rPr>
              <w:t>–</w:t>
            </w:r>
            <w:r w:rsidRPr="00AD2666">
              <w:rPr>
                <w:b w:val="0"/>
              </w:rPr>
              <w:t>21 Enrollment</w:t>
            </w:r>
          </w:p>
        </w:tc>
        <w:tc>
          <w:tcPr>
            <w:tcW w:w="1597" w:type="dxa"/>
            <w:noWrap/>
            <w:vAlign w:val="center"/>
          </w:tcPr>
          <w:p w14:paraId="192085D8" w14:textId="77777777" w:rsidR="001C19A4" w:rsidRPr="00553703"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51560C">
              <w:t>9</w:t>
            </w:r>
            <w:r>
              <w:t>,</w:t>
            </w:r>
            <w:r w:rsidRPr="0051560C">
              <w:t>322</w:t>
            </w:r>
          </w:p>
        </w:tc>
        <w:tc>
          <w:tcPr>
            <w:tcW w:w="1477" w:type="dxa"/>
            <w:noWrap/>
            <w:vAlign w:val="center"/>
          </w:tcPr>
          <w:p w14:paraId="0FBB7861" w14:textId="77777777" w:rsidR="001C19A4" w:rsidRPr="00553703"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51560C">
              <w:t>4</w:t>
            </w:r>
            <w:r>
              <w:t>,</w:t>
            </w:r>
            <w:r w:rsidRPr="0051560C">
              <w:t>602</w:t>
            </w:r>
          </w:p>
        </w:tc>
        <w:tc>
          <w:tcPr>
            <w:tcW w:w="1478" w:type="dxa"/>
            <w:vAlign w:val="center"/>
          </w:tcPr>
          <w:p w14:paraId="2605CA9A" w14:textId="77777777" w:rsidR="001C19A4"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51560C">
              <w:t>5</w:t>
            </w:r>
            <w:r>
              <w:t>,</w:t>
            </w:r>
            <w:r w:rsidRPr="0051560C">
              <w:t>858</w:t>
            </w:r>
          </w:p>
        </w:tc>
        <w:tc>
          <w:tcPr>
            <w:tcW w:w="1478" w:type="dxa"/>
            <w:vAlign w:val="center"/>
          </w:tcPr>
          <w:p w14:paraId="473A339C" w14:textId="77777777" w:rsidR="001C19A4" w:rsidRPr="00154E4F"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pPr>
            <w:r w:rsidRPr="0051560C">
              <w:t>19</w:t>
            </w:r>
            <w:r>
              <w:t>,</w:t>
            </w:r>
            <w:r w:rsidRPr="0051560C">
              <w:t>782</w:t>
            </w:r>
          </w:p>
        </w:tc>
      </w:tr>
      <w:tr w:rsidR="001C19A4" w:rsidRPr="00AD2666" w14:paraId="06D1C4D0" w14:textId="77777777" w:rsidTr="00AD266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tcPr>
          <w:p w14:paraId="4C100FCD" w14:textId="77777777" w:rsidR="001C19A4" w:rsidRPr="00AD2666" w:rsidRDefault="001C19A4" w:rsidP="00AD2666">
            <w:pPr>
              <w:spacing w:before="120" w:after="120"/>
              <w:rPr>
                <w:color w:val="000000"/>
              </w:rPr>
            </w:pPr>
            <w:r w:rsidRPr="00AD2666">
              <w:t>Annual Growth Rate</w:t>
            </w:r>
          </w:p>
        </w:tc>
        <w:tc>
          <w:tcPr>
            <w:tcW w:w="1597" w:type="dxa"/>
            <w:tcBorders>
              <w:top w:val="none" w:sz="0" w:space="0" w:color="auto"/>
              <w:bottom w:val="none" w:sz="0" w:space="0" w:color="auto"/>
            </w:tcBorders>
            <w:noWrap/>
            <w:vAlign w:val="center"/>
          </w:tcPr>
          <w:p w14:paraId="1F3B064A" w14:textId="77777777" w:rsidR="001C19A4" w:rsidRPr="00AD2666"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AD2666">
              <w:rPr>
                <w:b/>
              </w:rPr>
              <w:t>- 2.01%</w:t>
            </w:r>
          </w:p>
        </w:tc>
        <w:tc>
          <w:tcPr>
            <w:tcW w:w="1477" w:type="dxa"/>
            <w:tcBorders>
              <w:top w:val="none" w:sz="0" w:space="0" w:color="auto"/>
              <w:bottom w:val="none" w:sz="0" w:space="0" w:color="auto"/>
            </w:tcBorders>
            <w:noWrap/>
            <w:vAlign w:val="center"/>
          </w:tcPr>
          <w:p w14:paraId="366CFE0E" w14:textId="77777777" w:rsidR="001C19A4" w:rsidRPr="00AD2666"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AD2666">
              <w:rPr>
                <w:b/>
              </w:rPr>
              <w:t>- 1.10%</w:t>
            </w:r>
          </w:p>
        </w:tc>
        <w:tc>
          <w:tcPr>
            <w:tcW w:w="1478" w:type="dxa"/>
            <w:tcBorders>
              <w:top w:val="none" w:sz="0" w:space="0" w:color="auto"/>
              <w:bottom w:val="none" w:sz="0" w:space="0" w:color="auto"/>
            </w:tcBorders>
            <w:vAlign w:val="center"/>
          </w:tcPr>
          <w:p w14:paraId="0E5B2945" w14:textId="77777777" w:rsidR="001C19A4" w:rsidRPr="00AD2666"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AD2666">
              <w:rPr>
                <w:b/>
              </w:rPr>
              <w:t>2.50%</w:t>
            </w:r>
          </w:p>
        </w:tc>
        <w:tc>
          <w:tcPr>
            <w:tcW w:w="1478" w:type="dxa"/>
            <w:tcBorders>
              <w:top w:val="none" w:sz="0" w:space="0" w:color="auto"/>
              <w:bottom w:val="none" w:sz="0" w:space="0" w:color="auto"/>
            </w:tcBorders>
            <w:vAlign w:val="center"/>
          </w:tcPr>
          <w:p w14:paraId="5A4AE8CC" w14:textId="77777777" w:rsidR="001C19A4" w:rsidRPr="00AD2666"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AD2666">
              <w:rPr>
                <w:b/>
              </w:rPr>
              <w:t>- 0.55%</w:t>
            </w:r>
          </w:p>
        </w:tc>
      </w:tr>
    </w:tbl>
    <w:p w14:paraId="387805DA" w14:textId="77777777" w:rsidR="001C19A4" w:rsidRPr="00BB7C54" w:rsidRDefault="001C19A4" w:rsidP="005F27A6">
      <w:pPr>
        <w:pStyle w:val="TableSource"/>
        <w:rPr>
          <w:rStyle w:val="Strong"/>
          <w:b w:val="0"/>
          <w:bCs w:val="0"/>
        </w:rPr>
      </w:pPr>
      <w:r w:rsidRPr="00BB7C54">
        <w:rPr>
          <w:rStyle w:val="Strong"/>
        </w:rPr>
        <w:t>Source data: CALPADS, 2016–17 and 2020–21</w:t>
      </w:r>
    </w:p>
    <w:p w14:paraId="6F854F10" w14:textId="77777777" w:rsidR="001C19A4" w:rsidRPr="00FC6DA8" w:rsidRDefault="001C19A4" w:rsidP="001F0B7E">
      <w:pPr>
        <w:pStyle w:val="Heading4"/>
      </w:pPr>
      <w:r w:rsidRPr="00FC6DA8">
        <w:t>Table</w:t>
      </w:r>
      <w:r>
        <w:t xml:space="preserve"> 5c. Minority Enrollment</w:t>
      </w:r>
      <w:r w:rsidRPr="00FC6DA8">
        <w:t xml:space="preserve"> Growth</w:t>
      </w:r>
      <w:r>
        <w:t xml:space="preserve"> for Proposed Northgate USD</w:t>
      </w:r>
    </w:p>
    <w:tbl>
      <w:tblPr>
        <w:tblStyle w:val="ListTable3-Accent5"/>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alculated annual growth rate for minority enrollment the proposed Northgate USD."/>
      </w:tblPr>
      <w:tblGrid>
        <w:gridCol w:w="2970"/>
        <w:gridCol w:w="1597"/>
        <w:gridCol w:w="1477"/>
        <w:gridCol w:w="1478"/>
        <w:gridCol w:w="1478"/>
      </w:tblGrid>
      <w:tr w:rsidR="001C19A4" w:rsidRPr="00AD2666" w14:paraId="1483C848" w14:textId="77777777" w:rsidTr="00AD2666">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2970" w:type="dxa"/>
            <w:tcBorders>
              <w:bottom w:val="none" w:sz="0" w:space="0" w:color="auto"/>
              <w:right w:val="none" w:sz="0" w:space="0" w:color="auto"/>
            </w:tcBorders>
            <w:shd w:val="clear" w:color="auto" w:fill="B4C6E7" w:themeFill="accent1" w:themeFillTint="66"/>
            <w:noWrap/>
            <w:vAlign w:val="center"/>
            <w:hideMark/>
          </w:tcPr>
          <w:p w14:paraId="683714F7" w14:textId="77777777" w:rsidR="001C19A4" w:rsidRPr="00AD2666" w:rsidRDefault="001C19A4" w:rsidP="00AD2666">
            <w:pPr>
              <w:spacing w:before="120" w:after="120"/>
              <w:jc w:val="center"/>
              <w:rPr>
                <w:bCs w:val="0"/>
                <w:color w:val="000000"/>
              </w:rPr>
            </w:pPr>
            <w:r w:rsidRPr="00AD2666">
              <w:rPr>
                <w:bCs w:val="0"/>
                <w:color w:val="000000"/>
              </w:rPr>
              <w:t>Category</w:t>
            </w:r>
          </w:p>
        </w:tc>
        <w:tc>
          <w:tcPr>
            <w:tcW w:w="1597" w:type="dxa"/>
            <w:shd w:val="clear" w:color="auto" w:fill="B4C6E7" w:themeFill="accent1" w:themeFillTint="66"/>
            <w:vAlign w:val="center"/>
            <w:hideMark/>
          </w:tcPr>
          <w:p w14:paraId="242C472F"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Elementary</w:t>
            </w:r>
          </w:p>
        </w:tc>
        <w:tc>
          <w:tcPr>
            <w:tcW w:w="1477" w:type="dxa"/>
            <w:shd w:val="clear" w:color="auto" w:fill="B4C6E7" w:themeFill="accent1" w:themeFillTint="66"/>
            <w:vAlign w:val="center"/>
            <w:hideMark/>
          </w:tcPr>
          <w:p w14:paraId="51B3AECA"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Middle</w:t>
            </w:r>
          </w:p>
        </w:tc>
        <w:tc>
          <w:tcPr>
            <w:tcW w:w="1478" w:type="dxa"/>
            <w:shd w:val="clear" w:color="auto" w:fill="B4C6E7" w:themeFill="accent1" w:themeFillTint="66"/>
            <w:vAlign w:val="center"/>
          </w:tcPr>
          <w:p w14:paraId="7545579E"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High</w:t>
            </w:r>
          </w:p>
        </w:tc>
        <w:tc>
          <w:tcPr>
            <w:tcW w:w="1478" w:type="dxa"/>
            <w:shd w:val="clear" w:color="auto" w:fill="B4C6E7" w:themeFill="accent1" w:themeFillTint="66"/>
            <w:vAlign w:val="center"/>
          </w:tcPr>
          <w:p w14:paraId="003F393F"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Combined</w:t>
            </w:r>
          </w:p>
        </w:tc>
      </w:tr>
      <w:tr w:rsidR="001C19A4" w:rsidRPr="00553703" w14:paraId="0FF1142C" w14:textId="77777777" w:rsidTr="00AD266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hideMark/>
          </w:tcPr>
          <w:p w14:paraId="1EA733F2" w14:textId="77777777" w:rsidR="001C19A4" w:rsidRPr="00AD2666" w:rsidRDefault="001C19A4" w:rsidP="00AD2666">
            <w:pPr>
              <w:spacing w:before="120" w:after="120"/>
              <w:rPr>
                <w:b w:val="0"/>
                <w:color w:val="000000"/>
              </w:rPr>
            </w:pPr>
            <w:r w:rsidRPr="00AD2666">
              <w:rPr>
                <w:b w:val="0"/>
              </w:rPr>
              <w:t>2016</w:t>
            </w:r>
            <w:r w:rsidRPr="00AD2666">
              <w:rPr>
                <w:rStyle w:val="Strong"/>
              </w:rPr>
              <w:t>–</w:t>
            </w:r>
            <w:r w:rsidRPr="00AD2666">
              <w:rPr>
                <w:b w:val="0"/>
              </w:rPr>
              <w:t>17 Enrollment</w:t>
            </w:r>
          </w:p>
        </w:tc>
        <w:tc>
          <w:tcPr>
            <w:tcW w:w="1597" w:type="dxa"/>
            <w:tcBorders>
              <w:top w:val="none" w:sz="0" w:space="0" w:color="auto"/>
              <w:bottom w:val="none" w:sz="0" w:space="0" w:color="auto"/>
            </w:tcBorders>
            <w:noWrap/>
            <w:vAlign w:val="center"/>
            <w:hideMark/>
          </w:tcPr>
          <w:p w14:paraId="0F809F31" w14:textId="77777777" w:rsidR="001C19A4" w:rsidRPr="00553703"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35A89">
              <w:t>772</w:t>
            </w:r>
          </w:p>
        </w:tc>
        <w:tc>
          <w:tcPr>
            <w:tcW w:w="1477" w:type="dxa"/>
            <w:tcBorders>
              <w:top w:val="none" w:sz="0" w:space="0" w:color="auto"/>
              <w:bottom w:val="none" w:sz="0" w:space="0" w:color="auto"/>
            </w:tcBorders>
            <w:noWrap/>
            <w:vAlign w:val="center"/>
            <w:hideMark/>
          </w:tcPr>
          <w:p w14:paraId="5467E368" w14:textId="77777777" w:rsidR="001C19A4" w:rsidRPr="00553703"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35A89">
              <w:t>417</w:t>
            </w:r>
          </w:p>
        </w:tc>
        <w:tc>
          <w:tcPr>
            <w:tcW w:w="1478" w:type="dxa"/>
            <w:tcBorders>
              <w:top w:val="none" w:sz="0" w:space="0" w:color="auto"/>
              <w:bottom w:val="none" w:sz="0" w:space="0" w:color="auto"/>
            </w:tcBorders>
            <w:vAlign w:val="center"/>
          </w:tcPr>
          <w:p w14:paraId="308BE6FF" w14:textId="77777777" w:rsidR="001C19A4"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35A89">
              <w:t>627</w:t>
            </w:r>
          </w:p>
        </w:tc>
        <w:tc>
          <w:tcPr>
            <w:tcW w:w="1478" w:type="dxa"/>
            <w:tcBorders>
              <w:top w:val="none" w:sz="0" w:space="0" w:color="auto"/>
              <w:bottom w:val="none" w:sz="0" w:space="0" w:color="auto"/>
            </w:tcBorders>
            <w:vAlign w:val="center"/>
          </w:tcPr>
          <w:p w14:paraId="022992CB" w14:textId="7478AECC" w:rsidR="001C19A4" w:rsidRPr="003606D5"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pPr>
            <w:r w:rsidRPr="00D35A89">
              <w:t>1</w:t>
            </w:r>
            <w:r w:rsidR="00C2453F">
              <w:t>,</w:t>
            </w:r>
            <w:r w:rsidRPr="00D35A89">
              <w:t>816</w:t>
            </w:r>
          </w:p>
        </w:tc>
      </w:tr>
      <w:tr w:rsidR="001C19A4" w:rsidRPr="00553703" w14:paraId="5B96B9B1" w14:textId="77777777" w:rsidTr="00AD2666">
        <w:trPr>
          <w:trHeight w:val="449"/>
        </w:trPr>
        <w:tc>
          <w:tcPr>
            <w:cnfStyle w:val="001000000000" w:firstRow="0" w:lastRow="0" w:firstColumn="1" w:lastColumn="0" w:oddVBand="0" w:evenVBand="0" w:oddHBand="0" w:evenHBand="0" w:firstRowFirstColumn="0" w:firstRowLastColumn="0" w:lastRowFirstColumn="0" w:lastRowLastColumn="0"/>
            <w:tcW w:w="2970" w:type="dxa"/>
            <w:tcBorders>
              <w:right w:val="none" w:sz="0" w:space="0" w:color="auto"/>
            </w:tcBorders>
            <w:noWrap/>
            <w:vAlign w:val="center"/>
          </w:tcPr>
          <w:p w14:paraId="2E9F85B9" w14:textId="77777777" w:rsidR="001C19A4" w:rsidRPr="00AD2666" w:rsidRDefault="001C19A4" w:rsidP="00AD2666">
            <w:pPr>
              <w:spacing w:before="120" w:after="120"/>
              <w:rPr>
                <w:b w:val="0"/>
                <w:color w:val="000000"/>
              </w:rPr>
            </w:pPr>
            <w:r w:rsidRPr="00AD2666">
              <w:rPr>
                <w:b w:val="0"/>
              </w:rPr>
              <w:t>2020</w:t>
            </w:r>
            <w:r w:rsidRPr="00AD2666">
              <w:rPr>
                <w:rStyle w:val="Strong"/>
              </w:rPr>
              <w:t>–</w:t>
            </w:r>
            <w:r w:rsidRPr="00AD2666">
              <w:rPr>
                <w:b w:val="0"/>
              </w:rPr>
              <w:t>21 Enrollment</w:t>
            </w:r>
          </w:p>
        </w:tc>
        <w:tc>
          <w:tcPr>
            <w:tcW w:w="1597" w:type="dxa"/>
            <w:noWrap/>
            <w:vAlign w:val="center"/>
          </w:tcPr>
          <w:p w14:paraId="38D9DB5B" w14:textId="77777777" w:rsidR="001C19A4" w:rsidRPr="00553703"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35A89">
              <w:t>745</w:t>
            </w:r>
          </w:p>
        </w:tc>
        <w:tc>
          <w:tcPr>
            <w:tcW w:w="1477" w:type="dxa"/>
            <w:noWrap/>
            <w:vAlign w:val="center"/>
          </w:tcPr>
          <w:p w14:paraId="18C10109" w14:textId="77777777" w:rsidR="001C19A4" w:rsidRPr="00553703"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35A89">
              <w:t>392</w:t>
            </w:r>
          </w:p>
        </w:tc>
        <w:tc>
          <w:tcPr>
            <w:tcW w:w="1478" w:type="dxa"/>
            <w:vAlign w:val="center"/>
          </w:tcPr>
          <w:p w14:paraId="3F517AFB" w14:textId="77777777" w:rsidR="001C19A4"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35A89">
              <w:t>716</w:t>
            </w:r>
          </w:p>
        </w:tc>
        <w:tc>
          <w:tcPr>
            <w:tcW w:w="1478" w:type="dxa"/>
            <w:vAlign w:val="center"/>
          </w:tcPr>
          <w:p w14:paraId="33E7B851" w14:textId="54D6C337" w:rsidR="001C19A4" w:rsidRPr="00154E4F"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pPr>
            <w:r w:rsidRPr="00D35A89">
              <w:t>1</w:t>
            </w:r>
            <w:r w:rsidR="00C2453F">
              <w:t>,</w:t>
            </w:r>
            <w:r w:rsidRPr="00D35A89">
              <w:t>853</w:t>
            </w:r>
          </w:p>
        </w:tc>
      </w:tr>
      <w:tr w:rsidR="001C19A4" w:rsidRPr="004C559A" w14:paraId="3954E30C" w14:textId="77777777" w:rsidTr="00AD266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tcPr>
          <w:p w14:paraId="405E92F8" w14:textId="77777777" w:rsidR="001C19A4" w:rsidRPr="00AD2666" w:rsidRDefault="001C19A4" w:rsidP="00AD2666">
            <w:pPr>
              <w:spacing w:before="120" w:after="120"/>
              <w:rPr>
                <w:color w:val="000000"/>
              </w:rPr>
            </w:pPr>
            <w:r w:rsidRPr="00AD2666">
              <w:t>Annual Growth Rate</w:t>
            </w:r>
          </w:p>
        </w:tc>
        <w:tc>
          <w:tcPr>
            <w:tcW w:w="1597" w:type="dxa"/>
            <w:tcBorders>
              <w:top w:val="none" w:sz="0" w:space="0" w:color="auto"/>
              <w:bottom w:val="none" w:sz="0" w:space="0" w:color="auto"/>
            </w:tcBorders>
            <w:noWrap/>
            <w:vAlign w:val="center"/>
          </w:tcPr>
          <w:p w14:paraId="0738FB81"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- 0.89%</w:t>
            </w:r>
          </w:p>
        </w:tc>
        <w:tc>
          <w:tcPr>
            <w:tcW w:w="1477" w:type="dxa"/>
            <w:tcBorders>
              <w:top w:val="none" w:sz="0" w:space="0" w:color="auto"/>
              <w:bottom w:val="none" w:sz="0" w:space="0" w:color="auto"/>
            </w:tcBorders>
            <w:noWrap/>
            <w:vAlign w:val="center"/>
          </w:tcPr>
          <w:p w14:paraId="30153B50"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- 1.53%</w:t>
            </w:r>
          </w:p>
        </w:tc>
        <w:tc>
          <w:tcPr>
            <w:tcW w:w="1478" w:type="dxa"/>
            <w:tcBorders>
              <w:top w:val="none" w:sz="0" w:space="0" w:color="auto"/>
              <w:bottom w:val="none" w:sz="0" w:space="0" w:color="auto"/>
            </w:tcBorders>
            <w:vAlign w:val="center"/>
          </w:tcPr>
          <w:p w14:paraId="39912F6C"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3.37%</w:t>
            </w:r>
          </w:p>
        </w:tc>
        <w:tc>
          <w:tcPr>
            <w:tcW w:w="1478" w:type="dxa"/>
            <w:tcBorders>
              <w:top w:val="none" w:sz="0" w:space="0" w:color="auto"/>
              <w:bottom w:val="none" w:sz="0" w:space="0" w:color="auto"/>
            </w:tcBorders>
            <w:vAlign w:val="center"/>
          </w:tcPr>
          <w:p w14:paraId="11D52764"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0.51%</w:t>
            </w:r>
          </w:p>
        </w:tc>
      </w:tr>
    </w:tbl>
    <w:p w14:paraId="08971449" w14:textId="77777777" w:rsidR="001C19A4" w:rsidRPr="00BB7C54" w:rsidRDefault="001C19A4" w:rsidP="005F27A6">
      <w:pPr>
        <w:pStyle w:val="TableSource"/>
        <w:rPr>
          <w:rStyle w:val="Strong"/>
          <w:b w:val="0"/>
          <w:bCs w:val="0"/>
        </w:rPr>
      </w:pPr>
      <w:r w:rsidRPr="00BB7C54">
        <w:rPr>
          <w:rStyle w:val="Strong"/>
        </w:rPr>
        <w:t>Source data: CALPADS, 2016–17 and 2020–21</w:t>
      </w:r>
    </w:p>
    <w:p w14:paraId="26F1EE97" w14:textId="77777777" w:rsidR="001C19A4" w:rsidRPr="00FC6DA8" w:rsidRDefault="001C19A4" w:rsidP="001F0B7E">
      <w:pPr>
        <w:pStyle w:val="Heading4"/>
      </w:pPr>
      <w:r w:rsidRPr="001416B4">
        <w:t xml:space="preserve">Table </w:t>
      </w:r>
      <w:r>
        <w:t>5</w:t>
      </w:r>
      <w:r w:rsidRPr="001416B4">
        <w:t>d. Minority Enrollment Growth for the Remaining Portion of Mt. Diablo</w:t>
      </w:r>
      <w:r>
        <w:t xml:space="preserve"> USD</w:t>
      </w:r>
    </w:p>
    <w:tbl>
      <w:tblPr>
        <w:tblStyle w:val="ListTable3-Accent5"/>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alculated annual growth rate for minority enrollment the remaining portion of the Mt. Diablo USD."/>
      </w:tblPr>
      <w:tblGrid>
        <w:gridCol w:w="2970"/>
        <w:gridCol w:w="1597"/>
        <w:gridCol w:w="1553"/>
        <w:gridCol w:w="1440"/>
        <w:gridCol w:w="1530"/>
      </w:tblGrid>
      <w:tr w:rsidR="001C19A4" w:rsidRPr="00AD2666" w14:paraId="108EEDE5" w14:textId="77777777" w:rsidTr="00AD2666">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2970" w:type="dxa"/>
            <w:tcBorders>
              <w:bottom w:val="none" w:sz="0" w:space="0" w:color="auto"/>
              <w:right w:val="none" w:sz="0" w:space="0" w:color="auto"/>
            </w:tcBorders>
            <w:shd w:val="clear" w:color="auto" w:fill="B4C6E7" w:themeFill="accent1" w:themeFillTint="66"/>
            <w:noWrap/>
            <w:vAlign w:val="center"/>
            <w:hideMark/>
          </w:tcPr>
          <w:p w14:paraId="2A5AE7EE" w14:textId="77777777" w:rsidR="001C19A4" w:rsidRPr="00AD2666" w:rsidRDefault="001C19A4" w:rsidP="00AD2666">
            <w:pPr>
              <w:spacing w:before="120" w:after="120"/>
              <w:jc w:val="center"/>
              <w:rPr>
                <w:bCs w:val="0"/>
                <w:color w:val="000000"/>
              </w:rPr>
            </w:pPr>
            <w:r w:rsidRPr="00AD2666">
              <w:rPr>
                <w:bCs w:val="0"/>
                <w:color w:val="000000"/>
              </w:rPr>
              <w:t>Category</w:t>
            </w:r>
          </w:p>
        </w:tc>
        <w:tc>
          <w:tcPr>
            <w:tcW w:w="1597" w:type="dxa"/>
            <w:shd w:val="clear" w:color="auto" w:fill="B4C6E7" w:themeFill="accent1" w:themeFillTint="66"/>
            <w:vAlign w:val="center"/>
            <w:hideMark/>
          </w:tcPr>
          <w:p w14:paraId="7C805D77"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Elementary</w:t>
            </w:r>
          </w:p>
        </w:tc>
        <w:tc>
          <w:tcPr>
            <w:tcW w:w="1553" w:type="dxa"/>
            <w:shd w:val="clear" w:color="auto" w:fill="B4C6E7" w:themeFill="accent1" w:themeFillTint="66"/>
            <w:vAlign w:val="center"/>
            <w:hideMark/>
          </w:tcPr>
          <w:p w14:paraId="638E8D6C"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Middle</w:t>
            </w:r>
          </w:p>
        </w:tc>
        <w:tc>
          <w:tcPr>
            <w:tcW w:w="1440" w:type="dxa"/>
            <w:shd w:val="clear" w:color="auto" w:fill="B4C6E7" w:themeFill="accent1" w:themeFillTint="66"/>
            <w:vAlign w:val="center"/>
          </w:tcPr>
          <w:p w14:paraId="6ED4575A"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High</w:t>
            </w:r>
          </w:p>
        </w:tc>
        <w:tc>
          <w:tcPr>
            <w:tcW w:w="1530" w:type="dxa"/>
            <w:shd w:val="clear" w:color="auto" w:fill="B4C6E7" w:themeFill="accent1" w:themeFillTint="66"/>
            <w:vAlign w:val="center"/>
          </w:tcPr>
          <w:p w14:paraId="6327FFD8" w14:textId="77777777" w:rsidR="001C19A4" w:rsidRPr="00AD2666" w:rsidRDefault="001C19A4" w:rsidP="00AD266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AD2666">
              <w:rPr>
                <w:color w:val="000000"/>
              </w:rPr>
              <w:t>Combined</w:t>
            </w:r>
          </w:p>
        </w:tc>
      </w:tr>
      <w:tr w:rsidR="001C19A4" w:rsidRPr="00553703" w14:paraId="7C1EA922" w14:textId="77777777" w:rsidTr="00AD266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hideMark/>
          </w:tcPr>
          <w:p w14:paraId="5649174C" w14:textId="77777777" w:rsidR="001C19A4" w:rsidRPr="00AD2666" w:rsidRDefault="001C19A4" w:rsidP="00AD2666">
            <w:pPr>
              <w:spacing w:before="120" w:after="120"/>
              <w:rPr>
                <w:b w:val="0"/>
                <w:color w:val="000000"/>
              </w:rPr>
            </w:pPr>
            <w:r w:rsidRPr="00AD2666">
              <w:rPr>
                <w:b w:val="0"/>
              </w:rPr>
              <w:t>2016</w:t>
            </w:r>
            <w:r w:rsidRPr="00AD2666">
              <w:rPr>
                <w:rStyle w:val="Strong"/>
              </w:rPr>
              <w:t>–</w:t>
            </w:r>
            <w:r w:rsidRPr="00AD2666">
              <w:rPr>
                <w:b w:val="0"/>
              </w:rPr>
              <w:t>17 Enrollment</w:t>
            </w:r>
          </w:p>
        </w:tc>
        <w:tc>
          <w:tcPr>
            <w:tcW w:w="1597" w:type="dxa"/>
            <w:tcBorders>
              <w:top w:val="none" w:sz="0" w:space="0" w:color="auto"/>
              <w:bottom w:val="none" w:sz="0" w:space="0" w:color="auto"/>
            </w:tcBorders>
            <w:noWrap/>
            <w:vAlign w:val="center"/>
            <w:hideMark/>
          </w:tcPr>
          <w:p w14:paraId="4D0FA5C9" w14:textId="77777777" w:rsidR="001C19A4" w:rsidRPr="00553703"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11172">
              <w:t>9</w:t>
            </w:r>
            <w:r>
              <w:t>,</w:t>
            </w:r>
            <w:r w:rsidRPr="00011172">
              <w:t>338</w:t>
            </w:r>
          </w:p>
        </w:tc>
        <w:tc>
          <w:tcPr>
            <w:tcW w:w="1553" w:type="dxa"/>
            <w:tcBorders>
              <w:top w:val="none" w:sz="0" w:space="0" w:color="auto"/>
              <w:bottom w:val="none" w:sz="0" w:space="0" w:color="auto"/>
            </w:tcBorders>
            <w:noWrap/>
            <w:vAlign w:val="center"/>
            <w:hideMark/>
          </w:tcPr>
          <w:p w14:paraId="6C57EE6D" w14:textId="77777777" w:rsidR="001C19A4" w:rsidRPr="00553703"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11172">
              <w:t>4</w:t>
            </w:r>
            <w:r>
              <w:t>,</w:t>
            </w:r>
            <w:r w:rsidRPr="00011172">
              <w:t>393</w:t>
            </w:r>
          </w:p>
        </w:tc>
        <w:tc>
          <w:tcPr>
            <w:tcW w:w="1440" w:type="dxa"/>
            <w:tcBorders>
              <w:top w:val="none" w:sz="0" w:space="0" w:color="auto"/>
              <w:bottom w:val="none" w:sz="0" w:space="0" w:color="auto"/>
            </w:tcBorders>
            <w:vAlign w:val="center"/>
          </w:tcPr>
          <w:p w14:paraId="0462C6B5" w14:textId="77777777" w:rsidR="001C19A4"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11172">
              <w:t>4</w:t>
            </w:r>
            <w:r>
              <w:t>,</w:t>
            </w:r>
            <w:r w:rsidRPr="00011172">
              <w:t>680</w:t>
            </w:r>
          </w:p>
        </w:tc>
        <w:tc>
          <w:tcPr>
            <w:tcW w:w="1530" w:type="dxa"/>
            <w:tcBorders>
              <w:top w:val="none" w:sz="0" w:space="0" w:color="auto"/>
              <w:bottom w:val="none" w:sz="0" w:space="0" w:color="auto"/>
            </w:tcBorders>
            <w:vAlign w:val="center"/>
          </w:tcPr>
          <w:p w14:paraId="5C6DD203" w14:textId="77777777" w:rsidR="001C19A4" w:rsidRPr="003606D5"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pPr>
            <w:r w:rsidRPr="00011172">
              <w:t>18</w:t>
            </w:r>
            <w:r>
              <w:t>,</w:t>
            </w:r>
            <w:r w:rsidRPr="00011172">
              <w:t>411</w:t>
            </w:r>
          </w:p>
        </w:tc>
      </w:tr>
      <w:tr w:rsidR="001C19A4" w:rsidRPr="00553703" w14:paraId="126A6265" w14:textId="77777777" w:rsidTr="00AD2666">
        <w:trPr>
          <w:trHeight w:val="449"/>
        </w:trPr>
        <w:tc>
          <w:tcPr>
            <w:cnfStyle w:val="001000000000" w:firstRow="0" w:lastRow="0" w:firstColumn="1" w:lastColumn="0" w:oddVBand="0" w:evenVBand="0" w:oddHBand="0" w:evenHBand="0" w:firstRowFirstColumn="0" w:firstRowLastColumn="0" w:lastRowFirstColumn="0" w:lastRowLastColumn="0"/>
            <w:tcW w:w="2970" w:type="dxa"/>
            <w:tcBorders>
              <w:right w:val="none" w:sz="0" w:space="0" w:color="auto"/>
            </w:tcBorders>
            <w:noWrap/>
            <w:vAlign w:val="center"/>
          </w:tcPr>
          <w:p w14:paraId="3F4B7AB5" w14:textId="77777777" w:rsidR="001C19A4" w:rsidRPr="00AD2666" w:rsidRDefault="001C19A4" w:rsidP="00AD2666">
            <w:pPr>
              <w:spacing w:before="120" w:after="120"/>
              <w:rPr>
                <w:b w:val="0"/>
                <w:color w:val="000000"/>
              </w:rPr>
            </w:pPr>
            <w:r w:rsidRPr="00AD2666">
              <w:rPr>
                <w:b w:val="0"/>
              </w:rPr>
              <w:t>2020</w:t>
            </w:r>
            <w:r w:rsidRPr="00AD2666">
              <w:rPr>
                <w:rStyle w:val="Strong"/>
              </w:rPr>
              <w:t>–</w:t>
            </w:r>
            <w:r w:rsidRPr="00AD2666">
              <w:rPr>
                <w:b w:val="0"/>
              </w:rPr>
              <w:t>21 Enrollment</w:t>
            </w:r>
          </w:p>
        </w:tc>
        <w:tc>
          <w:tcPr>
            <w:tcW w:w="1597" w:type="dxa"/>
            <w:noWrap/>
            <w:vAlign w:val="center"/>
          </w:tcPr>
          <w:p w14:paraId="4DAF473F" w14:textId="77777777" w:rsidR="001C19A4" w:rsidRPr="00553703"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011172">
              <w:t>8</w:t>
            </w:r>
            <w:r>
              <w:t>,</w:t>
            </w:r>
            <w:r w:rsidRPr="00011172">
              <w:t>577</w:t>
            </w:r>
          </w:p>
        </w:tc>
        <w:tc>
          <w:tcPr>
            <w:tcW w:w="1553" w:type="dxa"/>
            <w:noWrap/>
            <w:vAlign w:val="center"/>
          </w:tcPr>
          <w:p w14:paraId="584D1F64" w14:textId="77777777" w:rsidR="001C19A4" w:rsidRPr="00553703"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011172">
              <w:t>4</w:t>
            </w:r>
            <w:r>
              <w:t>,</w:t>
            </w:r>
            <w:r w:rsidRPr="00011172">
              <w:t>210</w:t>
            </w:r>
          </w:p>
        </w:tc>
        <w:tc>
          <w:tcPr>
            <w:tcW w:w="1440" w:type="dxa"/>
            <w:vAlign w:val="center"/>
          </w:tcPr>
          <w:p w14:paraId="21BA2190" w14:textId="77777777" w:rsidR="001C19A4"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011172">
              <w:t>5</w:t>
            </w:r>
            <w:r>
              <w:t>,</w:t>
            </w:r>
            <w:r w:rsidRPr="00011172">
              <w:t>142</w:t>
            </w:r>
          </w:p>
        </w:tc>
        <w:tc>
          <w:tcPr>
            <w:tcW w:w="1530" w:type="dxa"/>
            <w:vAlign w:val="center"/>
          </w:tcPr>
          <w:p w14:paraId="7CA649CE" w14:textId="77777777" w:rsidR="001C19A4" w:rsidRPr="00154E4F" w:rsidRDefault="001C19A4" w:rsidP="00AD2666">
            <w:pPr>
              <w:spacing w:before="120" w:after="120"/>
              <w:jc w:val="right"/>
              <w:cnfStyle w:val="000000000000" w:firstRow="0" w:lastRow="0" w:firstColumn="0" w:lastColumn="0" w:oddVBand="0" w:evenVBand="0" w:oddHBand="0" w:evenHBand="0" w:firstRowFirstColumn="0" w:firstRowLastColumn="0" w:lastRowFirstColumn="0" w:lastRowLastColumn="0"/>
            </w:pPr>
            <w:r w:rsidRPr="00011172">
              <w:t>17</w:t>
            </w:r>
            <w:r>
              <w:t>,</w:t>
            </w:r>
            <w:r w:rsidRPr="00011172">
              <w:t>929</w:t>
            </w:r>
          </w:p>
        </w:tc>
      </w:tr>
      <w:tr w:rsidR="001C19A4" w:rsidRPr="004C559A" w14:paraId="0F4EACBC" w14:textId="77777777" w:rsidTr="00AD266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tcPr>
          <w:p w14:paraId="164D683A" w14:textId="77777777" w:rsidR="001C19A4" w:rsidRPr="00AD2666" w:rsidRDefault="001C19A4" w:rsidP="00AD2666">
            <w:pPr>
              <w:spacing w:before="120" w:after="120"/>
              <w:rPr>
                <w:color w:val="000000"/>
              </w:rPr>
            </w:pPr>
            <w:r w:rsidRPr="00AD2666">
              <w:t>Annual Growth Rate</w:t>
            </w:r>
          </w:p>
        </w:tc>
        <w:tc>
          <w:tcPr>
            <w:tcW w:w="1597" w:type="dxa"/>
            <w:tcBorders>
              <w:top w:val="none" w:sz="0" w:space="0" w:color="auto"/>
              <w:bottom w:val="none" w:sz="0" w:space="0" w:color="auto"/>
            </w:tcBorders>
            <w:noWrap/>
            <w:vAlign w:val="center"/>
          </w:tcPr>
          <w:p w14:paraId="32A44101"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w:t>
            </w:r>
            <w:r>
              <w:rPr>
                <w:b/>
              </w:rPr>
              <w:t xml:space="preserve"> </w:t>
            </w:r>
            <w:r w:rsidRPr="00E1028F">
              <w:rPr>
                <w:b/>
              </w:rPr>
              <w:t>2.10%</w:t>
            </w:r>
          </w:p>
        </w:tc>
        <w:tc>
          <w:tcPr>
            <w:tcW w:w="1553" w:type="dxa"/>
            <w:tcBorders>
              <w:top w:val="none" w:sz="0" w:space="0" w:color="auto"/>
              <w:bottom w:val="none" w:sz="0" w:space="0" w:color="auto"/>
            </w:tcBorders>
            <w:noWrap/>
            <w:vAlign w:val="center"/>
          </w:tcPr>
          <w:p w14:paraId="625E8539"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w:t>
            </w:r>
            <w:r>
              <w:rPr>
                <w:b/>
              </w:rPr>
              <w:t xml:space="preserve"> </w:t>
            </w:r>
            <w:r w:rsidRPr="00E1028F">
              <w:rPr>
                <w:b/>
              </w:rPr>
              <w:t>1.06%</w:t>
            </w:r>
          </w:p>
        </w:tc>
        <w:tc>
          <w:tcPr>
            <w:tcW w:w="1440" w:type="dxa"/>
            <w:tcBorders>
              <w:top w:val="none" w:sz="0" w:space="0" w:color="auto"/>
              <w:bottom w:val="none" w:sz="0" w:space="0" w:color="auto"/>
            </w:tcBorders>
            <w:vAlign w:val="center"/>
          </w:tcPr>
          <w:p w14:paraId="5F29CEF2"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2.38%</w:t>
            </w:r>
          </w:p>
        </w:tc>
        <w:tc>
          <w:tcPr>
            <w:tcW w:w="1530" w:type="dxa"/>
            <w:tcBorders>
              <w:top w:val="none" w:sz="0" w:space="0" w:color="auto"/>
              <w:bottom w:val="none" w:sz="0" w:space="0" w:color="auto"/>
            </w:tcBorders>
            <w:vAlign w:val="center"/>
          </w:tcPr>
          <w:p w14:paraId="61F501B0" w14:textId="77777777" w:rsidR="001C19A4" w:rsidRPr="00E1028F" w:rsidRDefault="001C19A4" w:rsidP="00AD266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E1028F">
              <w:rPr>
                <w:b/>
              </w:rPr>
              <w:t>-</w:t>
            </w:r>
            <w:r>
              <w:rPr>
                <w:b/>
              </w:rPr>
              <w:t xml:space="preserve"> </w:t>
            </w:r>
            <w:r w:rsidRPr="00E1028F">
              <w:rPr>
                <w:b/>
              </w:rPr>
              <w:t>0.66%</w:t>
            </w:r>
          </w:p>
        </w:tc>
      </w:tr>
    </w:tbl>
    <w:p w14:paraId="58455C12" w14:textId="77777777" w:rsidR="001C19A4" w:rsidRPr="00BB7C54" w:rsidRDefault="001C19A4" w:rsidP="005F27A6">
      <w:pPr>
        <w:pStyle w:val="TableSource"/>
        <w:rPr>
          <w:rStyle w:val="Strong"/>
          <w:b w:val="0"/>
          <w:bCs w:val="0"/>
        </w:rPr>
      </w:pPr>
      <w:r w:rsidRPr="00BB7C54">
        <w:rPr>
          <w:rStyle w:val="Strong"/>
        </w:rPr>
        <w:t>Source data: CALPADS, 2016–17 and 2020–21</w:t>
      </w:r>
    </w:p>
    <w:p w14:paraId="01DD73ED" w14:textId="77777777" w:rsidR="00D13566" w:rsidRDefault="00D13566">
      <w:pPr>
        <w:spacing w:after="160"/>
        <w:rPr>
          <w:rStyle w:val="Strong"/>
          <w:b w:val="0"/>
        </w:rPr>
      </w:pPr>
      <w:r>
        <w:rPr>
          <w:rStyle w:val="Strong"/>
          <w:b w:val="0"/>
        </w:rPr>
        <w:br w:type="page"/>
      </w:r>
    </w:p>
    <w:p w14:paraId="77EA0C15" w14:textId="196ABF95" w:rsidR="001C19A4" w:rsidRPr="00C70024" w:rsidRDefault="001C19A4" w:rsidP="005F27A6">
      <w:pPr>
        <w:ind w:left="360"/>
        <w:rPr>
          <w:rStyle w:val="Strong"/>
          <w:b w:val="0"/>
        </w:rPr>
      </w:pPr>
      <w:r w:rsidRPr="00C70024">
        <w:rPr>
          <w:rStyle w:val="Strong"/>
          <w:b w:val="0"/>
        </w:rPr>
        <w:lastRenderedPageBreak/>
        <w:t xml:space="preserve">Table 5e displays the annual minority growth rates, as calculated in </w:t>
      </w:r>
      <w:r w:rsidR="002F7493">
        <w:rPr>
          <w:rStyle w:val="Strong"/>
          <w:b w:val="0"/>
        </w:rPr>
        <w:t>T</w:t>
      </w:r>
      <w:r w:rsidRPr="00C70024">
        <w:rPr>
          <w:rStyle w:val="Strong"/>
          <w:b w:val="0"/>
        </w:rPr>
        <w:t xml:space="preserve">ables 5b through 5d, for each school type across the existing Mt. Diablo USD, the proposed Northgate USD, and the remaining portion of the Mt. Diablo USD based on the proposed territory. </w:t>
      </w:r>
    </w:p>
    <w:p w14:paraId="68DE70E5" w14:textId="77777777" w:rsidR="001C19A4" w:rsidRPr="00FC6DA8" w:rsidRDefault="001C19A4" w:rsidP="001F0B7E">
      <w:pPr>
        <w:pStyle w:val="Heading4"/>
      </w:pPr>
      <w:bookmarkStart w:id="30" w:name="Table4b"/>
      <w:r w:rsidRPr="00FC6DA8">
        <w:t xml:space="preserve">Table </w:t>
      </w:r>
      <w:r>
        <w:t>5e</w:t>
      </w:r>
      <w:r w:rsidRPr="00FC6DA8">
        <w:t xml:space="preserve">. </w:t>
      </w:r>
      <w:r>
        <w:t>Annual</w:t>
      </w:r>
      <w:r w:rsidRPr="00FC6DA8">
        <w:t xml:space="preserve"> Percent Minority Growth by School Type</w:t>
      </w:r>
    </w:p>
    <w:tbl>
      <w:tblPr>
        <w:tblStyle w:val="ListTable3-Accent5"/>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alculated annual growth rate for minority enrollment the existing Mt. Diablo USD, the proposed Northgate USD, and the remaining portion of Mt. Diablo USD by school type."/>
      </w:tblPr>
      <w:tblGrid>
        <w:gridCol w:w="2970"/>
        <w:gridCol w:w="1597"/>
        <w:gridCol w:w="1508"/>
        <w:gridCol w:w="1507"/>
        <w:gridCol w:w="1508"/>
      </w:tblGrid>
      <w:tr w:rsidR="001C19A4" w:rsidRPr="00CA5036" w14:paraId="02C8660D" w14:textId="77777777" w:rsidTr="00CA5036">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2970" w:type="dxa"/>
            <w:tcBorders>
              <w:bottom w:val="none" w:sz="0" w:space="0" w:color="auto"/>
              <w:right w:val="none" w:sz="0" w:space="0" w:color="auto"/>
            </w:tcBorders>
            <w:shd w:val="clear" w:color="auto" w:fill="B4C6E7" w:themeFill="accent1" w:themeFillTint="66"/>
            <w:noWrap/>
            <w:vAlign w:val="center"/>
            <w:hideMark/>
          </w:tcPr>
          <w:bookmarkEnd w:id="30"/>
          <w:p w14:paraId="389DF75B" w14:textId="77777777" w:rsidR="001C19A4" w:rsidRPr="00CA5036" w:rsidRDefault="001C19A4" w:rsidP="00CA5036">
            <w:pPr>
              <w:spacing w:before="120" w:after="120"/>
              <w:jc w:val="center"/>
              <w:rPr>
                <w:bCs w:val="0"/>
                <w:color w:val="000000"/>
              </w:rPr>
            </w:pPr>
            <w:r w:rsidRPr="00CA5036">
              <w:rPr>
                <w:bCs w:val="0"/>
                <w:color w:val="000000"/>
              </w:rPr>
              <w:t>Area</w:t>
            </w:r>
          </w:p>
        </w:tc>
        <w:tc>
          <w:tcPr>
            <w:tcW w:w="1597" w:type="dxa"/>
            <w:shd w:val="clear" w:color="auto" w:fill="B4C6E7" w:themeFill="accent1" w:themeFillTint="66"/>
            <w:vAlign w:val="center"/>
            <w:hideMark/>
          </w:tcPr>
          <w:p w14:paraId="1F2722B2"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Elementary</w:t>
            </w:r>
          </w:p>
        </w:tc>
        <w:tc>
          <w:tcPr>
            <w:tcW w:w="1508" w:type="dxa"/>
            <w:shd w:val="clear" w:color="auto" w:fill="B4C6E7" w:themeFill="accent1" w:themeFillTint="66"/>
            <w:vAlign w:val="center"/>
            <w:hideMark/>
          </w:tcPr>
          <w:p w14:paraId="3B6AC8D4"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Middle</w:t>
            </w:r>
          </w:p>
        </w:tc>
        <w:tc>
          <w:tcPr>
            <w:tcW w:w="1507" w:type="dxa"/>
            <w:shd w:val="clear" w:color="auto" w:fill="B4C6E7" w:themeFill="accent1" w:themeFillTint="66"/>
            <w:vAlign w:val="center"/>
          </w:tcPr>
          <w:p w14:paraId="0AA72F68"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High</w:t>
            </w:r>
          </w:p>
        </w:tc>
        <w:tc>
          <w:tcPr>
            <w:tcW w:w="1508" w:type="dxa"/>
            <w:shd w:val="clear" w:color="auto" w:fill="B4C6E7" w:themeFill="accent1" w:themeFillTint="66"/>
            <w:vAlign w:val="center"/>
          </w:tcPr>
          <w:p w14:paraId="4AD259B6"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Combined</w:t>
            </w:r>
          </w:p>
        </w:tc>
      </w:tr>
      <w:tr w:rsidR="001C19A4" w:rsidRPr="00553703" w14:paraId="171953D6" w14:textId="77777777" w:rsidTr="00CA503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hideMark/>
          </w:tcPr>
          <w:p w14:paraId="5CFFA669" w14:textId="77777777" w:rsidR="001C19A4" w:rsidRPr="00CA5036" w:rsidRDefault="001C19A4" w:rsidP="00CA5036">
            <w:pPr>
              <w:spacing w:before="120" w:after="120"/>
              <w:rPr>
                <w:b w:val="0"/>
                <w:color w:val="000000"/>
              </w:rPr>
            </w:pPr>
            <w:r w:rsidRPr="00CA5036">
              <w:rPr>
                <w:b w:val="0"/>
                <w:color w:val="000000"/>
              </w:rPr>
              <w:t>Existing Mt. Diablo USD</w:t>
            </w:r>
          </w:p>
        </w:tc>
        <w:tc>
          <w:tcPr>
            <w:tcW w:w="1597" w:type="dxa"/>
            <w:tcBorders>
              <w:top w:val="none" w:sz="0" w:space="0" w:color="auto"/>
              <w:bottom w:val="none" w:sz="0" w:space="0" w:color="auto"/>
            </w:tcBorders>
            <w:noWrap/>
            <w:vAlign w:val="center"/>
            <w:hideMark/>
          </w:tcPr>
          <w:p w14:paraId="569FF1FF"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E5076">
              <w:t>- 2.01%</w:t>
            </w:r>
          </w:p>
        </w:tc>
        <w:tc>
          <w:tcPr>
            <w:tcW w:w="1508" w:type="dxa"/>
            <w:tcBorders>
              <w:top w:val="none" w:sz="0" w:space="0" w:color="auto"/>
              <w:bottom w:val="none" w:sz="0" w:space="0" w:color="auto"/>
            </w:tcBorders>
            <w:noWrap/>
            <w:vAlign w:val="center"/>
            <w:hideMark/>
          </w:tcPr>
          <w:p w14:paraId="5113AB09"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E5076">
              <w:t>- 1.10%</w:t>
            </w:r>
          </w:p>
        </w:tc>
        <w:tc>
          <w:tcPr>
            <w:tcW w:w="1507" w:type="dxa"/>
            <w:tcBorders>
              <w:top w:val="none" w:sz="0" w:space="0" w:color="auto"/>
              <w:bottom w:val="none" w:sz="0" w:space="0" w:color="auto"/>
            </w:tcBorders>
            <w:vAlign w:val="center"/>
          </w:tcPr>
          <w:p w14:paraId="7A956B95"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5E5076">
              <w:t>2.50%</w:t>
            </w:r>
          </w:p>
        </w:tc>
        <w:tc>
          <w:tcPr>
            <w:tcW w:w="1508" w:type="dxa"/>
            <w:tcBorders>
              <w:top w:val="none" w:sz="0" w:space="0" w:color="auto"/>
              <w:bottom w:val="none" w:sz="0" w:space="0" w:color="auto"/>
            </w:tcBorders>
            <w:vAlign w:val="center"/>
          </w:tcPr>
          <w:p w14:paraId="514D21DF" w14:textId="77777777" w:rsidR="001C19A4" w:rsidRPr="00B430EA"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B430EA">
              <w:rPr>
                <w:b/>
              </w:rPr>
              <w:t>- 0.55%</w:t>
            </w:r>
          </w:p>
        </w:tc>
      </w:tr>
      <w:tr w:rsidR="001C19A4" w:rsidRPr="00553703" w14:paraId="4481BBC1" w14:textId="77777777" w:rsidTr="00CA5036">
        <w:trPr>
          <w:trHeight w:val="449"/>
        </w:trPr>
        <w:tc>
          <w:tcPr>
            <w:cnfStyle w:val="001000000000" w:firstRow="0" w:lastRow="0" w:firstColumn="1" w:lastColumn="0" w:oddVBand="0" w:evenVBand="0" w:oddHBand="0" w:evenHBand="0" w:firstRowFirstColumn="0" w:firstRowLastColumn="0" w:lastRowFirstColumn="0" w:lastRowLastColumn="0"/>
            <w:tcW w:w="2970" w:type="dxa"/>
            <w:tcBorders>
              <w:right w:val="none" w:sz="0" w:space="0" w:color="auto"/>
            </w:tcBorders>
            <w:noWrap/>
            <w:vAlign w:val="center"/>
          </w:tcPr>
          <w:p w14:paraId="41B1FAD4" w14:textId="77777777" w:rsidR="001C19A4" w:rsidRPr="00CA5036" w:rsidRDefault="001C19A4" w:rsidP="00CA5036">
            <w:pPr>
              <w:spacing w:before="120" w:after="120"/>
              <w:rPr>
                <w:b w:val="0"/>
                <w:color w:val="000000"/>
              </w:rPr>
            </w:pPr>
            <w:r w:rsidRPr="00CA5036">
              <w:rPr>
                <w:b w:val="0"/>
                <w:color w:val="000000"/>
              </w:rPr>
              <w:t>Proposed Northgate USD</w:t>
            </w:r>
          </w:p>
        </w:tc>
        <w:tc>
          <w:tcPr>
            <w:tcW w:w="1597" w:type="dxa"/>
            <w:noWrap/>
            <w:vAlign w:val="center"/>
          </w:tcPr>
          <w:p w14:paraId="63F078CC"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57F15">
              <w:t>- 0.89%</w:t>
            </w:r>
          </w:p>
        </w:tc>
        <w:tc>
          <w:tcPr>
            <w:tcW w:w="1508" w:type="dxa"/>
            <w:noWrap/>
            <w:vAlign w:val="center"/>
          </w:tcPr>
          <w:p w14:paraId="1B570586"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57F15">
              <w:t>- 1.53%</w:t>
            </w:r>
          </w:p>
        </w:tc>
        <w:tc>
          <w:tcPr>
            <w:tcW w:w="1507" w:type="dxa"/>
            <w:vAlign w:val="center"/>
          </w:tcPr>
          <w:p w14:paraId="747BB03B"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57F15">
              <w:t>3.37%</w:t>
            </w:r>
          </w:p>
        </w:tc>
        <w:tc>
          <w:tcPr>
            <w:tcW w:w="1508" w:type="dxa"/>
            <w:vAlign w:val="center"/>
          </w:tcPr>
          <w:p w14:paraId="4824BD5F" w14:textId="77777777" w:rsidR="001C19A4" w:rsidRPr="00B430EA"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b/>
              </w:rPr>
            </w:pPr>
            <w:r w:rsidRPr="00B430EA">
              <w:rPr>
                <w:b/>
              </w:rPr>
              <w:t>0.51%</w:t>
            </w:r>
          </w:p>
        </w:tc>
      </w:tr>
      <w:tr w:rsidR="001C19A4" w:rsidRPr="00553703" w14:paraId="55D5D09F" w14:textId="77777777" w:rsidTr="00CA503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right w:val="none" w:sz="0" w:space="0" w:color="auto"/>
            </w:tcBorders>
            <w:noWrap/>
            <w:vAlign w:val="center"/>
            <w:hideMark/>
          </w:tcPr>
          <w:p w14:paraId="400CB793" w14:textId="77777777" w:rsidR="001C19A4" w:rsidRPr="00CA5036" w:rsidRDefault="001C19A4" w:rsidP="00CA5036">
            <w:pPr>
              <w:spacing w:before="120" w:after="120"/>
              <w:rPr>
                <w:b w:val="0"/>
                <w:color w:val="000000"/>
              </w:rPr>
            </w:pPr>
            <w:r w:rsidRPr="00CA5036">
              <w:rPr>
                <w:b w:val="0"/>
                <w:color w:val="000000"/>
              </w:rPr>
              <w:t>Remaining Portion of Mt. Diablo USD</w:t>
            </w:r>
          </w:p>
        </w:tc>
        <w:tc>
          <w:tcPr>
            <w:tcW w:w="1597" w:type="dxa"/>
            <w:tcBorders>
              <w:top w:val="none" w:sz="0" w:space="0" w:color="auto"/>
              <w:bottom w:val="none" w:sz="0" w:space="0" w:color="auto"/>
            </w:tcBorders>
            <w:noWrap/>
            <w:vAlign w:val="center"/>
            <w:hideMark/>
          </w:tcPr>
          <w:p w14:paraId="42EB61C9"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367B46">
              <w:t>- 2.10%</w:t>
            </w:r>
          </w:p>
        </w:tc>
        <w:tc>
          <w:tcPr>
            <w:tcW w:w="1508" w:type="dxa"/>
            <w:tcBorders>
              <w:top w:val="none" w:sz="0" w:space="0" w:color="auto"/>
              <w:bottom w:val="none" w:sz="0" w:space="0" w:color="auto"/>
            </w:tcBorders>
            <w:noWrap/>
            <w:vAlign w:val="center"/>
            <w:hideMark/>
          </w:tcPr>
          <w:p w14:paraId="5B133EA0"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367B46">
              <w:t>- 1.06%</w:t>
            </w:r>
          </w:p>
        </w:tc>
        <w:tc>
          <w:tcPr>
            <w:tcW w:w="1507" w:type="dxa"/>
            <w:tcBorders>
              <w:top w:val="none" w:sz="0" w:space="0" w:color="auto"/>
              <w:bottom w:val="none" w:sz="0" w:space="0" w:color="auto"/>
            </w:tcBorders>
            <w:vAlign w:val="center"/>
          </w:tcPr>
          <w:p w14:paraId="0C565B77"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367B46">
              <w:t>2.38%</w:t>
            </w:r>
          </w:p>
        </w:tc>
        <w:tc>
          <w:tcPr>
            <w:tcW w:w="1508" w:type="dxa"/>
            <w:tcBorders>
              <w:top w:val="none" w:sz="0" w:space="0" w:color="auto"/>
              <w:bottom w:val="none" w:sz="0" w:space="0" w:color="auto"/>
            </w:tcBorders>
            <w:vAlign w:val="center"/>
          </w:tcPr>
          <w:p w14:paraId="67FFA7D0" w14:textId="77777777" w:rsidR="001C19A4" w:rsidRPr="00B430EA"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B430EA">
              <w:rPr>
                <w:b/>
              </w:rPr>
              <w:t>- 0.66%</w:t>
            </w:r>
          </w:p>
        </w:tc>
      </w:tr>
    </w:tbl>
    <w:p w14:paraId="3423C5F8" w14:textId="7FBF415C" w:rsidR="00D43356" w:rsidRDefault="001C19A4" w:rsidP="00C70024">
      <w:pPr>
        <w:spacing w:before="240"/>
        <w:ind w:left="360"/>
        <w:rPr>
          <w:rStyle w:val="Strong"/>
          <w:b w:val="0"/>
        </w:rPr>
      </w:pPr>
      <w:r w:rsidRPr="00C70024">
        <w:rPr>
          <w:rStyle w:val="Strong"/>
          <w:b w:val="0"/>
        </w:rPr>
        <w:t xml:space="preserve">The combined annual growth factor for each area shown in </w:t>
      </w:r>
      <w:r w:rsidR="002F7493">
        <w:rPr>
          <w:rStyle w:val="Strong"/>
          <w:b w:val="0"/>
        </w:rPr>
        <w:t>T</w:t>
      </w:r>
      <w:r w:rsidRPr="00C70024">
        <w:rPr>
          <w:rStyle w:val="Strong"/>
          <w:b w:val="0"/>
        </w:rPr>
        <w:t xml:space="preserve">able 5e was then used to project minority student enrollment for the next five years. </w:t>
      </w:r>
      <w:bookmarkStart w:id="31" w:name="Table4c"/>
    </w:p>
    <w:p w14:paraId="383DDCCD" w14:textId="77777777" w:rsidR="001C19A4" w:rsidRPr="00FC6DA8" w:rsidRDefault="001C19A4" w:rsidP="001F0B7E">
      <w:pPr>
        <w:pStyle w:val="Heading4"/>
      </w:pPr>
      <w:r w:rsidRPr="00FC6DA8">
        <w:t xml:space="preserve">Table </w:t>
      </w:r>
      <w:r>
        <w:t>5f</w:t>
      </w:r>
      <w:r w:rsidRPr="00FC6DA8">
        <w:t xml:space="preserve">. </w:t>
      </w:r>
      <w:r>
        <w:t>Five-Year Projection of</w:t>
      </w:r>
      <w:r w:rsidRPr="00FC6DA8">
        <w:t xml:space="preserve"> Minority Students </w:t>
      </w:r>
      <w:r>
        <w:t>in</w:t>
      </w:r>
      <w:r w:rsidRPr="00FC6DA8">
        <w:t xml:space="preserve"> Each Area of the District</w:t>
      </w:r>
      <w:bookmarkStart w:id="32" w:name="_Ref87421444"/>
      <w:r w:rsidRPr="00F43409">
        <w:rPr>
          <w:vertAlign w:val="superscript"/>
        </w:rPr>
        <w:footnoteReference w:id="6"/>
      </w:r>
      <w:bookmarkEnd w:id="32"/>
    </w:p>
    <w:tbl>
      <w:tblPr>
        <w:tblStyle w:val="ListTable3-Accent5"/>
        <w:tblW w:w="90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projected minorty enrollment for the years 2021-22 through 2025-26 in the existing Mt. Diablo USD, the proposed Northgate USD, and the remaining portion of Mt. Diablo USD based on the annual growth rate shown in the previous table. "/>
      </w:tblPr>
      <w:tblGrid>
        <w:gridCol w:w="1620"/>
        <w:gridCol w:w="2467"/>
        <w:gridCol w:w="2467"/>
        <w:gridCol w:w="2467"/>
      </w:tblGrid>
      <w:tr w:rsidR="001C19A4" w:rsidRPr="00CA5036" w14:paraId="484B5029" w14:textId="77777777" w:rsidTr="00CA5036">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1620" w:type="dxa"/>
            <w:tcBorders>
              <w:bottom w:val="none" w:sz="0" w:space="0" w:color="auto"/>
              <w:right w:val="none" w:sz="0" w:space="0" w:color="auto"/>
            </w:tcBorders>
            <w:shd w:val="clear" w:color="auto" w:fill="B4C6E7" w:themeFill="accent1" w:themeFillTint="66"/>
            <w:noWrap/>
            <w:vAlign w:val="center"/>
            <w:hideMark/>
          </w:tcPr>
          <w:bookmarkEnd w:id="31"/>
          <w:p w14:paraId="384C8475" w14:textId="77777777" w:rsidR="001C19A4" w:rsidRPr="00CA5036" w:rsidRDefault="001C19A4" w:rsidP="00CA5036">
            <w:pPr>
              <w:spacing w:before="120" w:after="120"/>
              <w:jc w:val="center"/>
              <w:rPr>
                <w:bCs w:val="0"/>
                <w:color w:val="000000"/>
              </w:rPr>
            </w:pPr>
            <w:r w:rsidRPr="00CA5036">
              <w:rPr>
                <w:bCs w:val="0"/>
                <w:color w:val="000000"/>
              </w:rPr>
              <w:t>Fiscal Year</w:t>
            </w:r>
          </w:p>
        </w:tc>
        <w:tc>
          <w:tcPr>
            <w:tcW w:w="2467" w:type="dxa"/>
            <w:shd w:val="clear" w:color="auto" w:fill="B4C6E7" w:themeFill="accent1" w:themeFillTint="66"/>
            <w:vAlign w:val="center"/>
            <w:hideMark/>
          </w:tcPr>
          <w:p w14:paraId="6A824A21" w14:textId="77777777" w:rsidR="001C19A4" w:rsidRPr="00CA5036" w:rsidRDefault="001C19A4" w:rsidP="00CA5036">
            <w:pPr>
              <w:spacing w:before="120" w:after="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xml:space="preserve">Existing </w:t>
            </w:r>
          </w:p>
          <w:p w14:paraId="2362B4B9" w14:textId="77777777" w:rsidR="001C19A4" w:rsidRPr="00CA5036" w:rsidRDefault="001C19A4" w:rsidP="00CA5036">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Mt. Diablo USD</w:t>
            </w:r>
          </w:p>
          <w:p w14:paraId="1CBBE3CB" w14:textId="77777777" w:rsidR="001C19A4" w:rsidRPr="00CA5036" w:rsidRDefault="001C19A4" w:rsidP="00CA5036">
            <w:pPr>
              <w:spacing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(- 0.55%)</w:t>
            </w:r>
          </w:p>
        </w:tc>
        <w:tc>
          <w:tcPr>
            <w:tcW w:w="2467" w:type="dxa"/>
            <w:shd w:val="clear" w:color="auto" w:fill="B4C6E7" w:themeFill="accent1" w:themeFillTint="66"/>
            <w:vAlign w:val="center"/>
            <w:hideMark/>
          </w:tcPr>
          <w:p w14:paraId="6F1E9A44" w14:textId="77777777" w:rsidR="001C19A4" w:rsidRPr="00CA5036" w:rsidRDefault="001C19A4" w:rsidP="00CA5036">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Proposed Northgate USD</w:t>
            </w:r>
          </w:p>
          <w:p w14:paraId="04111366" w14:textId="77777777" w:rsidR="001C19A4" w:rsidRPr="00CA5036" w:rsidRDefault="001C19A4" w:rsidP="00CA5036">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(0.51%)</w:t>
            </w:r>
          </w:p>
        </w:tc>
        <w:tc>
          <w:tcPr>
            <w:tcW w:w="2467" w:type="dxa"/>
            <w:shd w:val="clear" w:color="auto" w:fill="B4C6E7" w:themeFill="accent1" w:themeFillTint="66"/>
            <w:vAlign w:val="center"/>
            <w:hideMark/>
          </w:tcPr>
          <w:p w14:paraId="1E21EABA" w14:textId="77777777" w:rsidR="001C19A4" w:rsidRPr="00CA5036" w:rsidRDefault="001C19A4" w:rsidP="00CA5036">
            <w:pPr>
              <w:spacing w:before="120" w:after="120"/>
              <w:ind w:left="12"/>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Remaining Portion of Mt. Diablo USD</w:t>
            </w:r>
          </w:p>
          <w:p w14:paraId="16369DAA" w14:textId="77777777" w:rsidR="001C19A4" w:rsidRPr="00CA5036" w:rsidRDefault="001C19A4" w:rsidP="00CA5036">
            <w:pPr>
              <w:spacing w:before="120" w:after="120"/>
              <w:ind w:left="12"/>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(- 0.66%)</w:t>
            </w:r>
          </w:p>
        </w:tc>
      </w:tr>
      <w:tr w:rsidR="001C19A4" w:rsidRPr="00553703" w14:paraId="79CFA840"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hideMark/>
          </w:tcPr>
          <w:p w14:paraId="0C4F00BA" w14:textId="77777777" w:rsidR="001C19A4" w:rsidRPr="00CA5036" w:rsidRDefault="001C19A4" w:rsidP="00CA5036">
            <w:pPr>
              <w:spacing w:before="120" w:after="120"/>
              <w:rPr>
                <w:color w:val="000000"/>
              </w:rPr>
            </w:pPr>
            <w:r w:rsidRPr="00CA5036">
              <w:rPr>
                <w:rStyle w:val="Strong"/>
              </w:rPr>
              <w:t>2020–21</w:t>
            </w:r>
          </w:p>
        </w:tc>
        <w:tc>
          <w:tcPr>
            <w:tcW w:w="2467" w:type="dxa"/>
            <w:tcBorders>
              <w:top w:val="none" w:sz="0" w:space="0" w:color="auto"/>
              <w:bottom w:val="none" w:sz="0" w:space="0" w:color="auto"/>
            </w:tcBorders>
            <w:noWrap/>
            <w:vAlign w:val="center"/>
            <w:hideMark/>
          </w:tcPr>
          <w:p w14:paraId="4DDB8C27"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463BB">
              <w:t xml:space="preserve"> 19,782 </w:t>
            </w:r>
          </w:p>
        </w:tc>
        <w:tc>
          <w:tcPr>
            <w:tcW w:w="2467" w:type="dxa"/>
            <w:tcBorders>
              <w:top w:val="none" w:sz="0" w:space="0" w:color="auto"/>
              <w:bottom w:val="none" w:sz="0" w:space="0" w:color="auto"/>
            </w:tcBorders>
            <w:noWrap/>
            <w:vAlign w:val="center"/>
            <w:hideMark/>
          </w:tcPr>
          <w:p w14:paraId="7A9C90ED"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B6957">
              <w:t xml:space="preserve"> 1,853 </w:t>
            </w:r>
          </w:p>
        </w:tc>
        <w:tc>
          <w:tcPr>
            <w:tcW w:w="2467" w:type="dxa"/>
            <w:tcBorders>
              <w:top w:val="none" w:sz="0" w:space="0" w:color="auto"/>
              <w:bottom w:val="none" w:sz="0" w:space="0" w:color="auto"/>
            </w:tcBorders>
            <w:noWrap/>
            <w:vAlign w:val="center"/>
            <w:hideMark/>
          </w:tcPr>
          <w:p w14:paraId="6370CF5A"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F7834">
              <w:t xml:space="preserve"> 17,929 </w:t>
            </w:r>
          </w:p>
        </w:tc>
      </w:tr>
      <w:tr w:rsidR="001C19A4" w:rsidRPr="00553703" w14:paraId="43640C8D"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2E76A96B" w14:textId="77777777" w:rsidR="001C19A4" w:rsidRPr="00CA5036" w:rsidRDefault="001C19A4" w:rsidP="00CA5036">
            <w:pPr>
              <w:spacing w:before="120" w:after="120"/>
              <w:rPr>
                <w:rStyle w:val="Strong"/>
                <w:bCs/>
                <w:i/>
              </w:rPr>
            </w:pPr>
            <w:r w:rsidRPr="00CA5036">
              <w:rPr>
                <w:rStyle w:val="Strong"/>
                <w:i/>
              </w:rPr>
              <w:t>2021–22</w:t>
            </w:r>
          </w:p>
        </w:tc>
        <w:tc>
          <w:tcPr>
            <w:tcW w:w="2467" w:type="dxa"/>
            <w:noWrap/>
            <w:vAlign w:val="center"/>
          </w:tcPr>
          <w:p w14:paraId="194E459D"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463BB">
              <w:t xml:space="preserve"> 19,672 </w:t>
            </w:r>
          </w:p>
        </w:tc>
        <w:tc>
          <w:tcPr>
            <w:tcW w:w="2467" w:type="dxa"/>
            <w:noWrap/>
            <w:vAlign w:val="center"/>
          </w:tcPr>
          <w:p w14:paraId="6AD16668"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4B6957">
              <w:t xml:space="preserve"> 1,862 </w:t>
            </w:r>
          </w:p>
        </w:tc>
        <w:tc>
          <w:tcPr>
            <w:tcW w:w="2467" w:type="dxa"/>
            <w:noWrap/>
            <w:vAlign w:val="center"/>
          </w:tcPr>
          <w:p w14:paraId="7E52A3D5"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F7834">
              <w:t xml:space="preserve"> 17,810 </w:t>
            </w:r>
          </w:p>
        </w:tc>
      </w:tr>
      <w:tr w:rsidR="001C19A4" w:rsidRPr="00553703" w14:paraId="01EB65D3"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tcPr>
          <w:p w14:paraId="704265E5" w14:textId="77777777" w:rsidR="001C19A4" w:rsidRPr="00CA5036" w:rsidRDefault="001C19A4" w:rsidP="00CA5036">
            <w:pPr>
              <w:spacing w:before="120" w:after="120"/>
              <w:rPr>
                <w:rStyle w:val="Strong"/>
                <w:bCs/>
                <w:i/>
              </w:rPr>
            </w:pPr>
            <w:r w:rsidRPr="00CA5036">
              <w:rPr>
                <w:rStyle w:val="Strong"/>
                <w:i/>
              </w:rPr>
              <w:t>2022–23</w:t>
            </w:r>
          </w:p>
        </w:tc>
        <w:tc>
          <w:tcPr>
            <w:tcW w:w="2467" w:type="dxa"/>
            <w:tcBorders>
              <w:top w:val="none" w:sz="0" w:space="0" w:color="auto"/>
              <w:bottom w:val="none" w:sz="0" w:space="0" w:color="auto"/>
            </w:tcBorders>
            <w:noWrap/>
            <w:vAlign w:val="center"/>
          </w:tcPr>
          <w:p w14:paraId="3E4BF8E1"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463BB">
              <w:t xml:space="preserve"> 19,563 </w:t>
            </w:r>
          </w:p>
        </w:tc>
        <w:tc>
          <w:tcPr>
            <w:tcW w:w="2467" w:type="dxa"/>
            <w:tcBorders>
              <w:top w:val="none" w:sz="0" w:space="0" w:color="auto"/>
              <w:bottom w:val="none" w:sz="0" w:space="0" w:color="auto"/>
            </w:tcBorders>
            <w:noWrap/>
            <w:vAlign w:val="center"/>
          </w:tcPr>
          <w:p w14:paraId="03979ECB"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B6957">
              <w:t xml:space="preserve"> 1,871 </w:t>
            </w:r>
          </w:p>
        </w:tc>
        <w:tc>
          <w:tcPr>
            <w:tcW w:w="2467" w:type="dxa"/>
            <w:tcBorders>
              <w:top w:val="none" w:sz="0" w:space="0" w:color="auto"/>
              <w:bottom w:val="none" w:sz="0" w:space="0" w:color="auto"/>
            </w:tcBorders>
            <w:noWrap/>
            <w:vAlign w:val="center"/>
          </w:tcPr>
          <w:p w14:paraId="6AB3770F"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F7834">
              <w:t xml:space="preserve"> 17,692 </w:t>
            </w:r>
          </w:p>
        </w:tc>
      </w:tr>
      <w:tr w:rsidR="001C19A4" w:rsidRPr="00553703" w14:paraId="76557A0D"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3EAE0E4B" w14:textId="77777777" w:rsidR="001C19A4" w:rsidRPr="00CA5036" w:rsidRDefault="001C19A4" w:rsidP="00CA5036">
            <w:pPr>
              <w:spacing w:before="120" w:after="120"/>
              <w:rPr>
                <w:rStyle w:val="Strong"/>
                <w:bCs/>
                <w:i/>
              </w:rPr>
            </w:pPr>
            <w:r w:rsidRPr="00CA5036">
              <w:rPr>
                <w:rStyle w:val="Strong"/>
                <w:i/>
              </w:rPr>
              <w:t>2023–24</w:t>
            </w:r>
          </w:p>
        </w:tc>
        <w:tc>
          <w:tcPr>
            <w:tcW w:w="2467" w:type="dxa"/>
            <w:noWrap/>
            <w:vAlign w:val="center"/>
          </w:tcPr>
          <w:p w14:paraId="36672765"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463BB">
              <w:t xml:space="preserve"> 19,455 </w:t>
            </w:r>
          </w:p>
        </w:tc>
        <w:tc>
          <w:tcPr>
            <w:tcW w:w="2467" w:type="dxa"/>
            <w:noWrap/>
            <w:vAlign w:val="center"/>
          </w:tcPr>
          <w:p w14:paraId="2E5F177F"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4B6957">
              <w:t xml:space="preserve"> 1,880 </w:t>
            </w:r>
          </w:p>
        </w:tc>
        <w:tc>
          <w:tcPr>
            <w:tcW w:w="2467" w:type="dxa"/>
            <w:noWrap/>
            <w:vAlign w:val="center"/>
          </w:tcPr>
          <w:p w14:paraId="111539C2"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F7834">
              <w:t xml:space="preserve"> 17,575 </w:t>
            </w:r>
          </w:p>
        </w:tc>
      </w:tr>
      <w:tr w:rsidR="001C19A4" w:rsidRPr="00553703" w14:paraId="586F766C"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hideMark/>
          </w:tcPr>
          <w:p w14:paraId="483835DD" w14:textId="77777777" w:rsidR="001C19A4" w:rsidRPr="00CA5036" w:rsidRDefault="001C19A4" w:rsidP="00CA5036">
            <w:pPr>
              <w:spacing w:before="120" w:after="120"/>
              <w:rPr>
                <w:i/>
                <w:color w:val="000000"/>
              </w:rPr>
            </w:pPr>
            <w:r w:rsidRPr="00CA5036">
              <w:rPr>
                <w:rStyle w:val="Strong"/>
                <w:i/>
              </w:rPr>
              <w:t>2024–25</w:t>
            </w:r>
          </w:p>
        </w:tc>
        <w:tc>
          <w:tcPr>
            <w:tcW w:w="2467" w:type="dxa"/>
            <w:tcBorders>
              <w:top w:val="none" w:sz="0" w:space="0" w:color="auto"/>
              <w:bottom w:val="none" w:sz="0" w:space="0" w:color="auto"/>
            </w:tcBorders>
            <w:noWrap/>
            <w:vAlign w:val="center"/>
            <w:hideMark/>
          </w:tcPr>
          <w:p w14:paraId="2F7743EA"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D463BB">
              <w:t xml:space="preserve"> 19,347 </w:t>
            </w:r>
          </w:p>
        </w:tc>
        <w:tc>
          <w:tcPr>
            <w:tcW w:w="2467" w:type="dxa"/>
            <w:tcBorders>
              <w:top w:val="none" w:sz="0" w:space="0" w:color="auto"/>
              <w:bottom w:val="none" w:sz="0" w:space="0" w:color="auto"/>
            </w:tcBorders>
            <w:noWrap/>
            <w:vAlign w:val="center"/>
            <w:hideMark/>
          </w:tcPr>
          <w:p w14:paraId="0D753FAD"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B6957">
              <w:t xml:space="preserve"> 1,890 </w:t>
            </w:r>
          </w:p>
        </w:tc>
        <w:tc>
          <w:tcPr>
            <w:tcW w:w="2467" w:type="dxa"/>
            <w:tcBorders>
              <w:top w:val="none" w:sz="0" w:space="0" w:color="auto"/>
              <w:bottom w:val="none" w:sz="0" w:space="0" w:color="auto"/>
            </w:tcBorders>
            <w:noWrap/>
            <w:vAlign w:val="center"/>
            <w:hideMark/>
          </w:tcPr>
          <w:p w14:paraId="66189741"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F7834">
              <w:t xml:space="preserve"> 17,459 </w:t>
            </w:r>
          </w:p>
        </w:tc>
      </w:tr>
      <w:tr w:rsidR="001C19A4" w:rsidRPr="00553703" w14:paraId="5099F470"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471EF6F5" w14:textId="77777777" w:rsidR="001C19A4" w:rsidRPr="00CA5036" w:rsidRDefault="001C19A4" w:rsidP="00CA5036">
            <w:pPr>
              <w:spacing w:before="120" w:after="120"/>
              <w:rPr>
                <w:rStyle w:val="Strong"/>
                <w:bCs/>
                <w:i/>
              </w:rPr>
            </w:pPr>
            <w:r w:rsidRPr="00CA5036">
              <w:rPr>
                <w:rStyle w:val="Strong"/>
                <w:i/>
              </w:rPr>
              <w:t>2025–26</w:t>
            </w:r>
          </w:p>
        </w:tc>
        <w:tc>
          <w:tcPr>
            <w:tcW w:w="2467" w:type="dxa"/>
            <w:noWrap/>
            <w:vAlign w:val="center"/>
          </w:tcPr>
          <w:p w14:paraId="09F4FA29"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D463BB">
              <w:t xml:space="preserve"> 19,240 </w:t>
            </w:r>
          </w:p>
        </w:tc>
        <w:tc>
          <w:tcPr>
            <w:tcW w:w="2467" w:type="dxa"/>
            <w:noWrap/>
            <w:vAlign w:val="center"/>
          </w:tcPr>
          <w:p w14:paraId="162DB29E"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4B6957">
              <w:t xml:space="preserve"> 1,900 </w:t>
            </w:r>
          </w:p>
        </w:tc>
        <w:tc>
          <w:tcPr>
            <w:tcW w:w="2467" w:type="dxa"/>
            <w:noWrap/>
            <w:vAlign w:val="center"/>
          </w:tcPr>
          <w:p w14:paraId="722A01F4"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F7834">
              <w:t xml:space="preserve"> 17,344 </w:t>
            </w:r>
          </w:p>
        </w:tc>
      </w:tr>
    </w:tbl>
    <w:p w14:paraId="5E31FED9" w14:textId="77777777" w:rsidR="00D43356" w:rsidRDefault="00D43356" w:rsidP="005F27A6">
      <w:pPr>
        <w:spacing w:before="120"/>
        <w:ind w:left="360"/>
      </w:pPr>
      <w:bookmarkStart w:id="33" w:name="Table4d"/>
    </w:p>
    <w:p w14:paraId="16A1290E" w14:textId="77777777" w:rsidR="00D43356" w:rsidRDefault="00D43356">
      <w:pPr>
        <w:spacing w:after="160"/>
      </w:pPr>
      <w:r>
        <w:br w:type="page"/>
      </w:r>
    </w:p>
    <w:p w14:paraId="3D433DD6" w14:textId="3F0AA678" w:rsidR="001C19A4" w:rsidRDefault="001C19A4" w:rsidP="005F27A6">
      <w:pPr>
        <w:spacing w:before="120"/>
        <w:ind w:left="360"/>
      </w:pPr>
      <w:r>
        <w:lastRenderedPageBreak/>
        <w:t>Next, the annual enrollment growth rate for total enrollment was calculated for each area using the same methodology.</w:t>
      </w:r>
    </w:p>
    <w:p w14:paraId="57A809B7" w14:textId="77777777" w:rsidR="001C19A4" w:rsidRPr="00FC6DA8" w:rsidRDefault="001C19A4" w:rsidP="001F0B7E">
      <w:pPr>
        <w:pStyle w:val="Heading4"/>
      </w:pPr>
      <w:r w:rsidRPr="00FC6DA8">
        <w:t>Table</w:t>
      </w:r>
      <w:r>
        <w:t xml:space="preserve"> 5g. Annual Enrollment</w:t>
      </w:r>
      <w:r w:rsidRPr="00FC6DA8">
        <w:t xml:space="preserve"> Growth</w:t>
      </w:r>
      <w:r>
        <w:t xml:space="preserve"> for Students in Each Area</w:t>
      </w:r>
    </w:p>
    <w:tbl>
      <w:tblPr>
        <w:tblStyle w:val="ListTable3-Accent5"/>
        <w:tblW w:w="90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calculated annual growth rate of total enrollment for the existing Mt. Diablo USD, the proposed Northgate USD, and the remaining portion of Mt. Diablo USD.  "/>
      </w:tblPr>
      <w:tblGrid>
        <w:gridCol w:w="3533"/>
        <w:gridCol w:w="1900"/>
        <w:gridCol w:w="1793"/>
        <w:gridCol w:w="1794"/>
      </w:tblGrid>
      <w:tr w:rsidR="001C19A4" w:rsidRPr="00CA5036" w14:paraId="436E89A9" w14:textId="77777777" w:rsidTr="00CA5036">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3533" w:type="dxa"/>
            <w:tcBorders>
              <w:bottom w:val="none" w:sz="0" w:space="0" w:color="auto"/>
              <w:right w:val="none" w:sz="0" w:space="0" w:color="auto"/>
            </w:tcBorders>
            <w:shd w:val="clear" w:color="auto" w:fill="B4C6E7" w:themeFill="accent1" w:themeFillTint="66"/>
            <w:noWrap/>
            <w:vAlign w:val="center"/>
            <w:hideMark/>
          </w:tcPr>
          <w:p w14:paraId="64899C8D" w14:textId="77777777" w:rsidR="001C19A4" w:rsidRPr="00CA5036" w:rsidRDefault="001C19A4" w:rsidP="00CA5036">
            <w:pPr>
              <w:spacing w:before="120" w:after="120"/>
              <w:jc w:val="center"/>
              <w:rPr>
                <w:bCs w:val="0"/>
                <w:color w:val="000000"/>
              </w:rPr>
            </w:pPr>
            <w:r w:rsidRPr="00CA5036">
              <w:rPr>
                <w:bCs w:val="0"/>
                <w:color w:val="000000"/>
              </w:rPr>
              <w:t>Category</w:t>
            </w:r>
          </w:p>
        </w:tc>
        <w:tc>
          <w:tcPr>
            <w:tcW w:w="1900" w:type="dxa"/>
            <w:shd w:val="clear" w:color="auto" w:fill="B4C6E7" w:themeFill="accent1" w:themeFillTint="66"/>
            <w:vAlign w:val="center"/>
            <w:hideMark/>
          </w:tcPr>
          <w:p w14:paraId="0E47BCB8"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Existing Mt. Diablo USD</w:t>
            </w:r>
          </w:p>
        </w:tc>
        <w:tc>
          <w:tcPr>
            <w:tcW w:w="1793" w:type="dxa"/>
            <w:shd w:val="clear" w:color="auto" w:fill="B4C6E7" w:themeFill="accent1" w:themeFillTint="66"/>
            <w:vAlign w:val="center"/>
            <w:hideMark/>
          </w:tcPr>
          <w:p w14:paraId="711F9D1B"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Proposed Northgate USD</w:t>
            </w:r>
          </w:p>
        </w:tc>
        <w:tc>
          <w:tcPr>
            <w:tcW w:w="1794" w:type="dxa"/>
            <w:shd w:val="clear" w:color="auto" w:fill="B4C6E7" w:themeFill="accent1" w:themeFillTint="66"/>
            <w:vAlign w:val="center"/>
          </w:tcPr>
          <w:p w14:paraId="64DB12D6"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Remaining Portion of Mt. Diablo USD</w:t>
            </w:r>
          </w:p>
        </w:tc>
      </w:tr>
      <w:tr w:rsidR="001C19A4" w:rsidRPr="00553703" w14:paraId="77BEBF2B" w14:textId="77777777" w:rsidTr="00CA503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533" w:type="dxa"/>
            <w:tcBorders>
              <w:top w:val="none" w:sz="0" w:space="0" w:color="auto"/>
              <w:bottom w:val="none" w:sz="0" w:space="0" w:color="auto"/>
              <w:right w:val="none" w:sz="0" w:space="0" w:color="auto"/>
            </w:tcBorders>
            <w:noWrap/>
            <w:vAlign w:val="center"/>
            <w:hideMark/>
          </w:tcPr>
          <w:p w14:paraId="02A40425" w14:textId="77777777" w:rsidR="001C19A4" w:rsidRPr="00CA5036" w:rsidRDefault="001C19A4" w:rsidP="00CA5036">
            <w:pPr>
              <w:spacing w:before="120" w:after="120"/>
              <w:rPr>
                <w:b w:val="0"/>
                <w:color w:val="000000"/>
              </w:rPr>
            </w:pPr>
            <w:r w:rsidRPr="00CA5036">
              <w:rPr>
                <w:b w:val="0"/>
              </w:rPr>
              <w:t>2016</w:t>
            </w:r>
            <w:r w:rsidRPr="00CA5036">
              <w:rPr>
                <w:rStyle w:val="Strong"/>
              </w:rPr>
              <w:t>–</w:t>
            </w:r>
            <w:r w:rsidRPr="00CA5036">
              <w:rPr>
                <w:b w:val="0"/>
              </w:rPr>
              <w:t>17 Enrollment</w:t>
            </w:r>
          </w:p>
        </w:tc>
        <w:tc>
          <w:tcPr>
            <w:tcW w:w="1900" w:type="dxa"/>
            <w:tcBorders>
              <w:top w:val="none" w:sz="0" w:space="0" w:color="auto"/>
              <w:bottom w:val="none" w:sz="0" w:space="0" w:color="auto"/>
            </w:tcBorders>
            <w:noWrap/>
            <w:vAlign w:val="center"/>
            <w:hideMark/>
          </w:tcPr>
          <w:p w14:paraId="693FBA8F"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34214">
              <w:t>30</w:t>
            </w:r>
            <w:r>
              <w:t>,</w:t>
            </w:r>
            <w:r w:rsidRPr="00034214">
              <w:t>341</w:t>
            </w:r>
          </w:p>
        </w:tc>
        <w:tc>
          <w:tcPr>
            <w:tcW w:w="1793" w:type="dxa"/>
            <w:tcBorders>
              <w:top w:val="none" w:sz="0" w:space="0" w:color="auto"/>
              <w:bottom w:val="none" w:sz="0" w:space="0" w:color="auto"/>
            </w:tcBorders>
            <w:noWrap/>
            <w:vAlign w:val="center"/>
            <w:hideMark/>
          </w:tcPr>
          <w:p w14:paraId="4CE4E5DB"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34214">
              <w:t>4</w:t>
            </w:r>
            <w:r>
              <w:t>,</w:t>
            </w:r>
            <w:r w:rsidRPr="00034214">
              <w:t>166</w:t>
            </w:r>
          </w:p>
        </w:tc>
        <w:tc>
          <w:tcPr>
            <w:tcW w:w="1794" w:type="dxa"/>
            <w:tcBorders>
              <w:top w:val="none" w:sz="0" w:space="0" w:color="auto"/>
              <w:bottom w:val="none" w:sz="0" w:space="0" w:color="auto"/>
            </w:tcBorders>
            <w:vAlign w:val="center"/>
          </w:tcPr>
          <w:p w14:paraId="0452CE3D"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034214">
              <w:t>26</w:t>
            </w:r>
            <w:r>
              <w:t>,</w:t>
            </w:r>
            <w:r w:rsidRPr="00034214">
              <w:t>175</w:t>
            </w:r>
          </w:p>
        </w:tc>
      </w:tr>
      <w:tr w:rsidR="001C19A4" w:rsidRPr="00553703" w14:paraId="43EFFAE8" w14:textId="77777777" w:rsidTr="00CA5036">
        <w:trPr>
          <w:trHeight w:val="455"/>
        </w:trPr>
        <w:tc>
          <w:tcPr>
            <w:cnfStyle w:val="001000000000" w:firstRow="0" w:lastRow="0" w:firstColumn="1" w:lastColumn="0" w:oddVBand="0" w:evenVBand="0" w:oddHBand="0" w:evenHBand="0" w:firstRowFirstColumn="0" w:firstRowLastColumn="0" w:lastRowFirstColumn="0" w:lastRowLastColumn="0"/>
            <w:tcW w:w="3533" w:type="dxa"/>
            <w:tcBorders>
              <w:right w:val="none" w:sz="0" w:space="0" w:color="auto"/>
            </w:tcBorders>
            <w:noWrap/>
            <w:vAlign w:val="center"/>
          </w:tcPr>
          <w:p w14:paraId="6BB8B99F" w14:textId="77777777" w:rsidR="001C19A4" w:rsidRPr="00CA5036" w:rsidRDefault="001C19A4" w:rsidP="00CA5036">
            <w:pPr>
              <w:spacing w:before="120" w:after="120"/>
              <w:rPr>
                <w:b w:val="0"/>
                <w:color w:val="000000"/>
              </w:rPr>
            </w:pPr>
            <w:r w:rsidRPr="00CA5036">
              <w:rPr>
                <w:b w:val="0"/>
              </w:rPr>
              <w:t>2020</w:t>
            </w:r>
            <w:r w:rsidRPr="00CA5036">
              <w:rPr>
                <w:rStyle w:val="Strong"/>
              </w:rPr>
              <w:t>–</w:t>
            </w:r>
            <w:r w:rsidRPr="00CA5036">
              <w:rPr>
                <w:b w:val="0"/>
              </w:rPr>
              <w:t>21 Enrollment</w:t>
            </w:r>
          </w:p>
        </w:tc>
        <w:tc>
          <w:tcPr>
            <w:tcW w:w="1900" w:type="dxa"/>
            <w:noWrap/>
            <w:vAlign w:val="center"/>
          </w:tcPr>
          <w:p w14:paraId="28B60345"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977AE">
              <w:t>28</w:t>
            </w:r>
            <w:r>
              <w:t>,</w:t>
            </w:r>
            <w:r w:rsidRPr="001977AE">
              <w:t>031</w:t>
            </w:r>
          </w:p>
        </w:tc>
        <w:tc>
          <w:tcPr>
            <w:tcW w:w="1793" w:type="dxa"/>
            <w:noWrap/>
            <w:vAlign w:val="center"/>
          </w:tcPr>
          <w:p w14:paraId="69A8474E" w14:textId="77777777" w:rsidR="001C19A4" w:rsidRPr="00553703"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977AE">
              <w:t>3</w:t>
            </w:r>
            <w:r>
              <w:t>,</w:t>
            </w:r>
            <w:r w:rsidRPr="001977AE">
              <w:t>746</w:t>
            </w:r>
          </w:p>
        </w:tc>
        <w:tc>
          <w:tcPr>
            <w:tcW w:w="1794" w:type="dxa"/>
            <w:vAlign w:val="center"/>
          </w:tcPr>
          <w:p w14:paraId="77C461FC"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1977AE">
              <w:t>24</w:t>
            </w:r>
            <w:r>
              <w:t>,</w:t>
            </w:r>
            <w:r w:rsidRPr="001977AE">
              <w:t>285</w:t>
            </w:r>
          </w:p>
        </w:tc>
      </w:tr>
      <w:tr w:rsidR="001C19A4" w:rsidRPr="004C559A" w14:paraId="3D121B6C" w14:textId="77777777" w:rsidTr="00CA50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533" w:type="dxa"/>
            <w:tcBorders>
              <w:top w:val="none" w:sz="0" w:space="0" w:color="auto"/>
              <w:bottom w:val="none" w:sz="0" w:space="0" w:color="auto"/>
              <w:right w:val="none" w:sz="0" w:space="0" w:color="auto"/>
            </w:tcBorders>
            <w:noWrap/>
            <w:vAlign w:val="center"/>
          </w:tcPr>
          <w:p w14:paraId="68796195" w14:textId="77777777" w:rsidR="001C19A4" w:rsidRPr="00CA5036" w:rsidRDefault="001C19A4" w:rsidP="00CA5036">
            <w:pPr>
              <w:spacing w:before="120" w:after="120"/>
              <w:rPr>
                <w:color w:val="000000"/>
              </w:rPr>
            </w:pPr>
            <w:r w:rsidRPr="00CA5036">
              <w:t>Annual Growth Rate</w:t>
            </w:r>
          </w:p>
        </w:tc>
        <w:tc>
          <w:tcPr>
            <w:tcW w:w="1900" w:type="dxa"/>
            <w:tcBorders>
              <w:top w:val="none" w:sz="0" w:space="0" w:color="auto"/>
              <w:bottom w:val="none" w:sz="0" w:space="0" w:color="auto"/>
            </w:tcBorders>
            <w:noWrap/>
            <w:vAlign w:val="center"/>
          </w:tcPr>
          <w:p w14:paraId="13A18007" w14:textId="77777777" w:rsidR="001C19A4" w:rsidRPr="00CC7F5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493348">
              <w:rPr>
                <w:b/>
              </w:rPr>
              <w:t>-</w:t>
            </w:r>
            <w:r>
              <w:rPr>
                <w:b/>
              </w:rPr>
              <w:t xml:space="preserve"> </w:t>
            </w:r>
            <w:r w:rsidRPr="00493348">
              <w:rPr>
                <w:b/>
              </w:rPr>
              <w:t>1.96%</w:t>
            </w:r>
          </w:p>
        </w:tc>
        <w:tc>
          <w:tcPr>
            <w:tcW w:w="1793" w:type="dxa"/>
            <w:tcBorders>
              <w:top w:val="none" w:sz="0" w:space="0" w:color="auto"/>
              <w:bottom w:val="none" w:sz="0" w:space="0" w:color="auto"/>
            </w:tcBorders>
            <w:noWrap/>
            <w:vAlign w:val="center"/>
          </w:tcPr>
          <w:p w14:paraId="35B9396D" w14:textId="77777777" w:rsidR="001C19A4" w:rsidRPr="00CC7F5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493348">
              <w:rPr>
                <w:b/>
              </w:rPr>
              <w:t>-</w:t>
            </w:r>
            <w:r>
              <w:rPr>
                <w:b/>
              </w:rPr>
              <w:t xml:space="preserve"> </w:t>
            </w:r>
            <w:r w:rsidRPr="00493348">
              <w:rPr>
                <w:b/>
              </w:rPr>
              <w:t>2.62%</w:t>
            </w:r>
          </w:p>
        </w:tc>
        <w:tc>
          <w:tcPr>
            <w:tcW w:w="1794" w:type="dxa"/>
            <w:tcBorders>
              <w:top w:val="none" w:sz="0" w:space="0" w:color="auto"/>
              <w:bottom w:val="none" w:sz="0" w:space="0" w:color="auto"/>
            </w:tcBorders>
            <w:vAlign w:val="center"/>
          </w:tcPr>
          <w:p w14:paraId="1DDCDCDF" w14:textId="77777777" w:rsidR="001C19A4" w:rsidRPr="00CC7F5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b/>
              </w:rPr>
            </w:pPr>
            <w:r w:rsidRPr="00493348">
              <w:rPr>
                <w:b/>
              </w:rPr>
              <w:t>-</w:t>
            </w:r>
            <w:r>
              <w:rPr>
                <w:b/>
              </w:rPr>
              <w:t xml:space="preserve"> </w:t>
            </w:r>
            <w:r w:rsidRPr="00493348">
              <w:rPr>
                <w:b/>
              </w:rPr>
              <w:t>1.86%</w:t>
            </w:r>
          </w:p>
        </w:tc>
      </w:tr>
    </w:tbl>
    <w:p w14:paraId="7AB2D1DA" w14:textId="77777777" w:rsidR="001C19A4" w:rsidRPr="006A02A9" w:rsidRDefault="001C19A4" w:rsidP="005F27A6">
      <w:pPr>
        <w:pStyle w:val="TableSource"/>
        <w:rPr>
          <w:rStyle w:val="Strong"/>
          <w:b w:val="0"/>
          <w:bCs w:val="0"/>
        </w:rPr>
      </w:pPr>
      <w:r w:rsidRPr="006A02A9">
        <w:rPr>
          <w:rStyle w:val="Strong"/>
        </w:rPr>
        <w:t>Source data: CALPADS, 2016–17 and 2020–21</w:t>
      </w:r>
    </w:p>
    <w:p w14:paraId="0A1EE5F2" w14:textId="77777777" w:rsidR="001C19A4" w:rsidRPr="004271C8" w:rsidRDefault="001C19A4" w:rsidP="001F0B7E">
      <w:pPr>
        <w:pStyle w:val="Heading4"/>
      </w:pPr>
      <w:r w:rsidRPr="004271C8">
        <w:t xml:space="preserve">Table </w:t>
      </w:r>
      <w:r>
        <w:t>5h</w:t>
      </w:r>
      <w:r w:rsidRPr="004271C8">
        <w:t>. Five-Year Projection of Total Students in Each Area of the District</w:t>
      </w:r>
      <w:r w:rsidRPr="00F43409">
        <w:rPr>
          <w:vertAlign w:val="superscript"/>
        </w:rPr>
        <w:footnoteReference w:id="7"/>
      </w:r>
    </w:p>
    <w:tbl>
      <w:tblPr>
        <w:tblStyle w:val="ListTable3-Accent5"/>
        <w:tblW w:w="90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projected total enrollment for the years 2021-22 through 2025-26 in the existing Mt. Diablo USD, the proposed Northgate USD, and the remaining portion of Mt. Diablo USD based on the annual growth rate shown in the previous table. "/>
      </w:tblPr>
      <w:tblGrid>
        <w:gridCol w:w="1620"/>
        <w:gridCol w:w="2467"/>
        <w:gridCol w:w="2467"/>
        <w:gridCol w:w="2467"/>
      </w:tblGrid>
      <w:tr w:rsidR="001C19A4" w:rsidRPr="00CA5036" w14:paraId="31B65663" w14:textId="77777777" w:rsidTr="00CA5036">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1620" w:type="dxa"/>
            <w:tcBorders>
              <w:bottom w:val="none" w:sz="0" w:space="0" w:color="auto"/>
              <w:right w:val="none" w:sz="0" w:space="0" w:color="auto"/>
            </w:tcBorders>
            <w:shd w:val="clear" w:color="auto" w:fill="B4C6E7" w:themeFill="accent1" w:themeFillTint="66"/>
            <w:noWrap/>
            <w:vAlign w:val="center"/>
            <w:hideMark/>
          </w:tcPr>
          <w:bookmarkEnd w:id="33"/>
          <w:p w14:paraId="5E682B03" w14:textId="77777777" w:rsidR="001C19A4" w:rsidRPr="00CA5036" w:rsidRDefault="001C19A4" w:rsidP="00CA5036">
            <w:pPr>
              <w:spacing w:before="120" w:after="120"/>
              <w:jc w:val="center"/>
              <w:rPr>
                <w:bCs w:val="0"/>
                <w:color w:val="000000"/>
              </w:rPr>
            </w:pPr>
            <w:r w:rsidRPr="00CA5036">
              <w:rPr>
                <w:bCs w:val="0"/>
                <w:color w:val="000000"/>
              </w:rPr>
              <w:t>Fiscal Year</w:t>
            </w:r>
          </w:p>
        </w:tc>
        <w:tc>
          <w:tcPr>
            <w:tcW w:w="2467" w:type="dxa"/>
            <w:shd w:val="clear" w:color="auto" w:fill="B4C6E7" w:themeFill="accent1" w:themeFillTint="66"/>
            <w:vAlign w:val="center"/>
            <w:hideMark/>
          </w:tcPr>
          <w:p w14:paraId="5D46F179" w14:textId="77777777" w:rsidR="001C19A4" w:rsidRPr="00CA5036" w:rsidRDefault="001C19A4" w:rsidP="00CA5036">
            <w:pPr>
              <w:spacing w:before="120" w:after="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xml:space="preserve">Existing </w:t>
            </w:r>
          </w:p>
          <w:p w14:paraId="05AA9191" w14:textId="77777777" w:rsidR="001C19A4" w:rsidRPr="00CA5036" w:rsidRDefault="001C19A4" w:rsidP="00CA5036">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Mt. Diablo USD</w:t>
            </w:r>
          </w:p>
          <w:p w14:paraId="7B9F1CA6" w14:textId="77777777" w:rsidR="001C19A4" w:rsidRPr="00CA5036" w:rsidRDefault="001C19A4" w:rsidP="00CA5036">
            <w:pPr>
              <w:spacing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(- 1.96%)</w:t>
            </w:r>
          </w:p>
        </w:tc>
        <w:tc>
          <w:tcPr>
            <w:tcW w:w="2467" w:type="dxa"/>
            <w:shd w:val="clear" w:color="auto" w:fill="B4C6E7" w:themeFill="accent1" w:themeFillTint="66"/>
            <w:vAlign w:val="center"/>
            <w:hideMark/>
          </w:tcPr>
          <w:p w14:paraId="221AF641" w14:textId="77777777" w:rsidR="001C19A4" w:rsidRPr="00CA5036" w:rsidRDefault="001C19A4" w:rsidP="00CA5036">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Proposed Northgate USD</w:t>
            </w:r>
          </w:p>
          <w:p w14:paraId="7F65EF74" w14:textId="77777777" w:rsidR="001C19A4" w:rsidRPr="00CA5036" w:rsidRDefault="001C19A4" w:rsidP="00CA5036">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(- 2.62%)</w:t>
            </w:r>
          </w:p>
        </w:tc>
        <w:tc>
          <w:tcPr>
            <w:tcW w:w="2467" w:type="dxa"/>
            <w:shd w:val="clear" w:color="auto" w:fill="B4C6E7" w:themeFill="accent1" w:themeFillTint="66"/>
            <w:vAlign w:val="center"/>
            <w:hideMark/>
          </w:tcPr>
          <w:p w14:paraId="04A03F2A" w14:textId="77777777" w:rsidR="001C19A4" w:rsidRPr="00CA5036" w:rsidRDefault="001C19A4" w:rsidP="00CA5036">
            <w:pPr>
              <w:spacing w:before="120" w:after="120"/>
              <w:ind w:left="12"/>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Remaining Portion of Mt. Diablo USD</w:t>
            </w:r>
          </w:p>
          <w:p w14:paraId="12A3D1DA" w14:textId="77777777" w:rsidR="001C19A4" w:rsidRPr="00CA5036" w:rsidRDefault="001C19A4" w:rsidP="00CA5036">
            <w:pPr>
              <w:spacing w:before="120" w:after="120"/>
              <w:ind w:left="12"/>
              <w:contextualSpacing/>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(- 1.86%)</w:t>
            </w:r>
          </w:p>
        </w:tc>
      </w:tr>
      <w:tr w:rsidR="001C19A4" w:rsidRPr="00553703" w14:paraId="4EB9B2DC"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hideMark/>
          </w:tcPr>
          <w:p w14:paraId="3B1CE4AA" w14:textId="77777777" w:rsidR="001C19A4" w:rsidRPr="00CA5036" w:rsidRDefault="001C19A4" w:rsidP="00CA5036">
            <w:pPr>
              <w:spacing w:before="120" w:after="120"/>
              <w:rPr>
                <w:color w:val="000000"/>
              </w:rPr>
            </w:pPr>
            <w:r w:rsidRPr="00CA5036">
              <w:rPr>
                <w:rStyle w:val="Strong"/>
              </w:rPr>
              <w:t>2020–21</w:t>
            </w:r>
          </w:p>
        </w:tc>
        <w:tc>
          <w:tcPr>
            <w:tcW w:w="2467" w:type="dxa"/>
            <w:tcBorders>
              <w:top w:val="none" w:sz="0" w:space="0" w:color="auto"/>
              <w:bottom w:val="none" w:sz="0" w:space="0" w:color="auto"/>
            </w:tcBorders>
            <w:noWrap/>
            <w:vAlign w:val="center"/>
            <w:hideMark/>
          </w:tcPr>
          <w:p w14:paraId="5E7D1949"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E6CAD">
              <w:t xml:space="preserve"> 28,031 </w:t>
            </w:r>
          </w:p>
        </w:tc>
        <w:tc>
          <w:tcPr>
            <w:tcW w:w="2467" w:type="dxa"/>
            <w:tcBorders>
              <w:top w:val="none" w:sz="0" w:space="0" w:color="auto"/>
              <w:bottom w:val="none" w:sz="0" w:space="0" w:color="auto"/>
            </w:tcBorders>
            <w:noWrap/>
            <w:vAlign w:val="center"/>
            <w:hideMark/>
          </w:tcPr>
          <w:p w14:paraId="003FE2F6"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962CD">
              <w:t xml:space="preserve"> 3,746 </w:t>
            </w:r>
          </w:p>
        </w:tc>
        <w:tc>
          <w:tcPr>
            <w:tcW w:w="2467" w:type="dxa"/>
            <w:tcBorders>
              <w:top w:val="none" w:sz="0" w:space="0" w:color="auto"/>
              <w:bottom w:val="none" w:sz="0" w:space="0" w:color="auto"/>
            </w:tcBorders>
            <w:noWrap/>
            <w:vAlign w:val="center"/>
            <w:hideMark/>
          </w:tcPr>
          <w:p w14:paraId="2DF297E3"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941F6">
              <w:t xml:space="preserve"> 24,285 </w:t>
            </w:r>
          </w:p>
        </w:tc>
      </w:tr>
      <w:tr w:rsidR="001C19A4" w:rsidRPr="00553703" w14:paraId="0AACE2BA"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450F9084" w14:textId="77777777" w:rsidR="001C19A4" w:rsidRPr="00CA5036" w:rsidRDefault="001C19A4" w:rsidP="00CA5036">
            <w:pPr>
              <w:spacing w:before="120" w:after="120"/>
              <w:rPr>
                <w:rStyle w:val="Strong"/>
                <w:bCs/>
                <w:i/>
              </w:rPr>
            </w:pPr>
            <w:r w:rsidRPr="00CA5036">
              <w:rPr>
                <w:rStyle w:val="Strong"/>
                <w:i/>
              </w:rPr>
              <w:t>2021–22</w:t>
            </w:r>
          </w:p>
        </w:tc>
        <w:tc>
          <w:tcPr>
            <w:tcW w:w="2467" w:type="dxa"/>
            <w:noWrap/>
            <w:vAlign w:val="center"/>
          </w:tcPr>
          <w:p w14:paraId="0127F5B1"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E6CAD">
              <w:t xml:space="preserve"> 27,482 </w:t>
            </w:r>
          </w:p>
        </w:tc>
        <w:tc>
          <w:tcPr>
            <w:tcW w:w="2467" w:type="dxa"/>
            <w:noWrap/>
            <w:vAlign w:val="center"/>
          </w:tcPr>
          <w:p w14:paraId="750943B1"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962CD">
              <w:t xml:space="preserve"> 3,648 </w:t>
            </w:r>
          </w:p>
        </w:tc>
        <w:tc>
          <w:tcPr>
            <w:tcW w:w="2467" w:type="dxa"/>
            <w:noWrap/>
            <w:vAlign w:val="center"/>
          </w:tcPr>
          <w:p w14:paraId="7F76C693"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9941F6">
              <w:t xml:space="preserve"> 23,834 </w:t>
            </w:r>
          </w:p>
        </w:tc>
      </w:tr>
      <w:tr w:rsidR="001C19A4" w:rsidRPr="00553703" w14:paraId="502A2472"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tcPr>
          <w:p w14:paraId="2582ADA6" w14:textId="77777777" w:rsidR="001C19A4" w:rsidRPr="00CA5036" w:rsidRDefault="001C19A4" w:rsidP="00CA5036">
            <w:pPr>
              <w:spacing w:before="120" w:after="120"/>
              <w:rPr>
                <w:rStyle w:val="Strong"/>
                <w:bCs/>
                <w:i/>
              </w:rPr>
            </w:pPr>
            <w:r w:rsidRPr="00CA5036">
              <w:rPr>
                <w:rStyle w:val="Strong"/>
                <w:i/>
              </w:rPr>
              <w:t>2022–23</w:t>
            </w:r>
          </w:p>
        </w:tc>
        <w:tc>
          <w:tcPr>
            <w:tcW w:w="2467" w:type="dxa"/>
            <w:tcBorders>
              <w:top w:val="none" w:sz="0" w:space="0" w:color="auto"/>
              <w:bottom w:val="none" w:sz="0" w:space="0" w:color="auto"/>
            </w:tcBorders>
            <w:noWrap/>
            <w:vAlign w:val="center"/>
          </w:tcPr>
          <w:p w14:paraId="214C7600"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E6CAD">
              <w:t xml:space="preserve"> 26,943 </w:t>
            </w:r>
          </w:p>
        </w:tc>
        <w:tc>
          <w:tcPr>
            <w:tcW w:w="2467" w:type="dxa"/>
            <w:tcBorders>
              <w:top w:val="none" w:sz="0" w:space="0" w:color="auto"/>
              <w:bottom w:val="none" w:sz="0" w:space="0" w:color="auto"/>
            </w:tcBorders>
            <w:noWrap/>
            <w:vAlign w:val="center"/>
          </w:tcPr>
          <w:p w14:paraId="0D57966D"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962CD">
              <w:t xml:space="preserve"> 3,552 </w:t>
            </w:r>
          </w:p>
        </w:tc>
        <w:tc>
          <w:tcPr>
            <w:tcW w:w="2467" w:type="dxa"/>
            <w:tcBorders>
              <w:top w:val="none" w:sz="0" w:space="0" w:color="auto"/>
              <w:bottom w:val="none" w:sz="0" w:space="0" w:color="auto"/>
            </w:tcBorders>
            <w:noWrap/>
            <w:vAlign w:val="center"/>
          </w:tcPr>
          <w:p w14:paraId="74327E74"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941F6">
              <w:t xml:space="preserve"> 23,392 </w:t>
            </w:r>
          </w:p>
        </w:tc>
      </w:tr>
      <w:tr w:rsidR="001C19A4" w:rsidRPr="00553703" w14:paraId="7C3C02A3"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7BC51070" w14:textId="77777777" w:rsidR="001C19A4" w:rsidRPr="00CA5036" w:rsidRDefault="001C19A4" w:rsidP="00CA5036">
            <w:pPr>
              <w:spacing w:before="120" w:after="120"/>
              <w:rPr>
                <w:rStyle w:val="Strong"/>
                <w:bCs/>
                <w:i/>
              </w:rPr>
            </w:pPr>
            <w:r w:rsidRPr="00CA5036">
              <w:rPr>
                <w:rStyle w:val="Strong"/>
                <w:i/>
              </w:rPr>
              <w:t>2023–24</w:t>
            </w:r>
          </w:p>
        </w:tc>
        <w:tc>
          <w:tcPr>
            <w:tcW w:w="2467" w:type="dxa"/>
            <w:noWrap/>
            <w:vAlign w:val="center"/>
          </w:tcPr>
          <w:p w14:paraId="52148F86"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E6CAD">
              <w:t xml:space="preserve"> 26,415 </w:t>
            </w:r>
          </w:p>
        </w:tc>
        <w:tc>
          <w:tcPr>
            <w:tcW w:w="2467" w:type="dxa"/>
            <w:noWrap/>
            <w:vAlign w:val="center"/>
          </w:tcPr>
          <w:p w14:paraId="79D2E4D0"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962CD">
              <w:t xml:space="preserve"> 3,459 </w:t>
            </w:r>
          </w:p>
        </w:tc>
        <w:tc>
          <w:tcPr>
            <w:tcW w:w="2467" w:type="dxa"/>
            <w:noWrap/>
            <w:vAlign w:val="center"/>
          </w:tcPr>
          <w:p w14:paraId="2AA0F74D"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9941F6">
              <w:t xml:space="preserve"> 22,958 </w:t>
            </w:r>
          </w:p>
        </w:tc>
      </w:tr>
      <w:tr w:rsidR="001C19A4" w:rsidRPr="00553703" w14:paraId="796B9726"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hideMark/>
          </w:tcPr>
          <w:p w14:paraId="253E13DD" w14:textId="77777777" w:rsidR="001C19A4" w:rsidRPr="00CA5036" w:rsidRDefault="001C19A4" w:rsidP="00CA5036">
            <w:pPr>
              <w:spacing w:before="120" w:after="120"/>
              <w:rPr>
                <w:i/>
                <w:color w:val="000000"/>
              </w:rPr>
            </w:pPr>
            <w:r w:rsidRPr="00CA5036">
              <w:rPr>
                <w:rStyle w:val="Strong"/>
                <w:i/>
              </w:rPr>
              <w:t>2024–25</w:t>
            </w:r>
          </w:p>
        </w:tc>
        <w:tc>
          <w:tcPr>
            <w:tcW w:w="2467" w:type="dxa"/>
            <w:tcBorders>
              <w:top w:val="none" w:sz="0" w:space="0" w:color="auto"/>
              <w:bottom w:val="none" w:sz="0" w:space="0" w:color="auto"/>
            </w:tcBorders>
            <w:noWrap/>
            <w:vAlign w:val="center"/>
            <w:hideMark/>
          </w:tcPr>
          <w:p w14:paraId="598CC772"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E6CAD">
              <w:t xml:space="preserve"> 25,897 </w:t>
            </w:r>
          </w:p>
        </w:tc>
        <w:tc>
          <w:tcPr>
            <w:tcW w:w="2467" w:type="dxa"/>
            <w:tcBorders>
              <w:top w:val="none" w:sz="0" w:space="0" w:color="auto"/>
              <w:bottom w:val="none" w:sz="0" w:space="0" w:color="auto"/>
            </w:tcBorders>
            <w:noWrap/>
            <w:vAlign w:val="center"/>
            <w:hideMark/>
          </w:tcPr>
          <w:p w14:paraId="08CC492B"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962CD">
              <w:t xml:space="preserve"> 3,368 </w:t>
            </w:r>
          </w:p>
        </w:tc>
        <w:tc>
          <w:tcPr>
            <w:tcW w:w="2467" w:type="dxa"/>
            <w:tcBorders>
              <w:top w:val="none" w:sz="0" w:space="0" w:color="auto"/>
              <w:bottom w:val="none" w:sz="0" w:space="0" w:color="auto"/>
            </w:tcBorders>
            <w:noWrap/>
            <w:vAlign w:val="center"/>
            <w:hideMark/>
          </w:tcPr>
          <w:p w14:paraId="201FA78D"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9941F6">
              <w:t xml:space="preserve"> 22,531 </w:t>
            </w:r>
          </w:p>
        </w:tc>
      </w:tr>
      <w:tr w:rsidR="001C19A4" w:rsidRPr="00553703" w14:paraId="7EA6BFA2"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2F927F39" w14:textId="77777777" w:rsidR="001C19A4" w:rsidRPr="00CA5036" w:rsidRDefault="001C19A4" w:rsidP="00CA5036">
            <w:pPr>
              <w:spacing w:before="120" w:after="120"/>
              <w:rPr>
                <w:rStyle w:val="Strong"/>
                <w:bCs/>
                <w:i/>
              </w:rPr>
            </w:pPr>
            <w:r w:rsidRPr="00CA5036">
              <w:rPr>
                <w:rStyle w:val="Strong"/>
                <w:i/>
              </w:rPr>
              <w:t>2025–26</w:t>
            </w:r>
          </w:p>
        </w:tc>
        <w:tc>
          <w:tcPr>
            <w:tcW w:w="2467" w:type="dxa"/>
            <w:noWrap/>
            <w:vAlign w:val="center"/>
          </w:tcPr>
          <w:p w14:paraId="22276F45" w14:textId="77777777" w:rsidR="001C19A4" w:rsidRPr="00976286"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pPr>
            <w:r w:rsidRPr="007E6CAD">
              <w:t xml:space="preserve"> 25,389 </w:t>
            </w:r>
          </w:p>
        </w:tc>
        <w:tc>
          <w:tcPr>
            <w:tcW w:w="2467" w:type="dxa"/>
            <w:noWrap/>
            <w:vAlign w:val="center"/>
          </w:tcPr>
          <w:p w14:paraId="5DE4816E" w14:textId="77777777" w:rsidR="001C19A4" w:rsidRPr="00976286"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pPr>
            <w:r w:rsidRPr="00E962CD">
              <w:t xml:space="preserve"> 3,280 </w:t>
            </w:r>
          </w:p>
        </w:tc>
        <w:tc>
          <w:tcPr>
            <w:tcW w:w="2467" w:type="dxa"/>
            <w:noWrap/>
            <w:vAlign w:val="center"/>
          </w:tcPr>
          <w:p w14:paraId="22465139" w14:textId="77777777" w:rsidR="001C19A4" w:rsidRPr="00976286"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pPr>
            <w:r w:rsidRPr="009941F6">
              <w:t xml:space="preserve"> 22,113 </w:t>
            </w:r>
          </w:p>
        </w:tc>
      </w:tr>
    </w:tbl>
    <w:p w14:paraId="5E12B870" w14:textId="546EA7C5" w:rsidR="001C19A4" w:rsidRPr="00C70024" w:rsidRDefault="001C19A4" w:rsidP="005F27A6">
      <w:pPr>
        <w:spacing w:before="240"/>
        <w:ind w:left="360"/>
        <w:rPr>
          <w:b/>
        </w:rPr>
      </w:pPr>
      <w:r w:rsidRPr="00C70024">
        <w:rPr>
          <w:rStyle w:val="Strong"/>
          <w:b w:val="0"/>
        </w:rPr>
        <w:t xml:space="preserve">As shown in </w:t>
      </w:r>
      <w:r w:rsidR="002F7493">
        <w:rPr>
          <w:rStyle w:val="Strong"/>
          <w:b w:val="0"/>
        </w:rPr>
        <w:t>T</w:t>
      </w:r>
      <w:r w:rsidRPr="00C70024">
        <w:rPr>
          <w:rStyle w:val="Strong"/>
          <w:b w:val="0"/>
        </w:rPr>
        <w:t xml:space="preserve">ables 5g and 5h above, total enrollments in all three areas of the district have been declining and are expected to do so into the future. In </w:t>
      </w:r>
      <w:r w:rsidR="002F7493">
        <w:rPr>
          <w:rStyle w:val="Strong"/>
          <w:b w:val="0"/>
        </w:rPr>
        <w:t>T</w:t>
      </w:r>
      <w:r w:rsidRPr="00C70024">
        <w:rPr>
          <w:rStyle w:val="Strong"/>
          <w:b w:val="0"/>
        </w:rPr>
        <w:t xml:space="preserve">able 5i below, the percentage of minority enrollment projected for the next five-year period is calculated using the projected minority enrollment from table 5f and the projected total enrollment from </w:t>
      </w:r>
      <w:r w:rsidR="002F7493">
        <w:rPr>
          <w:rStyle w:val="Strong"/>
          <w:b w:val="0"/>
        </w:rPr>
        <w:t>T</w:t>
      </w:r>
      <w:r w:rsidRPr="00C70024">
        <w:rPr>
          <w:rStyle w:val="Strong"/>
          <w:b w:val="0"/>
        </w:rPr>
        <w:t xml:space="preserve">able 5h. </w:t>
      </w:r>
    </w:p>
    <w:p w14:paraId="0F3A9401" w14:textId="77777777" w:rsidR="001C19A4" w:rsidRPr="00471D1E" w:rsidRDefault="001C19A4" w:rsidP="001F0B7E">
      <w:pPr>
        <w:pStyle w:val="Heading4"/>
      </w:pPr>
      <w:bookmarkStart w:id="34" w:name="Table4e"/>
      <w:r w:rsidRPr="00471D1E">
        <w:lastRenderedPageBreak/>
        <w:t xml:space="preserve">Table </w:t>
      </w:r>
      <w:r>
        <w:t>5i</w:t>
      </w:r>
      <w:r w:rsidRPr="00471D1E">
        <w:t xml:space="preserve">. </w:t>
      </w:r>
      <w:r>
        <w:t>Five-Year Projection of</w:t>
      </w:r>
      <w:r w:rsidRPr="00471D1E">
        <w:t xml:space="preserve"> Percentage Minority Students </w:t>
      </w:r>
      <w:r>
        <w:t>in</w:t>
      </w:r>
      <w:r w:rsidRPr="00471D1E">
        <w:t xml:space="preserve"> Each Area of the District</w:t>
      </w:r>
    </w:p>
    <w:tbl>
      <w:tblPr>
        <w:tblStyle w:val="ListTable3-Accent5"/>
        <w:tblW w:w="90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picts the percentage of minority enrollment for the years 2021-22 through 2025-26 in the existing Mt. Diablo USD, the proposed Northgate USD, and the remaining portion of Mt. Diablo USD based on the projected minority and total enrollment calculated in the previous tables. "/>
      </w:tblPr>
      <w:tblGrid>
        <w:gridCol w:w="1620"/>
        <w:gridCol w:w="2467"/>
        <w:gridCol w:w="2467"/>
        <w:gridCol w:w="2467"/>
      </w:tblGrid>
      <w:tr w:rsidR="001C19A4" w:rsidRPr="00CA5036" w14:paraId="5FC8E3F1" w14:textId="77777777" w:rsidTr="00CA5036">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1620" w:type="dxa"/>
            <w:tcBorders>
              <w:bottom w:val="none" w:sz="0" w:space="0" w:color="auto"/>
              <w:right w:val="none" w:sz="0" w:space="0" w:color="auto"/>
            </w:tcBorders>
            <w:shd w:val="clear" w:color="auto" w:fill="B4C6E7" w:themeFill="accent1" w:themeFillTint="66"/>
            <w:noWrap/>
            <w:vAlign w:val="center"/>
            <w:hideMark/>
          </w:tcPr>
          <w:bookmarkEnd w:id="34"/>
          <w:p w14:paraId="554CB2BE" w14:textId="77777777" w:rsidR="001C19A4" w:rsidRPr="00CA5036" w:rsidRDefault="001C19A4" w:rsidP="00CA5036">
            <w:pPr>
              <w:spacing w:before="120" w:after="120"/>
              <w:jc w:val="center"/>
              <w:rPr>
                <w:bCs w:val="0"/>
                <w:color w:val="000000"/>
              </w:rPr>
            </w:pPr>
            <w:r w:rsidRPr="00CA5036">
              <w:rPr>
                <w:bCs w:val="0"/>
                <w:color w:val="000000"/>
              </w:rPr>
              <w:t>Fiscal Year</w:t>
            </w:r>
          </w:p>
        </w:tc>
        <w:tc>
          <w:tcPr>
            <w:tcW w:w="2467" w:type="dxa"/>
            <w:shd w:val="clear" w:color="auto" w:fill="B4C6E7" w:themeFill="accent1" w:themeFillTint="66"/>
            <w:vAlign w:val="center"/>
            <w:hideMark/>
          </w:tcPr>
          <w:p w14:paraId="7A720EB1"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 xml:space="preserve">Existing </w:t>
            </w:r>
          </w:p>
          <w:p w14:paraId="04AA9D2E"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Mt. Diablo USD</w:t>
            </w:r>
          </w:p>
        </w:tc>
        <w:tc>
          <w:tcPr>
            <w:tcW w:w="2467" w:type="dxa"/>
            <w:shd w:val="clear" w:color="auto" w:fill="B4C6E7" w:themeFill="accent1" w:themeFillTint="66"/>
            <w:vAlign w:val="center"/>
            <w:hideMark/>
          </w:tcPr>
          <w:p w14:paraId="205CB160" w14:textId="77777777" w:rsidR="001C19A4" w:rsidRPr="00CA5036" w:rsidRDefault="001C19A4" w:rsidP="00CA5036">
            <w:pPr>
              <w:spacing w:before="120" w:after="120"/>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Proposed Northgate USD</w:t>
            </w:r>
          </w:p>
        </w:tc>
        <w:tc>
          <w:tcPr>
            <w:tcW w:w="2467" w:type="dxa"/>
            <w:shd w:val="clear" w:color="auto" w:fill="B4C6E7" w:themeFill="accent1" w:themeFillTint="66"/>
            <w:vAlign w:val="center"/>
            <w:hideMark/>
          </w:tcPr>
          <w:p w14:paraId="1F0D642D" w14:textId="77777777" w:rsidR="001C19A4" w:rsidRPr="00CA5036" w:rsidRDefault="001C19A4" w:rsidP="00CA5036">
            <w:pPr>
              <w:spacing w:before="120" w:after="120"/>
              <w:ind w:left="12"/>
              <w:jc w:val="center"/>
              <w:cnfStyle w:val="100000000000" w:firstRow="1" w:lastRow="0" w:firstColumn="0" w:lastColumn="0" w:oddVBand="0" w:evenVBand="0" w:oddHBand="0" w:evenHBand="0" w:firstRowFirstColumn="0" w:firstRowLastColumn="0" w:lastRowFirstColumn="0" w:lastRowLastColumn="0"/>
              <w:rPr>
                <w:color w:val="000000"/>
              </w:rPr>
            </w:pPr>
            <w:r w:rsidRPr="00CA5036">
              <w:rPr>
                <w:color w:val="000000"/>
              </w:rPr>
              <w:t>Remaining Portion of Mt. Diablo USD</w:t>
            </w:r>
          </w:p>
        </w:tc>
      </w:tr>
      <w:tr w:rsidR="001C19A4" w:rsidRPr="00553703" w14:paraId="34811DBC"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hideMark/>
          </w:tcPr>
          <w:p w14:paraId="38DD8D56" w14:textId="77777777" w:rsidR="001C19A4" w:rsidRPr="00CA5036" w:rsidRDefault="001C19A4" w:rsidP="00CA5036">
            <w:pPr>
              <w:spacing w:before="120" w:after="120"/>
              <w:rPr>
                <w:color w:val="000000"/>
              </w:rPr>
            </w:pPr>
            <w:r w:rsidRPr="00CA5036">
              <w:rPr>
                <w:rStyle w:val="Strong"/>
              </w:rPr>
              <w:t>2020–21</w:t>
            </w:r>
          </w:p>
        </w:tc>
        <w:tc>
          <w:tcPr>
            <w:tcW w:w="2467" w:type="dxa"/>
            <w:tcBorders>
              <w:top w:val="none" w:sz="0" w:space="0" w:color="auto"/>
              <w:bottom w:val="none" w:sz="0" w:space="0" w:color="auto"/>
            </w:tcBorders>
            <w:noWrap/>
            <w:vAlign w:val="center"/>
            <w:hideMark/>
          </w:tcPr>
          <w:p w14:paraId="2683EE97"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F451F">
              <w:t>70.57%</w:t>
            </w:r>
          </w:p>
        </w:tc>
        <w:tc>
          <w:tcPr>
            <w:tcW w:w="2467" w:type="dxa"/>
            <w:tcBorders>
              <w:top w:val="none" w:sz="0" w:space="0" w:color="auto"/>
              <w:bottom w:val="none" w:sz="0" w:space="0" w:color="auto"/>
            </w:tcBorders>
            <w:noWrap/>
            <w:vAlign w:val="center"/>
            <w:hideMark/>
          </w:tcPr>
          <w:p w14:paraId="2E64E23C"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E0F49">
              <w:t>49.47%</w:t>
            </w:r>
          </w:p>
        </w:tc>
        <w:tc>
          <w:tcPr>
            <w:tcW w:w="2467" w:type="dxa"/>
            <w:tcBorders>
              <w:top w:val="none" w:sz="0" w:space="0" w:color="auto"/>
              <w:bottom w:val="none" w:sz="0" w:space="0" w:color="auto"/>
            </w:tcBorders>
            <w:noWrap/>
            <w:vAlign w:val="center"/>
            <w:hideMark/>
          </w:tcPr>
          <w:p w14:paraId="6F47E74B"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3104F">
              <w:t>73.83%</w:t>
            </w:r>
          </w:p>
        </w:tc>
      </w:tr>
      <w:tr w:rsidR="001C19A4" w:rsidRPr="00553703" w14:paraId="12AD7BDA"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585E87F1" w14:textId="77777777" w:rsidR="001C19A4" w:rsidRPr="00CA5036" w:rsidRDefault="001C19A4" w:rsidP="00CA5036">
            <w:pPr>
              <w:spacing w:before="120" w:after="120"/>
              <w:rPr>
                <w:rStyle w:val="Strong"/>
                <w:bCs/>
                <w:i/>
              </w:rPr>
            </w:pPr>
            <w:r w:rsidRPr="00CA5036">
              <w:rPr>
                <w:rStyle w:val="Strong"/>
                <w:i/>
              </w:rPr>
              <w:t>2021–22</w:t>
            </w:r>
          </w:p>
        </w:tc>
        <w:tc>
          <w:tcPr>
            <w:tcW w:w="2467" w:type="dxa"/>
            <w:noWrap/>
            <w:vAlign w:val="center"/>
          </w:tcPr>
          <w:p w14:paraId="3D920FCD"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F451F">
              <w:t>71.58%</w:t>
            </w:r>
          </w:p>
        </w:tc>
        <w:tc>
          <w:tcPr>
            <w:tcW w:w="2467" w:type="dxa"/>
            <w:noWrap/>
            <w:vAlign w:val="center"/>
          </w:tcPr>
          <w:p w14:paraId="277510DA"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4E0F49">
              <w:t>51.04%</w:t>
            </w:r>
          </w:p>
        </w:tc>
        <w:tc>
          <w:tcPr>
            <w:tcW w:w="2467" w:type="dxa"/>
            <w:noWrap/>
            <w:vAlign w:val="center"/>
          </w:tcPr>
          <w:p w14:paraId="51144BD1"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3104F">
              <w:t>74.72%</w:t>
            </w:r>
          </w:p>
        </w:tc>
      </w:tr>
      <w:tr w:rsidR="001C19A4" w:rsidRPr="00553703" w14:paraId="529B5320"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tcPr>
          <w:p w14:paraId="24751564" w14:textId="77777777" w:rsidR="001C19A4" w:rsidRPr="00CA5036" w:rsidRDefault="001C19A4" w:rsidP="00CA5036">
            <w:pPr>
              <w:spacing w:before="120" w:after="120"/>
              <w:rPr>
                <w:rStyle w:val="Strong"/>
                <w:bCs/>
                <w:i/>
              </w:rPr>
            </w:pPr>
            <w:r w:rsidRPr="00CA5036">
              <w:rPr>
                <w:rStyle w:val="Strong"/>
                <w:i/>
              </w:rPr>
              <w:t>2022–23</w:t>
            </w:r>
          </w:p>
        </w:tc>
        <w:tc>
          <w:tcPr>
            <w:tcW w:w="2467" w:type="dxa"/>
            <w:tcBorders>
              <w:top w:val="none" w:sz="0" w:space="0" w:color="auto"/>
              <w:bottom w:val="none" w:sz="0" w:space="0" w:color="auto"/>
            </w:tcBorders>
            <w:noWrap/>
            <w:vAlign w:val="center"/>
          </w:tcPr>
          <w:p w14:paraId="3AC263D6"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F451F">
              <w:t>72.61%</w:t>
            </w:r>
          </w:p>
        </w:tc>
        <w:tc>
          <w:tcPr>
            <w:tcW w:w="2467" w:type="dxa"/>
            <w:tcBorders>
              <w:top w:val="none" w:sz="0" w:space="0" w:color="auto"/>
              <w:bottom w:val="none" w:sz="0" w:space="0" w:color="auto"/>
            </w:tcBorders>
            <w:noWrap/>
            <w:vAlign w:val="center"/>
          </w:tcPr>
          <w:p w14:paraId="4E7CDFA9"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E0F49">
              <w:t>52.67%</w:t>
            </w:r>
          </w:p>
        </w:tc>
        <w:tc>
          <w:tcPr>
            <w:tcW w:w="2467" w:type="dxa"/>
            <w:tcBorders>
              <w:top w:val="none" w:sz="0" w:space="0" w:color="auto"/>
              <w:bottom w:val="none" w:sz="0" w:space="0" w:color="auto"/>
            </w:tcBorders>
            <w:noWrap/>
            <w:vAlign w:val="center"/>
          </w:tcPr>
          <w:p w14:paraId="279D24D9" w14:textId="77777777" w:rsidR="001C19A4"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3104F">
              <w:t>75.63%</w:t>
            </w:r>
          </w:p>
        </w:tc>
      </w:tr>
      <w:tr w:rsidR="001C19A4" w:rsidRPr="00553703" w14:paraId="0C3766A2"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2BD0D89B" w14:textId="77777777" w:rsidR="001C19A4" w:rsidRPr="00CA5036" w:rsidRDefault="001C19A4" w:rsidP="00CA5036">
            <w:pPr>
              <w:spacing w:before="120" w:after="120"/>
              <w:rPr>
                <w:rStyle w:val="Strong"/>
                <w:bCs/>
                <w:i/>
              </w:rPr>
            </w:pPr>
            <w:r w:rsidRPr="00CA5036">
              <w:rPr>
                <w:rStyle w:val="Strong"/>
                <w:i/>
              </w:rPr>
              <w:t>2023–24</w:t>
            </w:r>
          </w:p>
        </w:tc>
        <w:tc>
          <w:tcPr>
            <w:tcW w:w="2467" w:type="dxa"/>
            <w:noWrap/>
            <w:vAlign w:val="center"/>
          </w:tcPr>
          <w:p w14:paraId="06126DF5"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7F451F">
              <w:t>73.65%</w:t>
            </w:r>
          </w:p>
        </w:tc>
        <w:tc>
          <w:tcPr>
            <w:tcW w:w="2467" w:type="dxa"/>
            <w:noWrap/>
            <w:vAlign w:val="center"/>
          </w:tcPr>
          <w:p w14:paraId="0C10F399"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4E0F49">
              <w:t>54.35%</w:t>
            </w:r>
          </w:p>
        </w:tc>
        <w:tc>
          <w:tcPr>
            <w:tcW w:w="2467" w:type="dxa"/>
            <w:noWrap/>
            <w:vAlign w:val="center"/>
          </w:tcPr>
          <w:p w14:paraId="015DF2C7" w14:textId="77777777" w:rsidR="001C19A4"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rPr>
                <w:color w:val="000000"/>
              </w:rPr>
            </w:pPr>
            <w:r w:rsidRPr="00E3104F">
              <w:t>76.55%</w:t>
            </w:r>
          </w:p>
        </w:tc>
      </w:tr>
      <w:tr w:rsidR="001C19A4" w:rsidRPr="00553703" w14:paraId="505283DE" w14:textId="77777777" w:rsidTr="00CA503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bottom w:val="none" w:sz="0" w:space="0" w:color="auto"/>
              <w:right w:val="none" w:sz="0" w:space="0" w:color="auto"/>
            </w:tcBorders>
            <w:noWrap/>
            <w:vAlign w:val="center"/>
            <w:hideMark/>
          </w:tcPr>
          <w:p w14:paraId="4468FA04" w14:textId="77777777" w:rsidR="001C19A4" w:rsidRPr="00CA5036" w:rsidRDefault="001C19A4" w:rsidP="00CA5036">
            <w:pPr>
              <w:spacing w:before="120" w:after="120"/>
              <w:rPr>
                <w:i/>
                <w:color w:val="000000"/>
              </w:rPr>
            </w:pPr>
            <w:r w:rsidRPr="00CA5036">
              <w:rPr>
                <w:rStyle w:val="Strong"/>
                <w:i/>
              </w:rPr>
              <w:t>2024–25</w:t>
            </w:r>
          </w:p>
        </w:tc>
        <w:tc>
          <w:tcPr>
            <w:tcW w:w="2467" w:type="dxa"/>
            <w:tcBorders>
              <w:top w:val="none" w:sz="0" w:space="0" w:color="auto"/>
              <w:bottom w:val="none" w:sz="0" w:space="0" w:color="auto"/>
            </w:tcBorders>
            <w:noWrap/>
            <w:vAlign w:val="center"/>
            <w:hideMark/>
          </w:tcPr>
          <w:p w14:paraId="0A4C5465"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7F451F">
              <w:t>74.71%</w:t>
            </w:r>
          </w:p>
        </w:tc>
        <w:tc>
          <w:tcPr>
            <w:tcW w:w="2467" w:type="dxa"/>
            <w:tcBorders>
              <w:top w:val="none" w:sz="0" w:space="0" w:color="auto"/>
              <w:bottom w:val="none" w:sz="0" w:space="0" w:color="auto"/>
            </w:tcBorders>
            <w:noWrap/>
            <w:vAlign w:val="center"/>
            <w:hideMark/>
          </w:tcPr>
          <w:p w14:paraId="2D4E55E6"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4E0F49">
              <w:t>56.11%</w:t>
            </w:r>
          </w:p>
        </w:tc>
        <w:tc>
          <w:tcPr>
            <w:tcW w:w="2467" w:type="dxa"/>
            <w:tcBorders>
              <w:top w:val="none" w:sz="0" w:space="0" w:color="auto"/>
              <w:bottom w:val="none" w:sz="0" w:space="0" w:color="auto"/>
            </w:tcBorders>
            <w:noWrap/>
            <w:vAlign w:val="center"/>
            <w:hideMark/>
          </w:tcPr>
          <w:p w14:paraId="31421CAA" w14:textId="77777777" w:rsidR="001C19A4" w:rsidRPr="00553703" w:rsidRDefault="001C19A4" w:rsidP="00CA5036">
            <w:pPr>
              <w:spacing w:before="120" w:after="120"/>
              <w:jc w:val="right"/>
              <w:cnfStyle w:val="000000100000" w:firstRow="0" w:lastRow="0" w:firstColumn="0" w:lastColumn="0" w:oddVBand="0" w:evenVBand="0" w:oddHBand="1" w:evenHBand="0" w:firstRowFirstColumn="0" w:firstRowLastColumn="0" w:lastRowFirstColumn="0" w:lastRowLastColumn="0"/>
              <w:rPr>
                <w:color w:val="000000"/>
              </w:rPr>
            </w:pPr>
            <w:r w:rsidRPr="00E3104F">
              <w:t>77.49%</w:t>
            </w:r>
          </w:p>
        </w:tc>
      </w:tr>
      <w:tr w:rsidR="001C19A4" w:rsidRPr="00553703" w14:paraId="01335752" w14:textId="77777777" w:rsidTr="00CA5036">
        <w:trPr>
          <w:trHeight w:val="244"/>
        </w:trPr>
        <w:tc>
          <w:tcPr>
            <w:cnfStyle w:val="001000000000" w:firstRow="0" w:lastRow="0" w:firstColumn="1" w:lastColumn="0" w:oddVBand="0" w:evenVBand="0" w:oddHBand="0" w:evenHBand="0" w:firstRowFirstColumn="0" w:firstRowLastColumn="0" w:lastRowFirstColumn="0" w:lastRowLastColumn="0"/>
            <w:tcW w:w="1620" w:type="dxa"/>
            <w:tcBorders>
              <w:right w:val="none" w:sz="0" w:space="0" w:color="auto"/>
            </w:tcBorders>
            <w:noWrap/>
            <w:vAlign w:val="center"/>
          </w:tcPr>
          <w:p w14:paraId="0899BAE3" w14:textId="77777777" w:rsidR="001C19A4" w:rsidRPr="00CA5036" w:rsidRDefault="001C19A4" w:rsidP="00CA5036">
            <w:pPr>
              <w:spacing w:before="120" w:after="120"/>
              <w:rPr>
                <w:rStyle w:val="Strong"/>
                <w:bCs/>
                <w:i/>
              </w:rPr>
            </w:pPr>
            <w:r w:rsidRPr="00CA5036">
              <w:rPr>
                <w:rStyle w:val="Strong"/>
                <w:i/>
              </w:rPr>
              <w:t>2025–26</w:t>
            </w:r>
          </w:p>
        </w:tc>
        <w:tc>
          <w:tcPr>
            <w:tcW w:w="2467" w:type="dxa"/>
            <w:noWrap/>
            <w:vAlign w:val="center"/>
          </w:tcPr>
          <w:p w14:paraId="0CA344C6" w14:textId="77777777" w:rsidR="001C19A4" w:rsidRPr="00F3150C"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pPr>
            <w:r w:rsidRPr="007F451F">
              <w:t>75.78%</w:t>
            </w:r>
          </w:p>
        </w:tc>
        <w:tc>
          <w:tcPr>
            <w:tcW w:w="2467" w:type="dxa"/>
            <w:noWrap/>
            <w:vAlign w:val="center"/>
          </w:tcPr>
          <w:p w14:paraId="6E921D25" w14:textId="77777777" w:rsidR="001C19A4" w:rsidRPr="00F3150C"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pPr>
            <w:r w:rsidRPr="004E0F49">
              <w:t>57.93%</w:t>
            </w:r>
          </w:p>
        </w:tc>
        <w:tc>
          <w:tcPr>
            <w:tcW w:w="2467" w:type="dxa"/>
            <w:noWrap/>
            <w:vAlign w:val="center"/>
          </w:tcPr>
          <w:p w14:paraId="7674FDA3" w14:textId="77777777" w:rsidR="001C19A4" w:rsidRPr="00F3150C" w:rsidRDefault="001C19A4" w:rsidP="00CA5036">
            <w:pPr>
              <w:spacing w:before="120" w:after="120"/>
              <w:jc w:val="right"/>
              <w:cnfStyle w:val="000000000000" w:firstRow="0" w:lastRow="0" w:firstColumn="0" w:lastColumn="0" w:oddVBand="0" w:evenVBand="0" w:oddHBand="0" w:evenHBand="0" w:firstRowFirstColumn="0" w:firstRowLastColumn="0" w:lastRowFirstColumn="0" w:lastRowLastColumn="0"/>
            </w:pPr>
            <w:r w:rsidRPr="00E3104F">
              <w:t>78.43%</w:t>
            </w:r>
          </w:p>
        </w:tc>
      </w:tr>
    </w:tbl>
    <w:p w14:paraId="29A99711" w14:textId="77777777" w:rsidR="001C19A4" w:rsidRPr="00C70024" w:rsidRDefault="001C19A4" w:rsidP="005F27A6">
      <w:pPr>
        <w:spacing w:before="240"/>
        <w:ind w:left="360"/>
        <w:rPr>
          <w:rStyle w:val="Strong"/>
          <w:b w:val="0"/>
        </w:rPr>
      </w:pPr>
      <w:r w:rsidRPr="00C70024">
        <w:rPr>
          <w:rStyle w:val="Strong"/>
          <w:b w:val="0"/>
        </w:rPr>
        <w:t xml:space="preserve">Though the number of minority students is expected to decline in the existing and the remaining portion of Mt. Diablo USD and increase in the proposed Northgate USD, the percentage of minority student enrollment will continue to increase in all three areas due to total enrollment declining. </w:t>
      </w:r>
    </w:p>
    <w:p w14:paraId="6A153C71" w14:textId="77777777" w:rsidR="001C19A4" w:rsidRPr="00DA09B3" w:rsidRDefault="001C19A4" w:rsidP="000A33F9">
      <w:pPr>
        <w:pStyle w:val="Heading3"/>
        <w:numPr>
          <w:ilvl w:val="1"/>
          <w:numId w:val="39"/>
        </w:numPr>
        <w:ind w:left="720" w:hanging="720"/>
        <w:rPr>
          <w:rStyle w:val="Strong"/>
          <w:b/>
          <w:bCs w:val="0"/>
        </w:rPr>
      </w:pPr>
      <w:r w:rsidRPr="00DA09B3">
        <w:rPr>
          <w:rStyle w:val="Strong"/>
          <w:b/>
        </w:rPr>
        <w:t>Effects of Unification on Minority Student Enrollment in Schools</w:t>
      </w:r>
    </w:p>
    <w:p w14:paraId="4BBCBB84" w14:textId="77777777" w:rsidR="001C19A4" w:rsidRPr="00343237" w:rsidRDefault="001C19A4" w:rsidP="005F27A6">
      <w:pPr>
        <w:ind w:left="360"/>
        <w:rPr>
          <w:rStyle w:val="Strong"/>
          <w:b w:val="0"/>
        </w:rPr>
      </w:pPr>
      <w:r w:rsidRPr="002316D6">
        <w:rPr>
          <w:rStyle w:val="Strong"/>
          <w:b w:val="0"/>
        </w:rPr>
        <w:t>The existing Mt. Diablo USD is 70.6 percent minority and 29.4 percent white. As</w:t>
      </w:r>
      <w:r w:rsidRPr="003262F3">
        <w:rPr>
          <w:rStyle w:val="Strong"/>
        </w:rPr>
        <w:t xml:space="preserve"> </w:t>
      </w:r>
      <w:r w:rsidRPr="003262F3">
        <w:t xml:space="preserve">shown in </w:t>
      </w:r>
      <w:r>
        <w:t>t</w:t>
      </w:r>
      <w:r w:rsidRPr="003262F3">
        <w:t xml:space="preserve">able </w:t>
      </w:r>
      <w:r>
        <w:t>4</w:t>
      </w:r>
      <w:r w:rsidRPr="003262F3">
        <w:t>a, enrollment at the five schools in the territory proposed for Northgate USD (Bancroft Elementary</w:t>
      </w:r>
      <w:r w:rsidRPr="00343237">
        <w:rPr>
          <w:rStyle w:val="Strong"/>
          <w:b w:val="0"/>
        </w:rPr>
        <w:t>, Foothill Middle, Northgate High, Valle Verde Elementary, and Walnut Acres Elementary) is approximately 50 percent minority and 50 percent white. Enrollment in the remaining portion of the Mt. Diablo USD is three-quarters minority and one-quarter white.</w:t>
      </w:r>
    </w:p>
    <w:p w14:paraId="22728DDF" w14:textId="4E82859F" w:rsidR="001C19A4" w:rsidRPr="00DA09B3" w:rsidRDefault="001C19A4" w:rsidP="005F27A6">
      <w:pPr>
        <w:ind w:left="360"/>
        <w:rPr>
          <w:rStyle w:val="Strong"/>
          <w:b w:val="0"/>
        </w:rPr>
      </w:pPr>
      <w:r w:rsidRPr="00343237">
        <w:rPr>
          <w:rStyle w:val="Strong"/>
          <w:b w:val="0"/>
        </w:rPr>
        <w:t>CDE estimated the impact of adjusting enrollment to reflect changing attendance</w:t>
      </w:r>
      <w:r w:rsidRPr="003262F3">
        <w:rPr>
          <w:rStyle w:val="Strong"/>
        </w:rPr>
        <w:t xml:space="preserve"> </w:t>
      </w:r>
      <w:r w:rsidRPr="003262F3">
        <w:t>boundaries of affected schools and inter- and intra-district transfer students</w:t>
      </w:r>
      <w:r>
        <w:t xml:space="preserve"> (</w:t>
      </w:r>
      <w:r w:rsidR="00362CBA">
        <w:t>see Table</w:t>
      </w:r>
      <w:r>
        <w:t xml:space="preserve"> 3g).</w:t>
      </w:r>
      <w:r w:rsidRPr="003262F3">
        <w:t xml:space="preserve"> </w:t>
      </w:r>
      <w:r w:rsidRPr="00DA09B3">
        <w:t>The</w:t>
      </w:r>
      <w:r w:rsidRPr="00DA09B3">
        <w:rPr>
          <w:rStyle w:val="Strong"/>
          <w:b w:val="0"/>
        </w:rPr>
        <w:t xml:space="preserve"> result was not statistically significant in terms of the percentages of minority enrollment in the two areas. </w:t>
      </w:r>
    </w:p>
    <w:p w14:paraId="1FB97277" w14:textId="5EE66119" w:rsidR="001C19A4" w:rsidRPr="00DA09B3" w:rsidRDefault="001C19A4" w:rsidP="005F27A6">
      <w:pPr>
        <w:ind w:left="360"/>
        <w:rPr>
          <w:rStyle w:val="Strong"/>
          <w:b w:val="0"/>
        </w:rPr>
      </w:pPr>
      <w:r w:rsidRPr="00DA09B3">
        <w:rPr>
          <w:rStyle w:val="Strong"/>
          <w:b w:val="0"/>
        </w:rPr>
        <w:t xml:space="preserve">When CDE examined enrollment over the prior five-year period, it found that minority enrollment in the Northgate USD schools grew by 0.51 percent annually and total enrollment declined by 2.62 percent annually. Minority enrollment in the existing Mt. Diablo USD and the remaining portion of the Mt. Diablo USD declined each year 0.55 percent and 0.66 percent, respectively, and total enrollment declined by 1.96 percent and 1.86 percent annually. Because the decline in total enrollment out-paced change in the number of minority students, CDE found that the percentage of </w:t>
      </w:r>
      <w:r w:rsidRPr="00DA09B3">
        <w:rPr>
          <w:rStyle w:val="Strong"/>
          <w:b w:val="0"/>
        </w:rPr>
        <w:lastRenderedPageBreak/>
        <w:t xml:space="preserve">minority students in all three areas is increasing and would be expected to continue to do so over the next five years (see </w:t>
      </w:r>
      <w:r w:rsidR="002F7493">
        <w:rPr>
          <w:rStyle w:val="Strong"/>
          <w:b w:val="0"/>
        </w:rPr>
        <w:t>T</w:t>
      </w:r>
      <w:r w:rsidRPr="00DA09B3">
        <w:rPr>
          <w:rStyle w:val="Strong"/>
          <w:b w:val="0"/>
        </w:rPr>
        <w:t>able 5e)</w:t>
      </w:r>
      <w:r w:rsidRPr="00DA09B3">
        <w:t>.</w:t>
      </w:r>
      <w:r w:rsidRPr="00DA09B3">
        <w:rPr>
          <w:rStyle w:val="Strong"/>
          <w:b w:val="0"/>
        </w:rPr>
        <w:t xml:space="preserve"> By the 2025–26 fiscal year, CDE estimates the Northgate area schools would be approximately 57.9 percent minority and the remaining portion of Mt. Diablo USD would be 78.4 percent minority. </w:t>
      </w:r>
    </w:p>
    <w:p w14:paraId="2868F987" w14:textId="77777777" w:rsidR="001C19A4" w:rsidRPr="00DA09B3" w:rsidRDefault="001C19A4" w:rsidP="005F27A6">
      <w:pPr>
        <w:ind w:left="360"/>
        <w:rPr>
          <w:rStyle w:val="Strong"/>
          <w:b w:val="0"/>
        </w:rPr>
      </w:pPr>
      <w:r w:rsidRPr="00DA09B3">
        <w:rPr>
          <w:rStyle w:val="Strong"/>
          <w:b w:val="0"/>
        </w:rPr>
        <w:t xml:space="preserve">Based on the data, the proposed reorganization would not significantly change the percentage of minority student enrollment in either the proposed Northgate USD schools or schools in the remaining portion of the Mt. Diablo USD. </w:t>
      </w:r>
    </w:p>
    <w:p w14:paraId="5E396FA8" w14:textId="77777777" w:rsidR="001C19A4" w:rsidRPr="00DA09B3" w:rsidRDefault="001C19A4" w:rsidP="000A33F9">
      <w:pPr>
        <w:pStyle w:val="Heading3"/>
        <w:numPr>
          <w:ilvl w:val="1"/>
          <w:numId w:val="39"/>
        </w:numPr>
        <w:ind w:left="720" w:hanging="720"/>
        <w:rPr>
          <w:rStyle w:val="Strong"/>
          <w:b/>
          <w:bCs w:val="0"/>
        </w:rPr>
      </w:pPr>
      <w:r w:rsidRPr="00DA09B3">
        <w:rPr>
          <w:rStyle w:val="Strong"/>
          <w:b/>
        </w:rPr>
        <w:t>School Board Policies</w:t>
      </w:r>
    </w:p>
    <w:p w14:paraId="5C7D6209" w14:textId="77777777" w:rsidR="001C19A4" w:rsidRPr="00DA09B3" w:rsidRDefault="001C19A4" w:rsidP="00437540">
      <w:pPr>
        <w:ind w:left="720"/>
        <w:rPr>
          <w:rStyle w:val="Strong"/>
          <w:b w:val="0"/>
        </w:rPr>
      </w:pPr>
      <w:r w:rsidRPr="00DA09B3">
        <w:rPr>
          <w:rStyle w:val="Strong"/>
          <w:b w:val="0"/>
        </w:rPr>
        <w:t xml:space="preserve">The Mt. Diablo USD has adopted a policy of non-discrimination in district programs and activities. Board Policy 0415, adopted June 8, 2020, states: </w:t>
      </w:r>
    </w:p>
    <w:p w14:paraId="5126E396" w14:textId="33240DC0" w:rsidR="001C19A4" w:rsidRPr="00437540" w:rsidRDefault="001C19A4" w:rsidP="00437540">
      <w:pPr>
        <w:ind w:left="1080" w:right="360"/>
        <w:rPr>
          <w:rStyle w:val="Strong"/>
          <w:b w:val="0"/>
          <w:i/>
        </w:rPr>
      </w:pPr>
      <w:r w:rsidRPr="00437540">
        <w:rPr>
          <w:rStyle w:val="Strong"/>
          <w:b w:val="0"/>
          <w:i/>
        </w:rPr>
        <w:t>The Board shall make decisions with a deliberate awareness of impediments to learning faced by students of color and/or diverse cultural, linguistic, or socio-economic backgrounds. To ensure that equity is the intentional result of district decisions, the Board shall consider whether its decisions address the needs of students from racial, ethnic, linguistic, and indigent communities and remedy the inequities that such communities experienced in the context of a history of exclusion, discrimination, and segregation. Board decisions shall not rely on biased or stereotypical assumptions about any particular group of students.</w:t>
      </w:r>
    </w:p>
    <w:p w14:paraId="5BF5D60B" w14:textId="77777777" w:rsidR="001C19A4" w:rsidRPr="00DA09B3" w:rsidRDefault="001C19A4" w:rsidP="000A33F9">
      <w:pPr>
        <w:pStyle w:val="Heading3"/>
        <w:numPr>
          <w:ilvl w:val="1"/>
          <w:numId w:val="39"/>
        </w:numPr>
        <w:ind w:left="720" w:hanging="720"/>
        <w:rPr>
          <w:rStyle w:val="Strong"/>
          <w:b/>
          <w:bCs w:val="0"/>
        </w:rPr>
      </w:pPr>
      <w:r w:rsidRPr="00DA09B3">
        <w:rPr>
          <w:rStyle w:val="Strong"/>
          <w:b/>
        </w:rPr>
        <w:t>Factors Affecting Feasibility of Integration</w:t>
      </w:r>
    </w:p>
    <w:p w14:paraId="01215B10" w14:textId="77777777" w:rsidR="001C19A4" w:rsidRPr="00DA09B3" w:rsidRDefault="001C19A4" w:rsidP="00DA09B3">
      <w:pPr>
        <w:ind w:left="720"/>
        <w:rPr>
          <w:rStyle w:val="Strong"/>
          <w:b w:val="0"/>
        </w:rPr>
      </w:pPr>
      <w:r w:rsidRPr="00DA09B3">
        <w:rPr>
          <w:rStyle w:val="Strong"/>
          <w:b w:val="0"/>
        </w:rPr>
        <w:t xml:space="preserve">The proponents anticipate little to no change in the demographics of the proposed new district’s enrollment because the territory of that new district is based on existing attendance boundaries for the schools it would retain; proponents state a desire to continue to accept transfer students to the extent facility capacity and Mt. Diablo USD policies would allow. The proponents did note the correlation between housing patterns, household income, and minority enrollment to explain why the Northgate USD school demographics do not track with that of the district as a whole—however, they state that the resulting minority enrollment proportions in both the new district and the remaining portion of Mt. Diablo USD would not exceed standards used by the SBE to determine whether a reorganization would promote segregation. It is implied that the existing level of integration mirrors the community in which the schools are located. </w:t>
      </w:r>
    </w:p>
    <w:p w14:paraId="63835700" w14:textId="77777777" w:rsidR="00D13566" w:rsidRDefault="00D13566">
      <w:pPr>
        <w:spacing w:after="160"/>
        <w:rPr>
          <w:rStyle w:val="Strong"/>
          <w:rFonts w:eastAsiaTheme="majorEastAsia" w:cstheme="majorBidi"/>
          <w:szCs w:val="32"/>
        </w:rPr>
      </w:pPr>
      <w:r>
        <w:rPr>
          <w:rStyle w:val="Strong"/>
          <w:b w:val="0"/>
        </w:rPr>
        <w:br w:type="page"/>
      </w:r>
    </w:p>
    <w:p w14:paraId="77AF19F9" w14:textId="27B4F0B7" w:rsidR="001C19A4" w:rsidRPr="00DA09B3" w:rsidRDefault="001C19A4" w:rsidP="000A33F9">
      <w:pPr>
        <w:pStyle w:val="Heading3"/>
        <w:numPr>
          <w:ilvl w:val="1"/>
          <w:numId w:val="39"/>
        </w:numPr>
        <w:ind w:left="720" w:hanging="720"/>
        <w:rPr>
          <w:rStyle w:val="Strong"/>
          <w:b/>
          <w:bCs w:val="0"/>
        </w:rPr>
      </w:pPr>
      <w:r w:rsidRPr="00DA09B3">
        <w:rPr>
          <w:rStyle w:val="Strong"/>
          <w:b/>
        </w:rPr>
        <w:lastRenderedPageBreak/>
        <w:t>Summary of Statement: Findings of Fact</w:t>
      </w:r>
    </w:p>
    <w:p w14:paraId="13846943" w14:textId="77777777" w:rsidR="001C19A4" w:rsidRPr="009653B2" w:rsidRDefault="001C19A4" w:rsidP="009653B2">
      <w:pPr>
        <w:ind w:left="720"/>
        <w:rPr>
          <w:rStyle w:val="Strong"/>
          <w:b w:val="0"/>
        </w:rPr>
      </w:pPr>
      <w:r w:rsidRPr="009653B2">
        <w:rPr>
          <w:rStyle w:val="Strong"/>
          <w:b w:val="0"/>
        </w:rPr>
        <w:t>The Mt. Diablo USD is currently 70.6 percent minority. If the Northgate community were to withdraw from the district, the remaining area of Mt. Diablo USD would be 73.8 percent minority while the new Northgate USD would be 49.5 percent minority. Hispanic or Latino students account for 45.6 percent of the total student population in the existing district overall, but are 16.6 percent of the schools in the proposed new district. Though student demographics of the Northgate area schools are noticeably different from those of the rest of the Mt. Diablo USD, the racial and ethnic composition of the affected elementary, middle and high schools would be substantially unchanged by the reorganization and would preserve each affected district’s ability to educate students in an integrated environment.</w:t>
      </w:r>
    </w:p>
    <w:p w14:paraId="59C6DB79" w14:textId="77777777" w:rsidR="001C19A4" w:rsidRPr="00DA09B3" w:rsidRDefault="001C19A4" w:rsidP="00DA09B3">
      <w:pPr>
        <w:pStyle w:val="Heading2"/>
        <w:rPr>
          <w:rStyle w:val="Strong"/>
          <w:b/>
          <w:bCs w:val="0"/>
        </w:rPr>
      </w:pPr>
      <w:r w:rsidRPr="00DA09B3">
        <w:rPr>
          <w:rStyle w:val="Strong"/>
          <w:b/>
          <w:bCs w:val="0"/>
        </w:rPr>
        <w:t>Conclusion</w:t>
      </w:r>
    </w:p>
    <w:bookmarkEnd w:id="7"/>
    <w:p w14:paraId="6DF1F6F9" w14:textId="77777777" w:rsidR="002A0BF7" w:rsidRDefault="001C19A4" w:rsidP="00F70073">
      <w:pPr>
        <w:sectPr w:rsidR="002A0BF7" w:rsidSect="00AB6213">
          <w:headerReference w:type="default" r:id="rId15"/>
          <w:footnotePr>
            <w:numRestart w:val="eachSect"/>
          </w:footnotePr>
          <w:pgSz w:w="12240" w:h="15840"/>
          <w:pgMar w:top="1440" w:right="1440" w:bottom="1440" w:left="1440" w:header="720" w:footer="720" w:gutter="0"/>
          <w:pgNumType w:start="1"/>
          <w:cols w:space="720"/>
          <w:docGrid w:linePitch="360"/>
        </w:sectPr>
      </w:pPr>
      <w:r>
        <w:t xml:space="preserve">Given the findings above, the CDE recommends that the proposal to form a new Northgate USD substantially complies with </w:t>
      </w:r>
      <w:r w:rsidRPr="00CD6BCC">
        <w:rPr>
          <w:i/>
        </w:rPr>
        <w:t>EC</w:t>
      </w:r>
      <w:r>
        <w:t xml:space="preserve"> Section 35753(a)(4). </w:t>
      </w:r>
    </w:p>
    <w:p w14:paraId="0C91DF97" w14:textId="77777777" w:rsidR="001C19A4" w:rsidRPr="00137C7F" w:rsidRDefault="001C19A4" w:rsidP="00EC33F3">
      <w:pPr>
        <w:pStyle w:val="Heading1"/>
      </w:pPr>
      <w:r w:rsidRPr="00137C7F">
        <w:lastRenderedPageBreak/>
        <w:t>Attachment 3</w:t>
      </w:r>
      <w:r w:rsidRPr="00137C7F">
        <w:br/>
        <w:t>Educational Program Report on</w:t>
      </w:r>
      <w:r w:rsidRPr="00137C7F">
        <w:br/>
        <w:t xml:space="preserve">Formation of a New Unified School District from </w:t>
      </w:r>
      <w:r w:rsidRPr="00137C7F">
        <w:br/>
        <w:t>the Northgate portion of the</w:t>
      </w:r>
      <w:r>
        <w:t xml:space="preserve"> </w:t>
      </w:r>
      <w:r w:rsidRPr="00137C7F">
        <w:br/>
        <w:t>Mt. Diablo Unified School District</w:t>
      </w:r>
      <w:r>
        <w:br/>
      </w:r>
      <w:r w:rsidRPr="00137C7F">
        <w:t>in Contra Costa</w:t>
      </w:r>
      <w:r>
        <w:t xml:space="preserve"> </w:t>
      </w:r>
      <w:r w:rsidRPr="00137C7F">
        <w:t>County</w:t>
      </w:r>
    </w:p>
    <w:p w14:paraId="533B69D6" w14:textId="77777777" w:rsidR="001C19A4" w:rsidRPr="00F76924" w:rsidRDefault="001C19A4" w:rsidP="00F76924">
      <w:pPr>
        <w:pStyle w:val="Heading2"/>
        <w:rPr>
          <w:rStyle w:val="Strong"/>
          <w:b/>
          <w:bCs w:val="0"/>
        </w:rPr>
      </w:pPr>
      <w:r w:rsidRPr="00F76924">
        <w:rPr>
          <w:rStyle w:val="Strong"/>
          <w:b/>
          <w:bCs w:val="0"/>
        </w:rPr>
        <w:t>Background</w:t>
      </w:r>
    </w:p>
    <w:p w14:paraId="2958299C" w14:textId="77777777" w:rsidR="001C19A4" w:rsidRPr="00C427D9" w:rsidRDefault="001C19A4" w:rsidP="005F27A6">
      <w:r w:rsidRPr="00C427D9">
        <w:t xml:space="preserve">The Contra Costa County Committee on School District Organization (County Committee) recommended that the California State Board of Education (SBE) disapprove a proposal to create a Northgate Unified School District (USD) from the Northgate portion of the Mt. Diablo USD. </w:t>
      </w:r>
    </w:p>
    <w:p w14:paraId="36410A9B" w14:textId="77777777" w:rsidR="001C19A4" w:rsidRPr="00C427D9" w:rsidRDefault="001C19A4" w:rsidP="005F27A6">
      <w:r w:rsidRPr="00C427D9">
        <w:t xml:space="preserve">Before making its recommendation regarding the proposed Northgate USD, the County Committee was required to determine if the proposal substantially met </w:t>
      </w:r>
      <w:r>
        <w:t>nine</w:t>
      </w:r>
      <w:r w:rsidRPr="00C427D9">
        <w:t xml:space="preserve"> conditions</w:t>
      </w:r>
      <w:r>
        <w:t>,</w:t>
      </w:r>
      <w:r w:rsidRPr="00C427D9">
        <w:t xml:space="preserve"> including the following: </w:t>
      </w:r>
    </w:p>
    <w:p w14:paraId="7840BA57" w14:textId="77777777" w:rsidR="001C19A4" w:rsidRPr="00C427D9" w:rsidRDefault="001C19A4" w:rsidP="005F27A6">
      <w:pPr>
        <w:ind w:left="720"/>
      </w:pPr>
      <w:bookmarkStart w:id="35" w:name="_Hlk94519487"/>
      <w:r w:rsidRPr="00D351EE">
        <w:t>The proposed reorganization will continue to promote sound education performance and will not significantly disrupt the educational programs in the affected districts</w:t>
      </w:r>
      <w:r w:rsidRPr="00C427D9">
        <w:t xml:space="preserve">. </w:t>
      </w:r>
      <w:bookmarkEnd w:id="35"/>
      <w:r w:rsidRPr="00C427D9">
        <w:t>[</w:t>
      </w:r>
      <w:r w:rsidRPr="00C427D9">
        <w:rPr>
          <w:i/>
        </w:rPr>
        <w:t>Education Code</w:t>
      </w:r>
      <w:r w:rsidRPr="00C427D9">
        <w:t xml:space="preserve"> (</w:t>
      </w:r>
      <w:r w:rsidRPr="00C427D9">
        <w:rPr>
          <w:i/>
        </w:rPr>
        <w:t>EC</w:t>
      </w:r>
      <w:r w:rsidRPr="00C427D9">
        <w:t>) Section 35753(a)(</w:t>
      </w:r>
      <w:r>
        <w:t>6</w:t>
      </w:r>
      <w:r w:rsidRPr="00C427D9">
        <w:t>)]</w:t>
      </w:r>
    </w:p>
    <w:p w14:paraId="66399A3B" w14:textId="11C89BFE" w:rsidR="001C19A4" w:rsidRDefault="001C19A4" w:rsidP="005F27A6">
      <w:r w:rsidRPr="001C4584">
        <w:t xml:space="preserve">The Contra Costa County Office of Education contracted with School Services of California to prepare a feasibility </w:t>
      </w:r>
      <w:r w:rsidR="00D316F1">
        <w:t>study</w:t>
      </w:r>
      <w:r w:rsidRPr="001C4584">
        <w:t xml:space="preserve"> for the proposed reorganization.</w:t>
      </w:r>
      <w:r w:rsidRPr="00C427D9">
        <w:t xml:space="preserve"> In </w:t>
      </w:r>
      <w:r w:rsidR="00D316F1">
        <w:t xml:space="preserve">the </w:t>
      </w:r>
      <w:r w:rsidR="00D316F1" w:rsidRPr="00D316F1">
        <w:rPr>
          <w:i/>
        </w:rPr>
        <w:t>Costa County Office of Education Reorganization Feasibility Study: Mt. Diablo Unified School District</w:t>
      </w:r>
      <w:r w:rsidR="00D316F1" w:rsidRPr="00D316F1">
        <w:t xml:space="preserve"> (</w:t>
      </w:r>
      <w:r w:rsidR="00D316F1" w:rsidRPr="00D316F1">
        <w:rPr>
          <w:i/>
        </w:rPr>
        <w:t>Feasibility Study</w:t>
      </w:r>
      <w:r w:rsidR="00D316F1" w:rsidRPr="00D316F1">
        <w:t>)</w:t>
      </w:r>
      <w:r w:rsidRPr="00C427D9">
        <w:t>, School Services of California found that the proposal substantially me</w:t>
      </w:r>
      <w:r>
        <w:t>et</w:t>
      </w:r>
      <w:r w:rsidRPr="00C427D9">
        <w:t xml:space="preserve">s </w:t>
      </w:r>
      <w:r>
        <w:t xml:space="preserve">the </w:t>
      </w:r>
      <w:r w:rsidRPr="00C427D9">
        <w:t xml:space="preserve">condition set forth in </w:t>
      </w:r>
      <w:r w:rsidRPr="00C427D9">
        <w:rPr>
          <w:i/>
        </w:rPr>
        <w:t>EC</w:t>
      </w:r>
      <w:r w:rsidRPr="00C427D9">
        <w:t xml:space="preserve"> Section 35753(a)(</w:t>
      </w:r>
      <w:r>
        <w:t>6</w:t>
      </w:r>
      <w:r w:rsidRPr="00C427D9">
        <w:t>)</w:t>
      </w:r>
      <w:r>
        <w:t>, noting that:</w:t>
      </w:r>
    </w:p>
    <w:p w14:paraId="4ADEC8BD" w14:textId="77777777" w:rsidR="001C19A4" w:rsidRDefault="001C19A4" w:rsidP="005F27A6">
      <w:pPr>
        <w:ind w:left="720"/>
      </w:pPr>
      <w:r>
        <w:t>“</w:t>
      </w:r>
      <w:r w:rsidRPr="003321E2">
        <w:t>Given the complexity and challenges in operating a school district, especially a smaller sized one, the proposed Northgate USD would not likely be able to provide the exact same educational or extracurricular programs currently offered by Mt. Diablo USD. However, given that the new district would maintain many of the same teachers and staff currently at the school sites, there is reason to believe that, with time and the hiring of experts and effective district leaders, the proposed Northgate USD should be able to continue to offer a quality education to its students.</w:t>
      </w:r>
      <w:r>
        <w:t>”</w:t>
      </w:r>
    </w:p>
    <w:p w14:paraId="5FC7C570" w14:textId="20AD2826" w:rsidR="001C19A4" w:rsidRDefault="001C19A4" w:rsidP="005F27A6">
      <w:r>
        <w:t>However, a</w:t>
      </w:r>
      <w:r w:rsidRPr="00C427D9">
        <w:t xml:space="preserve">fter considering the information </w:t>
      </w:r>
      <w:r>
        <w:t xml:space="preserve">provided by all parties </w:t>
      </w:r>
      <w:r w:rsidRPr="00C427D9">
        <w:t xml:space="preserve">and </w:t>
      </w:r>
      <w:r>
        <w:t xml:space="preserve">the </w:t>
      </w:r>
      <w:r w:rsidRPr="00C427D9">
        <w:t xml:space="preserve">finding in the </w:t>
      </w:r>
      <w:r w:rsidR="00D316F1" w:rsidRPr="00D316F1">
        <w:rPr>
          <w:i/>
        </w:rPr>
        <w:t>Feasibility Study</w:t>
      </w:r>
      <w:r w:rsidRPr="00C427D9">
        <w:t xml:space="preserve">, the County Committee concluded the proposal failed to substantially meet the </w:t>
      </w:r>
      <w:r w:rsidRPr="00C427D9">
        <w:rPr>
          <w:i/>
        </w:rPr>
        <w:t>EC</w:t>
      </w:r>
      <w:r w:rsidRPr="00C427D9">
        <w:t xml:space="preserve"> Section 35753(a)(</w:t>
      </w:r>
      <w:r>
        <w:t>6</w:t>
      </w:r>
      <w:r w:rsidRPr="00C427D9">
        <w:t>) condition with a</w:t>
      </w:r>
      <w:r>
        <w:t xml:space="preserve"> 3-1-1</w:t>
      </w:r>
      <w:r w:rsidRPr="00C427D9">
        <w:t xml:space="preserve"> vote. </w:t>
      </w:r>
    </w:p>
    <w:p w14:paraId="0DEE3E2B" w14:textId="77777777" w:rsidR="001C19A4" w:rsidRPr="00C427D9" w:rsidRDefault="001C19A4" w:rsidP="005F27A6">
      <w:r>
        <w:lastRenderedPageBreak/>
        <w:t xml:space="preserve">Members voiced concern that reorganization </w:t>
      </w:r>
      <w:r w:rsidRPr="00BA4B97">
        <w:t>would result in a significant disruption</w:t>
      </w:r>
      <w:r>
        <w:t xml:space="preserve"> to Mt. Diablo USD education programs, particularly the </w:t>
      </w:r>
      <w:r w:rsidRPr="00BA4B97">
        <w:t xml:space="preserve">special education </w:t>
      </w:r>
      <w:r>
        <w:t>offerings, as well as complete disruption of the Eagle Peak Montessori school, a Mt. Diablo USD authorized charter school.</w:t>
      </w:r>
    </w:p>
    <w:p w14:paraId="07D3C15B" w14:textId="77777777" w:rsidR="001C19A4" w:rsidRPr="00F76924" w:rsidRDefault="001C19A4" w:rsidP="00F76924">
      <w:pPr>
        <w:pStyle w:val="Heading2"/>
      </w:pPr>
      <w:r w:rsidRPr="00F76924">
        <w:t>Recommendation</w:t>
      </w:r>
    </w:p>
    <w:p w14:paraId="61AD6958" w14:textId="77777777" w:rsidR="001C19A4" w:rsidRPr="00442555" w:rsidRDefault="001C19A4" w:rsidP="005F27A6">
      <w:pPr>
        <w:rPr>
          <w:rFonts w:cs="Arial"/>
        </w:rPr>
      </w:pPr>
      <w:r w:rsidRPr="00442555">
        <w:rPr>
          <w:rFonts w:cs="Arial"/>
        </w:rPr>
        <w:t xml:space="preserve">The CDE </w:t>
      </w:r>
      <w:r>
        <w:rPr>
          <w:rFonts w:cs="Arial"/>
        </w:rPr>
        <w:t>finds</w:t>
      </w:r>
      <w:r w:rsidRPr="00442555">
        <w:rPr>
          <w:rFonts w:cs="Arial"/>
        </w:rPr>
        <w:t xml:space="preserve"> that the proposal to form a new Northgate USD from a portion of the Mt. Diablo USD substantially complies with </w:t>
      </w:r>
      <w:r w:rsidRPr="00442555">
        <w:rPr>
          <w:rFonts w:cs="Arial"/>
          <w:i/>
        </w:rPr>
        <w:t>EC</w:t>
      </w:r>
      <w:r w:rsidRPr="00442555">
        <w:rPr>
          <w:rFonts w:cs="Arial"/>
        </w:rPr>
        <w:t xml:space="preserve"> Section 35753(a)(6).</w:t>
      </w:r>
    </w:p>
    <w:p w14:paraId="54AF3207" w14:textId="77777777" w:rsidR="001C19A4" w:rsidRDefault="001C19A4" w:rsidP="005F27A6">
      <w:pPr>
        <w:rPr>
          <w:rFonts w:cs="Arial"/>
        </w:rPr>
      </w:pPr>
      <w:r w:rsidRPr="009567D2">
        <w:rPr>
          <w:rFonts w:cs="Arial"/>
        </w:rPr>
        <w:t>The following report, prepared by the California Department of Education, provides detailed analyses to support this recommendation.</w:t>
      </w:r>
    </w:p>
    <w:p w14:paraId="2633E9B4" w14:textId="77777777" w:rsidR="001C19A4" w:rsidRPr="00665318" w:rsidRDefault="001C19A4" w:rsidP="007F1E2D">
      <w:pPr>
        <w:pStyle w:val="Heading2"/>
      </w:pPr>
      <w:r w:rsidRPr="00665318">
        <w:t>Evaluation Criteria for the Unification Proposal</w:t>
      </w:r>
    </w:p>
    <w:p w14:paraId="3099565D" w14:textId="77777777" w:rsidR="001C19A4" w:rsidRDefault="001C19A4" w:rsidP="005F27A6">
      <w:pPr>
        <w:rPr>
          <w:highlight w:val="yellow"/>
        </w:rPr>
      </w:pPr>
      <w:r w:rsidRPr="00665318">
        <w:t xml:space="preserve">Pursuant to </w:t>
      </w:r>
      <w:r w:rsidRPr="00665318">
        <w:rPr>
          <w:i/>
        </w:rPr>
        <w:t>EC</w:t>
      </w:r>
      <w:r w:rsidRPr="00665318">
        <w:t xml:space="preserve"> Section 35753(a)(6), a proposal to reorganize a school district may be approved if it is substantially determined that it will continue to promote sound education performance and will not significantly disrupt the educational programs in the affected districts.</w:t>
      </w:r>
      <w:r w:rsidRPr="009B4D1C">
        <w:rPr>
          <w:highlight w:val="yellow"/>
        </w:rPr>
        <w:t xml:space="preserve"> </w:t>
      </w:r>
    </w:p>
    <w:p w14:paraId="0592FB91" w14:textId="77777777" w:rsidR="001C19A4" w:rsidRPr="001D619D" w:rsidRDefault="001C19A4" w:rsidP="005F27A6">
      <w:pPr>
        <w:rPr>
          <w:rFonts w:cs="Arial"/>
          <w:bCs/>
          <w:color w:val="000000"/>
        </w:rPr>
      </w:pPr>
      <w:r w:rsidRPr="001D619D">
        <w:rPr>
          <w:rFonts w:cs="Arial"/>
          <w:color w:val="000000"/>
        </w:rPr>
        <w:t>Section 18573(a)(5)</w:t>
      </w:r>
      <w:r>
        <w:rPr>
          <w:rFonts w:cs="Arial"/>
          <w:color w:val="000000"/>
        </w:rPr>
        <w:t xml:space="preserve"> </w:t>
      </w:r>
      <w:r w:rsidRPr="001D619D">
        <w:rPr>
          <w:rFonts w:cs="Arial"/>
          <w:color w:val="000000"/>
        </w:rPr>
        <w:t>of Title 5</w:t>
      </w:r>
      <w:r>
        <w:rPr>
          <w:rFonts w:cs="Arial"/>
          <w:color w:val="000000"/>
        </w:rPr>
        <w:t>,</w:t>
      </w:r>
      <w:r w:rsidRPr="001D619D">
        <w:rPr>
          <w:rFonts w:cs="Arial"/>
          <w:i/>
          <w:color w:val="000000"/>
        </w:rPr>
        <w:t xml:space="preserve"> California Code of Regulations </w:t>
      </w:r>
      <w:r w:rsidRPr="001D619D">
        <w:rPr>
          <w:rFonts w:cs="Arial"/>
          <w:color w:val="000000"/>
        </w:rPr>
        <w:t>(5</w:t>
      </w:r>
      <w:r w:rsidRPr="001D619D">
        <w:rPr>
          <w:rFonts w:cs="Arial"/>
          <w:i/>
          <w:color w:val="000000"/>
        </w:rPr>
        <w:t xml:space="preserve"> CCR</w:t>
      </w:r>
      <w:r>
        <w:rPr>
          <w:rFonts w:cs="Arial"/>
          <w:color w:val="000000"/>
        </w:rPr>
        <w:t>), requires the following:</w:t>
      </w:r>
    </w:p>
    <w:p w14:paraId="72C98B9E" w14:textId="77777777" w:rsidR="001C19A4" w:rsidRDefault="001C19A4" w:rsidP="005F27A6">
      <w:pPr>
        <w:ind w:left="374" w:right="758"/>
        <w:rPr>
          <w:rFonts w:cs="Arial"/>
          <w:color w:val="000000"/>
        </w:rPr>
      </w:pPr>
      <w:r w:rsidRPr="00D65435">
        <w:rPr>
          <w:rFonts w:cs="Arial"/>
          <w:color w:val="000000"/>
        </w:rPr>
        <w:t xml:space="preserve">The proposal or petition shall not significantly adversely affect the educational programs of districts affected by the proposal or petition. In analyzing the proposal or petition, the California Department of Education shall </w:t>
      </w:r>
      <w:r w:rsidRPr="0084037A">
        <w:rPr>
          <w:rFonts w:cs="Arial"/>
          <w:color w:val="000000"/>
        </w:rPr>
        <w:t>describe the districtwide programs, and the school site programs, in schools not a part of the proposal or petition that will be adversely affected</w:t>
      </w:r>
      <w:r w:rsidRPr="00D65435">
        <w:rPr>
          <w:rFonts w:cs="Arial"/>
          <w:color w:val="000000"/>
        </w:rPr>
        <w:t xml:space="preserve"> by the proposal or petition.</w:t>
      </w:r>
    </w:p>
    <w:p w14:paraId="38FE111A" w14:textId="77777777" w:rsidR="001C19A4" w:rsidRPr="008D44AC" w:rsidRDefault="001C19A4" w:rsidP="005F27A6">
      <w:r>
        <w:rPr>
          <w:rFonts w:cs="Arial"/>
          <w:color w:val="000000"/>
        </w:rPr>
        <w:t xml:space="preserve">These requirements are evaluated in light of available information derived from </w:t>
      </w:r>
      <w:r w:rsidRPr="008D44AC">
        <w:t xml:space="preserve">the California Longitudinal Pupil Achievement </w:t>
      </w:r>
      <w:r>
        <w:t xml:space="preserve">Data </w:t>
      </w:r>
      <w:r w:rsidRPr="008D44AC">
        <w:t>System (CALPADS)</w:t>
      </w:r>
      <w:r>
        <w:t xml:space="preserve"> and the California School Dashboard</w:t>
      </w:r>
      <w:r w:rsidRPr="008D44AC">
        <w:t xml:space="preserve">. </w:t>
      </w:r>
    </w:p>
    <w:p w14:paraId="05E2F115" w14:textId="77777777" w:rsidR="001C19A4" w:rsidRPr="00C427D9" w:rsidRDefault="001C19A4" w:rsidP="007F1E2D">
      <w:pPr>
        <w:pStyle w:val="Heading2"/>
      </w:pPr>
      <w:r>
        <w:t>Discussion and Analysis</w:t>
      </w:r>
    </w:p>
    <w:p w14:paraId="6E4775E9" w14:textId="77777777" w:rsidR="001C19A4" w:rsidRPr="00137C7F" w:rsidRDefault="001C19A4" w:rsidP="000A33F9">
      <w:pPr>
        <w:pStyle w:val="Heading3"/>
        <w:numPr>
          <w:ilvl w:val="1"/>
          <w:numId w:val="40"/>
        </w:numPr>
        <w:ind w:left="720" w:hanging="720"/>
      </w:pPr>
      <w:r w:rsidRPr="00137C7F">
        <w:t xml:space="preserve">Schools and Enrollment in Current District </w:t>
      </w:r>
    </w:p>
    <w:p w14:paraId="46837031" w14:textId="77777777" w:rsidR="001C19A4" w:rsidRDefault="001C19A4" w:rsidP="005F27A6">
      <w:pPr>
        <w:ind w:left="360"/>
        <w:rPr>
          <w:rStyle w:val="Strong"/>
          <w:b w:val="0"/>
        </w:rPr>
      </w:pPr>
      <w:r w:rsidRPr="002B5ADD">
        <w:rPr>
          <w:rStyle w:val="Strong"/>
          <w:b w:val="0"/>
        </w:rPr>
        <w:t>Mt. Diablo USD is a large</w:t>
      </w:r>
      <w:r>
        <w:rPr>
          <w:rStyle w:val="Strong"/>
          <w:b w:val="0"/>
        </w:rPr>
        <w:t xml:space="preserve">, urban </w:t>
      </w:r>
      <w:r w:rsidRPr="002B5ADD">
        <w:rPr>
          <w:rStyle w:val="Strong"/>
          <w:b w:val="0"/>
        </w:rPr>
        <w:t xml:space="preserve">school district. In </w:t>
      </w:r>
      <w:r>
        <w:rPr>
          <w:rStyle w:val="Strong"/>
          <w:b w:val="0"/>
        </w:rPr>
        <w:t>F</w:t>
      </w:r>
      <w:r w:rsidRPr="002B5ADD">
        <w:rPr>
          <w:rStyle w:val="Strong"/>
          <w:b w:val="0"/>
        </w:rPr>
        <w:t xml:space="preserve">iscal </w:t>
      </w:r>
      <w:r>
        <w:rPr>
          <w:rStyle w:val="Strong"/>
          <w:b w:val="0"/>
        </w:rPr>
        <w:t>Y</w:t>
      </w:r>
      <w:r w:rsidRPr="002B5ADD">
        <w:rPr>
          <w:rStyle w:val="Strong"/>
          <w:b w:val="0"/>
        </w:rPr>
        <w:t xml:space="preserve">ear 2020–21, </w:t>
      </w:r>
      <w:r>
        <w:rPr>
          <w:rStyle w:val="Strong"/>
          <w:b w:val="0"/>
        </w:rPr>
        <w:t xml:space="preserve">the district enrolled 29,474 students and operated </w:t>
      </w:r>
      <w:r w:rsidRPr="00482231">
        <w:rPr>
          <w:rStyle w:val="Strong"/>
          <w:b w:val="0"/>
        </w:rPr>
        <w:t xml:space="preserve">29 elementary schools, </w:t>
      </w:r>
      <w:r>
        <w:rPr>
          <w:rStyle w:val="Strong"/>
          <w:b w:val="0"/>
        </w:rPr>
        <w:t>9</w:t>
      </w:r>
      <w:r w:rsidRPr="00482231">
        <w:rPr>
          <w:rStyle w:val="Strong"/>
          <w:b w:val="0"/>
        </w:rPr>
        <w:t xml:space="preserve"> middle schools, </w:t>
      </w:r>
      <w:r>
        <w:rPr>
          <w:rStyle w:val="Strong"/>
          <w:b w:val="0"/>
        </w:rPr>
        <w:t>5</w:t>
      </w:r>
      <w:r w:rsidRPr="00482231">
        <w:rPr>
          <w:rStyle w:val="Strong"/>
          <w:b w:val="0"/>
        </w:rPr>
        <w:t xml:space="preserve"> comprehensive high schools, and </w:t>
      </w:r>
      <w:r>
        <w:rPr>
          <w:rStyle w:val="Strong"/>
          <w:b w:val="0"/>
        </w:rPr>
        <w:t>8</w:t>
      </w:r>
      <w:r w:rsidRPr="00482231">
        <w:rPr>
          <w:rStyle w:val="Strong"/>
          <w:b w:val="0"/>
        </w:rPr>
        <w:t xml:space="preserve"> </w:t>
      </w:r>
      <w:r>
        <w:rPr>
          <w:rStyle w:val="Strong"/>
          <w:b w:val="0"/>
        </w:rPr>
        <w:t>other</w:t>
      </w:r>
      <w:r w:rsidRPr="00482231">
        <w:rPr>
          <w:rStyle w:val="Strong"/>
          <w:b w:val="0"/>
        </w:rPr>
        <w:t xml:space="preserve"> </w:t>
      </w:r>
      <w:r>
        <w:rPr>
          <w:rStyle w:val="Strong"/>
          <w:b w:val="0"/>
        </w:rPr>
        <w:t>schools (i.e. alternative, community day, continuation high, and special education)</w:t>
      </w:r>
      <w:r w:rsidRPr="002B5ADD">
        <w:rPr>
          <w:rStyle w:val="Strong"/>
          <w:b w:val="0"/>
        </w:rPr>
        <w:t xml:space="preserve">. </w:t>
      </w:r>
      <w:r>
        <w:rPr>
          <w:rStyle w:val="Strong"/>
          <w:b w:val="0"/>
        </w:rPr>
        <w:t xml:space="preserve">Table 1 lists the number of schools and total enrollment by school type for the existing Mt. Diablo USD. All enrollment data is from </w:t>
      </w:r>
      <w:r w:rsidRPr="001011E0">
        <w:rPr>
          <w:rStyle w:val="Strong"/>
          <w:b w:val="0"/>
        </w:rPr>
        <w:t>CALPADS</w:t>
      </w:r>
      <w:r>
        <w:rPr>
          <w:rStyle w:val="Strong"/>
          <w:b w:val="0"/>
        </w:rPr>
        <w:t xml:space="preserve"> for the </w:t>
      </w:r>
      <w:r w:rsidRPr="001011E0">
        <w:rPr>
          <w:rStyle w:val="Strong"/>
          <w:b w:val="0"/>
        </w:rPr>
        <w:t>2020–21</w:t>
      </w:r>
      <w:r>
        <w:rPr>
          <w:rStyle w:val="Strong"/>
          <w:b w:val="0"/>
        </w:rPr>
        <w:t xml:space="preserve"> academic year.</w:t>
      </w:r>
    </w:p>
    <w:p w14:paraId="3B73EE14" w14:textId="77777777" w:rsidR="001C19A4" w:rsidRPr="00AF653A" w:rsidRDefault="001C19A4" w:rsidP="00AF653A">
      <w:pPr>
        <w:pStyle w:val="Heading4"/>
        <w:rPr>
          <w:rStyle w:val="Strong"/>
          <w:rFonts w:eastAsiaTheme="majorEastAsia"/>
          <w:b/>
          <w:bCs w:val="0"/>
        </w:rPr>
      </w:pPr>
      <w:r w:rsidRPr="00AF653A">
        <w:rPr>
          <w:rStyle w:val="Strong"/>
          <w:rFonts w:eastAsiaTheme="majorEastAsia"/>
          <w:b/>
          <w:bCs w:val="0"/>
        </w:rPr>
        <w:lastRenderedPageBreak/>
        <w:t>Table 1. Enrollment by School Type</w:t>
      </w:r>
    </w:p>
    <w:tbl>
      <w:tblPr>
        <w:tblStyle w:val="TableGrid"/>
        <w:tblW w:w="9058" w:type="dxa"/>
        <w:tblInd w:w="355" w:type="dxa"/>
        <w:tblLayout w:type="fixed"/>
        <w:tblCellMar>
          <w:top w:w="115" w:type="dxa"/>
          <w:left w:w="115" w:type="dxa"/>
          <w:bottom w:w="115" w:type="dxa"/>
          <w:right w:w="115" w:type="dxa"/>
        </w:tblCellMar>
        <w:tblLook w:val="04A0" w:firstRow="1" w:lastRow="0" w:firstColumn="1" w:lastColumn="0" w:noHBand="0" w:noVBand="1"/>
        <w:tblDescription w:val="Table 1 depicts total enrollment of the Mt. Diablo USD by school type for the 2020-21 academic year."/>
      </w:tblPr>
      <w:tblGrid>
        <w:gridCol w:w="3780"/>
        <w:gridCol w:w="2790"/>
        <w:gridCol w:w="2488"/>
      </w:tblGrid>
      <w:tr w:rsidR="001C19A4" w:rsidRPr="00B101CA" w14:paraId="7C8428D7" w14:textId="77777777" w:rsidTr="005F27A6">
        <w:trPr>
          <w:trHeight w:val="15"/>
          <w:tblHeader/>
        </w:trPr>
        <w:tc>
          <w:tcPr>
            <w:tcW w:w="3780" w:type="dxa"/>
            <w:shd w:val="clear" w:color="auto" w:fill="D9D9D9" w:themeFill="background1" w:themeFillShade="D9"/>
            <w:noWrap/>
            <w:vAlign w:val="center"/>
            <w:hideMark/>
          </w:tcPr>
          <w:p w14:paraId="69814CC8" w14:textId="77777777" w:rsidR="001C19A4" w:rsidRPr="00B101CA" w:rsidRDefault="001C19A4" w:rsidP="005F27A6">
            <w:pPr>
              <w:spacing w:after="0"/>
              <w:ind w:left="60"/>
              <w:jc w:val="center"/>
              <w:rPr>
                <w:rFonts w:cs="Arial"/>
                <w:b/>
                <w:bCs/>
              </w:rPr>
            </w:pPr>
            <w:r w:rsidRPr="00B101CA">
              <w:rPr>
                <w:rFonts w:cs="Arial"/>
                <w:b/>
                <w:bCs/>
              </w:rPr>
              <w:t>School Type</w:t>
            </w:r>
          </w:p>
        </w:tc>
        <w:tc>
          <w:tcPr>
            <w:tcW w:w="2790" w:type="dxa"/>
            <w:shd w:val="clear" w:color="auto" w:fill="D9D9D9" w:themeFill="background1" w:themeFillShade="D9"/>
            <w:noWrap/>
            <w:vAlign w:val="center"/>
            <w:hideMark/>
          </w:tcPr>
          <w:p w14:paraId="206B747E" w14:textId="77777777" w:rsidR="001C19A4" w:rsidRPr="00B101CA" w:rsidRDefault="001C19A4" w:rsidP="005F27A6">
            <w:pPr>
              <w:spacing w:after="0"/>
              <w:jc w:val="center"/>
              <w:rPr>
                <w:rFonts w:cs="Arial"/>
                <w:b/>
                <w:bCs/>
              </w:rPr>
            </w:pPr>
            <w:r w:rsidRPr="00B101CA">
              <w:rPr>
                <w:rFonts w:cs="Arial"/>
                <w:b/>
                <w:bCs/>
              </w:rPr>
              <w:t>Number of Schools</w:t>
            </w:r>
          </w:p>
        </w:tc>
        <w:tc>
          <w:tcPr>
            <w:tcW w:w="2488" w:type="dxa"/>
            <w:shd w:val="clear" w:color="auto" w:fill="D9D9D9" w:themeFill="background1" w:themeFillShade="D9"/>
            <w:noWrap/>
            <w:vAlign w:val="center"/>
            <w:hideMark/>
          </w:tcPr>
          <w:p w14:paraId="5560C576" w14:textId="77777777" w:rsidR="001C19A4" w:rsidRPr="00B101CA" w:rsidRDefault="001C19A4" w:rsidP="005F27A6">
            <w:pPr>
              <w:spacing w:after="0"/>
              <w:jc w:val="center"/>
              <w:rPr>
                <w:rFonts w:cs="Arial"/>
                <w:b/>
                <w:bCs/>
              </w:rPr>
            </w:pPr>
            <w:r w:rsidRPr="00B101CA">
              <w:rPr>
                <w:rFonts w:cs="Arial"/>
                <w:b/>
                <w:bCs/>
              </w:rPr>
              <w:t>Enrollment</w:t>
            </w:r>
          </w:p>
        </w:tc>
      </w:tr>
      <w:tr w:rsidR="001C19A4" w:rsidRPr="00DE4665" w14:paraId="3291EEE0" w14:textId="77777777" w:rsidTr="005F27A6">
        <w:trPr>
          <w:trHeight w:val="271"/>
        </w:trPr>
        <w:tc>
          <w:tcPr>
            <w:tcW w:w="3780" w:type="dxa"/>
            <w:noWrap/>
            <w:hideMark/>
          </w:tcPr>
          <w:p w14:paraId="751FAC4D" w14:textId="77777777" w:rsidR="001C19A4" w:rsidRPr="00DE4665" w:rsidRDefault="001C19A4" w:rsidP="005F27A6">
            <w:pPr>
              <w:spacing w:after="100" w:afterAutospacing="1"/>
              <w:ind w:left="60"/>
              <w:rPr>
                <w:rFonts w:cs="Arial"/>
                <w:bCs/>
              </w:rPr>
            </w:pPr>
            <w:r w:rsidRPr="00DE4665">
              <w:rPr>
                <w:rFonts w:cs="Arial"/>
                <w:bCs/>
              </w:rPr>
              <w:t>Elementary</w:t>
            </w:r>
            <w:r>
              <w:rPr>
                <w:rFonts w:cs="Arial"/>
                <w:bCs/>
              </w:rPr>
              <w:t xml:space="preserve"> (K - 5)</w:t>
            </w:r>
          </w:p>
        </w:tc>
        <w:tc>
          <w:tcPr>
            <w:tcW w:w="2790" w:type="dxa"/>
            <w:noWrap/>
            <w:hideMark/>
          </w:tcPr>
          <w:p w14:paraId="5B21EAE6" w14:textId="77777777" w:rsidR="001C19A4" w:rsidRPr="00DE4665" w:rsidRDefault="001C19A4" w:rsidP="005F27A6">
            <w:pPr>
              <w:spacing w:after="100" w:afterAutospacing="1"/>
              <w:ind w:left="6"/>
              <w:jc w:val="center"/>
              <w:rPr>
                <w:rFonts w:cs="Arial"/>
                <w:bCs/>
              </w:rPr>
            </w:pPr>
            <w:r w:rsidRPr="00DE4665">
              <w:rPr>
                <w:rFonts w:cs="Arial"/>
                <w:bCs/>
              </w:rPr>
              <w:t>29</w:t>
            </w:r>
          </w:p>
        </w:tc>
        <w:tc>
          <w:tcPr>
            <w:tcW w:w="2488" w:type="dxa"/>
            <w:noWrap/>
            <w:hideMark/>
          </w:tcPr>
          <w:p w14:paraId="3F3D6D2B" w14:textId="77777777" w:rsidR="001C19A4" w:rsidRPr="00DE4665" w:rsidRDefault="001C19A4" w:rsidP="005F27A6">
            <w:pPr>
              <w:spacing w:after="100" w:afterAutospacing="1"/>
              <w:ind w:left="66"/>
              <w:jc w:val="right"/>
              <w:rPr>
                <w:rFonts w:cs="Arial"/>
                <w:bCs/>
              </w:rPr>
            </w:pPr>
            <w:r w:rsidRPr="00DE4665">
              <w:rPr>
                <w:rFonts w:cs="Arial"/>
                <w:bCs/>
              </w:rPr>
              <w:t>14</w:t>
            </w:r>
            <w:r>
              <w:rPr>
                <w:rFonts w:cs="Arial"/>
                <w:bCs/>
              </w:rPr>
              <w:t>,</w:t>
            </w:r>
            <w:r w:rsidRPr="00DE4665">
              <w:rPr>
                <w:rFonts w:cs="Arial"/>
                <w:bCs/>
              </w:rPr>
              <w:t>338</w:t>
            </w:r>
          </w:p>
        </w:tc>
      </w:tr>
      <w:tr w:rsidR="001C19A4" w:rsidRPr="00DE4665" w14:paraId="0F703D54" w14:textId="77777777" w:rsidTr="005F27A6">
        <w:trPr>
          <w:trHeight w:val="271"/>
        </w:trPr>
        <w:tc>
          <w:tcPr>
            <w:tcW w:w="3780" w:type="dxa"/>
            <w:noWrap/>
            <w:hideMark/>
          </w:tcPr>
          <w:p w14:paraId="2385E291" w14:textId="77777777" w:rsidR="001C19A4" w:rsidRPr="00DE4665" w:rsidRDefault="001C19A4" w:rsidP="005F27A6">
            <w:pPr>
              <w:spacing w:after="100" w:afterAutospacing="1"/>
              <w:ind w:left="60"/>
              <w:rPr>
                <w:rFonts w:cs="Arial"/>
                <w:bCs/>
              </w:rPr>
            </w:pPr>
            <w:r w:rsidRPr="00DE4665">
              <w:rPr>
                <w:rFonts w:cs="Arial"/>
                <w:bCs/>
              </w:rPr>
              <w:t>Middle</w:t>
            </w:r>
            <w:r>
              <w:rPr>
                <w:rFonts w:cs="Arial"/>
                <w:bCs/>
              </w:rPr>
              <w:t xml:space="preserve"> (6 - 8)</w:t>
            </w:r>
          </w:p>
        </w:tc>
        <w:tc>
          <w:tcPr>
            <w:tcW w:w="2790" w:type="dxa"/>
            <w:noWrap/>
            <w:hideMark/>
          </w:tcPr>
          <w:p w14:paraId="62518A53" w14:textId="77777777" w:rsidR="001C19A4" w:rsidRPr="00DE4665" w:rsidRDefault="001C19A4" w:rsidP="005F27A6">
            <w:pPr>
              <w:spacing w:after="100" w:afterAutospacing="1"/>
              <w:ind w:left="6"/>
              <w:jc w:val="center"/>
              <w:rPr>
                <w:rFonts w:cs="Arial"/>
                <w:bCs/>
              </w:rPr>
            </w:pPr>
            <w:r w:rsidRPr="00DE4665">
              <w:rPr>
                <w:rFonts w:cs="Arial"/>
                <w:bCs/>
              </w:rPr>
              <w:t>9</w:t>
            </w:r>
          </w:p>
        </w:tc>
        <w:tc>
          <w:tcPr>
            <w:tcW w:w="2488" w:type="dxa"/>
            <w:noWrap/>
            <w:hideMark/>
          </w:tcPr>
          <w:p w14:paraId="6D346E16" w14:textId="77777777" w:rsidR="001C19A4" w:rsidRPr="00DE4665" w:rsidRDefault="001C19A4" w:rsidP="005F27A6">
            <w:pPr>
              <w:spacing w:after="100" w:afterAutospacing="1"/>
              <w:ind w:left="66"/>
              <w:jc w:val="right"/>
              <w:rPr>
                <w:rFonts w:cs="Arial"/>
                <w:bCs/>
              </w:rPr>
            </w:pPr>
            <w:r w:rsidRPr="00DE4665">
              <w:rPr>
                <w:rFonts w:cs="Arial"/>
                <w:bCs/>
              </w:rPr>
              <w:t>6</w:t>
            </w:r>
            <w:r>
              <w:rPr>
                <w:rFonts w:cs="Arial"/>
                <w:bCs/>
              </w:rPr>
              <w:t>,</w:t>
            </w:r>
            <w:r w:rsidRPr="00DE4665">
              <w:rPr>
                <w:rFonts w:cs="Arial"/>
                <w:bCs/>
              </w:rPr>
              <w:t>737</w:t>
            </w:r>
          </w:p>
        </w:tc>
      </w:tr>
      <w:tr w:rsidR="001C19A4" w:rsidRPr="00DE4665" w14:paraId="4C9E68F0" w14:textId="77777777" w:rsidTr="005F27A6">
        <w:trPr>
          <w:trHeight w:val="271"/>
        </w:trPr>
        <w:tc>
          <w:tcPr>
            <w:tcW w:w="3780" w:type="dxa"/>
            <w:noWrap/>
            <w:hideMark/>
          </w:tcPr>
          <w:p w14:paraId="5FED7264" w14:textId="77777777" w:rsidR="001C19A4" w:rsidRPr="00DE4665" w:rsidRDefault="001C19A4" w:rsidP="005F27A6">
            <w:pPr>
              <w:spacing w:after="100" w:afterAutospacing="1"/>
              <w:ind w:left="60"/>
              <w:rPr>
                <w:rFonts w:cs="Arial"/>
                <w:bCs/>
              </w:rPr>
            </w:pPr>
            <w:r w:rsidRPr="00DE4665">
              <w:rPr>
                <w:rFonts w:cs="Arial"/>
                <w:bCs/>
              </w:rPr>
              <w:t>High</w:t>
            </w:r>
            <w:r>
              <w:rPr>
                <w:rFonts w:cs="Arial"/>
                <w:bCs/>
              </w:rPr>
              <w:t xml:space="preserve"> (9 - 12) </w:t>
            </w:r>
          </w:p>
        </w:tc>
        <w:tc>
          <w:tcPr>
            <w:tcW w:w="2790" w:type="dxa"/>
            <w:noWrap/>
            <w:hideMark/>
          </w:tcPr>
          <w:p w14:paraId="334A4CFB" w14:textId="77777777" w:rsidR="001C19A4" w:rsidRPr="00DE4665" w:rsidRDefault="001C19A4" w:rsidP="005F27A6">
            <w:pPr>
              <w:spacing w:after="100" w:afterAutospacing="1"/>
              <w:ind w:left="6"/>
              <w:jc w:val="center"/>
              <w:rPr>
                <w:rFonts w:cs="Arial"/>
                <w:bCs/>
              </w:rPr>
            </w:pPr>
            <w:r w:rsidRPr="00DE4665">
              <w:rPr>
                <w:rFonts w:cs="Arial"/>
                <w:bCs/>
              </w:rPr>
              <w:t>5</w:t>
            </w:r>
          </w:p>
        </w:tc>
        <w:tc>
          <w:tcPr>
            <w:tcW w:w="2488" w:type="dxa"/>
            <w:noWrap/>
            <w:hideMark/>
          </w:tcPr>
          <w:p w14:paraId="44780D2E" w14:textId="77777777" w:rsidR="001C19A4" w:rsidRPr="00DE4665" w:rsidRDefault="001C19A4" w:rsidP="005F27A6">
            <w:pPr>
              <w:spacing w:after="100" w:afterAutospacing="1"/>
              <w:ind w:left="66"/>
              <w:jc w:val="right"/>
              <w:rPr>
                <w:rFonts w:cs="Arial"/>
                <w:bCs/>
              </w:rPr>
            </w:pPr>
            <w:r w:rsidRPr="00DE4665">
              <w:rPr>
                <w:rFonts w:cs="Arial"/>
                <w:bCs/>
              </w:rPr>
              <w:t>7</w:t>
            </w:r>
            <w:r>
              <w:rPr>
                <w:rFonts w:cs="Arial"/>
                <w:bCs/>
              </w:rPr>
              <w:t>,</w:t>
            </w:r>
            <w:r w:rsidRPr="00DE4665">
              <w:rPr>
                <w:rFonts w:cs="Arial"/>
                <w:bCs/>
              </w:rPr>
              <w:t>561</w:t>
            </w:r>
          </w:p>
        </w:tc>
      </w:tr>
      <w:tr w:rsidR="001C19A4" w:rsidRPr="00DE4665" w14:paraId="536F56AC" w14:textId="77777777" w:rsidTr="005F27A6">
        <w:trPr>
          <w:trHeight w:val="271"/>
        </w:trPr>
        <w:tc>
          <w:tcPr>
            <w:tcW w:w="3780" w:type="dxa"/>
            <w:noWrap/>
            <w:hideMark/>
          </w:tcPr>
          <w:p w14:paraId="742CA71C" w14:textId="77777777" w:rsidR="001C19A4" w:rsidRPr="00DE4665" w:rsidRDefault="001C19A4" w:rsidP="005F27A6">
            <w:pPr>
              <w:spacing w:after="100" w:afterAutospacing="1"/>
              <w:ind w:left="60"/>
              <w:rPr>
                <w:rFonts w:cs="Arial"/>
                <w:bCs/>
              </w:rPr>
            </w:pPr>
            <w:r w:rsidRPr="00DE4665">
              <w:rPr>
                <w:rFonts w:cs="Arial"/>
                <w:bCs/>
              </w:rPr>
              <w:t>Alternative</w:t>
            </w:r>
          </w:p>
        </w:tc>
        <w:tc>
          <w:tcPr>
            <w:tcW w:w="2790" w:type="dxa"/>
            <w:noWrap/>
            <w:hideMark/>
          </w:tcPr>
          <w:p w14:paraId="7013DAE6" w14:textId="77777777" w:rsidR="001C19A4" w:rsidRPr="00DE4665" w:rsidRDefault="001C19A4" w:rsidP="005F27A6">
            <w:pPr>
              <w:spacing w:after="100" w:afterAutospacing="1"/>
              <w:ind w:left="6"/>
              <w:jc w:val="center"/>
              <w:rPr>
                <w:rFonts w:cs="Arial"/>
                <w:bCs/>
              </w:rPr>
            </w:pPr>
            <w:r w:rsidRPr="00DE4665">
              <w:rPr>
                <w:rFonts w:cs="Arial"/>
                <w:bCs/>
              </w:rPr>
              <w:t>2</w:t>
            </w:r>
          </w:p>
        </w:tc>
        <w:tc>
          <w:tcPr>
            <w:tcW w:w="2488" w:type="dxa"/>
            <w:noWrap/>
            <w:hideMark/>
          </w:tcPr>
          <w:p w14:paraId="44C1A1F7" w14:textId="41293023" w:rsidR="001C19A4" w:rsidRPr="00DE4665" w:rsidRDefault="001C19A4" w:rsidP="005F27A6">
            <w:pPr>
              <w:spacing w:after="100" w:afterAutospacing="1"/>
              <w:ind w:left="66"/>
              <w:jc w:val="right"/>
              <w:rPr>
                <w:rFonts w:cs="Arial"/>
                <w:bCs/>
              </w:rPr>
            </w:pPr>
            <w:r w:rsidRPr="00DE4665">
              <w:rPr>
                <w:rFonts w:cs="Arial"/>
                <w:bCs/>
              </w:rPr>
              <w:t>196</w:t>
            </w:r>
          </w:p>
        </w:tc>
      </w:tr>
      <w:tr w:rsidR="001C19A4" w:rsidRPr="00DE4665" w14:paraId="7E451E93" w14:textId="77777777" w:rsidTr="005F27A6">
        <w:trPr>
          <w:trHeight w:val="271"/>
        </w:trPr>
        <w:tc>
          <w:tcPr>
            <w:tcW w:w="3780" w:type="dxa"/>
            <w:noWrap/>
            <w:hideMark/>
          </w:tcPr>
          <w:p w14:paraId="715CEB6F" w14:textId="77777777" w:rsidR="001C19A4" w:rsidRPr="00DE4665" w:rsidRDefault="001C19A4" w:rsidP="005F27A6">
            <w:pPr>
              <w:spacing w:after="100" w:afterAutospacing="1"/>
              <w:ind w:left="60"/>
              <w:rPr>
                <w:rFonts w:cs="Arial"/>
                <w:bCs/>
              </w:rPr>
            </w:pPr>
            <w:r w:rsidRPr="00DE4665">
              <w:rPr>
                <w:rFonts w:cs="Arial"/>
                <w:bCs/>
              </w:rPr>
              <w:t>Community Day</w:t>
            </w:r>
          </w:p>
        </w:tc>
        <w:tc>
          <w:tcPr>
            <w:tcW w:w="2790" w:type="dxa"/>
            <w:noWrap/>
            <w:hideMark/>
          </w:tcPr>
          <w:p w14:paraId="14C0F132" w14:textId="77777777" w:rsidR="001C19A4" w:rsidRPr="00DE4665" w:rsidRDefault="001C19A4" w:rsidP="005F27A6">
            <w:pPr>
              <w:spacing w:after="100" w:afterAutospacing="1"/>
              <w:ind w:left="6"/>
              <w:jc w:val="center"/>
              <w:rPr>
                <w:rFonts w:cs="Arial"/>
                <w:bCs/>
              </w:rPr>
            </w:pPr>
            <w:r w:rsidRPr="00DE4665">
              <w:rPr>
                <w:rFonts w:cs="Arial"/>
                <w:bCs/>
              </w:rPr>
              <w:t>1</w:t>
            </w:r>
          </w:p>
        </w:tc>
        <w:tc>
          <w:tcPr>
            <w:tcW w:w="2488" w:type="dxa"/>
            <w:noWrap/>
            <w:hideMark/>
          </w:tcPr>
          <w:p w14:paraId="48F1C5FC" w14:textId="77777777" w:rsidR="001C19A4" w:rsidRPr="00DE4665" w:rsidRDefault="001C19A4" w:rsidP="005F27A6">
            <w:pPr>
              <w:spacing w:after="100" w:afterAutospacing="1"/>
              <w:ind w:left="66"/>
              <w:jc w:val="right"/>
              <w:rPr>
                <w:rFonts w:cs="Arial"/>
                <w:bCs/>
              </w:rPr>
            </w:pPr>
            <w:r w:rsidRPr="00DE4665">
              <w:rPr>
                <w:rFonts w:cs="Arial"/>
                <w:bCs/>
              </w:rPr>
              <w:t>17</w:t>
            </w:r>
          </w:p>
        </w:tc>
      </w:tr>
      <w:tr w:rsidR="001C19A4" w:rsidRPr="00DE4665" w14:paraId="4A0DE98E" w14:textId="77777777" w:rsidTr="005F27A6">
        <w:trPr>
          <w:trHeight w:val="271"/>
        </w:trPr>
        <w:tc>
          <w:tcPr>
            <w:tcW w:w="3780" w:type="dxa"/>
            <w:noWrap/>
            <w:hideMark/>
          </w:tcPr>
          <w:p w14:paraId="3CB2D8ED" w14:textId="77777777" w:rsidR="001C19A4" w:rsidRPr="00DE4665" w:rsidRDefault="001C19A4" w:rsidP="005F27A6">
            <w:pPr>
              <w:spacing w:after="100" w:afterAutospacing="1"/>
              <w:ind w:left="60"/>
              <w:rPr>
                <w:rFonts w:cs="Arial"/>
                <w:bCs/>
              </w:rPr>
            </w:pPr>
            <w:r w:rsidRPr="00DE4665">
              <w:rPr>
                <w:rFonts w:cs="Arial"/>
                <w:bCs/>
              </w:rPr>
              <w:t>Continuation High</w:t>
            </w:r>
          </w:p>
        </w:tc>
        <w:tc>
          <w:tcPr>
            <w:tcW w:w="2790" w:type="dxa"/>
            <w:noWrap/>
            <w:hideMark/>
          </w:tcPr>
          <w:p w14:paraId="3438C8C0" w14:textId="77777777" w:rsidR="001C19A4" w:rsidRPr="00DE4665" w:rsidRDefault="001C19A4" w:rsidP="005F27A6">
            <w:pPr>
              <w:spacing w:after="100" w:afterAutospacing="1"/>
              <w:ind w:left="6"/>
              <w:jc w:val="center"/>
              <w:rPr>
                <w:rFonts w:cs="Arial"/>
                <w:bCs/>
              </w:rPr>
            </w:pPr>
            <w:r w:rsidRPr="00DE4665">
              <w:rPr>
                <w:rFonts w:cs="Arial"/>
                <w:bCs/>
              </w:rPr>
              <w:t>3</w:t>
            </w:r>
          </w:p>
        </w:tc>
        <w:tc>
          <w:tcPr>
            <w:tcW w:w="2488" w:type="dxa"/>
            <w:noWrap/>
            <w:hideMark/>
          </w:tcPr>
          <w:p w14:paraId="017A40A0" w14:textId="77777777" w:rsidR="001C19A4" w:rsidRPr="00DE4665" w:rsidRDefault="001C19A4" w:rsidP="005F27A6">
            <w:pPr>
              <w:spacing w:after="100" w:afterAutospacing="1"/>
              <w:ind w:left="66"/>
              <w:jc w:val="right"/>
              <w:rPr>
                <w:rFonts w:cs="Arial"/>
                <w:bCs/>
              </w:rPr>
            </w:pPr>
            <w:r w:rsidRPr="00DE4665">
              <w:rPr>
                <w:rFonts w:cs="Arial"/>
                <w:bCs/>
              </w:rPr>
              <w:t>365</w:t>
            </w:r>
          </w:p>
        </w:tc>
      </w:tr>
      <w:tr w:rsidR="001C19A4" w:rsidRPr="00DE4665" w14:paraId="22B41AC6" w14:textId="77777777" w:rsidTr="005F27A6">
        <w:trPr>
          <w:trHeight w:val="271"/>
        </w:trPr>
        <w:tc>
          <w:tcPr>
            <w:tcW w:w="3780" w:type="dxa"/>
            <w:noWrap/>
            <w:hideMark/>
          </w:tcPr>
          <w:p w14:paraId="12C5C59B" w14:textId="77777777" w:rsidR="001C19A4" w:rsidRPr="00DE4665" w:rsidRDefault="001C19A4" w:rsidP="005F27A6">
            <w:pPr>
              <w:spacing w:after="100" w:afterAutospacing="1"/>
              <w:ind w:left="60"/>
              <w:rPr>
                <w:rFonts w:cs="Arial"/>
                <w:bCs/>
              </w:rPr>
            </w:pPr>
            <w:r w:rsidRPr="00DE4665">
              <w:rPr>
                <w:rFonts w:cs="Arial"/>
                <w:bCs/>
              </w:rPr>
              <w:t>Special Education</w:t>
            </w:r>
          </w:p>
        </w:tc>
        <w:tc>
          <w:tcPr>
            <w:tcW w:w="2790" w:type="dxa"/>
            <w:noWrap/>
            <w:hideMark/>
          </w:tcPr>
          <w:p w14:paraId="483A8228" w14:textId="77777777" w:rsidR="001C19A4" w:rsidRPr="00DE4665" w:rsidRDefault="001C19A4" w:rsidP="005F27A6">
            <w:pPr>
              <w:spacing w:after="100" w:afterAutospacing="1"/>
              <w:ind w:left="6"/>
              <w:jc w:val="center"/>
              <w:rPr>
                <w:rFonts w:cs="Arial"/>
                <w:bCs/>
              </w:rPr>
            </w:pPr>
            <w:r w:rsidRPr="00DE4665">
              <w:rPr>
                <w:rFonts w:cs="Arial"/>
                <w:bCs/>
              </w:rPr>
              <w:t>2</w:t>
            </w:r>
          </w:p>
        </w:tc>
        <w:tc>
          <w:tcPr>
            <w:tcW w:w="2488" w:type="dxa"/>
            <w:noWrap/>
            <w:hideMark/>
          </w:tcPr>
          <w:p w14:paraId="07A010E0" w14:textId="77777777" w:rsidR="001C19A4" w:rsidRPr="00DE4665" w:rsidRDefault="001C19A4" w:rsidP="005F27A6">
            <w:pPr>
              <w:spacing w:after="100" w:afterAutospacing="1"/>
              <w:ind w:left="66"/>
              <w:jc w:val="right"/>
              <w:rPr>
                <w:rFonts w:cs="Arial"/>
                <w:bCs/>
              </w:rPr>
            </w:pPr>
            <w:r w:rsidRPr="00DE4665">
              <w:rPr>
                <w:rFonts w:cs="Arial"/>
                <w:bCs/>
              </w:rPr>
              <w:t>45</w:t>
            </w:r>
          </w:p>
        </w:tc>
      </w:tr>
      <w:tr w:rsidR="001C19A4" w:rsidRPr="00DE4665" w14:paraId="6D9F80D3" w14:textId="77777777" w:rsidTr="005F27A6">
        <w:trPr>
          <w:trHeight w:val="271"/>
        </w:trPr>
        <w:tc>
          <w:tcPr>
            <w:tcW w:w="3780" w:type="dxa"/>
            <w:noWrap/>
            <w:hideMark/>
          </w:tcPr>
          <w:p w14:paraId="7273D6A6" w14:textId="77777777" w:rsidR="001C19A4" w:rsidRPr="00DE4665" w:rsidRDefault="001C19A4" w:rsidP="005F27A6">
            <w:pPr>
              <w:spacing w:after="100" w:afterAutospacing="1"/>
              <w:ind w:left="60"/>
              <w:rPr>
                <w:rFonts w:cs="Arial"/>
                <w:bCs/>
              </w:rPr>
            </w:pPr>
            <w:r w:rsidRPr="00DE4665">
              <w:rPr>
                <w:rFonts w:cs="Arial"/>
                <w:bCs/>
              </w:rPr>
              <w:t>Other (District Office)</w:t>
            </w:r>
          </w:p>
        </w:tc>
        <w:tc>
          <w:tcPr>
            <w:tcW w:w="2790" w:type="dxa"/>
            <w:noWrap/>
            <w:hideMark/>
          </w:tcPr>
          <w:p w14:paraId="60FE8B66" w14:textId="77777777" w:rsidR="001C19A4" w:rsidRPr="00DE4665" w:rsidRDefault="001C19A4" w:rsidP="005F27A6">
            <w:pPr>
              <w:spacing w:after="100" w:afterAutospacing="1"/>
              <w:ind w:left="6"/>
              <w:jc w:val="center"/>
              <w:rPr>
                <w:rFonts w:cs="Arial"/>
                <w:bCs/>
              </w:rPr>
            </w:pPr>
            <w:r>
              <w:rPr>
                <w:rFonts w:cs="Arial"/>
                <w:bCs/>
              </w:rPr>
              <w:t>N/A</w:t>
            </w:r>
          </w:p>
        </w:tc>
        <w:tc>
          <w:tcPr>
            <w:tcW w:w="2488" w:type="dxa"/>
            <w:noWrap/>
            <w:hideMark/>
          </w:tcPr>
          <w:p w14:paraId="2036B3E1" w14:textId="77777777" w:rsidR="001C19A4" w:rsidRPr="00DE4665" w:rsidRDefault="001C19A4" w:rsidP="005F27A6">
            <w:pPr>
              <w:spacing w:after="100" w:afterAutospacing="1"/>
              <w:ind w:left="66"/>
              <w:jc w:val="right"/>
              <w:rPr>
                <w:rFonts w:cs="Arial"/>
                <w:bCs/>
              </w:rPr>
            </w:pPr>
            <w:r w:rsidRPr="00DE4665">
              <w:rPr>
                <w:rFonts w:cs="Arial"/>
                <w:bCs/>
              </w:rPr>
              <w:t>215</w:t>
            </w:r>
          </w:p>
        </w:tc>
      </w:tr>
      <w:tr w:rsidR="001C19A4" w:rsidRPr="00DE4665" w14:paraId="4B9F2572" w14:textId="77777777" w:rsidTr="005F27A6">
        <w:trPr>
          <w:trHeight w:val="271"/>
        </w:trPr>
        <w:tc>
          <w:tcPr>
            <w:tcW w:w="3780" w:type="dxa"/>
            <w:noWrap/>
            <w:hideMark/>
          </w:tcPr>
          <w:p w14:paraId="1B1E0070" w14:textId="77777777" w:rsidR="001C19A4" w:rsidRPr="00581ECD" w:rsidRDefault="001C19A4" w:rsidP="005F27A6">
            <w:pPr>
              <w:spacing w:after="100" w:afterAutospacing="1"/>
              <w:ind w:left="60"/>
              <w:rPr>
                <w:rFonts w:cs="Arial"/>
                <w:b/>
                <w:bCs/>
              </w:rPr>
            </w:pPr>
            <w:r w:rsidRPr="00581ECD">
              <w:rPr>
                <w:rFonts w:cs="Arial"/>
                <w:b/>
                <w:bCs/>
              </w:rPr>
              <w:t>Total</w:t>
            </w:r>
          </w:p>
        </w:tc>
        <w:tc>
          <w:tcPr>
            <w:tcW w:w="2790" w:type="dxa"/>
            <w:noWrap/>
            <w:hideMark/>
          </w:tcPr>
          <w:p w14:paraId="69037DCF" w14:textId="77777777" w:rsidR="001C19A4" w:rsidRPr="00581ECD" w:rsidRDefault="001C19A4" w:rsidP="005F27A6">
            <w:pPr>
              <w:spacing w:after="100" w:afterAutospacing="1"/>
              <w:ind w:left="6"/>
              <w:jc w:val="center"/>
              <w:rPr>
                <w:rFonts w:cs="Arial"/>
                <w:b/>
                <w:bCs/>
              </w:rPr>
            </w:pPr>
            <w:r w:rsidRPr="00581ECD">
              <w:rPr>
                <w:rFonts w:cs="Arial"/>
                <w:b/>
                <w:bCs/>
              </w:rPr>
              <w:t>51</w:t>
            </w:r>
          </w:p>
        </w:tc>
        <w:tc>
          <w:tcPr>
            <w:tcW w:w="2488" w:type="dxa"/>
            <w:noWrap/>
            <w:hideMark/>
          </w:tcPr>
          <w:p w14:paraId="45FE6616" w14:textId="77777777" w:rsidR="001C19A4" w:rsidRPr="00581ECD" w:rsidRDefault="001C19A4" w:rsidP="005F27A6">
            <w:pPr>
              <w:spacing w:after="100" w:afterAutospacing="1"/>
              <w:ind w:left="66"/>
              <w:jc w:val="right"/>
              <w:rPr>
                <w:rFonts w:cs="Arial"/>
                <w:b/>
                <w:bCs/>
              </w:rPr>
            </w:pPr>
            <w:r w:rsidRPr="00581ECD">
              <w:rPr>
                <w:rFonts w:cs="Arial"/>
                <w:b/>
                <w:bCs/>
              </w:rPr>
              <w:t>29,474</w:t>
            </w:r>
          </w:p>
        </w:tc>
      </w:tr>
    </w:tbl>
    <w:p w14:paraId="336C5CE2" w14:textId="77777777" w:rsidR="001C19A4" w:rsidRPr="00F76924" w:rsidRDefault="001C19A4" w:rsidP="005F27A6">
      <w:pPr>
        <w:spacing w:before="120"/>
        <w:ind w:left="360"/>
        <w:rPr>
          <w:rStyle w:val="Strong"/>
          <w:i/>
        </w:rPr>
      </w:pPr>
      <w:r w:rsidRPr="00F76924">
        <w:rPr>
          <w:rStyle w:val="Strong"/>
          <w:i/>
        </w:rPr>
        <w:t>Source: CALPADS, Fiscal Year 2020–21</w:t>
      </w:r>
    </w:p>
    <w:p w14:paraId="5F34151A" w14:textId="77777777" w:rsidR="001C19A4" w:rsidRPr="009D4587" w:rsidRDefault="001C19A4" w:rsidP="000A33F9">
      <w:pPr>
        <w:pStyle w:val="Heading3"/>
        <w:numPr>
          <w:ilvl w:val="1"/>
          <w:numId w:val="40"/>
        </w:numPr>
        <w:ind w:left="720" w:hanging="720"/>
        <w:rPr>
          <w:rStyle w:val="Strong"/>
          <w:rFonts w:cstheme="minorBidi"/>
          <w:b/>
          <w:bCs w:val="0"/>
        </w:rPr>
      </w:pPr>
      <w:r w:rsidRPr="009D4587">
        <w:rPr>
          <w:rStyle w:val="Strong"/>
          <w:rFonts w:cstheme="minorBidi"/>
          <w:b/>
        </w:rPr>
        <w:t>Schools in Proposed Districts</w:t>
      </w:r>
    </w:p>
    <w:p w14:paraId="6C1A7FD4" w14:textId="77777777" w:rsidR="001C19A4" w:rsidRDefault="001C19A4" w:rsidP="005F27A6">
      <w:pPr>
        <w:ind w:left="360"/>
        <w:rPr>
          <w:rStyle w:val="Strong"/>
          <w:b w:val="0"/>
        </w:rPr>
      </w:pPr>
      <w:r>
        <w:rPr>
          <w:rStyle w:val="Strong"/>
          <w:b w:val="0"/>
        </w:rPr>
        <w:t xml:space="preserve">The proposal to form a new Northgate USD from a portion of the existing Mt. Diablo USD identifies the territory for the new district as all of the territory included in the attendance areas of the Bancroft Elementary, Valle Verde Elementary, Walnut Acres Elementary, Foothill Middle, and Northgate High as of April 24, 2016. </w:t>
      </w:r>
    </w:p>
    <w:p w14:paraId="4FA6CBBF" w14:textId="77777777" w:rsidR="001C19A4" w:rsidRDefault="001C19A4" w:rsidP="005F27A6">
      <w:pPr>
        <w:ind w:left="360"/>
        <w:rPr>
          <w:rStyle w:val="Strong"/>
          <w:b w:val="0"/>
        </w:rPr>
      </w:pPr>
      <w:r>
        <w:rPr>
          <w:rStyle w:val="Strong"/>
          <w:b w:val="0"/>
        </w:rPr>
        <w:t xml:space="preserve">The proposed new school district’s territory would then include those five school sites as well as three additional school sites owned by Mt. Diablo USD: Oak Grove Middle, Ygnacio Valley High, and the former Castle Rock Elementary site that is currently occupied by Eagle Peak Montessori charter school. The remaining 44 schools (26 elementary, 7 middle, 3 high schools, and 8 other schools) would be retained by Mt. Diablo USD. </w:t>
      </w:r>
      <w:r>
        <w:t>The proposed Northgate USD would be a medium-sized school district in Contra Costa County as measured by total enrollment, and would be close to the median among all unified districts in California.</w:t>
      </w:r>
    </w:p>
    <w:p w14:paraId="4CE32F3C" w14:textId="77777777" w:rsidR="001C19A4" w:rsidRDefault="001C19A4" w:rsidP="005F27A6">
      <w:pPr>
        <w:ind w:left="360"/>
        <w:rPr>
          <w:rStyle w:val="Strong"/>
          <w:b w:val="0"/>
        </w:rPr>
      </w:pPr>
      <w:r>
        <w:rPr>
          <w:rStyle w:val="Strong"/>
          <w:b w:val="0"/>
        </w:rPr>
        <w:t>Table 2a lists the school sites within the territory identified for the proposed Northgate USD along with the grade levels they serve and their enrollment for Fiscal Year 2020–21. Table 2b lists the same information for the remaining portion of the Mt. Diablo USD. T</w:t>
      </w:r>
      <w:r w:rsidRPr="00FD732C">
        <w:rPr>
          <w:rStyle w:val="Strong"/>
          <w:b w:val="0"/>
        </w:rPr>
        <w:t>he</w:t>
      </w:r>
      <w:r>
        <w:rPr>
          <w:rStyle w:val="Strong"/>
          <w:b w:val="0"/>
        </w:rPr>
        <w:t xml:space="preserve"> </w:t>
      </w:r>
      <w:r w:rsidRPr="00FD732C">
        <w:rPr>
          <w:rStyle w:val="Strong"/>
          <w:b w:val="0"/>
        </w:rPr>
        <w:t xml:space="preserve">Oak Grove Middle and Ygnacio Valley High school sites </w:t>
      </w:r>
      <w:r>
        <w:rPr>
          <w:rStyle w:val="Strong"/>
          <w:b w:val="0"/>
        </w:rPr>
        <w:t>are included in the Northgate USD territory, but their attendance areas are</w:t>
      </w:r>
      <w:r w:rsidRPr="00FD732C">
        <w:rPr>
          <w:rStyle w:val="Strong"/>
          <w:b w:val="0"/>
        </w:rPr>
        <w:t xml:space="preserve"> not. </w:t>
      </w:r>
      <w:r>
        <w:rPr>
          <w:rStyle w:val="Strong"/>
          <w:b w:val="0"/>
        </w:rPr>
        <w:t>The</w:t>
      </w:r>
      <w:r w:rsidRPr="00FD732C">
        <w:rPr>
          <w:rStyle w:val="Strong"/>
          <w:b w:val="0"/>
        </w:rPr>
        <w:t xml:space="preserve"> </w:t>
      </w:r>
      <w:r w:rsidRPr="00FD732C">
        <w:rPr>
          <w:rStyle w:val="Strong"/>
          <w:b w:val="0"/>
        </w:rPr>
        <w:lastRenderedPageBreak/>
        <w:t>students</w:t>
      </w:r>
      <w:r>
        <w:rPr>
          <w:rStyle w:val="Strong"/>
          <w:b w:val="0"/>
        </w:rPr>
        <w:t xml:space="preserve"> </w:t>
      </w:r>
      <w:r w:rsidRPr="00FD732C">
        <w:rPr>
          <w:rStyle w:val="Strong"/>
          <w:b w:val="0"/>
        </w:rPr>
        <w:t xml:space="preserve">housed at these sites </w:t>
      </w:r>
      <w:r>
        <w:rPr>
          <w:rStyle w:val="Strong"/>
          <w:b w:val="0"/>
        </w:rPr>
        <w:t xml:space="preserve">will need to enroll at another school site within the </w:t>
      </w:r>
      <w:r w:rsidRPr="00FD732C">
        <w:rPr>
          <w:rStyle w:val="Strong"/>
          <w:b w:val="0"/>
        </w:rPr>
        <w:t>remain</w:t>
      </w:r>
      <w:r>
        <w:rPr>
          <w:rStyle w:val="Strong"/>
          <w:b w:val="0"/>
        </w:rPr>
        <w:t>ing</w:t>
      </w:r>
      <w:r w:rsidRPr="00FD732C">
        <w:rPr>
          <w:rStyle w:val="Strong"/>
          <w:b w:val="0"/>
        </w:rPr>
        <w:t xml:space="preserve"> </w:t>
      </w:r>
      <w:r>
        <w:rPr>
          <w:rStyle w:val="Strong"/>
          <w:b w:val="0"/>
        </w:rPr>
        <w:t xml:space="preserve">portion </w:t>
      </w:r>
      <w:r w:rsidRPr="00FD732C">
        <w:rPr>
          <w:rStyle w:val="Strong"/>
          <w:b w:val="0"/>
        </w:rPr>
        <w:t>of the Mt. Diablo USD</w:t>
      </w:r>
      <w:r>
        <w:rPr>
          <w:rStyle w:val="Strong"/>
          <w:b w:val="0"/>
        </w:rPr>
        <w:t xml:space="preserve"> should the reorganization be approved. Accordingly, for purposes of this report, enrollment and achievement data for these two schools will be grouped with the remaining portion of the Mt. Diablo USD. Eagle Peak Montessori charter school is not included in this report because it is not a district-operated school. </w:t>
      </w:r>
    </w:p>
    <w:p w14:paraId="5902E188" w14:textId="77777777" w:rsidR="001C19A4" w:rsidRPr="00AF653A" w:rsidRDefault="001C19A4" w:rsidP="00AF653A">
      <w:pPr>
        <w:pStyle w:val="Heading4"/>
        <w:rPr>
          <w:rStyle w:val="Strong"/>
          <w:rFonts w:eastAsiaTheme="majorEastAsia"/>
          <w:b/>
          <w:bCs w:val="0"/>
        </w:rPr>
      </w:pPr>
      <w:r w:rsidRPr="00AF653A">
        <w:rPr>
          <w:rStyle w:val="Strong"/>
          <w:rFonts w:eastAsiaTheme="majorEastAsia"/>
          <w:b/>
          <w:bCs w:val="0"/>
        </w:rPr>
        <w:t>Table 2a. Schools in the Proposed Northgate USD</w:t>
      </w:r>
    </w:p>
    <w:tbl>
      <w:tblPr>
        <w:tblStyle w:val="TableGrid"/>
        <w:tblW w:w="905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2a provides enrollment and grade levels served for each school in the proposed Northgate USD for the 2020-21 academic year."/>
      </w:tblPr>
      <w:tblGrid>
        <w:gridCol w:w="3780"/>
        <w:gridCol w:w="2790"/>
        <w:gridCol w:w="2488"/>
      </w:tblGrid>
      <w:tr w:rsidR="001C19A4" w:rsidRPr="00B101CA" w14:paraId="081A9361" w14:textId="77777777" w:rsidTr="005F27A6">
        <w:trPr>
          <w:trHeight w:val="15"/>
          <w:tblHeader/>
        </w:trPr>
        <w:tc>
          <w:tcPr>
            <w:tcW w:w="3780" w:type="dxa"/>
            <w:shd w:val="clear" w:color="auto" w:fill="D9D9D9" w:themeFill="background1" w:themeFillShade="D9"/>
            <w:noWrap/>
            <w:vAlign w:val="center"/>
            <w:hideMark/>
          </w:tcPr>
          <w:p w14:paraId="5E930C66" w14:textId="77777777" w:rsidR="001C19A4" w:rsidRPr="00B101CA" w:rsidRDefault="001C19A4" w:rsidP="005F27A6">
            <w:pPr>
              <w:spacing w:after="0"/>
              <w:ind w:left="60"/>
              <w:jc w:val="center"/>
              <w:rPr>
                <w:rFonts w:cs="Arial"/>
                <w:b/>
                <w:bCs/>
              </w:rPr>
            </w:pPr>
            <w:r w:rsidRPr="00B101CA">
              <w:rPr>
                <w:rFonts w:cs="Arial"/>
                <w:b/>
                <w:bCs/>
              </w:rPr>
              <w:t xml:space="preserve">School </w:t>
            </w:r>
            <w:r>
              <w:rPr>
                <w:rFonts w:cs="Arial"/>
                <w:b/>
                <w:bCs/>
              </w:rPr>
              <w:t>Name</w:t>
            </w:r>
          </w:p>
        </w:tc>
        <w:tc>
          <w:tcPr>
            <w:tcW w:w="2790" w:type="dxa"/>
            <w:shd w:val="clear" w:color="auto" w:fill="D9D9D9" w:themeFill="background1" w:themeFillShade="D9"/>
            <w:noWrap/>
            <w:vAlign w:val="center"/>
            <w:hideMark/>
          </w:tcPr>
          <w:p w14:paraId="4A4F97C5" w14:textId="77777777" w:rsidR="001C19A4" w:rsidRPr="00B101CA" w:rsidRDefault="001C19A4" w:rsidP="005F27A6">
            <w:pPr>
              <w:spacing w:after="0"/>
              <w:jc w:val="center"/>
              <w:rPr>
                <w:rFonts w:cs="Arial"/>
                <w:b/>
                <w:bCs/>
              </w:rPr>
            </w:pPr>
            <w:r>
              <w:rPr>
                <w:rFonts w:cs="Arial"/>
                <w:b/>
                <w:bCs/>
              </w:rPr>
              <w:t>Grade Levels</w:t>
            </w:r>
          </w:p>
        </w:tc>
        <w:tc>
          <w:tcPr>
            <w:tcW w:w="2488" w:type="dxa"/>
            <w:shd w:val="clear" w:color="auto" w:fill="D9D9D9" w:themeFill="background1" w:themeFillShade="D9"/>
            <w:noWrap/>
            <w:vAlign w:val="center"/>
            <w:hideMark/>
          </w:tcPr>
          <w:p w14:paraId="6A7E3DED" w14:textId="77777777" w:rsidR="001C19A4" w:rsidRPr="00B101CA" w:rsidRDefault="001C19A4" w:rsidP="005F27A6">
            <w:pPr>
              <w:spacing w:after="0"/>
              <w:jc w:val="center"/>
              <w:rPr>
                <w:rFonts w:cs="Arial"/>
                <w:b/>
                <w:bCs/>
              </w:rPr>
            </w:pPr>
            <w:r w:rsidRPr="00B101CA">
              <w:rPr>
                <w:rFonts w:cs="Arial"/>
                <w:b/>
                <w:bCs/>
              </w:rPr>
              <w:t>Enrollment</w:t>
            </w:r>
          </w:p>
        </w:tc>
      </w:tr>
      <w:tr w:rsidR="001C19A4" w:rsidRPr="00DE4665" w14:paraId="0C958FC3" w14:textId="77777777" w:rsidTr="005F27A6">
        <w:trPr>
          <w:trHeight w:val="271"/>
        </w:trPr>
        <w:tc>
          <w:tcPr>
            <w:tcW w:w="3780" w:type="dxa"/>
            <w:noWrap/>
            <w:hideMark/>
          </w:tcPr>
          <w:p w14:paraId="7E94A163" w14:textId="77777777" w:rsidR="001C19A4" w:rsidRPr="00DE4665" w:rsidRDefault="001C19A4" w:rsidP="005F27A6">
            <w:pPr>
              <w:spacing w:after="100" w:afterAutospacing="1"/>
              <w:ind w:left="60"/>
              <w:rPr>
                <w:rFonts w:cs="Arial"/>
                <w:bCs/>
              </w:rPr>
            </w:pPr>
            <w:r w:rsidRPr="00166D22">
              <w:t>Bancroft Elementary</w:t>
            </w:r>
          </w:p>
        </w:tc>
        <w:tc>
          <w:tcPr>
            <w:tcW w:w="2790" w:type="dxa"/>
            <w:noWrap/>
            <w:hideMark/>
          </w:tcPr>
          <w:p w14:paraId="2700592A" w14:textId="77777777" w:rsidR="001C19A4" w:rsidRPr="00DE4665" w:rsidRDefault="001C19A4" w:rsidP="005F27A6">
            <w:pPr>
              <w:spacing w:after="100" w:afterAutospacing="1"/>
              <w:ind w:left="6"/>
              <w:jc w:val="center"/>
              <w:rPr>
                <w:rFonts w:cs="Arial"/>
                <w:bCs/>
              </w:rPr>
            </w:pPr>
            <w:r>
              <w:t>K - 5</w:t>
            </w:r>
          </w:p>
        </w:tc>
        <w:tc>
          <w:tcPr>
            <w:tcW w:w="2488" w:type="dxa"/>
            <w:noWrap/>
            <w:hideMark/>
          </w:tcPr>
          <w:p w14:paraId="53696005" w14:textId="77777777" w:rsidR="001C19A4" w:rsidRPr="00DE4665" w:rsidRDefault="001C19A4" w:rsidP="005F27A6">
            <w:pPr>
              <w:spacing w:after="100" w:afterAutospacing="1"/>
              <w:ind w:left="66"/>
              <w:jc w:val="right"/>
              <w:rPr>
                <w:rFonts w:cs="Arial"/>
                <w:bCs/>
              </w:rPr>
            </w:pPr>
            <w:r w:rsidRPr="00166D22">
              <w:t>608</w:t>
            </w:r>
          </w:p>
        </w:tc>
      </w:tr>
      <w:tr w:rsidR="001C19A4" w:rsidRPr="00DE4665" w14:paraId="76A766B4" w14:textId="77777777" w:rsidTr="005F27A6">
        <w:trPr>
          <w:trHeight w:val="271"/>
        </w:trPr>
        <w:tc>
          <w:tcPr>
            <w:tcW w:w="3780" w:type="dxa"/>
            <w:noWrap/>
            <w:hideMark/>
          </w:tcPr>
          <w:p w14:paraId="60B8ED8D" w14:textId="77777777" w:rsidR="001C19A4" w:rsidRPr="00DE4665" w:rsidRDefault="001C19A4" w:rsidP="005F27A6">
            <w:pPr>
              <w:spacing w:after="100" w:afterAutospacing="1"/>
              <w:ind w:left="60"/>
              <w:rPr>
                <w:rFonts w:cs="Arial"/>
                <w:bCs/>
              </w:rPr>
            </w:pPr>
            <w:r w:rsidRPr="00166D22">
              <w:t>Valle Verde Elementary</w:t>
            </w:r>
          </w:p>
        </w:tc>
        <w:tc>
          <w:tcPr>
            <w:tcW w:w="2790" w:type="dxa"/>
            <w:noWrap/>
            <w:hideMark/>
          </w:tcPr>
          <w:p w14:paraId="317E1F87" w14:textId="77777777" w:rsidR="001C19A4" w:rsidRPr="00DE4665" w:rsidRDefault="001C19A4" w:rsidP="005F27A6">
            <w:pPr>
              <w:spacing w:after="100" w:afterAutospacing="1"/>
              <w:ind w:left="6"/>
              <w:jc w:val="center"/>
              <w:rPr>
                <w:rFonts w:cs="Arial"/>
                <w:bCs/>
              </w:rPr>
            </w:pPr>
            <w:r>
              <w:t>K - 5</w:t>
            </w:r>
          </w:p>
        </w:tc>
        <w:tc>
          <w:tcPr>
            <w:tcW w:w="2488" w:type="dxa"/>
            <w:noWrap/>
            <w:hideMark/>
          </w:tcPr>
          <w:p w14:paraId="4E8C47B2" w14:textId="77777777" w:rsidR="001C19A4" w:rsidRPr="00DE4665" w:rsidRDefault="001C19A4" w:rsidP="005F27A6">
            <w:pPr>
              <w:spacing w:after="100" w:afterAutospacing="1"/>
              <w:ind w:left="66"/>
              <w:jc w:val="right"/>
              <w:rPr>
                <w:rFonts w:cs="Arial"/>
                <w:bCs/>
              </w:rPr>
            </w:pPr>
            <w:r w:rsidRPr="00166D22">
              <w:t>459</w:t>
            </w:r>
          </w:p>
        </w:tc>
      </w:tr>
      <w:tr w:rsidR="001C19A4" w:rsidRPr="00DE4665" w14:paraId="1B6D3F55" w14:textId="77777777" w:rsidTr="005F27A6">
        <w:trPr>
          <w:trHeight w:val="271"/>
        </w:trPr>
        <w:tc>
          <w:tcPr>
            <w:tcW w:w="3780" w:type="dxa"/>
            <w:noWrap/>
            <w:hideMark/>
          </w:tcPr>
          <w:p w14:paraId="0F1C0EF0" w14:textId="77777777" w:rsidR="001C19A4" w:rsidRPr="00DE4665" w:rsidRDefault="001C19A4" w:rsidP="005F27A6">
            <w:pPr>
              <w:spacing w:after="100" w:afterAutospacing="1"/>
              <w:ind w:left="60"/>
              <w:rPr>
                <w:rFonts w:cs="Arial"/>
                <w:bCs/>
              </w:rPr>
            </w:pPr>
            <w:r w:rsidRPr="00166D22">
              <w:t>Walnut Acres Elementary</w:t>
            </w:r>
          </w:p>
        </w:tc>
        <w:tc>
          <w:tcPr>
            <w:tcW w:w="2790" w:type="dxa"/>
            <w:noWrap/>
            <w:hideMark/>
          </w:tcPr>
          <w:p w14:paraId="4275D74B" w14:textId="77777777" w:rsidR="001C19A4" w:rsidRPr="00DE4665" w:rsidRDefault="001C19A4" w:rsidP="005F27A6">
            <w:pPr>
              <w:spacing w:after="100" w:afterAutospacing="1"/>
              <w:ind w:left="6"/>
              <w:jc w:val="center"/>
              <w:rPr>
                <w:rFonts w:cs="Arial"/>
                <w:bCs/>
              </w:rPr>
            </w:pPr>
            <w:r>
              <w:t>K - 5</w:t>
            </w:r>
          </w:p>
        </w:tc>
        <w:tc>
          <w:tcPr>
            <w:tcW w:w="2488" w:type="dxa"/>
            <w:noWrap/>
            <w:hideMark/>
          </w:tcPr>
          <w:p w14:paraId="3DD12460" w14:textId="77777777" w:rsidR="001C19A4" w:rsidRPr="00DE4665" w:rsidRDefault="001C19A4" w:rsidP="005F27A6">
            <w:pPr>
              <w:spacing w:after="100" w:afterAutospacing="1"/>
              <w:ind w:left="66"/>
              <w:jc w:val="right"/>
              <w:rPr>
                <w:rFonts w:cs="Arial"/>
                <w:bCs/>
              </w:rPr>
            </w:pPr>
            <w:r w:rsidRPr="00166D22">
              <w:t>631</w:t>
            </w:r>
          </w:p>
        </w:tc>
      </w:tr>
      <w:tr w:rsidR="001C19A4" w:rsidRPr="00DE4665" w14:paraId="18A9A77F" w14:textId="77777777" w:rsidTr="005F27A6">
        <w:trPr>
          <w:trHeight w:val="271"/>
        </w:trPr>
        <w:tc>
          <w:tcPr>
            <w:tcW w:w="3780" w:type="dxa"/>
            <w:noWrap/>
            <w:hideMark/>
          </w:tcPr>
          <w:p w14:paraId="49236C28" w14:textId="77777777" w:rsidR="001C19A4" w:rsidRPr="00DE4665" w:rsidRDefault="001C19A4" w:rsidP="005F27A6">
            <w:pPr>
              <w:spacing w:after="100" w:afterAutospacing="1"/>
              <w:ind w:left="60"/>
              <w:rPr>
                <w:rFonts w:cs="Arial"/>
                <w:bCs/>
              </w:rPr>
            </w:pPr>
            <w:r w:rsidRPr="00166D22">
              <w:t>Foothill Middle</w:t>
            </w:r>
          </w:p>
        </w:tc>
        <w:tc>
          <w:tcPr>
            <w:tcW w:w="2790" w:type="dxa"/>
            <w:noWrap/>
            <w:hideMark/>
          </w:tcPr>
          <w:p w14:paraId="6EF910EC" w14:textId="77777777" w:rsidR="001C19A4" w:rsidRPr="00DE4665" w:rsidRDefault="001C19A4" w:rsidP="005F27A6">
            <w:pPr>
              <w:spacing w:after="100" w:afterAutospacing="1"/>
              <w:ind w:left="6"/>
              <w:jc w:val="center"/>
              <w:rPr>
                <w:rFonts w:cs="Arial"/>
                <w:bCs/>
              </w:rPr>
            </w:pPr>
            <w:r w:rsidRPr="00166D22">
              <w:t xml:space="preserve">6 </w:t>
            </w:r>
            <w:r>
              <w:t>-</w:t>
            </w:r>
            <w:r w:rsidRPr="00166D22">
              <w:t xml:space="preserve"> 8</w:t>
            </w:r>
          </w:p>
        </w:tc>
        <w:tc>
          <w:tcPr>
            <w:tcW w:w="2488" w:type="dxa"/>
            <w:noWrap/>
            <w:hideMark/>
          </w:tcPr>
          <w:p w14:paraId="640B1821" w14:textId="77777777" w:rsidR="001C19A4" w:rsidRPr="00DE4665" w:rsidRDefault="001C19A4" w:rsidP="005F27A6">
            <w:pPr>
              <w:spacing w:after="100" w:afterAutospacing="1"/>
              <w:ind w:left="66"/>
              <w:jc w:val="right"/>
              <w:rPr>
                <w:rFonts w:cs="Arial"/>
                <w:bCs/>
              </w:rPr>
            </w:pPr>
            <w:r w:rsidRPr="00166D22">
              <w:t>828</w:t>
            </w:r>
          </w:p>
        </w:tc>
      </w:tr>
      <w:tr w:rsidR="001C19A4" w:rsidRPr="00DE4665" w14:paraId="0E53AE6C" w14:textId="77777777" w:rsidTr="005F27A6">
        <w:trPr>
          <w:trHeight w:val="271"/>
        </w:trPr>
        <w:tc>
          <w:tcPr>
            <w:tcW w:w="3780" w:type="dxa"/>
            <w:noWrap/>
          </w:tcPr>
          <w:p w14:paraId="3F8B7021" w14:textId="77777777" w:rsidR="001C19A4" w:rsidRPr="00166D22" w:rsidRDefault="001C19A4" w:rsidP="005F27A6">
            <w:pPr>
              <w:spacing w:after="100" w:afterAutospacing="1"/>
              <w:ind w:left="60"/>
            </w:pPr>
            <w:r>
              <w:t>Oak Grove Middle</w:t>
            </w:r>
          </w:p>
        </w:tc>
        <w:tc>
          <w:tcPr>
            <w:tcW w:w="2790" w:type="dxa"/>
            <w:noWrap/>
          </w:tcPr>
          <w:p w14:paraId="63597648" w14:textId="77777777" w:rsidR="001C19A4" w:rsidRPr="00166D22" w:rsidRDefault="001C19A4" w:rsidP="005F27A6">
            <w:pPr>
              <w:spacing w:after="100" w:afterAutospacing="1"/>
              <w:ind w:left="6"/>
              <w:jc w:val="center"/>
            </w:pPr>
            <w:r w:rsidRPr="00166D22">
              <w:t xml:space="preserve">6 </w:t>
            </w:r>
            <w:r>
              <w:t>-</w:t>
            </w:r>
            <w:r w:rsidRPr="00166D22">
              <w:t xml:space="preserve"> 8</w:t>
            </w:r>
          </w:p>
        </w:tc>
        <w:tc>
          <w:tcPr>
            <w:tcW w:w="2488" w:type="dxa"/>
            <w:noWrap/>
          </w:tcPr>
          <w:p w14:paraId="7A1B8F41" w14:textId="77777777" w:rsidR="001C19A4" w:rsidRPr="00166D22" w:rsidRDefault="001C19A4" w:rsidP="005F27A6">
            <w:pPr>
              <w:spacing w:after="100" w:afterAutospacing="1"/>
              <w:ind w:left="66"/>
              <w:jc w:val="right"/>
            </w:pPr>
            <w:r>
              <w:t>0</w:t>
            </w:r>
          </w:p>
        </w:tc>
      </w:tr>
      <w:tr w:rsidR="001C19A4" w:rsidRPr="00DE4665" w14:paraId="489D24B9" w14:textId="77777777" w:rsidTr="005F27A6">
        <w:trPr>
          <w:trHeight w:val="271"/>
        </w:trPr>
        <w:tc>
          <w:tcPr>
            <w:tcW w:w="3780" w:type="dxa"/>
            <w:noWrap/>
            <w:hideMark/>
          </w:tcPr>
          <w:p w14:paraId="3B5717D0" w14:textId="77777777" w:rsidR="001C19A4" w:rsidRPr="00DE4665" w:rsidRDefault="001C19A4" w:rsidP="005F27A6">
            <w:pPr>
              <w:spacing w:after="100" w:afterAutospacing="1"/>
              <w:ind w:left="60"/>
              <w:rPr>
                <w:rFonts w:cs="Arial"/>
                <w:bCs/>
              </w:rPr>
            </w:pPr>
            <w:r w:rsidRPr="00166D22">
              <w:t>Northgate High</w:t>
            </w:r>
          </w:p>
        </w:tc>
        <w:tc>
          <w:tcPr>
            <w:tcW w:w="2790" w:type="dxa"/>
            <w:noWrap/>
            <w:hideMark/>
          </w:tcPr>
          <w:p w14:paraId="17395158" w14:textId="77777777" w:rsidR="001C19A4" w:rsidRPr="00DE4665" w:rsidRDefault="001C19A4" w:rsidP="005F27A6">
            <w:pPr>
              <w:spacing w:after="100" w:afterAutospacing="1"/>
              <w:ind w:left="6"/>
              <w:jc w:val="center"/>
              <w:rPr>
                <w:rFonts w:cs="Arial"/>
                <w:bCs/>
              </w:rPr>
            </w:pPr>
            <w:r w:rsidRPr="00166D22">
              <w:t xml:space="preserve">9 </w:t>
            </w:r>
            <w:r>
              <w:t>-</w:t>
            </w:r>
            <w:r w:rsidRPr="00166D22">
              <w:t xml:space="preserve"> 12</w:t>
            </w:r>
          </w:p>
        </w:tc>
        <w:tc>
          <w:tcPr>
            <w:tcW w:w="2488" w:type="dxa"/>
            <w:noWrap/>
            <w:hideMark/>
          </w:tcPr>
          <w:p w14:paraId="0CF25B16" w14:textId="77777777" w:rsidR="001C19A4" w:rsidRPr="00DE4665" w:rsidRDefault="001C19A4" w:rsidP="005F27A6">
            <w:pPr>
              <w:spacing w:after="100" w:afterAutospacing="1"/>
              <w:ind w:left="66"/>
              <w:jc w:val="right"/>
              <w:rPr>
                <w:rFonts w:cs="Arial"/>
                <w:bCs/>
              </w:rPr>
            </w:pPr>
            <w:r w:rsidRPr="00166D22">
              <w:t>1,492</w:t>
            </w:r>
          </w:p>
        </w:tc>
      </w:tr>
      <w:tr w:rsidR="001C19A4" w:rsidRPr="00DE4665" w14:paraId="14F94343" w14:textId="77777777" w:rsidTr="005F27A6">
        <w:trPr>
          <w:trHeight w:val="271"/>
        </w:trPr>
        <w:tc>
          <w:tcPr>
            <w:tcW w:w="3780" w:type="dxa"/>
            <w:noWrap/>
          </w:tcPr>
          <w:p w14:paraId="4F969CDB" w14:textId="77777777" w:rsidR="001C19A4" w:rsidRPr="00166D22" w:rsidRDefault="001C19A4" w:rsidP="005F27A6">
            <w:pPr>
              <w:spacing w:after="100" w:afterAutospacing="1"/>
              <w:ind w:left="60"/>
            </w:pPr>
            <w:r>
              <w:t>Ygnacio Valley High</w:t>
            </w:r>
          </w:p>
        </w:tc>
        <w:tc>
          <w:tcPr>
            <w:tcW w:w="2790" w:type="dxa"/>
            <w:noWrap/>
          </w:tcPr>
          <w:p w14:paraId="600C5A9E" w14:textId="77777777" w:rsidR="001C19A4" w:rsidRPr="00166D22" w:rsidRDefault="001C19A4" w:rsidP="005F27A6">
            <w:pPr>
              <w:spacing w:after="100" w:afterAutospacing="1"/>
              <w:ind w:left="6"/>
              <w:jc w:val="center"/>
            </w:pPr>
            <w:r w:rsidRPr="00166D22">
              <w:t xml:space="preserve">9 </w:t>
            </w:r>
            <w:r>
              <w:t>-</w:t>
            </w:r>
            <w:r w:rsidRPr="00166D22">
              <w:t xml:space="preserve"> 12</w:t>
            </w:r>
          </w:p>
        </w:tc>
        <w:tc>
          <w:tcPr>
            <w:tcW w:w="2488" w:type="dxa"/>
            <w:noWrap/>
          </w:tcPr>
          <w:p w14:paraId="54FD502A" w14:textId="77777777" w:rsidR="001C19A4" w:rsidRPr="00166D22" w:rsidRDefault="001C19A4" w:rsidP="005F27A6">
            <w:pPr>
              <w:spacing w:after="100" w:afterAutospacing="1"/>
              <w:ind w:left="66"/>
              <w:jc w:val="right"/>
            </w:pPr>
            <w:r>
              <w:t>0</w:t>
            </w:r>
          </w:p>
        </w:tc>
      </w:tr>
      <w:tr w:rsidR="001C19A4" w:rsidRPr="00DE4665" w14:paraId="7084B7D8" w14:textId="77777777" w:rsidTr="005F27A6">
        <w:trPr>
          <w:trHeight w:val="271"/>
        </w:trPr>
        <w:tc>
          <w:tcPr>
            <w:tcW w:w="3780" w:type="dxa"/>
            <w:noWrap/>
            <w:hideMark/>
          </w:tcPr>
          <w:p w14:paraId="39961950" w14:textId="77777777" w:rsidR="001C19A4" w:rsidRPr="00581ECD" w:rsidRDefault="001C19A4" w:rsidP="005F27A6">
            <w:pPr>
              <w:spacing w:after="100" w:afterAutospacing="1"/>
              <w:ind w:left="60"/>
              <w:rPr>
                <w:rFonts w:cs="Arial"/>
                <w:b/>
                <w:bCs/>
              </w:rPr>
            </w:pPr>
            <w:r w:rsidRPr="00581ECD">
              <w:rPr>
                <w:rFonts w:cs="Arial"/>
                <w:b/>
                <w:bCs/>
              </w:rPr>
              <w:t>Total</w:t>
            </w:r>
          </w:p>
        </w:tc>
        <w:tc>
          <w:tcPr>
            <w:tcW w:w="2790" w:type="dxa"/>
            <w:noWrap/>
            <w:hideMark/>
          </w:tcPr>
          <w:p w14:paraId="4E55DFD6" w14:textId="77777777" w:rsidR="001C19A4" w:rsidRPr="00581ECD" w:rsidRDefault="001C19A4" w:rsidP="005F27A6">
            <w:pPr>
              <w:spacing w:after="100" w:afterAutospacing="1"/>
              <w:ind w:left="6"/>
              <w:jc w:val="center"/>
              <w:rPr>
                <w:rFonts w:cs="Arial"/>
                <w:b/>
                <w:bCs/>
              </w:rPr>
            </w:pPr>
            <w:r w:rsidRPr="007C78E2">
              <w:rPr>
                <w:b/>
              </w:rPr>
              <w:t>K</w:t>
            </w:r>
            <w:r w:rsidRPr="007C78E2">
              <w:rPr>
                <w:rFonts w:cs="Arial"/>
                <w:b/>
                <w:bCs/>
              </w:rPr>
              <w:t xml:space="preserve"> </w:t>
            </w:r>
            <w:r>
              <w:t>-</w:t>
            </w:r>
            <w:r>
              <w:rPr>
                <w:rFonts w:cs="Arial"/>
                <w:b/>
                <w:bCs/>
              </w:rPr>
              <w:t xml:space="preserve"> 12</w:t>
            </w:r>
          </w:p>
        </w:tc>
        <w:tc>
          <w:tcPr>
            <w:tcW w:w="2488" w:type="dxa"/>
            <w:noWrap/>
            <w:hideMark/>
          </w:tcPr>
          <w:p w14:paraId="4F790369" w14:textId="77777777" w:rsidR="001C19A4" w:rsidRPr="00581ECD" w:rsidRDefault="001C19A4" w:rsidP="005F27A6">
            <w:pPr>
              <w:spacing w:after="100" w:afterAutospacing="1"/>
              <w:ind w:left="66"/>
              <w:jc w:val="right"/>
              <w:rPr>
                <w:rFonts w:cs="Arial"/>
                <w:b/>
                <w:bCs/>
              </w:rPr>
            </w:pPr>
            <w:r w:rsidRPr="00812C95">
              <w:rPr>
                <w:rFonts w:cs="Arial"/>
                <w:b/>
                <w:bCs/>
              </w:rPr>
              <w:t>4,018</w:t>
            </w:r>
          </w:p>
        </w:tc>
      </w:tr>
    </w:tbl>
    <w:p w14:paraId="2E8DDE78" w14:textId="77777777" w:rsidR="001C19A4" w:rsidRPr="00F76924" w:rsidRDefault="001C19A4" w:rsidP="005F27A6">
      <w:pPr>
        <w:spacing w:before="120"/>
        <w:ind w:left="360"/>
        <w:rPr>
          <w:rStyle w:val="Strong"/>
          <w:i/>
        </w:rPr>
      </w:pPr>
      <w:r w:rsidRPr="00F76924">
        <w:rPr>
          <w:rStyle w:val="Strong"/>
          <w:i/>
        </w:rPr>
        <w:t>Source: CALPADS, Fiscal Year 2020–21</w:t>
      </w:r>
    </w:p>
    <w:p w14:paraId="139C64F5" w14:textId="77777777" w:rsidR="001C19A4" w:rsidRPr="00AF653A" w:rsidRDefault="001C19A4" w:rsidP="00AF653A">
      <w:pPr>
        <w:pStyle w:val="Heading4"/>
        <w:rPr>
          <w:rStyle w:val="Strong"/>
          <w:rFonts w:eastAsiaTheme="majorEastAsia"/>
          <w:b/>
          <w:bCs w:val="0"/>
        </w:rPr>
      </w:pPr>
      <w:r w:rsidRPr="00AF653A">
        <w:rPr>
          <w:rStyle w:val="Strong"/>
          <w:rFonts w:eastAsiaTheme="majorEastAsia"/>
          <w:b/>
          <w:bCs w:val="0"/>
        </w:rPr>
        <w:t>Table 2b. Schools in the Remaining Portion of Mt. Diablo USD</w:t>
      </w:r>
    </w:p>
    <w:tbl>
      <w:tblPr>
        <w:tblStyle w:val="TableGrid"/>
        <w:tblW w:w="905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2b provides enrollment and grade levels served for each school in the remaining portion of the Mt. Diablo USD for the 2020-21 academic year."/>
      </w:tblPr>
      <w:tblGrid>
        <w:gridCol w:w="4680"/>
        <w:gridCol w:w="2189"/>
        <w:gridCol w:w="2189"/>
      </w:tblGrid>
      <w:tr w:rsidR="001C19A4" w:rsidRPr="00B101CA" w14:paraId="61A53A7D" w14:textId="77777777" w:rsidTr="005F27A6">
        <w:trPr>
          <w:trHeight w:val="15"/>
          <w:tblHeader/>
        </w:trPr>
        <w:tc>
          <w:tcPr>
            <w:tcW w:w="4680" w:type="dxa"/>
            <w:shd w:val="clear" w:color="auto" w:fill="D9D9D9" w:themeFill="background1" w:themeFillShade="D9"/>
            <w:noWrap/>
            <w:vAlign w:val="center"/>
            <w:hideMark/>
          </w:tcPr>
          <w:p w14:paraId="71D9C9CB" w14:textId="77777777" w:rsidR="001C19A4" w:rsidRPr="00B101CA" w:rsidRDefault="001C19A4" w:rsidP="005F27A6">
            <w:pPr>
              <w:spacing w:after="0"/>
              <w:ind w:left="60"/>
              <w:jc w:val="center"/>
              <w:rPr>
                <w:rFonts w:cs="Arial"/>
                <w:b/>
                <w:bCs/>
              </w:rPr>
            </w:pPr>
            <w:r w:rsidRPr="00B101CA">
              <w:rPr>
                <w:rFonts w:cs="Arial"/>
                <w:b/>
                <w:bCs/>
              </w:rPr>
              <w:t xml:space="preserve">School </w:t>
            </w:r>
            <w:r>
              <w:rPr>
                <w:rFonts w:cs="Arial"/>
                <w:b/>
                <w:bCs/>
              </w:rPr>
              <w:t>Name</w:t>
            </w:r>
          </w:p>
        </w:tc>
        <w:tc>
          <w:tcPr>
            <w:tcW w:w="2189" w:type="dxa"/>
            <w:shd w:val="clear" w:color="auto" w:fill="D9D9D9" w:themeFill="background1" w:themeFillShade="D9"/>
            <w:noWrap/>
            <w:vAlign w:val="center"/>
            <w:hideMark/>
          </w:tcPr>
          <w:p w14:paraId="4B1F52D4" w14:textId="77777777" w:rsidR="001C19A4" w:rsidRPr="00B101CA" w:rsidRDefault="001C19A4" w:rsidP="005F27A6">
            <w:pPr>
              <w:spacing w:after="0"/>
              <w:jc w:val="center"/>
              <w:rPr>
                <w:rFonts w:cs="Arial"/>
                <w:b/>
                <w:bCs/>
              </w:rPr>
            </w:pPr>
            <w:r>
              <w:rPr>
                <w:rFonts w:cs="Arial"/>
                <w:b/>
                <w:bCs/>
              </w:rPr>
              <w:t>Grade Levels</w:t>
            </w:r>
          </w:p>
        </w:tc>
        <w:tc>
          <w:tcPr>
            <w:tcW w:w="2189" w:type="dxa"/>
            <w:shd w:val="clear" w:color="auto" w:fill="D9D9D9" w:themeFill="background1" w:themeFillShade="D9"/>
            <w:noWrap/>
            <w:vAlign w:val="center"/>
            <w:hideMark/>
          </w:tcPr>
          <w:p w14:paraId="0BB96004" w14:textId="77777777" w:rsidR="001C19A4" w:rsidRPr="00B101CA" w:rsidRDefault="001C19A4" w:rsidP="005F27A6">
            <w:pPr>
              <w:spacing w:after="0"/>
              <w:jc w:val="center"/>
              <w:rPr>
                <w:rFonts w:cs="Arial"/>
                <w:b/>
                <w:bCs/>
              </w:rPr>
            </w:pPr>
            <w:r w:rsidRPr="00B101CA">
              <w:rPr>
                <w:rFonts w:cs="Arial"/>
                <w:b/>
                <w:bCs/>
              </w:rPr>
              <w:t>Enrollment</w:t>
            </w:r>
          </w:p>
        </w:tc>
      </w:tr>
      <w:tr w:rsidR="001C19A4" w:rsidRPr="00DE4665" w14:paraId="61BA04CA" w14:textId="77777777" w:rsidTr="005F27A6">
        <w:trPr>
          <w:trHeight w:val="271"/>
        </w:trPr>
        <w:tc>
          <w:tcPr>
            <w:tcW w:w="4680" w:type="dxa"/>
            <w:noWrap/>
            <w:hideMark/>
          </w:tcPr>
          <w:p w14:paraId="1AC1C0BA" w14:textId="77777777" w:rsidR="001C19A4" w:rsidRPr="00DE4665" w:rsidRDefault="001C19A4" w:rsidP="005F27A6">
            <w:pPr>
              <w:spacing w:after="100" w:afterAutospacing="1"/>
              <w:ind w:left="60"/>
              <w:rPr>
                <w:rFonts w:cs="Arial"/>
                <w:bCs/>
              </w:rPr>
            </w:pPr>
            <w:r w:rsidRPr="0091059B">
              <w:t>Ayers Elementary</w:t>
            </w:r>
          </w:p>
        </w:tc>
        <w:tc>
          <w:tcPr>
            <w:tcW w:w="2189" w:type="dxa"/>
            <w:noWrap/>
            <w:hideMark/>
          </w:tcPr>
          <w:p w14:paraId="160B67F4" w14:textId="77777777" w:rsidR="001C19A4" w:rsidRPr="00DE4665" w:rsidRDefault="001C19A4" w:rsidP="005F27A6">
            <w:pPr>
              <w:spacing w:after="100" w:afterAutospacing="1"/>
              <w:ind w:left="6"/>
              <w:jc w:val="center"/>
              <w:rPr>
                <w:rFonts w:cs="Arial"/>
                <w:bCs/>
              </w:rPr>
            </w:pPr>
            <w:r>
              <w:t>K -</w:t>
            </w:r>
            <w:r w:rsidRPr="00166D22">
              <w:t xml:space="preserve"> 5</w:t>
            </w:r>
          </w:p>
        </w:tc>
        <w:tc>
          <w:tcPr>
            <w:tcW w:w="2189" w:type="dxa"/>
            <w:noWrap/>
            <w:hideMark/>
          </w:tcPr>
          <w:p w14:paraId="4E9FC0F3" w14:textId="77777777" w:rsidR="001C19A4" w:rsidRPr="00DE4665" w:rsidRDefault="001C19A4" w:rsidP="005F27A6">
            <w:pPr>
              <w:spacing w:after="100" w:afterAutospacing="1"/>
              <w:ind w:left="66"/>
              <w:jc w:val="right"/>
              <w:rPr>
                <w:rFonts w:cs="Arial"/>
                <w:bCs/>
              </w:rPr>
            </w:pPr>
            <w:r w:rsidRPr="0091059B">
              <w:t>405</w:t>
            </w:r>
          </w:p>
        </w:tc>
      </w:tr>
      <w:tr w:rsidR="001C19A4" w:rsidRPr="00DE4665" w14:paraId="5F414F96" w14:textId="77777777" w:rsidTr="005F27A6">
        <w:trPr>
          <w:trHeight w:val="271"/>
        </w:trPr>
        <w:tc>
          <w:tcPr>
            <w:tcW w:w="4680" w:type="dxa"/>
            <w:noWrap/>
            <w:hideMark/>
          </w:tcPr>
          <w:p w14:paraId="3856A368" w14:textId="77777777" w:rsidR="001C19A4" w:rsidRPr="00DE4665" w:rsidRDefault="001C19A4" w:rsidP="005F27A6">
            <w:pPr>
              <w:spacing w:after="100" w:afterAutospacing="1"/>
              <w:ind w:left="60"/>
              <w:rPr>
                <w:rFonts w:cs="Arial"/>
                <w:bCs/>
              </w:rPr>
            </w:pPr>
            <w:r w:rsidRPr="0091059B">
              <w:t>Bel Air Elementary</w:t>
            </w:r>
          </w:p>
        </w:tc>
        <w:tc>
          <w:tcPr>
            <w:tcW w:w="2189" w:type="dxa"/>
            <w:noWrap/>
            <w:hideMark/>
          </w:tcPr>
          <w:p w14:paraId="6EC7A771" w14:textId="77777777" w:rsidR="001C19A4" w:rsidRPr="00DE4665" w:rsidRDefault="001C19A4" w:rsidP="005F27A6">
            <w:pPr>
              <w:spacing w:after="100" w:afterAutospacing="1"/>
              <w:ind w:left="6"/>
              <w:jc w:val="center"/>
              <w:rPr>
                <w:rFonts w:cs="Arial"/>
                <w:bCs/>
              </w:rPr>
            </w:pPr>
            <w:r>
              <w:t>K -</w:t>
            </w:r>
            <w:r w:rsidRPr="00166D22">
              <w:t xml:space="preserve"> 5</w:t>
            </w:r>
          </w:p>
        </w:tc>
        <w:tc>
          <w:tcPr>
            <w:tcW w:w="2189" w:type="dxa"/>
            <w:noWrap/>
            <w:hideMark/>
          </w:tcPr>
          <w:p w14:paraId="7C6F9202" w14:textId="77777777" w:rsidR="001C19A4" w:rsidRPr="00DE4665" w:rsidRDefault="001C19A4" w:rsidP="005F27A6">
            <w:pPr>
              <w:spacing w:after="100" w:afterAutospacing="1"/>
              <w:ind w:left="66"/>
              <w:jc w:val="right"/>
              <w:rPr>
                <w:rFonts w:cs="Arial"/>
                <w:bCs/>
              </w:rPr>
            </w:pPr>
            <w:r w:rsidRPr="0091059B">
              <w:t>450</w:t>
            </w:r>
          </w:p>
        </w:tc>
      </w:tr>
      <w:tr w:rsidR="001C19A4" w:rsidRPr="00DE4665" w14:paraId="4D1FE70B" w14:textId="77777777" w:rsidTr="005F27A6">
        <w:trPr>
          <w:trHeight w:val="271"/>
        </w:trPr>
        <w:tc>
          <w:tcPr>
            <w:tcW w:w="4680" w:type="dxa"/>
            <w:noWrap/>
            <w:hideMark/>
          </w:tcPr>
          <w:p w14:paraId="679706E1" w14:textId="77777777" w:rsidR="001C19A4" w:rsidRPr="00DE4665" w:rsidRDefault="001C19A4" w:rsidP="005F27A6">
            <w:pPr>
              <w:spacing w:after="100" w:afterAutospacing="1"/>
              <w:ind w:left="60"/>
              <w:rPr>
                <w:rFonts w:cs="Arial"/>
                <w:bCs/>
              </w:rPr>
            </w:pPr>
            <w:r w:rsidRPr="0091059B">
              <w:t>Cambridge Elementary</w:t>
            </w:r>
          </w:p>
        </w:tc>
        <w:tc>
          <w:tcPr>
            <w:tcW w:w="2189" w:type="dxa"/>
            <w:noWrap/>
            <w:hideMark/>
          </w:tcPr>
          <w:p w14:paraId="27EFDA54" w14:textId="77777777" w:rsidR="001C19A4" w:rsidRPr="00DE4665" w:rsidRDefault="001C19A4" w:rsidP="005F27A6">
            <w:pPr>
              <w:spacing w:after="100" w:afterAutospacing="1"/>
              <w:ind w:left="6"/>
              <w:jc w:val="center"/>
              <w:rPr>
                <w:rFonts w:cs="Arial"/>
                <w:bCs/>
              </w:rPr>
            </w:pPr>
            <w:r w:rsidRPr="0049140E">
              <w:t>K - 5</w:t>
            </w:r>
          </w:p>
        </w:tc>
        <w:tc>
          <w:tcPr>
            <w:tcW w:w="2189" w:type="dxa"/>
            <w:noWrap/>
            <w:hideMark/>
          </w:tcPr>
          <w:p w14:paraId="37979445" w14:textId="77777777" w:rsidR="001C19A4" w:rsidRPr="00DE4665" w:rsidRDefault="001C19A4" w:rsidP="005F27A6">
            <w:pPr>
              <w:spacing w:after="100" w:afterAutospacing="1"/>
              <w:ind w:left="66"/>
              <w:jc w:val="right"/>
              <w:rPr>
                <w:rFonts w:cs="Arial"/>
                <w:bCs/>
              </w:rPr>
            </w:pPr>
            <w:r w:rsidRPr="0091059B">
              <w:t>538</w:t>
            </w:r>
          </w:p>
        </w:tc>
      </w:tr>
      <w:tr w:rsidR="001C19A4" w:rsidRPr="00DE4665" w14:paraId="79B8F4D6" w14:textId="77777777" w:rsidTr="005F27A6">
        <w:trPr>
          <w:trHeight w:val="271"/>
        </w:trPr>
        <w:tc>
          <w:tcPr>
            <w:tcW w:w="4680" w:type="dxa"/>
            <w:noWrap/>
            <w:hideMark/>
          </w:tcPr>
          <w:p w14:paraId="5BEF71E1" w14:textId="77777777" w:rsidR="001C19A4" w:rsidRPr="00DE4665" w:rsidRDefault="001C19A4" w:rsidP="005F27A6">
            <w:pPr>
              <w:spacing w:after="100" w:afterAutospacing="1"/>
              <w:ind w:left="60"/>
              <w:rPr>
                <w:rFonts w:cs="Arial"/>
                <w:bCs/>
              </w:rPr>
            </w:pPr>
            <w:r w:rsidRPr="0091059B">
              <w:t>Delta View Elementary</w:t>
            </w:r>
          </w:p>
        </w:tc>
        <w:tc>
          <w:tcPr>
            <w:tcW w:w="2189" w:type="dxa"/>
            <w:noWrap/>
            <w:hideMark/>
          </w:tcPr>
          <w:p w14:paraId="0BF09943" w14:textId="77777777" w:rsidR="001C19A4" w:rsidRPr="00DE4665" w:rsidRDefault="001C19A4" w:rsidP="005F27A6">
            <w:pPr>
              <w:spacing w:after="100" w:afterAutospacing="1"/>
              <w:ind w:left="6"/>
              <w:jc w:val="center"/>
              <w:rPr>
                <w:rFonts w:cs="Arial"/>
                <w:bCs/>
              </w:rPr>
            </w:pPr>
            <w:r w:rsidRPr="0049140E">
              <w:t>K - 5</w:t>
            </w:r>
          </w:p>
        </w:tc>
        <w:tc>
          <w:tcPr>
            <w:tcW w:w="2189" w:type="dxa"/>
            <w:noWrap/>
            <w:hideMark/>
          </w:tcPr>
          <w:p w14:paraId="28344E9F" w14:textId="77777777" w:rsidR="001C19A4" w:rsidRPr="00DE4665" w:rsidRDefault="001C19A4" w:rsidP="005F27A6">
            <w:pPr>
              <w:spacing w:after="100" w:afterAutospacing="1"/>
              <w:ind w:left="66"/>
              <w:jc w:val="right"/>
              <w:rPr>
                <w:rFonts w:cs="Arial"/>
                <w:bCs/>
              </w:rPr>
            </w:pPr>
            <w:r w:rsidRPr="0091059B">
              <w:t>652</w:t>
            </w:r>
          </w:p>
        </w:tc>
      </w:tr>
      <w:tr w:rsidR="001C19A4" w:rsidRPr="00DE4665" w14:paraId="7593E39F" w14:textId="77777777" w:rsidTr="005F27A6">
        <w:trPr>
          <w:trHeight w:val="271"/>
        </w:trPr>
        <w:tc>
          <w:tcPr>
            <w:tcW w:w="4680" w:type="dxa"/>
            <w:noWrap/>
            <w:hideMark/>
          </w:tcPr>
          <w:p w14:paraId="4795B618" w14:textId="77777777" w:rsidR="001C19A4" w:rsidRPr="00DE4665" w:rsidRDefault="001C19A4" w:rsidP="005F27A6">
            <w:pPr>
              <w:spacing w:after="100" w:afterAutospacing="1"/>
              <w:ind w:left="60"/>
              <w:rPr>
                <w:rFonts w:cs="Arial"/>
                <w:bCs/>
              </w:rPr>
            </w:pPr>
            <w:r w:rsidRPr="0091059B">
              <w:t>El Monte Elementary</w:t>
            </w:r>
          </w:p>
        </w:tc>
        <w:tc>
          <w:tcPr>
            <w:tcW w:w="2189" w:type="dxa"/>
            <w:noWrap/>
            <w:hideMark/>
          </w:tcPr>
          <w:p w14:paraId="55779667" w14:textId="77777777" w:rsidR="001C19A4" w:rsidRPr="00DE4665" w:rsidRDefault="001C19A4" w:rsidP="005F27A6">
            <w:pPr>
              <w:spacing w:after="100" w:afterAutospacing="1"/>
              <w:ind w:left="6"/>
              <w:jc w:val="center"/>
              <w:rPr>
                <w:rFonts w:cs="Arial"/>
                <w:bCs/>
              </w:rPr>
            </w:pPr>
            <w:r w:rsidRPr="0049140E">
              <w:t>K - 5</w:t>
            </w:r>
          </w:p>
        </w:tc>
        <w:tc>
          <w:tcPr>
            <w:tcW w:w="2189" w:type="dxa"/>
            <w:noWrap/>
            <w:hideMark/>
          </w:tcPr>
          <w:p w14:paraId="67D1C588" w14:textId="77777777" w:rsidR="001C19A4" w:rsidRPr="00DE4665" w:rsidRDefault="001C19A4" w:rsidP="005F27A6">
            <w:pPr>
              <w:spacing w:after="100" w:afterAutospacing="1"/>
              <w:ind w:left="66"/>
              <w:jc w:val="right"/>
              <w:rPr>
                <w:rFonts w:cs="Arial"/>
                <w:bCs/>
              </w:rPr>
            </w:pPr>
            <w:r w:rsidRPr="0091059B">
              <w:t>417</w:t>
            </w:r>
          </w:p>
        </w:tc>
      </w:tr>
      <w:tr w:rsidR="001C19A4" w:rsidRPr="00DE4665" w14:paraId="151EB60B" w14:textId="77777777" w:rsidTr="005F27A6">
        <w:trPr>
          <w:trHeight w:val="271"/>
        </w:trPr>
        <w:tc>
          <w:tcPr>
            <w:tcW w:w="4680" w:type="dxa"/>
            <w:noWrap/>
          </w:tcPr>
          <w:p w14:paraId="45903635" w14:textId="77777777" w:rsidR="001C19A4" w:rsidRPr="00166D22" w:rsidRDefault="001C19A4" w:rsidP="005F27A6">
            <w:pPr>
              <w:spacing w:after="100" w:afterAutospacing="1"/>
              <w:ind w:left="60"/>
            </w:pPr>
            <w:r w:rsidRPr="0091059B">
              <w:t>Fair Oaks Elementary</w:t>
            </w:r>
          </w:p>
        </w:tc>
        <w:tc>
          <w:tcPr>
            <w:tcW w:w="2189" w:type="dxa"/>
            <w:noWrap/>
          </w:tcPr>
          <w:p w14:paraId="487C7B60" w14:textId="77777777" w:rsidR="001C19A4" w:rsidRPr="00166D22" w:rsidRDefault="001C19A4" w:rsidP="005F27A6">
            <w:pPr>
              <w:spacing w:after="100" w:afterAutospacing="1"/>
              <w:ind w:left="6"/>
              <w:jc w:val="center"/>
            </w:pPr>
            <w:r w:rsidRPr="0049140E">
              <w:t>K - 5</w:t>
            </w:r>
          </w:p>
        </w:tc>
        <w:tc>
          <w:tcPr>
            <w:tcW w:w="2189" w:type="dxa"/>
            <w:noWrap/>
          </w:tcPr>
          <w:p w14:paraId="6A95EFD5" w14:textId="77777777" w:rsidR="001C19A4" w:rsidRPr="00166D22" w:rsidRDefault="001C19A4" w:rsidP="005F27A6">
            <w:pPr>
              <w:spacing w:after="100" w:afterAutospacing="1"/>
              <w:ind w:left="66"/>
              <w:jc w:val="right"/>
            </w:pPr>
            <w:r w:rsidRPr="0091059B">
              <w:t>303</w:t>
            </w:r>
          </w:p>
        </w:tc>
      </w:tr>
      <w:tr w:rsidR="001C19A4" w:rsidRPr="00DE4665" w14:paraId="5E9BF146" w14:textId="77777777" w:rsidTr="005F27A6">
        <w:trPr>
          <w:trHeight w:val="271"/>
        </w:trPr>
        <w:tc>
          <w:tcPr>
            <w:tcW w:w="4680" w:type="dxa"/>
            <w:noWrap/>
          </w:tcPr>
          <w:p w14:paraId="563A7A8B" w14:textId="77777777" w:rsidR="001C19A4" w:rsidRPr="00166D22" w:rsidRDefault="001C19A4" w:rsidP="005F27A6">
            <w:pPr>
              <w:spacing w:after="100" w:afterAutospacing="1"/>
              <w:ind w:left="60"/>
            </w:pPr>
            <w:r w:rsidRPr="0091059B">
              <w:t>Gregory Gardens Elementary</w:t>
            </w:r>
          </w:p>
        </w:tc>
        <w:tc>
          <w:tcPr>
            <w:tcW w:w="2189" w:type="dxa"/>
            <w:noWrap/>
          </w:tcPr>
          <w:p w14:paraId="1C7C0954" w14:textId="77777777" w:rsidR="001C19A4" w:rsidRPr="00166D22" w:rsidRDefault="001C19A4" w:rsidP="005F27A6">
            <w:pPr>
              <w:spacing w:after="100" w:afterAutospacing="1"/>
              <w:ind w:left="6"/>
              <w:jc w:val="center"/>
            </w:pPr>
            <w:r w:rsidRPr="0049140E">
              <w:t>K - 5</w:t>
            </w:r>
          </w:p>
        </w:tc>
        <w:tc>
          <w:tcPr>
            <w:tcW w:w="2189" w:type="dxa"/>
            <w:noWrap/>
          </w:tcPr>
          <w:p w14:paraId="5D7EA565" w14:textId="77777777" w:rsidR="001C19A4" w:rsidRPr="00166D22" w:rsidRDefault="001C19A4" w:rsidP="005F27A6">
            <w:pPr>
              <w:spacing w:after="100" w:afterAutospacing="1"/>
              <w:ind w:left="66"/>
              <w:jc w:val="right"/>
            </w:pPr>
            <w:r w:rsidRPr="0091059B">
              <w:t>358</w:t>
            </w:r>
          </w:p>
        </w:tc>
      </w:tr>
      <w:tr w:rsidR="001C19A4" w:rsidRPr="00DE4665" w14:paraId="1A9D032E" w14:textId="77777777" w:rsidTr="005F27A6">
        <w:trPr>
          <w:trHeight w:val="271"/>
        </w:trPr>
        <w:tc>
          <w:tcPr>
            <w:tcW w:w="4680" w:type="dxa"/>
            <w:noWrap/>
          </w:tcPr>
          <w:p w14:paraId="1F84059D" w14:textId="77777777" w:rsidR="001C19A4" w:rsidRPr="00166D22" w:rsidRDefault="001C19A4" w:rsidP="005F27A6">
            <w:pPr>
              <w:spacing w:after="100" w:afterAutospacing="1"/>
              <w:ind w:left="60"/>
            </w:pPr>
            <w:r w:rsidRPr="0091059B">
              <w:lastRenderedPageBreak/>
              <w:t>Hidden Valley Elementary</w:t>
            </w:r>
          </w:p>
        </w:tc>
        <w:tc>
          <w:tcPr>
            <w:tcW w:w="2189" w:type="dxa"/>
            <w:noWrap/>
          </w:tcPr>
          <w:p w14:paraId="26D82331" w14:textId="77777777" w:rsidR="001C19A4" w:rsidRPr="00166D22" w:rsidRDefault="001C19A4" w:rsidP="005F27A6">
            <w:pPr>
              <w:spacing w:after="100" w:afterAutospacing="1"/>
              <w:ind w:left="6"/>
              <w:jc w:val="center"/>
            </w:pPr>
            <w:r w:rsidRPr="0049140E">
              <w:t>K - 5</w:t>
            </w:r>
          </w:p>
        </w:tc>
        <w:tc>
          <w:tcPr>
            <w:tcW w:w="2189" w:type="dxa"/>
            <w:noWrap/>
          </w:tcPr>
          <w:p w14:paraId="4CCAC965" w14:textId="77777777" w:rsidR="001C19A4" w:rsidRPr="00166D22" w:rsidRDefault="001C19A4" w:rsidP="005F27A6">
            <w:pPr>
              <w:spacing w:after="100" w:afterAutospacing="1"/>
              <w:ind w:left="66"/>
              <w:jc w:val="right"/>
            </w:pPr>
            <w:r w:rsidRPr="0091059B">
              <w:t>800</w:t>
            </w:r>
          </w:p>
        </w:tc>
      </w:tr>
      <w:tr w:rsidR="001C19A4" w:rsidRPr="00DE4665" w14:paraId="4CF2C8FF" w14:textId="77777777" w:rsidTr="005F27A6">
        <w:trPr>
          <w:trHeight w:val="271"/>
        </w:trPr>
        <w:tc>
          <w:tcPr>
            <w:tcW w:w="4680" w:type="dxa"/>
            <w:noWrap/>
          </w:tcPr>
          <w:p w14:paraId="148FCD3C" w14:textId="77777777" w:rsidR="001C19A4" w:rsidRPr="00166D22" w:rsidRDefault="001C19A4" w:rsidP="005F27A6">
            <w:pPr>
              <w:spacing w:after="100" w:afterAutospacing="1"/>
              <w:ind w:left="60"/>
            </w:pPr>
            <w:r w:rsidRPr="0091059B">
              <w:t>Highlands Elementary</w:t>
            </w:r>
          </w:p>
        </w:tc>
        <w:tc>
          <w:tcPr>
            <w:tcW w:w="2189" w:type="dxa"/>
            <w:noWrap/>
          </w:tcPr>
          <w:p w14:paraId="6BC1423F" w14:textId="77777777" w:rsidR="001C19A4" w:rsidRPr="00166D22" w:rsidRDefault="001C19A4" w:rsidP="005F27A6">
            <w:pPr>
              <w:spacing w:after="100" w:afterAutospacing="1"/>
              <w:ind w:left="6"/>
              <w:jc w:val="center"/>
            </w:pPr>
            <w:r w:rsidRPr="0049140E">
              <w:t>K - 5</w:t>
            </w:r>
          </w:p>
        </w:tc>
        <w:tc>
          <w:tcPr>
            <w:tcW w:w="2189" w:type="dxa"/>
            <w:noWrap/>
          </w:tcPr>
          <w:p w14:paraId="701767B7" w14:textId="77777777" w:rsidR="001C19A4" w:rsidRPr="00166D22" w:rsidRDefault="001C19A4" w:rsidP="005F27A6">
            <w:pPr>
              <w:spacing w:after="100" w:afterAutospacing="1"/>
              <w:ind w:left="66"/>
              <w:jc w:val="right"/>
            </w:pPr>
            <w:r w:rsidRPr="0091059B">
              <w:t>512</w:t>
            </w:r>
          </w:p>
        </w:tc>
      </w:tr>
      <w:tr w:rsidR="001C19A4" w:rsidRPr="00DE4665" w14:paraId="4CE53986" w14:textId="77777777" w:rsidTr="005F27A6">
        <w:trPr>
          <w:trHeight w:val="271"/>
        </w:trPr>
        <w:tc>
          <w:tcPr>
            <w:tcW w:w="4680" w:type="dxa"/>
            <w:noWrap/>
          </w:tcPr>
          <w:p w14:paraId="1915BFAC" w14:textId="77777777" w:rsidR="001C19A4" w:rsidRPr="00166D22" w:rsidRDefault="001C19A4" w:rsidP="005F27A6">
            <w:pPr>
              <w:spacing w:after="100" w:afterAutospacing="1"/>
              <w:ind w:left="60"/>
            </w:pPr>
            <w:r w:rsidRPr="0091059B">
              <w:t>Holbrook Language Academy</w:t>
            </w:r>
          </w:p>
        </w:tc>
        <w:tc>
          <w:tcPr>
            <w:tcW w:w="2189" w:type="dxa"/>
            <w:noWrap/>
          </w:tcPr>
          <w:p w14:paraId="7266E593" w14:textId="77777777" w:rsidR="001C19A4" w:rsidRPr="00166D22" w:rsidRDefault="001C19A4" w:rsidP="005F27A6">
            <w:pPr>
              <w:spacing w:after="100" w:afterAutospacing="1"/>
              <w:ind w:left="6"/>
              <w:jc w:val="center"/>
            </w:pPr>
            <w:r w:rsidRPr="0049140E">
              <w:t xml:space="preserve">K - </w:t>
            </w:r>
            <w:r>
              <w:t>6</w:t>
            </w:r>
          </w:p>
        </w:tc>
        <w:tc>
          <w:tcPr>
            <w:tcW w:w="2189" w:type="dxa"/>
            <w:noWrap/>
          </w:tcPr>
          <w:p w14:paraId="70822C2A" w14:textId="77777777" w:rsidR="001C19A4" w:rsidRPr="00166D22" w:rsidRDefault="001C19A4" w:rsidP="005F27A6">
            <w:pPr>
              <w:spacing w:after="100" w:afterAutospacing="1"/>
              <w:ind w:left="66"/>
              <w:jc w:val="right"/>
            </w:pPr>
            <w:r w:rsidRPr="0091059B">
              <w:t>401</w:t>
            </w:r>
          </w:p>
        </w:tc>
      </w:tr>
      <w:tr w:rsidR="001C19A4" w:rsidRPr="00DE4665" w14:paraId="1373F5AE" w14:textId="77777777" w:rsidTr="005F27A6">
        <w:trPr>
          <w:trHeight w:val="271"/>
        </w:trPr>
        <w:tc>
          <w:tcPr>
            <w:tcW w:w="4680" w:type="dxa"/>
            <w:noWrap/>
          </w:tcPr>
          <w:p w14:paraId="10DCA3AC" w14:textId="77777777" w:rsidR="001C19A4" w:rsidRPr="00166D22" w:rsidRDefault="001C19A4" w:rsidP="005F27A6">
            <w:pPr>
              <w:spacing w:after="100" w:afterAutospacing="1"/>
              <w:ind w:left="60"/>
            </w:pPr>
            <w:r w:rsidRPr="0091059B">
              <w:t>Meadow Homes Elementary</w:t>
            </w:r>
          </w:p>
        </w:tc>
        <w:tc>
          <w:tcPr>
            <w:tcW w:w="2189" w:type="dxa"/>
            <w:noWrap/>
          </w:tcPr>
          <w:p w14:paraId="7B7FB6BA" w14:textId="77777777" w:rsidR="001C19A4" w:rsidRPr="00166D22" w:rsidRDefault="001C19A4" w:rsidP="005F27A6">
            <w:pPr>
              <w:spacing w:after="100" w:afterAutospacing="1"/>
              <w:ind w:left="6"/>
              <w:jc w:val="center"/>
            </w:pPr>
            <w:r w:rsidRPr="0049140E">
              <w:t>K - 5</w:t>
            </w:r>
          </w:p>
        </w:tc>
        <w:tc>
          <w:tcPr>
            <w:tcW w:w="2189" w:type="dxa"/>
            <w:noWrap/>
          </w:tcPr>
          <w:p w14:paraId="6D91F514" w14:textId="77777777" w:rsidR="001C19A4" w:rsidRPr="00166D22" w:rsidRDefault="001C19A4" w:rsidP="005F27A6">
            <w:pPr>
              <w:spacing w:after="100" w:afterAutospacing="1"/>
              <w:ind w:left="66"/>
              <w:jc w:val="right"/>
            </w:pPr>
            <w:r w:rsidRPr="0091059B">
              <w:t>757</w:t>
            </w:r>
          </w:p>
        </w:tc>
      </w:tr>
      <w:tr w:rsidR="001C19A4" w:rsidRPr="00DE4665" w14:paraId="020C23BD" w14:textId="77777777" w:rsidTr="005F27A6">
        <w:trPr>
          <w:trHeight w:val="271"/>
        </w:trPr>
        <w:tc>
          <w:tcPr>
            <w:tcW w:w="4680" w:type="dxa"/>
            <w:noWrap/>
          </w:tcPr>
          <w:p w14:paraId="62A4DFF6" w14:textId="77777777" w:rsidR="001C19A4" w:rsidRPr="00166D22" w:rsidRDefault="001C19A4" w:rsidP="005F27A6">
            <w:pPr>
              <w:spacing w:after="100" w:afterAutospacing="1"/>
              <w:ind w:left="60"/>
            </w:pPr>
            <w:r w:rsidRPr="0091059B">
              <w:t>Monte Gardens Elementary</w:t>
            </w:r>
          </w:p>
        </w:tc>
        <w:tc>
          <w:tcPr>
            <w:tcW w:w="2189" w:type="dxa"/>
            <w:noWrap/>
          </w:tcPr>
          <w:p w14:paraId="6A30D2B5" w14:textId="77777777" w:rsidR="001C19A4" w:rsidRPr="00166D22" w:rsidRDefault="001C19A4" w:rsidP="005F27A6">
            <w:pPr>
              <w:spacing w:after="100" w:afterAutospacing="1"/>
              <w:ind w:left="6"/>
              <w:jc w:val="center"/>
            </w:pPr>
            <w:r w:rsidRPr="0049140E">
              <w:t>K - 5</w:t>
            </w:r>
          </w:p>
        </w:tc>
        <w:tc>
          <w:tcPr>
            <w:tcW w:w="2189" w:type="dxa"/>
            <w:noWrap/>
          </w:tcPr>
          <w:p w14:paraId="6E104AA2" w14:textId="77777777" w:rsidR="001C19A4" w:rsidRPr="00166D22" w:rsidRDefault="001C19A4" w:rsidP="005F27A6">
            <w:pPr>
              <w:spacing w:after="100" w:afterAutospacing="1"/>
              <w:ind w:left="66"/>
              <w:jc w:val="right"/>
            </w:pPr>
            <w:r w:rsidRPr="0091059B">
              <w:t>482</w:t>
            </w:r>
          </w:p>
        </w:tc>
      </w:tr>
      <w:tr w:rsidR="001C19A4" w:rsidRPr="00DE4665" w14:paraId="565D323A" w14:textId="77777777" w:rsidTr="005F27A6">
        <w:trPr>
          <w:trHeight w:val="271"/>
        </w:trPr>
        <w:tc>
          <w:tcPr>
            <w:tcW w:w="4680" w:type="dxa"/>
            <w:noWrap/>
          </w:tcPr>
          <w:p w14:paraId="26C3B8F1" w14:textId="77777777" w:rsidR="001C19A4" w:rsidRPr="00166D22" w:rsidRDefault="001C19A4" w:rsidP="005F27A6">
            <w:pPr>
              <w:spacing w:after="100" w:afterAutospacing="1"/>
              <w:ind w:left="60"/>
            </w:pPr>
            <w:r w:rsidRPr="0091059B">
              <w:t>Mountain View Elementary</w:t>
            </w:r>
          </w:p>
        </w:tc>
        <w:tc>
          <w:tcPr>
            <w:tcW w:w="2189" w:type="dxa"/>
            <w:noWrap/>
          </w:tcPr>
          <w:p w14:paraId="3D9AC0A2" w14:textId="77777777" w:rsidR="001C19A4" w:rsidRPr="00166D22" w:rsidRDefault="001C19A4" w:rsidP="005F27A6">
            <w:pPr>
              <w:spacing w:after="100" w:afterAutospacing="1"/>
              <w:ind w:left="6"/>
              <w:jc w:val="center"/>
            </w:pPr>
            <w:r w:rsidRPr="0049140E">
              <w:t>K - 5</w:t>
            </w:r>
          </w:p>
        </w:tc>
        <w:tc>
          <w:tcPr>
            <w:tcW w:w="2189" w:type="dxa"/>
            <w:noWrap/>
          </w:tcPr>
          <w:p w14:paraId="74DCD17A" w14:textId="77777777" w:rsidR="001C19A4" w:rsidRPr="00166D22" w:rsidRDefault="001C19A4" w:rsidP="005F27A6">
            <w:pPr>
              <w:spacing w:after="100" w:afterAutospacing="1"/>
              <w:ind w:left="66"/>
              <w:jc w:val="right"/>
            </w:pPr>
            <w:r w:rsidRPr="0091059B">
              <w:t>281</w:t>
            </w:r>
          </w:p>
        </w:tc>
      </w:tr>
      <w:tr w:rsidR="001C19A4" w:rsidRPr="00DE4665" w14:paraId="065D3711" w14:textId="77777777" w:rsidTr="005F27A6">
        <w:trPr>
          <w:trHeight w:val="271"/>
        </w:trPr>
        <w:tc>
          <w:tcPr>
            <w:tcW w:w="4680" w:type="dxa"/>
            <w:noWrap/>
          </w:tcPr>
          <w:p w14:paraId="505CAD1E" w14:textId="77777777" w:rsidR="001C19A4" w:rsidRPr="00166D22" w:rsidRDefault="001C19A4" w:rsidP="005F27A6">
            <w:pPr>
              <w:spacing w:after="100" w:afterAutospacing="1"/>
              <w:ind w:left="60"/>
            </w:pPr>
            <w:r w:rsidRPr="0091059B">
              <w:t>Mt. Diablo Elementary</w:t>
            </w:r>
          </w:p>
        </w:tc>
        <w:tc>
          <w:tcPr>
            <w:tcW w:w="2189" w:type="dxa"/>
            <w:noWrap/>
          </w:tcPr>
          <w:p w14:paraId="0E6A2DC5" w14:textId="77777777" w:rsidR="001C19A4" w:rsidRPr="00166D22" w:rsidRDefault="001C19A4" w:rsidP="005F27A6">
            <w:pPr>
              <w:spacing w:after="100" w:afterAutospacing="1"/>
              <w:ind w:left="6"/>
              <w:jc w:val="center"/>
            </w:pPr>
            <w:r w:rsidRPr="0049140E">
              <w:t>K - 5</w:t>
            </w:r>
          </w:p>
        </w:tc>
        <w:tc>
          <w:tcPr>
            <w:tcW w:w="2189" w:type="dxa"/>
            <w:noWrap/>
          </w:tcPr>
          <w:p w14:paraId="1A6A9830" w14:textId="77777777" w:rsidR="001C19A4" w:rsidRPr="00166D22" w:rsidRDefault="001C19A4" w:rsidP="005F27A6">
            <w:pPr>
              <w:spacing w:after="100" w:afterAutospacing="1"/>
              <w:ind w:left="66"/>
              <w:jc w:val="right"/>
            </w:pPr>
            <w:r w:rsidRPr="0091059B">
              <w:t>743</w:t>
            </w:r>
          </w:p>
        </w:tc>
      </w:tr>
      <w:tr w:rsidR="001C19A4" w:rsidRPr="00DE4665" w14:paraId="5480AB84" w14:textId="77777777" w:rsidTr="005F27A6">
        <w:trPr>
          <w:trHeight w:val="271"/>
        </w:trPr>
        <w:tc>
          <w:tcPr>
            <w:tcW w:w="4680" w:type="dxa"/>
            <w:noWrap/>
          </w:tcPr>
          <w:p w14:paraId="4116418C" w14:textId="77777777" w:rsidR="001C19A4" w:rsidRPr="00166D22" w:rsidRDefault="001C19A4" w:rsidP="005F27A6">
            <w:pPr>
              <w:spacing w:after="100" w:afterAutospacing="1"/>
              <w:ind w:left="60"/>
            </w:pPr>
            <w:r w:rsidRPr="0091059B">
              <w:t>Pleasant Hill Elementary</w:t>
            </w:r>
          </w:p>
        </w:tc>
        <w:tc>
          <w:tcPr>
            <w:tcW w:w="2189" w:type="dxa"/>
            <w:noWrap/>
          </w:tcPr>
          <w:p w14:paraId="0DDD5E72" w14:textId="77777777" w:rsidR="001C19A4" w:rsidRPr="00166D22" w:rsidRDefault="001C19A4" w:rsidP="005F27A6">
            <w:pPr>
              <w:spacing w:after="100" w:afterAutospacing="1"/>
              <w:ind w:left="6"/>
              <w:jc w:val="center"/>
            </w:pPr>
            <w:r w:rsidRPr="0049140E">
              <w:t>K - 5</w:t>
            </w:r>
          </w:p>
        </w:tc>
        <w:tc>
          <w:tcPr>
            <w:tcW w:w="2189" w:type="dxa"/>
            <w:noWrap/>
          </w:tcPr>
          <w:p w14:paraId="007CF2F1" w14:textId="77777777" w:rsidR="001C19A4" w:rsidRPr="00166D22" w:rsidRDefault="001C19A4" w:rsidP="005F27A6">
            <w:pPr>
              <w:spacing w:after="100" w:afterAutospacing="1"/>
              <w:ind w:left="66"/>
              <w:jc w:val="right"/>
            </w:pPr>
            <w:r w:rsidRPr="0091059B">
              <w:t>602</w:t>
            </w:r>
          </w:p>
        </w:tc>
      </w:tr>
      <w:tr w:rsidR="001C19A4" w:rsidRPr="00DE4665" w14:paraId="0113F44E" w14:textId="77777777" w:rsidTr="005F27A6">
        <w:trPr>
          <w:trHeight w:val="271"/>
        </w:trPr>
        <w:tc>
          <w:tcPr>
            <w:tcW w:w="4680" w:type="dxa"/>
            <w:noWrap/>
          </w:tcPr>
          <w:p w14:paraId="6740C7FC" w14:textId="77777777" w:rsidR="001C19A4" w:rsidRPr="00166D22" w:rsidRDefault="001C19A4" w:rsidP="005F27A6">
            <w:pPr>
              <w:spacing w:after="100" w:afterAutospacing="1"/>
              <w:ind w:left="60"/>
            </w:pPr>
            <w:r w:rsidRPr="0091059B">
              <w:t>Rio Vista Elementary</w:t>
            </w:r>
          </w:p>
        </w:tc>
        <w:tc>
          <w:tcPr>
            <w:tcW w:w="2189" w:type="dxa"/>
            <w:noWrap/>
          </w:tcPr>
          <w:p w14:paraId="3B44FC78" w14:textId="77777777" w:rsidR="001C19A4" w:rsidRPr="00166D22" w:rsidRDefault="001C19A4" w:rsidP="005F27A6">
            <w:pPr>
              <w:spacing w:after="100" w:afterAutospacing="1"/>
              <w:ind w:left="6"/>
              <w:jc w:val="center"/>
            </w:pPr>
            <w:r w:rsidRPr="0049140E">
              <w:t>K - 5</w:t>
            </w:r>
          </w:p>
        </w:tc>
        <w:tc>
          <w:tcPr>
            <w:tcW w:w="2189" w:type="dxa"/>
            <w:noWrap/>
          </w:tcPr>
          <w:p w14:paraId="60964CFA" w14:textId="77777777" w:rsidR="001C19A4" w:rsidRPr="00166D22" w:rsidRDefault="001C19A4" w:rsidP="005F27A6">
            <w:pPr>
              <w:spacing w:after="100" w:afterAutospacing="1"/>
              <w:ind w:left="66"/>
              <w:jc w:val="right"/>
            </w:pPr>
            <w:r w:rsidRPr="0091059B">
              <w:t>440</w:t>
            </w:r>
          </w:p>
        </w:tc>
      </w:tr>
      <w:tr w:rsidR="001C19A4" w:rsidRPr="00DE4665" w14:paraId="6D43DF43" w14:textId="77777777" w:rsidTr="005F27A6">
        <w:trPr>
          <w:trHeight w:val="271"/>
        </w:trPr>
        <w:tc>
          <w:tcPr>
            <w:tcW w:w="4680" w:type="dxa"/>
            <w:noWrap/>
          </w:tcPr>
          <w:p w14:paraId="759013DF" w14:textId="77777777" w:rsidR="001C19A4" w:rsidRPr="00166D22" w:rsidRDefault="001C19A4" w:rsidP="005F27A6">
            <w:pPr>
              <w:spacing w:after="100" w:afterAutospacing="1"/>
              <w:ind w:left="60"/>
            </w:pPr>
            <w:r w:rsidRPr="0091059B">
              <w:t>Sequoia Elementary</w:t>
            </w:r>
          </w:p>
        </w:tc>
        <w:tc>
          <w:tcPr>
            <w:tcW w:w="2189" w:type="dxa"/>
            <w:noWrap/>
          </w:tcPr>
          <w:p w14:paraId="3357536A" w14:textId="77777777" w:rsidR="001C19A4" w:rsidRPr="00166D22" w:rsidRDefault="001C19A4" w:rsidP="005F27A6">
            <w:pPr>
              <w:spacing w:after="100" w:afterAutospacing="1"/>
              <w:ind w:left="6"/>
              <w:jc w:val="center"/>
            </w:pPr>
            <w:r w:rsidRPr="0049140E">
              <w:t>K - 5</w:t>
            </w:r>
          </w:p>
        </w:tc>
        <w:tc>
          <w:tcPr>
            <w:tcW w:w="2189" w:type="dxa"/>
            <w:noWrap/>
          </w:tcPr>
          <w:p w14:paraId="3827E333" w14:textId="77777777" w:rsidR="001C19A4" w:rsidRPr="00166D22" w:rsidRDefault="001C19A4" w:rsidP="005F27A6">
            <w:pPr>
              <w:spacing w:after="100" w:afterAutospacing="1"/>
              <w:ind w:left="66"/>
              <w:jc w:val="right"/>
            </w:pPr>
            <w:r w:rsidRPr="0091059B">
              <w:t>594</w:t>
            </w:r>
          </w:p>
        </w:tc>
      </w:tr>
      <w:tr w:rsidR="001C19A4" w:rsidRPr="00DE4665" w14:paraId="2236AE7B" w14:textId="77777777" w:rsidTr="005F27A6">
        <w:trPr>
          <w:trHeight w:val="271"/>
        </w:trPr>
        <w:tc>
          <w:tcPr>
            <w:tcW w:w="4680" w:type="dxa"/>
            <w:noWrap/>
          </w:tcPr>
          <w:p w14:paraId="5FD8EEF8" w14:textId="77777777" w:rsidR="001C19A4" w:rsidRPr="00166D22" w:rsidRDefault="001C19A4" w:rsidP="005F27A6">
            <w:pPr>
              <w:spacing w:after="100" w:afterAutospacing="1"/>
              <w:ind w:left="60"/>
            </w:pPr>
            <w:r w:rsidRPr="0091059B">
              <w:t>Shore Acres Elementary</w:t>
            </w:r>
          </w:p>
        </w:tc>
        <w:tc>
          <w:tcPr>
            <w:tcW w:w="2189" w:type="dxa"/>
            <w:noWrap/>
          </w:tcPr>
          <w:p w14:paraId="20549403" w14:textId="77777777" w:rsidR="001C19A4" w:rsidRPr="00166D22" w:rsidRDefault="001C19A4" w:rsidP="005F27A6">
            <w:pPr>
              <w:spacing w:after="100" w:afterAutospacing="1"/>
              <w:ind w:left="6"/>
              <w:jc w:val="center"/>
            </w:pPr>
            <w:r w:rsidRPr="0049140E">
              <w:t>K - 5</w:t>
            </w:r>
          </w:p>
        </w:tc>
        <w:tc>
          <w:tcPr>
            <w:tcW w:w="2189" w:type="dxa"/>
            <w:noWrap/>
          </w:tcPr>
          <w:p w14:paraId="67BEEA7D" w14:textId="77777777" w:rsidR="001C19A4" w:rsidRPr="00166D22" w:rsidRDefault="001C19A4" w:rsidP="005F27A6">
            <w:pPr>
              <w:spacing w:after="100" w:afterAutospacing="1"/>
              <w:ind w:left="66"/>
              <w:jc w:val="right"/>
            </w:pPr>
            <w:r w:rsidRPr="0091059B">
              <w:t>440</w:t>
            </w:r>
          </w:p>
        </w:tc>
      </w:tr>
      <w:tr w:rsidR="001C19A4" w:rsidRPr="00DE4665" w14:paraId="14855657" w14:textId="77777777" w:rsidTr="005F27A6">
        <w:trPr>
          <w:trHeight w:val="271"/>
        </w:trPr>
        <w:tc>
          <w:tcPr>
            <w:tcW w:w="4680" w:type="dxa"/>
            <w:noWrap/>
          </w:tcPr>
          <w:p w14:paraId="26D05BD5" w14:textId="77777777" w:rsidR="001C19A4" w:rsidRPr="00166D22" w:rsidRDefault="001C19A4" w:rsidP="005F27A6">
            <w:pPr>
              <w:spacing w:after="100" w:afterAutospacing="1"/>
              <w:ind w:left="60"/>
            </w:pPr>
            <w:r w:rsidRPr="0091059B">
              <w:t>Silverwood Elementary</w:t>
            </w:r>
          </w:p>
        </w:tc>
        <w:tc>
          <w:tcPr>
            <w:tcW w:w="2189" w:type="dxa"/>
            <w:noWrap/>
          </w:tcPr>
          <w:p w14:paraId="225FC83B" w14:textId="77777777" w:rsidR="001C19A4" w:rsidRPr="00166D22" w:rsidRDefault="001C19A4" w:rsidP="005F27A6">
            <w:pPr>
              <w:spacing w:after="100" w:afterAutospacing="1"/>
              <w:ind w:left="6"/>
              <w:jc w:val="center"/>
            </w:pPr>
            <w:r w:rsidRPr="0049140E">
              <w:t>K - 5</w:t>
            </w:r>
          </w:p>
        </w:tc>
        <w:tc>
          <w:tcPr>
            <w:tcW w:w="2189" w:type="dxa"/>
            <w:noWrap/>
          </w:tcPr>
          <w:p w14:paraId="4F914EB5" w14:textId="77777777" w:rsidR="001C19A4" w:rsidRPr="00166D22" w:rsidRDefault="001C19A4" w:rsidP="005F27A6">
            <w:pPr>
              <w:spacing w:after="100" w:afterAutospacing="1"/>
              <w:ind w:left="66"/>
              <w:jc w:val="right"/>
            </w:pPr>
            <w:r w:rsidRPr="0091059B">
              <w:t>529</w:t>
            </w:r>
          </w:p>
        </w:tc>
      </w:tr>
      <w:tr w:rsidR="001C19A4" w:rsidRPr="00DE4665" w14:paraId="57BC2926" w14:textId="77777777" w:rsidTr="005F27A6">
        <w:trPr>
          <w:trHeight w:val="271"/>
        </w:trPr>
        <w:tc>
          <w:tcPr>
            <w:tcW w:w="4680" w:type="dxa"/>
            <w:noWrap/>
          </w:tcPr>
          <w:p w14:paraId="5A4E0040" w14:textId="77777777" w:rsidR="001C19A4" w:rsidRPr="00166D22" w:rsidRDefault="001C19A4" w:rsidP="005F27A6">
            <w:pPr>
              <w:spacing w:after="100" w:afterAutospacing="1"/>
              <w:ind w:left="60"/>
            </w:pPr>
            <w:proofErr w:type="spellStart"/>
            <w:r w:rsidRPr="001C6C43">
              <w:t>Strandwood</w:t>
            </w:r>
            <w:proofErr w:type="spellEnd"/>
            <w:r w:rsidRPr="001C6C43">
              <w:t xml:space="preserve"> Elementary</w:t>
            </w:r>
          </w:p>
        </w:tc>
        <w:tc>
          <w:tcPr>
            <w:tcW w:w="2189" w:type="dxa"/>
            <w:noWrap/>
          </w:tcPr>
          <w:p w14:paraId="7D6C7D60" w14:textId="77777777" w:rsidR="001C19A4" w:rsidRPr="00166D22" w:rsidRDefault="001C19A4" w:rsidP="005F27A6">
            <w:pPr>
              <w:spacing w:after="100" w:afterAutospacing="1"/>
              <w:ind w:left="6"/>
              <w:jc w:val="center"/>
            </w:pPr>
            <w:r w:rsidRPr="0049140E">
              <w:t>K - 5</w:t>
            </w:r>
          </w:p>
        </w:tc>
        <w:tc>
          <w:tcPr>
            <w:tcW w:w="2189" w:type="dxa"/>
            <w:noWrap/>
          </w:tcPr>
          <w:p w14:paraId="4612BBD1" w14:textId="77777777" w:rsidR="001C19A4" w:rsidRPr="00166D22" w:rsidRDefault="001C19A4" w:rsidP="005F27A6">
            <w:pPr>
              <w:spacing w:after="100" w:afterAutospacing="1"/>
              <w:ind w:left="66"/>
              <w:jc w:val="right"/>
            </w:pPr>
            <w:r w:rsidRPr="001C6C43">
              <w:t>573</w:t>
            </w:r>
          </w:p>
        </w:tc>
      </w:tr>
      <w:tr w:rsidR="001C19A4" w:rsidRPr="00DE4665" w14:paraId="02CC8B91" w14:textId="77777777" w:rsidTr="005F27A6">
        <w:trPr>
          <w:trHeight w:val="271"/>
        </w:trPr>
        <w:tc>
          <w:tcPr>
            <w:tcW w:w="4680" w:type="dxa"/>
            <w:noWrap/>
          </w:tcPr>
          <w:p w14:paraId="68838A0B" w14:textId="77777777" w:rsidR="001C19A4" w:rsidRPr="00166D22" w:rsidRDefault="001C19A4" w:rsidP="005F27A6">
            <w:pPr>
              <w:spacing w:after="100" w:afterAutospacing="1"/>
              <w:ind w:left="60"/>
            </w:pPr>
            <w:r w:rsidRPr="001C6C43">
              <w:t>Sun Terrace Elementary</w:t>
            </w:r>
          </w:p>
        </w:tc>
        <w:tc>
          <w:tcPr>
            <w:tcW w:w="2189" w:type="dxa"/>
            <w:noWrap/>
          </w:tcPr>
          <w:p w14:paraId="1953AFC6" w14:textId="77777777" w:rsidR="001C19A4" w:rsidRPr="00166D22" w:rsidRDefault="001C19A4" w:rsidP="005F27A6">
            <w:pPr>
              <w:spacing w:after="100" w:afterAutospacing="1"/>
              <w:ind w:left="6"/>
              <w:jc w:val="center"/>
            </w:pPr>
            <w:r w:rsidRPr="0049140E">
              <w:t>K - 5</w:t>
            </w:r>
          </w:p>
        </w:tc>
        <w:tc>
          <w:tcPr>
            <w:tcW w:w="2189" w:type="dxa"/>
            <w:noWrap/>
          </w:tcPr>
          <w:p w14:paraId="3A8B085C" w14:textId="77777777" w:rsidR="001C19A4" w:rsidRPr="00166D22" w:rsidRDefault="001C19A4" w:rsidP="005F27A6">
            <w:pPr>
              <w:spacing w:after="100" w:afterAutospacing="1"/>
              <w:ind w:left="66"/>
              <w:jc w:val="right"/>
            </w:pPr>
            <w:r w:rsidRPr="001C6C43">
              <w:t>441</w:t>
            </w:r>
          </w:p>
        </w:tc>
      </w:tr>
      <w:tr w:rsidR="001C19A4" w:rsidRPr="00DE4665" w14:paraId="252FCB3F" w14:textId="77777777" w:rsidTr="005F27A6">
        <w:trPr>
          <w:trHeight w:val="271"/>
        </w:trPr>
        <w:tc>
          <w:tcPr>
            <w:tcW w:w="4680" w:type="dxa"/>
            <w:noWrap/>
          </w:tcPr>
          <w:p w14:paraId="7C12DA7E" w14:textId="77777777" w:rsidR="001C19A4" w:rsidRPr="00166D22" w:rsidRDefault="001C19A4" w:rsidP="005F27A6">
            <w:pPr>
              <w:spacing w:after="100" w:afterAutospacing="1"/>
              <w:ind w:left="60"/>
            </w:pPr>
            <w:r w:rsidRPr="001C6C43">
              <w:t>Valhalla Elementary</w:t>
            </w:r>
          </w:p>
        </w:tc>
        <w:tc>
          <w:tcPr>
            <w:tcW w:w="2189" w:type="dxa"/>
            <w:noWrap/>
          </w:tcPr>
          <w:p w14:paraId="7A55030B" w14:textId="77777777" w:rsidR="001C19A4" w:rsidRPr="00166D22" w:rsidRDefault="001C19A4" w:rsidP="005F27A6">
            <w:pPr>
              <w:spacing w:after="100" w:afterAutospacing="1"/>
              <w:ind w:left="6"/>
              <w:jc w:val="center"/>
            </w:pPr>
            <w:r w:rsidRPr="0049140E">
              <w:t>K - 5</w:t>
            </w:r>
          </w:p>
        </w:tc>
        <w:tc>
          <w:tcPr>
            <w:tcW w:w="2189" w:type="dxa"/>
            <w:noWrap/>
          </w:tcPr>
          <w:p w14:paraId="2A62A3B9" w14:textId="77777777" w:rsidR="001C19A4" w:rsidRPr="00166D22" w:rsidRDefault="001C19A4" w:rsidP="005F27A6">
            <w:pPr>
              <w:spacing w:after="100" w:afterAutospacing="1"/>
              <w:ind w:left="66"/>
              <w:jc w:val="right"/>
            </w:pPr>
            <w:r w:rsidRPr="001C6C43">
              <w:t>563</w:t>
            </w:r>
          </w:p>
        </w:tc>
      </w:tr>
      <w:tr w:rsidR="001C19A4" w:rsidRPr="00DE4665" w14:paraId="08308C67" w14:textId="77777777" w:rsidTr="005F27A6">
        <w:trPr>
          <w:trHeight w:val="271"/>
        </w:trPr>
        <w:tc>
          <w:tcPr>
            <w:tcW w:w="4680" w:type="dxa"/>
            <w:noWrap/>
          </w:tcPr>
          <w:p w14:paraId="3594FDF7" w14:textId="77777777" w:rsidR="001C19A4" w:rsidRPr="00166D22" w:rsidRDefault="001C19A4" w:rsidP="005F27A6">
            <w:pPr>
              <w:spacing w:after="100" w:afterAutospacing="1"/>
              <w:ind w:left="60"/>
            </w:pPr>
            <w:r w:rsidRPr="001C6C43">
              <w:t>Westwood Elementary</w:t>
            </w:r>
          </w:p>
        </w:tc>
        <w:tc>
          <w:tcPr>
            <w:tcW w:w="2189" w:type="dxa"/>
            <w:noWrap/>
          </w:tcPr>
          <w:p w14:paraId="2FDFAA8C" w14:textId="77777777" w:rsidR="001C19A4" w:rsidRPr="00166D22" w:rsidRDefault="001C19A4" w:rsidP="005F27A6">
            <w:pPr>
              <w:spacing w:after="100" w:afterAutospacing="1"/>
              <w:ind w:left="6"/>
              <w:jc w:val="center"/>
            </w:pPr>
            <w:r w:rsidRPr="0049140E">
              <w:t>K - 5</w:t>
            </w:r>
          </w:p>
        </w:tc>
        <w:tc>
          <w:tcPr>
            <w:tcW w:w="2189" w:type="dxa"/>
            <w:noWrap/>
          </w:tcPr>
          <w:p w14:paraId="329E9114" w14:textId="77777777" w:rsidR="001C19A4" w:rsidRPr="00166D22" w:rsidRDefault="001C19A4" w:rsidP="005F27A6">
            <w:pPr>
              <w:spacing w:after="100" w:afterAutospacing="1"/>
              <w:ind w:left="66"/>
              <w:jc w:val="right"/>
            </w:pPr>
            <w:r w:rsidRPr="001C6C43">
              <w:t>277</w:t>
            </w:r>
          </w:p>
        </w:tc>
      </w:tr>
      <w:tr w:rsidR="001C19A4" w:rsidRPr="00DE4665" w14:paraId="5B8D52BC" w14:textId="77777777" w:rsidTr="005F27A6">
        <w:trPr>
          <w:trHeight w:val="271"/>
        </w:trPr>
        <w:tc>
          <w:tcPr>
            <w:tcW w:w="4680" w:type="dxa"/>
            <w:noWrap/>
          </w:tcPr>
          <w:p w14:paraId="4987009E" w14:textId="77777777" w:rsidR="001C19A4" w:rsidRPr="0091059B" w:rsidRDefault="001C19A4" w:rsidP="005F27A6">
            <w:pPr>
              <w:spacing w:after="100" w:afterAutospacing="1"/>
              <w:ind w:left="60"/>
            </w:pPr>
            <w:r w:rsidRPr="001C6C43">
              <w:t>Woodside Elementary</w:t>
            </w:r>
          </w:p>
        </w:tc>
        <w:tc>
          <w:tcPr>
            <w:tcW w:w="2189" w:type="dxa"/>
            <w:noWrap/>
          </w:tcPr>
          <w:p w14:paraId="5B2F85E3" w14:textId="77777777" w:rsidR="001C19A4" w:rsidRPr="0091059B" w:rsidRDefault="001C19A4" w:rsidP="005F27A6">
            <w:pPr>
              <w:spacing w:after="100" w:afterAutospacing="1"/>
              <w:ind w:left="6"/>
              <w:jc w:val="center"/>
            </w:pPr>
            <w:r w:rsidRPr="0049140E">
              <w:t>K - 5</w:t>
            </w:r>
          </w:p>
        </w:tc>
        <w:tc>
          <w:tcPr>
            <w:tcW w:w="2189" w:type="dxa"/>
            <w:noWrap/>
          </w:tcPr>
          <w:p w14:paraId="49304329" w14:textId="77777777" w:rsidR="001C19A4" w:rsidRPr="0091059B" w:rsidRDefault="001C19A4" w:rsidP="005F27A6">
            <w:pPr>
              <w:spacing w:after="100" w:afterAutospacing="1"/>
              <w:ind w:left="66"/>
              <w:jc w:val="right"/>
            </w:pPr>
            <w:r w:rsidRPr="001C6C43">
              <w:t>281</w:t>
            </w:r>
          </w:p>
        </w:tc>
      </w:tr>
      <w:tr w:rsidR="001C19A4" w:rsidRPr="00DE4665" w14:paraId="68944A6C" w14:textId="77777777" w:rsidTr="005F27A6">
        <w:trPr>
          <w:trHeight w:val="271"/>
        </w:trPr>
        <w:tc>
          <w:tcPr>
            <w:tcW w:w="4680" w:type="dxa"/>
            <w:noWrap/>
          </w:tcPr>
          <w:p w14:paraId="57ABE424" w14:textId="77777777" w:rsidR="001C19A4" w:rsidRPr="0091059B" w:rsidRDefault="001C19A4" w:rsidP="005F27A6">
            <w:pPr>
              <w:spacing w:after="100" w:afterAutospacing="1"/>
              <w:ind w:left="60"/>
            </w:pPr>
            <w:r w:rsidRPr="001C6C43">
              <w:t>Wren Avenue Elementary</w:t>
            </w:r>
          </w:p>
        </w:tc>
        <w:tc>
          <w:tcPr>
            <w:tcW w:w="2189" w:type="dxa"/>
            <w:noWrap/>
          </w:tcPr>
          <w:p w14:paraId="785C1DDB" w14:textId="77777777" w:rsidR="001C19A4" w:rsidRPr="0091059B" w:rsidRDefault="001C19A4" w:rsidP="005F27A6">
            <w:pPr>
              <w:spacing w:after="100" w:afterAutospacing="1"/>
              <w:ind w:left="6"/>
              <w:jc w:val="center"/>
            </w:pPr>
            <w:r w:rsidRPr="0049140E">
              <w:t>K - 5</w:t>
            </w:r>
          </w:p>
        </w:tc>
        <w:tc>
          <w:tcPr>
            <w:tcW w:w="2189" w:type="dxa"/>
            <w:noWrap/>
          </w:tcPr>
          <w:p w14:paraId="00F2402A" w14:textId="77777777" w:rsidR="001C19A4" w:rsidRPr="0091059B" w:rsidRDefault="001C19A4" w:rsidP="005F27A6">
            <w:pPr>
              <w:spacing w:after="100" w:afterAutospacing="1"/>
              <w:ind w:left="66"/>
              <w:jc w:val="right"/>
            </w:pPr>
            <w:r w:rsidRPr="001C6C43">
              <w:t>364</w:t>
            </w:r>
          </w:p>
        </w:tc>
      </w:tr>
      <w:tr w:rsidR="001C19A4" w:rsidRPr="00DE4665" w14:paraId="6E31B104" w14:textId="77777777" w:rsidTr="005F27A6">
        <w:trPr>
          <w:trHeight w:val="271"/>
        </w:trPr>
        <w:tc>
          <w:tcPr>
            <w:tcW w:w="4680" w:type="dxa"/>
            <w:noWrap/>
          </w:tcPr>
          <w:p w14:paraId="1BF7EFCC" w14:textId="77777777" w:rsidR="001C19A4" w:rsidRPr="0091059B" w:rsidRDefault="001C19A4" w:rsidP="005F27A6">
            <w:pPr>
              <w:spacing w:after="100" w:afterAutospacing="1"/>
              <w:ind w:left="60"/>
            </w:pPr>
            <w:r w:rsidRPr="001C6C43">
              <w:t>Ygnacio Valley Elementary</w:t>
            </w:r>
          </w:p>
        </w:tc>
        <w:tc>
          <w:tcPr>
            <w:tcW w:w="2189" w:type="dxa"/>
            <w:noWrap/>
          </w:tcPr>
          <w:p w14:paraId="11B72CE5" w14:textId="77777777" w:rsidR="001C19A4" w:rsidRPr="0091059B" w:rsidRDefault="001C19A4" w:rsidP="005F27A6">
            <w:pPr>
              <w:spacing w:after="100" w:afterAutospacing="1"/>
              <w:ind w:left="6"/>
              <w:jc w:val="center"/>
            </w:pPr>
            <w:r w:rsidRPr="0049140E">
              <w:t>K - 5</w:t>
            </w:r>
          </w:p>
        </w:tc>
        <w:tc>
          <w:tcPr>
            <w:tcW w:w="2189" w:type="dxa"/>
            <w:noWrap/>
          </w:tcPr>
          <w:p w14:paraId="3B42011E" w14:textId="77777777" w:rsidR="001C19A4" w:rsidRPr="0091059B" w:rsidRDefault="001C19A4" w:rsidP="005F27A6">
            <w:pPr>
              <w:spacing w:after="100" w:afterAutospacing="1"/>
              <w:ind w:left="66"/>
              <w:jc w:val="right"/>
            </w:pPr>
            <w:r w:rsidRPr="001C6C43">
              <w:t>437</w:t>
            </w:r>
          </w:p>
        </w:tc>
      </w:tr>
      <w:tr w:rsidR="001C19A4" w:rsidRPr="00DE4665" w14:paraId="31DA22A5" w14:textId="77777777" w:rsidTr="005F27A6">
        <w:trPr>
          <w:trHeight w:val="271"/>
        </w:trPr>
        <w:tc>
          <w:tcPr>
            <w:tcW w:w="4680" w:type="dxa"/>
            <w:noWrap/>
          </w:tcPr>
          <w:p w14:paraId="0360CD7C" w14:textId="77777777" w:rsidR="001C19A4" w:rsidRPr="0091059B" w:rsidRDefault="001C19A4" w:rsidP="005F27A6">
            <w:pPr>
              <w:spacing w:after="100" w:afterAutospacing="1"/>
              <w:ind w:left="60"/>
            </w:pPr>
            <w:r w:rsidRPr="00594B28">
              <w:t>Diablo View Middle</w:t>
            </w:r>
          </w:p>
        </w:tc>
        <w:tc>
          <w:tcPr>
            <w:tcW w:w="2189" w:type="dxa"/>
            <w:noWrap/>
          </w:tcPr>
          <w:p w14:paraId="33B7B83C"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2A239364" w14:textId="77777777" w:rsidR="001C19A4" w:rsidRPr="0091059B" w:rsidRDefault="001C19A4" w:rsidP="005F27A6">
            <w:pPr>
              <w:spacing w:after="100" w:afterAutospacing="1"/>
              <w:ind w:left="66"/>
              <w:jc w:val="right"/>
            </w:pPr>
            <w:r w:rsidRPr="00594B28">
              <w:t>577</w:t>
            </w:r>
          </w:p>
        </w:tc>
      </w:tr>
      <w:tr w:rsidR="001C19A4" w:rsidRPr="00DE4665" w14:paraId="3A92BB2E" w14:textId="77777777" w:rsidTr="005F27A6">
        <w:trPr>
          <w:trHeight w:val="271"/>
        </w:trPr>
        <w:tc>
          <w:tcPr>
            <w:tcW w:w="4680" w:type="dxa"/>
            <w:noWrap/>
          </w:tcPr>
          <w:p w14:paraId="186FDA14" w14:textId="77777777" w:rsidR="001C19A4" w:rsidRPr="0091059B" w:rsidRDefault="001C19A4" w:rsidP="005F27A6">
            <w:pPr>
              <w:spacing w:after="100" w:afterAutospacing="1"/>
              <w:ind w:left="60"/>
            </w:pPr>
            <w:r w:rsidRPr="00594B28">
              <w:t>El Dorado Middle</w:t>
            </w:r>
          </w:p>
        </w:tc>
        <w:tc>
          <w:tcPr>
            <w:tcW w:w="2189" w:type="dxa"/>
            <w:noWrap/>
          </w:tcPr>
          <w:p w14:paraId="160DE558"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2E241DA9" w14:textId="77777777" w:rsidR="001C19A4" w:rsidRPr="0091059B" w:rsidRDefault="001C19A4" w:rsidP="005F27A6">
            <w:pPr>
              <w:spacing w:after="100" w:afterAutospacing="1"/>
              <w:ind w:left="66"/>
              <w:jc w:val="right"/>
            </w:pPr>
            <w:r w:rsidRPr="00594B28">
              <w:t>866</w:t>
            </w:r>
          </w:p>
        </w:tc>
      </w:tr>
      <w:tr w:rsidR="001C19A4" w:rsidRPr="00DE4665" w14:paraId="3464C009" w14:textId="77777777" w:rsidTr="005F27A6">
        <w:trPr>
          <w:trHeight w:val="271"/>
        </w:trPr>
        <w:tc>
          <w:tcPr>
            <w:tcW w:w="4680" w:type="dxa"/>
            <w:noWrap/>
          </w:tcPr>
          <w:p w14:paraId="2A23A4EF" w14:textId="77777777" w:rsidR="001C19A4" w:rsidRPr="0091059B" w:rsidRDefault="001C19A4" w:rsidP="005F27A6">
            <w:pPr>
              <w:spacing w:after="100" w:afterAutospacing="1"/>
              <w:ind w:left="60"/>
            </w:pPr>
            <w:r w:rsidRPr="00594B28">
              <w:t>Oak Grove Middle</w:t>
            </w:r>
          </w:p>
        </w:tc>
        <w:tc>
          <w:tcPr>
            <w:tcW w:w="2189" w:type="dxa"/>
            <w:noWrap/>
          </w:tcPr>
          <w:p w14:paraId="347B3AC5"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768A5827" w14:textId="77777777" w:rsidR="001C19A4" w:rsidRPr="0091059B" w:rsidRDefault="001C19A4" w:rsidP="005F27A6">
            <w:pPr>
              <w:spacing w:after="100" w:afterAutospacing="1"/>
              <w:ind w:left="66"/>
              <w:jc w:val="right"/>
            </w:pPr>
            <w:r w:rsidRPr="00594B28">
              <w:t>748</w:t>
            </w:r>
          </w:p>
        </w:tc>
      </w:tr>
      <w:tr w:rsidR="001C19A4" w:rsidRPr="00DE4665" w14:paraId="782D8F04" w14:textId="77777777" w:rsidTr="005F27A6">
        <w:trPr>
          <w:trHeight w:val="271"/>
        </w:trPr>
        <w:tc>
          <w:tcPr>
            <w:tcW w:w="4680" w:type="dxa"/>
            <w:noWrap/>
          </w:tcPr>
          <w:p w14:paraId="1827FA74" w14:textId="77777777" w:rsidR="001C19A4" w:rsidRPr="0091059B" w:rsidRDefault="001C19A4" w:rsidP="005F27A6">
            <w:pPr>
              <w:spacing w:after="100" w:afterAutospacing="1"/>
              <w:ind w:left="60"/>
            </w:pPr>
            <w:r w:rsidRPr="00594B28">
              <w:t>Pine Hollow Middle</w:t>
            </w:r>
          </w:p>
        </w:tc>
        <w:tc>
          <w:tcPr>
            <w:tcW w:w="2189" w:type="dxa"/>
            <w:noWrap/>
          </w:tcPr>
          <w:p w14:paraId="50BFFE2B"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7086A324" w14:textId="77777777" w:rsidR="001C19A4" w:rsidRPr="0091059B" w:rsidRDefault="001C19A4" w:rsidP="005F27A6">
            <w:pPr>
              <w:spacing w:after="100" w:afterAutospacing="1"/>
              <w:ind w:left="66"/>
              <w:jc w:val="right"/>
            </w:pPr>
            <w:r w:rsidRPr="00594B28">
              <w:t>562</w:t>
            </w:r>
          </w:p>
        </w:tc>
      </w:tr>
      <w:tr w:rsidR="001C19A4" w:rsidRPr="00DE4665" w14:paraId="641BFF76" w14:textId="77777777" w:rsidTr="005F27A6">
        <w:trPr>
          <w:trHeight w:val="271"/>
        </w:trPr>
        <w:tc>
          <w:tcPr>
            <w:tcW w:w="4680" w:type="dxa"/>
            <w:noWrap/>
          </w:tcPr>
          <w:p w14:paraId="06D47EDF" w14:textId="77777777" w:rsidR="001C19A4" w:rsidRPr="0091059B" w:rsidRDefault="001C19A4" w:rsidP="005F27A6">
            <w:pPr>
              <w:spacing w:after="100" w:afterAutospacing="1"/>
              <w:ind w:left="60"/>
            </w:pPr>
            <w:r w:rsidRPr="00594B28">
              <w:lastRenderedPageBreak/>
              <w:t>Pleasant Hill Middle</w:t>
            </w:r>
          </w:p>
        </w:tc>
        <w:tc>
          <w:tcPr>
            <w:tcW w:w="2189" w:type="dxa"/>
            <w:noWrap/>
          </w:tcPr>
          <w:p w14:paraId="2113F294"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154DC8C6" w14:textId="77777777" w:rsidR="001C19A4" w:rsidRPr="0091059B" w:rsidRDefault="001C19A4" w:rsidP="005F27A6">
            <w:pPr>
              <w:spacing w:after="100" w:afterAutospacing="1"/>
              <w:ind w:left="66"/>
              <w:jc w:val="right"/>
            </w:pPr>
            <w:r w:rsidRPr="00594B28">
              <w:t>751</w:t>
            </w:r>
          </w:p>
        </w:tc>
      </w:tr>
      <w:tr w:rsidR="001C19A4" w:rsidRPr="00DE4665" w14:paraId="4498057E" w14:textId="77777777" w:rsidTr="005F27A6">
        <w:trPr>
          <w:trHeight w:val="271"/>
        </w:trPr>
        <w:tc>
          <w:tcPr>
            <w:tcW w:w="4680" w:type="dxa"/>
            <w:noWrap/>
          </w:tcPr>
          <w:p w14:paraId="2124402A" w14:textId="77777777" w:rsidR="001C19A4" w:rsidRPr="0091059B" w:rsidRDefault="001C19A4" w:rsidP="005F27A6">
            <w:pPr>
              <w:spacing w:after="100" w:afterAutospacing="1"/>
              <w:ind w:left="60"/>
            </w:pPr>
            <w:r w:rsidRPr="00594B28">
              <w:t>Riverview Middle</w:t>
            </w:r>
          </w:p>
        </w:tc>
        <w:tc>
          <w:tcPr>
            <w:tcW w:w="2189" w:type="dxa"/>
            <w:noWrap/>
          </w:tcPr>
          <w:p w14:paraId="06BE4D20"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4DA16B23" w14:textId="77777777" w:rsidR="001C19A4" w:rsidRPr="0091059B" w:rsidRDefault="001C19A4" w:rsidP="005F27A6">
            <w:pPr>
              <w:spacing w:after="100" w:afterAutospacing="1"/>
              <w:ind w:left="66"/>
              <w:jc w:val="right"/>
            </w:pPr>
            <w:r w:rsidRPr="00594B28">
              <w:t>745</w:t>
            </w:r>
          </w:p>
        </w:tc>
      </w:tr>
      <w:tr w:rsidR="001C19A4" w:rsidRPr="00DE4665" w14:paraId="1E9C066A" w14:textId="77777777" w:rsidTr="005F27A6">
        <w:trPr>
          <w:trHeight w:val="271"/>
        </w:trPr>
        <w:tc>
          <w:tcPr>
            <w:tcW w:w="4680" w:type="dxa"/>
            <w:noWrap/>
          </w:tcPr>
          <w:p w14:paraId="17177C35" w14:textId="77777777" w:rsidR="001C19A4" w:rsidRPr="0091059B" w:rsidRDefault="001C19A4" w:rsidP="005F27A6">
            <w:pPr>
              <w:spacing w:after="100" w:afterAutospacing="1"/>
              <w:ind w:left="60"/>
            </w:pPr>
            <w:r w:rsidRPr="00594B28">
              <w:t>Sequoia Middle</w:t>
            </w:r>
          </w:p>
        </w:tc>
        <w:tc>
          <w:tcPr>
            <w:tcW w:w="2189" w:type="dxa"/>
            <w:noWrap/>
          </w:tcPr>
          <w:p w14:paraId="7B04B107"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7E084716" w14:textId="77777777" w:rsidR="001C19A4" w:rsidRPr="0091059B" w:rsidRDefault="001C19A4" w:rsidP="005F27A6">
            <w:pPr>
              <w:spacing w:after="100" w:afterAutospacing="1"/>
              <w:ind w:left="66"/>
              <w:jc w:val="right"/>
            </w:pPr>
            <w:r w:rsidRPr="00594B28">
              <w:t>910</w:t>
            </w:r>
          </w:p>
        </w:tc>
      </w:tr>
      <w:tr w:rsidR="001C19A4" w:rsidRPr="00DE4665" w14:paraId="50E83A11" w14:textId="77777777" w:rsidTr="005F27A6">
        <w:trPr>
          <w:trHeight w:val="271"/>
        </w:trPr>
        <w:tc>
          <w:tcPr>
            <w:tcW w:w="4680" w:type="dxa"/>
            <w:noWrap/>
          </w:tcPr>
          <w:p w14:paraId="62AEC7E1" w14:textId="77777777" w:rsidR="001C19A4" w:rsidRPr="0091059B" w:rsidRDefault="001C19A4" w:rsidP="005F27A6">
            <w:pPr>
              <w:spacing w:after="100" w:afterAutospacing="1"/>
              <w:ind w:left="60"/>
            </w:pPr>
            <w:r w:rsidRPr="003C22A9">
              <w:t>Valley View Middle</w:t>
            </w:r>
          </w:p>
        </w:tc>
        <w:tc>
          <w:tcPr>
            <w:tcW w:w="2189" w:type="dxa"/>
            <w:noWrap/>
          </w:tcPr>
          <w:p w14:paraId="6636E57E" w14:textId="77777777" w:rsidR="001C19A4" w:rsidRPr="0091059B" w:rsidRDefault="001C19A4" w:rsidP="005F27A6">
            <w:pPr>
              <w:spacing w:after="100" w:afterAutospacing="1"/>
              <w:ind w:left="6"/>
              <w:jc w:val="center"/>
            </w:pPr>
            <w:r w:rsidRPr="00594B28">
              <w:t xml:space="preserve">6 </w:t>
            </w:r>
            <w:r>
              <w:t>-</w:t>
            </w:r>
            <w:r w:rsidRPr="00594B28">
              <w:t xml:space="preserve"> 8</w:t>
            </w:r>
          </w:p>
        </w:tc>
        <w:tc>
          <w:tcPr>
            <w:tcW w:w="2189" w:type="dxa"/>
            <w:noWrap/>
          </w:tcPr>
          <w:p w14:paraId="630EFC0C" w14:textId="77777777" w:rsidR="001C19A4" w:rsidRPr="0091059B" w:rsidRDefault="001C19A4" w:rsidP="005F27A6">
            <w:pPr>
              <w:spacing w:after="100" w:afterAutospacing="1"/>
              <w:ind w:left="66"/>
              <w:jc w:val="right"/>
            </w:pPr>
            <w:r w:rsidRPr="003C22A9">
              <w:t>750</w:t>
            </w:r>
          </w:p>
        </w:tc>
      </w:tr>
      <w:tr w:rsidR="001C19A4" w:rsidRPr="00DE4665" w14:paraId="79F5E4E4" w14:textId="77777777" w:rsidTr="005F27A6">
        <w:trPr>
          <w:trHeight w:val="271"/>
        </w:trPr>
        <w:tc>
          <w:tcPr>
            <w:tcW w:w="4680" w:type="dxa"/>
            <w:noWrap/>
          </w:tcPr>
          <w:p w14:paraId="7808729E" w14:textId="77777777" w:rsidR="001C19A4" w:rsidRPr="0091059B" w:rsidRDefault="001C19A4" w:rsidP="005F27A6">
            <w:pPr>
              <w:spacing w:after="100" w:afterAutospacing="1"/>
              <w:ind w:left="60"/>
            </w:pPr>
            <w:r w:rsidRPr="003C22A9">
              <w:t>College Park High</w:t>
            </w:r>
          </w:p>
        </w:tc>
        <w:tc>
          <w:tcPr>
            <w:tcW w:w="2189" w:type="dxa"/>
            <w:noWrap/>
          </w:tcPr>
          <w:p w14:paraId="77220C6F" w14:textId="77777777" w:rsidR="001C19A4" w:rsidRPr="0091059B"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7043F409" w14:textId="77777777" w:rsidR="001C19A4" w:rsidRPr="0091059B" w:rsidRDefault="001C19A4" w:rsidP="005F27A6">
            <w:pPr>
              <w:spacing w:after="100" w:afterAutospacing="1"/>
              <w:ind w:left="66"/>
              <w:jc w:val="right"/>
            </w:pPr>
            <w:r w:rsidRPr="003C22A9">
              <w:t>2,050</w:t>
            </w:r>
          </w:p>
        </w:tc>
      </w:tr>
      <w:tr w:rsidR="001C19A4" w:rsidRPr="00DE4665" w14:paraId="6242B68B" w14:textId="77777777" w:rsidTr="005F27A6">
        <w:trPr>
          <w:trHeight w:val="271"/>
        </w:trPr>
        <w:tc>
          <w:tcPr>
            <w:tcW w:w="4680" w:type="dxa"/>
            <w:noWrap/>
          </w:tcPr>
          <w:p w14:paraId="695B071F" w14:textId="77777777" w:rsidR="001C19A4" w:rsidRPr="0091059B" w:rsidRDefault="001C19A4" w:rsidP="005F27A6">
            <w:pPr>
              <w:spacing w:after="100" w:afterAutospacing="1"/>
              <w:ind w:left="60"/>
            </w:pPr>
            <w:r w:rsidRPr="003C22A9">
              <w:t>Concord High</w:t>
            </w:r>
          </w:p>
        </w:tc>
        <w:tc>
          <w:tcPr>
            <w:tcW w:w="2189" w:type="dxa"/>
            <w:noWrap/>
          </w:tcPr>
          <w:p w14:paraId="642D19AF" w14:textId="77777777" w:rsidR="001C19A4" w:rsidRPr="0091059B"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313F3E38" w14:textId="77777777" w:rsidR="001C19A4" w:rsidRPr="0091059B" w:rsidRDefault="001C19A4" w:rsidP="005F27A6">
            <w:pPr>
              <w:spacing w:after="100" w:afterAutospacing="1"/>
              <w:ind w:left="66"/>
              <w:jc w:val="right"/>
            </w:pPr>
            <w:r w:rsidRPr="003C22A9">
              <w:t>1,187</w:t>
            </w:r>
          </w:p>
        </w:tc>
      </w:tr>
      <w:tr w:rsidR="001C19A4" w:rsidRPr="00DE4665" w14:paraId="04CC44EA" w14:textId="77777777" w:rsidTr="005F27A6">
        <w:trPr>
          <w:trHeight w:val="271"/>
        </w:trPr>
        <w:tc>
          <w:tcPr>
            <w:tcW w:w="4680" w:type="dxa"/>
            <w:noWrap/>
          </w:tcPr>
          <w:p w14:paraId="3461E849" w14:textId="77777777" w:rsidR="001C19A4" w:rsidRPr="00166D22" w:rsidRDefault="001C19A4" w:rsidP="005F27A6">
            <w:pPr>
              <w:spacing w:after="100" w:afterAutospacing="1"/>
              <w:ind w:left="60"/>
            </w:pPr>
            <w:r w:rsidRPr="003C22A9">
              <w:t>Mt. Diablo High</w:t>
            </w:r>
          </w:p>
        </w:tc>
        <w:tc>
          <w:tcPr>
            <w:tcW w:w="2189" w:type="dxa"/>
            <w:noWrap/>
          </w:tcPr>
          <w:p w14:paraId="2B1900AD" w14:textId="77777777" w:rsidR="001C19A4" w:rsidRPr="00166D22"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793BC39D" w14:textId="77777777" w:rsidR="001C19A4" w:rsidRPr="00166D22" w:rsidRDefault="001C19A4" w:rsidP="005F27A6">
            <w:pPr>
              <w:spacing w:after="100" w:afterAutospacing="1"/>
              <w:ind w:left="66"/>
              <w:jc w:val="right"/>
            </w:pPr>
            <w:r w:rsidRPr="003C22A9">
              <w:t>1,567</w:t>
            </w:r>
          </w:p>
        </w:tc>
      </w:tr>
      <w:tr w:rsidR="001C19A4" w:rsidRPr="00DE4665" w14:paraId="2627BEFC" w14:textId="77777777" w:rsidTr="005F27A6">
        <w:trPr>
          <w:trHeight w:val="271"/>
        </w:trPr>
        <w:tc>
          <w:tcPr>
            <w:tcW w:w="4680" w:type="dxa"/>
            <w:noWrap/>
          </w:tcPr>
          <w:p w14:paraId="2B7C879F" w14:textId="77777777" w:rsidR="001C19A4" w:rsidRPr="003C22A9" w:rsidRDefault="001C19A4" w:rsidP="005F27A6">
            <w:pPr>
              <w:spacing w:after="100" w:afterAutospacing="1"/>
              <w:ind w:left="60"/>
            </w:pPr>
            <w:r>
              <w:t>Ygnacio Valley High</w:t>
            </w:r>
          </w:p>
        </w:tc>
        <w:tc>
          <w:tcPr>
            <w:tcW w:w="2189" w:type="dxa"/>
            <w:noWrap/>
          </w:tcPr>
          <w:p w14:paraId="636BA498" w14:textId="77777777" w:rsidR="001C19A4" w:rsidRPr="003C22A9"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33964026" w14:textId="77777777" w:rsidR="001C19A4" w:rsidRPr="003C22A9" w:rsidRDefault="001C19A4" w:rsidP="005F27A6">
            <w:pPr>
              <w:spacing w:after="100" w:afterAutospacing="1"/>
              <w:ind w:left="66"/>
              <w:jc w:val="right"/>
            </w:pPr>
            <w:r w:rsidRPr="00792B84">
              <w:t>1,265</w:t>
            </w:r>
          </w:p>
        </w:tc>
      </w:tr>
      <w:tr w:rsidR="001C19A4" w:rsidRPr="00DE4665" w14:paraId="28B2C60C" w14:textId="77777777" w:rsidTr="005F27A6">
        <w:trPr>
          <w:trHeight w:val="271"/>
        </w:trPr>
        <w:tc>
          <w:tcPr>
            <w:tcW w:w="4680" w:type="dxa"/>
            <w:noWrap/>
          </w:tcPr>
          <w:p w14:paraId="5DD68078" w14:textId="77777777" w:rsidR="001C19A4" w:rsidRPr="003C22A9" w:rsidRDefault="001C19A4" w:rsidP="005F27A6">
            <w:pPr>
              <w:spacing w:after="100" w:afterAutospacing="1"/>
              <w:ind w:left="60"/>
            </w:pPr>
            <w:r w:rsidRPr="00414363">
              <w:t>Glenbrook Academy</w:t>
            </w:r>
            <w:r>
              <w:t xml:space="preserve"> (Special Education)</w:t>
            </w:r>
          </w:p>
        </w:tc>
        <w:tc>
          <w:tcPr>
            <w:tcW w:w="2189" w:type="dxa"/>
            <w:noWrap/>
          </w:tcPr>
          <w:p w14:paraId="090B5AE8" w14:textId="77777777" w:rsidR="001C19A4" w:rsidRPr="003C22A9" w:rsidRDefault="001C19A4" w:rsidP="005F27A6">
            <w:pPr>
              <w:spacing w:after="100" w:afterAutospacing="1"/>
              <w:ind w:left="6"/>
              <w:jc w:val="center"/>
            </w:pPr>
            <w:r w:rsidRPr="00414363">
              <w:t xml:space="preserve">6 </w:t>
            </w:r>
            <w:r>
              <w:t>-</w:t>
            </w:r>
            <w:r w:rsidRPr="00414363">
              <w:t xml:space="preserve"> 12</w:t>
            </w:r>
          </w:p>
        </w:tc>
        <w:tc>
          <w:tcPr>
            <w:tcW w:w="2189" w:type="dxa"/>
            <w:noWrap/>
          </w:tcPr>
          <w:p w14:paraId="13AB2B8F" w14:textId="77777777" w:rsidR="001C19A4" w:rsidRPr="003C22A9" w:rsidRDefault="001C19A4" w:rsidP="005F27A6">
            <w:pPr>
              <w:spacing w:after="100" w:afterAutospacing="1"/>
              <w:ind w:left="66"/>
              <w:jc w:val="right"/>
            </w:pPr>
            <w:r w:rsidRPr="00414363">
              <w:t>23</w:t>
            </w:r>
          </w:p>
        </w:tc>
      </w:tr>
      <w:tr w:rsidR="001C19A4" w:rsidRPr="00DE4665" w14:paraId="32EE5B5D" w14:textId="77777777" w:rsidTr="005F27A6">
        <w:trPr>
          <w:trHeight w:val="271"/>
        </w:trPr>
        <w:tc>
          <w:tcPr>
            <w:tcW w:w="4680" w:type="dxa"/>
            <w:noWrap/>
          </w:tcPr>
          <w:p w14:paraId="6D647D91" w14:textId="77777777" w:rsidR="001C19A4" w:rsidRPr="003C22A9" w:rsidRDefault="001C19A4" w:rsidP="005F27A6">
            <w:pPr>
              <w:spacing w:after="100" w:afterAutospacing="1"/>
              <w:ind w:left="60"/>
            </w:pPr>
            <w:r w:rsidRPr="00414363">
              <w:t>Sunrise (Special Education)</w:t>
            </w:r>
          </w:p>
        </w:tc>
        <w:tc>
          <w:tcPr>
            <w:tcW w:w="2189" w:type="dxa"/>
            <w:noWrap/>
          </w:tcPr>
          <w:p w14:paraId="43322141" w14:textId="77777777" w:rsidR="001C19A4" w:rsidRPr="003C22A9" w:rsidRDefault="001C19A4" w:rsidP="005F27A6">
            <w:pPr>
              <w:spacing w:after="100" w:afterAutospacing="1"/>
              <w:ind w:left="6"/>
              <w:jc w:val="center"/>
            </w:pPr>
            <w:r w:rsidRPr="00414363">
              <w:t xml:space="preserve">K </w:t>
            </w:r>
            <w:r>
              <w:t>-</w:t>
            </w:r>
            <w:r w:rsidRPr="00414363">
              <w:t xml:space="preserve"> 8</w:t>
            </w:r>
          </w:p>
        </w:tc>
        <w:tc>
          <w:tcPr>
            <w:tcW w:w="2189" w:type="dxa"/>
            <w:noWrap/>
          </w:tcPr>
          <w:p w14:paraId="7532A4EF" w14:textId="77777777" w:rsidR="001C19A4" w:rsidRPr="003C22A9" w:rsidRDefault="001C19A4" w:rsidP="005F27A6">
            <w:pPr>
              <w:spacing w:after="100" w:afterAutospacing="1"/>
              <w:ind w:left="66"/>
              <w:jc w:val="right"/>
            </w:pPr>
            <w:r w:rsidRPr="00414363">
              <w:t>22</w:t>
            </w:r>
          </w:p>
        </w:tc>
      </w:tr>
      <w:tr w:rsidR="001C19A4" w:rsidRPr="00DE4665" w14:paraId="1B8C73F6" w14:textId="77777777" w:rsidTr="005F27A6">
        <w:trPr>
          <w:trHeight w:val="271"/>
        </w:trPr>
        <w:tc>
          <w:tcPr>
            <w:tcW w:w="4680" w:type="dxa"/>
            <w:noWrap/>
          </w:tcPr>
          <w:p w14:paraId="7D33C00B" w14:textId="77777777" w:rsidR="001C19A4" w:rsidRPr="003C22A9" w:rsidRDefault="001C19A4" w:rsidP="005F27A6">
            <w:pPr>
              <w:spacing w:after="100" w:afterAutospacing="1"/>
              <w:ind w:left="60"/>
            </w:pPr>
            <w:r w:rsidRPr="00414363">
              <w:t>Crossroads High</w:t>
            </w:r>
            <w:r>
              <w:t xml:space="preserve"> (Alternative)</w:t>
            </w:r>
          </w:p>
        </w:tc>
        <w:tc>
          <w:tcPr>
            <w:tcW w:w="2189" w:type="dxa"/>
            <w:noWrap/>
          </w:tcPr>
          <w:p w14:paraId="455B6E37" w14:textId="77777777" w:rsidR="001C19A4" w:rsidRPr="003C22A9" w:rsidRDefault="001C19A4" w:rsidP="005F27A6">
            <w:pPr>
              <w:spacing w:after="100" w:afterAutospacing="1"/>
              <w:ind w:left="6"/>
              <w:jc w:val="center"/>
            </w:pPr>
            <w:r w:rsidRPr="00414363">
              <w:t xml:space="preserve">7 </w:t>
            </w:r>
            <w:r>
              <w:t>-</w:t>
            </w:r>
            <w:r w:rsidRPr="00414363">
              <w:t xml:space="preserve"> 12</w:t>
            </w:r>
          </w:p>
        </w:tc>
        <w:tc>
          <w:tcPr>
            <w:tcW w:w="2189" w:type="dxa"/>
            <w:noWrap/>
          </w:tcPr>
          <w:p w14:paraId="5FA01682" w14:textId="77777777" w:rsidR="001C19A4" w:rsidRPr="003C22A9" w:rsidRDefault="001C19A4" w:rsidP="005F27A6">
            <w:pPr>
              <w:spacing w:after="100" w:afterAutospacing="1"/>
              <w:ind w:left="66"/>
              <w:jc w:val="right"/>
            </w:pPr>
            <w:r w:rsidRPr="00414363">
              <w:t>26</w:t>
            </w:r>
          </w:p>
        </w:tc>
      </w:tr>
      <w:tr w:rsidR="001C19A4" w:rsidRPr="00DE4665" w14:paraId="73C149A3" w14:textId="77777777" w:rsidTr="005F27A6">
        <w:trPr>
          <w:trHeight w:val="271"/>
        </w:trPr>
        <w:tc>
          <w:tcPr>
            <w:tcW w:w="4680" w:type="dxa"/>
            <w:noWrap/>
          </w:tcPr>
          <w:p w14:paraId="76496C12" w14:textId="77777777" w:rsidR="001C19A4" w:rsidRPr="003C22A9" w:rsidRDefault="001C19A4" w:rsidP="005F27A6">
            <w:pPr>
              <w:spacing w:after="100" w:afterAutospacing="1"/>
              <w:ind w:left="60"/>
            </w:pPr>
            <w:r w:rsidRPr="00414363">
              <w:t>Horizons School: Independent Study</w:t>
            </w:r>
          </w:p>
        </w:tc>
        <w:tc>
          <w:tcPr>
            <w:tcW w:w="2189" w:type="dxa"/>
            <w:noWrap/>
          </w:tcPr>
          <w:p w14:paraId="79C3E838" w14:textId="77777777" w:rsidR="001C19A4" w:rsidRPr="003C22A9" w:rsidRDefault="001C19A4" w:rsidP="005F27A6">
            <w:pPr>
              <w:spacing w:after="100" w:afterAutospacing="1"/>
              <w:ind w:left="6"/>
              <w:jc w:val="center"/>
            </w:pPr>
            <w:r w:rsidRPr="00414363">
              <w:t xml:space="preserve">K </w:t>
            </w:r>
            <w:r>
              <w:t>-</w:t>
            </w:r>
            <w:r w:rsidRPr="00414363">
              <w:t xml:space="preserve"> 12</w:t>
            </w:r>
          </w:p>
        </w:tc>
        <w:tc>
          <w:tcPr>
            <w:tcW w:w="2189" w:type="dxa"/>
            <w:noWrap/>
          </w:tcPr>
          <w:p w14:paraId="6BB0ABF2" w14:textId="77777777" w:rsidR="001C19A4" w:rsidRPr="003C22A9" w:rsidRDefault="001C19A4" w:rsidP="005F27A6">
            <w:pPr>
              <w:spacing w:after="100" w:afterAutospacing="1"/>
              <w:ind w:left="66"/>
              <w:jc w:val="right"/>
            </w:pPr>
            <w:r w:rsidRPr="00414363">
              <w:t>170</w:t>
            </w:r>
          </w:p>
        </w:tc>
      </w:tr>
      <w:tr w:rsidR="001C19A4" w:rsidRPr="00DE4665" w14:paraId="56CBFCD3" w14:textId="77777777" w:rsidTr="005F27A6">
        <w:trPr>
          <w:trHeight w:val="271"/>
        </w:trPr>
        <w:tc>
          <w:tcPr>
            <w:tcW w:w="4680" w:type="dxa"/>
            <w:noWrap/>
          </w:tcPr>
          <w:p w14:paraId="5932F39D" w14:textId="77777777" w:rsidR="001C19A4" w:rsidRPr="003C22A9" w:rsidRDefault="001C19A4" w:rsidP="005F27A6">
            <w:pPr>
              <w:spacing w:after="100" w:afterAutospacing="1"/>
              <w:ind w:left="60"/>
            </w:pPr>
            <w:r w:rsidRPr="00414363">
              <w:t>Diablo Community Day</w:t>
            </w:r>
          </w:p>
        </w:tc>
        <w:tc>
          <w:tcPr>
            <w:tcW w:w="2189" w:type="dxa"/>
            <w:noWrap/>
          </w:tcPr>
          <w:p w14:paraId="12B8C28D" w14:textId="77777777" w:rsidR="001C19A4" w:rsidRPr="003C22A9" w:rsidRDefault="001C19A4" w:rsidP="005F27A6">
            <w:pPr>
              <w:spacing w:after="100" w:afterAutospacing="1"/>
              <w:ind w:left="6"/>
              <w:jc w:val="center"/>
            </w:pPr>
            <w:r w:rsidRPr="00414363">
              <w:t xml:space="preserve">7 </w:t>
            </w:r>
            <w:r>
              <w:t>-</w:t>
            </w:r>
            <w:r w:rsidRPr="00414363">
              <w:t xml:space="preserve"> 12</w:t>
            </w:r>
          </w:p>
        </w:tc>
        <w:tc>
          <w:tcPr>
            <w:tcW w:w="2189" w:type="dxa"/>
            <w:noWrap/>
          </w:tcPr>
          <w:p w14:paraId="550C6002" w14:textId="77777777" w:rsidR="001C19A4" w:rsidRPr="003C22A9" w:rsidRDefault="001C19A4" w:rsidP="005F27A6">
            <w:pPr>
              <w:spacing w:after="100" w:afterAutospacing="1"/>
              <w:ind w:left="66"/>
              <w:jc w:val="right"/>
            </w:pPr>
            <w:r w:rsidRPr="00414363">
              <w:t>17</w:t>
            </w:r>
          </w:p>
        </w:tc>
      </w:tr>
      <w:tr w:rsidR="001C19A4" w:rsidRPr="00DE4665" w14:paraId="687CA41B" w14:textId="77777777" w:rsidTr="005F27A6">
        <w:trPr>
          <w:trHeight w:val="271"/>
        </w:trPr>
        <w:tc>
          <w:tcPr>
            <w:tcW w:w="4680" w:type="dxa"/>
            <w:noWrap/>
          </w:tcPr>
          <w:p w14:paraId="6AAF0B28" w14:textId="77777777" w:rsidR="001C19A4" w:rsidRPr="003C22A9" w:rsidRDefault="001C19A4" w:rsidP="005F27A6">
            <w:pPr>
              <w:spacing w:after="100" w:afterAutospacing="1"/>
              <w:ind w:left="60"/>
            </w:pPr>
            <w:r w:rsidRPr="00414363">
              <w:t>Olympic Continuation High</w:t>
            </w:r>
          </w:p>
        </w:tc>
        <w:tc>
          <w:tcPr>
            <w:tcW w:w="2189" w:type="dxa"/>
            <w:noWrap/>
          </w:tcPr>
          <w:p w14:paraId="584BFBEF" w14:textId="77777777" w:rsidR="001C19A4" w:rsidRPr="003C22A9"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760CEA12" w14:textId="77777777" w:rsidR="001C19A4" w:rsidRPr="003C22A9" w:rsidRDefault="001C19A4" w:rsidP="005F27A6">
            <w:pPr>
              <w:spacing w:after="100" w:afterAutospacing="1"/>
              <w:ind w:left="66"/>
              <w:jc w:val="right"/>
            </w:pPr>
            <w:r w:rsidRPr="00414363">
              <w:t>279</w:t>
            </w:r>
          </w:p>
        </w:tc>
      </w:tr>
      <w:tr w:rsidR="001C19A4" w:rsidRPr="00DE4665" w14:paraId="256DDC1A" w14:textId="77777777" w:rsidTr="005F27A6">
        <w:trPr>
          <w:trHeight w:val="271"/>
        </w:trPr>
        <w:tc>
          <w:tcPr>
            <w:tcW w:w="4680" w:type="dxa"/>
            <w:noWrap/>
          </w:tcPr>
          <w:p w14:paraId="10B08B7C" w14:textId="77777777" w:rsidR="001C19A4" w:rsidRPr="003C22A9" w:rsidRDefault="001C19A4" w:rsidP="005F27A6">
            <w:pPr>
              <w:spacing w:after="100" w:afterAutospacing="1"/>
              <w:ind w:left="60"/>
            </w:pPr>
            <w:r w:rsidRPr="00414363">
              <w:t>Prospect High (Continuation)</w:t>
            </w:r>
          </w:p>
        </w:tc>
        <w:tc>
          <w:tcPr>
            <w:tcW w:w="2189" w:type="dxa"/>
            <w:noWrap/>
          </w:tcPr>
          <w:p w14:paraId="5FE3C832" w14:textId="77777777" w:rsidR="001C19A4" w:rsidRPr="003C22A9"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40841030" w14:textId="77777777" w:rsidR="001C19A4" w:rsidRPr="003C22A9" w:rsidRDefault="001C19A4" w:rsidP="005F27A6">
            <w:pPr>
              <w:spacing w:after="100" w:afterAutospacing="1"/>
              <w:ind w:left="66"/>
              <w:jc w:val="right"/>
            </w:pPr>
            <w:r w:rsidRPr="00414363">
              <w:t>46</w:t>
            </w:r>
          </w:p>
        </w:tc>
      </w:tr>
      <w:tr w:rsidR="001C19A4" w:rsidRPr="00DE4665" w14:paraId="5F873CB9" w14:textId="77777777" w:rsidTr="005F27A6">
        <w:trPr>
          <w:trHeight w:val="271"/>
        </w:trPr>
        <w:tc>
          <w:tcPr>
            <w:tcW w:w="4680" w:type="dxa"/>
            <w:noWrap/>
          </w:tcPr>
          <w:p w14:paraId="02A1A30C" w14:textId="77777777" w:rsidR="001C19A4" w:rsidRPr="003C22A9" w:rsidRDefault="001C19A4" w:rsidP="005F27A6">
            <w:pPr>
              <w:spacing w:after="100" w:afterAutospacing="1"/>
              <w:ind w:left="60"/>
            </w:pPr>
            <w:r w:rsidRPr="00414363">
              <w:t>Summit High (Continuation)</w:t>
            </w:r>
          </w:p>
        </w:tc>
        <w:tc>
          <w:tcPr>
            <w:tcW w:w="2189" w:type="dxa"/>
            <w:noWrap/>
          </w:tcPr>
          <w:p w14:paraId="0DF8AF6C" w14:textId="77777777" w:rsidR="001C19A4" w:rsidRPr="003C22A9" w:rsidRDefault="001C19A4" w:rsidP="005F27A6">
            <w:pPr>
              <w:spacing w:after="100" w:afterAutospacing="1"/>
              <w:ind w:left="6"/>
              <w:jc w:val="center"/>
            </w:pPr>
            <w:r w:rsidRPr="003C22A9">
              <w:t xml:space="preserve">9 </w:t>
            </w:r>
            <w:r>
              <w:t>-</w:t>
            </w:r>
            <w:r w:rsidRPr="003C22A9">
              <w:t xml:space="preserve"> 12</w:t>
            </w:r>
          </w:p>
        </w:tc>
        <w:tc>
          <w:tcPr>
            <w:tcW w:w="2189" w:type="dxa"/>
            <w:noWrap/>
          </w:tcPr>
          <w:p w14:paraId="186E6E39" w14:textId="77777777" w:rsidR="001C19A4" w:rsidRPr="003C22A9" w:rsidRDefault="001C19A4" w:rsidP="005F27A6">
            <w:pPr>
              <w:spacing w:after="100" w:afterAutospacing="1"/>
              <w:ind w:left="66"/>
              <w:jc w:val="right"/>
            </w:pPr>
            <w:r w:rsidRPr="00414363">
              <w:t>40</w:t>
            </w:r>
          </w:p>
        </w:tc>
      </w:tr>
      <w:tr w:rsidR="001C19A4" w:rsidRPr="00DE4665" w14:paraId="7CB4BA22" w14:textId="77777777" w:rsidTr="005F27A6">
        <w:trPr>
          <w:trHeight w:val="271"/>
        </w:trPr>
        <w:tc>
          <w:tcPr>
            <w:tcW w:w="4680" w:type="dxa"/>
            <w:noWrap/>
          </w:tcPr>
          <w:p w14:paraId="62317200" w14:textId="77777777" w:rsidR="001C19A4" w:rsidRPr="00414363" w:rsidRDefault="001C19A4" w:rsidP="005F27A6">
            <w:pPr>
              <w:spacing w:after="100" w:afterAutospacing="1"/>
              <w:ind w:left="60"/>
            </w:pPr>
            <w:r w:rsidRPr="00DB72BF">
              <w:t>District Office</w:t>
            </w:r>
          </w:p>
        </w:tc>
        <w:tc>
          <w:tcPr>
            <w:tcW w:w="2189" w:type="dxa"/>
            <w:noWrap/>
          </w:tcPr>
          <w:p w14:paraId="1DEF6050" w14:textId="77777777" w:rsidR="001C19A4" w:rsidRPr="00414363" w:rsidRDefault="001C19A4" w:rsidP="005F27A6">
            <w:pPr>
              <w:spacing w:after="100" w:afterAutospacing="1"/>
              <w:ind w:left="6"/>
              <w:jc w:val="center"/>
            </w:pPr>
            <w:r>
              <w:t>N/A</w:t>
            </w:r>
          </w:p>
        </w:tc>
        <w:tc>
          <w:tcPr>
            <w:tcW w:w="2189" w:type="dxa"/>
            <w:noWrap/>
          </w:tcPr>
          <w:p w14:paraId="034EAFA3" w14:textId="77777777" w:rsidR="001C19A4" w:rsidRPr="00414363" w:rsidRDefault="001C19A4" w:rsidP="005F27A6">
            <w:pPr>
              <w:spacing w:after="100" w:afterAutospacing="1"/>
              <w:ind w:left="66"/>
              <w:jc w:val="right"/>
            </w:pPr>
            <w:r w:rsidRPr="00DB72BF">
              <w:t>215</w:t>
            </w:r>
          </w:p>
        </w:tc>
      </w:tr>
      <w:tr w:rsidR="001C19A4" w:rsidRPr="00DE4665" w14:paraId="7186F942" w14:textId="77777777" w:rsidTr="005F27A6">
        <w:trPr>
          <w:trHeight w:val="271"/>
        </w:trPr>
        <w:tc>
          <w:tcPr>
            <w:tcW w:w="4680" w:type="dxa"/>
            <w:noWrap/>
          </w:tcPr>
          <w:p w14:paraId="3C5593DA" w14:textId="77777777" w:rsidR="001C19A4" w:rsidRPr="00E43686" w:rsidRDefault="001C19A4" w:rsidP="005F27A6">
            <w:pPr>
              <w:spacing w:after="100" w:afterAutospacing="1"/>
              <w:ind w:left="60"/>
              <w:rPr>
                <w:b/>
              </w:rPr>
            </w:pPr>
            <w:r w:rsidRPr="00E43686">
              <w:rPr>
                <w:b/>
              </w:rPr>
              <w:t>Totals</w:t>
            </w:r>
          </w:p>
        </w:tc>
        <w:tc>
          <w:tcPr>
            <w:tcW w:w="2189" w:type="dxa"/>
            <w:noWrap/>
          </w:tcPr>
          <w:p w14:paraId="3A15F986" w14:textId="77777777" w:rsidR="001C19A4" w:rsidRPr="00E43686" w:rsidRDefault="001C19A4" w:rsidP="005F27A6">
            <w:pPr>
              <w:spacing w:after="100" w:afterAutospacing="1"/>
              <w:ind w:left="6"/>
              <w:jc w:val="center"/>
              <w:rPr>
                <w:b/>
              </w:rPr>
            </w:pPr>
            <w:r>
              <w:rPr>
                <w:b/>
              </w:rPr>
              <w:t>44</w:t>
            </w:r>
          </w:p>
        </w:tc>
        <w:tc>
          <w:tcPr>
            <w:tcW w:w="2189" w:type="dxa"/>
            <w:noWrap/>
          </w:tcPr>
          <w:p w14:paraId="78124FA9" w14:textId="77777777" w:rsidR="001C19A4" w:rsidRPr="00E43686" w:rsidRDefault="001C19A4" w:rsidP="005F27A6">
            <w:pPr>
              <w:spacing w:after="100" w:afterAutospacing="1"/>
              <w:ind w:left="66"/>
              <w:jc w:val="right"/>
              <w:rPr>
                <w:b/>
              </w:rPr>
            </w:pPr>
            <w:r w:rsidRPr="00E43686">
              <w:rPr>
                <w:b/>
              </w:rPr>
              <w:t>25,456</w:t>
            </w:r>
          </w:p>
        </w:tc>
      </w:tr>
    </w:tbl>
    <w:p w14:paraId="62154459" w14:textId="77777777" w:rsidR="001C19A4" w:rsidRPr="00F76924" w:rsidRDefault="001C19A4" w:rsidP="005F27A6">
      <w:pPr>
        <w:spacing w:before="120"/>
        <w:ind w:left="360"/>
        <w:rPr>
          <w:rStyle w:val="Strong"/>
          <w:i/>
        </w:rPr>
      </w:pPr>
      <w:r w:rsidRPr="00F76924">
        <w:rPr>
          <w:rStyle w:val="Strong"/>
          <w:i/>
        </w:rPr>
        <w:t>Source: CALPADS, Fiscal Year 2020–21</w:t>
      </w:r>
    </w:p>
    <w:p w14:paraId="64EBEF69" w14:textId="28A6D5E1" w:rsidR="001C19A4" w:rsidRDefault="001C19A4" w:rsidP="005F27A6">
      <w:pPr>
        <w:ind w:left="360"/>
        <w:rPr>
          <w:rStyle w:val="Strong"/>
          <w:b w:val="0"/>
        </w:rPr>
      </w:pPr>
      <w:r>
        <w:rPr>
          <w:rStyle w:val="Strong"/>
          <w:b w:val="0"/>
        </w:rPr>
        <w:t xml:space="preserve">As seen in </w:t>
      </w:r>
      <w:r w:rsidR="002F7493">
        <w:rPr>
          <w:rStyle w:val="Strong"/>
          <w:b w:val="0"/>
        </w:rPr>
        <w:t>T</w:t>
      </w:r>
      <w:r>
        <w:rPr>
          <w:rStyle w:val="Strong"/>
          <w:b w:val="0"/>
        </w:rPr>
        <w:t xml:space="preserve">able 2b, the special education, alternative, community and continuation high schools in the district are located within the remaining portion of Mt. Diablo USD. Attendance data provided by the Mt. Diablo USD indicates a portion of the students attending those schools reside in the Northgate area. Similarly, there are students attending Northgate area schools who reside elsewhere in the district. It is common for affected school districts to continue to allow students attending a school to continue to do so via an inter-district transfer agreement despite a change in the </w:t>
      </w:r>
      <w:r>
        <w:rPr>
          <w:rStyle w:val="Strong"/>
          <w:b w:val="0"/>
        </w:rPr>
        <w:lastRenderedPageBreak/>
        <w:t xml:space="preserve">district of residence due to school district reorganization. However, it cannot be assumed that the affected school districts would continue this practice for all current or future students. </w:t>
      </w:r>
    </w:p>
    <w:p w14:paraId="4A4C6A42" w14:textId="77777777" w:rsidR="001C19A4" w:rsidRDefault="001C19A4" w:rsidP="005F27A6">
      <w:pPr>
        <w:ind w:left="360"/>
        <w:rPr>
          <w:rStyle w:val="Strong"/>
          <w:b w:val="0"/>
        </w:rPr>
      </w:pPr>
      <w:r>
        <w:rPr>
          <w:rStyle w:val="Strong"/>
          <w:b w:val="0"/>
        </w:rPr>
        <w:t>Table 2c shows t</w:t>
      </w:r>
      <w:r w:rsidRPr="002B5ADD">
        <w:rPr>
          <w:rStyle w:val="Strong"/>
          <w:b w:val="0"/>
        </w:rPr>
        <w:t xml:space="preserve">he </w:t>
      </w:r>
      <w:r>
        <w:rPr>
          <w:rStyle w:val="Strong"/>
          <w:b w:val="0"/>
        </w:rPr>
        <w:t>proposed new school district</w:t>
      </w:r>
      <w:r w:rsidRPr="002B5ADD">
        <w:rPr>
          <w:rStyle w:val="Strong"/>
          <w:b w:val="0"/>
        </w:rPr>
        <w:t xml:space="preserve"> would serve approximately </w:t>
      </w:r>
      <w:r>
        <w:rPr>
          <w:rStyle w:val="Strong"/>
          <w:b w:val="0"/>
        </w:rPr>
        <w:t>14</w:t>
      </w:r>
      <w:r w:rsidRPr="002B5ADD">
        <w:rPr>
          <w:rStyle w:val="Strong"/>
          <w:b w:val="0"/>
        </w:rPr>
        <w:t xml:space="preserve"> percent of the </w:t>
      </w:r>
      <w:r>
        <w:rPr>
          <w:rStyle w:val="Strong"/>
          <w:b w:val="0"/>
        </w:rPr>
        <w:t>enrollment in the traditional elementary, middle and high schools of the existing Mt. Diablo USD (4,018 of 28,636 students).</w:t>
      </w:r>
    </w:p>
    <w:p w14:paraId="70953B04" w14:textId="77777777" w:rsidR="001C19A4" w:rsidRPr="00AF653A" w:rsidRDefault="001C19A4" w:rsidP="00AF653A">
      <w:pPr>
        <w:pStyle w:val="Heading4"/>
        <w:rPr>
          <w:rStyle w:val="Strong"/>
          <w:rFonts w:eastAsiaTheme="majorEastAsia"/>
          <w:b/>
          <w:bCs w:val="0"/>
        </w:rPr>
      </w:pPr>
      <w:r w:rsidRPr="00AF653A">
        <w:rPr>
          <w:rStyle w:val="Strong"/>
          <w:rFonts w:eastAsiaTheme="majorEastAsia"/>
          <w:b/>
          <w:bCs w:val="0"/>
        </w:rPr>
        <w:t>Table 2c. Enrollment by School District</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2c provides enrollment by grade span for the proposed Northgate USD and for the remaining portion of the Mt. Diablo USD for the 2020-21 academic year."/>
      </w:tblPr>
      <w:tblGrid>
        <w:gridCol w:w="2272"/>
        <w:gridCol w:w="2273"/>
        <w:gridCol w:w="2655"/>
        <w:gridCol w:w="1890"/>
      </w:tblGrid>
      <w:tr w:rsidR="001C19A4" w:rsidRPr="00B101CA" w14:paraId="107B6BE4" w14:textId="77777777" w:rsidTr="005F27A6">
        <w:trPr>
          <w:trHeight w:val="15"/>
          <w:tblHeader/>
        </w:trPr>
        <w:tc>
          <w:tcPr>
            <w:tcW w:w="2272" w:type="dxa"/>
            <w:shd w:val="clear" w:color="auto" w:fill="D9D9D9" w:themeFill="background1" w:themeFillShade="D9"/>
            <w:noWrap/>
            <w:vAlign w:val="center"/>
            <w:hideMark/>
          </w:tcPr>
          <w:p w14:paraId="28060EE0" w14:textId="77777777" w:rsidR="001C19A4" w:rsidRPr="00B101CA" w:rsidRDefault="001C19A4" w:rsidP="005F27A6">
            <w:pPr>
              <w:spacing w:after="0"/>
              <w:ind w:left="60"/>
              <w:jc w:val="center"/>
              <w:rPr>
                <w:rFonts w:cs="Arial"/>
                <w:b/>
                <w:bCs/>
              </w:rPr>
            </w:pPr>
            <w:r w:rsidRPr="00B101CA">
              <w:rPr>
                <w:rFonts w:cs="Arial"/>
                <w:b/>
                <w:bCs/>
              </w:rPr>
              <w:t>School Type</w:t>
            </w:r>
          </w:p>
        </w:tc>
        <w:tc>
          <w:tcPr>
            <w:tcW w:w="2273" w:type="dxa"/>
            <w:shd w:val="clear" w:color="auto" w:fill="D9D9D9" w:themeFill="background1" w:themeFillShade="D9"/>
            <w:noWrap/>
            <w:vAlign w:val="center"/>
            <w:hideMark/>
          </w:tcPr>
          <w:p w14:paraId="0B757C1F" w14:textId="77777777" w:rsidR="001C19A4" w:rsidRPr="00B101CA" w:rsidRDefault="001C19A4" w:rsidP="005F27A6">
            <w:pPr>
              <w:spacing w:after="0"/>
              <w:jc w:val="center"/>
              <w:rPr>
                <w:rFonts w:cs="Arial"/>
                <w:b/>
                <w:bCs/>
              </w:rPr>
            </w:pPr>
            <w:r>
              <w:rPr>
                <w:rFonts w:cs="Arial"/>
                <w:b/>
                <w:bCs/>
              </w:rPr>
              <w:t>Northgate USD</w:t>
            </w:r>
          </w:p>
        </w:tc>
        <w:tc>
          <w:tcPr>
            <w:tcW w:w="2655" w:type="dxa"/>
            <w:shd w:val="clear" w:color="auto" w:fill="D9D9D9" w:themeFill="background1" w:themeFillShade="D9"/>
            <w:noWrap/>
            <w:vAlign w:val="center"/>
            <w:hideMark/>
          </w:tcPr>
          <w:p w14:paraId="35277573" w14:textId="77777777" w:rsidR="001C19A4" w:rsidRPr="00B101CA" w:rsidRDefault="001C19A4" w:rsidP="005F27A6">
            <w:pPr>
              <w:spacing w:after="0"/>
              <w:jc w:val="center"/>
              <w:rPr>
                <w:rFonts w:cs="Arial"/>
                <w:b/>
                <w:bCs/>
              </w:rPr>
            </w:pPr>
            <w:r>
              <w:rPr>
                <w:rFonts w:cs="Arial"/>
                <w:b/>
                <w:bCs/>
              </w:rPr>
              <w:t>Remaining Portion of Mt. Diablo USD</w:t>
            </w:r>
          </w:p>
        </w:tc>
        <w:tc>
          <w:tcPr>
            <w:tcW w:w="1890" w:type="dxa"/>
            <w:shd w:val="clear" w:color="auto" w:fill="D9D9D9" w:themeFill="background1" w:themeFillShade="D9"/>
            <w:vAlign w:val="center"/>
          </w:tcPr>
          <w:p w14:paraId="45D17B7E" w14:textId="77777777" w:rsidR="001C19A4" w:rsidRDefault="001C19A4" w:rsidP="005F27A6">
            <w:pPr>
              <w:spacing w:after="0"/>
              <w:jc w:val="center"/>
              <w:rPr>
                <w:rFonts w:cs="Arial"/>
                <w:b/>
                <w:bCs/>
              </w:rPr>
            </w:pPr>
            <w:r>
              <w:rPr>
                <w:rFonts w:cs="Arial"/>
                <w:b/>
                <w:bCs/>
              </w:rPr>
              <w:t>Total</w:t>
            </w:r>
          </w:p>
        </w:tc>
      </w:tr>
      <w:tr w:rsidR="001C19A4" w:rsidRPr="00DE4665" w14:paraId="646965C3" w14:textId="77777777" w:rsidTr="005F27A6">
        <w:trPr>
          <w:trHeight w:val="271"/>
        </w:trPr>
        <w:tc>
          <w:tcPr>
            <w:tcW w:w="2272" w:type="dxa"/>
            <w:noWrap/>
            <w:hideMark/>
          </w:tcPr>
          <w:p w14:paraId="69E6B882" w14:textId="77777777" w:rsidR="001C19A4" w:rsidRPr="00DE4665" w:rsidRDefault="001C19A4" w:rsidP="005F27A6">
            <w:pPr>
              <w:spacing w:after="100" w:afterAutospacing="1"/>
              <w:ind w:left="60"/>
              <w:rPr>
                <w:rFonts w:cs="Arial"/>
                <w:bCs/>
              </w:rPr>
            </w:pPr>
            <w:r w:rsidRPr="00DE4665">
              <w:rPr>
                <w:rFonts w:cs="Arial"/>
                <w:bCs/>
              </w:rPr>
              <w:t>Elementary</w:t>
            </w:r>
            <w:r>
              <w:rPr>
                <w:rFonts w:cs="Arial"/>
                <w:bCs/>
              </w:rPr>
              <w:t xml:space="preserve"> (K - 5)</w:t>
            </w:r>
          </w:p>
        </w:tc>
        <w:tc>
          <w:tcPr>
            <w:tcW w:w="2273" w:type="dxa"/>
            <w:noWrap/>
            <w:hideMark/>
          </w:tcPr>
          <w:p w14:paraId="53413349" w14:textId="77777777" w:rsidR="001C19A4" w:rsidRPr="00DE4665" w:rsidRDefault="001C19A4" w:rsidP="005F27A6">
            <w:pPr>
              <w:spacing w:after="100" w:afterAutospacing="1"/>
              <w:ind w:left="6"/>
              <w:jc w:val="right"/>
              <w:rPr>
                <w:rFonts w:cs="Arial"/>
                <w:bCs/>
              </w:rPr>
            </w:pPr>
            <w:r w:rsidRPr="00C9445C">
              <w:rPr>
                <w:rFonts w:cs="Arial"/>
                <w:bCs/>
              </w:rPr>
              <w:t>1</w:t>
            </w:r>
            <w:r>
              <w:rPr>
                <w:rFonts w:cs="Arial"/>
                <w:bCs/>
              </w:rPr>
              <w:t>,</w:t>
            </w:r>
            <w:r w:rsidRPr="00C9445C">
              <w:rPr>
                <w:rFonts w:cs="Arial"/>
                <w:bCs/>
              </w:rPr>
              <w:t>698</w:t>
            </w:r>
          </w:p>
        </w:tc>
        <w:tc>
          <w:tcPr>
            <w:tcW w:w="2655" w:type="dxa"/>
            <w:noWrap/>
            <w:hideMark/>
          </w:tcPr>
          <w:p w14:paraId="07594C1E" w14:textId="77777777" w:rsidR="001C19A4" w:rsidRPr="00DE4665" w:rsidRDefault="001C19A4" w:rsidP="005F27A6">
            <w:pPr>
              <w:spacing w:after="100" w:afterAutospacing="1"/>
              <w:ind w:left="66"/>
              <w:jc w:val="right"/>
              <w:rPr>
                <w:rFonts w:cs="Arial"/>
                <w:bCs/>
              </w:rPr>
            </w:pPr>
            <w:r w:rsidRPr="00C9445C">
              <w:rPr>
                <w:rFonts w:cs="Arial"/>
                <w:bCs/>
              </w:rPr>
              <w:t>12</w:t>
            </w:r>
            <w:r>
              <w:rPr>
                <w:rFonts w:cs="Arial"/>
                <w:bCs/>
              </w:rPr>
              <w:t>,</w:t>
            </w:r>
            <w:r w:rsidRPr="00C9445C">
              <w:rPr>
                <w:rFonts w:cs="Arial"/>
                <w:bCs/>
              </w:rPr>
              <w:t>640</w:t>
            </w:r>
          </w:p>
        </w:tc>
        <w:tc>
          <w:tcPr>
            <w:tcW w:w="1890" w:type="dxa"/>
          </w:tcPr>
          <w:p w14:paraId="07C9D126" w14:textId="77777777" w:rsidR="001C19A4" w:rsidRPr="00C9445C" w:rsidRDefault="001C19A4" w:rsidP="005F27A6">
            <w:pPr>
              <w:spacing w:after="0"/>
              <w:ind w:left="66"/>
              <w:jc w:val="right"/>
              <w:rPr>
                <w:rFonts w:cs="Arial"/>
                <w:bCs/>
              </w:rPr>
            </w:pPr>
            <w:r>
              <w:rPr>
                <w:rFonts w:cs="Arial"/>
                <w:bCs/>
              </w:rPr>
              <w:t>14,338</w:t>
            </w:r>
          </w:p>
        </w:tc>
      </w:tr>
      <w:tr w:rsidR="001C19A4" w:rsidRPr="00DE4665" w14:paraId="6815F555" w14:textId="77777777" w:rsidTr="005F27A6">
        <w:trPr>
          <w:trHeight w:val="271"/>
        </w:trPr>
        <w:tc>
          <w:tcPr>
            <w:tcW w:w="2272" w:type="dxa"/>
            <w:noWrap/>
            <w:hideMark/>
          </w:tcPr>
          <w:p w14:paraId="3A71C434" w14:textId="77777777" w:rsidR="001C19A4" w:rsidRPr="00DE4665" w:rsidRDefault="001C19A4" w:rsidP="005F27A6">
            <w:pPr>
              <w:spacing w:after="100" w:afterAutospacing="1"/>
              <w:ind w:left="60"/>
              <w:rPr>
                <w:rFonts w:cs="Arial"/>
                <w:bCs/>
              </w:rPr>
            </w:pPr>
            <w:r w:rsidRPr="00DE4665">
              <w:rPr>
                <w:rFonts w:cs="Arial"/>
                <w:bCs/>
              </w:rPr>
              <w:t>Middle</w:t>
            </w:r>
            <w:r>
              <w:rPr>
                <w:rFonts w:cs="Arial"/>
                <w:bCs/>
              </w:rPr>
              <w:t xml:space="preserve"> (6 </w:t>
            </w:r>
            <w:r>
              <w:t>-</w:t>
            </w:r>
            <w:r>
              <w:rPr>
                <w:rFonts w:cs="Arial"/>
                <w:bCs/>
              </w:rPr>
              <w:t xml:space="preserve"> 8)</w:t>
            </w:r>
          </w:p>
        </w:tc>
        <w:tc>
          <w:tcPr>
            <w:tcW w:w="2273" w:type="dxa"/>
            <w:noWrap/>
            <w:hideMark/>
          </w:tcPr>
          <w:p w14:paraId="3980DAFA" w14:textId="77777777" w:rsidR="001C19A4" w:rsidRPr="00DE4665" w:rsidRDefault="001C19A4" w:rsidP="005F27A6">
            <w:pPr>
              <w:spacing w:after="100" w:afterAutospacing="1"/>
              <w:ind w:left="6"/>
              <w:jc w:val="right"/>
              <w:rPr>
                <w:rFonts w:cs="Arial"/>
                <w:bCs/>
              </w:rPr>
            </w:pPr>
            <w:r w:rsidRPr="00C9445C">
              <w:rPr>
                <w:rFonts w:cs="Arial"/>
                <w:bCs/>
              </w:rPr>
              <w:t>828</w:t>
            </w:r>
          </w:p>
        </w:tc>
        <w:tc>
          <w:tcPr>
            <w:tcW w:w="2655" w:type="dxa"/>
            <w:noWrap/>
            <w:hideMark/>
          </w:tcPr>
          <w:p w14:paraId="1F5D8BBA" w14:textId="77777777" w:rsidR="001C19A4" w:rsidRPr="00DE4665" w:rsidRDefault="001C19A4" w:rsidP="005F27A6">
            <w:pPr>
              <w:spacing w:after="100" w:afterAutospacing="1"/>
              <w:ind w:left="66"/>
              <w:jc w:val="right"/>
              <w:rPr>
                <w:rFonts w:cs="Arial"/>
                <w:bCs/>
              </w:rPr>
            </w:pPr>
            <w:r w:rsidRPr="00C9445C">
              <w:rPr>
                <w:rFonts w:cs="Arial"/>
                <w:bCs/>
              </w:rPr>
              <w:t>5</w:t>
            </w:r>
            <w:r>
              <w:rPr>
                <w:rFonts w:cs="Arial"/>
                <w:bCs/>
              </w:rPr>
              <w:t>,</w:t>
            </w:r>
            <w:r w:rsidRPr="00C9445C">
              <w:rPr>
                <w:rFonts w:cs="Arial"/>
                <w:bCs/>
              </w:rPr>
              <w:t>909</w:t>
            </w:r>
          </w:p>
        </w:tc>
        <w:tc>
          <w:tcPr>
            <w:tcW w:w="1890" w:type="dxa"/>
          </w:tcPr>
          <w:p w14:paraId="62C62F6B" w14:textId="77777777" w:rsidR="001C19A4" w:rsidRPr="00C9445C" w:rsidRDefault="001C19A4" w:rsidP="005F27A6">
            <w:pPr>
              <w:spacing w:after="0"/>
              <w:ind w:left="66"/>
              <w:jc w:val="right"/>
              <w:rPr>
                <w:rFonts w:cs="Arial"/>
                <w:bCs/>
              </w:rPr>
            </w:pPr>
            <w:r>
              <w:rPr>
                <w:rFonts w:cs="Arial"/>
                <w:bCs/>
              </w:rPr>
              <w:t>6,737</w:t>
            </w:r>
          </w:p>
        </w:tc>
      </w:tr>
      <w:tr w:rsidR="001C19A4" w:rsidRPr="00DE4665" w14:paraId="27D9A7D7" w14:textId="77777777" w:rsidTr="005F27A6">
        <w:trPr>
          <w:trHeight w:val="271"/>
        </w:trPr>
        <w:tc>
          <w:tcPr>
            <w:tcW w:w="2272" w:type="dxa"/>
            <w:noWrap/>
            <w:hideMark/>
          </w:tcPr>
          <w:p w14:paraId="2D71B970" w14:textId="77777777" w:rsidR="001C19A4" w:rsidRPr="00DE4665" w:rsidRDefault="001C19A4" w:rsidP="005F27A6">
            <w:pPr>
              <w:spacing w:after="100" w:afterAutospacing="1"/>
              <w:ind w:left="60"/>
              <w:rPr>
                <w:rFonts w:cs="Arial"/>
                <w:bCs/>
              </w:rPr>
            </w:pPr>
            <w:r w:rsidRPr="00DE4665">
              <w:rPr>
                <w:rFonts w:cs="Arial"/>
                <w:bCs/>
              </w:rPr>
              <w:t>High</w:t>
            </w:r>
            <w:r>
              <w:rPr>
                <w:rFonts w:cs="Arial"/>
                <w:bCs/>
              </w:rPr>
              <w:t xml:space="preserve"> (9 </w:t>
            </w:r>
            <w:r>
              <w:t>-</w:t>
            </w:r>
            <w:r>
              <w:rPr>
                <w:rFonts w:cs="Arial"/>
                <w:bCs/>
              </w:rPr>
              <w:t xml:space="preserve"> 12) </w:t>
            </w:r>
          </w:p>
        </w:tc>
        <w:tc>
          <w:tcPr>
            <w:tcW w:w="2273" w:type="dxa"/>
            <w:noWrap/>
            <w:hideMark/>
          </w:tcPr>
          <w:p w14:paraId="7EE3C551" w14:textId="77777777" w:rsidR="001C19A4" w:rsidRPr="00DE4665" w:rsidRDefault="001C19A4" w:rsidP="005F27A6">
            <w:pPr>
              <w:spacing w:after="100" w:afterAutospacing="1"/>
              <w:ind w:left="6"/>
              <w:jc w:val="right"/>
              <w:rPr>
                <w:rFonts w:cs="Arial"/>
                <w:bCs/>
              </w:rPr>
            </w:pPr>
            <w:r w:rsidRPr="00C9445C">
              <w:rPr>
                <w:rFonts w:cs="Arial"/>
                <w:bCs/>
              </w:rPr>
              <w:t>1</w:t>
            </w:r>
            <w:r>
              <w:rPr>
                <w:rFonts w:cs="Arial"/>
                <w:bCs/>
              </w:rPr>
              <w:t>,</w:t>
            </w:r>
            <w:r w:rsidRPr="00C9445C">
              <w:rPr>
                <w:rFonts w:cs="Arial"/>
                <w:bCs/>
              </w:rPr>
              <w:t>492</w:t>
            </w:r>
          </w:p>
        </w:tc>
        <w:tc>
          <w:tcPr>
            <w:tcW w:w="2655" w:type="dxa"/>
            <w:noWrap/>
            <w:hideMark/>
          </w:tcPr>
          <w:p w14:paraId="0315A725" w14:textId="77777777" w:rsidR="001C19A4" w:rsidRPr="00DE4665" w:rsidRDefault="001C19A4" w:rsidP="005F27A6">
            <w:pPr>
              <w:spacing w:after="100" w:afterAutospacing="1"/>
              <w:ind w:left="66"/>
              <w:jc w:val="right"/>
              <w:rPr>
                <w:rFonts w:cs="Arial"/>
                <w:bCs/>
              </w:rPr>
            </w:pPr>
            <w:r w:rsidRPr="00C9445C">
              <w:rPr>
                <w:rFonts w:cs="Arial"/>
                <w:bCs/>
              </w:rPr>
              <w:t>6</w:t>
            </w:r>
            <w:r>
              <w:rPr>
                <w:rFonts w:cs="Arial"/>
                <w:bCs/>
              </w:rPr>
              <w:t>,</w:t>
            </w:r>
            <w:r w:rsidRPr="00C9445C">
              <w:rPr>
                <w:rFonts w:cs="Arial"/>
                <w:bCs/>
              </w:rPr>
              <w:t>069</w:t>
            </w:r>
          </w:p>
        </w:tc>
        <w:tc>
          <w:tcPr>
            <w:tcW w:w="1890" w:type="dxa"/>
          </w:tcPr>
          <w:p w14:paraId="70B9ED83" w14:textId="77777777" w:rsidR="001C19A4" w:rsidRPr="00C9445C" w:rsidRDefault="001C19A4" w:rsidP="005F27A6">
            <w:pPr>
              <w:spacing w:after="0"/>
              <w:ind w:left="66"/>
              <w:jc w:val="right"/>
              <w:rPr>
                <w:rFonts w:cs="Arial"/>
                <w:bCs/>
              </w:rPr>
            </w:pPr>
            <w:r>
              <w:rPr>
                <w:rFonts w:cs="Arial"/>
                <w:bCs/>
              </w:rPr>
              <w:t>8,389</w:t>
            </w:r>
          </w:p>
        </w:tc>
      </w:tr>
      <w:tr w:rsidR="001C19A4" w:rsidRPr="00DE4665" w14:paraId="1487F543" w14:textId="77777777" w:rsidTr="005F27A6">
        <w:trPr>
          <w:trHeight w:val="271"/>
        </w:trPr>
        <w:tc>
          <w:tcPr>
            <w:tcW w:w="2272" w:type="dxa"/>
            <w:noWrap/>
            <w:hideMark/>
          </w:tcPr>
          <w:p w14:paraId="6408A737" w14:textId="77777777" w:rsidR="001C19A4" w:rsidRPr="00581ECD" w:rsidRDefault="001C19A4" w:rsidP="005F27A6">
            <w:pPr>
              <w:spacing w:after="100" w:afterAutospacing="1"/>
              <w:ind w:left="60"/>
              <w:rPr>
                <w:rFonts w:cs="Arial"/>
                <w:b/>
                <w:bCs/>
              </w:rPr>
            </w:pPr>
            <w:r w:rsidRPr="00581ECD">
              <w:rPr>
                <w:rFonts w:cs="Arial"/>
                <w:b/>
                <w:bCs/>
              </w:rPr>
              <w:t>Total</w:t>
            </w:r>
          </w:p>
        </w:tc>
        <w:tc>
          <w:tcPr>
            <w:tcW w:w="2273" w:type="dxa"/>
            <w:noWrap/>
            <w:hideMark/>
          </w:tcPr>
          <w:p w14:paraId="3B03C717" w14:textId="77777777" w:rsidR="001C19A4" w:rsidRPr="00581ECD" w:rsidRDefault="001C19A4" w:rsidP="005F27A6">
            <w:pPr>
              <w:spacing w:after="100" w:afterAutospacing="1"/>
              <w:ind w:left="6"/>
              <w:jc w:val="right"/>
              <w:rPr>
                <w:rFonts w:cs="Arial"/>
                <w:b/>
                <w:bCs/>
              </w:rPr>
            </w:pPr>
            <w:r>
              <w:rPr>
                <w:rFonts w:cs="Arial"/>
                <w:b/>
                <w:bCs/>
              </w:rPr>
              <w:t>4,018</w:t>
            </w:r>
          </w:p>
        </w:tc>
        <w:tc>
          <w:tcPr>
            <w:tcW w:w="2655" w:type="dxa"/>
            <w:noWrap/>
            <w:hideMark/>
          </w:tcPr>
          <w:p w14:paraId="1AF99C98" w14:textId="77777777" w:rsidR="001C19A4" w:rsidRPr="00581ECD" w:rsidRDefault="001C19A4" w:rsidP="005F27A6">
            <w:pPr>
              <w:spacing w:after="100" w:afterAutospacing="1"/>
              <w:ind w:left="66"/>
              <w:jc w:val="right"/>
              <w:rPr>
                <w:rFonts w:cs="Arial"/>
                <w:b/>
                <w:bCs/>
              </w:rPr>
            </w:pPr>
            <w:r>
              <w:rPr>
                <w:rFonts w:cs="Arial"/>
                <w:b/>
                <w:bCs/>
              </w:rPr>
              <w:t>24,618</w:t>
            </w:r>
          </w:p>
        </w:tc>
        <w:tc>
          <w:tcPr>
            <w:tcW w:w="1890" w:type="dxa"/>
          </w:tcPr>
          <w:p w14:paraId="74F92186" w14:textId="77777777" w:rsidR="001C19A4" w:rsidRDefault="001C19A4" w:rsidP="005F27A6">
            <w:pPr>
              <w:spacing w:after="0"/>
              <w:ind w:left="66"/>
              <w:jc w:val="right"/>
              <w:rPr>
                <w:rFonts w:cs="Arial"/>
                <w:b/>
                <w:bCs/>
              </w:rPr>
            </w:pPr>
            <w:r>
              <w:rPr>
                <w:rFonts w:cs="Arial"/>
                <w:b/>
                <w:bCs/>
              </w:rPr>
              <w:t>28,636</w:t>
            </w:r>
          </w:p>
        </w:tc>
      </w:tr>
    </w:tbl>
    <w:p w14:paraId="3ED8CE40" w14:textId="77777777" w:rsidR="001C19A4" w:rsidRDefault="001C19A4" w:rsidP="005F27A6">
      <w:pPr>
        <w:spacing w:before="240"/>
        <w:ind w:left="360"/>
        <w:rPr>
          <w:rStyle w:val="Strong"/>
          <w:b w:val="0"/>
        </w:rPr>
      </w:pPr>
      <w:r>
        <w:rPr>
          <w:rStyle w:val="Strong"/>
          <w:b w:val="0"/>
        </w:rPr>
        <w:t xml:space="preserve">As of Fiscal </w:t>
      </w:r>
      <w:proofErr w:type="gramStart"/>
      <w:r>
        <w:rPr>
          <w:rStyle w:val="Strong"/>
          <w:b w:val="0"/>
        </w:rPr>
        <w:t>Year</w:t>
      </w:r>
      <w:proofErr w:type="gramEnd"/>
      <w:r>
        <w:rPr>
          <w:rStyle w:val="Strong"/>
          <w:b w:val="0"/>
        </w:rPr>
        <w:t xml:space="preserve"> 2020–21, there were 344 unified school districts in the state of California. The average size of a unified school district was 1,344 pupils and the median total enrollment was 4,522 pupils. The proposed Northgate USD would be close to the median size of a unified school district in California, where 164 unified school districts have total enrollment less than 4,000 and 180 have enrollment over 4,000 pupils. The remaining portion of the Mt. Diablo USD would continue to be one of the 30 largest school districts in the state. </w:t>
      </w:r>
    </w:p>
    <w:p w14:paraId="1E6D4EF5" w14:textId="6BD8F1A3" w:rsidR="001C19A4" w:rsidRDefault="001C19A4" w:rsidP="005F27A6">
      <w:pPr>
        <w:spacing w:before="240"/>
        <w:ind w:left="360"/>
        <w:rPr>
          <w:rStyle w:val="Strong"/>
          <w:b w:val="0"/>
        </w:rPr>
      </w:pPr>
      <w:r>
        <w:rPr>
          <w:rStyle w:val="Strong"/>
          <w:b w:val="0"/>
        </w:rPr>
        <w:t xml:space="preserve">Mt. Diablo USD offers a variety of </w:t>
      </w:r>
      <w:r w:rsidRPr="002B5ADD">
        <w:rPr>
          <w:rStyle w:val="Strong"/>
          <w:b w:val="0"/>
        </w:rPr>
        <w:t>district-wide programs (</w:t>
      </w:r>
      <w:r>
        <w:rPr>
          <w:rStyle w:val="Strong"/>
          <w:b w:val="0"/>
        </w:rPr>
        <w:t xml:space="preserve">e.g., </w:t>
      </w:r>
      <w:r w:rsidRPr="002B5ADD">
        <w:rPr>
          <w:rStyle w:val="Strong"/>
          <w:b w:val="0"/>
        </w:rPr>
        <w:t xml:space="preserve">College Now, International Baccalaureate, </w:t>
      </w:r>
      <w:r w:rsidRPr="00A03AD8">
        <w:rPr>
          <w:rStyle w:val="Strong"/>
          <w:b w:val="0"/>
        </w:rPr>
        <w:t>Advancement Via Individual Determination</w:t>
      </w:r>
      <w:r>
        <w:rPr>
          <w:rStyle w:val="Strong"/>
          <w:b w:val="0"/>
        </w:rPr>
        <w:t xml:space="preserve"> (AVID)</w:t>
      </w:r>
      <w:r w:rsidRPr="002B5ADD">
        <w:rPr>
          <w:rStyle w:val="Strong"/>
          <w:b w:val="0"/>
        </w:rPr>
        <w:t>, magnet schools, athletics, arts, music, independent study</w:t>
      </w:r>
      <w:r>
        <w:rPr>
          <w:rStyle w:val="Strong"/>
          <w:b w:val="0"/>
        </w:rPr>
        <w:t xml:space="preserve">, </w:t>
      </w:r>
      <w:r w:rsidRPr="002B5ADD">
        <w:rPr>
          <w:rStyle w:val="Strong"/>
          <w:b w:val="0"/>
        </w:rPr>
        <w:t xml:space="preserve">Home Hospital, autism magnet, and other special education </w:t>
      </w:r>
      <w:r>
        <w:rPr>
          <w:rStyle w:val="Strong"/>
          <w:b w:val="0"/>
        </w:rPr>
        <w:t>programs). There are</w:t>
      </w:r>
      <w:r w:rsidRPr="00412680">
        <w:rPr>
          <w:rStyle w:val="Strong"/>
          <w:b w:val="0"/>
        </w:rPr>
        <w:t xml:space="preserve"> </w:t>
      </w:r>
      <w:r>
        <w:rPr>
          <w:rStyle w:val="Strong"/>
          <w:b w:val="0"/>
        </w:rPr>
        <w:t xml:space="preserve">also two district-wide schools (Sequoia Elementary and Sequoia Middle) </w:t>
      </w:r>
      <w:r w:rsidR="00E75367">
        <w:rPr>
          <w:rStyle w:val="Strong"/>
          <w:b w:val="0"/>
        </w:rPr>
        <w:t xml:space="preserve">and </w:t>
      </w:r>
      <w:r>
        <w:rPr>
          <w:rStyle w:val="Strong"/>
          <w:b w:val="0"/>
        </w:rPr>
        <w:t xml:space="preserve">several school-of-choice areas within the Mt. Diablo USD. If the reorganization were to occur, Northgate High would cease to be an option for students in the school-of-choice areas of Mt. Diablo USD, and Northgate area students would lose access to the various educational programs offered by Mt. Diablo USD. </w:t>
      </w:r>
      <w:r w:rsidRPr="005B5A85">
        <w:rPr>
          <w:rStyle w:val="Strong"/>
          <w:b w:val="0"/>
        </w:rPr>
        <w:t xml:space="preserve">Bancroft Elementary hosts a dual-language </w:t>
      </w:r>
      <w:r>
        <w:rPr>
          <w:rStyle w:val="Strong"/>
          <w:b w:val="0"/>
        </w:rPr>
        <w:t>im</w:t>
      </w:r>
      <w:r w:rsidRPr="005B5A85">
        <w:rPr>
          <w:rStyle w:val="Strong"/>
          <w:b w:val="0"/>
        </w:rPr>
        <w:t xml:space="preserve">mersion </w:t>
      </w:r>
      <w:r>
        <w:rPr>
          <w:rStyle w:val="Strong"/>
          <w:b w:val="0"/>
        </w:rPr>
        <w:t xml:space="preserve">and garden education </w:t>
      </w:r>
      <w:r w:rsidRPr="005B5A85">
        <w:rPr>
          <w:rStyle w:val="Strong"/>
          <w:b w:val="0"/>
        </w:rPr>
        <w:t>program.</w:t>
      </w:r>
      <w:r>
        <w:rPr>
          <w:rStyle w:val="Strong"/>
          <w:b w:val="0"/>
        </w:rPr>
        <w:t xml:space="preserve"> Valle Verde Elementary and Northgate High host autism magnet programs.</w:t>
      </w:r>
      <w:r w:rsidRPr="00131FFC">
        <w:rPr>
          <w:rFonts w:cs="Arial"/>
        </w:rPr>
        <w:t xml:space="preserve"> </w:t>
      </w:r>
      <w:r>
        <w:rPr>
          <w:rFonts w:cs="Arial"/>
        </w:rPr>
        <w:t>Mt. Diablo USD could relocate its specialized programs (e.g., autism magnet programs, dual-language immersion program) from the Northgate area schools to sites elsewhere in the remaining portion of its territory.</w:t>
      </w:r>
    </w:p>
    <w:p w14:paraId="627AE172" w14:textId="77777777" w:rsidR="001C19A4" w:rsidRDefault="001C19A4" w:rsidP="005F27A6">
      <w:pPr>
        <w:ind w:left="360"/>
        <w:rPr>
          <w:rStyle w:val="Strong"/>
          <w:b w:val="0"/>
        </w:rPr>
      </w:pPr>
      <w:r>
        <w:rPr>
          <w:rFonts w:cs="Arial"/>
        </w:rPr>
        <w:lastRenderedPageBreak/>
        <w:t>The Northgate USD would be expected to continue to operate Bancroft Elementary, Valle Verde Elementary, Walnut Acres Elementary, Foothill Middle, and Northgate High similar to their current operation. It will need to make room at its elementary schools for the students that were previously in the attendance area of Highlands Elementary. Most of the 2,000 s</w:t>
      </w:r>
      <w:r>
        <w:rPr>
          <w:rStyle w:val="Strong"/>
          <w:b w:val="0"/>
        </w:rPr>
        <w:t>tudents attending Oak Grove Middle and Ygnacio Valley High will need to relocate to other site(s) in the remaining portion of the Mt. Diablo USD, as these schools are located in the territory of the proposed Northgate USD but the attendance areas are not.</w:t>
      </w:r>
      <w:r w:rsidRPr="00D049A2">
        <w:rPr>
          <w:rStyle w:val="FootnoteReference"/>
          <w:rFonts w:cs="Arial"/>
          <w:vertAlign w:val="superscript"/>
        </w:rPr>
        <w:footnoteReference w:id="8"/>
      </w:r>
      <w:r>
        <w:rPr>
          <w:rStyle w:val="Strong"/>
          <w:b w:val="0"/>
        </w:rPr>
        <w:t xml:space="preserve"> </w:t>
      </w:r>
      <w:r>
        <w:rPr>
          <w:rFonts w:cs="Arial"/>
        </w:rPr>
        <w:t>The Northgate area does not have enrollment sufficient to operate a second middle school and a second comprehensive high school</w:t>
      </w:r>
      <w:r w:rsidRPr="00197258">
        <w:rPr>
          <w:rFonts w:cs="Arial"/>
        </w:rPr>
        <w:t>.</w:t>
      </w:r>
      <w:r>
        <w:rPr>
          <w:rFonts w:cs="Arial"/>
        </w:rPr>
        <w:t xml:space="preserve"> </w:t>
      </w:r>
      <w:r>
        <w:rPr>
          <w:rStyle w:val="Strong"/>
          <w:b w:val="0"/>
        </w:rPr>
        <w:t xml:space="preserve">As has been discussed, the proposed Northgate USD territory does not contain a continuation high school site or a community day school. The new school district will need to provide for the education of its continuation high and community day students. </w:t>
      </w:r>
    </w:p>
    <w:p w14:paraId="1F27C774" w14:textId="77777777" w:rsidR="001C19A4" w:rsidRPr="00F75072" w:rsidRDefault="001C19A4" w:rsidP="000A33F9">
      <w:pPr>
        <w:pStyle w:val="Heading3"/>
        <w:numPr>
          <w:ilvl w:val="1"/>
          <w:numId w:val="40"/>
        </w:numPr>
        <w:ind w:left="720" w:hanging="720"/>
      </w:pPr>
      <w:r w:rsidRPr="00F75072">
        <w:t>Students in Current District</w:t>
      </w:r>
    </w:p>
    <w:p w14:paraId="541B7C57" w14:textId="77777777" w:rsidR="001C19A4" w:rsidRPr="005B382B" w:rsidRDefault="001C19A4" w:rsidP="005F27A6">
      <w:pPr>
        <w:ind w:left="360"/>
        <w:rPr>
          <w:rFonts w:cs="Arial"/>
        </w:rPr>
      </w:pPr>
      <w:r>
        <w:rPr>
          <w:rFonts w:cs="Arial"/>
        </w:rPr>
        <w:t xml:space="preserve">California’s Local Control Funding Formula (LCFF) provides additional funding through </w:t>
      </w:r>
      <w:r w:rsidRPr="00AB596D">
        <w:rPr>
          <w:rFonts w:cs="Arial"/>
        </w:rPr>
        <w:t>supplemental and concentration grant</w:t>
      </w:r>
      <w:r>
        <w:rPr>
          <w:rFonts w:cs="Arial"/>
        </w:rPr>
        <w:t xml:space="preserve">s based on the unduplicated pupil percentage, which is the percentage of the </w:t>
      </w:r>
      <w:r w:rsidRPr="00AB596D">
        <w:rPr>
          <w:rFonts w:cs="Arial"/>
          <w:color w:val="000000"/>
          <w:lang w:val="en"/>
        </w:rPr>
        <w:t>targeted disadvantaged</w:t>
      </w:r>
      <w:r w:rsidRPr="00AB596D">
        <w:rPr>
          <w:rFonts w:cs="Arial"/>
        </w:rPr>
        <w:t xml:space="preserve"> </w:t>
      </w:r>
      <w:r>
        <w:rPr>
          <w:rFonts w:cs="Arial"/>
        </w:rPr>
        <w:t>students in a school district.</w:t>
      </w:r>
      <w:r w:rsidRPr="00D049A2">
        <w:rPr>
          <w:rStyle w:val="FootnoteReference"/>
          <w:rFonts w:cs="Arial"/>
          <w:vertAlign w:val="superscript"/>
        </w:rPr>
        <w:footnoteReference w:id="9"/>
      </w:r>
      <w:r>
        <w:rPr>
          <w:rFonts w:cs="Arial"/>
        </w:rPr>
        <w:t xml:space="preserve"> </w:t>
      </w:r>
      <w:r w:rsidRPr="00AB596D">
        <w:rPr>
          <w:rFonts w:cs="Arial"/>
        </w:rPr>
        <w:t xml:space="preserve">Targeted </w:t>
      </w:r>
      <w:r>
        <w:rPr>
          <w:rFonts w:cs="Arial"/>
        </w:rPr>
        <w:t>students</w:t>
      </w:r>
      <w:r w:rsidRPr="00AB596D">
        <w:rPr>
          <w:rFonts w:cs="Arial"/>
        </w:rPr>
        <w:t xml:space="preserve"> are classified as English learners (EL), </w:t>
      </w:r>
      <w:r>
        <w:rPr>
          <w:rFonts w:cs="Arial"/>
        </w:rPr>
        <w:t xml:space="preserve">eligible for the </w:t>
      </w:r>
      <w:r w:rsidRPr="00AB596D">
        <w:rPr>
          <w:rFonts w:cs="Arial"/>
        </w:rPr>
        <w:t xml:space="preserve">free or reduced-price meal </w:t>
      </w:r>
      <w:r>
        <w:rPr>
          <w:rFonts w:cs="Arial"/>
        </w:rPr>
        <w:t>program</w:t>
      </w:r>
      <w:r w:rsidRPr="00AB596D">
        <w:rPr>
          <w:rFonts w:cs="Arial"/>
        </w:rPr>
        <w:t xml:space="preserve"> (FRPM), foster youth, or any combination of these factors</w:t>
      </w:r>
      <w:r>
        <w:rPr>
          <w:rFonts w:cs="Arial"/>
        </w:rPr>
        <w:t xml:space="preserve">. The additional funding is to provide </w:t>
      </w:r>
      <w:r w:rsidRPr="00916F42">
        <w:rPr>
          <w:rFonts w:cs="Arial"/>
        </w:rPr>
        <w:t xml:space="preserve">increased or improved services </w:t>
      </w:r>
      <w:r>
        <w:rPr>
          <w:rFonts w:cs="Arial"/>
        </w:rPr>
        <w:t xml:space="preserve">to disadvantaged students to help them succeed academically. The two primary factors determining supplemental and concentration grant funding are the percentages of EL students and FRPM eligible students. The following tables show the percentages of Mt. Diablo USD students in these two groups at the elementary, middle, and high schools. </w:t>
      </w:r>
    </w:p>
    <w:p w14:paraId="3D7DEF38" w14:textId="77777777" w:rsidR="001C19A4" w:rsidRPr="00916F42" w:rsidRDefault="001C19A4" w:rsidP="00AF653A">
      <w:pPr>
        <w:pStyle w:val="Heading4"/>
      </w:pPr>
      <w:r w:rsidRPr="00916F42">
        <w:t xml:space="preserve">Table </w:t>
      </w:r>
      <w:r>
        <w:t>3a</w:t>
      </w:r>
      <w:r w:rsidRPr="00916F42">
        <w:t xml:space="preserve">: EL and FRPM Students in </w:t>
      </w:r>
      <w:r>
        <w:t>Mt. Diablo</w:t>
      </w:r>
      <w:r w:rsidRPr="00916F42">
        <w:t xml:space="preserve"> USD</w:t>
      </w:r>
      <w:r>
        <w:t xml:space="preserve"> Elementary Schools</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3a provides enrollment, percent of English Learners, percent of students qualifying for the Free and Reduced Program Meal Program for each elementary school in the existing Mt. Diablo USD for the 2020-21 academic year. "/>
      </w:tblPr>
      <w:tblGrid>
        <w:gridCol w:w="3960"/>
        <w:gridCol w:w="1710"/>
        <w:gridCol w:w="1710"/>
        <w:gridCol w:w="1710"/>
      </w:tblGrid>
      <w:tr w:rsidR="001C19A4" w:rsidRPr="00584630" w14:paraId="1F1390D4" w14:textId="77777777" w:rsidTr="005F27A6">
        <w:trPr>
          <w:trHeight w:val="288"/>
          <w:tblHeader/>
        </w:trPr>
        <w:tc>
          <w:tcPr>
            <w:tcW w:w="3960" w:type="dxa"/>
            <w:shd w:val="clear" w:color="auto" w:fill="D9D9D9" w:themeFill="background1" w:themeFillShade="D9"/>
            <w:noWrap/>
            <w:hideMark/>
          </w:tcPr>
          <w:p w14:paraId="234F1A7A" w14:textId="77777777" w:rsidR="001C19A4" w:rsidRPr="00584630" w:rsidRDefault="001C19A4" w:rsidP="005F27A6">
            <w:pPr>
              <w:pStyle w:val="NoSpacing"/>
              <w:jc w:val="center"/>
              <w:rPr>
                <w:b/>
              </w:rPr>
            </w:pPr>
            <w:r w:rsidRPr="00584630">
              <w:rPr>
                <w:b/>
              </w:rPr>
              <w:t>School Name</w:t>
            </w:r>
          </w:p>
        </w:tc>
        <w:tc>
          <w:tcPr>
            <w:tcW w:w="1710" w:type="dxa"/>
            <w:shd w:val="clear" w:color="auto" w:fill="D9D9D9" w:themeFill="background1" w:themeFillShade="D9"/>
            <w:noWrap/>
            <w:hideMark/>
          </w:tcPr>
          <w:p w14:paraId="2CB779B6" w14:textId="77777777" w:rsidR="001C19A4" w:rsidRPr="00584630" w:rsidRDefault="001C19A4" w:rsidP="005F27A6">
            <w:pPr>
              <w:pStyle w:val="NoSpacing"/>
              <w:jc w:val="center"/>
              <w:rPr>
                <w:b/>
              </w:rPr>
            </w:pPr>
            <w:r w:rsidRPr="00584630">
              <w:rPr>
                <w:b/>
              </w:rPr>
              <w:t>Enrollment</w:t>
            </w:r>
          </w:p>
        </w:tc>
        <w:tc>
          <w:tcPr>
            <w:tcW w:w="1710" w:type="dxa"/>
            <w:shd w:val="clear" w:color="auto" w:fill="D9D9D9" w:themeFill="background1" w:themeFillShade="D9"/>
          </w:tcPr>
          <w:p w14:paraId="15C50839" w14:textId="77777777" w:rsidR="001C19A4" w:rsidRPr="00584630" w:rsidRDefault="001C19A4" w:rsidP="005F27A6">
            <w:pPr>
              <w:pStyle w:val="NoSpacing"/>
              <w:jc w:val="center"/>
              <w:rPr>
                <w:b/>
              </w:rPr>
            </w:pPr>
            <w:r w:rsidRPr="00584630">
              <w:rPr>
                <w:b/>
              </w:rPr>
              <w:t>EL (%)</w:t>
            </w:r>
          </w:p>
        </w:tc>
        <w:tc>
          <w:tcPr>
            <w:tcW w:w="1710" w:type="dxa"/>
            <w:shd w:val="clear" w:color="auto" w:fill="D9D9D9" w:themeFill="background1" w:themeFillShade="D9"/>
            <w:noWrap/>
            <w:hideMark/>
          </w:tcPr>
          <w:p w14:paraId="42D922A9" w14:textId="77777777" w:rsidR="001C19A4" w:rsidRPr="00584630" w:rsidRDefault="001C19A4" w:rsidP="005F27A6">
            <w:pPr>
              <w:pStyle w:val="NoSpacing"/>
              <w:jc w:val="center"/>
              <w:rPr>
                <w:b/>
              </w:rPr>
            </w:pPr>
            <w:r w:rsidRPr="00584630">
              <w:rPr>
                <w:b/>
              </w:rPr>
              <w:t>FRPM (%)</w:t>
            </w:r>
          </w:p>
        </w:tc>
      </w:tr>
      <w:tr w:rsidR="001C19A4" w:rsidRPr="00540497" w14:paraId="53A9AB93" w14:textId="77777777" w:rsidTr="005F27A6">
        <w:trPr>
          <w:trHeight w:val="288"/>
        </w:trPr>
        <w:tc>
          <w:tcPr>
            <w:tcW w:w="3960" w:type="dxa"/>
            <w:noWrap/>
            <w:hideMark/>
          </w:tcPr>
          <w:p w14:paraId="4CA7C9EA" w14:textId="77777777" w:rsidR="001C19A4" w:rsidRPr="00540497" w:rsidRDefault="001C19A4" w:rsidP="005F27A6">
            <w:pPr>
              <w:pStyle w:val="NoSpacing"/>
            </w:pPr>
            <w:r w:rsidRPr="00540497">
              <w:t>Ayers Elementary</w:t>
            </w:r>
          </w:p>
        </w:tc>
        <w:tc>
          <w:tcPr>
            <w:tcW w:w="1710" w:type="dxa"/>
            <w:noWrap/>
            <w:hideMark/>
          </w:tcPr>
          <w:p w14:paraId="5BF9F8FD" w14:textId="77777777" w:rsidR="001C19A4" w:rsidRPr="00540497" w:rsidRDefault="001C19A4" w:rsidP="005F27A6">
            <w:pPr>
              <w:pStyle w:val="NoSpacing"/>
              <w:jc w:val="right"/>
            </w:pPr>
            <w:r w:rsidRPr="00540497">
              <w:t>405</w:t>
            </w:r>
          </w:p>
        </w:tc>
        <w:tc>
          <w:tcPr>
            <w:tcW w:w="1710" w:type="dxa"/>
          </w:tcPr>
          <w:p w14:paraId="1FD1D9BA" w14:textId="77777777" w:rsidR="001C19A4" w:rsidRPr="00540497" w:rsidRDefault="001C19A4" w:rsidP="005F27A6">
            <w:pPr>
              <w:pStyle w:val="NoSpacing"/>
              <w:jc w:val="right"/>
            </w:pPr>
            <w:r w:rsidRPr="00540497">
              <w:t>12.3%</w:t>
            </w:r>
          </w:p>
        </w:tc>
        <w:tc>
          <w:tcPr>
            <w:tcW w:w="1710" w:type="dxa"/>
            <w:noWrap/>
            <w:hideMark/>
          </w:tcPr>
          <w:p w14:paraId="509A89EA" w14:textId="77777777" w:rsidR="001C19A4" w:rsidRPr="00540497" w:rsidRDefault="001C19A4" w:rsidP="005F27A6">
            <w:pPr>
              <w:pStyle w:val="NoSpacing"/>
              <w:jc w:val="right"/>
            </w:pPr>
            <w:r w:rsidRPr="00540497">
              <w:t>31.4%</w:t>
            </w:r>
          </w:p>
        </w:tc>
      </w:tr>
      <w:tr w:rsidR="001C19A4" w:rsidRPr="00540497" w14:paraId="6E50373B" w14:textId="77777777" w:rsidTr="005F27A6">
        <w:trPr>
          <w:trHeight w:val="288"/>
        </w:trPr>
        <w:tc>
          <w:tcPr>
            <w:tcW w:w="3960" w:type="dxa"/>
            <w:noWrap/>
            <w:hideMark/>
          </w:tcPr>
          <w:p w14:paraId="2F2810E0" w14:textId="77777777" w:rsidR="001C19A4" w:rsidRPr="00540497" w:rsidRDefault="001C19A4" w:rsidP="005F27A6">
            <w:pPr>
              <w:pStyle w:val="NoSpacing"/>
            </w:pPr>
            <w:r w:rsidRPr="00540497">
              <w:t>Bancroft Elementary</w:t>
            </w:r>
          </w:p>
        </w:tc>
        <w:tc>
          <w:tcPr>
            <w:tcW w:w="1710" w:type="dxa"/>
            <w:noWrap/>
            <w:hideMark/>
          </w:tcPr>
          <w:p w14:paraId="2F1C3F7C" w14:textId="77777777" w:rsidR="001C19A4" w:rsidRPr="00540497" w:rsidRDefault="001C19A4" w:rsidP="005F27A6">
            <w:pPr>
              <w:pStyle w:val="NoSpacing"/>
              <w:jc w:val="right"/>
            </w:pPr>
            <w:r w:rsidRPr="00540497">
              <w:t>608</w:t>
            </w:r>
          </w:p>
        </w:tc>
        <w:tc>
          <w:tcPr>
            <w:tcW w:w="1710" w:type="dxa"/>
          </w:tcPr>
          <w:p w14:paraId="69BC5747" w14:textId="77777777" w:rsidR="001C19A4" w:rsidRPr="00540497" w:rsidRDefault="001C19A4" w:rsidP="005F27A6">
            <w:pPr>
              <w:pStyle w:val="NoSpacing"/>
              <w:jc w:val="right"/>
            </w:pPr>
            <w:r w:rsidRPr="00540497">
              <w:t>15.1%</w:t>
            </w:r>
          </w:p>
        </w:tc>
        <w:tc>
          <w:tcPr>
            <w:tcW w:w="1710" w:type="dxa"/>
            <w:noWrap/>
            <w:hideMark/>
          </w:tcPr>
          <w:p w14:paraId="796D39D2" w14:textId="77777777" w:rsidR="001C19A4" w:rsidRPr="00540497" w:rsidRDefault="001C19A4" w:rsidP="005F27A6">
            <w:pPr>
              <w:pStyle w:val="NoSpacing"/>
              <w:jc w:val="right"/>
            </w:pPr>
            <w:r w:rsidRPr="00540497">
              <w:t>9.0%</w:t>
            </w:r>
          </w:p>
        </w:tc>
      </w:tr>
      <w:tr w:rsidR="001C19A4" w:rsidRPr="00540497" w14:paraId="167DBC11" w14:textId="77777777" w:rsidTr="005F27A6">
        <w:trPr>
          <w:trHeight w:val="288"/>
        </w:trPr>
        <w:tc>
          <w:tcPr>
            <w:tcW w:w="3960" w:type="dxa"/>
            <w:noWrap/>
            <w:hideMark/>
          </w:tcPr>
          <w:p w14:paraId="1663BBB6" w14:textId="77777777" w:rsidR="001C19A4" w:rsidRPr="00540497" w:rsidRDefault="001C19A4" w:rsidP="005F27A6">
            <w:pPr>
              <w:pStyle w:val="NoSpacing"/>
            </w:pPr>
            <w:r w:rsidRPr="00540497">
              <w:t>Bel Air Elementary</w:t>
            </w:r>
          </w:p>
        </w:tc>
        <w:tc>
          <w:tcPr>
            <w:tcW w:w="1710" w:type="dxa"/>
            <w:noWrap/>
            <w:hideMark/>
          </w:tcPr>
          <w:p w14:paraId="0B24F08A" w14:textId="77777777" w:rsidR="001C19A4" w:rsidRPr="00540497" w:rsidRDefault="001C19A4" w:rsidP="005F27A6">
            <w:pPr>
              <w:pStyle w:val="NoSpacing"/>
              <w:jc w:val="right"/>
            </w:pPr>
            <w:r w:rsidRPr="00540497">
              <w:t>450</w:t>
            </w:r>
          </w:p>
        </w:tc>
        <w:tc>
          <w:tcPr>
            <w:tcW w:w="1710" w:type="dxa"/>
          </w:tcPr>
          <w:p w14:paraId="232C932F" w14:textId="77777777" w:rsidR="001C19A4" w:rsidRPr="00540497" w:rsidRDefault="001C19A4" w:rsidP="005F27A6">
            <w:pPr>
              <w:pStyle w:val="NoSpacing"/>
              <w:jc w:val="right"/>
            </w:pPr>
            <w:r w:rsidRPr="00540497">
              <w:t>54.0%</w:t>
            </w:r>
          </w:p>
        </w:tc>
        <w:tc>
          <w:tcPr>
            <w:tcW w:w="1710" w:type="dxa"/>
            <w:noWrap/>
            <w:hideMark/>
          </w:tcPr>
          <w:p w14:paraId="00173CA2" w14:textId="77777777" w:rsidR="001C19A4" w:rsidRPr="00540497" w:rsidRDefault="001C19A4" w:rsidP="005F27A6">
            <w:pPr>
              <w:pStyle w:val="NoSpacing"/>
              <w:jc w:val="right"/>
            </w:pPr>
            <w:r w:rsidRPr="00540497">
              <w:t>75.1%</w:t>
            </w:r>
          </w:p>
        </w:tc>
      </w:tr>
      <w:tr w:rsidR="001C19A4" w:rsidRPr="00540497" w14:paraId="3B9C3AD5" w14:textId="77777777" w:rsidTr="005F27A6">
        <w:trPr>
          <w:trHeight w:val="288"/>
        </w:trPr>
        <w:tc>
          <w:tcPr>
            <w:tcW w:w="3960" w:type="dxa"/>
            <w:noWrap/>
            <w:hideMark/>
          </w:tcPr>
          <w:p w14:paraId="70A487E7" w14:textId="77777777" w:rsidR="001C19A4" w:rsidRPr="00540497" w:rsidRDefault="001C19A4" w:rsidP="005F27A6">
            <w:pPr>
              <w:pStyle w:val="NoSpacing"/>
            </w:pPr>
            <w:r w:rsidRPr="00540497">
              <w:lastRenderedPageBreak/>
              <w:t>Cambridge Elementary</w:t>
            </w:r>
          </w:p>
        </w:tc>
        <w:tc>
          <w:tcPr>
            <w:tcW w:w="1710" w:type="dxa"/>
            <w:noWrap/>
            <w:hideMark/>
          </w:tcPr>
          <w:p w14:paraId="72FEAB76" w14:textId="77777777" w:rsidR="001C19A4" w:rsidRPr="00540497" w:rsidRDefault="001C19A4" w:rsidP="005F27A6">
            <w:pPr>
              <w:pStyle w:val="NoSpacing"/>
              <w:jc w:val="right"/>
            </w:pPr>
            <w:r w:rsidRPr="00540497">
              <w:t>538</w:t>
            </w:r>
          </w:p>
        </w:tc>
        <w:tc>
          <w:tcPr>
            <w:tcW w:w="1710" w:type="dxa"/>
          </w:tcPr>
          <w:p w14:paraId="2F04AFF3" w14:textId="77777777" w:rsidR="001C19A4" w:rsidRPr="00540497" w:rsidRDefault="001C19A4" w:rsidP="005F27A6">
            <w:pPr>
              <w:pStyle w:val="NoSpacing"/>
              <w:jc w:val="right"/>
            </w:pPr>
            <w:r w:rsidRPr="00540497">
              <w:t>68.8%</w:t>
            </w:r>
          </w:p>
        </w:tc>
        <w:tc>
          <w:tcPr>
            <w:tcW w:w="1710" w:type="dxa"/>
            <w:noWrap/>
            <w:hideMark/>
          </w:tcPr>
          <w:p w14:paraId="61DECE46" w14:textId="77777777" w:rsidR="001C19A4" w:rsidRPr="00540497" w:rsidRDefault="001C19A4" w:rsidP="005F27A6">
            <w:pPr>
              <w:pStyle w:val="NoSpacing"/>
              <w:jc w:val="right"/>
            </w:pPr>
            <w:r w:rsidRPr="00540497">
              <w:t>78.8%</w:t>
            </w:r>
          </w:p>
        </w:tc>
      </w:tr>
      <w:tr w:rsidR="001C19A4" w:rsidRPr="00540497" w14:paraId="14F0ABBC" w14:textId="77777777" w:rsidTr="005F27A6">
        <w:trPr>
          <w:trHeight w:val="288"/>
        </w:trPr>
        <w:tc>
          <w:tcPr>
            <w:tcW w:w="3960" w:type="dxa"/>
            <w:noWrap/>
            <w:hideMark/>
          </w:tcPr>
          <w:p w14:paraId="7389CA54" w14:textId="77777777" w:rsidR="001C19A4" w:rsidRPr="00540497" w:rsidRDefault="001C19A4" w:rsidP="005F27A6">
            <w:pPr>
              <w:pStyle w:val="NoSpacing"/>
            </w:pPr>
            <w:r w:rsidRPr="00540497">
              <w:t>Delta View Elementary</w:t>
            </w:r>
          </w:p>
        </w:tc>
        <w:tc>
          <w:tcPr>
            <w:tcW w:w="1710" w:type="dxa"/>
            <w:noWrap/>
            <w:hideMark/>
          </w:tcPr>
          <w:p w14:paraId="0823E743" w14:textId="77777777" w:rsidR="001C19A4" w:rsidRPr="00540497" w:rsidRDefault="001C19A4" w:rsidP="005F27A6">
            <w:pPr>
              <w:pStyle w:val="NoSpacing"/>
              <w:jc w:val="right"/>
            </w:pPr>
            <w:r w:rsidRPr="00540497">
              <w:t>652</w:t>
            </w:r>
          </w:p>
        </w:tc>
        <w:tc>
          <w:tcPr>
            <w:tcW w:w="1710" w:type="dxa"/>
          </w:tcPr>
          <w:p w14:paraId="646BBACC" w14:textId="77777777" w:rsidR="001C19A4" w:rsidRPr="00540497" w:rsidRDefault="001C19A4" w:rsidP="005F27A6">
            <w:pPr>
              <w:pStyle w:val="NoSpacing"/>
              <w:jc w:val="right"/>
            </w:pPr>
            <w:r w:rsidRPr="00540497">
              <w:t>26.4%</w:t>
            </w:r>
          </w:p>
        </w:tc>
        <w:tc>
          <w:tcPr>
            <w:tcW w:w="1710" w:type="dxa"/>
            <w:noWrap/>
            <w:hideMark/>
          </w:tcPr>
          <w:p w14:paraId="13EA0C90" w14:textId="77777777" w:rsidR="001C19A4" w:rsidRPr="00540497" w:rsidRDefault="001C19A4" w:rsidP="005F27A6">
            <w:pPr>
              <w:pStyle w:val="NoSpacing"/>
              <w:jc w:val="right"/>
            </w:pPr>
            <w:r w:rsidRPr="00540497">
              <w:t>38.3%</w:t>
            </w:r>
          </w:p>
        </w:tc>
      </w:tr>
      <w:tr w:rsidR="001C19A4" w:rsidRPr="00540497" w14:paraId="7E560CFB" w14:textId="77777777" w:rsidTr="005F27A6">
        <w:trPr>
          <w:trHeight w:val="288"/>
        </w:trPr>
        <w:tc>
          <w:tcPr>
            <w:tcW w:w="3960" w:type="dxa"/>
            <w:noWrap/>
            <w:hideMark/>
          </w:tcPr>
          <w:p w14:paraId="6FF90058" w14:textId="77777777" w:rsidR="001C19A4" w:rsidRPr="00540497" w:rsidRDefault="001C19A4" w:rsidP="005F27A6">
            <w:pPr>
              <w:pStyle w:val="NoSpacing"/>
            </w:pPr>
            <w:r w:rsidRPr="00540497">
              <w:t>El Monte Elementary</w:t>
            </w:r>
          </w:p>
        </w:tc>
        <w:tc>
          <w:tcPr>
            <w:tcW w:w="1710" w:type="dxa"/>
            <w:noWrap/>
            <w:hideMark/>
          </w:tcPr>
          <w:p w14:paraId="3E8F20E3" w14:textId="77777777" w:rsidR="001C19A4" w:rsidRPr="00540497" w:rsidRDefault="001C19A4" w:rsidP="005F27A6">
            <w:pPr>
              <w:pStyle w:val="NoSpacing"/>
              <w:jc w:val="right"/>
            </w:pPr>
            <w:r w:rsidRPr="00540497">
              <w:t>417</w:t>
            </w:r>
          </w:p>
        </w:tc>
        <w:tc>
          <w:tcPr>
            <w:tcW w:w="1710" w:type="dxa"/>
          </w:tcPr>
          <w:p w14:paraId="13ED741E" w14:textId="77777777" w:rsidR="001C19A4" w:rsidRPr="00540497" w:rsidRDefault="001C19A4" w:rsidP="005F27A6">
            <w:pPr>
              <w:pStyle w:val="NoSpacing"/>
              <w:jc w:val="right"/>
            </w:pPr>
            <w:r w:rsidRPr="00540497">
              <w:t>31.9%</w:t>
            </w:r>
          </w:p>
        </w:tc>
        <w:tc>
          <w:tcPr>
            <w:tcW w:w="1710" w:type="dxa"/>
            <w:noWrap/>
            <w:hideMark/>
          </w:tcPr>
          <w:p w14:paraId="178C5999" w14:textId="77777777" w:rsidR="001C19A4" w:rsidRPr="00540497" w:rsidRDefault="001C19A4" w:rsidP="005F27A6">
            <w:pPr>
              <w:pStyle w:val="NoSpacing"/>
              <w:jc w:val="right"/>
            </w:pPr>
            <w:r w:rsidRPr="00540497">
              <w:t>54.9%</w:t>
            </w:r>
          </w:p>
        </w:tc>
      </w:tr>
      <w:tr w:rsidR="001C19A4" w:rsidRPr="00540497" w14:paraId="0B11BE44" w14:textId="77777777" w:rsidTr="005F27A6">
        <w:trPr>
          <w:trHeight w:val="288"/>
        </w:trPr>
        <w:tc>
          <w:tcPr>
            <w:tcW w:w="3960" w:type="dxa"/>
            <w:noWrap/>
            <w:hideMark/>
          </w:tcPr>
          <w:p w14:paraId="463D078C" w14:textId="77777777" w:rsidR="001C19A4" w:rsidRPr="00540497" w:rsidRDefault="001C19A4" w:rsidP="005F27A6">
            <w:pPr>
              <w:pStyle w:val="NoSpacing"/>
            </w:pPr>
            <w:r w:rsidRPr="00540497">
              <w:t>Fair Oaks Elementary</w:t>
            </w:r>
          </w:p>
        </w:tc>
        <w:tc>
          <w:tcPr>
            <w:tcW w:w="1710" w:type="dxa"/>
            <w:noWrap/>
            <w:hideMark/>
          </w:tcPr>
          <w:p w14:paraId="2E576432" w14:textId="77777777" w:rsidR="001C19A4" w:rsidRPr="00540497" w:rsidRDefault="001C19A4" w:rsidP="005F27A6">
            <w:pPr>
              <w:pStyle w:val="NoSpacing"/>
              <w:jc w:val="right"/>
            </w:pPr>
            <w:r w:rsidRPr="00540497">
              <w:t>303</w:t>
            </w:r>
          </w:p>
        </w:tc>
        <w:tc>
          <w:tcPr>
            <w:tcW w:w="1710" w:type="dxa"/>
          </w:tcPr>
          <w:p w14:paraId="69AB9FF0" w14:textId="77777777" w:rsidR="001C19A4" w:rsidRPr="00540497" w:rsidRDefault="001C19A4" w:rsidP="005F27A6">
            <w:pPr>
              <w:pStyle w:val="NoSpacing"/>
              <w:jc w:val="right"/>
            </w:pPr>
            <w:r w:rsidRPr="00540497">
              <w:t>39.6%</w:t>
            </w:r>
          </w:p>
        </w:tc>
        <w:tc>
          <w:tcPr>
            <w:tcW w:w="1710" w:type="dxa"/>
            <w:noWrap/>
            <w:hideMark/>
          </w:tcPr>
          <w:p w14:paraId="7823A8DA" w14:textId="77777777" w:rsidR="001C19A4" w:rsidRPr="00540497" w:rsidRDefault="001C19A4" w:rsidP="005F27A6">
            <w:pPr>
              <w:pStyle w:val="NoSpacing"/>
              <w:jc w:val="right"/>
            </w:pPr>
            <w:r w:rsidRPr="00540497">
              <w:t>68.3%</w:t>
            </w:r>
          </w:p>
        </w:tc>
      </w:tr>
      <w:tr w:rsidR="001C19A4" w:rsidRPr="00540497" w14:paraId="73BDD7DE" w14:textId="77777777" w:rsidTr="005F27A6">
        <w:trPr>
          <w:trHeight w:val="288"/>
        </w:trPr>
        <w:tc>
          <w:tcPr>
            <w:tcW w:w="3960" w:type="dxa"/>
            <w:noWrap/>
            <w:hideMark/>
          </w:tcPr>
          <w:p w14:paraId="42BCEEF9" w14:textId="77777777" w:rsidR="001C19A4" w:rsidRPr="00540497" w:rsidRDefault="001C19A4" w:rsidP="005F27A6">
            <w:pPr>
              <w:pStyle w:val="NoSpacing"/>
            </w:pPr>
            <w:r w:rsidRPr="00540497">
              <w:t>Gregory Gardens Elementary</w:t>
            </w:r>
          </w:p>
        </w:tc>
        <w:tc>
          <w:tcPr>
            <w:tcW w:w="1710" w:type="dxa"/>
            <w:noWrap/>
            <w:hideMark/>
          </w:tcPr>
          <w:p w14:paraId="6528B01B" w14:textId="77777777" w:rsidR="001C19A4" w:rsidRPr="00540497" w:rsidRDefault="001C19A4" w:rsidP="005F27A6">
            <w:pPr>
              <w:pStyle w:val="NoSpacing"/>
              <w:jc w:val="right"/>
            </w:pPr>
            <w:r w:rsidRPr="00540497">
              <w:t>358</w:t>
            </w:r>
          </w:p>
        </w:tc>
        <w:tc>
          <w:tcPr>
            <w:tcW w:w="1710" w:type="dxa"/>
          </w:tcPr>
          <w:p w14:paraId="64F8D9FE" w14:textId="77777777" w:rsidR="001C19A4" w:rsidRPr="00540497" w:rsidRDefault="001C19A4" w:rsidP="005F27A6">
            <w:pPr>
              <w:pStyle w:val="NoSpacing"/>
              <w:jc w:val="right"/>
            </w:pPr>
            <w:r w:rsidRPr="00540497">
              <w:t>14.2%</w:t>
            </w:r>
          </w:p>
        </w:tc>
        <w:tc>
          <w:tcPr>
            <w:tcW w:w="1710" w:type="dxa"/>
            <w:noWrap/>
            <w:hideMark/>
          </w:tcPr>
          <w:p w14:paraId="39CFCB7A" w14:textId="77777777" w:rsidR="001C19A4" w:rsidRPr="00540497" w:rsidRDefault="001C19A4" w:rsidP="005F27A6">
            <w:pPr>
              <w:pStyle w:val="NoSpacing"/>
              <w:jc w:val="right"/>
            </w:pPr>
            <w:r w:rsidRPr="00540497">
              <w:t>27.1%</w:t>
            </w:r>
          </w:p>
        </w:tc>
      </w:tr>
      <w:tr w:rsidR="001C19A4" w:rsidRPr="00540497" w14:paraId="5D6DBBF8" w14:textId="77777777" w:rsidTr="005F27A6">
        <w:trPr>
          <w:trHeight w:val="288"/>
        </w:trPr>
        <w:tc>
          <w:tcPr>
            <w:tcW w:w="3960" w:type="dxa"/>
            <w:noWrap/>
            <w:hideMark/>
          </w:tcPr>
          <w:p w14:paraId="550F439A" w14:textId="77777777" w:rsidR="001C19A4" w:rsidRPr="00540497" w:rsidRDefault="001C19A4" w:rsidP="005F27A6">
            <w:pPr>
              <w:pStyle w:val="NoSpacing"/>
            </w:pPr>
            <w:r w:rsidRPr="00540497">
              <w:t>Hidden Valley Elementary</w:t>
            </w:r>
          </w:p>
        </w:tc>
        <w:tc>
          <w:tcPr>
            <w:tcW w:w="1710" w:type="dxa"/>
            <w:noWrap/>
            <w:hideMark/>
          </w:tcPr>
          <w:p w14:paraId="45A150C6" w14:textId="77777777" w:rsidR="001C19A4" w:rsidRPr="00540497" w:rsidRDefault="001C19A4" w:rsidP="005F27A6">
            <w:pPr>
              <w:pStyle w:val="NoSpacing"/>
              <w:jc w:val="right"/>
            </w:pPr>
            <w:r w:rsidRPr="00540497">
              <w:t>800</w:t>
            </w:r>
          </w:p>
        </w:tc>
        <w:tc>
          <w:tcPr>
            <w:tcW w:w="1710" w:type="dxa"/>
          </w:tcPr>
          <w:p w14:paraId="58A49000" w14:textId="77777777" w:rsidR="001C19A4" w:rsidRPr="00540497" w:rsidRDefault="001C19A4" w:rsidP="005F27A6">
            <w:pPr>
              <w:pStyle w:val="NoSpacing"/>
              <w:jc w:val="right"/>
            </w:pPr>
            <w:r w:rsidRPr="00540497">
              <w:t>10.9%</w:t>
            </w:r>
          </w:p>
        </w:tc>
        <w:tc>
          <w:tcPr>
            <w:tcW w:w="1710" w:type="dxa"/>
            <w:noWrap/>
            <w:hideMark/>
          </w:tcPr>
          <w:p w14:paraId="3C352232" w14:textId="77777777" w:rsidR="001C19A4" w:rsidRPr="00540497" w:rsidRDefault="001C19A4" w:rsidP="005F27A6">
            <w:pPr>
              <w:pStyle w:val="NoSpacing"/>
              <w:jc w:val="right"/>
            </w:pPr>
            <w:r w:rsidRPr="00540497">
              <w:t>26.9%</w:t>
            </w:r>
          </w:p>
        </w:tc>
      </w:tr>
      <w:tr w:rsidR="001C19A4" w:rsidRPr="00540497" w14:paraId="45713E7D" w14:textId="77777777" w:rsidTr="005F27A6">
        <w:trPr>
          <w:trHeight w:val="288"/>
        </w:trPr>
        <w:tc>
          <w:tcPr>
            <w:tcW w:w="3960" w:type="dxa"/>
            <w:noWrap/>
            <w:hideMark/>
          </w:tcPr>
          <w:p w14:paraId="55D0F0D5" w14:textId="77777777" w:rsidR="001C19A4" w:rsidRPr="00540497" w:rsidRDefault="001C19A4" w:rsidP="005F27A6">
            <w:pPr>
              <w:pStyle w:val="NoSpacing"/>
            </w:pPr>
            <w:r w:rsidRPr="00540497">
              <w:t>Highlands Elementary</w:t>
            </w:r>
          </w:p>
        </w:tc>
        <w:tc>
          <w:tcPr>
            <w:tcW w:w="1710" w:type="dxa"/>
            <w:noWrap/>
            <w:hideMark/>
          </w:tcPr>
          <w:p w14:paraId="4BB4101E" w14:textId="77777777" w:rsidR="001C19A4" w:rsidRPr="00540497" w:rsidRDefault="001C19A4" w:rsidP="005F27A6">
            <w:pPr>
              <w:pStyle w:val="NoSpacing"/>
              <w:jc w:val="right"/>
            </w:pPr>
            <w:r w:rsidRPr="00540497">
              <w:t>512</w:t>
            </w:r>
          </w:p>
        </w:tc>
        <w:tc>
          <w:tcPr>
            <w:tcW w:w="1710" w:type="dxa"/>
          </w:tcPr>
          <w:p w14:paraId="55DB2896" w14:textId="77777777" w:rsidR="001C19A4" w:rsidRPr="00540497" w:rsidRDefault="001C19A4" w:rsidP="005F27A6">
            <w:pPr>
              <w:pStyle w:val="NoSpacing"/>
              <w:jc w:val="right"/>
            </w:pPr>
            <w:r w:rsidRPr="00540497">
              <w:t>6.1%</w:t>
            </w:r>
          </w:p>
        </w:tc>
        <w:tc>
          <w:tcPr>
            <w:tcW w:w="1710" w:type="dxa"/>
            <w:noWrap/>
            <w:hideMark/>
          </w:tcPr>
          <w:p w14:paraId="53B0EC97" w14:textId="77777777" w:rsidR="001C19A4" w:rsidRPr="00540497" w:rsidRDefault="001C19A4" w:rsidP="005F27A6">
            <w:pPr>
              <w:pStyle w:val="NoSpacing"/>
              <w:jc w:val="right"/>
            </w:pPr>
            <w:r w:rsidRPr="00540497">
              <w:t>19.1%</w:t>
            </w:r>
          </w:p>
        </w:tc>
      </w:tr>
      <w:tr w:rsidR="001C19A4" w:rsidRPr="00540497" w14:paraId="13DD7E11" w14:textId="77777777" w:rsidTr="005F27A6">
        <w:trPr>
          <w:trHeight w:val="288"/>
        </w:trPr>
        <w:tc>
          <w:tcPr>
            <w:tcW w:w="3960" w:type="dxa"/>
            <w:noWrap/>
            <w:hideMark/>
          </w:tcPr>
          <w:p w14:paraId="24770EE3" w14:textId="77777777" w:rsidR="001C19A4" w:rsidRPr="00540497" w:rsidRDefault="001C19A4" w:rsidP="005F27A6">
            <w:pPr>
              <w:pStyle w:val="NoSpacing"/>
            </w:pPr>
            <w:r w:rsidRPr="00540497">
              <w:t>Holbrook Language Academy</w:t>
            </w:r>
          </w:p>
        </w:tc>
        <w:tc>
          <w:tcPr>
            <w:tcW w:w="1710" w:type="dxa"/>
            <w:noWrap/>
            <w:hideMark/>
          </w:tcPr>
          <w:p w14:paraId="0682ED44" w14:textId="77777777" w:rsidR="001C19A4" w:rsidRPr="00540497" w:rsidRDefault="001C19A4" w:rsidP="005F27A6">
            <w:pPr>
              <w:pStyle w:val="NoSpacing"/>
              <w:jc w:val="right"/>
            </w:pPr>
            <w:r w:rsidRPr="00540497">
              <w:t>401</w:t>
            </w:r>
          </w:p>
        </w:tc>
        <w:tc>
          <w:tcPr>
            <w:tcW w:w="1710" w:type="dxa"/>
          </w:tcPr>
          <w:p w14:paraId="67D4F22A" w14:textId="77777777" w:rsidR="001C19A4" w:rsidRPr="00540497" w:rsidRDefault="001C19A4" w:rsidP="005F27A6">
            <w:pPr>
              <w:pStyle w:val="NoSpacing"/>
              <w:jc w:val="right"/>
            </w:pPr>
            <w:r w:rsidRPr="00540497">
              <w:t>27.7%</w:t>
            </w:r>
          </w:p>
        </w:tc>
        <w:tc>
          <w:tcPr>
            <w:tcW w:w="1710" w:type="dxa"/>
            <w:noWrap/>
            <w:hideMark/>
          </w:tcPr>
          <w:p w14:paraId="6F5B1264" w14:textId="77777777" w:rsidR="001C19A4" w:rsidRPr="00540497" w:rsidRDefault="001C19A4" w:rsidP="005F27A6">
            <w:pPr>
              <w:pStyle w:val="NoSpacing"/>
              <w:jc w:val="right"/>
            </w:pPr>
            <w:r w:rsidRPr="00540497">
              <w:t>46.4%</w:t>
            </w:r>
          </w:p>
        </w:tc>
      </w:tr>
      <w:tr w:rsidR="001C19A4" w:rsidRPr="00540497" w14:paraId="00CB873A" w14:textId="77777777" w:rsidTr="005F27A6">
        <w:trPr>
          <w:trHeight w:val="288"/>
        </w:trPr>
        <w:tc>
          <w:tcPr>
            <w:tcW w:w="3960" w:type="dxa"/>
            <w:noWrap/>
            <w:hideMark/>
          </w:tcPr>
          <w:p w14:paraId="333A0FD8" w14:textId="77777777" w:rsidR="001C19A4" w:rsidRPr="00540497" w:rsidRDefault="001C19A4" w:rsidP="005F27A6">
            <w:pPr>
              <w:pStyle w:val="NoSpacing"/>
            </w:pPr>
            <w:r w:rsidRPr="00540497">
              <w:t>Meadow Homes Elementary</w:t>
            </w:r>
          </w:p>
        </w:tc>
        <w:tc>
          <w:tcPr>
            <w:tcW w:w="1710" w:type="dxa"/>
            <w:noWrap/>
            <w:hideMark/>
          </w:tcPr>
          <w:p w14:paraId="557E97C0" w14:textId="77777777" w:rsidR="001C19A4" w:rsidRPr="00540497" w:rsidRDefault="001C19A4" w:rsidP="005F27A6">
            <w:pPr>
              <w:pStyle w:val="NoSpacing"/>
              <w:jc w:val="right"/>
            </w:pPr>
            <w:r w:rsidRPr="00540497">
              <w:t>757</w:t>
            </w:r>
          </w:p>
        </w:tc>
        <w:tc>
          <w:tcPr>
            <w:tcW w:w="1710" w:type="dxa"/>
          </w:tcPr>
          <w:p w14:paraId="7490891F" w14:textId="77777777" w:rsidR="001C19A4" w:rsidRPr="00540497" w:rsidRDefault="001C19A4" w:rsidP="005F27A6">
            <w:pPr>
              <w:pStyle w:val="NoSpacing"/>
              <w:jc w:val="right"/>
            </w:pPr>
            <w:r w:rsidRPr="00540497">
              <w:t>67.1%</w:t>
            </w:r>
          </w:p>
        </w:tc>
        <w:tc>
          <w:tcPr>
            <w:tcW w:w="1710" w:type="dxa"/>
            <w:noWrap/>
            <w:hideMark/>
          </w:tcPr>
          <w:p w14:paraId="67E96B70" w14:textId="77777777" w:rsidR="001C19A4" w:rsidRPr="00540497" w:rsidRDefault="001C19A4" w:rsidP="005F27A6">
            <w:pPr>
              <w:pStyle w:val="NoSpacing"/>
              <w:jc w:val="right"/>
            </w:pPr>
            <w:r w:rsidRPr="00540497">
              <w:t>84.7%</w:t>
            </w:r>
          </w:p>
        </w:tc>
      </w:tr>
      <w:tr w:rsidR="001C19A4" w:rsidRPr="00540497" w14:paraId="7B36EE27" w14:textId="77777777" w:rsidTr="005F27A6">
        <w:trPr>
          <w:trHeight w:val="288"/>
        </w:trPr>
        <w:tc>
          <w:tcPr>
            <w:tcW w:w="3960" w:type="dxa"/>
            <w:noWrap/>
            <w:hideMark/>
          </w:tcPr>
          <w:p w14:paraId="1B0F5FE3" w14:textId="77777777" w:rsidR="001C19A4" w:rsidRPr="00540497" w:rsidRDefault="001C19A4" w:rsidP="005F27A6">
            <w:pPr>
              <w:pStyle w:val="NoSpacing"/>
            </w:pPr>
            <w:r w:rsidRPr="00540497">
              <w:t>Monte Gardens Elementary</w:t>
            </w:r>
          </w:p>
        </w:tc>
        <w:tc>
          <w:tcPr>
            <w:tcW w:w="1710" w:type="dxa"/>
            <w:noWrap/>
            <w:hideMark/>
          </w:tcPr>
          <w:p w14:paraId="37DE5A90" w14:textId="77777777" w:rsidR="001C19A4" w:rsidRPr="00540497" w:rsidRDefault="001C19A4" w:rsidP="005F27A6">
            <w:pPr>
              <w:pStyle w:val="NoSpacing"/>
              <w:jc w:val="right"/>
            </w:pPr>
            <w:r w:rsidRPr="00540497">
              <w:t>482</w:t>
            </w:r>
          </w:p>
        </w:tc>
        <w:tc>
          <w:tcPr>
            <w:tcW w:w="1710" w:type="dxa"/>
          </w:tcPr>
          <w:p w14:paraId="68451625" w14:textId="77777777" w:rsidR="001C19A4" w:rsidRPr="00540497" w:rsidRDefault="001C19A4" w:rsidP="005F27A6">
            <w:pPr>
              <w:pStyle w:val="NoSpacing"/>
              <w:jc w:val="right"/>
            </w:pPr>
            <w:r w:rsidRPr="00540497">
              <w:t>9.3%</w:t>
            </w:r>
          </w:p>
        </w:tc>
        <w:tc>
          <w:tcPr>
            <w:tcW w:w="1710" w:type="dxa"/>
            <w:noWrap/>
            <w:hideMark/>
          </w:tcPr>
          <w:p w14:paraId="3D6F8B11" w14:textId="77777777" w:rsidR="001C19A4" w:rsidRPr="00540497" w:rsidRDefault="001C19A4" w:rsidP="005F27A6">
            <w:pPr>
              <w:pStyle w:val="NoSpacing"/>
              <w:jc w:val="right"/>
            </w:pPr>
            <w:r w:rsidRPr="00540497">
              <w:t>22.6%</w:t>
            </w:r>
          </w:p>
        </w:tc>
      </w:tr>
      <w:tr w:rsidR="001C19A4" w:rsidRPr="00540497" w14:paraId="6CD0CC4B" w14:textId="77777777" w:rsidTr="005F27A6">
        <w:trPr>
          <w:trHeight w:val="288"/>
        </w:trPr>
        <w:tc>
          <w:tcPr>
            <w:tcW w:w="3960" w:type="dxa"/>
            <w:noWrap/>
            <w:hideMark/>
          </w:tcPr>
          <w:p w14:paraId="055B4C5A" w14:textId="77777777" w:rsidR="001C19A4" w:rsidRPr="00540497" w:rsidRDefault="001C19A4" w:rsidP="005F27A6">
            <w:pPr>
              <w:pStyle w:val="NoSpacing"/>
            </w:pPr>
            <w:r w:rsidRPr="00540497">
              <w:t>Mountain View Elementary</w:t>
            </w:r>
          </w:p>
        </w:tc>
        <w:tc>
          <w:tcPr>
            <w:tcW w:w="1710" w:type="dxa"/>
            <w:noWrap/>
            <w:hideMark/>
          </w:tcPr>
          <w:p w14:paraId="1A8CC7AE" w14:textId="77777777" w:rsidR="001C19A4" w:rsidRPr="00540497" w:rsidRDefault="001C19A4" w:rsidP="005F27A6">
            <w:pPr>
              <w:pStyle w:val="NoSpacing"/>
              <w:jc w:val="right"/>
            </w:pPr>
            <w:r w:rsidRPr="00540497">
              <w:t>281</w:t>
            </w:r>
          </w:p>
        </w:tc>
        <w:tc>
          <w:tcPr>
            <w:tcW w:w="1710" w:type="dxa"/>
          </w:tcPr>
          <w:p w14:paraId="25D50D6B" w14:textId="77777777" w:rsidR="001C19A4" w:rsidRPr="00540497" w:rsidRDefault="001C19A4" w:rsidP="005F27A6">
            <w:pPr>
              <w:pStyle w:val="NoSpacing"/>
              <w:jc w:val="right"/>
            </w:pPr>
            <w:r w:rsidRPr="00540497">
              <w:t>14.9%</w:t>
            </w:r>
          </w:p>
        </w:tc>
        <w:tc>
          <w:tcPr>
            <w:tcW w:w="1710" w:type="dxa"/>
            <w:noWrap/>
            <w:hideMark/>
          </w:tcPr>
          <w:p w14:paraId="797085FA" w14:textId="77777777" w:rsidR="001C19A4" w:rsidRPr="00540497" w:rsidRDefault="001C19A4" w:rsidP="005F27A6">
            <w:pPr>
              <w:pStyle w:val="NoSpacing"/>
              <w:jc w:val="right"/>
            </w:pPr>
            <w:r w:rsidRPr="00540497">
              <w:t>42.0%</w:t>
            </w:r>
          </w:p>
        </w:tc>
      </w:tr>
      <w:tr w:rsidR="001C19A4" w:rsidRPr="00540497" w14:paraId="09AEC082" w14:textId="77777777" w:rsidTr="005F27A6">
        <w:trPr>
          <w:trHeight w:val="288"/>
        </w:trPr>
        <w:tc>
          <w:tcPr>
            <w:tcW w:w="3960" w:type="dxa"/>
            <w:noWrap/>
            <w:hideMark/>
          </w:tcPr>
          <w:p w14:paraId="213A387B" w14:textId="77777777" w:rsidR="001C19A4" w:rsidRPr="00540497" w:rsidRDefault="001C19A4" w:rsidP="005F27A6">
            <w:pPr>
              <w:pStyle w:val="NoSpacing"/>
            </w:pPr>
            <w:r w:rsidRPr="00540497">
              <w:t>Mt. Diablo Elementary</w:t>
            </w:r>
          </w:p>
        </w:tc>
        <w:tc>
          <w:tcPr>
            <w:tcW w:w="1710" w:type="dxa"/>
            <w:noWrap/>
            <w:hideMark/>
          </w:tcPr>
          <w:p w14:paraId="51959B6D" w14:textId="77777777" w:rsidR="001C19A4" w:rsidRPr="00540497" w:rsidRDefault="001C19A4" w:rsidP="005F27A6">
            <w:pPr>
              <w:pStyle w:val="NoSpacing"/>
              <w:jc w:val="right"/>
            </w:pPr>
            <w:r w:rsidRPr="00540497">
              <w:t>743</w:t>
            </w:r>
          </w:p>
        </w:tc>
        <w:tc>
          <w:tcPr>
            <w:tcW w:w="1710" w:type="dxa"/>
          </w:tcPr>
          <w:p w14:paraId="73788F25" w14:textId="77777777" w:rsidR="001C19A4" w:rsidRPr="00540497" w:rsidRDefault="001C19A4" w:rsidP="005F27A6">
            <w:pPr>
              <w:pStyle w:val="NoSpacing"/>
              <w:jc w:val="right"/>
            </w:pPr>
            <w:r w:rsidRPr="00540497">
              <w:t>3.2%</w:t>
            </w:r>
          </w:p>
        </w:tc>
        <w:tc>
          <w:tcPr>
            <w:tcW w:w="1710" w:type="dxa"/>
            <w:noWrap/>
            <w:hideMark/>
          </w:tcPr>
          <w:p w14:paraId="73186384" w14:textId="77777777" w:rsidR="001C19A4" w:rsidRPr="00540497" w:rsidRDefault="001C19A4" w:rsidP="005F27A6">
            <w:pPr>
              <w:pStyle w:val="NoSpacing"/>
              <w:jc w:val="right"/>
            </w:pPr>
            <w:r w:rsidRPr="00540497">
              <w:t>6.3%</w:t>
            </w:r>
          </w:p>
        </w:tc>
      </w:tr>
      <w:tr w:rsidR="001C19A4" w:rsidRPr="00540497" w14:paraId="5B85D8B8" w14:textId="77777777" w:rsidTr="005F27A6">
        <w:trPr>
          <w:trHeight w:val="288"/>
        </w:trPr>
        <w:tc>
          <w:tcPr>
            <w:tcW w:w="3960" w:type="dxa"/>
            <w:noWrap/>
            <w:hideMark/>
          </w:tcPr>
          <w:p w14:paraId="101BF0F4" w14:textId="77777777" w:rsidR="001C19A4" w:rsidRPr="00540497" w:rsidRDefault="001C19A4" w:rsidP="005F27A6">
            <w:pPr>
              <w:pStyle w:val="NoSpacing"/>
            </w:pPr>
            <w:r w:rsidRPr="00540497">
              <w:t>Pleasant Hill Elementary</w:t>
            </w:r>
          </w:p>
        </w:tc>
        <w:tc>
          <w:tcPr>
            <w:tcW w:w="1710" w:type="dxa"/>
            <w:noWrap/>
            <w:hideMark/>
          </w:tcPr>
          <w:p w14:paraId="1AF77D2F" w14:textId="77777777" w:rsidR="001C19A4" w:rsidRPr="00540497" w:rsidRDefault="001C19A4" w:rsidP="005F27A6">
            <w:pPr>
              <w:pStyle w:val="NoSpacing"/>
              <w:jc w:val="right"/>
            </w:pPr>
            <w:r w:rsidRPr="00540497">
              <w:t>602</w:t>
            </w:r>
          </w:p>
        </w:tc>
        <w:tc>
          <w:tcPr>
            <w:tcW w:w="1710" w:type="dxa"/>
          </w:tcPr>
          <w:p w14:paraId="238A44ED" w14:textId="77777777" w:rsidR="001C19A4" w:rsidRPr="00540497" w:rsidRDefault="001C19A4" w:rsidP="005F27A6">
            <w:pPr>
              <w:pStyle w:val="NoSpacing"/>
              <w:jc w:val="right"/>
            </w:pPr>
            <w:r w:rsidRPr="00540497">
              <w:t>13.1%</w:t>
            </w:r>
          </w:p>
        </w:tc>
        <w:tc>
          <w:tcPr>
            <w:tcW w:w="1710" w:type="dxa"/>
            <w:noWrap/>
            <w:hideMark/>
          </w:tcPr>
          <w:p w14:paraId="0A82EB34" w14:textId="77777777" w:rsidR="001C19A4" w:rsidRPr="00540497" w:rsidRDefault="001C19A4" w:rsidP="005F27A6">
            <w:pPr>
              <w:pStyle w:val="NoSpacing"/>
              <w:jc w:val="right"/>
            </w:pPr>
            <w:r w:rsidRPr="00540497">
              <w:t>23.6%</w:t>
            </w:r>
          </w:p>
        </w:tc>
      </w:tr>
      <w:tr w:rsidR="001C19A4" w:rsidRPr="00540497" w14:paraId="31FAB8D4" w14:textId="77777777" w:rsidTr="005F27A6">
        <w:trPr>
          <w:trHeight w:val="288"/>
        </w:trPr>
        <w:tc>
          <w:tcPr>
            <w:tcW w:w="3960" w:type="dxa"/>
            <w:noWrap/>
            <w:hideMark/>
          </w:tcPr>
          <w:p w14:paraId="38D7F8D7" w14:textId="77777777" w:rsidR="001C19A4" w:rsidRPr="00540497" w:rsidRDefault="001C19A4" w:rsidP="005F27A6">
            <w:pPr>
              <w:pStyle w:val="NoSpacing"/>
            </w:pPr>
            <w:r w:rsidRPr="00540497">
              <w:t>Rio Vista Elementary</w:t>
            </w:r>
          </w:p>
        </w:tc>
        <w:tc>
          <w:tcPr>
            <w:tcW w:w="1710" w:type="dxa"/>
            <w:noWrap/>
            <w:hideMark/>
          </w:tcPr>
          <w:p w14:paraId="50721C75" w14:textId="77777777" w:rsidR="001C19A4" w:rsidRPr="00540497" w:rsidRDefault="001C19A4" w:rsidP="005F27A6">
            <w:pPr>
              <w:pStyle w:val="NoSpacing"/>
              <w:jc w:val="right"/>
            </w:pPr>
            <w:r w:rsidRPr="00540497">
              <w:t>440</w:t>
            </w:r>
          </w:p>
        </w:tc>
        <w:tc>
          <w:tcPr>
            <w:tcW w:w="1710" w:type="dxa"/>
          </w:tcPr>
          <w:p w14:paraId="44BA91DD" w14:textId="77777777" w:rsidR="001C19A4" w:rsidRPr="00540497" w:rsidRDefault="001C19A4" w:rsidP="005F27A6">
            <w:pPr>
              <w:pStyle w:val="NoSpacing"/>
              <w:jc w:val="right"/>
            </w:pPr>
            <w:r w:rsidRPr="00540497">
              <w:t>42.0%</w:t>
            </w:r>
          </w:p>
        </w:tc>
        <w:tc>
          <w:tcPr>
            <w:tcW w:w="1710" w:type="dxa"/>
            <w:noWrap/>
            <w:hideMark/>
          </w:tcPr>
          <w:p w14:paraId="447AB190" w14:textId="77777777" w:rsidR="001C19A4" w:rsidRPr="00540497" w:rsidRDefault="001C19A4" w:rsidP="005F27A6">
            <w:pPr>
              <w:pStyle w:val="NoSpacing"/>
              <w:jc w:val="right"/>
            </w:pPr>
            <w:r w:rsidRPr="00540497">
              <w:t>68.6%</w:t>
            </w:r>
          </w:p>
        </w:tc>
      </w:tr>
      <w:tr w:rsidR="001C19A4" w:rsidRPr="00540497" w14:paraId="779895CA" w14:textId="77777777" w:rsidTr="005F27A6">
        <w:trPr>
          <w:trHeight w:val="288"/>
        </w:trPr>
        <w:tc>
          <w:tcPr>
            <w:tcW w:w="3960" w:type="dxa"/>
            <w:noWrap/>
            <w:hideMark/>
          </w:tcPr>
          <w:p w14:paraId="7A917CD8" w14:textId="77777777" w:rsidR="001C19A4" w:rsidRPr="00540497" w:rsidRDefault="001C19A4" w:rsidP="005F27A6">
            <w:pPr>
              <w:pStyle w:val="NoSpacing"/>
            </w:pPr>
            <w:r w:rsidRPr="00540497">
              <w:t>Sequoia Elementary</w:t>
            </w:r>
          </w:p>
        </w:tc>
        <w:tc>
          <w:tcPr>
            <w:tcW w:w="1710" w:type="dxa"/>
            <w:noWrap/>
            <w:hideMark/>
          </w:tcPr>
          <w:p w14:paraId="3A6F76E3" w14:textId="77777777" w:rsidR="001C19A4" w:rsidRPr="00540497" w:rsidRDefault="001C19A4" w:rsidP="005F27A6">
            <w:pPr>
              <w:pStyle w:val="NoSpacing"/>
              <w:jc w:val="right"/>
            </w:pPr>
            <w:r w:rsidRPr="00540497">
              <w:t>594</w:t>
            </w:r>
          </w:p>
        </w:tc>
        <w:tc>
          <w:tcPr>
            <w:tcW w:w="1710" w:type="dxa"/>
          </w:tcPr>
          <w:p w14:paraId="6130A539" w14:textId="77777777" w:rsidR="001C19A4" w:rsidRPr="00540497" w:rsidRDefault="001C19A4" w:rsidP="005F27A6">
            <w:pPr>
              <w:pStyle w:val="NoSpacing"/>
              <w:jc w:val="right"/>
            </w:pPr>
            <w:r w:rsidRPr="00540497">
              <w:t>8.1%</w:t>
            </w:r>
          </w:p>
        </w:tc>
        <w:tc>
          <w:tcPr>
            <w:tcW w:w="1710" w:type="dxa"/>
            <w:noWrap/>
            <w:hideMark/>
          </w:tcPr>
          <w:p w14:paraId="223F75D8" w14:textId="77777777" w:rsidR="001C19A4" w:rsidRPr="00540497" w:rsidRDefault="001C19A4" w:rsidP="005F27A6">
            <w:pPr>
              <w:pStyle w:val="NoSpacing"/>
              <w:jc w:val="right"/>
            </w:pPr>
            <w:r w:rsidRPr="00540497">
              <w:t>14.6%</w:t>
            </w:r>
          </w:p>
        </w:tc>
      </w:tr>
      <w:tr w:rsidR="001C19A4" w:rsidRPr="00540497" w14:paraId="332FA57D" w14:textId="77777777" w:rsidTr="005F27A6">
        <w:trPr>
          <w:trHeight w:val="288"/>
        </w:trPr>
        <w:tc>
          <w:tcPr>
            <w:tcW w:w="3960" w:type="dxa"/>
            <w:noWrap/>
            <w:hideMark/>
          </w:tcPr>
          <w:p w14:paraId="33B75AAC" w14:textId="77777777" w:rsidR="001C19A4" w:rsidRPr="00540497" w:rsidRDefault="001C19A4" w:rsidP="005F27A6">
            <w:pPr>
              <w:pStyle w:val="NoSpacing"/>
            </w:pPr>
            <w:r w:rsidRPr="00540497">
              <w:t>Shore Acres Elementary</w:t>
            </w:r>
          </w:p>
        </w:tc>
        <w:tc>
          <w:tcPr>
            <w:tcW w:w="1710" w:type="dxa"/>
            <w:noWrap/>
            <w:hideMark/>
          </w:tcPr>
          <w:p w14:paraId="1C1E4EBB" w14:textId="77777777" w:rsidR="001C19A4" w:rsidRPr="00540497" w:rsidRDefault="001C19A4" w:rsidP="005F27A6">
            <w:pPr>
              <w:pStyle w:val="NoSpacing"/>
              <w:jc w:val="right"/>
            </w:pPr>
            <w:r w:rsidRPr="00540497">
              <w:t>440</w:t>
            </w:r>
          </w:p>
        </w:tc>
        <w:tc>
          <w:tcPr>
            <w:tcW w:w="1710" w:type="dxa"/>
          </w:tcPr>
          <w:p w14:paraId="51BF1208" w14:textId="77777777" w:rsidR="001C19A4" w:rsidRPr="00540497" w:rsidRDefault="001C19A4" w:rsidP="005F27A6">
            <w:pPr>
              <w:pStyle w:val="NoSpacing"/>
              <w:jc w:val="right"/>
            </w:pPr>
            <w:r w:rsidRPr="00540497">
              <w:t>60.9%</w:t>
            </w:r>
          </w:p>
        </w:tc>
        <w:tc>
          <w:tcPr>
            <w:tcW w:w="1710" w:type="dxa"/>
            <w:noWrap/>
            <w:hideMark/>
          </w:tcPr>
          <w:p w14:paraId="2A239C4B" w14:textId="77777777" w:rsidR="001C19A4" w:rsidRPr="00540497" w:rsidRDefault="001C19A4" w:rsidP="005F27A6">
            <w:pPr>
              <w:pStyle w:val="NoSpacing"/>
              <w:jc w:val="right"/>
            </w:pPr>
            <w:r w:rsidRPr="00540497">
              <w:t>75.2%</w:t>
            </w:r>
          </w:p>
        </w:tc>
      </w:tr>
      <w:tr w:rsidR="001C19A4" w:rsidRPr="00540497" w14:paraId="4D027C54" w14:textId="77777777" w:rsidTr="005F27A6">
        <w:trPr>
          <w:trHeight w:val="288"/>
        </w:trPr>
        <w:tc>
          <w:tcPr>
            <w:tcW w:w="3960" w:type="dxa"/>
            <w:noWrap/>
            <w:hideMark/>
          </w:tcPr>
          <w:p w14:paraId="45EC87BF" w14:textId="77777777" w:rsidR="001C19A4" w:rsidRPr="00540497" w:rsidRDefault="001C19A4" w:rsidP="005F27A6">
            <w:pPr>
              <w:pStyle w:val="NoSpacing"/>
            </w:pPr>
            <w:r w:rsidRPr="00540497">
              <w:t>Silverwood Elementary</w:t>
            </w:r>
          </w:p>
        </w:tc>
        <w:tc>
          <w:tcPr>
            <w:tcW w:w="1710" w:type="dxa"/>
            <w:noWrap/>
            <w:hideMark/>
          </w:tcPr>
          <w:p w14:paraId="1E209456" w14:textId="77777777" w:rsidR="001C19A4" w:rsidRPr="00540497" w:rsidRDefault="001C19A4" w:rsidP="005F27A6">
            <w:pPr>
              <w:pStyle w:val="NoSpacing"/>
              <w:jc w:val="right"/>
            </w:pPr>
            <w:r w:rsidRPr="00540497">
              <w:t>529</w:t>
            </w:r>
          </w:p>
        </w:tc>
        <w:tc>
          <w:tcPr>
            <w:tcW w:w="1710" w:type="dxa"/>
          </w:tcPr>
          <w:p w14:paraId="62E77AEF" w14:textId="77777777" w:rsidR="001C19A4" w:rsidRPr="00540497" w:rsidRDefault="001C19A4" w:rsidP="005F27A6">
            <w:pPr>
              <w:pStyle w:val="NoSpacing"/>
              <w:jc w:val="right"/>
            </w:pPr>
            <w:r w:rsidRPr="00540497">
              <w:t>19.3%</w:t>
            </w:r>
          </w:p>
        </w:tc>
        <w:tc>
          <w:tcPr>
            <w:tcW w:w="1710" w:type="dxa"/>
            <w:noWrap/>
            <w:hideMark/>
          </w:tcPr>
          <w:p w14:paraId="65641EE7" w14:textId="77777777" w:rsidR="001C19A4" w:rsidRPr="00540497" w:rsidRDefault="001C19A4" w:rsidP="005F27A6">
            <w:pPr>
              <w:pStyle w:val="NoSpacing"/>
              <w:jc w:val="right"/>
            </w:pPr>
            <w:r w:rsidRPr="00540497">
              <w:t>34.2%</w:t>
            </w:r>
          </w:p>
        </w:tc>
      </w:tr>
      <w:tr w:rsidR="001C19A4" w:rsidRPr="00540497" w14:paraId="32844553" w14:textId="77777777" w:rsidTr="005F27A6">
        <w:trPr>
          <w:trHeight w:val="288"/>
        </w:trPr>
        <w:tc>
          <w:tcPr>
            <w:tcW w:w="3960" w:type="dxa"/>
            <w:noWrap/>
            <w:hideMark/>
          </w:tcPr>
          <w:p w14:paraId="73687861" w14:textId="77777777" w:rsidR="001C19A4" w:rsidRPr="00540497" w:rsidRDefault="001C19A4" w:rsidP="005F27A6">
            <w:pPr>
              <w:pStyle w:val="NoSpacing"/>
            </w:pPr>
            <w:proofErr w:type="spellStart"/>
            <w:r w:rsidRPr="00540497">
              <w:t>Strandwood</w:t>
            </w:r>
            <w:proofErr w:type="spellEnd"/>
            <w:r w:rsidRPr="00540497">
              <w:t xml:space="preserve"> Elementary</w:t>
            </w:r>
          </w:p>
        </w:tc>
        <w:tc>
          <w:tcPr>
            <w:tcW w:w="1710" w:type="dxa"/>
            <w:noWrap/>
            <w:hideMark/>
          </w:tcPr>
          <w:p w14:paraId="09DF2797" w14:textId="77777777" w:rsidR="001C19A4" w:rsidRPr="00540497" w:rsidRDefault="001C19A4" w:rsidP="005F27A6">
            <w:pPr>
              <w:pStyle w:val="NoSpacing"/>
              <w:jc w:val="right"/>
            </w:pPr>
            <w:r w:rsidRPr="00540497">
              <w:t>573</w:t>
            </w:r>
          </w:p>
        </w:tc>
        <w:tc>
          <w:tcPr>
            <w:tcW w:w="1710" w:type="dxa"/>
          </w:tcPr>
          <w:p w14:paraId="50FE7331" w14:textId="77777777" w:rsidR="001C19A4" w:rsidRPr="00540497" w:rsidRDefault="001C19A4" w:rsidP="005F27A6">
            <w:pPr>
              <w:pStyle w:val="NoSpacing"/>
              <w:jc w:val="right"/>
            </w:pPr>
            <w:r w:rsidRPr="00540497">
              <w:t>8.9%</w:t>
            </w:r>
          </w:p>
        </w:tc>
        <w:tc>
          <w:tcPr>
            <w:tcW w:w="1710" w:type="dxa"/>
            <w:noWrap/>
            <w:hideMark/>
          </w:tcPr>
          <w:p w14:paraId="4C960680" w14:textId="77777777" w:rsidR="001C19A4" w:rsidRPr="00540497" w:rsidRDefault="001C19A4" w:rsidP="005F27A6">
            <w:pPr>
              <w:pStyle w:val="NoSpacing"/>
              <w:jc w:val="right"/>
            </w:pPr>
            <w:r w:rsidRPr="00540497">
              <w:t>14.0%</w:t>
            </w:r>
          </w:p>
        </w:tc>
      </w:tr>
      <w:tr w:rsidR="001C19A4" w:rsidRPr="00540497" w14:paraId="4FB07856" w14:textId="77777777" w:rsidTr="005F27A6">
        <w:trPr>
          <w:trHeight w:val="288"/>
        </w:trPr>
        <w:tc>
          <w:tcPr>
            <w:tcW w:w="3960" w:type="dxa"/>
            <w:noWrap/>
            <w:hideMark/>
          </w:tcPr>
          <w:p w14:paraId="17645F6A" w14:textId="77777777" w:rsidR="001C19A4" w:rsidRPr="00540497" w:rsidRDefault="001C19A4" w:rsidP="005F27A6">
            <w:pPr>
              <w:pStyle w:val="NoSpacing"/>
            </w:pPr>
            <w:r w:rsidRPr="00540497">
              <w:t>Sun Terrace Elementary</w:t>
            </w:r>
          </w:p>
        </w:tc>
        <w:tc>
          <w:tcPr>
            <w:tcW w:w="1710" w:type="dxa"/>
            <w:noWrap/>
            <w:hideMark/>
          </w:tcPr>
          <w:p w14:paraId="00AD2C52" w14:textId="77777777" w:rsidR="001C19A4" w:rsidRPr="00540497" w:rsidRDefault="001C19A4" w:rsidP="005F27A6">
            <w:pPr>
              <w:pStyle w:val="NoSpacing"/>
              <w:jc w:val="right"/>
            </w:pPr>
            <w:r w:rsidRPr="00540497">
              <w:t>441</w:t>
            </w:r>
          </w:p>
        </w:tc>
        <w:tc>
          <w:tcPr>
            <w:tcW w:w="1710" w:type="dxa"/>
          </w:tcPr>
          <w:p w14:paraId="0E89EBDB" w14:textId="77777777" w:rsidR="001C19A4" w:rsidRPr="00540497" w:rsidRDefault="001C19A4" w:rsidP="005F27A6">
            <w:pPr>
              <w:pStyle w:val="NoSpacing"/>
              <w:jc w:val="right"/>
            </w:pPr>
            <w:r w:rsidRPr="00540497">
              <w:t>24.7%</w:t>
            </w:r>
          </w:p>
        </w:tc>
        <w:tc>
          <w:tcPr>
            <w:tcW w:w="1710" w:type="dxa"/>
            <w:noWrap/>
            <w:hideMark/>
          </w:tcPr>
          <w:p w14:paraId="5C29EE86" w14:textId="77777777" w:rsidR="001C19A4" w:rsidRPr="00540497" w:rsidRDefault="001C19A4" w:rsidP="005F27A6">
            <w:pPr>
              <w:pStyle w:val="NoSpacing"/>
              <w:jc w:val="right"/>
            </w:pPr>
            <w:r w:rsidRPr="00540497">
              <w:t>62.8%</w:t>
            </w:r>
          </w:p>
        </w:tc>
      </w:tr>
      <w:tr w:rsidR="001C19A4" w:rsidRPr="00540497" w14:paraId="0F386535" w14:textId="77777777" w:rsidTr="005F27A6">
        <w:trPr>
          <w:trHeight w:val="288"/>
        </w:trPr>
        <w:tc>
          <w:tcPr>
            <w:tcW w:w="3960" w:type="dxa"/>
            <w:noWrap/>
            <w:hideMark/>
          </w:tcPr>
          <w:p w14:paraId="400561BF" w14:textId="77777777" w:rsidR="001C19A4" w:rsidRPr="00540497" w:rsidRDefault="001C19A4" w:rsidP="005F27A6">
            <w:pPr>
              <w:pStyle w:val="NoSpacing"/>
            </w:pPr>
            <w:r w:rsidRPr="00540497">
              <w:t>Valhalla Elementary</w:t>
            </w:r>
          </w:p>
        </w:tc>
        <w:tc>
          <w:tcPr>
            <w:tcW w:w="1710" w:type="dxa"/>
            <w:noWrap/>
            <w:hideMark/>
          </w:tcPr>
          <w:p w14:paraId="2983A272" w14:textId="77777777" w:rsidR="001C19A4" w:rsidRPr="00540497" w:rsidRDefault="001C19A4" w:rsidP="005F27A6">
            <w:pPr>
              <w:pStyle w:val="NoSpacing"/>
              <w:jc w:val="right"/>
            </w:pPr>
            <w:r w:rsidRPr="00540497">
              <w:t>563</w:t>
            </w:r>
          </w:p>
        </w:tc>
        <w:tc>
          <w:tcPr>
            <w:tcW w:w="1710" w:type="dxa"/>
          </w:tcPr>
          <w:p w14:paraId="39FBC2E3" w14:textId="77777777" w:rsidR="001C19A4" w:rsidRPr="00540497" w:rsidRDefault="001C19A4" w:rsidP="005F27A6">
            <w:pPr>
              <w:pStyle w:val="NoSpacing"/>
              <w:jc w:val="right"/>
            </w:pPr>
            <w:r w:rsidRPr="00540497">
              <w:t>7.6%</w:t>
            </w:r>
          </w:p>
        </w:tc>
        <w:tc>
          <w:tcPr>
            <w:tcW w:w="1710" w:type="dxa"/>
            <w:noWrap/>
            <w:hideMark/>
          </w:tcPr>
          <w:p w14:paraId="0A703F48" w14:textId="77777777" w:rsidR="001C19A4" w:rsidRPr="00540497" w:rsidRDefault="001C19A4" w:rsidP="005F27A6">
            <w:pPr>
              <w:pStyle w:val="NoSpacing"/>
              <w:jc w:val="right"/>
            </w:pPr>
            <w:r w:rsidRPr="00540497">
              <w:t>16.2%</w:t>
            </w:r>
          </w:p>
        </w:tc>
      </w:tr>
      <w:tr w:rsidR="001C19A4" w:rsidRPr="00540497" w14:paraId="6DBBE03A" w14:textId="77777777" w:rsidTr="005F27A6">
        <w:trPr>
          <w:trHeight w:val="288"/>
        </w:trPr>
        <w:tc>
          <w:tcPr>
            <w:tcW w:w="3960" w:type="dxa"/>
            <w:noWrap/>
            <w:hideMark/>
          </w:tcPr>
          <w:p w14:paraId="018F50A3" w14:textId="77777777" w:rsidR="001C19A4" w:rsidRPr="00540497" w:rsidRDefault="001C19A4" w:rsidP="005F27A6">
            <w:pPr>
              <w:pStyle w:val="NoSpacing"/>
            </w:pPr>
            <w:r w:rsidRPr="00540497">
              <w:t>Valle Verde Elementary</w:t>
            </w:r>
          </w:p>
        </w:tc>
        <w:tc>
          <w:tcPr>
            <w:tcW w:w="1710" w:type="dxa"/>
            <w:noWrap/>
            <w:hideMark/>
          </w:tcPr>
          <w:p w14:paraId="72154166" w14:textId="77777777" w:rsidR="001C19A4" w:rsidRPr="00540497" w:rsidRDefault="001C19A4" w:rsidP="005F27A6">
            <w:pPr>
              <w:pStyle w:val="NoSpacing"/>
              <w:jc w:val="right"/>
            </w:pPr>
            <w:r w:rsidRPr="00540497">
              <w:t>459</w:t>
            </w:r>
          </w:p>
        </w:tc>
        <w:tc>
          <w:tcPr>
            <w:tcW w:w="1710" w:type="dxa"/>
          </w:tcPr>
          <w:p w14:paraId="347ACB23" w14:textId="77777777" w:rsidR="001C19A4" w:rsidRPr="00540497" w:rsidRDefault="001C19A4" w:rsidP="005F27A6">
            <w:pPr>
              <w:pStyle w:val="NoSpacing"/>
              <w:jc w:val="right"/>
            </w:pPr>
            <w:r w:rsidRPr="00540497">
              <w:t>6.3%</w:t>
            </w:r>
          </w:p>
        </w:tc>
        <w:tc>
          <w:tcPr>
            <w:tcW w:w="1710" w:type="dxa"/>
            <w:noWrap/>
            <w:hideMark/>
          </w:tcPr>
          <w:p w14:paraId="65CFBE14" w14:textId="77777777" w:rsidR="001C19A4" w:rsidRPr="00540497" w:rsidRDefault="001C19A4" w:rsidP="005F27A6">
            <w:pPr>
              <w:pStyle w:val="NoSpacing"/>
              <w:jc w:val="right"/>
            </w:pPr>
            <w:r w:rsidRPr="00540497">
              <w:t>8.1%</w:t>
            </w:r>
          </w:p>
        </w:tc>
      </w:tr>
      <w:tr w:rsidR="001C19A4" w:rsidRPr="00540497" w14:paraId="2CC590CD" w14:textId="77777777" w:rsidTr="005F27A6">
        <w:trPr>
          <w:trHeight w:val="288"/>
        </w:trPr>
        <w:tc>
          <w:tcPr>
            <w:tcW w:w="3960" w:type="dxa"/>
            <w:noWrap/>
            <w:hideMark/>
          </w:tcPr>
          <w:p w14:paraId="5B95FE8A" w14:textId="77777777" w:rsidR="001C19A4" w:rsidRPr="00540497" w:rsidRDefault="001C19A4" w:rsidP="005F27A6">
            <w:pPr>
              <w:pStyle w:val="NoSpacing"/>
            </w:pPr>
            <w:r w:rsidRPr="00540497">
              <w:t>Walnut Acres Elementary</w:t>
            </w:r>
          </w:p>
        </w:tc>
        <w:tc>
          <w:tcPr>
            <w:tcW w:w="1710" w:type="dxa"/>
            <w:noWrap/>
            <w:hideMark/>
          </w:tcPr>
          <w:p w14:paraId="2452DC83" w14:textId="77777777" w:rsidR="001C19A4" w:rsidRPr="00540497" w:rsidRDefault="001C19A4" w:rsidP="005F27A6">
            <w:pPr>
              <w:pStyle w:val="NoSpacing"/>
              <w:jc w:val="right"/>
            </w:pPr>
            <w:r w:rsidRPr="00540497">
              <w:t>631</w:t>
            </w:r>
          </w:p>
        </w:tc>
        <w:tc>
          <w:tcPr>
            <w:tcW w:w="1710" w:type="dxa"/>
          </w:tcPr>
          <w:p w14:paraId="19E2420B" w14:textId="77777777" w:rsidR="001C19A4" w:rsidRPr="00540497" w:rsidRDefault="001C19A4" w:rsidP="005F27A6">
            <w:pPr>
              <w:pStyle w:val="NoSpacing"/>
              <w:jc w:val="right"/>
            </w:pPr>
            <w:r w:rsidRPr="00540497">
              <w:t>5.1%</w:t>
            </w:r>
          </w:p>
        </w:tc>
        <w:tc>
          <w:tcPr>
            <w:tcW w:w="1710" w:type="dxa"/>
            <w:noWrap/>
            <w:hideMark/>
          </w:tcPr>
          <w:p w14:paraId="180C592B" w14:textId="77777777" w:rsidR="001C19A4" w:rsidRPr="00540497" w:rsidRDefault="001C19A4" w:rsidP="005F27A6">
            <w:pPr>
              <w:pStyle w:val="NoSpacing"/>
              <w:jc w:val="right"/>
            </w:pPr>
            <w:r w:rsidRPr="00540497">
              <w:t>4.8%</w:t>
            </w:r>
          </w:p>
        </w:tc>
      </w:tr>
      <w:tr w:rsidR="001C19A4" w:rsidRPr="00540497" w14:paraId="5CDF8ACD" w14:textId="77777777" w:rsidTr="005F27A6">
        <w:trPr>
          <w:trHeight w:val="288"/>
        </w:trPr>
        <w:tc>
          <w:tcPr>
            <w:tcW w:w="3960" w:type="dxa"/>
            <w:noWrap/>
            <w:hideMark/>
          </w:tcPr>
          <w:p w14:paraId="3250DB92" w14:textId="77777777" w:rsidR="001C19A4" w:rsidRPr="00540497" w:rsidRDefault="001C19A4" w:rsidP="005F27A6">
            <w:pPr>
              <w:pStyle w:val="NoSpacing"/>
            </w:pPr>
            <w:r w:rsidRPr="00540497">
              <w:lastRenderedPageBreak/>
              <w:t>Westwood Elementary</w:t>
            </w:r>
          </w:p>
        </w:tc>
        <w:tc>
          <w:tcPr>
            <w:tcW w:w="1710" w:type="dxa"/>
            <w:noWrap/>
            <w:hideMark/>
          </w:tcPr>
          <w:p w14:paraId="6304345F" w14:textId="77777777" w:rsidR="001C19A4" w:rsidRPr="00540497" w:rsidRDefault="001C19A4" w:rsidP="005F27A6">
            <w:pPr>
              <w:pStyle w:val="NoSpacing"/>
              <w:jc w:val="right"/>
            </w:pPr>
            <w:r w:rsidRPr="00540497">
              <w:t>277</w:t>
            </w:r>
          </w:p>
        </w:tc>
        <w:tc>
          <w:tcPr>
            <w:tcW w:w="1710" w:type="dxa"/>
          </w:tcPr>
          <w:p w14:paraId="335A1387" w14:textId="77777777" w:rsidR="001C19A4" w:rsidRPr="00540497" w:rsidRDefault="001C19A4" w:rsidP="005F27A6">
            <w:pPr>
              <w:pStyle w:val="NoSpacing"/>
              <w:jc w:val="right"/>
            </w:pPr>
            <w:r w:rsidRPr="00540497">
              <w:t>16.6%</w:t>
            </w:r>
          </w:p>
        </w:tc>
        <w:tc>
          <w:tcPr>
            <w:tcW w:w="1710" w:type="dxa"/>
            <w:noWrap/>
            <w:hideMark/>
          </w:tcPr>
          <w:p w14:paraId="21ABF4EA" w14:textId="77777777" w:rsidR="001C19A4" w:rsidRPr="00540497" w:rsidRDefault="001C19A4" w:rsidP="005F27A6">
            <w:pPr>
              <w:pStyle w:val="NoSpacing"/>
              <w:jc w:val="right"/>
            </w:pPr>
            <w:r w:rsidRPr="00540497">
              <w:t>40.1%</w:t>
            </w:r>
          </w:p>
        </w:tc>
      </w:tr>
      <w:tr w:rsidR="001C19A4" w:rsidRPr="00540497" w14:paraId="702672F3" w14:textId="77777777" w:rsidTr="005F27A6">
        <w:trPr>
          <w:trHeight w:val="288"/>
        </w:trPr>
        <w:tc>
          <w:tcPr>
            <w:tcW w:w="3960" w:type="dxa"/>
            <w:noWrap/>
            <w:hideMark/>
          </w:tcPr>
          <w:p w14:paraId="06DCB37E" w14:textId="77777777" w:rsidR="001C19A4" w:rsidRPr="00540497" w:rsidRDefault="001C19A4" w:rsidP="005F27A6">
            <w:pPr>
              <w:pStyle w:val="NoSpacing"/>
            </w:pPr>
            <w:r w:rsidRPr="00540497">
              <w:t>Woodside Elementary</w:t>
            </w:r>
          </w:p>
        </w:tc>
        <w:tc>
          <w:tcPr>
            <w:tcW w:w="1710" w:type="dxa"/>
            <w:noWrap/>
            <w:hideMark/>
          </w:tcPr>
          <w:p w14:paraId="5BDE9428" w14:textId="77777777" w:rsidR="001C19A4" w:rsidRPr="00540497" w:rsidRDefault="001C19A4" w:rsidP="005F27A6">
            <w:pPr>
              <w:pStyle w:val="NoSpacing"/>
              <w:jc w:val="right"/>
            </w:pPr>
            <w:r w:rsidRPr="00540497">
              <w:t>281</w:t>
            </w:r>
          </w:p>
        </w:tc>
        <w:tc>
          <w:tcPr>
            <w:tcW w:w="1710" w:type="dxa"/>
          </w:tcPr>
          <w:p w14:paraId="04E6A2E5" w14:textId="77777777" w:rsidR="001C19A4" w:rsidRPr="00540497" w:rsidRDefault="001C19A4" w:rsidP="005F27A6">
            <w:pPr>
              <w:pStyle w:val="NoSpacing"/>
              <w:jc w:val="right"/>
            </w:pPr>
            <w:r w:rsidRPr="00540497">
              <w:t>18.9%</w:t>
            </w:r>
          </w:p>
        </w:tc>
        <w:tc>
          <w:tcPr>
            <w:tcW w:w="1710" w:type="dxa"/>
            <w:noWrap/>
            <w:hideMark/>
          </w:tcPr>
          <w:p w14:paraId="1F03CEEF" w14:textId="77777777" w:rsidR="001C19A4" w:rsidRPr="00540497" w:rsidRDefault="001C19A4" w:rsidP="005F27A6">
            <w:pPr>
              <w:pStyle w:val="NoSpacing"/>
              <w:jc w:val="right"/>
            </w:pPr>
            <w:r w:rsidRPr="00540497">
              <w:t>35.9%</w:t>
            </w:r>
          </w:p>
        </w:tc>
      </w:tr>
      <w:tr w:rsidR="001C19A4" w:rsidRPr="00540497" w14:paraId="573C66B6" w14:textId="77777777" w:rsidTr="005F27A6">
        <w:trPr>
          <w:trHeight w:val="288"/>
        </w:trPr>
        <w:tc>
          <w:tcPr>
            <w:tcW w:w="3960" w:type="dxa"/>
            <w:noWrap/>
            <w:hideMark/>
          </w:tcPr>
          <w:p w14:paraId="0E14C31A" w14:textId="77777777" w:rsidR="001C19A4" w:rsidRPr="00540497" w:rsidRDefault="001C19A4" w:rsidP="005F27A6">
            <w:pPr>
              <w:pStyle w:val="NoSpacing"/>
            </w:pPr>
            <w:r w:rsidRPr="00540497">
              <w:t>Wren Avenue Elementary</w:t>
            </w:r>
          </w:p>
        </w:tc>
        <w:tc>
          <w:tcPr>
            <w:tcW w:w="1710" w:type="dxa"/>
            <w:noWrap/>
            <w:hideMark/>
          </w:tcPr>
          <w:p w14:paraId="4D8D626F" w14:textId="77777777" w:rsidR="001C19A4" w:rsidRPr="00540497" w:rsidRDefault="001C19A4" w:rsidP="005F27A6">
            <w:pPr>
              <w:pStyle w:val="NoSpacing"/>
              <w:jc w:val="right"/>
            </w:pPr>
            <w:r w:rsidRPr="00540497">
              <w:t>364</w:t>
            </w:r>
          </w:p>
        </w:tc>
        <w:tc>
          <w:tcPr>
            <w:tcW w:w="1710" w:type="dxa"/>
          </w:tcPr>
          <w:p w14:paraId="440619AF" w14:textId="77777777" w:rsidR="001C19A4" w:rsidRPr="00540497" w:rsidRDefault="001C19A4" w:rsidP="005F27A6">
            <w:pPr>
              <w:pStyle w:val="NoSpacing"/>
              <w:jc w:val="right"/>
            </w:pPr>
            <w:r w:rsidRPr="00540497">
              <w:t>28.8%</w:t>
            </w:r>
          </w:p>
        </w:tc>
        <w:tc>
          <w:tcPr>
            <w:tcW w:w="1710" w:type="dxa"/>
            <w:noWrap/>
            <w:hideMark/>
          </w:tcPr>
          <w:p w14:paraId="391434DA" w14:textId="77777777" w:rsidR="001C19A4" w:rsidRPr="00540497" w:rsidRDefault="001C19A4" w:rsidP="005F27A6">
            <w:pPr>
              <w:pStyle w:val="NoSpacing"/>
              <w:jc w:val="right"/>
            </w:pPr>
            <w:r w:rsidRPr="00540497">
              <w:t>68.1%</w:t>
            </w:r>
          </w:p>
        </w:tc>
      </w:tr>
      <w:tr w:rsidR="001C19A4" w:rsidRPr="00540497" w14:paraId="6627B43C" w14:textId="77777777" w:rsidTr="005F27A6">
        <w:trPr>
          <w:trHeight w:val="288"/>
        </w:trPr>
        <w:tc>
          <w:tcPr>
            <w:tcW w:w="3960" w:type="dxa"/>
            <w:noWrap/>
            <w:hideMark/>
          </w:tcPr>
          <w:p w14:paraId="433D33F3" w14:textId="77777777" w:rsidR="001C19A4" w:rsidRPr="00540497" w:rsidRDefault="001C19A4" w:rsidP="005F27A6">
            <w:pPr>
              <w:pStyle w:val="NoSpacing"/>
            </w:pPr>
            <w:r w:rsidRPr="00540497">
              <w:t>Ygnacio Valley Elementary</w:t>
            </w:r>
          </w:p>
        </w:tc>
        <w:tc>
          <w:tcPr>
            <w:tcW w:w="1710" w:type="dxa"/>
            <w:noWrap/>
            <w:hideMark/>
          </w:tcPr>
          <w:p w14:paraId="1DFED755" w14:textId="77777777" w:rsidR="001C19A4" w:rsidRPr="00540497" w:rsidRDefault="001C19A4" w:rsidP="005F27A6">
            <w:pPr>
              <w:pStyle w:val="NoSpacing"/>
              <w:jc w:val="right"/>
            </w:pPr>
            <w:r w:rsidRPr="00540497">
              <w:t>437</w:t>
            </w:r>
          </w:p>
        </w:tc>
        <w:tc>
          <w:tcPr>
            <w:tcW w:w="1710" w:type="dxa"/>
          </w:tcPr>
          <w:p w14:paraId="54979A7D" w14:textId="77777777" w:rsidR="001C19A4" w:rsidRPr="00540497" w:rsidRDefault="001C19A4" w:rsidP="005F27A6">
            <w:pPr>
              <w:pStyle w:val="NoSpacing"/>
              <w:jc w:val="right"/>
            </w:pPr>
            <w:r w:rsidRPr="00540497">
              <w:t>52.2%</w:t>
            </w:r>
          </w:p>
        </w:tc>
        <w:tc>
          <w:tcPr>
            <w:tcW w:w="1710" w:type="dxa"/>
            <w:noWrap/>
            <w:hideMark/>
          </w:tcPr>
          <w:p w14:paraId="570E999B" w14:textId="77777777" w:rsidR="001C19A4" w:rsidRPr="00540497" w:rsidRDefault="001C19A4" w:rsidP="005F27A6">
            <w:pPr>
              <w:pStyle w:val="NoSpacing"/>
              <w:jc w:val="right"/>
            </w:pPr>
            <w:r w:rsidRPr="00540497">
              <w:t>80.8%</w:t>
            </w:r>
          </w:p>
        </w:tc>
      </w:tr>
      <w:tr w:rsidR="001C19A4" w:rsidRPr="00E10745" w14:paraId="093E236B" w14:textId="77777777" w:rsidTr="005F27A6">
        <w:trPr>
          <w:trHeight w:val="288"/>
        </w:trPr>
        <w:tc>
          <w:tcPr>
            <w:tcW w:w="3960" w:type="dxa"/>
            <w:noWrap/>
          </w:tcPr>
          <w:p w14:paraId="1C3A5557" w14:textId="77777777" w:rsidR="001C19A4" w:rsidRPr="00E10745" w:rsidRDefault="001C19A4" w:rsidP="005F27A6">
            <w:pPr>
              <w:pStyle w:val="NoSpacing"/>
              <w:rPr>
                <w:b/>
              </w:rPr>
            </w:pPr>
            <w:r w:rsidRPr="00E10745">
              <w:rPr>
                <w:b/>
              </w:rPr>
              <w:t>Total</w:t>
            </w:r>
          </w:p>
        </w:tc>
        <w:tc>
          <w:tcPr>
            <w:tcW w:w="1710" w:type="dxa"/>
            <w:noWrap/>
          </w:tcPr>
          <w:p w14:paraId="04E8A188" w14:textId="77777777" w:rsidR="001C19A4" w:rsidRPr="00E10745" w:rsidRDefault="001C19A4" w:rsidP="005F27A6">
            <w:pPr>
              <w:pStyle w:val="NoSpacing"/>
              <w:jc w:val="right"/>
              <w:rPr>
                <w:b/>
              </w:rPr>
            </w:pPr>
            <w:r w:rsidRPr="00E10745">
              <w:rPr>
                <w:b/>
              </w:rPr>
              <w:t>14,338</w:t>
            </w:r>
          </w:p>
        </w:tc>
        <w:tc>
          <w:tcPr>
            <w:tcW w:w="1710" w:type="dxa"/>
          </w:tcPr>
          <w:p w14:paraId="6B899759" w14:textId="77777777" w:rsidR="001C19A4" w:rsidRPr="00E10745" w:rsidRDefault="001C19A4" w:rsidP="005F27A6">
            <w:pPr>
              <w:pStyle w:val="NoSpacing"/>
              <w:jc w:val="right"/>
              <w:rPr>
                <w:b/>
              </w:rPr>
            </w:pPr>
            <w:r w:rsidRPr="00E10745">
              <w:rPr>
                <w:b/>
              </w:rPr>
              <w:t>24.1%</w:t>
            </w:r>
          </w:p>
        </w:tc>
        <w:tc>
          <w:tcPr>
            <w:tcW w:w="1710" w:type="dxa"/>
            <w:noWrap/>
          </w:tcPr>
          <w:p w14:paraId="18803356" w14:textId="77777777" w:rsidR="001C19A4" w:rsidRPr="00E10745" w:rsidRDefault="001C19A4" w:rsidP="005F27A6">
            <w:pPr>
              <w:pStyle w:val="NoSpacing"/>
              <w:jc w:val="right"/>
              <w:rPr>
                <w:b/>
              </w:rPr>
            </w:pPr>
            <w:r w:rsidRPr="00E10745">
              <w:rPr>
                <w:b/>
              </w:rPr>
              <w:t>38.4%</w:t>
            </w:r>
          </w:p>
        </w:tc>
      </w:tr>
    </w:tbl>
    <w:p w14:paraId="2FE163B0" w14:textId="77777777" w:rsidR="001C19A4" w:rsidRPr="00F76924" w:rsidRDefault="001C19A4" w:rsidP="005F27A6">
      <w:pPr>
        <w:spacing w:before="120"/>
        <w:ind w:left="360"/>
        <w:rPr>
          <w:rStyle w:val="Strong"/>
          <w:i/>
        </w:rPr>
      </w:pPr>
      <w:r w:rsidRPr="00F76924">
        <w:rPr>
          <w:rStyle w:val="Strong"/>
          <w:i/>
        </w:rPr>
        <w:t>Source: CALPADS, Fiscal Year 2020–21</w:t>
      </w:r>
    </w:p>
    <w:p w14:paraId="74BA2A08" w14:textId="77777777" w:rsidR="001C19A4" w:rsidRPr="00916F42" w:rsidRDefault="001C19A4" w:rsidP="00AF653A">
      <w:pPr>
        <w:pStyle w:val="Heading4"/>
      </w:pPr>
      <w:r w:rsidRPr="00916F42">
        <w:t xml:space="preserve">Table </w:t>
      </w:r>
      <w:r>
        <w:t>3b</w:t>
      </w:r>
      <w:r w:rsidRPr="00916F42">
        <w:t xml:space="preserve">: EL and FRPM Students in </w:t>
      </w:r>
      <w:r>
        <w:t>Mt. Diablo</w:t>
      </w:r>
      <w:r w:rsidRPr="00916F42">
        <w:t xml:space="preserve"> USD</w:t>
      </w:r>
      <w:r>
        <w:t xml:space="preserve"> Middle Schools</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3b provides enrollment, percent of English Learners, percent of students qualifying for the Free and Reduced Program Meal Program for each middle school in the existing Mt. Diablo USD for the 2020-21 academic year. "/>
      </w:tblPr>
      <w:tblGrid>
        <w:gridCol w:w="3960"/>
        <w:gridCol w:w="1710"/>
        <w:gridCol w:w="1710"/>
        <w:gridCol w:w="1710"/>
      </w:tblGrid>
      <w:tr w:rsidR="001C19A4" w:rsidRPr="00584630" w14:paraId="63E17B78" w14:textId="77777777" w:rsidTr="005F27A6">
        <w:trPr>
          <w:trHeight w:val="288"/>
          <w:tblHeader/>
        </w:trPr>
        <w:tc>
          <w:tcPr>
            <w:tcW w:w="3960" w:type="dxa"/>
            <w:shd w:val="clear" w:color="auto" w:fill="D9D9D9" w:themeFill="background1" w:themeFillShade="D9"/>
            <w:noWrap/>
            <w:hideMark/>
          </w:tcPr>
          <w:p w14:paraId="24EB5F9B" w14:textId="77777777" w:rsidR="001C19A4" w:rsidRPr="00584630" w:rsidRDefault="001C19A4" w:rsidP="005F27A6">
            <w:pPr>
              <w:pStyle w:val="NoSpacing"/>
              <w:jc w:val="center"/>
              <w:rPr>
                <w:b/>
              </w:rPr>
            </w:pPr>
            <w:r w:rsidRPr="00584630">
              <w:rPr>
                <w:b/>
              </w:rPr>
              <w:t>School Name</w:t>
            </w:r>
          </w:p>
        </w:tc>
        <w:tc>
          <w:tcPr>
            <w:tcW w:w="1710" w:type="dxa"/>
            <w:shd w:val="clear" w:color="auto" w:fill="D9D9D9" w:themeFill="background1" w:themeFillShade="D9"/>
            <w:noWrap/>
            <w:hideMark/>
          </w:tcPr>
          <w:p w14:paraId="74BF89F5" w14:textId="77777777" w:rsidR="001C19A4" w:rsidRPr="00584630" w:rsidRDefault="001C19A4" w:rsidP="005F27A6">
            <w:pPr>
              <w:pStyle w:val="NoSpacing"/>
              <w:jc w:val="center"/>
              <w:rPr>
                <w:b/>
              </w:rPr>
            </w:pPr>
            <w:r w:rsidRPr="00584630">
              <w:rPr>
                <w:b/>
              </w:rPr>
              <w:t>Enrollment</w:t>
            </w:r>
          </w:p>
        </w:tc>
        <w:tc>
          <w:tcPr>
            <w:tcW w:w="1710" w:type="dxa"/>
            <w:shd w:val="clear" w:color="auto" w:fill="D9D9D9" w:themeFill="background1" w:themeFillShade="D9"/>
          </w:tcPr>
          <w:p w14:paraId="731C753C" w14:textId="77777777" w:rsidR="001C19A4" w:rsidRPr="00584630" w:rsidRDefault="001C19A4" w:rsidP="005F27A6">
            <w:pPr>
              <w:pStyle w:val="NoSpacing"/>
              <w:jc w:val="center"/>
              <w:rPr>
                <w:b/>
              </w:rPr>
            </w:pPr>
            <w:r w:rsidRPr="00584630">
              <w:rPr>
                <w:b/>
              </w:rPr>
              <w:t>EL (%)</w:t>
            </w:r>
          </w:p>
        </w:tc>
        <w:tc>
          <w:tcPr>
            <w:tcW w:w="1710" w:type="dxa"/>
            <w:shd w:val="clear" w:color="auto" w:fill="D9D9D9" w:themeFill="background1" w:themeFillShade="D9"/>
            <w:noWrap/>
            <w:hideMark/>
          </w:tcPr>
          <w:p w14:paraId="25CA7B1B" w14:textId="77777777" w:rsidR="001C19A4" w:rsidRPr="00584630" w:rsidRDefault="001C19A4" w:rsidP="005F27A6">
            <w:pPr>
              <w:pStyle w:val="NoSpacing"/>
              <w:jc w:val="center"/>
              <w:rPr>
                <w:b/>
              </w:rPr>
            </w:pPr>
            <w:r w:rsidRPr="00584630">
              <w:rPr>
                <w:b/>
              </w:rPr>
              <w:t>FRPM (%)</w:t>
            </w:r>
          </w:p>
        </w:tc>
      </w:tr>
      <w:tr w:rsidR="001C19A4" w:rsidRPr="00540497" w14:paraId="26F8AA32" w14:textId="77777777" w:rsidTr="005F27A6">
        <w:trPr>
          <w:trHeight w:val="288"/>
        </w:trPr>
        <w:tc>
          <w:tcPr>
            <w:tcW w:w="3960" w:type="dxa"/>
            <w:noWrap/>
            <w:hideMark/>
          </w:tcPr>
          <w:p w14:paraId="5C4AA16E" w14:textId="77777777" w:rsidR="001C19A4" w:rsidRPr="00540497" w:rsidRDefault="001C19A4" w:rsidP="005F27A6">
            <w:pPr>
              <w:pStyle w:val="NoSpacing"/>
            </w:pPr>
            <w:r w:rsidRPr="00AB55CD">
              <w:t>Diablo View Middle</w:t>
            </w:r>
          </w:p>
        </w:tc>
        <w:tc>
          <w:tcPr>
            <w:tcW w:w="1710" w:type="dxa"/>
            <w:noWrap/>
            <w:hideMark/>
          </w:tcPr>
          <w:p w14:paraId="361FD5F3" w14:textId="77777777" w:rsidR="001C19A4" w:rsidRPr="00540497" w:rsidRDefault="001C19A4" w:rsidP="005F27A6">
            <w:pPr>
              <w:pStyle w:val="NoSpacing"/>
              <w:jc w:val="right"/>
            </w:pPr>
            <w:r w:rsidRPr="00AB55CD">
              <w:t>577</w:t>
            </w:r>
          </w:p>
        </w:tc>
        <w:tc>
          <w:tcPr>
            <w:tcW w:w="1710" w:type="dxa"/>
          </w:tcPr>
          <w:p w14:paraId="7E5F8EB6" w14:textId="77777777" w:rsidR="001C19A4" w:rsidRPr="00AB55CD" w:rsidRDefault="001C19A4" w:rsidP="005F27A6">
            <w:pPr>
              <w:pStyle w:val="NoSpacing"/>
              <w:jc w:val="right"/>
            </w:pPr>
            <w:r w:rsidRPr="00AB55CD">
              <w:t>3.3%</w:t>
            </w:r>
          </w:p>
        </w:tc>
        <w:tc>
          <w:tcPr>
            <w:tcW w:w="1710" w:type="dxa"/>
            <w:noWrap/>
            <w:hideMark/>
          </w:tcPr>
          <w:p w14:paraId="32F2C83D" w14:textId="77777777" w:rsidR="001C19A4" w:rsidRPr="00540497" w:rsidRDefault="001C19A4" w:rsidP="005F27A6">
            <w:pPr>
              <w:pStyle w:val="NoSpacing"/>
              <w:jc w:val="right"/>
            </w:pPr>
            <w:r w:rsidRPr="00AB55CD">
              <w:t>14.7%</w:t>
            </w:r>
          </w:p>
        </w:tc>
      </w:tr>
      <w:tr w:rsidR="001C19A4" w:rsidRPr="00540497" w14:paraId="35D445C4" w14:textId="77777777" w:rsidTr="005F27A6">
        <w:trPr>
          <w:trHeight w:val="288"/>
        </w:trPr>
        <w:tc>
          <w:tcPr>
            <w:tcW w:w="3960" w:type="dxa"/>
            <w:noWrap/>
            <w:hideMark/>
          </w:tcPr>
          <w:p w14:paraId="2CA6186E" w14:textId="77777777" w:rsidR="001C19A4" w:rsidRPr="00540497" w:rsidRDefault="001C19A4" w:rsidP="005F27A6">
            <w:pPr>
              <w:pStyle w:val="NoSpacing"/>
            </w:pPr>
            <w:r w:rsidRPr="00AB55CD">
              <w:t>El Dorado Middle</w:t>
            </w:r>
          </w:p>
        </w:tc>
        <w:tc>
          <w:tcPr>
            <w:tcW w:w="1710" w:type="dxa"/>
            <w:noWrap/>
            <w:hideMark/>
          </w:tcPr>
          <w:p w14:paraId="7B040CBF" w14:textId="77777777" w:rsidR="001C19A4" w:rsidRPr="00540497" w:rsidRDefault="001C19A4" w:rsidP="005F27A6">
            <w:pPr>
              <w:pStyle w:val="NoSpacing"/>
              <w:jc w:val="right"/>
            </w:pPr>
            <w:r w:rsidRPr="00AB55CD">
              <w:t>866</w:t>
            </w:r>
          </w:p>
        </w:tc>
        <w:tc>
          <w:tcPr>
            <w:tcW w:w="1710" w:type="dxa"/>
          </w:tcPr>
          <w:p w14:paraId="656A04F4" w14:textId="77777777" w:rsidR="001C19A4" w:rsidRPr="00AB55CD" w:rsidRDefault="001C19A4" w:rsidP="005F27A6">
            <w:pPr>
              <w:pStyle w:val="NoSpacing"/>
              <w:jc w:val="right"/>
            </w:pPr>
            <w:r w:rsidRPr="00AB55CD">
              <w:t>26.1%</w:t>
            </w:r>
          </w:p>
        </w:tc>
        <w:tc>
          <w:tcPr>
            <w:tcW w:w="1710" w:type="dxa"/>
            <w:noWrap/>
            <w:hideMark/>
          </w:tcPr>
          <w:p w14:paraId="2F4CF15D" w14:textId="77777777" w:rsidR="001C19A4" w:rsidRPr="00540497" w:rsidRDefault="001C19A4" w:rsidP="005F27A6">
            <w:pPr>
              <w:pStyle w:val="NoSpacing"/>
              <w:jc w:val="right"/>
            </w:pPr>
            <w:r w:rsidRPr="00AB55CD">
              <w:t>55.9%</w:t>
            </w:r>
          </w:p>
        </w:tc>
      </w:tr>
      <w:tr w:rsidR="001C19A4" w:rsidRPr="00540497" w14:paraId="016CD92F" w14:textId="77777777" w:rsidTr="005F27A6">
        <w:trPr>
          <w:trHeight w:val="288"/>
        </w:trPr>
        <w:tc>
          <w:tcPr>
            <w:tcW w:w="3960" w:type="dxa"/>
            <w:noWrap/>
            <w:hideMark/>
          </w:tcPr>
          <w:p w14:paraId="2B8546E6" w14:textId="77777777" w:rsidR="001C19A4" w:rsidRPr="00540497" w:rsidRDefault="001C19A4" w:rsidP="005F27A6">
            <w:pPr>
              <w:pStyle w:val="NoSpacing"/>
            </w:pPr>
            <w:r w:rsidRPr="00AB55CD">
              <w:t>Foothill Middle</w:t>
            </w:r>
          </w:p>
        </w:tc>
        <w:tc>
          <w:tcPr>
            <w:tcW w:w="1710" w:type="dxa"/>
            <w:noWrap/>
            <w:hideMark/>
          </w:tcPr>
          <w:p w14:paraId="32FD9F1A" w14:textId="77777777" w:rsidR="001C19A4" w:rsidRPr="00540497" w:rsidRDefault="001C19A4" w:rsidP="005F27A6">
            <w:pPr>
              <w:pStyle w:val="NoSpacing"/>
              <w:jc w:val="right"/>
            </w:pPr>
            <w:r w:rsidRPr="00AB55CD">
              <w:t>828</w:t>
            </w:r>
          </w:p>
        </w:tc>
        <w:tc>
          <w:tcPr>
            <w:tcW w:w="1710" w:type="dxa"/>
          </w:tcPr>
          <w:p w14:paraId="46CD6F1A" w14:textId="77777777" w:rsidR="001C19A4" w:rsidRPr="00AB55CD" w:rsidRDefault="001C19A4" w:rsidP="005F27A6">
            <w:pPr>
              <w:pStyle w:val="NoSpacing"/>
              <w:jc w:val="right"/>
            </w:pPr>
            <w:r w:rsidRPr="00AB55CD">
              <w:t>2.4%</w:t>
            </w:r>
          </w:p>
        </w:tc>
        <w:tc>
          <w:tcPr>
            <w:tcW w:w="1710" w:type="dxa"/>
            <w:noWrap/>
            <w:hideMark/>
          </w:tcPr>
          <w:p w14:paraId="522C1D4C" w14:textId="77777777" w:rsidR="001C19A4" w:rsidRPr="00540497" w:rsidRDefault="001C19A4" w:rsidP="005F27A6">
            <w:pPr>
              <w:pStyle w:val="NoSpacing"/>
              <w:jc w:val="right"/>
            </w:pPr>
            <w:r w:rsidRPr="00AB55CD">
              <w:t>9.5%</w:t>
            </w:r>
          </w:p>
        </w:tc>
      </w:tr>
      <w:tr w:rsidR="001C19A4" w:rsidRPr="00540497" w14:paraId="41E8C15A" w14:textId="77777777" w:rsidTr="005F27A6">
        <w:trPr>
          <w:trHeight w:val="288"/>
        </w:trPr>
        <w:tc>
          <w:tcPr>
            <w:tcW w:w="3960" w:type="dxa"/>
            <w:noWrap/>
            <w:hideMark/>
          </w:tcPr>
          <w:p w14:paraId="47D49B1E" w14:textId="77777777" w:rsidR="001C19A4" w:rsidRPr="00540497" w:rsidRDefault="001C19A4" w:rsidP="005F27A6">
            <w:pPr>
              <w:pStyle w:val="NoSpacing"/>
            </w:pPr>
            <w:r w:rsidRPr="00AB55CD">
              <w:t>Oak Grove Middle</w:t>
            </w:r>
          </w:p>
        </w:tc>
        <w:tc>
          <w:tcPr>
            <w:tcW w:w="1710" w:type="dxa"/>
            <w:noWrap/>
            <w:hideMark/>
          </w:tcPr>
          <w:p w14:paraId="424FACD5" w14:textId="77777777" w:rsidR="001C19A4" w:rsidRPr="00540497" w:rsidRDefault="001C19A4" w:rsidP="005F27A6">
            <w:pPr>
              <w:pStyle w:val="NoSpacing"/>
              <w:jc w:val="right"/>
            </w:pPr>
            <w:r w:rsidRPr="00AB55CD">
              <w:t>748</w:t>
            </w:r>
          </w:p>
        </w:tc>
        <w:tc>
          <w:tcPr>
            <w:tcW w:w="1710" w:type="dxa"/>
          </w:tcPr>
          <w:p w14:paraId="05A65201" w14:textId="77777777" w:rsidR="001C19A4" w:rsidRPr="00AB55CD" w:rsidRDefault="001C19A4" w:rsidP="005F27A6">
            <w:pPr>
              <w:pStyle w:val="NoSpacing"/>
              <w:jc w:val="right"/>
            </w:pPr>
            <w:r w:rsidRPr="00AB55CD">
              <w:t>49.7%</w:t>
            </w:r>
          </w:p>
        </w:tc>
        <w:tc>
          <w:tcPr>
            <w:tcW w:w="1710" w:type="dxa"/>
            <w:noWrap/>
            <w:hideMark/>
          </w:tcPr>
          <w:p w14:paraId="58A4B60C" w14:textId="77777777" w:rsidR="001C19A4" w:rsidRPr="00540497" w:rsidRDefault="001C19A4" w:rsidP="005F27A6">
            <w:pPr>
              <w:pStyle w:val="NoSpacing"/>
              <w:jc w:val="right"/>
            </w:pPr>
            <w:r w:rsidRPr="00AB55CD">
              <w:t>77.9%</w:t>
            </w:r>
          </w:p>
        </w:tc>
      </w:tr>
      <w:tr w:rsidR="001C19A4" w:rsidRPr="00540497" w14:paraId="6070DD84" w14:textId="77777777" w:rsidTr="005F27A6">
        <w:trPr>
          <w:trHeight w:val="288"/>
        </w:trPr>
        <w:tc>
          <w:tcPr>
            <w:tcW w:w="3960" w:type="dxa"/>
            <w:noWrap/>
            <w:hideMark/>
          </w:tcPr>
          <w:p w14:paraId="194E6F1E" w14:textId="77777777" w:rsidR="001C19A4" w:rsidRPr="00540497" w:rsidRDefault="001C19A4" w:rsidP="005F27A6">
            <w:pPr>
              <w:pStyle w:val="NoSpacing"/>
            </w:pPr>
            <w:r w:rsidRPr="00AB55CD">
              <w:t>Pine Hollow Middle</w:t>
            </w:r>
          </w:p>
        </w:tc>
        <w:tc>
          <w:tcPr>
            <w:tcW w:w="1710" w:type="dxa"/>
            <w:noWrap/>
            <w:hideMark/>
          </w:tcPr>
          <w:p w14:paraId="71098812" w14:textId="77777777" w:rsidR="001C19A4" w:rsidRPr="00540497" w:rsidRDefault="001C19A4" w:rsidP="005F27A6">
            <w:pPr>
              <w:pStyle w:val="NoSpacing"/>
              <w:jc w:val="right"/>
            </w:pPr>
            <w:r w:rsidRPr="00AB55CD">
              <w:t>562</w:t>
            </w:r>
          </w:p>
        </w:tc>
        <w:tc>
          <w:tcPr>
            <w:tcW w:w="1710" w:type="dxa"/>
          </w:tcPr>
          <w:p w14:paraId="15B600E5" w14:textId="77777777" w:rsidR="001C19A4" w:rsidRPr="00AB55CD" w:rsidRDefault="001C19A4" w:rsidP="005F27A6">
            <w:pPr>
              <w:pStyle w:val="NoSpacing"/>
              <w:jc w:val="right"/>
            </w:pPr>
            <w:r w:rsidRPr="00AB55CD">
              <w:t>9.4%</w:t>
            </w:r>
          </w:p>
        </w:tc>
        <w:tc>
          <w:tcPr>
            <w:tcW w:w="1710" w:type="dxa"/>
            <w:noWrap/>
            <w:hideMark/>
          </w:tcPr>
          <w:p w14:paraId="024D0977" w14:textId="77777777" w:rsidR="001C19A4" w:rsidRPr="00540497" w:rsidRDefault="001C19A4" w:rsidP="005F27A6">
            <w:pPr>
              <w:pStyle w:val="NoSpacing"/>
              <w:jc w:val="right"/>
            </w:pPr>
            <w:r w:rsidRPr="00AB55CD">
              <w:t>31.5%</w:t>
            </w:r>
          </w:p>
        </w:tc>
      </w:tr>
      <w:tr w:rsidR="001C19A4" w:rsidRPr="00540497" w14:paraId="63AEA514" w14:textId="77777777" w:rsidTr="005F27A6">
        <w:trPr>
          <w:trHeight w:val="288"/>
        </w:trPr>
        <w:tc>
          <w:tcPr>
            <w:tcW w:w="3960" w:type="dxa"/>
            <w:noWrap/>
            <w:hideMark/>
          </w:tcPr>
          <w:p w14:paraId="64EEEF23" w14:textId="77777777" w:rsidR="001C19A4" w:rsidRPr="00540497" w:rsidRDefault="001C19A4" w:rsidP="005F27A6">
            <w:pPr>
              <w:pStyle w:val="NoSpacing"/>
            </w:pPr>
            <w:r w:rsidRPr="00AB55CD">
              <w:t>Pleasant Hill Middle</w:t>
            </w:r>
          </w:p>
        </w:tc>
        <w:tc>
          <w:tcPr>
            <w:tcW w:w="1710" w:type="dxa"/>
            <w:noWrap/>
            <w:hideMark/>
          </w:tcPr>
          <w:p w14:paraId="3D590EEC" w14:textId="77777777" w:rsidR="001C19A4" w:rsidRPr="00540497" w:rsidRDefault="001C19A4" w:rsidP="005F27A6">
            <w:pPr>
              <w:pStyle w:val="NoSpacing"/>
              <w:jc w:val="right"/>
            </w:pPr>
            <w:r w:rsidRPr="00AB55CD">
              <w:t>751</w:t>
            </w:r>
          </w:p>
        </w:tc>
        <w:tc>
          <w:tcPr>
            <w:tcW w:w="1710" w:type="dxa"/>
          </w:tcPr>
          <w:p w14:paraId="1C9E3B38" w14:textId="77777777" w:rsidR="001C19A4" w:rsidRPr="00AB55CD" w:rsidRDefault="001C19A4" w:rsidP="005F27A6">
            <w:pPr>
              <w:pStyle w:val="NoSpacing"/>
              <w:jc w:val="right"/>
            </w:pPr>
            <w:r w:rsidRPr="00AB55CD">
              <w:t>12.5%</w:t>
            </w:r>
          </w:p>
        </w:tc>
        <w:tc>
          <w:tcPr>
            <w:tcW w:w="1710" w:type="dxa"/>
            <w:noWrap/>
            <w:hideMark/>
          </w:tcPr>
          <w:p w14:paraId="7D5291C1" w14:textId="77777777" w:rsidR="001C19A4" w:rsidRPr="00540497" w:rsidRDefault="001C19A4" w:rsidP="005F27A6">
            <w:pPr>
              <w:pStyle w:val="NoSpacing"/>
              <w:jc w:val="right"/>
            </w:pPr>
            <w:r w:rsidRPr="00AB55CD">
              <w:t>33.0%</w:t>
            </w:r>
          </w:p>
        </w:tc>
      </w:tr>
      <w:tr w:rsidR="001C19A4" w:rsidRPr="00540497" w14:paraId="0B5C694F" w14:textId="77777777" w:rsidTr="005F27A6">
        <w:trPr>
          <w:trHeight w:val="288"/>
        </w:trPr>
        <w:tc>
          <w:tcPr>
            <w:tcW w:w="3960" w:type="dxa"/>
            <w:noWrap/>
            <w:hideMark/>
          </w:tcPr>
          <w:p w14:paraId="3DFFD5CB" w14:textId="77777777" w:rsidR="001C19A4" w:rsidRPr="00540497" w:rsidRDefault="001C19A4" w:rsidP="005F27A6">
            <w:pPr>
              <w:pStyle w:val="NoSpacing"/>
            </w:pPr>
            <w:r w:rsidRPr="00AB55CD">
              <w:t>Riverview Middle</w:t>
            </w:r>
          </w:p>
        </w:tc>
        <w:tc>
          <w:tcPr>
            <w:tcW w:w="1710" w:type="dxa"/>
            <w:noWrap/>
            <w:hideMark/>
          </w:tcPr>
          <w:p w14:paraId="1AB9AB4F" w14:textId="77777777" w:rsidR="001C19A4" w:rsidRPr="00540497" w:rsidRDefault="001C19A4" w:rsidP="005F27A6">
            <w:pPr>
              <w:pStyle w:val="NoSpacing"/>
              <w:jc w:val="right"/>
            </w:pPr>
            <w:r w:rsidRPr="00AB55CD">
              <w:t>745</w:t>
            </w:r>
          </w:p>
        </w:tc>
        <w:tc>
          <w:tcPr>
            <w:tcW w:w="1710" w:type="dxa"/>
          </w:tcPr>
          <w:p w14:paraId="5FEDB204" w14:textId="77777777" w:rsidR="001C19A4" w:rsidRPr="00AB55CD" w:rsidRDefault="001C19A4" w:rsidP="005F27A6">
            <w:pPr>
              <w:pStyle w:val="NoSpacing"/>
              <w:jc w:val="right"/>
            </w:pPr>
            <w:r w:rsidRPr="00AB55CD">
              <w:t>40.7%</w:t>
            </w:r>
          </w:p>
        </w:tc>
        <w:tc>
          <w:tcPr>
            <w:tcW w:w="1710" w:type="dxa"/>
            <w:noWrap/>
            <w:hideMark/>
          </w:tcPr>
          <w:p w14:paraId="3CD325C2" w14:textId="77777777" w:rsidR="001C19A4" w:rsidRPr="00540497" w:rsidRDefault="001C19A4" w:rsidP="005F27A6">
            <w:pPr>
              <w:pStyle w:val="NoSpacing"/>
              <w:jc w:val="right"/>
            </w:pPr>
            <w:r w:rsidRPr="00AB55CD">
              <w:t>72.3%</w:t>
            </w:r>
          </w:p>
        </w:tc>
      </w:tr>
      <w:tr w:rsidR="001C19A4" w:rsidRPr="00540497" w14:paraId="62A40FEA" w14:textId="77777777" w:rsidTr="005F27A6">
        <w:trPr>
          <w:trHeight w:val="288"/>
        </w:trPr>
        <w:tc>
          <w:tcPr>
            <w:tcW w:w="3960" w:type="dxa"/>
            <w:noWrap/>
            <w:hideMark/>
          </w:tcPr>
          <w:p w14:paraId="7340A967" w14:textId="77777777" w:rsidR="001C19A4" w:rsidRPr="00540497" w:rsidRDefault="001C19A4" w:rsidP="005F27A6">
            <w:pPr>
              <w:pStyle w:val="NoSpacing"/>
            </w:pPr>
            <w:r w:rsidRPr="00AB55CD">
              <w:t>Sequoia Middle</w:t>
            </w:r>
          </w:p>
        </w:tc>
        <w:tc>
          <w:tcPr>
            <w:tcW w:w="1710" w:type="dxa"/>
            <w:noWrap/>
            <w:hideMark/>
          </w:tcPr>
          <w:p w14:paraId="12AFCCFB" w14:textId="77777777" w:rsidR="001C19A4" w:rsidRPr="00540497" w:rsidRDefault="001C19A4" w:rsidP="005F27A6">
            <w:pPr>
              <w:pStyle w:val="NoSpacing"/>
              <w:jc w:val="right"/>
            </w:pPr>
            <w:r w:rsidRPr="00AB55CD">
              <w:t>910</w:t>
            </w:r>
          </w:p>
        </w:tc>
        <w:tc>
          <w:tcPr>
            <w:tcW w:w="1710" w:type="dxa"/>
          </w:tcPr>
          <w:p w14:paraId="7D5776B2" w14:textId="77777777" w:rsidR="001C19A4" w:rsidRPr="00AB55CD" w:rsidRDefault="001C19A4" w:rsidP="005F27A6">
            <w:pPr>
              <w:pStyle w:val="NoSpacing"/>
              <w:jc w:val="right"/>
            </w:pPr>
            <w:r w:rsidRPr="00AB55CD">
              <w:t>10.7%</w:t>
            </w:r>
          </w:p>
        </w:tc>
        <w:tc>
          <w:tcPr>
            <w:tcW w:w="1710" w:type="dxa"/>
            <w:noWrap/>
            <w:hideMark/>
          </w:tcPr>
          <w:p w14:paraId="1F718FBD" w14:textId="77777777" w:rsidR="001C19A4" w:rsidRPr="00540497" w:rsidRDefault="001C19A4" w:rsidP="005F27A6">
            <w:pPr>
              <w:pStyle w:val="NoSpacing"/>
              <w:jc w:val="right"/>
            </w:pPr>
            <w:r w:rsidRPr="00AB55CD">
              <w:t>34.5%</w:t>
            </w:r>
          </w:p>
        </w:tc>
      </w:tr>
      <w:tr w:rsidR="001C19A4" w:rsidRPr="00540497" w14:paraId="4C58C1F7" w14:textId="77777777" w:rsidTr="005F27A6">
        <w:trPr>
          <w:trHeight w:val="288"/>
        </w:trPr>
        <w:tc>
          <w:tcPr>
            <w:tcW w:w="3960" w:type="dxa"/>
            <w:noWrap/>
            <w:hideMark/>
          </w:tcPr>
          <w:p w14:paraId="4B035E12" w14:textId="77777777" w:rsidR="001C19A4" w:rsidRPr="00540497" w:rsidRDefault="001C19A4" w:rsidP="005F27A6">
            <w:pPr>
              <w:pStyle w:val="NoSpacing"/>
            </w:pPr>
            <w:r w:rsidRPr="00AB55CD">
              <w:t>Valley View Middle</w:t>
            </w:r>
          </w:p>
        </w:tc>
        <w:tc>
          <w:tcPr>
            <w:tcW w:w="1710" w:type="dxa"/>
            <w:noWrap/>
            <w:hideMark/>
          </w:tcPr>
          <w:p w14:paraId="5B3CBF1D" w14:textId="77777777" w:rsidR="001C19A4" w:rsidRPr="00540497" w:rsidRDefault="001C19A4" w:rsidP="005F27A6">
            <w:pPr>
              <w:pStyle w:val="NoSpacing"/>
              <w:jc w:val="right"/>
            </w:pPr>
            <w:r w:rsidRPr="00AB55CD">
              <w:t>750</w:t>
            </w:r>
          </w:p>
        </w:tc>
        <w:tc>
          <w:tcPr>
            <w:tcW w:w="1710" w:type="dxa"/>
          </w:tcPr>
          <w:p w14:paraId="447CAEED" w14:textId="77777777" w:rsidR="001C19A4" w:rsidRPr="00AB55CD" w:rsidRDefault="001C19A4" w:rsidP="005F27A6">
            <w:pPr>
              <w:pStyle w:val="NoSpacing"/>
              <w:jc w:val="right"/>
            </w:pPr>
            <w:r w:rsidRPr="00AB55CD">
              <w:t>9.1%</w:t>
            </w:r>
          </w:p>
        </w:tc>
        <w:tc>
          <w:tcPr>
            <w:tcW w:w="1710" w:type="dxa"/>
            <w:noWrap/>
            <w:hideMark/>
          </w:tcPr>
          <w:p w14:paraId="7E4F8971" w14:textId="77777777" w:rsidR="001C19A4" w:rsidRPr="00540497" w:rsidRDefault="001C19A4" w:rsidP="005F27A6">
            <w:pPr>
              <w:pStyle w:val="NoSpacing"/>
              <w:jc w:val="right"/>
            </w:pPr>
            <w:r w:rsidRPr="00AB55CD">
              <w:t>29.6%</w:t>
            </w:r>
          </w:p>
        </w:tc>
      </w:tr>
      <w:tr w:rsidR="001C19A4" w:rsidRPr="00E10745" w14:paraId="036413CD" w14:textId="77777777" w:rsidTr="005F27A6">
        <w:trPr>
          <w:trHeight w:val="288"/>
        </w:trPr>
        <w:tc>
          <w:tcPr>
            <w:tcW w:w="3960" w:type="dxa"/>
            <w:noWrap/>
          </w:tcPr>
          <w:p w14:paraId="0415FBC6" w14:textId="77777777" w:rsidR="001C19A4" w:rsidRPr="00E10745" w:rsidRDefault="001C19A4" w:rsidP="005F27A6">
            <w:pPr>
              <w:pStyle w:val="NoSpacing"/>
              <w:rPr>
                <w:b/>
              </w:rPr>
            </w:pPr>
            <w:r w:rsidRPr="00E10745">
              <w:rPr>
                <w:b/>
              </w:rPr>
              <w:t>Total</w:t>
            </w:r>
          </w:p>
        </w:tc>
        <w:tc>
          <w:tcPr>
            <w:tcW w:w="1710" w:type="dxa"/>
            <w:noWrap/>
          </w:tcPr>
          <w:p w14:paraId="5A6882A4" w14:textId="77777777" w:rsidR="001C19A4" w:rsidRPr="00E10745" w:rsidRDefault="001C19A4" w:rsidP="005F27A6">
            <w:pPr>
              <w:pStyle w:val="NoSpacing"/>
              <w:jc w:val="right"/>
              <w:rPr>
                <w:b/>
              </w:rPr>
            </w:pPr>
            <w:r w:rsidRPr="00E10745">
              <w:rPr>
                <w:b/>
              </w:rPr>
              <w:t>6,737</w:t>
            </w:r>
          </w:p>
        </w:tc>
        <w:tc>
          <w:tcPr>
            <w:tcW w:w="1710" w:type="dxa"/>
          </w:tcPr>
          <w:p w14:paraId="7668B1C1" w14:textId="77777777" w:rsidR="001C19A4" w:rsidRPr="00E10745" w:rsidRDefault="001C19A4" w:rsidP="005F27A6">
            <w:pPr>
              <w:pStyle w:val="NoSpacing"/>
              <w:jc w:val="right"/>
              <w:rPr>
                <w:b/>
              </w:rPr>
            </w:pPr>
            <w:r w:rsidRPr="00E10745">
              <w:rPr>
                <w:b/>
              </w:rPr>
              <w:t>18.</w:t>
            </w:r>
            <w:r>
              <w:rPr>
                <w:b/>
              </w:rPr>
              <w:t>6</w:t>
            </w:r>
            <w:r w:rsidRPr="00E10745">
              <w:rPr>
                <w:b/>
              </w:rPr>
              <w:t>%</w:t>
            </w:r>
          </w:p>
        </w:tc>
        <w:tc>
          <w:tcPr>
            <w:tcW w:w="1710" w:type="dxa"/>
            <w:noWrap/>
          </w:tcPr>
          <w:p w14:paraId="297833B3" w14:textId="77777777" w:rsidR="001C19A4" w:rsidRPr="00E10745" w:rsidRDefault="001C19A4" w:rsidP="005F27A6">
            <w:pPr>
              <w:pStyle w:val="NoSpacing"/>
              <w:jc w:val="right"/>
              <w:rPr>
                <w:b/>
              </w:rPr>
            </w:pPr>
            <w:r w:rsidRPr="00E10745">
              <w:rPr>
                <w:b/>
              </w:rPr>
              <w:t>40.5%</w:t>
            </w:r>
          </w:p>
        </w:tc>
      </w:tr>
    </w:tbl>
    <w:p w14:paraId="315854AC" w14:textId="77777777" w:rsidR="001C19A4" w:rsidRPr="00F76924" w:rsidRDefault="001C19A4" w:rsidP="005F27A6">
      <w:pPr>
        <w:spacing w:before="120"/>
        <w:ind w:left="360"/>
        <w:rPr>
          <w:rStyle w:val="Strong"/>
          <w:i/>
        </w:rPr>
      </w:pPr>
      <w:r w:rsidRPr="00F76924">
        <w:rPr>
          <w:rStyle w:val="Strong"/>
          <w:i/>
        </w:rPr>
        <w:t>Source: CALPADS, Fiscal Year 2020–21</w:t>
      </w:r>
    </w:p>
    <w:p w14:paraId="24B522FA" w14:textId="77777777" w:rsidR="001C19A4" w:rsidRDefault="001C19A4">
      <w:pPr>
        <w:spacing w:after="160"/>
        <w:rPr>
          <w:rFonts w:cs="Arial"/>
          <w:b/>
        </w:rPr>
      </w:pPr>
      <w:r>
        <w:rPr>
          <w:rFonts w:cs="Arial"/>
          <w:b/>
        </w:rPr>
        <w:br w:type="page"/>
      </w:r>
    </w:p>
    <w:p w14:paraId="540B9827" w14:textId="77777777" w:rsidR="001C19A4" w:rsidRPr="00916F42" w:rsidRDefault="001C19A4" w:rsidP="00AF653A">
      <w:pPr>
        <w:pStyle w:val="Heading4"/>
      </w:pPr>
      <w:r w:rsidRPr="00916F42">
        <w:lastRenderedPageBreak/>
        <w:t xml:space="preserve">Table </w:t>
      </w:r>
      <w:r>
        <w:t>3c</w:t>
      </w:r>
      <w:r w:rsidRPr="00916F42">
        <w:t xml:space="preserve">: EL and FRPM Students in </w:t>
      </w:r>
      <w:r>
        <w:t>Mt. Diablo</w:t>
      </w:r>
      <w:r w:rsidRPr="00916F42">
        <w:t xml:space="preserve"> USD</w:t>
      </w:r>
      <w:r>
        <w:t xml:space="preserve"> High Schools</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3c provides enrollment, percent of English Learners, percent of students qualifying for the Free and Reduced Program Meal Program for each high school in the existing Mt. Diablo USD for the 2020-21 academic year. "/>
      </w:tblPr>
      <w:tblGrid>
        <w:gridCol w:w="3960"/>
        <w:gridCol w:w="1710"/>
        <w:gridCol w:w="1710"/>
        <w:gridCol w:w="1710"/>
      </w:tblGrid>
      <w:tr w:rsidR="001C19A4" w:rsidRPr="00584630" w14:paraId="4AB08192" w14:textId="77777777" w:rsidTr="005F27A6">
        <w:trPr>
          <w:trHeight w:val="288"/>
          <w:tblHeader/>
        </w:trPr>
        <w:tc>
          <w:tcPr>
            <w:tcW w:w="3960" w:type="dxa"/>
            <w:shd w:val="clear" w:color="auto" w:fill="D9D9D9" w:themeFill="background1" w:themeFillShade="D9"/>
            <w:noWrap/>
            <w:hideMark/>
          </w:tcPr>
          <w:p w14:paraId="5BD8E702" w14:textId="77777777" w:rsidR="001C19A4" w:rsidRPr="00584630" w:rsidRDefault="001C19A4" w:rsidP="005F27A6">
            <w:pPr>
              <w:pStyle w:val="NoSpacing"/>
              <w:jc w:val="center"/>
              <w:rPr>
                <w:b/>
              </w:rPr>
            </w:pPr>
            <w:r w:rsidRPr="00584630">
              <w:rPr>
                <w:b/>
              </w:rPr>
              <w:t>School Name</w:t>
            </w:r>
          </w:p>
        </w:tc>
        <w:tc>
          <w:tcPr>
            <w:tcW w:w="1710" w:type="dxa"/>
            <w:shd w:val="clear" w:color="auto" w:fill="D9D9D9" w:themeFill="background1" w:themeFillShade="D9"/>
            <w:noWrap/>
            <w:hideMark/>
          </w:tcPr>
          <w:p w14:paraId="2B232593" w14:textId="77777777" w:rsidR="001C19A4" w:rsidRPr="00584630" w:rsidRDefault="001C19A4" w:rsidP="005F27A6">
            <w:pPr>
              <w:pStyle w:val="NoSpacing"/>
              <w:jc w:val="center"/>
              <w:rPr>
                <w:b/>
              </w:rPr>
            </w:pPr>
            <w:r w:rsidRPr="00584630">
              <w:rPr>
                <w:b/>
              </w:rPr>
              <w:t>Enrollment</w:t>
            </w:r>
          </w:p>
        </w:tc>
        <w:tc>
          <w:tcPr>
            <w:tcW w:w="1710" w:type="dxa"/>
            <w:shd w:val="clear" w:color="auto" w:fill="D9D9D9" w:themeFill="background1" w:themeFillShade="D9"/>
          </w:tcPr>
          <w:p w14:paraId="7E6536D0" w14:textId="77777777" w:rsidR="001C19A4" w:rsidRPr="00584630" w:rsidRDefault="001C19A4" w:rsidP="005F27A6">
            <w:pPr>
              <w:pStyle w:val="NoSpacing"/>
              <w:jc w:val="center"/>
              <w:rPr>
                <w:b/>
              </w:rPr>
            </w:pPr>
            <w:r w:rsidRPr="00584630">
              <w:rPr>
                <w:b/>
              </w:rPr>
              <w:t>EL (%)</w:t>
            </w:r>
          </w:p>
        </w:tc>
        <w:tc>
          <w:tcPr>
            <w:tcW w:w="1710" w:type="dxa"/>
            <w:shd w:val="clear" w:color="auto" w:fill="D9D9D9" w:themeFill="background1" w:themeFillShade="D9"/>
            <w:noWrap/>
            <w:hideMark/>
          </w:tcPr>
          <w:p w14:paraId="0BF4D588" w14:textId="77777777" w:rsidR="001C19A4" w:rsidRPr="00584630" w:rsidRDefault="001C19A4" w:rsidP="005F27A6">
            <w:pPr>
              <w:pStyle w:val="NoSpacing"/>
              <w:jc w:val="center"/>
              <w:rPr>
                <w:b/>
              </w:rPr>
            </w:pPr>
            <w:r w:rsidRPr="00584630">
              <w:rPr>
                <w:b/>
              </w:rPr>
              <w:t>FRPM (%)</w:t>
            </w:r>
          </w:p>
        </w:tc>
      </w:tr>
      <w:tr w:rsidR="001C19A4" w:rsidRPr="00540497" w14:paraId="277E3E87" w14:textId="77777777" w:rsidTr="005F27A6">
        <w:trPr>
          <w:trHeight w:val="288"/>
        </w:trPr>
        <w:tc>
          <w:tcPr>
            <w:tcW w:w="3960" w:type="dxa"/>
            <w:noWrap/>
            <w:hideMark/>
          </w:tcPr>
          <w:p w14:paraId="70679C99" w14:textId="77777777" w:rsidR="001C19A4" w:rsidRPr="00540497" w:rsidRDefault="001C19A4" w:rsidP="005F27A6">
            <w:pPr>
              <w:pStyle w:val="NoSpacing"/>
            </w:pPr>
            <w:r w:rsidRPr="004D3C46">
              <w:t>College Park High</w:t>
            </w:r>
          </w:p>
        </w:tc>
        <w:tc>
          <w:tcPr>
            <w:tcW w:w="1710" w:type="dxa"/>
            <w:noWrap/>
            <w:hideMark/>
          </w:tcPr>
          <w:p w14:paraId="51EF7C43" w14:textId="77777777" w:rsidR="001C19A4" w:rsidRPr="00540497" w:rsidRDefault="001C19A4" w:rsidP="005F27A6">
            <w:pPr>
              <w:pStyle w:val="NoSpacing"/>
              <w:jc w:val="right"/>
            </w:pPr>
            <w:r w:rsidRPr="004D3C46">
              <w:t>2</w:t>
            </w:r>
            <w:r>
              <w:t>,</w:t>
            </w:r>
            <w:r w:rsidRPr="004D3C46">
              <w:t>050</w:t>
            </w:r>
          </w:p>
        </w:tc>
        <w:tc>
          <w:tcPr>
            <w:tcW w:w="1710" w:type="dxa"/>
          </w:tcPr>
          <w:p w14:paraId="6B7EF8B8" w14:textId="77777777" w:rsidR="001C19A4" w:rsidRPr="004D3C46" w:rsidRDefault="001C19A4" w:rsidP="005F27A6">
            <w:pPr>
              <w:pStyle w:val="NoSpacing"/>
              <w:jc w:val="right"/>
            </w:pPr>
            <w:r w:rsidRPr="004D3C46">
              <w:t>6.2%</w:t>
            </w:r>
          </w:p>
        </w:tc>
        <w:tc>
          <w:tcPr>
            <w:tcW w:w="1710" w:type="dxa"/>
            <w:noWrap/>
            <w:hideMark/>
          </w:tcPr>
          <w:p w14:paraId="011897A5" w14:textId="77777777" w:rsidR="001C19A4" w:rsidRPr="00540497" w:rsidRDefault="001C19A4" w:rsidP="005F27A6">
            <w:pPr>
              <w:pStyle w:val="NoSpacing"/>
              <w:jc w:val="right"/>
            </w:pPr>
            <w:r w:rsidRPr="004D3C46">
              <w:t>21.7%</w:t>
            </w:r>
          </w:p>
        </w:tc>
      </w:tr>
      <w:tr w:rsidR="001C19A4" w:rsidRPr="00540497" w14:paraId="73B3BB99" w14:textId="77777777" w:rsidTr="005F27A6">
        <w:trPr>
          <w:trHeight w:val="288"/>
        </w:trPr>
        <w:tc>
          <w:tcPr>
            <w:tcW w:w="3960" w:type="dxa"/>
            <w:noWrap/>
            <w:hideMark/>
          </w:tcPr>
          <w:p w14:paraId="3131939E" w14:textId="77777777" w:rsidR="001C19A4" w:rsidRPr="00540497" w:rsidRDefault="001C19A4" w:rsidP="005F27A6">
            <w:pPr>
              <w:pStyle w:val="NoSpacing"/>
            </w:pPr>
            <w:r w:rsidRPr="004D3C46">
              <w:t>Concord High</w:t>
            </w:r>
          </w:p>
        </w:tc>
        <w:tc>
          <w:tcPr>
            <w:tcW w:w="1710" w:type="dxa"/>
            <w:noWrap/>
            <w:hideMark/>
          </w:tcPr>
          <w:p w14:paraId="55F8D9D2" w14:textId="77777777" w:rsidR="001C19A4" w:rsidRPr="00540497" w:rsidRDefault="001C19A4" w:rsidP="005F27A6">
            <w:pPr>
              <w:pStyle w:val="NoSpacing"/>
              <w:jc w:val="right"/>
            </w:pPr>
            <w:r w:rsidRPr="004D3C46">
              <w:t>1</w:t>
            </w:r>
            <w:r>
              <w:t>,</w:t>
            </w:r>
            <w:r w:rsidRPr="004D3C46">
              <w:t>187</w:t>
            </w:r>
          </w:p>
        </w:tc>
        <w:tc>
          <w:tcPr>
            <w:tcW w:w="1710" w:type="dxa"/>
          </w:tcPr>
          <w:p w14:paraId="46C91F13" w14:textId="77777777" w:rsidR="001C19A4" w:rsidRPr="004D3C46" w:rsidRDefault="001C19A4" w:rsidP="005F27A6">
            <w:pPr>
              <w:pStyle w:val="NoSpacing"/>
              <w:jc w:val="right"/>
            </w:pPr>
            <w:r w:rsidRPr="004D3C46">
              <w:t>14.2%</w:t>
            </w:r>
          </w:p>
        </w:tc>
        <w:tc>
          <w:tcPr>
            <w:tcW w:w="1710" w:type="dxa"/>
            <w:noWrap/>
            <w:hideMark/>
          </w:tcPr>
          <w:p w14:paraId="2CB9EC87" w14:textId="77777777" w:rsidR="001C19A4" w:rsidRPr="00540497" w:rsidRDefault="001C19A4" w:rsidP="005F27A6">
            <w:pPr>
              <w:pStyle w:val="NoSpacing"/>
              <w:jc w:val="right"/>
            </w:pPr>
            <w:r w:rsidRPr="004D3C46">
              <w:t>46.5%</w:t>
            </w:r>
          </w:p>
        </w:tc>
      </w:tr>
      <w:tr w:rsidR="001C19A4" w:rsidRPr="00540497" w14:paraId="18FCB536" w14:textId="77777777" w:rsidTr="005F27A6">
        <w:trPr>
          <w:trHeight w:val="288"/>
        </w:trPr>
        <w:tc>
          <w:tcPr>
            <w:tcW w:w="3960" w:type="dxa"/>
            <w:noWrap/>
            <w:hideMark/>
          </w:tcPr>
          <w:p w14:paraId="5130E480" w14:textId="77777777" w:rsidR="001C19A4" w:rsidRPr="00540497" w:rsidRDefault="001C19A4" w:rsidP="005F27A6">
            <w:pPr>
              <w:pStyle w:val="NoSpacing"/>
            </w:pPr>
            <w:r w:rsidRPr="004D3C46">
              <w:t>Mt. Diablo High</w:t>
            </w:r>
          </w:p>
        </w:tc>
        <w:tc>
          <w:tcPr>
            <w:tcW w:w="1710" w:type="dxa"/>
            <w:noWrap/>
            <w:hideMark/>
          </w:tcPr>
          <w:p w14:paraId="5BBAEF85" w14:textId="77777777" w:rsidR="001C19A4" w:rsidRPr="00540497" w:rsidRDefault="001C19A4" w:rsidP="005F27A6">
            <w:pPr>
              <w:pStyle w:val="NoSpacing"/>
              <w:jc w:val="right"/>
            </w:pPr>
            <w:r w:rsidRPr="004D3C46">
              <w:t>1</w:t>
            </w:r>
            <w:r>
              <w:t>,</w:t>
            </w:r>
            <w:r w:rsidRPr="004D3C46">
              <w:t>567</w:t>
            </w:r>
          </w:p>
        </w:tc>
        <w:tc>
          <w:tcPr>
            <w:tcW w:w="1710" w:type="dxa"/>
          </w:tcPr>
          <w:p w14:paraId="2D83A62C" w14:textId="77777777" w:rsidR="001C19A4" w:rsidRPr="004D3C46" w:rsidRDefault="001C19A4" w:rsidP="005F27A6">
            <w:pPr>
              <w:pStyle w:val="NoSpacing"/>
              <w:jc w:val="right"/>
            </w:pPr>
            <w:r w:rsidRPr="004D3C46">
              <w:t>31.1%</w:t>
            </w:r>
          </w:p>
        </w:tc>
        <w:tc>
          <w:tcPr>
            <w:tcW w:w="1710" w:type="dxa"/>
            <w:noWrap/>
            <w:hideMark/>
          </w:tcPr>
          <w:p w14:paraId="2E8AAC32" w14:textId="77777777" w:rsidR="001C19A4" w:rsidRPr="00540497" w:rsidRDefault="001C19A4" w:rsidP="005F27A6">
            <w:pPr>
              <w:pStyle w:val="NoSpacing"/>
              <w:jc w:val="right"/>
            </w:pPr>
            <w:r w:rsidRPr="004D3C46">
              <w:t>65.2%</w:t>
            </w:r>
          </w:p>
        </w:tc>
      </w:tr>
      <w:tr w:rsidR="001C19A4" w:rsidRPr="00540497" w14:paraId="489D8B62" w14:textId="77777777" w:rsidTr="005F27A6">
        <w:trPr>
          <w:trHeight w:val="288"/>
        </w:trPr>
        <w:tc>
          <w:tcPr>
            <w:tcW w:w="3960" w:type="dxa"/>
            <w:noWrap/>
            <w:hideMark/>
          </w:tcPr>
          <w:p w14:paraId="31C09130" w14:textId="77777777" w:rsidR="001C19A4" w:rsidRPr="00540497" w:rsidRDefault="001C19A4" w:rsidP="005F27A6">
            <w:pPr>
              <w:pStyle w:val="NoSpacing"/>
            </w:pPr>
            <w:r w:rsidRPr="004D3C46">
              <w:t>Northgate High</w:t>
            </w:r>
          </w:p>
        </w:tc>
        <w:tc>
          <w:tcPr>
            <w:tcW w:w="1710" w:type="dxa"/>
            <w:noWrap/>
            <w:hideMark/>
          </w:tcPr>
          <w:p w14:paraId="438EBD99" w14:textId="77777777" w:rsidR="001C19A4" w:rsidRPr="00540497" w:rsidRDefault="001C19A4" w:rsidP="005F27A6">
            <w:pPr>
              <w:pStyle w:val="NoSpacing"/>
              <w:jc w:val="right"/>
            </w:pPr>
            <w:r w:rsidRPr="004D3C46">
              <w:t>1</w:t>
            </w:r>
            <w:r>
              <w:t>,</w:t>
            </w:r>
            <w:r w:rsidRPr="004D3C46">
              <w:t>492</w:t>
            </w:r>
          </w:p>
        </w:tc>
        <w:tc>
          <w:tcPr>
            <w:tcW w:w="1710" w:type="dxa"/>
          </w:tcPr>
          <w:p w14:paraId="560C6448" w14:textId="77777777" w:rsidR="001C19A4" w:rsidRPr="004D3C46" w:rsidRDefault="001C19A4" w:rsidP="005F27A6">
            <w:pPr>
              <w:pStyle w:val="NoSpacing"/>
              <w:jc w:val="right"/>
            </w:pPr>
            <w:r w:rsidRPr="004D3C46">
              <w:t>1.7%</w:t>
            </w:r>
          </w:p>
        </w:tc>
        <w:tc>
          <w:tcPr>
            <w:tcW w:w="1710" w:type="dxa"/>
            <w:noWrap/>
            <w:hideMark/>
          </w:tcPr>
          <w:p w14:paraId="347005DC" w14:textId="77777777" w:rsidR="001C19A4" w:rsidRPr="00540497" w:rsidRDefault="001C19A4" w:rsidP="005F27A6">
            <w:pPr>
              <w:pStyle w:val="NoSpacing"/>
              <w:jc w:val="right"/>
            </w:pPr>
            <w:r w:rsidRPr="004D3C46">
              <w:t>10.7%</w:t>
            </w:r>
          </w:p>
        </w:tc>
      </w:tr>
      <w:tr w:rsidR="001C19A4" w:rsidRPr="00540497" w14:paraId="41BB4CB9" w14:textId="77777777" w:rsidTr="005F27A6">
        <w:trPr>
          <w:trHeight w:val="288"/>
        </w:trPr>
        <w:tc>
          <w:tcPr>
            <w:tcW w:w="3960" w:type="dxa"/>
            <w:noWrap/>
            <w:hideMark/>
          </w:tcPr>
          <w:p w14:paraId="5EF90CDC" w14:textId="77777777" w:rsidR="001C19A4" w:rsidRPr="00540497" w:rsidRDefault="001C19A4" w:rsidP="005F27A6">
            <w:pPr>
              <w:pStyle w:val="NoSpacing"/>
            </w:pPr>
            <w:r w:rsidRPr="004D3C46">
              <w:t>Ygnacio Valley High</w:t>
            </w:r>
          </w:p>
        </w:tc>
        <w:tc>
          <w:tcPr>
            <w:tcW w:w="1710" w:type="dxa"/>
            <w:noWrap/>
            <w:hideMark/>
          </w:tcPr>
          <w:p w14:paraId="136F4118" w14:textId="77777777" w:rsidR="001C19A4" w:rsidRPr="00540497" w:rsidRDefault="001C19A4" w:rsidP="005F27A6">
            <w:pPr>
              <w:pStyle w:val="NoSpacing"/>
              <w:jc w:val="right"/>
            </w:pPr>
            <w:r w:rsidRPr="004D3C46">
              <w:t>1</w:t>
            </w:r>
            <w:r>
              <w:t>,</w:t>
            </w:r>
            <w:r w:rsidRPr="004D3C46">
              <w:t>265</w:t>
            </w:r>
          </w:p>
        </w:tc>
        <w:tc>
          <w:tcPr>
            <w:tcW w:w="1710" w:type="dxa"/>
          </w:tcPr>
          <w:p w14:paraId="2E210226" w14:textId="77777777" w:rsidR="001C19A4" w:rsidRPr="004D3C46" w:rsidRDefault="001C19A4" w:rsidP="005F27A6">
            <w:pPr>
              <w:pStyle w:val="NoSpacing"/>
              <w:jc w:val="right"/>
            </w:pPr>
            <w:r w:rsidRPr="004D3C46">
              <w:t>27.2%</w:t>
            </w:r>
          </w:p>
        </w:tc>
        <w:tc>
          <w:tcPr>
            <w:tcW w:w="1710" w:type="dxa"/>
            <w:noWrap/>
            <w:hideMark/>
          </w:tcPr>
          <w:p w14:paraId="435C29C5" w14:textId="77777777" w:rsidR="001C19A4" w:rsidRPr="00540497" w:rsidRDefault="001C19A4" w:rsidP="005F27A6">
            <w:pPr>
              <w:pStyle w:val="NoSpacing"/>
              <w:jc w:val="right"/>
            </w:pPr>
            <w:r w:rsidRPr="004D3C46">
              <w:t>67.0%</w:t>
            </w:r>
          </w:p>
        </w:tc>
      </w:tr>
      <w:tr w:rsidR="001C19A4" w:rsidRPr="00E10745" w14:paraId="08FDABE8" w14:textId="77777777" w:rsidTr="005F27A6">
        <w:trPr>
          <w:trHeight w:val="288"/>
        </w:trPr>
        <w:tc>
          <w:tcPr>
            <w:tcW w:w="3960" w:type="dxa"/>
            <w:noWrap/>
          </w:tcPr>
          <w:p w14:paraId="497B2D19" w14:textId="77777777" w:rsidR="001C19A4" w:rsidRPr="00E10745" w:rsidRDefault="001C19A4" w:rsidP="005F27A6">
            <w:pPr>
              <w:pStyle w:val="NoSpacing"/>
              <w:rPr>
                <w:b/>
              </w:rPr>
            </w:pPr>
            <w:r w:rsidRPr="00E10745">
              <w:rPr>
                <w:b/>
              </w:rPr>
              <w:t>Total</w:t>
            </w:r>
          </w:p>
        </w:tc>
        <w:tc>
          <w:tcPr>
            <w:tcW w:w="1710" w:type="dxa"/>
            <w:noWrap/>
          </w:tcPr>
          <w:p w14:paraId="157DF466" w14:textId="77777777" w:rsidR="001C19A4" w:rsidRPr="00E10745" w:rsidRDefault="001C19A4" w:rsidP="005F27A6">
            <w:pPr>
              <w:pStyle w:val="NoSpacing"/>
              <w:jc w:val="right"/>
              <w:rPr>
                <w:b/>
              </w:rPr>
            </w:pPr>
            <w:r w:rsidRPr="00E10745">
              <w:rPr>
                <w:b/>
              </w:rPr>
              <w:t>7,561</w:t>
            </w:r>
          </w:p>
        </w:tc>
        <w:tc>
          <w:tcPr>
            <w:tcW w:w="1710" w:type="dxa"/>
          </w:tcPr>
          <w:p w14:paraId="1C159824" w14:textId="77777777" w:rsidR="001C19A4" w:rsidRPr="00E10745" w:rsidRDefault="001C19A4" w:rsidP="005F27A6">
            <w:pPr>
              <w:pStyle w:val="NoSpacing"/>
              <w:jc w:val="right"/>
              <w:rPr>
                <w:b/>
              </w:rPr>
            </w:pPr>
            <w:r w:rsidRPr="00E10745">
              <w:rPr>
                <w:b/>
              </w:rPr>
              <w:t>15.</w:t>
            </w:r>
            <w:r>
              <w:rPr>
                <w:b/>
              </w:rPr>
              <w:t>3</w:t>
            </w:r>
            <w:r w:rsidRPr="00E10745">
              <w:rPr>
                <w:b/>
              </w:rPr>
              <w:t>%</w:t>
            </w:r>
          </w:p>
        </w:tc>
        <w:tc>
          <w:tcPr>
            <w:tcW w:w="1710" w:type="dxa"/>
            <w:noWrap/>
          </w:tcPr>
          <w:p w14:paraId="037A6191" w14:textId="77777777" w:rsidR="001C19A4" w:rsidRPr="00E10745" w:rsidRDefault="001C19A4" w:rsidP="005F27A6">
            <w:pPr>
              <w:pStyle w:val="NoSpacing"/>
              <w:jc w:val="right"/>
              <w:rPr>
                <w:b/>
              </w:rPr>
            </w:pPr>
            <w:r w:rsidRPr="00E10745">
              <w:rPr>
                <w:b/>
              </w:rPr>
              <w:t>40.0%</w:t>
            </w:r>
          </w:p>
        </w:tc>
      </w:tr>
    </w:tbl>
    <w:p w14:paraId="06B8878D" w14:textId="77777777" w:rsidR="001C19A4" w:rsidRPr="00F76924" w:rsidRDefault="001C19A4" w:rsidP="005F27A6">
      <w:pPr>
        <w:spacing w:before="120"/>
        <w:ind w:left="360"/>
        <w:rPr>
          <w:rStyle w:val="Strong"/>
          <w:i/>
        </w:rPr>
      </w:pPr>
      <w:r w:rsidRPr="00F76924">
        <w:rPr>
          <w:rStyle w:val="Strong"/>
          <w:i/>
        </w:rPr>
        <w:t>Source: CALPADS, Fiscal Year 2020–21</w:t>
      </w:r>
    </w:p>
    <w:p w14:paraId="7034DC66" w14:textId="77777777" w:rsidR="001C19A4" w:rsidRPr="00916F42" w:rsidRDefault="001C19A4" w:rsidP="00AF653A">
      <w:pPr>
        <w:pStyle w:val="Heading4"/>
      </w:pPr>
      <w:r w:rsidRPr="00916F42">
        <w:t xml:space="preserve">Table </w:t>
      </w:r>
      <w:r>
        <w:t>3d</w:t>
      </w:r>
      <w:r w:rsidRPr="00916F42">
        <w:t>: EL and FRPM Students</w:t>
      </w:r>
      <w:r>
        <w:t>: District Level</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3d provides enrollment, percent of English Learners, percent of students qualifying for the Free and Reduced Program Meal Program by school type in the existing Mt. Diablo USD for the 2020-21 academic year. "/>
      </w:tblPr>
      <w:tblGrid>
        <w:gridCol w:w="3960"/>
        <w:gridCol w:w="1710"/>
        <w:gridCol w:w="1710"/>
        <w:gridCol w:w="1710"/>
      </w:tblGrid>
      <w:tr w:rsidR="001C19A4" w:rsidRPr="00584630" w14:paraId="2645A23E" w14:textId="77777777" w:rsidTr="005F27A6">
        <w:trPr>
          <w:trHeight w:val="288"/>
          <w:tblHeader/>
        </w:trPr>
        <w:tc>
          <w:tcPr>
            <w:tcW w:w="3960" w:type="dxa"/>
            <w:shd w:val="clear" w:color="auto" w:fill="D9D9D9" w:themeFill="background1" w:themeFillShade="D9"/>
            <w:noWrap/>
            <w:hideMark/>
          </w:tcPr>
          <w:p w14:paraId="36F82D64" w14:textId="77777777" w:rsidR="001C19A4" w:rsidRPr="00584630" w:rsidRDefault="001C19A4" w:rsidP="005F27A6">
            <w:pPr>
              <w:pStyle w:val="NoSpacing"/>
              <w:jc w:val="center"/>
              <w:rPr>
                <w:b/>
              </w:rPr>
            </w:pPr>
            <w:r>
              <w:rPr>
                <w:b/>
              </w:rPr>
              <w:t>School Type</w:t>
            </w:r>
          </w:p>
        </w:tc>
        <w:tc>
          <w:tcPr>
            <w:tcW w:w="1710" w:type="dxa"/>
            <w:shd w:val="clear" w:color="auto" w:fill="D9D9D9" w:themeFill="background1" w:themeFillShade="D9"/>
            <w:noWrap/>
            <w:hideMark/>
          </w:tcPr>
          <w:p w14:paraId="69F22460" w14:textId="77777777" w:rsidR="001C19A4" w:rsidRPr="00584630" w:rsidRDefault="001C19A4" w:rsidP="005F27A6">
            <w:pPr>
              <w:pStyle w:val="NoSpacing"/>
              <w:jc w:val="center"/>
              <w:rPr>
                <w:b/>
              </w:rPr>
            </w:pPr>
            <w:r w:rsidRPr="00584630">
              <w:rPr>
                <w:b/>
              </w:rPr>
              <w:t>Enrollment</w:t>
            </w:r>
          </w:p>
        </w:tc>
        <w:tc>
          <w:tcPr>
            <w:tcW w:w="1710" w:type="dxa"/>
            <w:shd w:val="clear" w:color="auto" w:fill="D9D9D9" w:themeFill="background1" w:themeFillShade="D9"/>
          </w:tcPr>
          <w:p w14:paraId="096A68EB" w14:textId="77777777" w:rsidR="001C19A4" w:rsidRPr="00584630" w:rsidRDefault="001C19A4" w:rsidP="005F27A6">
            <w:pPr>
              <w:pStyle w:val="NoSpacing"/>
              <w:jc w:val="center"/>
              <w:rPr>
                <w:b/>
              </w:rPr>
            </w:pPr>
            <w:r w:rsidRPr="00584630">
              <w:rPr>
                <w:b/>
              </w:rPr>
              <w:t>EL (%)</w:t>
            </w:r>
          </w:p>
        </w:tc>
        <w:tc>
          <w:tcPr>
            <w:tcW w:w="1710" w:type="dxa"/>
            <w:shd w:val="clear" w:color="auto" w:fill="D9D9D9" w:themeFill="background1" w:themeFillShade="D9"/>
            <w:noWrap/>
            <w:hideMark/>
          </w:tcPr>
          <w:p w14:paraId="5247C461" w14:textId="77777777" w:rsidR="001C19A4" w:rsidRPr="00584630" w:rsidRDefault="001C19A4" w:rsidP="005F27A6">
            <w:pPr>
              <w:pStyle w:val="NoSpacing"/>
              <w:jc w:val="center"/>
              <w:rPr>
                <w:b/>
              </w:rPr>
            </w:pPr>
            <w:r w:rsidRPr="00584630">
              <w:rPr>
                <w:b/>
              </w:rPr>
              <w:t>FRPM (%)</w:t>
            </w:r>
          </w:p>
        </w:tc>
      </w:tr>
      <w:tr w:rsidR="001C19A4" w:rsidRPr="00540497" w14:paraId="4DD87394" w14:textId="77777777" w:rsidTr="005F27A6">
        <w:trPr>
          <w:trHeight w:val="288"/>
        </w:trPr>
        <w:tc>
          <w:tcPr>
            <w:tcW w:w="3960" w:type="dxa"/>
            <w:noWrap/>
            <w:hideMark/>
          </w:tcPr>
          <w:p w14:paraId="586DF8AB" w14:textId="77777777" w:rsidR="001C19A4" w:rsidRPr="00540497" w:rsidRDefault="001C19A4" w:rsidP="005F27A6">
            <w:pPr>
              <w:pStyle w:val="NoSpacing"/>
            </w:pPr>
            <w:r>
              <w:t>Elementary</w:t>
            </w:r>
          </w:p>
        </w:tc>
        <w:tc>
          <w:tcPr>
            <w:tcW w:w="1710" w:type="dxa"/>
            <w:noWrap/>
            <w:hideMark/>
          </w:tcPr>
          <w:p w14:paraId="0DE9914A" w14:textId="77777777" w:rsidR="001C19A4" w:rsidRPr="00540497" w:rsidRDefault="001C19A4" w:rsidP="005F27A6">
            <w:pPr>
              <w:pStyle w:val="NoSpacing"/>
              <w:jc w:val="right"/>
            </w:pPr>
            <w:r w:rsidRPr="00E10745">
              <w:t>14</w:t>
            </w:r>
            <w:r>
              <w:t>,</w:t>
            </w:r>
            <w:r w:rsidRPr="00E10745">
              <w:t>338</w:t>
            </w:r>
          </w:p>
        </w:tc>
        <w:tc>
          <w:tcPr>
            <w:tcW w:w="1710" w:type="dxa"/>
          </w:tcPr>
          <w:p w14:paraId="54777D34" w14:textId="77777777" w:rsidR="001C19A4" w:rsidRPr="004D3C46" w:rsidRDefault="001C19A4" w:rsidP="005F27A6">
            <w:pPr>
              <w:pStyle w:val="NoSpacing"/>
              <w:jc w:val="right"/>
            </w:pPr>
            <w:r w:rsidRPr="00CF676D">
              <w:t>24.1%</w:t>
            </w:r>
          </w:p>
        </w:tc>
        <w:tc>
          <w:tcPr>
            <w:tcW w:w="1710" w:type="dxa"/>
            <w:noWrap/>
            <w:hideMark/>
          </w:tcPr>
          <w:p w14:paraId="070B0C03" w14:textId="77777777" w:rsidR="001C19A4" w:rsidRPr="00540497" w:rsidRDefault="001C19A4" w:rsidP="005F27A6">
            <w:pPr>
              <w:pStyle w:val="NoSpacing"/>
              <w:jc w:val="right"/>
            </w:pPr>
            <w:r w:rsidRPr="00CF676D">
              <w:t>38.4%</w:t>
            </w:r>
          </w:p>
        </w:tc>
      </w:tr>
      <w:tr w:rsidR="001C19A4" w:rsidRPr="00540497" w14:paraId="6E590BF4" w14:textId="77777777" w:rsidTr="005F27A6">
        <w:trPr>
          <w:trHeight w:val="288"/>
        </w:trPr>
        <w:tc>
          <w:tcPr>
            <w:tcW w:w="3960" w:type="dxa"/>
            <w:noWrap/>
          </w:tcPr>
          <w:p w14:paraId="03D6E037" w14:textId="77777777" w:rsidR="001C19A4" w:rsidRDefault="001C19A4" w:rsidP="005F27A6">
            <w:pPr>
              <w:pStyle w:val="NoSpacing"/>
            </w:pPr>
            <w:r>
              <w:t>Middle</w:t>
            </w:r>
          </w:p>
        </w:tc>
        <w:tc>
          <w:tcPr>
            <w:tcW w:w="1710" w:type="dxa"/>
            <w:noWrap/>
          </w:tcPr>
          <w:p w14:paraId="65646396" w14:textId="77777777" w:rsidR="001C19A4" w:rsidRPr="004D3C46" w:rsidRDefault="001C19A4" w:rsidP="005F27A6">
            <w:pPr>
              <w:pStyle w:val="NoSpacing"/>
              <w:jc w:val="right"/>
            </w:pPr>
            <w:r w:rsidRPr="00E10745">
              <w:t>6</w:t>
            </w:r>
            <w:r>
              <w:t>,</w:t>
            </w:r>
            <w:r w:rsidRPr="00E10745">
              <w:t>737</w:t>
            </w:r>
          </w:p>
        </w:tc>
        <w:tc>
          <w:tcPr>
            <w:tcW w:w="1710" w:type="dxa"/>
          </w:tcPr>
          <w:p w14:paraId="574D67E1" w14:textId="77777777" w:rsidR="001C19A4" w:rsidRPr="004D3C46" w:rsidRDefault="001C19A4" w:rsidP="005F27A6">
            <w:pPr>
              <w:pStyle w:val="NoSpacing"/>
              <w:jc w:val="right"/>
            </w:pPr>
            <w:r w:rsidRPr="00601BD0">
              <w:t>18.</w:t>
            </w:r>
            <w:r>
              <w:t>6</w:t>
            </w:r>
            <w:r w:rsidRPr="00601BD0">
              <w:t>%</w:t>
            </w:r>
          </w:p>
        </w:tc>
        <w:tc>
          <w:tcPr>
            <w:tcW w:w="1710" w:type="dxa"/>
            <w:noWrap/>
          </w:tcPr>
          <w:p w14:paraId="4F96FC47" w14:textId="77777777" w:rsidR="001C19A4" w:rsidRPr="004D3C46" w:rsidRDefault="001C19A4" w:rsidP="005F27A6">
            <w:pPr>
              <w:pStyle w:val="NoSpacing"/>
              <w:jc w:val="right"/>
            </w:pPr>
            <w:r w:rsidRPr="00601BD0">
              <w:t>40.5%</w:t>
            </w:r>
          </w:p>
        </w:tc>
      </w:tr>
      <w:tr w:rsidR="001C19A4" w:rsidRPr="00540497" w14:paraId="5EA7425B" w14:textId="77777777" w:rsidTr="005F27A6">
        <w:trPr>
          <w:trHeight w:val="288"/>
        </w:trPr>
        <w:tc>
          <w:tcPr>
            <w:tcW w:w="3960" w:type="dxa"/>
            <w:noWrap/>
          </w:tcPr>
          <w:p w14:paraId="692C7983" w14:textId="77777777" w:rsidR="001C19A4" w:rsidRDefault="001C19A4" w:rsidP="005F27A6">
            <w:pPr>
              <w:pStyle w:val="NoSpacing"/>
            </w:pPr>
            <w:r>
              <w:t>High</w:t>
            </w:r>
          </w:p>
        </w:tc>
        <w:tc>
          <w:tcPr>
            <w:tcW w:w="1710" w:type="dxa"/>
            <w:noWrap/>
          </w:tcPr>
          <w:p w14:paraId="6A3E89C1" w14:textId="77777777" w:rsidR="001C19A4" w:rsidRPr="004D3C46" w:rsidRDefault="001C19A4" w:rsidP="005F27A6">
            <w:pPr>
              <w:pStyle w:val="NoSpacing"/>
              <w:jc w:val="right"/>
            </w:pPr>
            <w:r w:rsidRPr="00E10745">
              <w:t>7</w:t>
            </w:r>
            <w:r>
              <w:t>,</w:t>
            </w:r>
            <w:r w:rsidRPr="00E10745">
              <w:t>561</w:t>
            </w:r>
          </w:p>
        </w:tc>
        <w:tc>
          <w:tcPr>
            <w:tcW w:w="1710" w:type="dxa"/>
          </w:tcPr>
          <w:p w14:paraId="7C3791EB" w14:textId="77777777" w:rsidR="001C19A4" w:rsidRPr="004D3C46" w:rsidRDefault="001C19A4" w:rsidP="005F27A6">
            <w:pPr>
              <w:pStyle w:val="NoSpacing"/>
              <w:jc w:val="right"/>
            </w:pPr>
            <w:r w:rsidRPr="00133DFF">
              <w:t>15.</w:t>
            </w:r>
            <w:r>
              <w:t>3</w:t>
            </w:r>
            <w:r w:rsidRPr="00133DFF">
              <w:t>%</w:t>
            </w:r>
          </w:p>
        </w:tc>
        <w:tc>
          <w:tcPr>
            <w:tcW w:w="1710" w:type="dxa"/>
            <w:noWrap/>
          </w:tcPr>
          <w:p w14:paraId="7AE5D848" w14:textId="77777777" w:rsidR="001C19A4" w:rsidRPr="004D3C46" w:rsidRDefault="001C19A4" w:rsidP="005F27A6">
            <w:pPr>
              <w:pStyle w:val="NoSpacing"/>
              <w:jc w:val="right"/>
            </w:pPr>
            <w:r w:rsidRPr="00133DFF">
              <w:t>40.0%</w:t>
            </w:r>
          </w:p>
        </w:tc>
      </w:tr>
      <w:tr w:rsidR="001C19A4" w:rsidRPr="00540497" w14:paraId="501BAB6A" w14:textId="77777777" w:rsidTr="005F27A6">
        <w:trPr>
          <w:trHeight w:val="288"/>
        </w:trPr>
        <w:tc>
          <w:tcPr>
            <w:tcW w:w="3960" w:type="dxa"/>
            <w:noWrap/>
          </w:tcPr>
          <w:p w14:paraId="51A9952B" w14:textId="77777777" w:rsidR="001C19A4" w:rsidRPr="008E0281" w:rsidRDefault="001C19A4" w:rsidP="005F27A6">
            <w:pPr>
              <w:pStyle w:val="NoSpacing"/>
              <w:rPr>
                <w:b/>
              </w:rPr>
            </w:pPr>
            <w:r w:rsidRPr="008E0281">
              <w:rPr>
                <w:b/>
              </w:rPr>
              <w:t>Total</w:t>
            </w:r>
          </w:p>
        </w:tc>
        <w:tc>
          <w:tcPr>
            <w:tcW w:w="1710" w:type="dxa"/>
            <w:noWrap/>
          </w:tcPr>
          <w:p w14:paraId="71CC72FA" w14:textId="77777777" w:rsidR="001C19A4" w:rsidRPr="008E0281" w:rsidRDefault="001C19A4" w:rsidP="005F27A6">
            <w:pPr>
              <w:pStyle w:val="NoSpacing"/>
              <w:jc w:val="right"/>
              <w:rPr>
                <w:b/>
              </w:rPr>
            </w:pPr>
            <w:r w:rsidRPr="008E0281">
              <w:rPr>
                <w:b/>
              </w:rPr>
              <w:t>28,636</w:t>
            </w:r>
          </w:p>
        </w:tc>
        <w:tc>
          <w:tcPr>
            <w:tcW w:w="1710" w:type="dxa"/>
          </w:tcPr>
          <w:p w14:paraId="4B63D14A" w14:textId="26715F5C" w:rsidR="001C19A4" w:rsidRPr="008E0281" w:rsidRDefault="00764419" w:rsidP="005F27A6">
            <w:pPr>
              <w:pStyle w:val="NoSpacing"/>
              <w:jc w:val="right"/>
              <w:rPr>
                <w:b/>
              </w:rPr>
            </w:pPr>
            <w:r>
              <w:rPr>
                <w:b/>
              </w:rPr>
              <w:t>20.5</w:t>
            </w:r>
            <w:r w:rsidR="001C19A4" w:rsidRPr="008E0281">
              <w:rPr>
                <w:b/>
              </w:rPr>
              <w:t>%</w:t>
            </w:r>
          </w:p>
        </w:tc>
        <w:tc>
          <w:tcPr>
            <w:tcW w:w="1710" w:type="dxa"/>
            <w:noWrap/>
          </w:tcPr>
          <w:p w14:paraId="4F60D016" w14:textId="2BA94624" w:rsidR="001C19A4" w:rsidRPr="008E0281" w:rsidRDefault="00764419" w:rsidP="005F27A6">
            <w:pPr>
              <w:pStyle w:val="NoSpacing"/>
              <w:jc w:val="right"/>
              <w:rPr>
                <w:b/>
              </w:rPr>
            </w:pPr>
            <w:r w:rsidRPr="008E0281">
              <w:rPr>
                <w:b/>
              </w:rPr>
              <w:t>39.</w:t>
            </w:r>
            <w:r>
              <w:rPr>
                <w:b/>
              </w:rPr>
              <w:t>4</w:t>
            </w:r>
            <w:r w:rsidRPr="008E0281">
              <w:rPr>
                <w:b/>
              </w:rPr>
              <w:t>%</w:t>
            </w:r>
          </w:p>
        </w:tc>
      </w:tr>
    </w:tbl>
    <w:p w14:paraId="508BF007" w14:textId="77777777" w:rsidR="001C19A4" w:rsidRPr="00143922" w:rsidRDefault="001C19A4" w:rsidP="000A33F9">
      <w:pPr>
        <w:pStyle w:val="Heading3"/>
        <w:numPr>
          <w:ilvl w:val="1"/>
          <w:numId w:val="40"/>
        </w:numPr>
        <w:ind w:left="720" w:hanging="720"/>
      </w:pPr>
      <w:r w:rsidRPr="00143922">
        <w:t>Students in Proposed Districts</w:t>
      </w:r>
    </w:p>
    <w:p w14:paraId="23841350" w14:textId="77777777" w:rsidR="001C19A4" w:rsidRDefault="001C19A4" w:rsidP="005F27A6">
      <w:pPr>
        <w:ind w:left="360"/>
        <w:rPr>
          <w:rFonts w:cs="Arial"/>
        </w:rPr>
      </w:pPr>
      <w:r>
        <w:rPr>
          <w:rFonts w:cs="Arial"/>
        </w:rPr>
        <w:t xml:space="preserve">Tables 4a through 4d provide a comparison of the percentages of EL students and students in the FRPM program between the proposed Northgate USD and the remaining portion of Mt. Diablo USD for elementary, middle, and high schools. </w:t>
      </w:r>
    </w:p>
    <w:p w14:paraId="1CE5A494" w14:textId="77777777" w:rsidR="001C19A4" w:rsidRPr="00AF653A" w:rsidRDefault="001C19A4" w:rsidP="00AF653A">
      <w:pPr>
        <w:pStyle w:val="Heading4"/>
        <w:rPr>
          <w:rStyle w:val="Strong"/>
          <w:rFonts w:eastAsiaTheme="majorEastAsia"/>
          <w:b/>
          <w:bCs w:val="0"/>
        </w:rPr>
      </w:pPr>
      <w:r w:rsidRPr="00AF653A">
        <w:rPr>
          <w:rStyle w:val="Strong"/>
          <w:rFonts w:eastAsiaTheme="majorEastAsia"/>
          <w:b/>
          <w:bCs w:val="0"/>
        </w:rPr>
        <w:t>Table 4a. EL and FRPM Students in Northgate USD and Remaining Portion of Mt. Diablo USD Elementary Schools</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4b provides enrollment, percent of English Learners, percent of students qualifying for the Free and Reduced Program Meal Program of the elementary schools in the proposed Northgate USD and in the remaining portion of the Mt. Diablo USD for the 2020-21 academic year. "/>
      </w:tblPr>
      <w:tblGrid>
        <w:gridCol w:w="4320"/>
        <w:gridCol w:w="1800"/>
        <w:gridCol w:w="1530"/>
        <w:gridCol w:w="1440"/>
      </w:tblGrid>
      <w:tr w:rsidR="001C19A4" w:rsidRPr="00B101CA" w14:paraId="7880117B" w14:textId="77777777" w:rsidTr="005F27A6">
        <w:trPr>
          <w:trHeight w:val="15"/>
          <w:tblHeader/>
        </w:trPr>
        <w:tc>
          <w:tcPr>
            <w:tcW w:w="4320" w:type="dxa"/>
            <w:shd w:val="clear" w:color="auto" w:fill="D9D9D9" w:themeFill="background1" w:themeFillShade="D9"/>
            <w:noWrap/>
            <w:vAlign w:val="center"/>
            <w:hideMark/>
          </w:tcPr>
          <w:p w14:paraId="30E7844E" w14:textId="77777777" w:rsidR="001C19A4" w:rsidRPr="00B101CA" w:rsidRDefault="001C19A4" w:rsidP="005F27A6">
            <w:pPr>
              <w:spacing w:after="0"/>
              <w:ind w:left="360"/>
              <w:jc w:val="center"/>
              <w:rPr>
                <w:rFonts w:cs="Arial"/>
                <w:b/>
                <w:bCs/>
              </w:rPr>
            </w:pPr>
            <w:r>
              <w:rPr>
                <w:rFonts w:cs="Arial"/>
                <w:b/>
                <w:bCs/>
              </w:rPr>
              <w:t>Area</w:t>
            </w:r>
          </w:p>
        </w:tc>
        <w:tc>
          <w:tcPr>
            <w:tcW w:w="1800" w:type="dxa"/>
            <w:shd w:val="clear" w:color="auto" w:fill="D9D9D9" w:themeFill="background1" w:themeFillShade="D9"/>
          </w:tcPr>
          <w:p w14:paraId="3CCB6334" w14:textId="77777777" w:rsidR="001C19A4" w:rsidRDefault="001C19A4" w:rsidP="005F27A6">
            <w:pPr>
              <w:spacing w:after="0"/>
              <w:jc w:val="center"/>
              <w:rPr>
                <w:rFonts w:cs="Arial"/>
                <w:b/>
                <w:bCs/>
              </w:rPr>
            </w:pPr>
            <w:r w:rsidRPr="00584630">
              <w:rPr>
                <w:b/>
              </w:rPr>
              <w:t>Enrollment</w:t>
            </w:r>
          </w:p>
        </w:tc>
        <w:tc>
          <w:tcPr>
            <w:tcW w:w="1530" w:type="dxa"/>
            <w:shd w:val="clear" w:color="auto" w:fill="D9D9D9" w:themeFill="background1" w:themeFillShade="D9"/>
            <w:noWrap/>
            <w:vAlign w:val="center"/>
            <w:hideMark/>
          </w:tcPr>
          <w:p w14:paraId="61A98493" w14:textId="77777777" w:rsidR="001C19A4" w:rsidRPr="00B101CA" w:rsidRDefault="001C19A4" w:rsidP="005F27A6">
            <w:pPr>
              <w:spacing w:after="0"/>
              <w:ind w:left="61"/>
              <w:jc w:val="center"/>
              <w:rPr>
                <w:rFonts w:cs="Arial"/>
                <w:b/>
                <w:bCs/>
              </w:rPr>
            </w:pPr>
            <w:r>
              <w:rPr>
                <w:rFonts w:cs="Arial"/>
                <w:b/>
                <w:bCs/>
              </w:rPr>
              <w:t>EL (%)</w:t>
            </w:r>
          </w:p>
        </w:tc>
        <w:tc>
          <w:tcPr>
            <w:tcW w:w="1440" w:type="dxa"/>
            <w:shd w:val="clear" w:color="auto" w:fill="D9D9D9" w:themeFill="background1" w:themeFillShade="D9"/>
            <w:noWrap/>
            <w:vAlign w:val="center"/>
            <w:hideMark/>
          </w:tcPr>
          <w:p w14:paraId="3F4FEE91" w14:textId="77777777" w:rsidR="001C19A4" w:rsidRPr="00B101CA" w:rsidRDefault="001C19A4" w:rsidP="005F27A6">
            <w:pPr>
              <w:spacing w:after="0"/>
              <w:jc w:val="center"/>
              <w:rPr>
                <w:rFonts w:cs="Arial"/>
                <w:b/>
                <w:bCs/>
              </w:rPr>
            </w:pPr>
            <w:r>
              <w:rPr>
                <w:rFonts w:cs="Arial"/>
                <w:b/>
                <w:bCs/>
              </w:rPr>
              <w:t>FRPM (%)</w:t>
            </w:r>
          </w:p>
        </w:tc>
      </w:tr>
      <w:tr w:rsidR="001C19A4" w:rsidRPr="00DE4665" w14:paraId="6DCEFF73" w14:textId="77777777" w:rsidTr="005F27A6">
        <w:trPr>
          <w:trHeight w:val="127"/>
        </w:trPr>
        <w:tc>
          <w:tcPr>
            <w:tcW w:w="4320" w:type="dxa"/>
            <w:noWrap/>
            <w:vAlign w:val="center"/>
            <w:hideMark/>
          </w:tcPr>
          <w:p w14:paraId="642B8F99" w14:textId="77777777" w:rsidR="001C19A4" w:rsidRPr="00DE4665" w:rsidRDefault="001C19A4" w:rsidP="005F27A6">
            <w:pPr>
              <w:spacing w:after="0"/>
              <w:ind w:left="60"/>
              <w:rPr>
                <w:rFonts w:cs="Arial"/>
                <w:bCs/>
              </w:rPr>
            </w:pPr>
            <w:r>
              <w:rPr>
                <w:rFonts w:cs="Arial"/>
                <w:bCs/>
              </w:rPr>
              <w:t>Northgate USD</w:t>
            </w:r>
          </w:p>
        </w:tc>
        <w:tc>
          <w:tcPr>
            <w:tcW w:w="1800" w:type="dxa"/>
          </w:tcPr>
          <w:p w14:paraId="7630BA6B" w14:textId="77777777" w:rsidR="001C19A4" w:rsidRPr="00017D8D" w:rsidRDefault="001C19A4" w:rsidP="005F27A6">
            <w:pPr>
              <w:spacing w:after="0"/>
              <w:ind w:left="360"/>
              <w:jc w:val="right"/>
            </w:pPr>
            <w:r w:rsidRPr="00294FCC">
              <w:t>1</w:t>
            </w:r>
            <w:r>
              <w:t>,</w:t>
            </w:r>
            <w:r w:rsidRPr="00294FCC">
              <w:t>698</w:t>
            </w:r>
          </w:p>
        </w:tc>
        <w:tc>
          <w:tcPr>
            <w:tcW w:w="1530" w:type="dxa"/>
            <w:noWrap/>
            <w:hideMark/>
          </w:tcPr>
          <w:p w14:paraId="466C92E8" w14:textId="77777777" w:rsidR="001C19A4" w:rsidRPr="00DE4665" w:rsidRDefault="001C19A4" w:rsidP="005F27A6">
            <w:pPr>
              <w:spacing w:after="0"/>
              <w:ind w:left="360"/>
              <w:jc w:val="right"/>
              <w:rPr>
                <w:rFonts w:cs="Arial"/>
                <w:bCs/>
              </w:rPr>
            </w:pPr>
            <w:r w:rsidRPr="00017D8D">
              <w:t>9.0%</w:t>
            </w:r>
          </w:p>
        </w:tc>
        <w:tc>
          <w:tcPr>
            <w:tcW w:w="1440" w:type="dxa"/>
            <w:noWrap/>
            <w:hideMark/>
          </w:tcPr>
          <w:p w14:paraId="4E4CA7D2" w14:textId="77777777" w:rsidR="001C19A4" w:rsidRPr="00DE4665" w:rsidRDefault="001C19A4" w:rsidP="005F27A6">
            <w:pPr>
              <w:spacing w:after="0"/>
              <w:ind w:left="360"/>
              <w:jc w:val="right"/>
              <w:rPr>
                <w:rFonts w:cs="Arial"/>
                <w:bCs/>
              </w:rPr>
            </w:pPr>
            <w:r w:rsidRPr="00017D8D">
              <w:t>7.</w:t>
            </w:r>
            <w:r>
              <w:t>2</w:t>
            </w:r>
            <w:r w:rsidRPr="00017D8D">
              <w:t>%</w:t>
            </w:r>
          </w:p>
        </w:tc>
      </w:tr>
      <w:tr w:rsidR="001C19A4" w:rsidRPr="00DE4665" w14:paraId="3CFCF2DC" w14:textId="77777777" w:rsidTr="005F27A6">
        <w:trPr>
          <w:trHeight w:val="145"/>
        </w:trPr>
        <w:tc>
          <w:tcPr>
            <w:tcW w:w="4320" w:type="dxa"/>
            <w:noWrap/>
            <w:vAlign w:val="center"/>
            <w:hideMark/>
          </w:tcPr>
          <w:p w14:paraId="392AC8A7" w14:textId="77777777" w:rsidR="001C19A4" w:rsidRPr="00DE4665" w:rsidRDefault="001C19A4" w:rsidP="005F27A6">
            <w:pPr>
              <w:spacing w:after="0"/>
              <w:ind w:left="60"/>
              <w:rPr>
                <w:rFonts w:cs="Arial"/>
                <w:bCs/>
              </w:rPr>
            </w:pPr>
            <w:r>
              <w:rPr>
                <w:rFonts w:cs="Arial"/>
                <w:bCs/>
              </w:rPr>
              <w:t>Remaining Portion of Mt. Diablo USD</w:t>
            </w:r>
          </w:p>
        </w:tc>
        <w:tc>
          <w:tcPr>
            <w:tcW w:w="1800" w:type="dxa"/>
          </w:tcPr>
          <w:p w14:paraId="39607B78" w14:textId="77777777" w:rsidR="001C19A4" w:rsidRPr="00017D8D" w:rsidRDefault="001C19A4" w:rsidP="005F27A6">
            <w:pPr>
              <w:spacing w:after="0"/>
              <w:ind w:left="360"/>
              <w:jc w:val="right"/>
            </w:pPr>
            <w:r w:rsidRPr="00294FCC">
              <w:t>12</w:t>
            </w:r>
            <w:r>
              <w:t>,</w:t>
            </w:r>
            <w:r w:rsidRPr="00294FCC">
              <w:t>640</w:t>
            </w:r>
          </w:p>
        </w:tc>
        <w:tc>
          <w:tcPr>
            <w:tcW w:w="1530" w:type="dxa"/>
            <w:noWrap/>
            <w:hideMark/>
          </w:tcPr>
          <w:p w14:paraId="456D8B67" w14:textId="77777777" w:rsidR="001C19A4" w:rsidRPr="00DE4665" w:rsidRDefault="001C19A4" w:rsidP="005F27A6">
            <w:pPr>
              <w:spacing w:after="0"/>
              <w:ind w:left="360"/>
              <w:jc w:val="right"/>
              <w:rPr>
                <w:rFonts w:cs="Arial"/>
                <w:bCs/>
              </w:rPr>
            </w:pPr>
            <w:r w:rsidRPr="00017D8D">
              <w:t>26.1%</w:t>
            </w:r>
          </w:p>
        </w:tc>
        <w:tc>
          <w:tcPr>
            <w:tcW w:w="1440" w:type="dxa"/>
            <w:noWrap/>
            <w:hideMark/>
          </w:tcPr>
          <w:p w14:paraId="1689BBF9" w14:textId="77777777" w:rsidR="001C19A4" w:rsidRPr="00DE4665" w:rsidRDefault="001C19A4" w:rsidP="005F27A6">
            <w:pPr>
              <w:spacing w:after="0"/>
              <w:ind w:left="360"/>
              <w:jc w:val="right"/>
              <w:rPr>
                <w:rFonts w:cs="Arial"/>
                <w:bCs/>
              </w:rPr>
            </w:pPr>
            <w:r w:rsidRPr="00017D8D">
              <w:t>42.6%</w:t>
            </w:r>
          </w:p>
        </w:tc>
      </w:tr>
    </w:tbl>
    <w:p w14:paraId="4EFDACA0" w14:textId="77777777" w:rsidR="001C19A4" w:rsidRPr="00AF653A" w:rsidRDefault="001C19A4" w:rsidP="00AF653A">
      <w:pPr>
        <w:pStyle w:val="Heading4"/>
        <w:rPr>
          <w:rStyle w:val="Strong"/>
          <w:rFonts w:eastAsiaTheme="majorEastAsia"/>
          <w:b/>
          <w:bCs w:val="0"/>
        </w:rPr>
      </w:pPr>
      <w:bookmarkStart w:id="36" w:name="_Hlk93573230"/>
      <w:r w:rsidRPr="00AF653A">
        <w:rPr>
          <w:rStyle w:val="Strong"/>
          <w:rFonts w:eastAsiaTheme="majorEastAsia"/>
          <w:b/>
          <w:bCs w:val="0"/>
        </w:rPr>
        <w:lastRenderedPageBreak/>
        <w:t>Table 4b. EL and FRPM Students in Northgate USD and Remaining Portion of Mt. Diablo USD Middle Schools</w:t>
      </w:r>
      <w:bookmarkEnd w:id="36"/>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4b provides enrollment, percent of English Learners, percent of students qualifying for the Free and Reduced Program Meal Program of the middle schools in the proposed Northgate USD and in the remaining portion of the Mt. Diablo USD for the 2020-21 academic year. "/>
      </w:tblPr>
      <w:tblGrid>
        <w:gridCol w:w="4320"/>
        <w:gridCol w:w="1800"/>
        <w:gridCol w:w="1530"/>
        <w:gridCol w:w="1440"/>
      </w:tblGrid>
      <w:tr w:rsidR="001C19A4" w:rsidRPr="00B101CA" w14:paraId="43459B52" w14:textId="77777777" w:rsidTr="005F27A6">
        <w:trPr>
          <w:trHeight w:val="15"/>
          <w:tblHeader/>
        </w:trPr>
        <w:tc>
          <w:tcPr>
            <w:tcW w:w="4320" w:type="dxa"/>
            <w:shd w:val="clear" w:color="auto" w:fill="D9D9D9" w:themeFill="background1" w:themeFillShade="D9"/>
            <w:noWrap/>
            <w:vAlign w:val="center"/>
            <w:hideMark/>
          </w:tcPr>
          <w:p w14:paraId="74D453A2" w14:textId="77777777" w:rsidR="001C19A4" w:rsidRPr="00B101CA" w:rsidRDefault="001C19A4" w:rsidP="005F27A6">
            <w:pPr>
              <w:spacing w:after="0"/>
              <w:ind w:left="360"/>
              <w:jc w:val="center"/>
              <w:rPr>
                <w:rFonts w:cs="Arial"/>
                <w:b/>
                <w:bCs/>
              </w:rPr>
            </w:pPr>
            <w:r>
              <w:rPr>
                <w:rFonts w:cs="Arial"/>
                <w:b/>
                <w:bCs/>
              </w:rPr>
              <w:t>Area</w:t>
            </w:r>
          </w:p>
        </w:tc>
        <w:tc>
          <w:tcPr>
            <w:tcW w:w="1800" w:type="dxa"/>
            <w:shd w:val="clear" w:color="auto" w:fill="D9D9D9" w:themeFill="background1" w:themeFillShade="D9"/>
          </w:tcPr>
          <w:p w14:paraId="10996212" w14:textId="77777777" w:rsidR="001C19A4" w:rsidRDefault="001C19A4" w:rsidP="005F27A6">
            <w:pPr>
              <w:spacing w:after="0"/>
              <w:jc w:val="center"/>
              <w:rPr>
                <w:rFonts w:cs="Arial"/>
                <w:b/>
                <w:bCs/>
              </w:rPr>
            </w:pPr>
            <w:r w:rsidRPr="00584630">
              <w:rPr>
                <w:b/>
              </w:rPr>
              <w:t>Enrollment</w:t>
            </w:r>
          </w:p>
        </w:tc>
        <w:tc>
          <w:tcPr>
            <w:tcW w:w="1530" w:type="dxa"/>
            <w:shd w:val="clear" w:color="auto" w:fill="D9D9D9" w:themeFill="background1" w:themeFillShade="D9"/>
            <w:noWrap/>
            <w:vAlign w:val="center"/>
            <w:hideMark/>
          </w:tcPr>
          <w:p w14:paraId="6753F586" w14:textId="77777777" w:rsidR="001C19A4" w:rsidRPr="00B101CA" w:rsidRDefault="001C19A4" w:rsidP="005F27A6">
            <w:pPr>
              <w:spacing w:after="0"/>
              <w:ind w:left="61"/>
              <w:jc w:val="center"/>
              <w:rPr>
                <w:rFonts w:cs="Arial"/>
                <w:b/>
                <w:bCs/>
              </w:rPr>
            </w:pPr>
            <w:r>
              <w:rPr>
                <w:rFonts w:cs="Arial"/>
                <w:b/>
                <w:bCs/>
              </w:rPr>
              <w:t>EL (%)</w:t>
            </w:r>
          </w:p>
        </w:tc>
        <w:tc>
          <w:tcPr>
            <w:tcW w:w="1440" w:type="dxa"/>
            <w:shd w:val="clear" w:color="auto" w:fill="D9D9D9" w:themeFill="background1" w:themeFillShade="D9"/>
            <w:noWrap/>
            <w:vAlign w:val="center"/>
            <w:hideMark/>
          </w:tcPr>
          <w:p w14:paraId="1AFEFD3C" w14:textId="77777777" w:rsidR="001C19A4" w:rsidRPr="00B101CA" w:rsidRDefault="001C19A4" w:rsidP="005F27A6">
            <w:pPr>
              <w:spacing w:after="0"/>
              <w:jc w:val="center"/>
              <w:rPr>
                <w:rFonts w:cs="Arial"/>
                <w:b/>
                <w:bCs/>
              </w:rPr>
            </w:pPr>
            <w:r>
              <w:rPr>
                <w:rFonts w:cs="Arial"/>
                <w:b/>
                <w:bCs/>
              </w:rPr>
              <w:t>FRPM (%)</w:t>
            </w:r>
          </w:p>
        </w:tc>
      </w:tr>
      <w:tr w:rsidR="001C19A4" w:rsidRPr="00DE4665" w14:paraId="5942D880" w14:textId="77777777" w:rsidTr="005F27A6">
        <w:trPr>
          <w:trHeight w:val="127"/>
        </w:trPr>
        <w:tc>
          <w:tcPr>
            <w:tcW w:w="4320" w:type="dxa"/>
            <w:noWrap/>
            <w:vAlign w:val="center"/>
            <w:hideMark/>
          </w:tcPr>
          <w:p w14:paraId="60647F4A" w14:textId="77777777" w:rsidR="001C19A4" w:rsidRPr="00DE4665" w:rsidRDefault="001C19A4" w:rsidP="005F27A6">
            <w:pPr>
              <w:spacing w:after="0"/>
              <w:ind w:left="60"/>
              <w:rPr>
                <w:rFonts w:cs="Arial"/>
                <w:bCs/>
              </w:rPr>
            </w:pPr>
            <w:r>
              <w:rPr>
                <w:rFonts w:cs="Arial"/>
                <w:bCs/>
              </w:rPr>
              <w:t>Northgate USD</w:t>
            </w:r>
          </w:p>
        </w:tc>
        <w:tc>
          <w:tcPr>
            <w:tcW w:w="1800" w:type="dxa"/>
          </w:tcPr>
          <w:p w14:paraId="0A74264F" w14:textId="77777777" w:rsidR="001C19A4" w:rsidRPr="00017D8D" w:rsidRDefault="001C19A4" w:rsidP="005F27A6">
            <w:pPr>
              <w:spacing w:after="0"/>
              <w:ind w:left="360"/>
              <w:jc w:val="right"/>
            </w:pPr>
            <w:r w:rsidRPr="00342A9C">
              <w:t>828</w:t>
            </w:r>
          </w:p>
        </w:tc>
        <w:tc>
          <w:tcPr>
            <w:tcW w:w="1530" w:type="dxa"/>
            <w:noWrap/>
            <w:hideMark/>
          </w:tcPr>
          <w:p w14:paraId="24EE51CF" w14:textId="77777777" w:rsidR="001C19A4" w:rsidRPr="00DE4665" w:rsidRDefault="001C19A4" w:rsidP="005F27A6">
            <w:pPr>
              <w:spacing w:after="0"/>
              <w:ind w:left="360"/>
              <w:jc w:val="right"/>
              <w:rPr>
                <w:rFonts w:cs="Arial"/>
                <w:bCs/>
              </w:rPr>
            </w:pPr>
            <w:r w:rsidRPr="007444F8">
              <w:t>2.4%</w:t>
            </w:r>
          </w:p>
        </w:tc>
        <w:tc>
          <w:tcPr>
            <w:tcW w:w="1440" w:type="dxa"/>
            <w:noWrap/>
            <w:hideMark/>
          </w:tcPr>
          <w:p w14:paraId="65C53303" w14:textId="77777777" w:rsidR="001C19A4" w:rsidRPr="00DE4665" w:rsidRDefault="001C19A4" w:rsidP="005F27A6">
            <w:pPr>
              <w:spacing w:after="0"/>
              <w:ind w:left="360"/>
              <w:jc w:val="right"/>
              <w:rPr>
                <w:rFonts w:cs="Arial"/>
                <w:bCs/>
              </w:rPr>
            </w:pPr>
            <w:r w:rsidRPr="007444F8">
              <w:t>9.5%</w:t>
            </w:r>
          </w:p>
        </w:tc>
      </w:tr>
      <w:tr w:rsidR="001C19A4" w:rsidRPr="00DE4665" w14:paraId="2A8BB56B" w14:textId="77777777" w:rsidTr="005F27A6">
        <w:trPr>
          <w:trHeight w:val="145"/>
        </w:trPr>
        <w:tc>
          <w:tcPr>
            <w:tcW w:w="4320" w:type="dxa"/>
            <w:noWrap/>
            <w:vAlign w:val="center"/>
            <w:hideMark/>
          </w:tcPr>
          <w:p w14:paraId="74787B3E" w14:textId="77777777" w:rsidR="001C19A4" w:rsidRPr="00DE4665" w:rsidRDefault="001C19A4" w:rsidP="005F27A6">
            <w:pPr>
              <w:spacing w:after="0"/>
              <w:ind w:left="60"/>
              <w:rPr>
                <w:rFonts w:cs="Arial"/>
                <w:bCs/>
              </w:rPr>
            </w:pPr>
            <w:r>
              <w:rPr>
                <w:rFonts w:cs="Arial"/>
                <w:bCs/>
              </w:rPr>
              <w:t>Remaining Portion of Mt. Diablo USD</w:t>
            </w:r>
          </w:p>
        </w:tc>
        <w:tc>
          <w:tcPr>
            <w:tcW w:w="1800" w:type="dxa"/>
          </w:tcPr>
          <w:p w14:paraId="4D1CE412" w14:textId="77777777" w:rsidR="001C19A4" w:rsidRPr="00017D8D" w:rsidRDefault="001C19A4" w:rsidP="005F27A6">
            <w:pPr>
              <w:spacing w:after="0"/>
              <w:ind w:left="360"/>
              <w:jc w:val="right"/>
            </w:pPr>
            <w:r w:rsidRPr="00342A9C">
              <w:t>5</w:t>
            </w:r>
            <w:r>
              <w:t>,</w:t>
            </w:r>
            <w:r w:rsidRPr="00342A9C">
              <w:t>909</w:t>
            </w:r>
          </w:p>
        </w:tc>
        <w:tc>
          <w:tcPr>
            <w:tcW w:w="1530" w:type="dxa"/>
            <w:noWrap/>
            <w:hideMark/>
          </w:tcPr>
          <w:p w14:paraId="68666BC4" w14:textId="77777777" w:rsidR="001C19A4" w:rsidRPr="00DE4665" w:rsidRDefault="001C19A4" w:rsidP="005F27A6">
            <w:pPr>
              <w:spacing w:after="0"/>
              <w:ind w:left="360"/>
              <w:jc w:val="right"/>
              <w:rPr>
                <w:rFonts w:cs="Arial"/>
                <w:bCs/>
              </w:rPr>
            </w:pPr>
            <w:r w:rsidRPr="007444F8">
              <w:t>20.</w:t>
            </w:r>
            <w:r>
              <w:t>9</w:t>
            </w:r>
            <w:r w:rsidRPr="007444F8">
              <w:t>%</w:t>
            </w:r>
          </w:p>
        </w:tc>
        <w:tc>
          <w:tcPr>
            <w:tcW w:w="1440" w:type="dxa"/>
            <w:noWrap/>
            <w:hideMark/>
          </w:tcPr>
          <w:p w14:paraId="3C412741" w14:textId="77777777" w:rsidR="001C19A4" w:rsidRPr="00DE4665" w:rsidRDefault="001C19A4" w:rsidP="005F27A6">
            <w:pPr>
              <w:spacing w:after="0"/>
              <w:ind w:left="360"/>
              <w:jc w:val="right"/>
              <w:rPr>
                <w:rFonts w:cs="Arial"/>
                <w:bCs/>
              </w:rPr>
            </w:pPr>
            <w:r w:rsidRPr="007444F8">
              <w:t>44.</w:t>
            </w:r>
            <w:r>
              <w:t>9</w:t>
            </w:r>
            <w:r w:rsidRPr="007444F8">
              <w:t>%</w:t>
            </w:r>
          </w:p>
        </w:tc>
      </w:tr>
    </w:tbl>
    <w:p w14:paraId="4CBB8451" w14:textId="77777777" w:rsidR="001C19A4" w:rsidRPr="00AF653A" w:rsidRDefault="001C19A4" w:rsidP="00AF653A">
      <w:pPr>
        <w:pStyle w:val="Heading4"/>
        <w:spacing w:before="240"/>
        <w:rPr>
          <w:rStyle w:val="Strong"/>
          <w:rFonts w:eastAsiaTheme="majorEastAsia"/>
          <w:b/>
          <w:bCs w:val="0"/>
        </w:rPr>
      </w:pPr>
      <w:r w:rsidRPr="00AF653A">
        <w:rPr>
          <w:rStyle w:val="Strong"/>
          <w:rFonts w:eastAsiaTheme="majorEastAsia"/>
          <w:b/>
          <w:bCs w:val="0"/>
        </w:rPr>
        <w:t>Table 4c. EL and FRPM Students in Northgate USD and Remaining Portion of Mt. Diablo USD High Schools</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4c provides enrollment, percent of English Learners, percent of students qualifying for the Free and Reduced Program Meal Program of the high schools in the proposed Northgate USD and in the remaining portion of the Mt. Diablo USD for the 2020-21 academic year. "/>
      </w:tblPr>
      <w:tblGrid>
        <w:gridCol w:w="4320"/>
        <w:gridCol w:w="1800"/>
        <w:gridCol w:w="1530"/>
        <w:gridCol w:w="1440"/>
      </w:tblGrid>
      <w:tr w:rsidR="001C19A4" w:rsidRPr="00B101CA" w14:paraId="2FA0AAB3" w14:textId="77777777" w:rsidTr="005F27A6">
        <w:trPr>
          <w:trHeight w:val="15"/>
          <w:tblHeader/>
        </w:trPr>
        <w:tc>
          <w:tcPr>
            <w:tcW w:w="4320" w:type="dxa"/>
            <w:shd w:val="clear" w:color="auto" w:fill="D9D9D9" w:themeFill="background1" w:themeFillShade="D9"/>
            <w:noWrap/>
            <w:vAlign w:val="center"/>
            <w:hideMark/>
          </w:tcPr>
          <w:p w14:paraId="50CFE4FA" w14:textId="77777777" w:rsidR="001C19A4" w:rsidRPr="00B101CA" w:rsidRDefault="001C19A4" w:rsidP="005F27A6">
            <w:pPr>
              <w:spacing w:after="0"/>
              <w:ind w:left="360"/>
              <w:jc w:val="center"/>
              <w:rPr>
                <w:rFonts w:cs="Arial"/>
                <w:b/>
                <w:bCs/>
              </w:rPr>
            </w:pPr>
            <w:r>
              <w:rPr>
                <w:rFonts w:cs="Arial"/>
                <w:b/>
                <w:bCs/>
              </w:rPr>
              <w:t>Area</w:t>
            </w:r>
          </w:p>
        </w:tc>
        <w:tc>
          <w:tcPr>
            <w:tcW w:w="1800" w:type="dxa"/>
            <w:shd w:val="clear" w:color="auto" w:fill="D9D9D9" w:themeFill="background1" w:themeFillShade="D9"/>
          </w:tcPr>
          <w:p w14:paraId="52902495" w14:textId="77777777" w:rsidR="001C19A4" w:rsidRDefault="001C19A4" w:rsidP="005F27A6">
            <w:pPr>
              <w:spacing w:after="0"/>
              <w:jc w:val="center"/>
              <w:rPr>
                <w:rFonts w:cs="Arial"/>
                <w:b/>
                <w:bCs/>
              </w:rPr>
            </w:pPr>
            <w:r w:rsidRPr="00584630">
              <w:rPr>
                <w:b/>
              </w:rPr>
              <w:t>Enrollment</w:t>
            </w:r>
          </w:p>
        </w:tc>
        <w:tc>
          <w:tcPr>
            <w:tcW w:w="1530" w:type="dxa"/>
            <w:shd w:val="clear" w:color="auto" w:fill="D9D9D9" w:themeFill="background1" w:themeFillShade="D9"/>
            <w:noWrap/>
            <w:vAlign w:val="center"/>
            <w:hideMark/>
          </w:tcPr>
          <w:p w14:paraId="7ED85931" w14:textId="77777777" w:rsidR="001C19A4" w:rsidRPr="00B101CA" w:rsidRDefault="001C19A4" w:rsidP="005F27A6">
            <w:pPr>
              <w:spacing w:after="0"/>
              <w:ind w:left="61"/>
              <w:jc w:val="center"/>
              <w:rPr>
                <w:rFonts w:cs="Arial"/>
                <w:b/>
                <w:bCs/>
              </w:rPr>
            </w:pPr>
            <w:r>
              <w:rPr>
                <w:rFonts w:cs="Arial"/>
                <w:b/>
                <w:bCs/>
              </w:rPr>
              <w:t>EL (%)</w:t>
            </w:r>
          </w:p>
        </w:tc>
        <w:tc>
          <w:tcPr>
            <w:tcW w:w="1440" w:type="dxa"/>
            <w:shd w:val="clear" w:color="auto" w:fill="D9D9D9" w:themeFill="background1" w:themeFillShade="D9"/>
            <w:noWrap/>
            <w:vAlign w:val="center"/>
            <w:hideMark/>
          </w:tcPr>
          <w:p w14:paraId="4CE2B0AD" w14:textId="77777777" w:rsidR="001C19A4" w:rsidRPr="00B101CA" w:rsidRDefault="001C19A4" w:rsidP="005F27A6">
            <w:pPr>
              <w:spacing w:after="0"/>
              <w:jc w:val="center"/>
              <w:rPr>
                <w:rFonts w:cs="Arial"/>
                <w:b/>
                <w:bCs/>
              </w:rPr>
            </w:pPr>
            <w:r>
              <w:rPr>
                <w:rFonts w:cs="Arial"/>
                <w:b/>
                <w:bCs/>
              </w:rPr>
              <w:t>FRPM (%)</w:t>
            </w:r>
          </w:p>
        </w:tc>
      </w:tr>
      <w:tr w:rsidR="001C19A4" w:rsidRPr="00DE4665" w14:paraId="170484EA" w14:textId="77777777" w:rsidTr="005F27A6">
        <w:trPr>
          <w:trHeight w:val="127"/>
        </w:trPr>
        <w:tc>
          <w:tcPr>
            <w:tcW w:w="4320" w:type="dxa"/>
            <w:noWrap/>
            <w:vAlign w:val="center"/>
            <w:hideMark/>
          </w:tcPr>
          <w:p w14:paraId="41C1644D" w14:textId="77777777" w:rsidR="001C19A4" w:rsidRPr="00DE4665" w:rsidRDefault="001C19A4" w:rsidP="005F27A6">
            <w:pPr>
              <w:spacing w:after="0"/>
              <w:ind w:left="60"/>
              <w:rPr>
                <w:rFonts w:cs="Arial"/>
                <w:bCs/>
              </w:rPr>
            </w:pPr>
            <w:r>
              <w:rPr>
                <w:rFonts w:cs="Arial"/>
                <w:bCs/>
              </w:rPr>
              <w:t>Northgate USD</w:t>
            </w:r>
          </w:p>
        </w:tc>
        <w:tc>
          <w:tcPr>
            <w:tcW w:w="1800" w:type="dxa"/>
          </w:tcPr>
          <w:p w14:paraId="3331BE8E" w14:textId="77777777" w:rsidR="001C19A4" w:rsidRPr="00017D8D" w:rsidRDefault="001C19A4" w:rsidP="005F27A6">
            <w:pPr>
              <w:spacing w:after="0"/>
              <w:ind w:left="360"/>
              <w:jc w:val="right"/>
            </w:pPr>
            <w:r w:rsidRPr="00220394">
              <w:t>1</w:t>
            </w:r>
            <w:r>
              <w:t>,</w:t>
            </w:r>
            <w:r w:rsidRPr="00220394">
              <w:t>492</w:t>
            </w:r>
          </w:p>
        </w:tc>
        <w:tc>
          <w:tcPr>
            <w:tcW w:w="1530" w:type="dxa"/>
            <w:noWrap/>
            <w:hideMark/>
          </w:tcPr>
          <w:p w14:paraId="16682C99" w14:textId="77777777" w:rsidR="001C19A4" w:rsidRPr="00DE4665" w:rsidRDefault="001C19A4" w:rsidP="005F27A6">
            <w:pPr>
              <w:spacing w:after="0"/>
              <w:ind w:left="360"/>
              <w:jc w:val="right"/>
              <w:rPr>
                <w:rFonts w:cs="Arial"/>
                <w:bCs/>
              </w:rPr>
            </w:pPr>
            <w:r w:rsidRPr="007A4AB0">
              <w:t>1.</w:t>
            </w:r>
            <w:r>
              <w:t>7</w:t>
            </w:r>
            <w:r w:rsidRPr="007A4AB0">
              <w:t>%</w:t>
            </w:r>
          </w:p>
        </w:tc>
        <w:tc>
          <w:tcPr>
            <w:tcW w:w="1440" w:type="dxa"/>
            <w:noWrap/>
            <w:hideMark/>
          </w:tcPr>
          <w:p w14:paraId="3583A959" w14:textId="77777777" w:rsidR="001C19A4" w:rsidRPr="00DE4665" w:rsidRDefault="001C19A4" w:rsidP="005F27A6">
            <w:pPr>
              <w:spacing w:after="0"/>
              <w:ind w:left="360"/>
              <w:jc w:val="right"/>
              <w:rPr>
                <w:rFonts w:cs="Arial"/>
                <w:bCs/>
              </w:rPr>
            </w:pPr>
            <w:r w:rsidRPr="007A4AB0">
              <w:t>10.7%</w:t>
            </w:r>
          </w:p>
        </w:tc>
      </w:tr>
      <w:tr w:rsidR="001C19A4" w:rsidRPr="00DE4665" w14:paraId="3B6287EA" w14:textId="77777777" w:rsidTr="005F27A6">
        <w:trPr>
          <w:trHeight w:val="145"/>
        </w:trPr>
        <w:tc>
          <w:tcPr>
            <w:tcW w:w="4320" w:type="dxa"/>
            <w:noWrap/>
            <w:vAlign w:val="center"/>
            <w:hideMark/>
          </w:tcPr>
          <w:p w14:paraId="236BC6B9" w14:textId="77777777" w:rsidR="001C19A4" w:rsidRPr="00DE4665" w:rsidRDefault="001C19A4" w:rsidP="005F27A6">
            <w:pPr>
              <w:spacing w:after="0"/>
              <w:ind w:left="60"/>
              <w:rPr>
                <w:rFonts w:cs="Arial"/>
                <w:bCs/>
              </w:rPr>
            </w:pPr>
            <w:r>
              <w:rPr>
                <w:rFonts w:cs="Arial"/>
                <w:bCs/>
              </w:rPr>
              <w:t>Remaining Portion of Mt. Diablo USD</w:t>
            </w:r>
          </w:p>
        </w:tc>
        <w:tc>
          <w:tcPr>
            <w:tcW w:w="1800" w:type="dxa"/>
          </w:tcPr>
          <w:p w14:paraId="78B36625" w14:textId="77777777" w:rsidR="001C19A4" w:rsidRPr="00017D8D" w:rsidRDefault="001C19A4" w:rsidP="005F27A6">
            <w:pPr>
              <w:spacing w:after="0"/>
              <w:ind w:left="360"/>
              <w:jc w:val="right"/>
            </w:pPr>
            <w:r w:rsidRPr="00220394">
              <w:t>6</w:t>
            </w:r>
            <w:r>
              <w:t>,</w:t>
            </w:r>
            <w:r w:rsidRPr="00220394">
              <w:t>069</w:t>
            </w:r>
          </w:p>
        </w:tc>
        <w:tc>
          <w:tcPr>
            <w:tcW w:w="1530" w:type="dxa"/>
            <w:noWrap/>
            <w:hideMark/>
          </w:tcPr>
          <w:p w14:paraId="15628976" w14:textId="77777777" w:rsidR="001C19A4" w:rsidRPr="00DE4665" w:rsidRDefault="001C19A4" w:rsidP="005F27A6">
            <w:pPr>
              <w:spacing w:after="0"/>
              <w:ind w:left="360"/>
              <w:jc w:val="right"/>
              <w:rPr>
                <w:rFonts w:cs="Arial"/>
                <w:bCs/>
              </w:rPr>
            </w:pPr>
            <w:r w:rsidRPr="007A4AB0">
              <w:t>18.</w:t>
            </w:r>
            <w:r>
              <w:t>6</w:t>
            </w:r>
            <w:r w:rsidRPr="007A4AB0">
              <w:t>%</w:t>
            </w:r>
          </w:p>
        </w:tc>
        <w:tc>
          <w:tcPr>
            <w:tcW w:w="1440" w:type="dxa"/>
            <w:noWrap/>
            <w:hideMark/>
          </w:tcPr>
          <w:p w14:paraId="00403CA0" w14:textId="77777777" w:rsidR="001C19A4" w:rsidRPr="00DE4665" w:rsidRDefault="001C19A4" w:rsidP="005F27A6">
            <w:pPr>
              <w:spacing w:after="0"/>
              <w:ind w:left="360"/>
              <w:jc w:val="right"/>
              <w:rPr>
                <w:rFonts w:cs="Arial"/>
                <w:bCs/>
              </w:rPr>
            </w:pPr>
            <w:r w:rsidRPr="007A4AB0">
              <w:t>47.2%</w:t>
            </w:r>
          </w:p>
        </w:tc>
      </w:tr>
    </w:tbl>
    <w:p w14:paraId="4E04E1EB" w14:textId="77777777" w:rsidR="001C19A4" w:rsidRPr="00AF653A" w:rsidRDefault="001C19A4" w:rsidP="00AF653A">
      <w:pPr>
        <w:pStyle w:val="Heading4"/>
        <w:spacing w:before="240"/>
        <w:rPr>
          <w:rStyle w:val="Strong"/>
          <w:rFonts w:eastAsiaTheme="majorEastAsia"/>
          <w:b/>
          <w:bCs w:val="0"/>
        </w:rPr>
      </w:pPr>
      <w:r w:rsidRPr="00AF653A">
        <w:rPr>
          <w:rStyle w:val="Strong"/>
          <w:rFonts w:eastAsiaTheme="majorEastAsia"/>
          <w:b/>
          <w:bCs w:val="0"/>
        </w:rPr>
        <w:t>Table 4d. Total EL and FRPM Students in Northgate USD and Remaining Portion of Mt. Diablo USD Elementary, Middle and High Schools</w:t>
      </w:r>
    </w:p>
    <w:tbl>
      <w:tblPr>
        <w:tblStyle w:val="TableGrid"/>
        <w:tblW w:w="90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4d provides enrollment, percent of English Learners, percent of students qualifying for the Free and Reduced Program Meal Program of all schools in the proposed Northgate USD and in the remaining portion of the Mt. Diablo USD for the 2020-21 academic year. "/>
      </w:tblPr>
      <w:tblGrid>
        <w:gridCol w:w="4320"/>
        <w:gridCol w:w="1800"/>
        <w:gridCol w:w="1530"/>
        <w:gridCol w:w="1440"/>
      </w:tblGrid>
      <w:tr w:rsidR="001C19A4" w:rsidRPr="00B101CA" w14:paraId="2D5CECA2" w14:textId="77777777" w:rsidTr="005F27A6">
        <w:trPr>
          <w:trHeight w:val="15"/>
          <w:tblHeader/>
        </w:trPr>
        <w:tc>
          <w:tcPr>
            <w:tcW w:w="4320" w:type="dxa"/>
            <w:shd w:val="clear" w:color="auto" w:fill="D9D9D9" w:themeFill="background1" w:themeFillShade="D9"/>
            <w:noWrap/>
            <w:vAlign w:val="center"/>
            <w:hideMark/>
          </w:tcPr>
          <w:p w14:paraId="2C5BC84B" w14:textId="77777777" w:rsidR="001C19A4" w:rsidRPr="00B101CA" w:rsidRDefault="001C19A4" w:rsidP="005F27A6">
            <w:pPr>
              <w:spacing w:after="0"/>
              <w:ind w:left="360"/>
              <w:jc w:val="center"/>
              <w:rPr>
                <w:rFonts w:cs="Arial"/>
                <w:b/>
                <w:bCs/>
              </w:rPr>
            </w:pPr>
            <w:r>
              <w:rPr>
                <w:rFonts w:cs="Arial"/>
                <w:b/>
                <w:bCs/>
              </w:rPr>
              <w:t>Area</w:t>
            </w:r>
          </w:p>
        </w:tc>
        <w:tc>
          <w:tcPr>
            <w:tcW w:w="1800" w:type="dxa"/>
            <w:shd w:val="clear" w:color="auto" w:fill="D9D9D9" w:themeFill="background1" w:themeFillShade="D9"/>
          </w:tcPr>
          <w:p w14:paraId="581FA981" w14:textId="77777777" w:rsidR="001C19A4" w:rsidRDefault="001C19A4" w:rsidP="005F27A6">
            <w:pPr>
              <w:spacing w:after="0"/>
              <w:jc w:val="center"/>
              <w:rPr>
                <w:rFonts w:cs="Arial"/>
                <w:b/>
                <w:bCs/>
              </w:rPr>
            </w:pPr>
            <w:r w:rsidRPr="00584630">
              <w:rPr>
                <w:b/>
              </w:rPr>
              <w:t>Enrollment</w:t>
            </w:r>
          </w:p>
        </w:tc>
        <w:tc>
          <w:tcPr>
            <w:tcW w:w="1530" w:type="dxa"/>
            <w:shd w:val="clear" w:color="auto" w:fill="D9D9D9" w:themeFill="background1" w:themeFillShade="D9"/>
            <w:noWrap/>
            <w:vAlign w:val="center"/>
            <w:hideMark/>
          </w:tcPr>
          <w:p w14:paraId="51B6A5E9" w14:textId="77777777" w:rsidR="001C19A4" w:rsidRPr="00B101CA" w:rsidRDefault="001C19A4" w:rsidP="005F27A6">
            <w:pPr>
              <w:spacing w:after="0"/>
              <w:ind w:left="61"/>
              <w:jc w:val="center"/>
              <w:rPr>
                <w:rFonts w:cs="Arial"/>
                <w:b/>
                <w:bCs/>
              </w:rPr>
            </w:pPr>
            <w:r>
              <w:rPr>
                <w:rFonts w:cs="Arial"/>
                <w:b/>
                <w:bCs/>
              </w:rPr>
              <w:t>EL (%)</w:t>
            </w:r>
          </w:p>
        </w:tc>
        <w:tc>
          <w:tcPr>
            <w:tcW w:w="1440" w:type="dxa"/>
            <w:shd w:val="clear" w:color="auto" w:fill="D9D9D9" w:themeFill="background1" w:themeFillShade="D9"/>
            <w:noWrap/>
            <w:vAlign w:val="center"/>
            <w:hideMark/>
          </w:tcPr>
          <w:p w14:paraId="6707B2A2" w14:textId="77777777" w:rsidR="001C19A4" w:rsidRPr="00B101CA" w:rsidRDefault="001C19A4" w:rsidP="005F27A6">
            <w:pPr>
              <w:spacing w:after="0"/>
              <w:jc w:val="center"/>
              <w:rPr>
                <w:rFonts w:cs="Arial"/>
                <w:b/>
                <w:bCs/>
              </w:rPr>
            </w:pPr>
            <w:r>
              <w:rPr>
                <w:rFonts w:cs="Arial"/>
                <w:b/>
                <w:bCs/>
              </w:rPr>
              <w:t>FRPM (%)</w:t>
            </w:r>
          </w:p>
        </w:tc>
      </w:tr>
      <w:tr w:rsidR="001C19A4" w:rsidRPr="00DE4665" w14:paraId="535FFB7C" w14:textId="77777777" w:rsidTr="005F27A6">
        <w:trPr>
          <w:trHeight w:val="127"/>
        </w:trPr>
        <w:tc>
          <w:tcPr>
            <w:tcW w:w="4320" w:type="dxa"/>
            <w:noWrap/>
            <w:vAlign w:val="center"/>
            <w:hideMark/>
          </w:tcPr>
          <w:p w14:paraId="60EEDF63" w14:textId="77777777" w:rsidR="001C19A4" w:rsidRPr="00DE4665" w:rsidRDefault="001C19A4" w:rsidP="005F27A6">
            <w:pPr>
              <w:spacing w:after="0"/>
              <w:ind w:left="60"/>
              <w:rPr>
                <w:rFonts w:cs="Arial"/>
                <w:bCs/>
              </w:rPr>
            </w:pPr>
            <w:r>
              <w:rPr>
                <w:rFonts w:cs="Arial"/>
                <w:bCs/>
              </w:rPr>
              <w:t>Northgate USD</w:t>
            </w:r>
          </w:p>
        </w:tc>
        <w:tc>
          <w:tcPr>
            <w:tcW w:w="1800" w:type="dxa"/>
          </w:tcPr>
          <w:p w14:paraId="46FCBF51" w14:textId="77777777" w:rsidR="001C19A4" w:rsidRPr="00017D8D" w:rsidRDefault="001C19A4" w:rsidP="005F27A6">
            <w:pPr>
              <w:spacing w:after="0"/>
              <w:ind w:left="360"/>
              <w:jc w:val="right"/>
            </w:pPr>
            <w:r w:rsidRPr="000B5886">
              <w:t>4</w:t>
            </w:r>
            <w:r>
              <w:t>,</w:t>
            </w:r>
            <w:r w:rsidRPr="000B5886">
              <w:t>018</w:t>
            </w:r>
          </w:p>
        </w:tc>
        <w:tc>
          <w:tcPr>
            <w:tcW w:w="1530" w:type="dxa"/>
            <w:noWrap/>
            <w:hideMark/>
          </w:tcPr>
          <w:p w14:paraId="694464E8" w14:textId="77777777" w:rsidR="001C19A4" w:rsidRPr="00DE4665" w:rsidRDefault="001C19A4" w:rsidP="005F27A6">
            <w:pPr>
              <w:spacing w:after="0"/>
              <w:ind w:left="360"/>
              <w:jc w:val="right"/>
              <w:rPr>
                <w:rFonts w:cs="Arial"/>
                <w:bCs/>
              </w:rPr>
            </w:pPr>
            <w:r w:rsidRPr="00EB2DD8">
              <w:t>4.9%</w:t>
            </w:r>
          </w:p>
        </w:tc>
        <w:tc>
          <w:tcPr>
            <w:tcW w:w="1440" w:type="dxa"/>
            <w:noWrap/>
            <w:hideMark/>
          </w:tcPr>
          <w:p w14:paraId="7FE01A5A" w14:textId="77777777" w:rsidR="001C19A4" w:rsidRPr="00DE4665" w:rsidRDefault="001C19A4" w:rsidP="005F27A6">
            <w:pPr>
              <w:spacing w:after="0"/>
              <w:ind w:left="360"/>
              <w:jc w:val="right"/>
              <w:rPr>
                <w:rFonts w:cs="Arial"/>
                <w:bCs/>
              </w:rPr>
            </w:pPr>
            <w:r>
              <w:t>9.0</w:t>
            </w:r>
            <w:r w:rsidRPr="00EB2DD8">
              <w:t>%</w:t>
            </w:r>
          </w:p>
        </w:tc>
      </w:tr>
      <w:tr w:rsidR="001C19A4" w:rsidRPr="00DE4665" w14:paraId="50ADC796" w14:textId="77777777" w:rsidTr="005F27A6">
        <w:trPr>
          <w:trHeight w:val="145"/>
        </w:trPr>
        <w:tc>
          <w:tcPr>
            <w:tcW w:w="4320" w:type="dxa"/>
            <w:noWrap/>
            <w:vAlign w:val="center"/>
            <w:hideMark/>
          </w:tcPr>
          <w:p w14:paraId="243FA994" w14:textId="77777777" w:rsidR="001C19A4" w:rsidRPr="00DE4665" w:rsidRDefault="001C19A4" w:rsidP="005F27A6">
            <w:pPr>
              <w:spacing w:after="0"/>
              <w:ind w:left="60"/>
              <w:rPr>
                <w:rFonts w:cs="Arial"/>
                <w:bCs/>
              </w:rPr>
            </w:pPr>
            <w:r>
              <w:rPr>
                <w:rFonts w:cs="Arial"/>
                <w:bCs/>
              </w:rPr>
              <w:t>Remaining Portion of Mt. Diablo USD</w:t>
            </w:r>
          </w:p>
        </w:tc>
        <w:tc>
          <w:tcPr>
            <w:tcW w:w="1800" w:type="dxa"/>
          </w:tcPr>
          <w:p w14:paraId="39594AF6" w14:textId="77777777" w:rsidR="001C19A4" w:rsidRPr="00017D8D" w:rsidRDefault="001C19A4" w:rsidP="005F27A6">
            <w:pPr>
              <w:spacing w:after="0"/>
              <w:ind w:left="360"/>
              <w:jc w:val="right"/>
            </w:pPr>
            <w:r w:rsidRPr="000B5886">
              <w:t>24</w:t>
            </w:r>
            <w:r>
              <w:t>,</w:t>
            </w:r>
            <w:r w:rsidRPr="000B5886">
              <w:t>618</w:t>
            </w:r>
          </w:p>
        </w:tc>
        <w:tc>
          <w:tcPr>
            <w:tcW w:w="1530" w:type="dxa"/>
            <w:noWrap/>
            <w:hideMark/>
          </w:tcPr>
          <w:p w14:paraId="319DA20D" w14:textId="77777777" w:rsidR="001C19A4" w:rsidRPr="00DE4665" w:rsidRDefault="001C19A4" w:rsidP="005F27A6">
            <w:pPr>
              <w:spacing w:after="0"/>
              <w:ind w:left="360"/>
              <w:jc w:val="right"/>
              <w:rPr>
                <w:rFonts w:cs="Arial"/>
                <w:bCs/>
              </w:rPr>
            </w:pPr>
            <w:r w:rsidRPr="00EB2DD8">
              <w:t>23.0%</w:t>
            </w:r>
          </w:p>
        </w:tc>
        <w:tc>
          <w:tcPr>
            <w:tcW w:w="1440" w:type="dxa"/>
            <w:noWrap/>
            <w:hideMark/>
          </w:tcPr>
          <w:p w14:paraId="075E88AB" w14:textId="77777777" w:rsidR="001C19A4" w:rsidRPr="00DE4665" w:rsidRDefault="001C19A4" w:rsidP="005F27A6">
            <w:pPr>
              <w:spacing w:after="0"/>
              <w:ind w:left="360"/>
              <w:jc w:val="right"/>
              <w:rPr>
                <w:rFonts w:cs="Arial"/>
                <w:bCs/>
              </w:rPr>
            </w:pPr>
            <w:r w:rsidRPr="00EB2DD8">
              <w:t>44.3%</w:t>
            </w:r>
          </w:p>
        </w:tc>
      </w:tr>
    </w:tbl>
    <w:p w14:paraId="35CE9990" w14:textId="2D5EF01F" w:rsidR="001C19A4" w:rsidRDefault="001C19A4" w:rsidP="005F27A6">
      <w:pPr>
        <w:spacing w:before="120"/>
        <w:ind w:left="360"/>
        <w:rPr>
          <w:rFonts w:cs="Arial"/>
        </w:rPr>
      </w:pPr>
      <w:r w:rsidRPr="00CE6FB8">
        <w:rPr>
          <w:rFonts w:cs="Arial"/>
        </w:rPr>
        <w:t xml:space="preserve">As can be seen in </w:t>
      </w:r>
      <w:r w:rsidR="002F7493">
        <w:rPr>
          <w:rFonts w:cs="Arial"/>
        </w:rPr>
        <w:t>T</w:t>
      </w:r>
      <w:r w:rsidRPr="00CE6FB8">
        <w:rPr>
          <w:rFonts w:cs="Arial"/>
        </w:rPr>
        <w:t xml:space="preserve">ables </w:t>
      </w:r>
      <w:r>
        <w:rPr>
          <w:rFonts w:cs="Arial"/>
        </w:rPr>
        <w:t>4</w:t>
      </w:r>
      <w:r w:rsidRPr="00CE6FB8">
        <w:rPr>
          <w:rFonts w:cs="Arial"/>
        </w:rPr>
        <w:t xml:space="preserve">a through </w:t>
      </w:r>
      <w:r>
        <w:rPr>
          <w:rFonts w:cs="Arial"/>
        </w:rPr>
        <w:t>4</w:t>
      </w:r>
      <w:r w:rsidRPr="00CE6FB8">
        <w:rPr>
          <w:rFonts w:cs="Arial"/>
        </w:rPr>
        <w:t xml:space="preserve">d, the remaining portion of Mt. Diablo USD would have a significantly greater </w:t>
      </w:r>
      <w:r>
        <w:rPr>
          <w:rFonts w:cs="Arial"/>
        </w:rPr>
        <w:t xml:space="preserve">number and </w:t>
      </w:r>
      <w:r w:rsidRPr="00CE6FB8">
        <w:rPr>
          <w:rFonts w:cs="Arial"/>
        </w:rPr>
        <w:t>percentage of EL students and FRPM eligible students at all grade spans than would the proposed Northgate USD.</w:t>
      </w:r>
      <w:r>
        <w:rPr>
          <w:rFonts w:cs="Arial"/>
        </w:rPr>
        <w:t xml:space="preserve"> As would be expected with higher percentages of these student groups, the remaining portion of the Mt. Diablo USD would generate significantly more supplemental grant funding under the LCFF.  </w:t>
      </w:r>
      <w:r w:rsidR="002F7493">
        <w:rPr>
          <w:rFonts w:cs="Arial"/>
        </w:rPr>
        <w:t>T</w:t>
      </w:r>
      <w:r>
        <w:rPr>
          <w:rFonts w:cs="Arial"/>
        </w:rPr>
        <w:t>he remaining portion of Mt. Diablo USD would have more per</w:t>
      </w:r>
      <w:r w:rsidR="00E75367">
        <w:rPr>
          <w:rFonts w:cs="Arial"/>
        </w:rPr>
        <w:t>-</w:t>
      </w:r>
      <w:r>
        <w:rPr>
          <w:rFonts w:cs="Arial"/>
        </w:rPr>
        <w:t xml:space="preserve">student funding </w:t>
      </w:r>
      <w:r w:rsidRPr="00F13FDB">
        <w:rPr>
          <w:rFonts w:cs="Arial"/>
        </w:rPr>
        <w:t>to provide increased or improved services to disadvantaged students to help them succeed academically</w:t>
      </w:r>
      <w:r>
        <w:rPr>
          <w:rFonts w:cs="Arial"/>
        </w:rPr>
        <w:t xml:space="preserve">, as compared to the proposed Northgate USD. </w:t>
      </w:r>
    </w:p>
    <w:p w14:paraId="51E5FB82" w14:textId="77777777" w:rsidR="001C19A4" w:rsidRPr="00F00B3E" w:rsidRDefault="001C19A4" w:rsidP="000A33F9">
      <w:pPr>
        <w:pStyle w:val="Heading3"/>
        <w:numPr>
          <w:ilvl w:val="1"/>
          <w:numId w:val="40"/>
        </w:numPr>
        <w:ind w:left="720" w:hanging="720"/>
      </w:pPr>
      <w:r>
        <w:t xml:space="preserve">Districtwide </w:t>
      </w:r>
      <w:r w:rsidRPr="00F00B3E">
        <w:t>Programs</w:t>
      </w:r>
    </w:p>
    <w:p w14:paraId="7EEE8E07" w14:textId="1B721741" w:rsidR="001C19A4" w:rsidRPr="00143922" w:rsidRDefault="001C19A4" w:rsidP="00AF653A">
      <w:pPr>
        <w:pStyle w:val="Heading4"/>
        <w:numPr>
          <w:ilvl w:val="0"/>
          <w:numId w:val="45"/>
        </w:numPr>
        <w:ind w:left="720"/>
      </w:pPr>
      <w:r w:rsidRPr="00143922">
        <w:t>Academic Performance</w:t>
      </w:r>
    </w:p>
    <w:p w14:paraId="20CBA0A6" w14:textId="77777777" w:rsidR="001C19A4" w:rsidRPr="00AB54BC" w:rsidRDefault="001C19A4" w:rsidP="005F27A6">
      <w:pPr>
        <w:ind w:left="720"/>
        <w:rPr>
          <w:rFonts w:cs="Arial"/>
        </w:rPr>
      </w:pPr>
      <w:r w:rsidRPr="00AB54BC">
        <w:rPr>
          <w:rFonts w:cs="Arial"/>
        </w:rPr>
        <w:t xml:space="preserve">California's accountability and continuous improvement system is based on a five-by-five grid that produces 25 results and 5 performance levels (Blue, Green, Yellow, Orange, and Red). This five-by-five grid combines </w:t>
      </w:r>
      <w:r>
        <w:rPr>
          <w:rFonts w:cs="Arial"/>
        </w:rPr>
        <w:t xml:space="preserve">a district’s or school’s </w:t>
      </w:r>
      <w:r w:rsidRPr="00AB54BC">
        <w:rPr>
          <w:rFonts w:cs="Arial"/>
        </w:rPr>
        <w:lastRenderedPageBreak/>
        <w:t xml:space="preserve">Status and Change to make an overall determination for each </w:t>
      </w:r>
      <w:r>
        <w:rPr>
          <w:rFonts w:cs="Arial"/>
        </w:rPr>
        <w:t>academic measure</w:t>
      </w:r>
      <w:r w:rsidRPr="00AB54BC">
        <w:rPr>
          <w:rFonts w:cs="Arial"/>
        </w:rPr>
        <w:t xml:space="preserve"> </w:t>
      </w:r>
      <w:r>
        <w:rPr>
          <w:rFonts w:cs="Arial"/>
        </w:rPr>
        <w:t>(</w:t>
      </w:r>
      <w:r w:rsidRPr="00AB54BC">
        <w:rPr>
          <w:rFonts w:cs="Arial"/>
        </w:rPr>
        <w:t xml:space="preserve">equal weight </w:t>
      </w:r>
      <w:r>
        <w:rPr>
          <w:rFonts w:cs="Arial"/>
        </w:rPr>
        <w:t xml:space="preserve">is provided </w:t>
      </w:r>
      <w:r w:rsidRPr="00AB54BC">
        <w:rPr>
          <w:rFonts w:cs="Arial"/>
        </w:rPr>
        <w:t>to both Status and Change</w:t>
      </w:r>
      <w:r>
        <w:rPr>
          <w:rFonts w:cs="Arial"/>
        </w:rPr>
        <w:t>)</w:t>
      </w:r>
      <w:r w:rsidRPr="00AB54BC">
        <w:rPr>
          <w:rFonts w:cs="Arial"/>
        </w:rPr>
        <w:t>.</w:t>
      </w:r>
    </w:p>
    <w:p w14:paraId="3EDECEC1" w14:textId="77777777" w:rsidR="001C19A4" w:rsidRPr="00AB54BC" w:rsidRDefault="001C19A4" w:rsidP="005F27A6">
      <w:pPr>
        <w:ind w:left="720"/>
        <w:rPr>
          <w:rFonts w:cs="Arial"/>
        </w:rPr>
      </w:pPr>
      <w:r w:rsidRPr="00AB54BC">
        <w:rPr>
          <w:rFonts w:cs="Arial"/>
        </w:rPr>
        <w:t xml:space="preserve">Status is based on the most recent year of data for </w:t>
      </w:r>
      <w:r>
        <w:rPr>
          <w:rFonts w:cs="Arial"/>
        </w:rPr>
        <w:t>a particular accountability i</w:t>
      </w:r>
      <w:r w:rsidRPr="00AB54BC">
        <w:rPr>
          <w:rFonts w:cs="Arial"/>
        </w:rPr>
        <w:t>ndicator. The five Status levels are:</w:t>
      </w:r>
    </w:p>
    <w:p w14:paraId="04AEA2C6" w14:textId="77777777" w:rsidR="001C19A4" w:rsidRPr="00AB54BC" w:rsidRDefault="001C19A4" w:rsidP="000A33F9">
      <w:pPr>
        <w:widowControl w:val="0"/>
        <w:numPr>
          <w:ilvl w:val="0"/>
          <w:numId w:val="18"/>
        </w:numPr>
        <w:tabs>
          <w:tab w:val="left" w:pos="1440"/>
        </w:tabs>
        <w:spacing w:line="240" w:lineRule="auto"/>
        <w:ind w:left="1440"/>
        <w:rPr>
          <w:rFonts w:cs="Arial"/>
        </w:rPr>
      </w:pPr>
      <w:r w:rsidRPr="00AB54BC">
        <w:rPr>
          <w:rFonts w:cs="Arial"/>
        </w:rPr>
        <w:t>Very high</w:t>
      </w:r>
    </w:p>
    <w:p w14:paraId="3AA7458B" w14:textId="77777777" w:rsidR="001C19A4" w:rsidRPr="00AB54BC" w:rsidRDefault="001C19A4" w:rsidP="000A33F9">
      <w:pPr>
        <w:widowControl w:val="0"/>
        <w:numPr>
          <w:ilvl w:val="0"/>
          <w:numId w:val="18"/>
        </w:numPr>
        <w:tabs>
          <w:tab w:val="left" w:pos="1440"/>
        </w:tabs>
        <w:spacing w:line="240" w:lineRule="auto"/>
        <w:ind w:left="1440"/>
        <w:rPr>
          <w:rFonts w:cs="Arial"/>
        </w:rPr>
      </w:pPr>
      <w:r w:rsidRPr="00AB54BC">
        <w:rPr>
          <w:rFonts w:cs="Arial"/>
        </w:rPr>
        <w:t>High</w:t>
      </w:r>
    </w:p>
    <w:p w14:paraId="3E23C781" w14:textId="77777777" w:rsidR="001C19A4" w:rsidRPr="00AB54BC" w:rsidRDefault="001C19A4" w:rsidP="000A33F9">
      <w:pPr>
        <w:widowControl w:val="0"/>
        <w:numPr>
          <w:ilvl w:val="0"/>
          <w:numId w:val="18"/>
        </w:numPr>
        <w:tabs>
          <w:tab w:val="left" w:pos="1440"/>
        </w:tabs>
        <w:spacing w:line="240" w:lineRule="auto"/>
        <w:ind w:left="1440"/>
        <w:rPr>
          <w:rFonts w:cs="Arial"/>
        </w:rPr>
      </w:pPr>
      <w:r w:rsidRPr="00AB54BC">
        <w:rPr>
          <w:rFonts w:cs="Arial"/>
        </w:rPr>
        <w:t>Medium</w:t>
      </w:r>
    </w:p>
    <w:p w14:paraId="7DA969D0" w14:textId="77777777" w:rsidR="001C19A4" w:rsidRPr="00AB54BC" w:rsidRDefault="001C19A4" w:rsidP="000A33F9">
      <w:pPr>
        <w:widowControl w:val="0"/>
        <w:numPr>
          <w:ilvl w:val="0"/>
          <w:numId w:val="18"/>
        </w:numPr>
        <w:tabs>
          <w:tab w:val="left" w:pos="1440"/>
        </w:tabs>
        <w:spacing w:line="240" w:lineRule="auto"/>
        <w:ind w:left="1440"/>
        <w:rPr>
          <w:rFonts w:cs="Arial"/>
        </w:rPr>
      </w:pPr>
      <w:r w:rsidRPr="00AB54BC">
        <w:rPr>
          <w:rFonts w:cs="Arial"/>
        </w:rPr>
        <w:t>Low</w:t>
      </w:r>
    </w:p>
    <w:p w14:paraId="674D5B7A" w14:textId="77777777" w:rsidR="001C19A4" w:rsidRPr="00AB54BC" w:rsidRDefault="001C19A4" w:rsidP="000A33F9">
      <w:pPr>
        <w:widowControl w:val="0"/>
        <w:numPr>
          <w:ilvl w:val="0"/>
          <w:numId w:val="18"/>
        </w:numPr>
        <w:tabs>
          <w:tab w:val="left" w:pos="1440"/>
        </w:tabs>
        <w:spacing w:line="240" w:lineRule="auto"/>
        <w:ind w:left="1440"/>
        <w:rPr>
          <w:rFonts w:cs="Arial"/>
        </w:rPr>
      </w:pPr>
      <w:r w:rsidRPr="00AB54BC">
        <w:rPr>
          <w:rFonts w:cs="Arial"/>
        </w:rPr>
        <w:t>Very low</w:t>
      </w:r>
    </w:p>
    <w:p w14:paraId="1DBB4E89" w14:textId="77777777" w:rsidR="001C19A4" w:rsidRPr="00AB54BC" w:rsidRDefault="001C19A4" w:rsidP="005F27A6">
      <w:pPr>
        <w:ind w:left="720"/>
        <w:rPr>
          <w:rFonts w:cs="Arial"/>
        </w:rPr>
      </w:pPr>
      <w:r w:rsidRPr="00AB54BC">
        <w:rPr>
          <w:rFonts w:cs="Arial"/>
        </w:rPr>
        <w:t>Change is the difference between performance from the most recent year of data and the prior</w:t>
      </w:r>
      <w:r>
        <w:rPr>
          <w:rFonts w:cs="Arial"/>
        </w:rPr>
        <w:t>-</w:t>
      </w:r>
      <w:r w:rsidRPr="00AB54BC">
        <w:rPr>
          <w:rFonts w:cs="Arial"/>
        </w:rPr>
        <w:t>year data. The five Change levels are:</w:t>
      </w:r>
    </w:p>
    <w:p w14:paraId="35C090DF" w14:textId="77777777" w:rsidR="001C19A4" w:rsidRPr="00AB54BC" w:rsidRDefault="001C19A4" w:rsidP="000A33F9">
      <w:pPr>
        <w:widowControl w:val="0"/>
        <w:numPr>
          <w:ilvl w:val="0"/>
          <w:numId w:val="19"/>
        </w:numPr>
        <w:tabs>
          <w:tab w:val="left" w:pos="1440"/>
        </w:tabs>
        <w:spacing w:line="240" w:lineRule="auto"/>
        <w:ind w:left="1440"/>
        <w:rPr>
          <w:rFonts w:cs="Arial"/>
        </w:rPr>
      </w:pPr>
      <w:r w:rsidRPr="00AB54BC">
        <w:rPr>
          <w:rFonts w:cs="Arial"/>
        </w:rPr>
        <w:t>Increased significantly</w:t>
      </w:r>
    </w:p>
    <w:p w14:paraId="37829035" w14:textId="77777777" w:rsidR="001C19A4" w:rsidRPr="00AB54BC" w:rsidRDefault="001C19A4" w:rsidP="000A33F9">
      <w:pPr>
        <w:widowControl w:val="0"/>
        <w:numPr>
          <w:ilvl w:val="0"/>
          <w:numId w:val="19"/>
        </w:numPr>
        <w:tabs>
          <w:tab w:val="left" w:pos="1440"/>
        </w:tabs>
        <w:spacing w:line="240" w:lineRule="auto"/>
        <w:ind w:left="1440"/>
        <w:rPr>
          <w:rFonts w:cs="Arial"/>
        </w:rPr>
      </w:pPr>
      <w:r w:rsidRPr="00AB54BC">
        <w:rPr>
          <w:rFonts w:cs="Arial"/>
        </w:rPr>
        <w:t>Increased</w:t>
      </w:r>
    </w:p>
    <w:p w14:paraId="26E308E3" w14:textId="77777777" w:rsidR="001C19A4" w:rsidRPr="00AB54BC" w:rsidRDefault="001C19A4" w:rsidP="000A33F9">
      <w:pPr>
        <w:widowControl w:val="0"/>
        <w:numPr>
          <w:ilvl w:val="0"/>
          <w:numId w:val="19"/>
        </w:numPr>
        <w:tabs>
          <w:tab w:val="left" w:pos="1440"/>
        </w:tabs>
        <w:spacing w:line="240" w:lineRule="auto"/>
        <w:ind w:left="1440"/>
        <w:rPr>
          <w:rFonts w:cs="Arial"/>
        </w:rPr>
      </w:pPr>
      <w:r w:rsidRPr="00AB54BC">
        <w:rPr>
          <w:rFonts w:cs="Arial"/>
        </w:rPr>
        <w:t>Maintained</w:t>
      </w:r>
    </w:p>
    <w:p w14:paraId="6ED8B8D0" w14:textId="77777777" w:rsidR="001C19A4" w:rsidRPr="00AB54BC" w:rsidRDefault="001C19A4" w:rsidP="000A33F9">
      <w:pPr>
        <w:widowControl w:val="0"/>
        <w:numPr>
          <w:ilvl w:val="0"/>
          <w:numId w:val="19"/>
        </w:numPr>
        <w:tabs>
          <w:tab w:val="left" w:pos="1440"/>
        </w:tabs>
        <w:spacing w:line="240" w:lineRule="auto"/>
        <w:ind w:left="1440"/>
        <w:rPr>
          <w:rFonts w:cs="Arial"/>
        </w:rPr>
      </w:pPr>
      <w:r w:rsidRPr="00AB54BC">
        <w:rPr>
          <w:rFonts w:cs="Arial"/>
        </w:rPr>
        <w:t>Declined</w:t>
      </w:r>
    </w:p>
    <w:p w14:paraId="0B37074A" w14:textId="77777777" w:rsidR="001C19A4" w:rsidRDefault="001C19A4" w:rsidP="000A33F9">
      <w:pPr>
        <w:widowControl w:val="0"/>
        <w:numPr>
          <w:ilvl w:val="0"/>
          <w:numId w:val="19"/>
        </w:numPr>
        <w:tabs>
          <w:tab w:val="left" w:pos="1440"/>
        </w:tabs>
        <w:spacing w:line="240" w:lineRule="auto"/>
        <w:ind w:left="1440"/>
        <w:rPr>
          <w:rFonts w:cs="Arial"/>
        </w:rPr>
      </w:pPr>
      <w:r w:rsidRPr="00AB54BC">
        <w:rPr>
          <w:rFonts w:cs="Arial"/>
        </w:rPr>
        <w:t>Declined significantly</w:t>
      </w:r>
    </w:p>
    <w:p w14:paraId="591F61F2" w14:textId="77777777" w:rsidR="001C19A4" w:rsidRDefault="001C19A4" w:rsidP="005F27A6">
      <w:pPr>
        <w:ind w:left="720"/>
        <w:rPr>
          <w:rFonts w:cs="Arial"/>
        </w:rPr>
      </w:pPr>
      <w:r w:rsidRPr="00F31E1A">
        <w:rPr>
          <w:rFonts w:cs="Arial"/>
        </w:rPr>
        <w:t xml:space="preserve">Combining Status and Change results in a color-coded performance level for each </w:t>
      </w:r>
      <w:r>
        <w:rPr>
          <w:rFonts w:cs="Arial"/>
        </w:rPr>
        <w:t>accountability</w:t>
      </w:r>
      <w:r w:rsidRPr="00F31E1A">
        <w:rPr>
          <w:rFonts w:cs="Arial"/>
        </w:rPr>
        <w:t xml:space="preserve"> indicator</w:t>
      </w:r>
      <w:r>
        <w:rPr>
          <w:rFonts w:cs="Arial"/>
        </w:rPr>
        <w:t>.</w:t>
      </w:r>
      <w:r w:rsidRPr="00F31E1A">
        <w:rPr>
          <w:rFonts w:cs="Arial"/>
        </w:rPr>
        <w:t xml:space="preserve"> The five color-coded performance levels in order are: blue (highest), green, yellow, orange, and red (lowest).</w:t>
      </w:r>
      <w:r>
        <w:rPr>
          <w:rFonts w:cs="Arial"/>
        </w:rPr>
        <w:t xml:space="preserve"> The first release of data for this accountability system was in March 2017. The most current data available is from the 2019–20 academic year. Districtwide results for the Mt. Diablo USD are provided in the following table for the following indicators: English Learner Progress (ELP), English Language Arts (ELA), Mathematics (Math) and Graduation Rates (Graduation), and College-Career. It should be noted that the English Learner Progress indicator does not measure change in the same manner nor assign a performance level. English Learner Progress change is measured as the percentage </w:t>
      </w:r>
      <w:r w:rsidRPr="00B4632D">
        <w:rPr>
          <w:rFonts w:cs="Arial"/>
        </w:rPr>
        <w:t>of EL students making or maintaining progress as compared to the prior year</w:t>
      </w:r>
      <w:r>
        <w:rPr>
          <w:rFonts w:cs="Arial"/>
        </w:rPr>
        <w:t xml:space="preserve">. </w:t>
      </w:r>
    </w:p>
    <w:p w14:paraId="23FD665E" w14:textId="77777777" w:rsidR="001C19A4" w:rsidRDefault="001C19A4">
      <w:pPr>
        <w:spacing w:after="160"/>
        <w:rPr>
          <w:rFonts w:cs="Arial"/>
          <w:b/>
        </w:rPr>
      </w:pPr>
      <w:r>
        <w:rPr>
          <w:rFonts w:cs="Arial"/>
          <w:b/>
        </w:rPr>
        <w:br w:type="page"/>
      </w:r>
    </w:p>
    <w:p w14:paraId="4B4CFBBD" w14:textId="77777777" w:rsidR="001C19A4" w:rsidRPr="00CB6A51" w:rsidRDefault="001C19A4" w:rsidP="00AF653A">
      <w:pPr>
        <w:pStyle w:val="Heading4"/>
        <w:ind w:left="720"/>
      </w:pPr>
      <w:r w:rsidRPr="00CB6A51">
        <w:lastRenderedPageBreak/>
        <w:t xml:space="preserve">Table </w:t>
      </w:r>
      <w:r>
        <w:t>5a</w:t>
      </w:r>
      <w:r w:rsidRPr="00CB6A51">
        <w:t xml:space="preserve">: </w:t>
      </w:r>
      <w:r>
        <w:t>Mt. Diablo USD</w:t>
      </w:r>
      <w:r w:rsidRPr="00CB6A51">
        <w:t xml:space="preserve"> Placement in California Accountability Model</w:t>
      </w:r>
    </w:p>
    <w:tbl>
      <w:tblPr>
        <w:tblStyle w:val="TableGridLight"/>
        <w:tblpPr w:leftFromText="180" w:rightFromText="180" w:vertAnchor="text" w:horzAnchor="margin" w:tblpXSpec="right" w:tblpY="-7"/>
        <w:tblW w:w="8645" w:type="dxa"/>
        <w:tblCellMar>
          <w:top w:w="115" w:type="dxa"/>
          <w:left w:w="115" w:type="dxa"/>
          <w:bottom w:w="115" w:type="dxa"/>
          <w:right w:w="115" w:type="dxa"/>
        </w:tblCellMar>
        <w:tblLook w:val="04A0" w:firstRow="1" w:lastRow="0" w:firstColumn="1" w:lastColumn="0" w:noHBand="0" w:noVBand="1"/>
        <w:tblDescription w:val="Table 5a provides the 2020-21 district-level placement in the California  Accountability Model for five California School Dashboard indicators (English Learner Progress, English Language Arts, Mathematics, Graduation Rates, and College/Career Placement) for the existing Mt. Diablo USD."/>
      </w:tblPr>
      <w:tblGrid>
        <w:gridCol w:w="2965"/>
        <w:gridCol w:w="1960"/>
        <w:gridCol w:w="1860"/>
        <w:gridCol w:w="1860"/>
      </w:tblGrid>
      <w:tr w:rsidR="001C19A4" w:rsidRPr="00556F5E" w14:paraId="01230D0A" w14:textId="77777777" w:rsidTr="005F27A6">
        <w:tc>
          <w:tcPr>
            <w:tcW w:w="2965" w:type="dxa"/>
            <w:shd w:val="clear" w:color="auto" w:fill="E7E6E6" w:themeFill="background2"/>
            <w:vAlign w:val="center"/>
          </w:tcPr>
          <w:p w14:paraId="63626876" w14:textId="77777777" w:rsidR="001C19A4" w:rsidRPr="00556F5E" w:rsidRDefault="001C19A4" w:rsidP="005F27A6">
            <w:pPr>
              <w:spacing w:after="0"/>
              <w:jc w:val="center"/>
              <w:rPr>
                <w:rFonts w:cs="Arial"/>
                <w:b/>
                <w:szCs w:val="22"/>
              </w:rPr>
            </w:pPr>
            <w:r w:rsidRPr="00556F5E">
              <w:rPr>
                <w:rFonts w:cs="Arial"/>
                <w:b/>
                <w:szCs w:val="22"/>
              </w:rPr>
              <w:t>Indicator</w:t>
            </w:r>
          </w:p>
        </w:tc>
        <w:tc>
          <w:tcPr>
            <w:tcW w:w="1960" w:type="dxa"/>
            <w:shd w:val="clear" w:color="auto" w:fill="E7E6E6" w:themeFill="background2"/>
            <w:vAlign w:val="center"/>
          </w:tcPr>
          <w:p w14:paraId="514E58CC" w14:textId="77777777" w:rsidR="001C19A4" w:rsidRPr="00556F5E" w:rsidRDefault="001C19A4" w:rsidP="005F27A6">
            <w:pPr>
              <w:spacing w:after="0"/>
              <w:jc w:val="center"/>
              <w:rPr>
                <w:rFonts w:cs="Arial"/>
                <w:b/>
                <w:szCs w:val="22"/>
              </w:rPr>
            </w:pPr>
            <w:r w:rsidRPr="00556F5E">
              <w:rPr>
                <w:rFonts w:cs="Arial"/>
                <w:b/>
                <w:szCs w:val="22"/>
              </w:rPr>
              <w:t>Status</w:t>
            </w:r>
          </w:p>
        </w:tc>
        <w:tc>
          <w:tcPr>
            <w:tcW w:w="1860" w:type="dxa"/>
            <w:shd w:val="clear" w:color="auto" w:fill="E7E6E6" w:themeFill="background2"/>
            <w:vAlign w:val="center"/>
          </w:tcPr>
          <w:p w14:paraId="45B17375" w14:textId="77777777" w:rsidR="001C19A4" w:rsidRPr="00556F5E" w:rsidRDefault="001C19A4" w:rsidP="005F27A6">
            <w:pPr>
              <w:spacing w:after="0"/>
              <w:jc w:val="center"/>
              <w:rPr>
                <w:rFonts w:cs="Arial"/>
                <w:b/>
                <w:szCs w:val="22"/>
              </w:rPr>
            </w:pPr>
            <w:r w:rsidRPr="00556F5E">
              <w:rPr>
                <w:rFonts w:cs="Arial"/>
                <w:b/>
                <w:szCs w:val="22"/>
              </w:rPr>
              <w:t>Change</w:t>
            </w:r>
          </w:p>
        </w:tc>
        <w:tc>
          <w:tcPr>
            <w:tcW w:w="1860" w:type="dxa"/>
            <w:shd w:val="clear" w:color="auto" w:fill="E7E6E6" w:themeFill="background2"/>
            <w:vAlign w:val="center"/>
          </w:tcPr>
          <w:p w14:paraId="43A7382E" w14:textId="77777777" w:rsidR="001C19A4" w:rsidRPr="00556F5E" w:rsidRDefault="001C19A4" w:rsidP="005F27A6">
            <w:pPr>
              <w:spacing w:after="0"/>
              <w:jc w:val="center"/>
              <w:rPr>
                <w:rFonts w:cs="Arial"/>
                <w:b/>
                <w:szCs w:val="22"/>
              </w:rPr>
            </w:pPr>
            <w:r w:rsidRPr="00556F5E">
              <w:rPr>
                <w:rFonts w:cs="Arial"/>
                <w:b/>
                <w:szCs w:val="22"/>
              </w:rPr>
              <w:t>Performance Level</w:t>
            </w:r>
          </w:p>
        </w:tc>
      </w:tr>
      <w:tr w:rsidR="001C19A4" w:rsidRPr="00556F5E" w14:paraId="4D978528" w14:textId="77777777" w:rsidTr="005F27A6">
        <w:trPr>
          <w:trHeight w:val="331"/>
        </w:trPr>
        <w:tc>
          <w:tcPr>
            <w:tcW w:w="2965" w:type="dxa"/>
          </w:tcPr>
          <w:p w14:paraId="38B7E152" w14:textId="77777777" w:rsidR="001C19A4" w:rsidRPr="00556F5E" w:rsidRDefault="001C19A4" w:rsidP="005F27A6">
            <w:pPr>
              <w:spacing w:after="0"/>
              <w:rPr>
                <w:rFonts w:cs="Arial"/>
                <w:szCs w:val="22"/>
              </w:rPr>
            </w:pPr>
            <w:r w:rsidRPr="00556F5E">
              <w:rPr>
                <w:rFonts w:cs="Arial"/>
                <w:szCs w:val="22"/>
              </w:rPr>
              <w:t>English Learner Progress</w:t>
            </w:r>
            <w:r>
              <w:rPr>
                <w:rFonts w:cs="Arial"/>
                <w:szCs w:val="22"/>
              </w:rPr>
              <w:t xml:space="preserve"> </w:t>
            </w:r>
          </w:p>
        </w:tc>
        <w:tc>
          <w:tcPr>
            <w:tcW w:w="1960" w:type="dxa"/>
          </w:tcPr>
          <w:p w14:paraId="014BD279" w14:textId="77777777" w:rsidR="001C19A4" w:rsidRPr="00556F5E" w:rsidRDefault="001C19A4" w:rsidP="005F27A6">
            <w:pPr>
              <w:spacing w:after="0"/>
              <w:jc w:val="center"/>
              <w:rPr>
                <w:rFonts w:cs="Arial"/>
                <w:szCs w:val="22"/>
              </w:rPr>
            </w:pPr>
            <w:r w:rsidRPr="00556F5E">
              <w:t>Medium</w:t>
            </w:r>
          </w:p>
        </w:tc>
        <w:tc>
          <w:tcPr>
            <w:tcW w:w="1860" w:type="dxa"/>
          </w:tcPr>
          <w:p w14:paraId="54D61611" w14:textId="77777777" w:rsidR="001C19A4" w:rsidRPr="00556F5E" w:rsidRDefault="001C19A4" w:rsidP="005F27A6">
            <w:pPr>
              <w:spacing w:after="0"/>
              <w:jc w:val="center"/>
              <w:rPr>
                <w:rFonts w:cs="Arial"/>
                <w:szCs w:val="22"/>
              </w:rPr>
            </w:pPr>
            <w:r w:rsidRPr="00556F5E">
              <w:t>47.80%</w:t>
            </w:r>
          </w:p>
        </w:tc>
        <w:tc>
          <w:tcPr>
            <w:tcW w:w="1860" w:type="dxa"/>
            <w:shd w:val="clear" w:color="auto" w:fill="auto"/>
          </w:tcPr>
          <w:p w14:paraId="3419672A" w14:textId="77777777" w:rsidR="001C19A4" w:rsidRPr="00556F5E" w:rsidRDefault="001C19A4" w:rsidP="005F27A6">
            <w:pPr>
              <w:spacing w:after="0"/>
              <w:jc w:val="center"/>
              <w:rPr>
                <w:rFonts w:cs="Arial"/>
                <w:szCs w:val="22"/>
              </w:rPr>
            </w:pPr>
            <w:r>
              <w:t>N/A</w:t>
            </w:r>
          </w:p>
        </w:tc>
      </w:tr>
      <w:tr w:rsidR="001C19A4" w:rsidRPr="00556F5E" w14:paraId="002A8FD0" w14:textId="77777777" w:rsidTr="005F27A6">
        <w:trPr>
          <w:trHeight w:val="331"/>
        </w:trPr>
        <w:tc>
          <w:tcPr>
            <w:tcW w:w="2965" w:type="dxa"/>
          </w:tcPr>
          <w:p w14:paraId="48DC33A3" w14:textId="77777777" w:rsidR="001C19A4" w:rsidRPr="00556F5E" w:rsidRDefault="001C19A4" w:rsidP="005F27A6">
            <w:pPr>
              <w:spacing w:after="0"/>
              <w:rPr>
                <w:rFonts w:cs="Arial"/>
                <w:szCs w:val="22"/>
              </w:rPr>
            </w:pPr>
            <w:r w:rsidRPr="00556F5E">
              <w:rPr>
                <w:rFonts w:cs="Arial"/>
                <w:szCs w:val="22"/>
              </w:rPr>
              <w:t>English Language Arts</w:t>
            </w:r>
            <w:r>
              <w:rPr>
                <w:rFonts w:cs="Arial"/>
                <w:szCs w:val="22"/>
              </w:rPr>
              <w:t xml:space="preserve"> </w:t>
            </w:r>
          </w:p>
        </w:tc>
        <w:tc>
          <w:tcPr>
            <w:tcW w:w="1960" w:type="dxa"/>
          </w:tcPr>
          <w:p w14:paraId="42B5C177" w14:textId="77777777" w:rsidR="001C19A4" w:rsidRPr="00556F5E" w:rsidRDefault="001C19A4" w:rsidP="005F27A6">
            <w:pPr>
              <w:spacing w:after="0"/>
              <w:jc w:val="center"/>
              <w:rPr>
                <w:rFonts w:cs="Arial"/>
                <w:szCs w:val="22"/>
              </w:rPr>
            </w:pPr>
            <w:r w:rsidRPr="00556F5E">
              <w:t>Medium</w:t>
            </w:r>
          </w:p>
        </w:tc>
        <w:tc>
          <w:tcPr>
            <w:tcW w:w="1860" w:type="dxa"/>
          </w:tcPr>
          <w:p w14:paraId="51CBD67C" w14:textId="77777777" w:rsidR="001C19A4" w:rsidRPr="00556F5E" w:rsidRDefault="001C19A4" w:rsidP="005F27A6">
            <w:pPr>
              <w:spacing w:after="0"/>
              <w:jc w:val="center"/>
              <w:rPr>
                <w:rFonts w:cs="Arial"/>
                <w:szCs w:val="22"/>
              </w:rPr>
            </w:pPr>
            <w:r w:rsidRPr="00556F5E">
              <w:t>Decreased</w:t>
            </w:r>
          </w:p>
        </w:tc>
        <w:tc>
          <w:tcPr>
            <w:tcW w:w="1860" w:type="dxa"/>
            <w:shd w:val="clear" w:color="auto" w:fill="F7CAAC" w:themeFill="accent2" w:themeFillTint="66"/>
          </w:tcPr>
          <w:p w14:paraId="13F02E3D" w14:textId="77777777" w:rsidR="001C19A4" w:rsidRPr="00556F5E" w:rsidRDefault="001C19A4" w:rsidP="005F27A6">
            <w:pPr>
              <w:spacing w:after="0"/>
              <w:jc w:val="center"/>
              <w:rPr>
                <w:rFonts w:cs="Arial"/>
                <w:szCs w:val="22"/>
              </w:rPr>
            </w:pPr>
            <w:r w:rsidRPr="00556F5E">
              <w:t>Orange</w:t>
            </w:r>
          </w:p>
        </w:tc>
      </w:tr>
      <w:tr w:rsidR="001C19A4" w:rsidRPr="00556F5E" w14:paraId="54F3C833" w14:textId="77777777" w:rsidTr="005F27A6">
        <w:trPr>
          <w:trHeight w:val="331"/>
        </w:trPr>
        <w:tc>
          <w:tcPr>
            <w:tcW w:w="2965" w:type="dxa"/>
          </w:tcPr>
          <w:p w14:paraId="7BDBD422" w14:textId="77777777" w:rsidR="001C19A4" w:rsidRPr="00556F5E" w:rsidRDefault="001C19A4" w:rsidP="005F27A6">
            <w:pPr>
              <w:spacing w:after="0"/>
              <w:rPr>
                <w:rFonts w:cs="Arial"/>
                <w:szCs w:val="22"/>
              </w:rPr>
            </w:pPr>
            <w:r w:rsidRPr="00556F5E">
              <w:rPr>
                <w:rFonts w:cs="Arial"/>
                <w:szCs w:val="22"/>
              </w:rPr>
              <w:t>Mathematics</w:t>
            </w:r>
          </w:p>
        </w:tc>
        <w:tc>
          <w:tcPr>
            <w:tcW w:w="1960" w:type="dxa"/>
          </w:tcPr>
          <w:p w14:paraId="3B6617B0" w14:textId="77777777" w:rsidR="001C19A4" w:rsidRPr="00556F5E" w:rsidRDefault="001C19A4" w:rsidP="005F27A6">
            <w:pPr>
              <w:spacing w:after="0"/>
              <w:jc w:val="center"/>
              <w:rPr>
                <w:rFonts w:cs="Arial"/>
                <w:szCs w:val="22"/>
              </w:rPr>
            </w:pPr>
            <w:r w:rsidRPr="00556F5E">
              <w:t>Low</w:t>
            </w:r>
          </w:p>
        </w:tc>
        <w:tc>
          <w:tcPr>
            <w:tcW w:w="1860" w:type="dxa"/>
          </w:tcPr>
          <w:p w14:paraId="56A77C0D" w14:textId="77777777" w:rsidR="001C19A4" w:rsidRPr="00556F5E" w:rsidRDefault="001C19A4" w:rsidP="005F27A6">
            <w:pPr>
              <w:spacing w:after="0"/>
              <w:jc w:val="center"/>
              <w:rPr>
                <w:rFonts w:cs="Arial"/>
                <w:szCs w:val="22"/>
              </w:rPr>
            </w:pPr>
            <w:r w:rsidRPr="00556F5E">
              <w:t>Maintained</w:t>
            </w:r>
          </w:p>
        </w:tc>
        <w:tc>
          <w:tcPr>
            <w:tcW w:w="1860" w:type="dxa"/>
            <w:shd w:val="clear" w:color="auto" w:fill="F7CAAC" w:themeFill="accent2" w:themeFillTint="66"/>
          </w:tcPr>
          <w:p w14:paraId="724ED2A4" w14:textId="77777777" w:rsidR="001C19A4" w:rsidRPr="00556F5E" w:rsidRDefault="001C19A4" w:rsidP="005F27A6">
            <w:pPr>
              <w:spacing w:after="0"/>
              <w:jc w:val="center"/>
              <w:rPr>
                <w:rFonts w:cs="Arial"/>
                <w:szCs w:val="22"/>
              </w:rPr>
            </w:pPr>
            <w:r w:rsidRPr="00556F5E">
              <w:t>Orange</w:t>
            </w:r>
          </w:p>
        </w:tc>
      </w:tr>
      <w:tr w:rsidR="001C19A4" w:rsidRPr="00556F5E" w14:paraId="3384B97A" w14:textId="77777777" w:rsidTr="005F27A6">
        <w:trPr>
          <w:trHeight w:val="331"/>
        </w:trPr>
        <w:tc>
          <w:tcPr>
            <w:tcW w:w="2965" w:type="dxa"/>
          </w:tcPr>
          <w:p w14:paraId="275438A7" w14:textId="77777777" w:rsidR="001C19A4" w:rsidRPr="00556F5E" w:rsidRDefault="001C19A4" w:rsidP="005F27A6">
            <w:pPr>
              <w:spacing w:after="0"/>
              <w:rPr>
                <w:rFonts w:cs="Arial"/>
                <w:szCs w:val="22"/>
              </w:rPr>
            </w:pPr>
            <w:r w:rsidRPr="00556F5E">
              <w:rPr>
                <w:rFonts w:cs="Arial"/>
                <w:szCs w:val="22"/>
              </w:rPr>
              <w:t>Graduation</w:t>
            </w:r>
            <w:r>
              <w:rPr>
                <w:rFonts w:cs="Arial"/>
                <w:szCs w:val="22"/>
              </w:rPr>
              <w:t xml:space="preserve"> Rates</w:t>
            </w:r>
          </w:p>
        </w:tc>
        <w:tc>
          <w:tcPr>
            <w:tcW w:w="1960" w:type="dxa"/>
          </w:tcPr>
          <w:p w14:paraId="650E1643" w14:textId="77777777" w:rsidR="001C19A4" w:rsidRPr="00556F5E" w:rsidRDefault="001C19A4" w:rsidP="005F27A6">
            <w:pPr>
              <w:spacing w:after="0"/>
              <w:jc w:val="center"/>
              <w:rPr>
                <w:rFonts w:cs="Arial"/>
                <w:szCs w:val="22"/>
              </w:rPr>
            </w:pPr>
            <w:r>
              <w:t>Medium</w:t>
            </w:r>
          </w:p>
        </w:tc>
        <w:tc>
          <w:tcPr>
            <w:tcW w:w="1860" w:type="dxa"/>
          </w:tcPr>
          <w:p w14:paraId="68790000" w14:textId="77777777" w:rsidR="001C19A4" w:rsidRPr="00556F5E" w:rsidRDefault="001C19A4" w:rsidP="005F27A6">
            <w:pPr>
              <w:spacing w:after="0"/>
              <w:jc w:val="center"/>
              <w:rPr>
                <w:rFonts w:cs="Arial"/>
                <w:szCs w:val="22"/>
              </w:rPr>
            </w:pPr>
            <w:r>
              <w:t>Decreased</w:t>
            </w:r>
          </w:p>
        </w:tc>
        <w:tc>
          <w:tcPr>
            <w:tcW w:w="1860" w:type="dxa"/>
            <w:shd w:val="clear" w:color="auto" w:fill="F7CAAC" w:themeFill="accent2" w:themeFillTint="66"/>
            <w:vAlign w:val="center"/>
          </w:tcPr>
          <w:p w14:paraId="0501DCEA" w14:textId="77777777" w:rsidR="001C19A4" w:rsidRPr="00556F5E" w:rsidRDefault="001C19A4" w:rsidP="005F27A6">
            <w:pPr>
              <w:spacing w:after="0"/>
              <w:jc w:val="center"/>
              <w:rPr>
                <w:rFonts w:cs="Arial"/>
                <w:szCs w:val="22"/>
              </w:rPr>
            </w:pPr>
            <w:r>
              <w:t>Orange</w:t>
            </w:r>
          </w:p>
        </w:tc>
      </w:tr>
      <w:tr w:rsidR="001C19A4" w:rsidRPr="00556F5E" w14:paraId="6105C493" w14:textId="77777777" w:rsidTr="005F27A6">
        <w:trPr>
          <w:trHeight w:val="331"/>
        </w:trPr>
        <w:tc>
          <w:tcPr>
            <w:tcW w:w="2965" w:type="dxa"/>
            <w:vAlign w:val="center"/>
          </w:tcPr>
          <w:p w14:paraId="05CC4734" w14:textId="77777777" w:rsidR="001C19A4" w:rsidRPr="00556F5E" w:rsidRDefault="001C19A4" w:rsidP="005F27A6">
            <w:pPr>
              <w:spacing w:after="0"/>
              <w:rPr>
                <w:rFonts w:cs="Arial"/>
                <w:szCs w:val="22"/>
              </w:rPr>
            </w:pPr>
            <w:r>
              <w:rPr>
                <w:rFonts w:cs="Arial"/>
                <w:szCs w:val="22"/>
              </w:rPr>
              <w:t>College/Career</w:t>
            </w:r>
          </w:p>
        </w:tc>
        <w:tc>
          <w:tcPr>
            <w:tcW w:w="1960" w:type="dxa"/>
            <w:vAlign w:val="center"/>
          </w:tcPr>
          <w:p w14:paraId="08D44D1E" w14:textId="77777777" w:rsidR="001C19A4" w:rsidRPr="00556F5E" w:rsidRDefault="001C19A4" w:rsidP="005F27A6">
            <w:pPr>
              <w:spacing w:after="0"/>
              <w:jc w:val="center"/>
            </w:pPr>
            <w:r>
              <w:t>Medium</w:t>
            </w:r>
          </w:p>
        </w:tc>
        <w:tc>
          <w:tcPr>
            <w:tcW w:w="1860" w:type="dxa"/>
            <w:vAlign w:val="center"/>
          </w:tcPr>
          <w:p w14:paraId="539F265A" w14:textId="77777777" w:rsidR="001C19A4" w:rsidRPr="00556F5E" w:rsidRDefault="001C19A4" w:rsidP="005F27A6">
            <w:pPr>
              <w:spacing w:after="0"/>
              <w:jc w:val="center"/>
            </w:pPr>
            <w:r>
              <w:t>Maintained</w:t>
            </w:r>
          </w:p>
        </w:tc>
        <w:tc>
          <w:tcPr>
            <w:tcW w:w="1860" w:type="dxa"/>
            <w:shd w:val="clear" w:color="auto" w:fill="FFF2CC" w:themeFill="accent4" w:themeFillTint="33"/>
            <w:vAlign w:val="center"/>
          </w:tcPr>
          <w:p w14:paraId="1B8F3C37" w14:textId="77777777" w:rsidR="001C19A4" w:rsidRPr="00556F5E" w:rsidRDefault="001C19A4" w:rsidP="005F27A6">
            <w:pPr>
              <w:spacing w:after="0"/>
              <w:jc w:val="center"/>
            </w:pPr>
            <w:r>
              <w:t>Yellow</w:t>
            </w:r>
          </w:p>
        </w:tc>
      </w:tr>
    </w:tbl>
    <w:p w14:paraId="355316E4" w14:textId="77777777" w:rsidR="001C19A4" w:rsidRDefault="001C19A4" w:rsidP="005F27A6">
      <w:pPr>
        <w:rPr>
          <w:rFonts w:cs="Arial"/>
          <w:i/>
        </w:rPr>
      </w:pPr>
    </w:p>
    <w:p w14:paraId="4FA1FA59" w14:textId="77777777" w:rsidR="001C19A4" w:rsidRPr="00C25A5B" w:rsidRDefault="001C19A4" w:rsidP="005F27A6">
      <w:pPr>
        <w:spacing w:before="120"/>
        <w:ind w:left="720"/>
        <w:rPr>
          <w:rFonts w:cs="Arial"/>
          <w:b/>
          <w:i/>
        </w:rPr>
      </w:pPr>
      <w:r w:rsidRPr="00C25A5B">
        <w:rPr>
          <w:rFonts w:cs="Arial"/>
          <w:b/>
          <w:i/>
        </w:rPr>
        <w:t>Source: California School Dashboard (2019)</w:t>
      </w:r>
    </w:p>
    <w:p w14:paraId="140E1A27" w14:textId="77777777" w:rsidR="001C19A4" w:rsidRPr="00F63496" w:rsidRDefault="001C19A4" w:rsidP="00AF653A">
      <w:pPr>
        <w:pStyle w:val="Heading4"/>
        <w:ind w:left="720"/>
      </w:pPr>
      <w:bookmarkStart w:id="37" w:name="_Hlk93653122"/>
      <w:r w:rsidRPr="00CB6A51">
        <w:t xml:space="preserve">Table </w:t>
      </w:r>
      <w:r>
        <w:t>5b</w:t>
      </w:r>
      <w:r w:rsidRPr="00CB6A51">
        <w:t>:</w:t>
      </w:r>
      <w:r>
        <w:t xml:space="preserve"> Comparison of Performance Levels of the Mt. Diablo USD for 2017, 2018, and 2019</w:t>
      </w:r>
    </w:p>
    <w:tbl>
      <w:tblPr>
        <w:tblStyle w:val="TableGridLight"/>
        <w:tblpPr w:leftFromText="180" w:rightFromText="180" w:vertAnchor="text" w:horzAnchor="margin" w:tblpXSpec="right" w:tblpY="-7"/>
        <w:tblW w:w="8645" w:type="dxa"/>
        <w:tblCellMar>
          <w:top w:w="115" w:type="dxa"/>
          <w:left w:w="115" w:type="dxa"/>
          <w:bottom w:w="115" w:type="dxa"/>
          <w:right w:w="115" w:type="dxa"/>
        </w:tblCellMar>
        <w:tblLook w:val="04A0" w:firstRow="1" w:lastRow="0" w:firstColumn="1" w:lastColumn="0" w:noHBand="0" w:noVBand="1"/>
        <w:tblDescription w:val="Table 5b provides the 2017-18, 2018-19, and 2019-20 district-level placement in the California  Accountability Model for five California School Dashboard indicators (English Learner Progress, English Language Arts, Mathematics, Graduation Rates, and College/Career Placement) for the existing Mt. Diablo USD."/>
      </w:tblPr>
      <w:tblGrid>
        <w:gridCol w:w="3060"/>
        <w:gridCol w:w="1861"/>
        <w:gridCol w:w="1862"/>
        <w:gridCol w:w="1862"/>
      </w:tblGrid>
      <w:tr w:rsidR="001C19A4" w:rsidRPr="00556F5E" w14:paraId="4BEE53B1" w14:textId="77777777" w:rsidTr="005F27A6">
        <w:tc>
          <w:tcPr>
            <w:tcW w:w="3060" w:type="dxa"/>
            <w:shd w:val="clear" w:color="auto" w:fill="E7E6E6" w:themeFill="background2"/>
            <w:vAlign w:val="center"/>
          </w:tcPr>
          <w:p w14:paraId="7C0DFA45" w14:textId="77777777" w:rsidR="001C19A4" w:rsidRPr="00556F5E" w:rsidRDefault="001C19A4" w:rsidP="005F27A6">
            <w:pPr>
              <w:spacing w:after="0"/>
              <w:jc w:val="center"/>
              <w:rPr>
                <w:rFonts w:cs="Arial"/>
                <w:b/>
                <w:szCs w:val="22"/>
              </w:rPr>
            </w:pPr>
            <w:bookmarkStart w:id="38" w:name="_Hlk94256374"/>
            <w:r w:rsidRPr="00556F5E">
              <w:rPr>
                <w:rFonts w:cs="Arial"/>
                <w:b/>
                <w:szCs w:val="22"/>
              </w:rPr>
              <w:t>Indicator</w:t>
            </w:r>
          </w:p>
        </w:tc>
        <w:tc>
          <w:tcPr>
            <w:tcW w:w="1861" w:type="dxa"/>
            <w:shd w:val="clear" w:color="auto" w:fill="E7E6E6" w:themeFill="background2"/>
            <w:vAlign w:val="center"/>
          </w:tcPr>
          <w:p w14:paraId="3F471A6F" w14:textId="77777777" w:rsidR="001C19A4" w:rsidRPr="00556F5E" w:rsidRDefault="001C19A4" w:rsidP="005F27A6">
            <w:pPr>
              <w:spacing w:after="0"/>
              <w:jc w:val="center"/>
              <w:rPr>
                <w:rFonts w:cs="Arial"/>
                <w:b/>
                <w:szCs w:val="22"/>
              </w:rPr>
            </w:pPr>
            <w:r>
              <w:rPr>
                <w:rFonts w:cs="Arial"/>
                <w:b/>
                <w:szCs w:val="22"/>
              </w:rPr>
              <w:t>2017–18</w:t>
            </w:r>
          </w:p>
        </w:tc>
        <w:tc>
          <w:tcPr>
            <w:tcW w:w="1862" w:type="dxa"/>
            <w:shd w:val="clear" w:color="auto" w:fill="E7E6E6" w:themeFill="background2"/>
            <w:vAlign w:val="center"/>
          </w:tcPr>
          <w:p w14:paraId="25CDE76C" w14:textId="77777777" w:rsidR="001C19A4" w:rsidRPr="00556F5E" w:rsidRDefault="001C19A4" w:rsidP="005F27A6">
            <w:pPr>
              <w:spacing w:after="0"/>
              <w:jc w:val="center"/>
              <w:rPr>
                <w:rFonts w:cs="Arial"/>
                <w:b/>
                <w:szCs w:val="22"/>
              </w:rPr>
            </w:pPr>
            <w:r>
              <w:rPr>
                <w:rFonts w:cs="Arial"/>
                <w:b/>
                <w:szCs w:val="22"/>
              </w:rPr>
              <w:t>2018–19</w:t>
            </w:r>
          </w:p>
        </w:tc>
        <w:tc>
          <w:tcPr>
            <w:tcW w:w="1862" w:type="dxa"/>
            <w:shd w:val="clear" w:color="auto" w:fill="E7E6E6" w:themeFill="background2"/>
            <w:vAlign w:val="center"/>
          </w:tcPr>
          <w:p w14:paraId="6733DE91" w14:textId="77777777" w:rsidR="001C19A4" w:rsidRPr="00556F5E" w:rsidRDefault="001C19A4" w:rsidP="005F27A6">
            <w:pPr>
              <w:spacing w:after="0"/>
              <w:jc w:val="center"/>
              <w:rPr>
                <w:rFonts w:cs="Arial"/>
                <w:b/>
                <w:szCs w:val="22"/>
              </w:rPr>
            </w:pPr>
            <w:r>
              <w:rPr>
                <w:rFonts w:cs="Arial"/>
                <w:b/>
                <w:szCs w:val="22"/>
              </w:rPr>
              <w:t>2019–20</w:t>
            </w:r>
          </w:p>
        </w:tc>
      </w:tr>
      <w:tr w:rsidR="001C19A4" w:rsidRPr="00556F5E" w14:paraId="6BD0E1C5" w14:textId="77777777" w:rsidTr="005F27A6">
        <w:trPr>
          <w:trHeight w:val="331"/>
        </w:trPr>
        <w:tc>
          <w:tcPr>
            <w:tcW w:w="3060" w:type="dxa"/>
            <w:vAlign w:val="center"/>
          </w:tcPr>
          <w:p w14:paraId="110D802D" w14:textId="77777777" w:rsidR="001C19A4" w:rsidRPr="00556F5E" w:rsidRDefault="001C19A4" w:rsidP="005F27A6">
            <w:pPr>
              <w:spacing w:after="0"/>
              <w:rPr>
                <w:rFonts w:cs="Arial"/>
                <w:szCs w:val="22"/>
              </w:rPr>
            </w:pPr>
            <w:r w:rsidRPr="00556F5E">
              <w:rPr>
                <w:rFonts w:cs="Arial"/>
                <w:szCs w:val="22"/>
              </w:rPr>
              <w:t>English Learner Progress</w:t>
            </w:r>
            <w:r w:rsidRPr="00D049A2">
              <w:rPr>
                <w:rStyle w:val="FootnoteReference"/>
                <w:rFonts w:cs="Arial"/>
                <w:vertAlign w:val="superscript"/>
              </w:rPr>
              <w:footnoteReference w:id="10"/>
            </w:r>
          </w:p>
        </w:tc>
        <w:tc>
          <w:tcPr>
            <w:tcW w:w="1861" w:type="dxa"/>
            <w:shd w:val="clear" w:color="auto" w:fill="FFF2CC" w:themeFill="accent4" w:themeFillTint="33"/>
            <w:vAlign w:val="center"/>
          </w:tcPr>
          <w:p w14:paraId="4DFAEDC7" w14:textId="77777777" w:rsidR="001C19A4" w:rsidRPr="00556F5E" w:rsidRDefault="001C19A4" w:rsidP="005F27A6">
            <w:pPr>
              <w:spacing w:after="0"/>
              <w:jc w:val="center"/>
              <w:rPr>
                <w:rFonts w:cs="Arial"/>
                <w:szCs w:val="22"/>
              </w:rPr>
            </w:pPr>
            <w:r>
              <w:rPr>
                <w:rFonts w:cs="Arial"/>
                <w:szCs w:val="22"/>
              </w:rPr>
              <w:t>Yellow</w:t>
            </w:r>
          </w:p>
        </w:tc>
        <w:tc>
          <w:tcPr>
            <w:tcW w:w="1862" w:type="dxa"/>
            <w:shd w:val="clear" w:color="auto" w:fill="auto"/>
            <w:vAlign w:val="center"/>
          </w:tcPr>
          <w:p w14:paraId="2E80C44F" w14:textId="77777777" w:rsidR="001C19A4" w:rsidRPr="00556F5E" w:rsidRDefault="001C19A4" w:rsidP="005F27A6">
            <w:pPr>
              <w:spacing w:after="0"/>
              <w:jc w:val="center"/>
              <w:rPr>
                <w:rFonts w:cs="Arial"/>
                <w:szCs w:val="22"/>
              </w:rPr>
            </w:pPr>
            <w:r>
              <w:rPr>
                <w:rFonts w:cs="Arial"/>
                <w:szCs w:val="22"/>
              </w:rPr>
              <w:t>N/A</w:t>
            </w:r>
          </w:p>
        </w:tc>
        <w:tc>
          <w:tcPr>
            <w:tcW w:w="1862" w:type="dxa"/>
            <w:shd w:val="clear" w:color="auto" w:fill="auto"/>
            <w:vAlign w:val="center"/>
          </w:tcPr>
          <w:p w14:paraId="1CF7DC73" w14:textId="77777777" w:rsidR="001C19A4" w:rsidRPr="00556F5E" w:rsidRDefault="001C19A4" w:rsidP="005F27A6">
            <w:pPr>
              <w:spacing w:after="0"/>
              <w:jc w:val="center"/>
              <w:rPr>
                <w:rFonts w:cs="Arial"/>
                <w:szCs w:val="22"/>
              </w:rPr>
            </w:pPr>
            <w:r>
              <w:t>47.8%</w:t>
            </w:r>
          </w:p>
        </w:tc>
      </w:tr>
      <w:tr w:rsidR="001C19A4" w:rsidRPr="00556F5E" w14:paraId="33F5D03F" w14:textId="77777777" w:rsidTr="005F27A6">
        <w:trPr>
          <w:trHeight w:val="331"/>
        </w:trPr>
        <w:tc>
          <w:tcPr>
            <w:tcW w:w="3060" w:type="dxa"/>
          </w:tcPr>
          <w:p w14:paraId="47723309" w14:textId="77777777" w:rsidR="001C19A4" w:rsidRPr="00556F5E" w:rsidRDefault="001C19A4" w:rsidP="005F27A6">
            <w:pPr>
              <w:spacing w:after="0"/>
              <w:rPr>
                <w:rFonts w:cs="Arial"/>
                <w:szCs w:val="22"/>
              </w:rPr>
            </w:pPr>
            <w:r w:rsidRPr="00556F5E">
              <w:rPr>
                <w:rFonts w:cs="Arial"/>
                <w:szCs w:val="22"/>
              </w:rPr>
              <w:t>English Language Arts</w:t>
            </w:r>
            <w:r>
              <w:rPr>
                <w:rFonts w:cs="Arial"/>
                <w:szCs w:val="22"/>
              </w:rPr>
              <w:t xml:space="preserve"> </w:t>
            </w:r>
          </w:p>
        </w:tc>
        <w:tc>
          <w:tcPr>
            <w:tcW w:w="1861" w:type="dxa"/>
            <w:shd w:val="clear" w:color="auto" w:fill="F7CAAC" w:themeFill="accent2" w:themeFillTint="66"/>
          </w:tcPr>
          <w:p w14:paraId="031CAC7A" w14:textId="77777777" w:rsidR="001C19A4" w:rsidRPr="00556F5E" w:rsidRDefault="001C19A4" w:rsidP="005F27A6">
            <w:pPr>
              <w:spacing w:after="0"/>
              <w:jc w:val="center"/>
              <w:rPr>
                <w:rFonts w:cs="Arial"/>
                <w:szCs w:val="22"/>
              </w:rPr>
            </w:pPr>
            <w:r w:rsidRPr="00556F5E">
              <w:t>Orange</w:t>
            </w:r>
          </w:p>
        </w:tc>
        <w:tc>
          <w:tcPr>
            <w:tcW w:w="1862" w:type="dxa"/>
            <w:shd w:val="clear" w:color="auto" w:fill="FFF2CC" w:themeFill="accent4" w:themeFillTint="33"/>
          </w:tcPr>
          <w:p w14:paraId="7E116D61" w14:textId="77777777" w:rsidR="001C19A4" w:rsidRPr="00556F5E" w:rsidRDefault="001C19A4" w:rsidP="005F27A6">
            <w:pPr>
              <w:spacing w:after="0"/>
              <w:jc w:val="center"/>
              <w:rPr>
                <w:rFonts w:cs="Arial"/>
                <w:szCs w:val="22"/>
              </w:rPr>
            </w:pPr>
            <w:r>
              <w:t>Yellow</w:t>
            </w:r>
          </w:p>
        </w:tc>
        <w:tc>
          <w:tcPr>
            <w:tcW w:w="1862" w:type="dxa"/>
            <w:shd w:val="clear" w:color="auto" w:fill="F7CAAC" w:themeFill="accent2" w:themeFillTint="66"/>
          </w:tcPr>
          <w:p w14:paraId="7D9E10C2" w14:textId="77777777" w:rsidR="001C19A4" w:rsidRPr="00556F5E" w:rsidRDefault="001C19A4" w:rsidP="005F27A6">
            <w:pPr>
              <w:spacing w:after="0"/>
              <w:jc w:val="center"/>
              <w:rPr>
                <w:rFonts w:cs="Arial"/>
                <w:szCs w:val="22"/>
              </w:rPr>
            </w:pPr>
            <w:r w:rsidRPr="00556F5E">
              <w:t>Orange</w:t>
            </w:r>
          </w:p>
        </w:tc>
      </w:tr>
      <w:tr w:rsidR="001C19A4" w:rsidRPr="00556F5E" w14:paraId="3F17247A" w14:textId="77777777" w:rsidTr="005F27A6">
        <w:trPr>
          <w:trHeight w:val="331"/>
        </w:trPr>
        <w:tc>
          <w:tcPr>
            <w:tcW w:w="3060" w:type="dxa"/>
          </w:tcPr>
          <w:p w14:paraId="7842DEC5" w14:textId="77777777" w:rsidR="001C19A4" w:rsidRPr="00556F5E" w:rsidRDefault="001C19A4" w:rsidP="005F27A6">
            <w:pPr>
              <w:spacing w:after="0"/>
              <w:rPr>
                <w:rFonts w:cs="Arial"/>
                <w:szCs w:val="22"/>
              </w:rPr>
            </w:pPr>
            <w:r w:rsidRPr="00556F5E">
              <w:rPr>
                <w:rFonts w:cs="Arial"/>
                <w:szCs w:val="22"/>
              </w:rPr>
              <w:t>Mathematics</w:t>
            </w:r>
          </w:p>
        </w:tc>
        <w:tc>
          <w:tcPr>
            <w:tcW w:w="1861" w:type="dxa"/>
            <w:shd w:val="clear" w:color="auto" w:fill="F7CAAC" w:themeFill="accent2" w:themeFillTint="66"/>
          </w:tcPr>
          <w:p w14:paraId="38691C42" w14:textId="77777777" w:rsidR="001C19A4" w:rsidRPr="00556F5E" w:rsidRDefault="001C19A4" w:rsidP="005F27A6">
            <w:pPr>
              <w:spacing w:after="0"/>
              <w:jc w:val="center"/>
              <w:rPr>
                <w:rFonts w:cs="Arial"/>
                <w:szCs w:val="22"/>
              </w:rPr>
            </w:pPr>
            <w:r>
              <w:rPr>
                <w:rFonts w:cs="Arial"/>
                <w:szCs w:val="22"/>
              </w:rPr>
              <w:t>Orange</w:t>
            </w:r>
          </w:p>
        </w:tc>
        <w:tc>
          <w:tcPr>
            <w:tcW w:w="1862" w:type="dxa"/>
            <w:shd w:val="clear" w:color="auto" w:fill="F7CAAC" w:themeFill="accent2" w:themeFillTint="66"/>
          </w:tcPr>
          <w:p w14:paraId="336DF103" w14:textId="77777777" w:rsidR="001C19A4" w:rsidRPr="00556F5E" w:rsidRDefault="001C19A4" w:rsidP="005F27A6">
            <w:pPr>
              <w:spacing w:after="0"/>
              <w:jc w:val="center"/>
              <w:rPr>
                <w:rFonts w:cs="Arial"/>
                <w:szCs w:val="22"/>
              </w:rPr>
            </w:pPr>
            <w:r>
              <w:rPr>
                <w:rFonts w:cs="Arial"/>
                <w:szCs w:val="22"/>
              </w:rPr>
              <w:t>Orange</w:t>
            </w:r>
          </w:p>
        </w:tc>
        <w:tc>
          <w:tcPr>
            <w:tcW w:w="1862" w:type="dxa"/>
            <w:shd w:val="clear" w:color="auto" w:fill="F7CAAC" w:themeFill="accent2" w:themeFillTint="66"/>
          </w:tcPr>
          <w:p w14:paraId="1BC3BC2F" w14:textId="77777777" w:rsidR="001C19A4" w:rsidRPr="00556F5E" w:rsidRDefault="001C19A4" w:rsidP="005F27A6">
            <w:pPr>
              <w:spacing w:after="0"/>
              <w:jc w:val="center"/>
              <w:rPr>
                <w:rFonts w:cs="Arial"/>
                <w:szCs w:val="22"/>
              </w:rPr>
            </w:pPr>
            <w:r w:rsidRPr="00556F5E">
              <w:t>Orange</w:t>
            </w:r>
          </w:p>
        </w:tc>
      </w:tr>
      <w:tr w:rsidR="001C19A4" w:rsidRPr="00556F5E" w14:paraId="72C31D0E" w14:textId="77777777" w:rsidTr="005F27A6">
        <w:trPr>
          <w:trHeight w:val="331"/>
        </w:trPr>
        <w:tc>
          <w:tcPr>
            <w:tcW w:w="3060" w:type="dxa"/>
          </w:tcPr>
          <w:p w14:paraId="75DF2825" w14:textId="77777777" w:rsidR="001C19A4" w:rsidRPr="00556F5E" w:rsidRDefault="001C19A4" w:rsidP="005F27A6">
            <w:pPr>
              <w:spacing w:after="0"/>
              <w:rPr>
                <w:rFonts w:cs="Arial"/>
                <w:szCs w:val="22"/>
              </w:rPr>
            </w:pPr>
            <w:r w:rsidRPr="00556F5E">
              <w:rPr>
                <w:rFonts w:cs="Arial"/>
                <w:szCs w:val="22"/>
              </w:rPr>
              <w:t>Graduation</w:t>
            </w:r>
            <w:r>
              <w:rPr>
                <w:rFonts w:cs="Arial"/>
                <w:szCs w:val="22"/>
              </w:rPr>
              <w:t xml:space="preserve"> Rates</w:t>
            </w:r>
          </w:p>
        </w:tc>
        <w:tc>
          <w:tcPr>
            <w:tcW w:w="1861" w:type="dxa"/>
            <w:shd w:val="clear" w:color="auto" w:fill="C5E0B3" w:themeFill="accent6" w:themeFillTint="66"/>
          </w:tcPr>
          <w:p w14:paraId="0D140CC1" w14:textId="77777777" w:rsidR="001C19A4" w:rsidRPr="00556F5E" w:rsidRDefault="001C19A4" w:rsidP="005F27A6">
            <w:pPr>
              <w:spacing w:after="0"/>
              <w:jc w:val="center"/>
              <w:rPr>
                <w:rFonts w:cs="Arial"/>
                <w:szCs w:val="22"/>
              </w:rPr>
            </w:pPr>
            <w:r>
              <w:t>Green</w:t>
            </w:r>
          </w:p>
        </w:tc>
        <w:tc>
          <w:tcPr>
            <w:tcW w:w="1862" w:type="dxa"/>
            <w:shd w:val="clear" w:color="auto" w:fill="C5E0B3" w:themeFill="accent6" w:themeFillTint="66"/>
          </w:tcPr>
          <w:p w14:paraId="5539FE96" w14:textId="77777777" w:rsidR="001C19A4" w:rsidRPr="00556F5E" w:rsidRDefault="001C19A4" w:rsidP="005F27A6">
            <w:pPr>
              <w:spacing w:after="0"/>
              <w:jc w:val="center"/>
              <w:rPr>
                <w:rFonts w:cs="Arial"/>
                <w:szCs w:val="22"/>
              </w:rPr>
            </w:pPr>
            <w:r>
              <w:t>Green</w:t>
            </w:r>
          </w:p>
        </w:tc>
        <w:tc>
          <w:tcPr>
            <w:tcW w:w="1862" w:type="dxa"/>
            <w:shd w:val="clear" w:color="auto" w:fill="F7CAAC" w:themeFill="accent2" w:themeFillTint="66"/>
            <w:vAlign w:val="center"/>
          </w:tcPr>
          <w:p w14:paraId="2CE89C5B" w14:textId="77777777" w:rsidR="001C19A4" w:rsidRPr="00556F5E" w:rsidRDefault="001C19A4" w:rsidP="005F27A6">
            <w:pPr>
              <w:spacing w:after="0"/>
              <w:jc w:val="center"/>
              <w:rPr>
                <w:rFonts w:cs="Arial"/>
                <w:szCs w:val="22"/>
              </w:rPr>
            </w:pPr>
            <w:r>
              <w:t>Orange</w:t>
            </w:r>
          </w:p>
        </w:tc>
      </w:tr>
      <w:tr w:rsidR="001C19A4" w:rsidRPr="00556F5E" w14:paraId="714E2E75" w14:textId="77777777" w:rsidTr="005F27A6">
        <w:trPr>
          <w:trHeight w:val="331"/>
        </w:trPr>
        <w:tc>
          <w:tcPr>
            <w:tcW w:w="3060" w:type="dxa"/>
          </w:tcPr>
          <w:p w14:paraId="423EA5A9" w14:textId="77777777" w:rsidR="001C19A4" w:rsidRPr="00556F5E" w:rsidRDefault="001C19A4" w:rsidP="005F27A6">
            <w:pPr>
              <w:spacing w:after="0"/>
              <w:rPr>
                <w:rFonts w:cs="Arial"/>
                <w:szCs w:val="22"/>
              </w:rPr>
            </w:pPr>
            <w:r>
              <w:rPr>
                <w:rFonts w:cs="Arial"/>
                <w:szCs w:val="22"/>
              </w:rPr>
              <w:t>College/Career</w:t>
            </w:r>
            <w:r w:rsidRPr="00D049A2">
              <w:rPr>
                <w:rStyle w:val="FootnoteReference"/>
                <w:rFonts w:cs="Arial"/>
                <w:vertAlign w:val="superscript"/>
              </w:rPr>
              <w:footnoteReference w:id="11"/>
            </w:r>
          </w:p>
        </w:tc>
        <w:tc>
          <w:tcPr>
            <w:tcW w:w="1861" w:type="dxa"/>
          </w:tcPr>
          <w:p w14:paraId="78661CBB" w14:textId="77777777" w:rsidR="001C19A4" w:rsidRPr="00556F5E" w:rsidRDefault="001C19A4" w:rsidP="005F27A6">
            <w:pPr>
              <w:spacing w:after="0"/>
              <w:jc w:val="center"/>
            </w:pPr>
            <w:r>
              <w:t>N/A</w:t>
            </w:r>
          </w:p>
        </w:tc>
        <w:tc>
          <w:tcPr>
            <w:tcW w:w="1862" w:type="dxa"/>
            <w:shd w:val="clear" w:color="auto" w:fill="F7CAAC" w:themeFill="accent2" w:themeFillTint="66"/>
          </w:tcPr>
          <w:p w14:paraId="0069380F" w14:textId="77777777" w:rsidR="001C19A4" w:rsidRPr="00556F5E" w:rsidRDefault="001C19A4" w:rsidP="005F27A6">
            <w:pPr>
              <w:spacing w:after="0"/>
              <w:jc w:val="center"/>
            </w:pPr>
            <w:r>
              <w:t>Orange</w:t>
            </w:r>
          </w:p>
        </w:tc>
        <w:tc>
          <w:tcPr>
            <w:tcW w:w="1862" w:type="dxa"/>
            <w:shd w:val="clear" w:color="auto" w:fill="FFF2CC" w:themeFill="accent4" w:themeFillTint="33"/>
          </w:tcPr>
          <w:p w14:paraId="5F985051" w14:textId="77777777" w:rsidR="001C19A4" w:rsidRPr="00556F5E" w:rsidRDefault="001C19A4" w:rsidP="005F27A6">
            <w:pPr>
              <w:spacing w:after="0"/>
              <w:jc w:val="center"/>
            </w:pPr>
            <w:r>
              <w:t>Yellow</w:t>
            </w:r>
          </w:p>
        </w:tc>
      </w:tr>
    </w:tbl>
    <w:bookmarkEnd w:id="38"/>
    <w:p w14:paraId="5F593078" w14:textId="77777777" w:rsidR="001C19A4" w:rsidRPr="00C25A5B" w:rsidRDefault="001C19A4" w:rsidP="005F27A6">
      <w:pPr>
        <w:spacing w:before="120"/>
        <w:ind w:left="720"/>
        <w:rPr>
          <w:rFonts w:cs="Arial"/>
          <w:b/>
          <w:i/>
        </w:rPr>
      </w:pPr>
      <w:r w:rsidRPr="00C25A5B">
        <w:rPr>
          <w:rFonts w:cs="Arial"/>
          <w:b/>
          <w:i/>
        </w:rPr>
        <w:t>Source: California School Dashboard (2017, 2018, 2019)</w:t>
      </w:r>
    </w:p>
    <w:p w14:paraId="7BA55012" w14:textId="77777777" w:rsidR="001C19A4" w:rsidRDefault="001C19A4" w:rsidP="005F27A6">
      <w:pPr>
        <w:ind w:left="720"/>
        <w:rPr>
          <w:rFonts w:cs="Arial"/>
        </w:rPr>
      </w:pPr>
      <w:r w:rsidRPr="003412F2">
        <w:rPr>
          <w:rFonts w:cs="Arial"/>
        </w:rPr>
        <w:t>The three years of California School Dashboard data shows consistent performance results for the existing district. It is lower performing in English Language Arts, Mathematics</w:t>
      </w:r>
      <w:r>
        <w:rPr>
          <w:rFonts w:cs="Arial"/>
        </w:rPr>
        <w:t>,</w:t>
      </w:r>
      <w:r w:rsidRPr="003412F2">
        <w:rPr>
          <w:rFonts w:cs="Arial"/>
        </w:rPr>
        <w:t xml:space="preserve"> and College/Career. It had strong performance in </w:t>
      </w:r>
      <w:r w:rsidRPr="003412F2">
        <w:rPr>
          <w:rFonts w:cs="Arial"/>
        </w:rPr>
        <w:lastRenderedPageBreak/>
        <w:t xml:space="preserve">Graduation Rates, though performance </w:t>
      </w:r>
      <w:r>
        <w:rPr>
          <w:rFonts w:cs="Arial"/>
        </w:rPr>
        <w:t xml:space="preserve">declined </w:t>
      </w:r>
      <w:r w:rsidRPr="003412F2">
        <w:rPr>
          <w:rFonts w:cs="Arial"/>
        </w:rPr>
        <w:t xml:space="preserve">significantly in 2019–20. This may be due to the effects of COVID-19 on education in the second half of that academic year. </w:t>
      </w:r>
    </w:p>
    <w:p w14:paraId="0FFDB2A3" w14:textId="77777777" w:rsidR="001C19A4" w:rsidRDefault="001C19A4" w:rsidP="005F27A6">
      <w:pPr>
        <w:ind w:left="720"/>
      </w:pPr>
      <w:r>
        <w:t>School-level placement for the ELP, ELA, and Math indicators for each elementary, middle, and comprehensive high school in the Mt. Diablo USD are provided in Appendix A. Graduation Rate and College/Career indicator data has also been provided for the five comprehensive high schools. School-level data for alternative, community day, continuation high, and special education schools are not listed in tables in this report, but they are a part of data that is the basis for district-level indictors.</w:t>
      </w:r>
    </w:p>
    <w:bookmarkEnd w:id="37"/>
    <w:p w14:paraId="12BAC081" w14:textId="77777777" w:rsidR="001C19A4" w:rsidRPr="00406D74" w:rsidRDefault="001C19A4" w:rsidP="005F27A6">
      <w:pPr>
        <w:ind w:left="720"/>
        <w:rPr>
          <w:rFonts w:cs="Arial"/>
        </w:rPr>
      </w:pPr>
      <w:r w:rsidRPr="00406D74">
        <w:rPr>
          <w:rFonts w:cs="Arial"/>
        </w:rPr>
        <w:t>The following two tables summar</w:t>
      </w:r>
      <w:r>
        <w:rPr>
          <w:rFonts w:cs="Arial"/>
        </w:rPr>
        <w:t>ize</w:t>
      </w:r>
      <w:r w:rsidRPr="00406D74">
        <w:rPr>
          <w:rFonts w:cs="Arial"/>
        </w:rPr>
        <w:t xml:space="preserve"> the</w:t>
      </w:r>
      <w:r>
        <w:rPr>
          <w:rFonts w:cs="Arial"/>
        </w:rPr>
        <w:t xml:space="preserve"> school-level</w:t>
      </w:r>
      <w:r w:rsidRPr="00406D74">
        <w:rPr>
          <w:rFonts w:cs="Arial"/>
        </w:rPr>
        <w:t xml:space="preserve"> ranking</w:t>
      </w:r>
      <w:r>
        <w:rPr>
          <w:rFonts w:cs="Arial"/>
        </w:rPr>
        <w:t xml:space="preserve">s for </w:t>
      </w:r>
      <w:r w:rsidRPr="00406D74">
        <w:rPr>
          <w:rFonts w:cs="Arial"/>
        </w:rPr>
        <w:t>the Northgate USD school</w:t>
      </w:r>
      <w:r>
        <w:rPr>
          <w:rFonts w:cs="Arial"/>
        </w:rPr>
        <w:t>s</w:t>
      </w:r>
      <w:r w:rsidRPr="00406D74">
        <w:rPr>
          <w:rFonts w:cs="Arial"/>
        </w:rPr>
        <w:t xml:space="preserve"> and</w:t>
      </w:r>
      <w:r>
        <w:rPr>
          <w:rFonts w:cs="Arial"/>
        </w:rPr>
        <w:t xml:space="preserve"> for</w:t>
      </w:r>
      <w:r w:rsidRPr="00406D74">
        <w:rPr>
          <w:rFonts w:cs="Arial"/>
        </w:rPr>
        <w:t xml:space="preserve"> the schools in the remaining portion of the Mt. Diablo USD</w:t>
      </w:r>
      <w:r>
        <w:rPr>
          <w:rFonts w:cs="Arial"/>
        </w:rPr>
        <w:t xml:space="preserve"> from the 2019 California School Dashboard</w:t>
      </w:r>
      <w:r w:rsidRPr="00406D74">
        <w:rPr>
          <w:rFonts w:cs="Arial"/>
        </w:rPr>
        <w:t xml:space="preserve">. </w:t>
      </w:r>
      <w:r>
        <w:rPr>
          <w:rFonts w:cs="Arial"/>
        </w:rPr>
        <w:t>(see Appendix A for a complete list of school-level data)</w:t>
      </w:r>
    </w:p>
    <w:p w14:paraId="2177CB90" w14:textId="77777777" w:rsidR="001C19A4" w:rsidRPr="005248FB" w:rsidRDefault="001C19A4" w:rsidP="00AF653A">
      <w:pPr>
        <w:pStyle w:val="Heading4"/>
        <w:ind w:left="720"/>
      </w:pPr>
      <w:r w:rsidRPr="00CB6A51">
        <w:t xml:space="preserve">Table </w:t>
      </w:r>
      <w:r>
        <w:t>5c</w:t>
      </w:r>
      <w:r w:rsidRPr="00CB6A51">
        <w:t>:</w:t>
      </w:r>
      <w:r>
        <w:t xml:space="preserve"> Performance Levels for Schools in the Northgate USD</w:t>
      </w:r>
      <w:r w:rsidRPr="00CB6A51">
        <w:t xml:space="preserve"> </w:t>
      </w:r>
    </w:p>
    <w:tbl>
      <w:tblPr>
        <w:tblStyle w:val="TableGridLight"/>
        <w:tblW w:w="8634" w:type="dxa"/>
        <w:tblInd w:w="715" w:type="dxa"/>
        <w:tblCellMar>
          <w:top w:w="115" w:type="dxa"/>
          <w:left w:w="115" w:type="dxa"/>
          <w:bottom w:w="115" w:type="dxa"/>
          <w:right w:w="115" w:type="dxa"/>
        </w:tblCellMar>
        <w:tblLook w:val="04A0" w:firstRow="1" w:lastRow="0" w:firstColumn="1" w:lastColumn="0" w:noHBand="0" w:noVBand="1"/>
        <w:tblDescription w:val="Table 5c provides a summary of the 2019-20 performance level rankings for four of the California School Dashboard indicators (English Language Arts, Mathematics, Graduation Rates, and College/Career Placement) for the schools in the proposed Northgate USD."/>
      </w:tblPr>
      <w:tblGrid>
        <w:gridCol w:w="1845"/>
        <w:gridCol w:w="1164"/>
        <w:gridCol w:w="1125"/>
        <w:gridCol w:w="1125"/>
        <w:gridCol w:w="1125"/>
        <w:gridCol w:w="1125"/>
        <w:gridCol w:w="1125"/>
      </w:tblGrid>
      <w:tr w:rsidR="001C19A4" w:rsidRPr="005248FB" w14:paraId="5242C472" w14:textId="77777777" w:rsidTr="005F27A6">
        <w:trPr>
          <w:trHeight w:val="656"/>
        </w:trPr>
        <w:tc>
          <w:tcPr>
            <w:tcW w:w="1845" w:type="dxa"/>
            <w:shd w:val="clear" w:color="auto" w:fill="E7E6E6" w:themeFill="background2"/>
            <w:noWrap/>
            <w:vAlign w:val="center"/>
            <w:hideMark/>
          </w:tcPr>
          <w:p w14:paraId="0BC91DB8" w14:textId="77777777" w:rsidR="001C19A4" w:rsidRPr="005248FB" w:rsidRDefault="001C19A4" w:rsidP="005F27A6">
            <w:pPr>
              <w:spacing w:after="0"/>
              <w:jc w:val="center"/>
              <w:rPr>
                <w:rFonts w:cs="Arial"/>
                <w:b/>
                <w:bCs/>
                <w:color w:val="000000"/>
              </w:rPr>
            </w:pPr>
            <w:r w:rsidRPr="005248FB">
              <w:rPr>
                <w:rFonts w:cs="Arial"/>
                <w:b/>
                <w:bCs/>
                <w:color w:val="000000"/>
              </w:rPr>
              <w:t>Indicator</w:t>
            </w:r>
          </w:p>
        </w:tc>
        <w:tc>
          <w:tcPr>
            <w:tcW w:w="1164" w:type="dxa"/>
            <w:shd w:val="clear" w:color="auto" w:fill="E7E6E6" w:themeFill="background2"/>
            <w:noWrap/>
            <w:vAlign w:val="center"/>
            <w:hideMark/>
          </w:tcPr>
          <w:p w14:paraId="3D85DD7B" w14:textId="77777777" w:rsidR="001C19A4" w:rsidRPr="005248FB" w:rsidRDefault="001C19A4" w:rsidP="005F27A6">
            <w:pPr>
              <w:spacing w:after="0"/>
              <w:jc w:val="center"/>
              <w:rPr>
                <w:rFonts w:cs="Arial"/>
                <w:b/>
                <w:bCs/>
                <w:color w:val="000000"/>
              </w:rPr>
            </w:pPr>
            <w:r w:rsidRPr="005248FB">
              <w:rPr>
                <w:rFonts w:cs="Arial"/>
                <w:b/>
                <w:bCs/>
                <w:color w:val="000000"/>
              </w:rPr>
              <w:t>Total Schools</w:t>
            </w:r>
          </w:p>
        </w:tc>
        <w:tc>
          <w:tcPr>
            <w:tcW w:w="1125" w:type="dxa"/>
            <w:shd w:val="clear" w:color="auto" w:fill="FF9797"/>
            <w:vAlign w:val="center"/>
            <w:hideMark/>
          </w:tcPr>
          <w:p w14:paraId="538E9604" w14:textId="77777777" w:rsidR="001C19A4" w:rsidRPr="005248FB" w:rsidRDefault="001C19A4" w:rsidP="005F27A6">
            <w:pPr>
              <w:spacing w:after="0"/>
              <w:jc w:val="center"/>
              <w:rPr>
                <w:rFonts w:cs="Arial"/>
                <w:b/>
                <w:bCs/>
              </w:rPr>
            </w:pPr>
            <w:r w:rsidRPr="005248FB">
              <w:rPr>
                <w:rFonts w:cs="Arial"/>
                <w:b/>
                <w:bCs/>
              </w:rPr>
              <w:t>Red</w:t>
            </w:r>
          </w:p>
        </w:tc>
        <w:tc>
          <w:tcPr>
            <w:tcW w:w="1125" w:type="dxa"/>
            <w:shd w:val="clear" w:color="auto" w:fill="F7CAAC" w:themeFill="accent2" w:themeFillTint="66"/>
            <w:vAlign w:val="center"/>
            <w:hideMark/>
          </w:tcPr>
          <w:p w14:paraId="201E0B98" w14:textId="77777777" w:rsidR="001C19A4" w:rsidRPr="005248FB" w:rsidRDefault="001C19A4" w:rsidP="005F27A6">
            <w:pPr>
              <w:spacing w:after="0"/>
              <w:jc w:val="center"/>
              <w:rPr>
                <w:rFonts w:cs="Arial"/>
                <w:b/>
                <w:bCs/>
              </w:rPr>
            </w:pPr>
            <w:r w:rsidRPr="005248FB">
              <w:rPr>
                <w:rFonts w:cs="Arial"/>
                <w:b/>
                <w:bCs/>
              </w:rPr>
              <w:t>Orange</w:t>
            </w:r>
          </w:p>
        </w:tc>
        <w:tc>
          <w:tcPr>
            <w:tcW w:w="1125" w:type="dxa"/>
            <w:shd w:val="clear" w:color="auto" w:fill="FFF2CC" w:themeFill="accent4" w:themeFillTint="33"/>
            <w:vAlign w:val="center"/>
            <w:hideMark/>
          </w:tcPr>
          <w:p w14:paraId="3BAF8E86" w14:textId="77777777" w:rsidR="001C19A4" w:rsidRPr="005248FB" w:rsidRDefault="001C19A4" w:rsidP="005F27A6">
            <w:pPr>
              <w:spacing w:after="0"/>
              <w:jc w:val="center"/>
              <w:rPr>
                <w:rFonts w:cs="Arial"/>
                <w:b/>
                <w:bCs/>
              </w:rPr>
            </w:pPr>
            <w:r w:rsidRPr="005248FB">
              <w:rPr>
                <w:rFonts w:cs="Arial"/>
                <w:b/>
                <w:bCs/>
              </w:rPr>
              <w:t>Yellow</w:t>
            </w:r>
          </w:p>
        </w:tc>
        <w:tc>
          <w:tcPr>
            <w:tcW w:w="1125" w:type="dxa"/>
            <w:shd w:val="clear" w:color="auto" w:fill="C5E0B3" w:themeFill="accent6" w:themeFillTint="66"/>
            <w:vAlign w:val="center"/>
            <w:hideMark/>
          </w:tcPr>
          <w:p w14:paraId="58FB8F62" w14:textId="77777777" w:rsidR="001C19A4" w:rsidRPr="005248FB" w:rsidRDefault="001C19A4" w:rsidP="005F27A6">
            <w:pPr>
              <w:spacing w:after="0"/>
              <w:jc w:val="center"/>
              <w:rPr>
                <w:rFonts w:cs="Arial"/>
                <w:b/>
                <w:bCs/>
              </w:rPr>
            </w:pPr>
            <w:r w:rsidRPr="005248FB">
              <w:rPr>
                <w:rFonts w:cs="Arial"/>
                <w:b/>
                <w:bCs/>
              </w:rPr>
              <w:t>Green</w:t>
            </w:r>
          </w:p>
        </w:tc>
        <w:tc>
          <w:tcPr>
            <w:tcW w:w="1125" w:type="dxa"/>
            <w:shd w:val="clear" w:color="auto" w:fill="BDD6EE" w:themeFill="accent5" w:themeFillTint="66"/>
            <w:vAlign w:val="center"/>
            <w:hideMark/>
          </w:tcPr>
          <w:p w14:paraId="45B8813C" w14:textId="77777777" w:rsidR="001C19A4" w:rsidRPr="005248FB" w:rsidRDefault="001C19A4" w:rsidP="005F27A6">
            <w:pPr>
              <w:spacing w:after="0"/>
              <w:jc w:val="center"/>
              <w:rPr>
                <w:rFonts w:cs="Arial"/>
                <w:b/>
                <w:bCs/>
              </w:rPr>
            </w:pPr>
            <w:r w:rsidRPr="005248FB">
              <w:rPr>
                <w:rFonts w:cs="Arial"/>
                <w:b/>
                <w:bCs/>
              </w:rPr>
              <w:t>Blue</w:t>
            </w:r>
          </w:p>
        </w:tc>
      </w:tr>
      <w:tr w:rsidR="001C19A4" w:rsidRPr="005248FB" w14:paraId="10A44E48" w14:textId="77777777" w:rsidTr="005F27A6">
        <w:trPr>
          <w:trHeight w:val="312"/>
        </w:trPr>
        <w:tc>
          <w:tcPr>
            <w:tcW w:w="1845" w:type="dxa"/>
            <w:noWrap/>
            <w:hideMark/>
          </w:tcPr>
          <w:p w14:paraId="66772799" w14:textId="77777777" w:rsidR="001C19A4" w:rsidRPr="005248FB" w:rsidRDefault="001C19A4" w:rsidP="005F27A6">
            <w:pPr>
              <w:spacing w:after="0"/>
              <w:rPr>
                <w:rFonts w:cs="Arial"/>
                <w:color w:val="000000"/>
              </w:rPr>
            </w:pPr>
            <w:r w:rsidRPr="00D859B6">
              <w:t>English Language Arts</w:t>
            </w:r>
          </w:p>
        </w:tc>
        <w:tc>
          <w:tcPr>
            <w:tcW w:w="1164" w:type="dxa"/>
            <w:noWrap/>
            <w:hideMark/>
          </w:tcPr>
          <w:p w14:paraId="0436FECA" w14:textId="77777777" w:rsidR="001C19A4" w:rsidRPr="005248FB" w:rsidRDefault="001C19A4" w:rsidP="005F27A6">
            <w:pPr>
              <w:spacing w:after="0"/>
              <w:jc w:val="center"/>
              <w:rPr>
                <w:rFonts w:cs="Arial"/>
                <w:color w:val="000000"/>
              </w:rPr>
            </w:pPr>
            <w:r w:rsidRPr="00D859B6">
              <w:t>5</w:t>
            </w:r>
          </w:p>
        </w:tc>
        <w:tc>
          <w:tcPr>
            <w:tcW w:w="1125" w:type="dxa"/>
            <w:noWrap/>
            <w:hideMark/>
          </w:tcPr>
          <w:p w14:paraId="4CD93591" w14:textId="77777777" w:rsidR="001C19A4" w:rsidRPr="005248FB" w:rsidRDefault="001C19A4" w:rsidP="005F27A6">
            <w:pPr>
              <w:spacing w:after="0"/>
              <w:jc w:val="center"/>
              <w:rPr>
                <w:rFonts w:cs="Arial"/>
                <w:color w:val="000000"/>
              </w:rPr>
            </w:pPr>
            <w:r w:rsidRPr="00D859B6">
              <w:t>0</w:t>
            </w:r>
          </w:p>
        </w:tc>
        <w:tc>
          <w:tcPr>
            <w:tcW w:w="1125" w:type="dxa"/>
            <w:noWrap/>
            <w:hideMark/>
          </w:tcPr>
          <w:p w14:paraId="43E8DFA1" w14:textId="77777777" w:rsidR="001C19A4" w:rsidRPr="005248FB" w:rsidRDefault="001C19A4" w:rsidP="005F27A6">
            <w:pPr>
              <w:spacing w:after="0"/>
              <w:jc w:val="center"/>
              <w:rPr>
                <w:rFonts w:cs="Arial"/>
                <w:color w:val="000000"/>
              </w:rPr>
            </w:pPr>
            <w:r w:rsidRPr="00D859B6">
              <w:t>0</w:t>
            </w:r>
          </w:p>
        </w:tc>
        <w:tc>
          <w:tcPr>
            <w:tcW w:w="1125" w:type="dxa"/>
            <w:noWrap/>
            <w:hideMark/>
          </w:tcPr>
          <w:p w14:paraId="57D8092A" w14:textId="77777777" w:rsidR="001C19A4" w:rsidRPr="005248FB" w:rsidRDefault="001C19A4" w:rsidP="005F27A6">
            <w:pPr>
              <w:spacing w:after="0"/>
              <w:jc w:val="center"/>
              <w:rPr>
                <w:rFonts w:cs="Arial"/>
                <w:color w:val="000000"/>
              </w:rPr>
            </w:pPr>
            <w:r w:rsidRPr="00D859B6">
              <w:t>0</w:t>
            </w:r>
          </w:p>
        </w:tc>
        <w:tc>
          <w:tcPr>
            <w:tcW w:w="1125" w:type="dxa"/>
            <w:noWrap/>
            <w:hideMark/>
          </w:tcPr>
          <w:p w14:paraId="15E47CC2" w14:textId="77777777" w:rsidR="001C19A4" w:rsidRPr="005248FB" w:rsidRDefault="001C19A4" w:rsidP="005F27A6">
            <w:pPr>
              <w:spacing w:after="0"/>
              <w:jc w:val="center"/>
              <w:rPr>
                <w:rFonts w:cs="Arial"/>
                <w:color w:val="000000"/>
              </w:rPr>
            </w:pPr>
            <w:r w:rsidRPr="00D859B6">
              <w:t>3</w:t>
            </w:r>
          </w:p>
        </w:tc>
        <w:tc>
          <w:tcPr>
            <w:tcW w:w="1125" w:type="dxa"/>
            <w:noWrap/>
            <w:hideMark/>
          </w:tcPr>
          <w:p w14:paraId="7992D28C" w14:textId="77777777" w:rsidR="001C19A4" w:rsidRPr="005248FB" w:rsidRDefault="001C19A4" w:rsidP="005F27A6">
            <w:pPr>
              <w:spacing w:after="0"/>
              <w:jc w:val="center"/>
              <w:rPr>
                <w:rFonts w:cs="Arial"/>
                <w:color w:val="000000"/>
              </w:rPr>
            </w:pPr>
            <w:r w:rsidRPr="00D859B6">
              <w:t>2</w:t>
            </w:r>
          </w:p>
        </w:tc>
      </w:tr>
      <w:tr w:rsidR="001C19A4" w:rsidRPr="005248FB" w14:paraId="77321DA7" w14:textId="77777777" w:rsidTr="005F27A6">
        <w:trPr>
          <w:trHeight w:val="312"/>
        </w:trPr>
        <w:tc>
          <w:tcPr>
            <w:tcW w:w="1845" w:type="dxa"/>
            <w:noWrap/>
            <w:hideMark/>
          </w:tcPr>
          <w:p w14:paraId="0A5BD8BB" w14:textId="77777777" w:rsidR="001C19A4" w:rsidRPr="005248FB" w:rsidRDefault="001C19A4" w:rsidP="005F27A6">
            <w:pPr>
              <w:spacing w:after="0"/>
              <w:rPr>
                <w:rFonts w:cs="Arial"/>
                <w:color w:val="000000"/>
              </w:rPr>
            </w:pPr>
            <w:r w:rsidRPr="00D859B6">
              <w:t>Mathematics</w:t>
            </w:r>
          </w:p>
        </w:tc>
        <w:tc>
          <w:tcPr>
            <w:tcW w:w="1164" w:type="dxa"/>
            <w:noWrap/>
            <w:hideMark/>
          </w:tcPr>
          <w:p w14:paraId="009636BC" w14:textId="77777777" w:rsidR="001C19A4" w:rsidRPr="005248FB" w:rsidRDefault="001C19A4" w:rsidP="005F27A6">
            <w:pPr>
              <w:spacing w:after="0"/>
              <w:jc w:val="center"/>
              <w:rPr>
                <w:rFonts w:cs="Arial"/>
                <w:color w:val="000000"/>
              </w:rPr>
            </w:pPr>
            <w:r w:rsidRPr="00D859B6">
              <w:t>5</w:t>
            </w:r>
          </w:p>
        </w:tc>
        <w:tc>
          <w:tcPr>
            <w:tcW w:w="1125" w:type="dxa"/>
            <w:noWrap/>
            <w:hideMark/>
          </w:tcPr>
          <w:p w14:paraId="1DBE71A3" w14:textId="77777777" w:rsidR="001C19A4" w:rsidRPr="005248FB" w:rsidRDefault="001C19A4" w:rsidP="005F27A6">
            <w:pPr>
              <w:spacing w:after="0"/>
              <w:jc w:val="center"/>
              <w:rPr>
                <w:rFonts w:cs="Arial"/>
                <w:color w:val="000000"/>
              </w:rPr>
            </w:pPr>
            <w:r w:rsidRPr="00D859B6">
              <w:t>0</w:t>
            </w:r>
          </w:p>
        </w:tc>
        <w:tc>
          <w:tcPr>
            <w:tcW w:w="1125" w:type="dxa"/>
            <w:noWrap/>
            <w:hideMark/>
          </w:tcPr>
          <w:p w14:paraId="2E1A3B8E" w14:textId="77777777" w:rsidR="001C19A4" w:rsidRPr="005248FB" w:rsidRDefault="001C19A4" w:rsidP="005F27A6">
            <w:pPr>
              <w:spacing w:after="0"/>
              <w:jc w:val="center"/>
              <w:rPr>
                <w:rFonts w:cs="Arial"/>
                <w:color w:val="000000"/>
              </w:rPr>
            </w:pPr>
            <w:r w:rsidRPr="00D859B6">
              <w:t>0</w:t>
            </w:r>
          </w:p>
        </w:tc>
        <w:tc>
          <w:tcPr>
            <w:tcW w:w="1125" w:type="dxa"/>
            <w:noWrap/>
            <w:hideMark/>
          </w:tcPr>
          <w:p w14:paraId="3F6B848D" w14:textId="77777777" w:rsidR="001C19A4" w:rsidRPr="005248FB" w:rsidRDefault="001C19A4" w:rsidP="005F27A6">
            <w:pPr>
              <w:spacing w:after="0"/>
              <w:jc w:val="center"/>
              <w:rPr>
                <w:rFonts w:cs="Arial"/>
                <w:color w:val="000000"/>
              </w:rPr>
            </w:pPr>
            <w:r w:rsidRPr="00D859B6">
              <w:t>0</w:t>
            </w:r>
          </w:p>
        </w:tc>
        <w:tc>
          <w:tcPr>
            <w:tcW w:w="1125" w:type="dxa"/>
            <w:noWrap/>
            <w:hideMark/>
          </w:tcPr>
          <w:p w14:paraId="1AC8DBC5" w14:textId="77777777" w:rsidR="001C19A4" w:rsidRPr="005248FB" w:rsidRDefault="001C19A4" w:rsidP="005F27A6">
            <w:pPr>
              <w:spacing w:after="0"/>
              <w:jc w:val="center"/>
              <w:rPr>
                <w:rFonts w:cs="Arial"/>
                <w:color w:val="000000"/>
              </w:rPr>
            </w:pPr>
            <w:r w:rsidRPr="00D859B6">
              <w:t>3</w:t>
            </w:r>
          </w:p>
        </w:tc>
        <w:tc>
          <w:tcPr>
            <w:tcW w:w="1125" w:type="dxa"/>
            <w:noWrap/>
            <w:hideMark/>
          </w:tcPr>
          <w:p w14:paraId="26A3DBC0" w14:textId="77777777" w:rsidR="001C19A4" w:rsidRPr="005248FB" w:rsidRDefault="001C19A4" w:rsidP="005F27A6">
            <w:pPr>
              <w:spacing w:after="0"/>
              <w:jc w:val="center"/>
              <w:rPr>
                <w:rFonts w:cs="Arial"/>
                <w:color w:val="000000"/>
              </w:rPr>
            </w:pPr>
            <w:r w:rsidRPr="00D859B6">
              <w:t>2</w:t>
            </w:r>
          </w:p>
        </w:tc>
      </w:tr>
      <w:tr w:rsidR="001C19A4" w:rsidRPr="005248FB" w14:paraId="38B1EB5C" w14:textId="77777777" w:rsidTr="005F27A6">
        <w:trPr>
          <w:trHeight w:val="312"/>
        </w:trPr>
        <w:tc>
          <w:tcPr>
            <w:tcW w:w="1845" w:type="dxa"/>
            <w:noWrap/>
            <w:hideMark/>
          </w:tcPr>
          <w:p w14:paraId="58A885C1" w14:textId="77777777" w:rsidR="001C19A4" w:rsidRPr="005248FB" w:rsidRDefault="001C19A4" w:rsidP="005F27A6">
            <w:pPr>
              <w:spacing w:after="0"/>
              <w:rPr>
                <w:rFonts w:cs="Arial"/>
                <w:color w:val="000000"/>
              </w:rPr>
            </w:pPr>
            <w:r w:rsidRPr="00D859B6">
              <w:t>Graduation Rates</w:t>
            </w:r>
          </w:p>
        </w:tc>
        <w:tc>
          <w:tcPr>
            <w:tcW w:w="1164" w:type="dxa"/>
            <w:noWrap/>
            <w:hideMark/>
          </w:tcPr>
          <w:p w14:paraId="54202124" w14:textId="77777777" w:rsidR="001C19A4" w:rsidRPr="005248FB" w:rsidRDefault="001C19A4" w:rsidP="005F27A6">
            <w:pPr>
              <w:spacing w:after="0"/>
              <w:jc w:val="center"/>
              <w:rPr>
                <w:rFonts w:cs="Arial"/>
                <w:color w:val="000000"/>
              </w:rPr>
            </w:pPr>
            <w:r w:rsidRPr="00D859B6">
              <w:t>1</w:t>
            </w:r>
          </w:p>
        </w:tc>
        <w:tc>
          <w:tcPr>
            <w:tcW w:w="1125" w:type="dxa"/>
            <w:noWrap/>
            <w:hideMark/>
          </w:tcPr>
          <w:p w14:paraId="6FA44EB9" w14:textId="77777777" w:rsidR="001C19A4" w:rsidRPr="005248FB" w:rsidRDefault="001C19A4" w:rsidP="005F27A6">
            <w:pPr>
              <w:spacing w:after="0"/>
              <w:jc w:val="center"/>
              <w:rPr>
                <w:rFonts w:cs="Arial"/>
                <w:color w:val="000000"/>
              </w:rPr>
            </w:pPr>
            <w:r w:rsidRPr="00D859B6">
              <w:t>0</w:t>
            </w:r>
          </w:p>
        </w:tc>
        <w:tc>
          <w:tcPr>
            <w:tcW w:w="1125" w:type="dxa"/>
            <w:noWrap/>
            <w:hideMark/>
          </w:tcPr>
          <w:p w14:paraId="0D6CF796" w14:textId="77777777" w:rsidR="001C19A4" w:rsidRPr="005248FB" w:rsidRDefault="001C19A4" w:rsidP="005F27A6">
            <w:pPr>
              <w:spacing w:after="0"/>
              <w:jc w:val="center"/>
              <w:rPr>
                <w:rFonts w:cs="Arial"/>
                <w:color w:val="000000"/>
              </w:rPr>
            </w:pPr>
            <w:r w:rsidRPr="00D859B6">
              <w:t>0</w:t>
            </w:r>
          </w:p>
        </w:tc>
        <w:tc>
          <w:tcPr>
            <w:tcW w:w="1125" w:type="dxa"/>
            <w:noWrap/>
            <w:hideMark/>
          </w:tcPr>
          <w:p w14:paraId="2862EA05" w14:textId="77777777" w:rsidR="001C19A4" w:rsidRPr="005248FB" w:rsidRDefault="001C19A4" w:rsidP="005F27A6">
            <w:pPr>
              <w:spacing w:after="0"/>
              <w:jc w:val="center"/>
              <w:rPr>
                <w:rFonts w:cs="Arial"/>
                <w:color w:val="000000"/>
              </w:rPr>
            </w:pPr>
            <w:r w:rsidRPr="00D859B6">
              <w:t>0</w:t>
            </w:r>
          </w:p>
        </w:tc>
        <w:tc>
          <w:tcPr>
            <w:tcW w:w="1125" w:type="dxa"/>
            <w:noWrap/>
            <w:hideMark/>
          </w:tcPr>
          <w:p w14:paraId="75B881F4" w14:textId="77777777" w:rsidR="001C19A4" w:rsidRPr="005248FB" w:rsidRDefault="001C19A4" w:rsidP="005F27A6">
            <w:pPr>
              <w:spacing w:after="0"/>
              <w:jc w:val="center"/>
              <w:rPr>
                <w:rFonts w:cs="Arial"/>
                <w:color w:val="000000"/>
              </w:rPr>
            </w:pPr>
            <w:r w:rsidRPr="00D859B6">
              <w:t>0</w:t>
            </w:r>
          </w:p>
        </w:tc>
        <w:tc>
          <w:tcPr>
            <w:tcW w:w="1125" w:type="dxa"/>
            <w:noWrap/>
            <w:hideMark/>
          </w:tcPr>
          <w:p w14:paraId="425E5A10" w14:textId="77777777" w:rsidR="001C19A4" w:rsidRPr="005248FB" w:rsidRDefault="001C19A4" w:rsidP="005F27A6">
            <w:pPr>
              <w:spacing w:after="0"/>
              <w:jc w:val="center"/>
              <w:rPr>
                <w:rFonts w:cs="Arial"/>
                <w:color w:val="000000"/>
              </w:rPr>
            </w:pPr>
            <w:r w:rsidRPr="00D859B6">
              <w:t>1</w:t>
            </w:r>
          </w:p>
        </w:tc>
      </w:tr>
      <w:tr w:rsidR="001C19A4" w:rsidRPr="005248FB" w14:paraId="776F1F4D" w14:textId="77777777" w:rsidTr="005F27A6">
        <w:trPr>
          <w:trHeight w:val="312"/>
        </w:trPr>
        <w:tc>
          <w:tcPr>
            <w:tcW w:w="1845" w:type="dxa"/>
            <w:noWrap/>
          </w:tcPr>
          <w:p w14:paraId="1C9EF035" w14:textId="77777777" w:rsidR="001C19A4" w:rsidRPr="00D859B6" w:rsidRDefault="001C19A4" w:rsidP="005F27A6">
            <w:pPr>
              <w:spacing w:after="0"/>
            </w:pPr>
            <w:r>
              <w:t>College/Career</w:t>
            </w:r>
          </w:p>
        </w:tc>
        <w:tc>
          <w:tcPr>
            <w:tcW w:w="1164" w:type="dxa"/>
            <w:noWrap/>
          </w:tcPr>
          <w:p w14:paraId="1871D52F" w14:textId="77777777" w:rsidR="001C19A4" w:rsidRPr="00D859B6" w:rsidRDefault="001C19A4" w:rsidP="005F27A6">
            <w:pPr>
              <w:spacing w:after="0"/>
              <w:jc w:val="center"/>
            </w:pPr>
            <w:r>
              <w:t>1</w:t>
            </w:r>
          </w:p>
        </w:tc>
        <w:tc>
          <w:tcPr>
            <w:tcW w:w="1125" w:type="dxa"/>
            <w:noWrap/>
          </w:tcPr>
          <w:p w14:paraId="620C1AD4" w14:textId="77777777" w:rsidR="001C19A4" w:rsidRPr="00D859B6" w:rsidRDefault="001C19A4" w:rsidP="005F27A6">
            <w:pPr>
              <w:spacing w:after="0"/>
              <w:jc w:val="center"/>
            </w:pPr>
            <w:r>
              <w:t>0</w:t>
            </w:r>
          </w:p>
        </w:tc>
        <w:tc>
          <w:tcPr>
            <w:tcW w:w="1125" w:type="dxa"/>
            <w:noWrap/>
          </w:tcPr>
          <w:p w14:paraId="056E1E0C" w14:textId="77777777" w:rsidR="001C19A4" w:rsidRPr="00D859B6" w:rsidRDefault="001C19A4" w:rsidP="005F27A6">
            <w:pPr>
              <w:spacing w:after="0"/>
              <w:jc w:val="center"/>
            </w:pPr>
            <w:r>
              <w:t>0</w:t>
            </w:r>
          </w:p>
        </w:tc>
        <w:tc>
          <w:tcPr>
            <w:tcW w:w="1125" w:type="dxa"/>
            <w:noWrap/>
          </w:tcPr>
          <w:p w14:paraId="6C835C77" w14:textId="77777777" w:rsidR="001C19A4" w:rsidRPr="00D859B6" w:rsidRDefault="001C19A4" w:rsidP="005F27A6">
            <w:pPr>
              <w:spacing w:after="0"/>
              <w:jc w:val="center"/>
            </w:pPr>
            <w:r>
              <w:t>1</w:t>
            </w:r>
          </w:p>
        </w:tc>
        <w:tc>
          <w:tcPr>
            <w:tcW w:w="1125" w:type="dxa"/>
            <w:noWrap/>
          </w:tcPr>
          <w:p w14:paraId="067F4495" w14:textId="77777777" w:rsidR="001C19A4" w:rsidRPr="00D859B6" w:rsidRDefault="001C19A4" w:rsidP="005F27A6">
            <w:pPr>
              <w:spacing w:after="0"/>
              <w:jc w:val="center"/>
            </w:pPr>
            <w:r>
              <w:t>0</w:t>
            </w:r>
          </w:p>
        </w:tc>
        <w:tc>
          <w:tcPr>
            <w:tcW w:w="1125" w:type="dxa"/>
            <w:noWrap/>
          </w:tcPr>
          <w:p w14:paraId="5B76CBA3" w14:textId="77777777" w:rsidR="001C19A4" w:rsidRPr="00D859B6" w:rsidRDefault="001C19A4" w:rsidP="005F27A6">
            <w:pPr>
              <w:spacing w:after="0"/>
              <w:jc w:val="center"/>
            </w:pPr>
            <w:r>
              <w:t>0</w:t>
            </w:r>
          </w:p>
        </w:tc>
      </w:tr>
    </w:tbl>
    <w:p w14:paraId="7D10CD2C" w14:textId="77777777" w:rsidR="001C19A4" w:rsidRPr="00C25A5B" w:rsidRDefault="001C19A4" w:rsidP="005F27A6">
      <w:pPr>
        <w:spacing w:before="120"/>
        <w:ind w:left="720"/>
        <w:rPr>
          <w:rFonts w:cs="Arial"/>
          <w:b/>
          <w:i/>
        </w:rPr>
      </w:pPr>
      <w:r w:rsidRPr="00C25A5B">
        <w:rPr>
          <w:rFonts w:cs="Arial"/>
          <w:b/>
          <w:i/>
        </w:rPr>
        <w:t>Source: California School Dashboard (2019)</w:t>
      </w:r>
    </w:p>
    <w:p w14:paraId="089C0919" w14:textId="77777777" w:rsidR="001C19A4" w:rsidRDefault="001C19A4">
      <w:pPr>
        <w:spacing w:after="160"/>
        <w:rPr>
          <w:rFonts w:cs="Arial"/>
          <w:b/>
        </w:rPr>
      </w:pPr>
      <w:r>
        <w:rPr>
          <w:rFonts w:cs="Arial"/>
          <w:b/>
        </w:rPr>
        <w:br w:type="page"/>
      </w:r>
    </w:p>
    <w:p w14:paraId="6515BE26" w14:textId="77777777" w:rsidR="001C19A4" w:rsidRPr="005248FB" w:rsidRDefault="001C19A4" w:rsidP="00AF653A">
      <w:pPr>
        <w:pStyle w:val="Heading4"/>
        <w:ind w:left="720"/>
      </w:pPr>
      <w:r w:rsidRPr="00CB6A51">
        <w:lastRenderedPageBreak/>
        <w:t xml:space="preserve">Table </w:t>
      </w:r>
      <w:r>
        <w:t>5d</w:t>
      </w:r>
      <w:r w:rsidRPr="00CB6A51">
        <w:t>:</w:t>
      </w:r>
      <w:r>
        <w:t xml:space="preserve"> Performance Levels for Schools</w:t>
      </w:r>
      <w:r w:rsidRPr="00CB6A51">
        <w:t xml:space="preserve"> </w:t>
      </w:r>
      <w:r>
        <w:t>in the Remaining Portion of the Mt. Diablo USD</w:t>
      </w:r>
    </w:p>
    <w:tbl>
      <w:tblPr>
        <w:tblStyle w:val="TableGridLight"/>
        <w:tblW w:w="8634" w:type="dxa"/>
        <w:tblInd w:w="715" w:type="dxa"/>
        <w:tblCellMar>
          <w:top w:w="115" w:type="dxa"/>
          <w:left w:w="115" w:type="dxa"/>
          <w:bottom w:w="115" w:type="dxa"/>
          <w:right w:w="115" w:type="dxa"/>
        </w:tblCellMar>
        <w:tblLook w:val="04A0" w:firstRow="1" w:lastRow="0" w:firstColumn="1" w:lastColumn="0" w:noHBand="0" w:noVBand="1"/>
        <w:tblDescription w:val="Table 5c provides a summary of the 2019-20 performance level rankings for four of the California School Dashboard indicators (English Language Arts, Mathematics, Graduation Rates, and College/Career Placement) for the schools in the proposed Northgate USD."/>
      </w:tblPr>
      <w:tblGrid>
        <w:gridCol w:w="1845"/>
        <w:gridCol w:w="1164"/>
        <w:gridCol w:w="1125"/>
        <w:gridCol w:w="1125"/>
        <w:gridCol w:w="1125"/>
        <w:gridCol w:w="1125"/>
        <w:gridCol w:w="1125"/>
      </w:tblGrid>
      <w:tr w:rsidR="001C19A4" w:rsidRPr="005248FB" w14:paraId="5539DB91" w14:textId="77777777" w:rsidTr="005F27A6">
        <w:trPr>
          <w:trHeight w:val="656"/>
        </w:trPr>
        <w:tc>
          <w:tcPr>
            <w:tcW w:w="1845" w:type="dxa"/>
            <w:shd w:val="clear" w:color="auto" w:fill="E7E6E6" w:themeFill="background2"/>
            <w:noWrap/>
            <w:vAlign w:val="center"/>
            <w:hideMark/>
          </w:tcPr>
          <w:p w14:paraId="0E2CAF3E" w14:textId="77777777" w:rsidR="001C19A4" w:rsidRPr="005248FB" w:rsidRDefault="001C19A4" w:rsidP="005F27A6">
            <w:pPr>
              <w:spacing w:after="0"/>
              <w:jc w:val="center"/>
              <w:rPr>
                <w:rFonts w:cs="Arial"/>
                <w:b/>
                <w:bCs/>
                <w:color w:val="000000"/>
              </w:rPr>
            </w:pPr>
            <w:bookmarkStart w:id="39" w:name="OLE_LINK1"/>
            <w:r w:rsidRPr="005248FB">
              <w:rPr>
                <w:rFonts w:cs="Arial"/>
                <w:b/>
                <w:bCs/>
                <w:color w:val="000000"/>
              </w:rPr>
              <w:t>Indicator</w:t>
            </w:r>
          </w:p>
        </w:tc>
        <w:tc>
          <w:tcPr>
            <w:tcW w:w="1164" w:type="dxa"/>
            <w:shd w:val="clear" w:color="auto" w:fill="E7E6E6" w:themeFill="background2"/>
            <w:noWrap/>
            <w:vAlign w:val="center"/>
            <w:hideMark/>
          </w:tcPr>
          <w:p w14:paraId="634BA587" w14:textId="77777777" w:rsidR="001C19A4" w:rsidRPr="005248FB" w:rsidRDefault="001C19A4" w:rsidP="005F27A6">
            <w:pPr>
              <w:spacing w:after="0"/>
              <w:jc w:val="center"/>
              <w:rPr>
                <w:rFonts w:cs="Arial"/>
                <w:b/>
                <w:bCs/>
                <w:color w:val="000000"/>
              </w:rPr>
            </w:pPr>
            <w:r w:rsidRPr="005248FB">
              <w:rPr>
                <w:rFonts w:cs="Arial"/>
                <w:b/>
                <w:bCs/>
                <w:color w:val="000000"/>
              </w:rPr>
              <w:t>Total Schools</w:t>
            </w:r>
          </w:p>
        </w:tc>
        <w:tc>
          <w:tcPr>
            <w:tcW w:w="1125" w:type="dxa"/>
            <w:shd w:val="clear" w:color="auto" w:fill="FF9797"/>
            <w:vAlign w:val="center"/>
            <w:hideMark/>
          </w:tcPr>
          <w:p w14:paraId="681A1B3C" w14:textId="77777777" w:rsidR="001C19A4" w:rsidRPr="005248FB" w:rsidRDefault="001C19A4" w:rsidP="005F27A6">
            <w:pPr>
              <w:spacing w:after="0"/>
              <w:jc w:val="center"/>
              <w:rPr>
                <w:rFonts w:cs="Arial"/>
                <w:b/>
                <w:bCs/>
              </w:rPr>
            </w:pPr>
            <w:r w:rsidRPr="005248FB">
              <w:rPr>
                <w:rFonts w:cs="Arial"/>
                <w:b/>
                <w:bCs/>
              </w:rPr>
              <w:t>Red</w:t>
            </w:r>
          </w:p>
        </w:tc>
        <w:tc>
          <w:tcPr>
            <w:tcW w:w="1125" w:type="dxa"/>
            <w:shd w:val="clear" w:color="auto" w:fill="F7CAAC" w:themeFill="accent2" w:themeFillTint="66"/>
            <w:vAlign w:val="center"/>
            <w:hideMark/>
          </w:tcPr>
          <w:p w14:paraId="4C93BBEA" w14:textId="77777777" w:rsidR="001C19A4" w:rsidRPr="005248FB" w:rsidRDefault="001C19A4" w:rsidP="005F27A6">
            <w:pPr>
              <w:spacing w:after="0"/>
              <w:jc w:val="center"/>
              <w:rPr>
                <w:rFonts w:cs="Arial"/>
                <w:b/>
                <w:bCs/>
              </w:rPr>
            </w:pPr>
            <w:r w:rsidRPr="005248FB">
              <w:rPr>
                <w:rFonts w:cs="Arial"/>
                <w:b/>
                <w:bCs/>
              </w:rPr>
              <w:t>Orange</w:t>
            </w:r>
          </w:p>
        </w:tc>
        <w:tc>
          <w:tcPr>
            <w:tcW w:w="1125" w:type="dxa"/>
            <w:shd w:val="clear" w:color="auto" w:fill="FFF2CC" w:themeFill="accent4" w:themeFillTint="33"/>
            <w:vAlign w:val="center"/>
            <w:hideMark/>
          </w:tcPr>
          <w:p w14:paraId="5A9CE828" w14:textId="77777777" w:rsidR="001C19A4" w:rsidRPr="005248FB" w:rsidRDefault="001C19A4" w:rsidP="005F27A6">
            <w:pPr>
              <w:spacing w:after="0"/>
              <w:jc w:val="center"/>
              <w:rPr>
                <w:rFonts w:cs="Arial"/>
                <w:b/>
                <w:bCs/>
              </w:rPr>
            </w:pPr>
            <w:r w:rsidRPr="005248FB">
              <w:rPr>
                <w:rFonts w:cs="Arial"/>
                <w:b/>
                <w:bCs/>
              </w:rPr>
              <w:t>Yellow</w:t>
            </w:r>
          </w:p>
        </w:tc>
        <w:tc>
          <w:tcPr>
            <w:tcW w:w="1125" w:type="dxa"/>
            <w:shd w:val="clear" w:color="auto" w:fill="C5E0B3" w:themeFill="accent6" w:themeFillTint="66"/>
            <w:vAlign w:val="center"/>
            <w:hideMark/>
          </w:tcPr>
          <w:p w14:paraId="508332CD" w14:textId="77777777" w:rsidR="001C19A4" w:rsidRPr="005248FB" w:rsidRDefault="001C19A4" w:rsidP="005F27A6">
            <w:pPr>
              <w:spacing w:after="0"/>
              <w:jc w:val="center"/>
              <w:rPr>
                <w:rFonts w:cs="Arial"/>
                <w:b/>
                <w:bCs/>
              </w:rPr>
            </w:pPr>
            <w:r w:rsidRPr="005248FB">
              <w:rPr>
                <w:rFonts w:cs="Arial"/>
                <w:b/>
                <w:bCs/>
              </w:rPr>
              <w:t>Green</w:t>
            </w:r>
          </w:p>
        </w:tc>
        <w:tc>
          <w:tcPr>
            <w:tcW w:w="1125" w:type="dxa"/>
            <w:shd w:val="clear" w:color="auto" w:fill="BDD6EE" w:themeFill="accent5" w:themeFillTint="66"/>
            <w:vAlign w:val="center"/>
            <w:hideMark/>
          </w:tcPr>
          <w:p w14:paraId="5440CE5E" w14:textId="77777777" w:rsidR="001C19A4" w:rsidRPr="005248FB" w:rsidRDefault="001C19A4" w:rsidP="005F27A6">
            <w:pPr>
              <w:spacing w:after="0"/>
              <w:jc w:val="center"/>
              <w:rPr>
                <w:rFonts w:cs="Arial"/>
                <w:b/>
                <w:bCs/>
              </w:rPr>
            </w:pPr>
            <w:r w:rsidRPr="005248FB">
              <w:rPr>
                <w:rFonts w:cs="Arial"/>
                <w:b/>
                <w:bCs/>
              </w:rPr>
              <w:t>Blue</w:t>
            </w:r>
          </w:p>
        </w:tc>
      </w:tr>
      <w:tr w:rsidR="001C19A4" w:rsidRPr="005248FB" w14:paraId="26E8262F" w14:textId="77777777" w:rsidTr="005F27A6">
        <w:trPr>
          <w:trHeight w:val="312"/>
        </w:trPr>
        <w:tc>
          <w:tcPr>
            <w:tcW w:w="1845" w:type="dxa"/>
            <w:noWrap/>
            <w:hideMark/>
          </w:tcPr>
          <w:p w14:paraId="27A92757" w14:textId="77777777" w:rsidR="001C19A4" w:rsidRPr="005248FB" w:rsidRDefault="001C19A4" w:rsidP="005F27A6">
            <w:pPr>
              <w:spacing w:after="0"/>
              <w:rPr>
                <w:rFonts w:cs="Arial"/>
                <w:color w:val="000000"/>
              </w:rPr>
            </w:pPr>
            <w:r w:rsidRPr="00D859B6">
              <w:t>English Language Arts</w:t>
            </w:r>
          </w:p>
        </w:tc>
        <w:tc>
          <w:tcPr>
            <w:tcW w:w="1164" w:type="dxa"/>
            <w:noWrap/>
            <w:hideMark/>
          </w:tcPr>
          <w:p w14:paraId="1F56EA08" w14:textId="77777777" w:rsidR="001C19A4" w:rsidRPr="005248FB" w:rsidRDefault="001C19A4" w:rsidP="005F27A6">
            <w:pPr>
              <w:spacing w:after="0"/>
              <w:jc w:val="center"/>
              <w:rPr>
                <w:rFonts w:cs="Arial"/>
                <w:color w:val="000000"/>
              </w:rPr>
            </w:pPr>
            <w:r w:rsidRPr="00EA13B4">
              <w:t>38</w:t>
            </w:r>
          </w:p>
        </w:tc>
        <w:tc>
          <w:tcPr>
            <w:tcW w:w="1125" w:type="dxa"/>
            <w:noWrap/>
            <w:hideMark/>
          </w:tcPr>
          <w:p w14:paraId="645CFBF0" w14:textId="77777777" w:rsidR="001C19A4" w:rsidRPr="005248FB" w:rsidRDefault="001C19A4" w:rsidP="005F27A6">
            <w:pPr>
              <w:spacing w:after="0"/>
              <w:jc w:val="center"/>
              <w:rPr>
                <w:rFonts w:cs="Arial"/>
                <w:color w:val="000000"/>
              </w:rPr>
            </w:pPr>
            <w:r>
              <w:rPr>
                <w:rFonts w:cs="Arial"/>
                <w:color w:val="000000"/>
              </w:rPr>
              <w:t>0</w:t>
            </w:r>
          </w:p>
        </w:tc>
        <w:tc>
          <w:tcPr>
            <w:tcW w:w="1125" w:type="dxa"/>
            <w:noWrap/>
            <w:hideMark/>
          </w:tcPr>
          <w:p w14:paraId="5E3A0785" w14:textId="77777777" w:rsidR="001C19A4" w:rsidRPr="005248FB" w:rsidRDefault="001C19A4" w:rsidP="005F27A6">
            <w:pPr>
              <w:spacing w:after="0"/>
              <w:jc w:val="center"/>
              <w:rPr>
                <w:rFonts w:cs="Arial"/>
                <w:color w:val="000000"/>
              </w:rPr>
            </w:pPr>
            <w:r>
              <w:rPr>
                <w:rFonts w:cs="Arial"/>
                <w:color w:val="000000"/>
              </w:rPr>
              <w:t>19</w:t>
            </w:r>
          </w:p>
        </w:tc>
        <w:tc>
          <w:tcPr>
            <w:tcW w:w="1125" w:type="dxa"/>
            <w:noWrap/>
            <w:hideMark/>
          </w:tcPr>
          <w:p w14:paraId="733F5148" w14:textId="77777777" w:rsidR="001C19A4" w:rsidRPr="005248FB" w:rsidRDefault="001C19A4" w:rsidP="005F27A6">
            <w:pPr>
              <w:spacing w:after="0"/>
              <w:jc w:val="center"/>
              <w:rPr>
                <w:rFonts w:cs="Arial"/>
                <w:color w:val="000000"/>
              </w:rPr>
            </w:pPr>
            <w:r>
              <w:rPr>
                <w:rFonts w:cs="Arial"/>
                <w:color w:val="000000"/>
              </w:rPr>
              <w:t>7</w:t>
            </w:r>
          </w:p>
        </w:tc>
        <w:tc>
          <w:tcPr>
            <w:tcW w:w="1125" w:type="dxa"/>
            <w:noWrap/>
            <w:hideMark/>
          </w:tcPr>
          <w:p w14:paraId="5F1E1A6F" w14:textId="77777777" w:rsidR="001C19A4" w:rsidRPr="005248FB" w:rsidRDefault="001C19A4" w:rsidP="005F27A6">
            <w:pPr>
              <w:spacing w:after="0"/>
              <w:jc w:val="center"/>
              <w:rPr>
                <w:rFonts w:cs="Arial"/>
                <w:color w:val="000000"/>
              </w:rPr>
            </w:pPr>
            <w:r>
              <w:rPr>
                <w:rFonts w:cs="Arial"/>
                <w:color w:val="000000"/>
              </w:rPr>
              <w:t>11</w:t>
            </w:r>
          </w:p>
        </w:tc>
        <w:tc>
          <w:tcPr>
            <w:tcW w:w="1125" w:type="dxa"/>
            <w:noWrap/>
            <w:hideMark/>
          </w:tcPr>
          <w:p w14:paraId="20E90817" w14:textId="77777777" w:rsidR="001C19A4" w:rsidRPr="005248FB" w:rsidRDefault="001C19A4" w:rsidP="005F27A6">
            <w:pPr>
              <w:spacing w:after="0"/>
              <w:jc w:val="center"/>
              <w:rPr>
                <w:rFonts w:cs="Arial"/>
                <w:color w:val="000000"/>
              </w:rPr>
            </w:pPr>
            <w:r>
              <w:rPr>
                <w:rFonts w:cs="Arial"/>
                <w:color w:val="000000"/>
              </w:rPr>
              <w:t>1</w:t>
            </w:r>
          </w:p>
        </w:tc>
      </w:tr>
      <w:tr w:rsidR="001C19A4" w:rsidRPr="005248FB" w14:paraId="39A3EBAD" w14:textId="77777777" w:rsidTr="005F27A6">
        <w:trPr>
          <w:trHeight w:val="312"/>
        </w:trPr>
        <w:tc>
          <w:tcPr>
            <w:tcW w:w="1845" w:type="dxa"/>
            <w:noWrap/>
            <w:hideMark/>
          </w:tcPr>
          <w:p w14:paraId="330DAC05" w14:textId="77777777" w:rsidR="001C19A4" w:rsidRPr="005248FB" w:rsidRDefault="001C19A4" w:rsidP="005F27A6">
            <w:pPr>
              <w:spacing w:after="0"/>
              <w:rPr>
                <w:rFonts w:cs="Arial"/>
                <w:color w:val="000000"/>
              </w:rPr>
            </w:pPr>
            <w:r w:rsidRPr="00D859B6">
              <w:t>Mathematics</w:t>
            </w:r>
          </w:p>
        </w:tc>
        <w:tc>
          <w:tcPr>
            <w:tcW w:w="1164" w:type="dxa"/>
            <w:noWrap/>
            <w:hideMark/>
          </w:tcPr>
          <w:p w14:paraId="2E8D1894" w14:textId="77777777" w:rsidR="001C19A4" w:rsidRPr="005248FB" w:rsidRDefault="001C19A4" w:rsidP="005F27A6">
            <w:pPr>
              <w:spacing w:after="0"/>
              <w:jc w:val="center"/>
              <w:rPr>
                <w:rFonts w:cs="Arial"/>
                <w:color w:val="000000"/>
              </w:rPr>
            </w:pPr>
            <w:r>
              <w:rPr>
                <w:color w:val="000000"/>
              </w:rPr>
              <w:t>38</w:t>
            </w:r>
          </w:p>
        </w:tc>
        <w:tc>
          <w:tcPr>
            <w:tcW w:w="1125" w:type="dxa"/>
            <w:noWrap/>
            <w:hideMark/>
          </w:tcPr>
          <w:p w14:paraId="75F4BAA8" w14:textId="77777777" w:rsidR="001C19A4" w:rsidRPr="005248FB" w:rsidRDefault="001C19A4" w:rsidP="005F27A6">
            <w:pPr>
              <w:spacing w:after="0"/>
              <w:jc w:val="center"/>
              <w:rPr>
                <w:rFonts w:cs="Arial"/>
                <w:color w:val="000000"/>
              </w:rPr>
            </w:pPr>
            <w:r>
              <w:rPr>
                <w:rFonts w:cs="Arial"/>
                <w:color w:val="000000"/>
              </w:rPr>
              <w:t>5</w:t>
            </w:r>
          </w:p>
        </w:tc>
        <w:tc>
          <w:tcPr>
            <w:tcW w:w="1125" w:type="dxa"/>
            <w:noWrap/>
            <w:hideMark/>
          </w:tcPr>
          <w:p w14:paraId="48A9B784" w14:textId="77777777" w:rsidR="001C19A4" w:rsidRPr="005248FB" w:rsidRDefault="001C19A4" w:rsidP="005F27A6">
            <w:pPr>
              <w:spacing w:after="0"/>
              <w:jc w:val="center"/>
              <w:rPr>
                <w:rFonts w:cs="Arial"/>
                <w:color w:val="000000"/>
              </w:rPr>
            </w:pPr>
            <w:r>
              <w:rPr>
                <w:rFonts w:cs="Arial"/>
                <w:color w:val="000000"/>
              </w:rPr>
              <w:t>13</w:t>
            </w:r>
          </w:p>
        </w:tc>
        <w:tc>
          <w:tcPr>
            <w:tcW w:w="1125" w:type="dxa"/>
            <w:noWrap/>
            <w:hideMark/>
          </w:tcPr>
          <w:p w14:paraId="31F21FCA" w14:textId="77777777" w:rsidR="001C19A4" w:rsidRPr="005248FB" w:rsidRDefault="001C19A4" w:rsidP="005F27A6">
            <w:pPr>
              <w:spacing w:after="0"/>
              <w:jc w:val="center"/>
              <w:rPr>
                <w:rFonts w:cs="Arial"/>
                <w:color w:val="000000"/>
              </w:rPr>
            </w:pPr>
            <w:r>
              <w:rPr>
                <w:rFonts w:cs="Arial"/>
                <w:color w:val="000000"/>
              </w:rPr>
              <w:t>9</w:t>
            </w:r>
          </w:p>
        </w:tc>
        <w:tc>
          <w:tcPr>
            <w:tcW w:w="1125" w:type="dxa"/>
            <w:noWrap/>
            <w:hideMark/>
          </w:tcPr>
          <w:p w14:paraId="30BA643F" w14:textId="77777777" w:rsidR="001C19A4" w:rsidRPr="005248FB" w:rsidRDefault="001C19A4" w:rsidP="005F27A6">
            <w:pPr>
              <w:spacing w:after="0"/>
              <w:jc w:val="center"/>
              <w:rPr>
                <w:rFonts w:cs="Arial"/>
                <w:color w:val="000000"/>
              </w:rPr>
            </w:pPr>
            <w:r>
              <w:rPr>
                <w:rFonts w:cs="Arial"/>
                <w:color w:val="000000"/>
              </w:rPr>
              <w:t>9</w:t>
            </w:r>
          </w:p>
        </w:tc>
        <w:tc>
          <w:tcPr>
            <w:tcW w:w="1125" w:type="dxa"/>
            <w:noWrap/>
            <w:hideMark/>
          </w:tcPr>
          <w:p w14:paraId="79A492E2" w14:textId="77777777" w:rsidR="001C19A4" w:rsidRPr="005248FB" w:rsidRDefault="001C19A4" w:rsidP="005F27A6">
            <w:pPr>
              <w:spacing w:after="0"/>
              <w:jc w:val="center"/>
              <w:rPr>
                <w:rFonts w:cs="Arial"/>
                <w:color w:val="000000"/>
              </w:rPr>
            </w:pPr>
            <w:r>
              <w:rPr>
                <w:rFonts w:cs="Arial"/>
                <w:color w:val="000000"/>
              </w:rPr>
              <w:t>2</w:t>
            </w:r>
          </w:p>
        </w:tc>
      </w:tr>
      <w:tr w:rsidR="001C19A4" w:rsidRPr="005248FB" w14:paraId="77941274" w14:textId="77777777" w:rsidTr="005F27A6">
        <w:trPr>
          <w:trHeight w:val="312"/>
        </w:trPr>
        <w:tc>
          <w:tcPr>
            <w:tcW w:w="1845" w:type="dxa"/>
            <w:noWrap/>
            <w:hideMark/>
          </w:tcPr>
          <w:p w14:paraId="60952430" w14:textId="77777777" w:rsidR="001C19A4" w:rsidRPr="005248FB" w:rsidRDefault="001C19A4" w:rsidP="005F27A6">
            <w:pPr>
              <w:spacing w:after="0"/>
              <w:rPr>
                <w:rFonts w:cs="Arial"/>
                <w:color w:val="000000"/>
              </w:rPr>
            </w:pPr>
            <w:r w:rsidRPr="00D859B6">
              <w:t>Graduation Rates</w:t>
            </w:r>
          </w:p>
        </w:tc>
        <w:tc>
          <w:tcPr>
            <w:tcW w:w="1164" w:type="dxa"/>
            <w:noWrap/>
            <w:hideMark/>
          </w:tcPr>
          <w:p w14:paraId="549A2532" w14:textId="77777777" w:rsidR="001C19A4" w:rsidRPr="005248FB" w:rsidRDefault="001C19A4" w:rsidP="005F27A6">
            <w:pPr>
              <w:spacing w:after="0"/>
              <w:jc w:val="center"/>
              <w:rPr>
                <w:rFonts w:cs="Arial"/>
                <w:color w:val="000000"/>
              </w:rPr>
            </w:pPr>
            <w:r>
              <w:rPr>
                <w:color w:val="000000"/>
              </w:rPr>
              <w:t>4</w:t>
            </w:r>
          </w:p>
        </w:tc>
        <w:tc>
          <w:tcPr>
            <w:tcW w:w="1125" w:type="dxa"/>
            <w:noWrap/>
            <w:hideMark/>
          </w:tcPr>
          <w:p w14:paraId="3891CE40" w14:textId="77777777" w:rsidR="001C19A4" w:rsidRPr="005248FB" w:rsidRDefault="001C19A4" w:rsidP="005F27A6">
            <w:pPr>
              <w:spacing w:after="0"/>
              <w:jc w:val="center"/>
              <w:rPr>
                <w:rFonts w:cs="Arial"/>
                <w:color w:val="000000"/>
              </w:rPr>
            </w:pPr>
            <w:r>
              <w:rPr>
                <w:rFonts w:cs="Arial"/>
                <w:color w:val="000000"/>
              </w:rPr>
              <w:t>0</w:t>
            </w:r>
          </w:p>
        </w:tc>
        <w:tc>
          <w:tcPr>
            <w:tcW w:w="1125" w:type="dxa"/>
            <w:noWrap/>
            <w:hideMark/>
          </w:tcPr>
          <w:p w14:paraId="4CA233FB" w14:textId="77777777" w:rsidR="001C19A4" w:rsidRPr="005248FB" w:rsidRDefault="001C19A4" w:rsidP="005F27A6">
            <w:pPr>
              <w:spacing w:after="0"/>
              <w:jc w:val="center"/>
              <w:rPr>
                <w:rFonts w:cs="Arial"/>
                <w:color w:val="000000"/>
              </w:rPr>
            </w:pPr>
            <w:r>
              <w:rPr>
                <w:rFonts w:cs="Arial"/>
                <w:color w:val="000000"/>
              </w:rPr>
              <w:t>0</w:t>
            </w:r>
          </w:p>
        </w:tc>
        <w:tc>
          <w:tcPr>
            <w:tcW w:w="1125" w:type="dxa"/>
            <w:noWrap/>
            <w:hideMark/>
          </w:tcPr>
          <w:p w14:paraId="05B11002" w14:textId="77777777" w:rsidR="001C19A4" w:rsidRPr="005248FB" w:rsidRDefault="001C19A4" w:rsidP="005F27A6">
            <w:pPr>
              <w:spacing w:after="0"/>
              <w:jc w:val="center"/>
              <w:rPr>
                <w:rFonts w:cs="Arial"/>
                <w:color w:val="000000"/>
              </w:rPr>
            </w:pPr>
            <w:r>
              <w:rPr>
                <w:rFonts w:cs="Arial"/>
                <w:color w:val="000000"/>
              </w:rPr>
              <w:t>0</w:t>
            </w:r>
          </w:p>
        </w:tc>
        <w:tc>
          <w:tcPr>
            <w:tcW w:w="1125" w:type="dxa"/>
            <w:noWrap/>
            <w:hideMark/>
          </w:tcPr>
          <w:p w14:paraId="74BFDECF" w14:textId="77777777" w:rsidR="001C19A4" w:rsidRPr="005248FB" w:rsidRDefault="001C19A4" w:rsidP="005F27A6">
            <w:pPr>
              <w:spacing w:after="0"/>
              <w:jc w:val="center"/>
              <w:rPr>
                <w:rFonts w:cs="Arial"/>
                <w:color w:val="000000"/>
              </w:rPr>
            </w:pPr>
            <w:r>
              <w:rPr>
                <w:rFonts w:cs="Arial"/>
                <w:color w:val="000000"/>
              </w:rPr>
              <w:t>3</w:t>
            </w:r>
          </w:p>
        </w:tc>
        <w:tc>
          <w:tcPr>
            <w:tcW w:w="1125" w:type="dxa"/>
            <w:noWrap/>
            <w:hideMark/>
          </w:tcPr>
          <w:p w14:paraId="7FD3B357" w14:textId="77777777" w:rsidR="001C19A4" w:rsidRPr="005248FB" w:rsidRDefault="001C19A4" w:rsidP="005F27A6">
            <w:pPr>
              <w:spacing w:after="0"/>
              <w:jc w:val="center"/>
              <w:rPr>
                <w:rFonts w:cs="Arial"/>
                <w:color w:val="000000"/>
              </w:rPr>
            </w:pPr>
            <w:r>
              <w:rPr>
                <w:rFonts w:cs="Arial"/>
                <w:color w:val="000000"/>
              </w:rPr>
              <w:t>1</w:t>
            </w:r>
          </w:p>
        </w:tc>
      </w:tr>
      <w:tr w:rsidR="001C19A4" w:rsidRPr="005248FB" w14:paraId="576F2B3D" w14:textId="77777777" w:rsidTr="005F27A6">
        <w:trPr>
          <w:trHeight w:val="312"/>
        </w:trPr>
        <w:tc>
          <w:tcPr>
            <w:tcW w:w="1845" w:type="dxa"/>
            <w:noWrap/>
          </w:tcPr>
          <w:p w14:paraId="0694E41B" w14:textId="77777777" w:rsidR="001C19A4" w:rsidRPr="00D859B6" w:rsidRDefault="001C19A4" w:rsidP="005F27A6">
            <w:pPr>
              <w:spacing w:after="0"/>
            </w:pPr>
            <w:r>
              <w:t>College/Career</w:t>
            </w:r>
          </w:p>
        </w:tc>
        <w:tc>
          <w:tcPr>
            <w:tcW w:w="1164" w:type="dxa"/>
            <w:noWrap/>
          </w:tcPr>
          <w:p w14:paraId="18FF8BF2" w14:textId="77777777" w:rsidR="001C19A4" w:rsidRPr="00EA13B4" w:rsidRDefault="001C19A4" w:rsidP="005F27A6">
            <w:pPr>
              <w:spacing w:after="0"/>
              <w:jc w:val="center"/>
            </w:pPr>
            <w:r>
              <w:t>4</w:t>
            </w:r>
          </w:p>
        </w:tc>
        <w:tc>
          <w:tcPr>
            <w:tcW w:w="1125" w:type="dxa"/>
            <w:noWrap/>
          </w:tcPr>
          <w:p w14:paraId="1EA875DE" w14:textId="77777777" w:rsidR="001C19A4" w:rsidRPr="00EA13B4" w:rsidRDefault="001C19A4" w:rsidP="005F27A6">
            <w:pPr>
              <w:spacing w:after="0"/>
              <w:jc w:val="center"/>
            </w:pPr>
            <w:r>
              <w:t>0</w:t>
            </w:r>
          </w:p>
        </w:tc>
        <w:tc>
          <w:tcPr>
            <w:tcW w:w="1125" w:type="dxa"/>
            <w:noWrap/>
          </w:tcPr>
          <w:p w14:paraId="3FBE8CE8" w14:textId="77777777" w:rsidR="001C19A4" w:rsidRPr="00EA13B4" w:rsidRDefault="001C19A4" w:rsidP="005F27A6">
            <w:pPr>
              <w:spacing w:after="0"/>
              <w:jc w:val="center"/>
            </w:pPr>
            <w:r>
              <w:t>1</w:t>
            </w:r>
          </w:p>
        </w:tc>
        <w:tc>
          <w:tcPr>
            <w:tcW w:w="1125" w:type="dxa"/>
            <w:noWrap/>
          </w:tcPr>
          <w:p w14:paraId="0C307029" w14:textId="77777777" w:rsidR="001C19A4" w:rsidRPr="00EA13B4" w:rsidRDefault="001C19A4" w:rsidP="005F27A6">
            <w:pPr>
              <w:spacing w:after="0"/>
              <w:jc w:val="center"/>
            </w:pPr>
            <w:r>
              <w:t>1</w:t>
            </w:r>
          </w:p>
        </w:tc>
        <w:tc>
          <w:tcPr>
            <w:tcW w:w="1125" w:type="dxa"/>
            <w:noWrap/>
          </w:tcPr>
          <w:p w14:paraId="394B7A22" w14:textId="77777777" w:rsidR="001C19A4" w:rsidRPr="00EA13B4" w:rsidRDefault="001C19A4" w:rsidP="005F27A6">
            <w:pPr>
              <w:spacing w:after="0"/>
              <w:jc w:val="center"/>
            </w:pPr>
            <w:r>
              <w:t>2</w:t>
            </w:r>
          </w:p>
        </w:tc>
        <w:tc>
          <w:tcPr>
            <w:tcW w:w="1125" w:type="dxa"/>
            <w:noWrap/>
          </w:tcPr>
          <w:p w14:paraId="1F994EC2" w14:textId="77777777" w:rsidR="001C19A4" w:rsidRPr="00EA13B4" w:rsidRDefault="001C19A4" w:rsidP="005F27A6">
            <w:pPr>
              <w:spacing w:after="0"/>
              <w:jc w:val="center"/>
            </w:pPr>
            <w:r>
              <w:t>0</w:t>
            </w:r>
          </w:p>
        </w:tc>
      </w:tr>
    </w:tbl>
    <w:bookmarkEnd w:id="39"/>
    <w:p w14:paraId="5EDA96EE" w14:textId="77777777" w:rsidR="001C19A4" w:rsidRPr="00C25A5B" w:rsidRDefault="001C19A4" w:rsidP="005F27A6">
      <w:pPr>
        <w:spacing w:before="120"/>
        <w:ind w:left="720"/>
        <w:rPr>
          <w:rFonts w:cs="Arial"/>
          <w:b/>
          <w:i/>
        </w:rPr>
      </w:pPr>
      <w:r w:rsidRPr="00C25A5B">
        <w:rPr>
          <w:rFonts w:cs="Arial"/>
          <w:b/>
          <w:i/>
        </w:rPr>
        <w:t>Source: California School Dashboard (2019)</w:t>
      </w:r>
    </w:p>
    <w:p w14:paraId="02DD0527" w14:textId="77777777" w:rsidR="001C19A4" w:rsidRDefault="001C19A4" w:rsidP="005F27A6">
      <w:pPr>
        <w:spacing w:before="240"/>
        <w:ind w:left="720"/>
      </w:pPr>
      <w:r>
        <w:t xml:space="preserve">Table 5a shows that, at the district level, the existing Mt. Diablo USD is ranked in the Orange (second from lowest) tier for three of these indicators and yellow for the fourth indicator, College-Career Placement. Tables 5c and 5d show that the Northgate USD schools collectively have high academic performance and they outperform the majority of the schools in the remaining portion of the Mt. Diablo USD. All five of the schools in the Northgate USD territory were ranked in the top two performance level tiers (blue and green) for English Language Arts, Mathematics, and Graduation Rates. In contrast, only 31.5 percent of the remaining schools ranked in the top two tiers for English Language Arts, 28.2 percent ranked in the top two tiers in Mathematics, and 57 percent ranked in the top two tiers for graduation rates. </w:t>
      </w:r>
    </w:p>
    <w:p w14:paraId="741B50BA" w14:textId="74F82648" w:rsidR="001C19A4" w:rsidRPr="00CF0F87" w:rsidRDefault="001C19A4" w:rsidP="00AF653A">
      <w:pPr>
        <w:pStyle w:val="Heading4"/>
        <w:numPr>
          <w:ilvl w:val="0"/>
          <w:numId w:val="45"/>
        </w:numPr>
        <w:ind w:left="720"/>
      </w:pPr>
      <w:r w:rsidRPr="00CF0F87">
        <w:t>Alternative Education</w:t>
      </w:r>
    </w:p>
    <w:p w14:paraId="56F4EC2D" w14:textId="77777777" w:rsidR="001C19A4" w:rsidRDefault="001C19A4" w:rsidP="005F27A6">
      <w:pPr>
        <w:ind w:left="720"/>
        <w:rPr>
          <w:rFonts w:cs="Arial"/>
        </w:rPr>
      </w:pPr>
      <w:r>
        <w:rPr>
          <w:rFonts w:cs="Arial"/>
        </w:rPr>
        <w:t xml:space="preserve">As noted previously, districtwide continuation high and community day school programs are located in facilities within the remaining portion of the Mt. Diablo USD. If the proposal to form a new unified school district from the Northgate area is approved, the new district eventually will need to provide facilities to house its students in these programs. </w:t>
      </w:r>
    </w:p>
    <w:p w14:paraId="0D156DD1" w14:textId="68F1E79F" w:rsidR="001C19A4" w:rsidRPr="008A1647" w:rsidRDefault="001C19A4" w:rsidP="00AF653A">
      <w:pPr>
        <w:pStyle w:val="Heading4"/>
        <w:numPr>
          <w:ilvl w:val="0"/>
          <w:numId w:val="45"/>
        </w:numPr>
        <w:ind w:left="720"/>
      </w:pPr>
      <w:r w:rsidRPr="008A1647">
        <w:t>Special Education</w:t>
      </w:r>
    </w:p>
    <w:p w14:paraId="0A229AE2" w14:textId="77777777" w:rsidR="001C19A4" w:rsidRDefault="001C19A4" w:rsidP="005F27A6">
      <w:pPr>
        <w:ind w:left="720"/>
        <w:rPr>
          <w:rFonts w:cs="Arial"/>
        </w:rPr>
      </w:pPr>
      <w:r>
        <w:rPr>
          <w:rFonts w:cs="Arial"/>
        </w:rPr>
        <w:t xml:space="preserve">Mt. Diablo USD is not a member of the </w:t>
      </w:r>
      <w:r>
        <w:rPr>
          <w:rStyle w:val="Strong"/>
          <w:b w:val="0"/>
        </w:rPr>
        <w:t xml:space="preserve">Contra Costa County Office of Education Special Education Local Plan Area (SELPA). Instead, it operates its own </w:t>
      </w:r>
      <w:r>
        <w:rPr>
          <w:rFonts w:cs="Arial"/>
        </w:rPr>
        <w:t xml:space="preserve">special education program and serves approximately 4,000 students according to the 2018 CALPADS report. Mt Diablo USD could relocate its autism magnet programs from the Northgate area schools to sites elsewhere in the remaining </w:t>
      </w:r>
      <w:r>
        <w:rPr>
          <w:rFonts w:cs="Arial"/>
        </w:rPr>
        <w:lastRenderedPageBreak/>
        <w:t xml:space="preserve">portion of its territory. </w:t>
      </w:r>
      <w:r>
        <w:rPr>
          <w:rStyle w:val="Strong"/>
          <w:b w:val="0"/>
        </w:rPr>
        <w:t xml:space="preserve">Mt. Diablo USD has indicated that a portion of Northgate USD students attend special education programs at sites outside of the Northgate area, and it may be difficult to accept all of the Northgate students into its programs should the reorganization occur. In that case, these students would then return to their district of residence for service. </w:t>
      </w:r>
    </w:p>
    <w:p w14:paraId="6C9C8D2A" w14:textId="77777777" w:rsidR="001C19A4" w:rsidRPr="00FE2211" w:rsidRDefault="001C19A4" w:rsidP="005F27A6">
      <w:pPr>
        <w:ind w:left="720"/>
        <w:rPr>
          <w:rFonts w:cs="Arial"/>
        </w:rPr>
      </w:pPr>
      <w:r>
        <w:rPr>
          <w:rStyle w:val="Strong"/>
          <w:b w:val="0"/>
        </w:rPr>
        <w:t xml:space="preserve">To serve its special education students, the proposed Northgate USD will need to create its own special education program or become a member of the Contra Costa County Office of Education Special Education Local Plan Area. Mt. Diablo USD estimates there are less than 300 special education students who reside in the Northgate area. A new Northgate USD would likely apply for member status in the Contra Costa County SELPA in order to provide services for its students with disabilities. </w:t>
      </w:r>
    </w:p>
    <w:p w14:paraId="4CE085E2" w14:textId="77777777" w:rsidR="001C19A4" w:rsidRPr="00F00B3E" w:rsidRDefault="001C19A4" w:rsidP="000A33F9">
      <w:pPr>
        <w:pStyle w:val="Heading3"/>
        <w:numPr>
          <w:ilvl w:val="1"/>
          <w:numId w:val="40"/>
        </w:numPr>
        <w:ind w:left="720" w:hanging="720"/>
      </w:pPr>
      <w:r>
        <w:t xml:space="preserve">High School </w:t>
      </w:r>
      <w:r w:rsidRPr="00F00B3E">
        <w:t xml:space="preserve">Programs </w:t>
      </w:r>
    </w:p>
    <w:p w14:paraId="5C7D123B" w14:textId="465DB1BB" w:rsidR="001C19A4" w:rsidRPr="00AE454F" w:rsidRDefault="001C19A4" w:rsidP="009C6E70">
      <w:pPr>
        <w:ind w:left="720"/>
        <w:rPr>
          <w:rFonts w:cs="Arial"/>
        </w:rPr>
      </w:pPr>
      <w:r w:rsidRPr="00AE454F">
        <w:rPr>
          <w:rFonts w:cs="Arial"/>
        </w:rPr>
        <w:t xml:space="preserve">If the proposed Northgate USD is approved, there will be few if any changes to the composition of the current high school in the Northgate area. </w:t>
      </w:r>
      <w:r>
        <w:rPr>
          <w:rFonts w:cs="Arial"/>
        </w:rPr>
        <w:t>It</w:t>
      </w:r>
      <w:r w:rsidRPr="00AE454F">
        <w:rPr>
          <w:rFonts w:cs="Arial"/>
        </w:rPr>
        <w:t xml:space="preserve"> will serve essentially the same student populations, and staffing and educational programs </w:t>
      </w:r>
      <w:r>
        <w:rPr>
          <w:rFonts w:cs="Arial"/>
        </w:rPr>
        <w:t>could</w:t>
      </w:r>
      <w:r w:rsidRPr="00AE454F">
        <w:rPr>
          <w:rFonts w:cs="Arial"/>
        </w:rPr>
        <w:t xml:space="preserve"> remain very similar to what they were prior to the reorganization.</w:t>
      </w:r>
      <w:r w:rsidRPr="00D049A2">
        <w:rPr>
          <w:rStyle w:val="FootnoteReference"/>
          <w:rFonts w:cs="Arial"/>
          <w:vertAlign w:val="superscript"/>
        </w:rPr>
        <w:footnoteReference w:id="12"/>
      </w:r>
      <w:r>
        <w:rPr>
          <w:rFonts w:cs="Arial"/>
        </w:rPr>
        <w:t xml:space="preserve"> The most notable impact to the remaining high schools would be due to the </w:t>
      </w:r>
      <w:r w:rsidRPr="00AE454F">
        <w:rPr>
          <w:rFonts w:cs="Arial"/>
        </w:rPr>
        <w:t>removal of Ygnacio Valley High from the Mt. Diablo USD</w:t>
      </w:r>
      <w:r>
        <w:rPr>
          <w:rFonts w:cs="Arial"/>
        </w:rPr>
        <w:t xml:space="preserve">. The school site is within the territory of the proposed Northgate USD. Therefore, all </w:t>
      </w:r>
      <w:r w:rsidRPr="00AE454F">
        <w:rPr>
          <w:rFonts w:cs="Arial"/>
        </w:rPr>
        <w:t xml:space="preserve">students and programs at this school would need to be relocated to the remaining comprehensive high schools of the Mt. Diablo USD. </w:t>
      </w:r>
      <w:r w:rsidRPr="004C161D">
        <w:rPr>
          <w:rFonts w:cs="Arial"/>
        </w:rPr>
        <w:t>The attendance areas and course offerings for</w:t>
      </w:r>
      <w:r>
        <w:rPr>
          <w:rFonts w:cs="Arial"/>
        </w:rPr>
        <w:t xml:space="preserve"> the remaining</w:t>
      </w:r>
      <w:r w:rsidRPr="004C161D">
        <w:rPr>
          <w:rFonts w:cs="Arial"/>
        </w:rPr>
        <w:t xml:space="preserve"> three high schools, College Park High, Concord High and Mt. Diablo High</w:t>
      </w:r>
      <w:r>
        <w:rPr>
          <w:rFonts w:cs="Arial"/>
        </w:rPr>
        <w:t>,</w:t>
      </w:r>
      <w:r w:rsidRPr="004C161D">
        <w:rPr>
          <w:rFonts w:cs="Arial"/>
        </w:rPr>
        <w:t xml:space="preserve"> will need to be adjusted to reflect the loss of the Ygnacio Valley High site. </w:t>
      </w:r>
      <w:r w:rsidRPr="00AE454F">
        <w:rPr>
          <w:rFonts w:cs="Arial"/>
        </w:rPr>
        <w:t>The Mt. Diablo USD has indicated it does not current</w:t>
      </w:r>
      <w:r>
        <w:rPr>
          <w:rFonts w:cs="Arial"/>
        </w:rPr>
        <w:t>ly</w:t>
      </w:r>
      <w:r w:rsidRPr="00AE454F">
        <w:rPr>
          <w:rFonts w:cs="Arial"/>
        </w:rPr>
        <w:t xml:space="preserve"> have capacity at the remaining </w:t>
      </w:r>
      <w:r>
        <w:rPr>
          <w:rFonts w:cs="Arial"/>
        </w:rPr>
        <w:t xml:space="preserve">high </w:t>
      </w:r>
      <w:r w:rsidRPr="00AE454F">
        <w:rPr>
          <w:rFonts w:cs="Arial"/>
        </w:rPr>
        <w:t xml:space="preserve">schools to accommodate all 1,200 displaced students and would need to </w:t>
      </w:r>
      <w:r>
        <w:rPr>
          <w:rFonts w:cs="Arial"/>
        </w:rPr>
        <w:t>provide</w:t>
      </w:r>
      <w:r w:rsidRPr="00AE454F">
        <w:rPr>
          <w:rFonts w:cs="Arial"/>
        </w:rPr>
        <w:t xml:space="preserve"> facilities to hous</w:t>
      </w:r>
      <w:r>
        <w:rPr>
          <w:rFonts w:cs="Arial"/>
        </w:rPr>
        <w:t xml:space="preserve">e most of </w:t>
      </w:r>
      <w:r w:rsidRPr="00AE454F">
        <w:rPr>
          <w:rFonts w:cs="Arial"/>
        </w:rPr>
        <w:t>them.</w:t>
      </w:r>
      <w:r>
        <w:rPr>
          <w:rFonts w:cs="Arial"/>
        </w:rPr>
        <w:t xml:space="preserve"> The demographic analysis indicates approximately 20 percent of the Northgate High enrollment comes from students living outside the school’s attendance area. </w:t>
      </w:r>
    </w:p>
    <w:p w14:paraId="45314730" w14:textId="77777777" w:rsidR="001C19A4" w:rsidRPr="00447533" w:rsidRDefault="001C19A4" w:rsidP="000A33F9">
      <w:pPr>
        <w:pStyle w:val="Heading4"/>
        <w:numPr>
          <w:ilvl w:val="0"/>
          <w:numId w:val="20"/>
        </w:numPr>
      </w:pPr>
      <w:r w:rsidRPr="00447533">
        <w:t>Advanced Placement Courses</w:t>
      </w:r>
    </w:p>
    <w:p w14:paraId="0E84C98B" w14:textId="77777777" w:rsidR="001C19A4" w:rsidRDefault="001C19A4" w:rsidP="005F27A6">
      <w:pPr>
        <w:ind w:left="720"/>
        <w:rPr>
          <w:rFonts w:cs="Arial"/>
        </w:rPr>
      </w:pPr>
      <w:r w:rsidRPr="00A1161F">
        <w:rPr>
          <w:rFonts w:cs="Arial"/>
        </w:rPr>
        <w:t xml:space="preserve">The </w:t>
      </w:r>
      <w:r>
        <w:rPr>
          <w:rFonts w:cs="Arial"/>
        </w:rPr>
        <w:t>Advanced Placement (</w:t>
      </w:r>
      <w:r w:rsidRPr="00A1161F">
        <w:rPr>
          <w:rFonts w:cs="Arial"/>
        </w:rPr>
        <w:t>AP</w:t>
      </w:r>
      <w:r>
        <w:rPr>
          <w:rFonts w:cs="Arial"/>
        </w:rPr>
        <w:t>)</w:t>
      </w:r>
      <w:r w:rsidRPr="00A1161F">
        <w:rPr>
          <w:rFonts w:cs="Arial"/>
        </w:rPr>
        <w:t xml:space="preserve"> test program </w:t>
      </w:r>
      <w:r>
        <w:rPr>
          <w:rFonts w:cs="Arial"/>
        </w:rPr>
        <w:t>is</w:t>
      </w:r>
      <w:r w:rsidRPr="00A1161F">
        <w:rPr>
          <w:rFonts w:cs="Arial"/>
        </w:rPr>
        <w:t xml:space="preserve"> administered by the College Board</w:t>
      </w:r>
      <w:r>
        <w:rPr>
          <w:rFonts w:cs="Arial"/>
        </w:rPr>
        <w:t>,</w:t>
      </w:r>
      <w:r w:rsidRPr="00A1161F">
        <w:rPr>
          <w:rFonts w:cs="Arial"/>
        </w:rPr>
        <w:t xml:space="preserve"> a non-profit organization</w:t>
      </w:r>
      <w:r>
        <w:rPr>
          <w:rFonts w:cs="Arial"/>
        </w:rPr>
        <w:t xml:space="preserve"> with a mission to help prepare high school students</w:t>
      </w:r>
      <w:r w:rsidRPr="00CF2CA7">
        <w:rPr>
          <w:rFonts w:cs="Arial"/>
        </w:rPr>
        <w:t xml:space="preserve"> for college</w:t>
      </w:r>
      <w:r>
        <w:rPr>
          <w:rFonts w:cs="Arial"/>
        </w:rPr>
        <w:t xml:space="preserve">. </w:t>
      </w:r>
      <w:r w:rsidRPr="00A1161F">
        <w:rPr>
          <w:rFonts w:cs="Arial"/>
        </w:rPr>
        <w:t xml:space="preserve">AP courses are </w:t>
      </w:r>
      <w:r>
        <w:rPr>
          <w:rFonts w:cs="Arial"/>
        </w:rPr>
        <w:t xml:space="preserve">intended to be offered by high schools as </w:t>
      </w:r>
      <w:r w:rsidRPr="00A1161F">
        <w:rPr>
          <w:rFonts w:cs="Arial"/>
        </w:rPr>
        <w:t>rigorous, college-level classes in a variety of subjects</w:t>
      </w:r>
      <w:r>
        <w:rPr>
          <w:rFonts w:cs="Arial"/>
        </w:rPr>
        <w:t xml:space="preserve">. </w:t>
      </w:r>
      <w:r w:rsidRPr="00A1161F">
        <w:rPr>
          <w:rFonts w:cs="Arial"/>
        </w:rPr>
        <w:t xml:space="preserve">For a course to </w:t>
      </w:r>
      <w:r>
        <w:rPr>
          <w:rFonts w:cs="Arial"/>
        </w:rPr>
        <w:t xml:space="preserve">be </w:t>
      </w:r>
      <w:r>
        <w:rPr>
          <w:rFonts w:cs="Arial"/>
        </w:rPr>
        <w:lastRenderedPageBreak/>
        <w:t>designated as AP</w:t>
      </w:r>
      <w:r w:rsidRPr="00A1161F">
        <w:rPr>
          <w:rFonts w:cs="Arial"/>
        </w:rPr>
        <w:t xml:space="preserve">, the College Board </w:t>
      </w:r>
      <w:r>
        <w:rPr>
          <w:rFonts w:cs="Arial"/>
        </w:rPr>
        <w:t>must determine</w:t>
      </w:r>
      <w:r w:rsidRPr="00A1161F">
        <w:rPr>
          <w:rFonts w:cs="Arial"/>
        </w:rPr>
        <w:t xml:space="preserve"> that it </w:t>
      </w:r>
      <w:r>
        <w:rPr>
          <w:rFonts w:cs="Arial"/>
        </w:rPr>
        <w:t xml:space="preserve">meets requirements of the </w:t>
      </w:r>
      <w:r w:rsidRPr="00A1161F">
        <w:rPr>
          <w:rFonts w:cs="Arial"/>
        </w:rPr>
        <w:t>AP curriculum.</w:t>
      </w:r>
    </w:p>
    <w:p w14:paraId="17348974" w14:textId="77777777" w:rsidR="001C19A4" w:rsidRPr="00656C99" w:rsidRDefault="001C19A4" w:rsidP="009C6E70">
      <w:pPr>
        <w:pStyle w:val="Heading4"/>
        <w:ind w:left="720"/>
      </w:pPr>
      <w:r w:rsidRPr="00E34DBB">
        <w:t xml:space="preserve">Table </w:t>
      </w:r>
      <w:r>
        <w:t>6</w:t>
      </w:r>
      <w:r w:rsidRPr="00E34DBB">
        <w:t xml:space="preserve">a: AP Course Offerings </w:t>
      </w:r>
      <w:r>
        <w:t>by High School in 2019–20</w:t>
      </w:r>
      <w:r>
        <w:rPr>
          <w:rStyle w:val="FootnoteReference"/>
          <w:b w:val="0"/>
        </w:rPr>
        <w:footnoteReference w:id="13"/>
      </w:r>
    </w:p>
    <w:tbl>
      <w:tblPr>
        <w:tblStyle w:val="TableGridLight"/>
        <w:tblW w:w="8635" w:type="dxa"/>
        <w:tblInd w:w="715" w:type="dxa"/>
        <w:tblCellMar>
          <w:top w:w="115" w:type="dxa"/>
          <w:left w:w="115" w:type="dxa"/>
          <w:bottom w:w="115" w:type="dxa"/>
          <w:right w:w="115" w:type="dxa"/>
        </w:tblCellMar>
        <w:tblLook w:val="04A0" w:firstRow="1" w:lastRow="0" w:firstColumn="1" w:lastColumn="0" w:noHBand="0" w:noVBand="1"/>
        <w:tblDescription w:val="Table 6a provides the number of 2019-20 Advanced Placement course offerings by subject for each comprehensive high school in the existing Mt. Diablo USD. "/>
      </w:tblPr>
      <w:tblGrid>
        <w:gridCol w:w="2529"/>
        <w:gridCol w:w="1097"/>
        <w:gridCol w:w="1257"/>
        <w:gridCol w:w="1147"/>
        <w:gridCol w:w="1364"/>
        <w:gridCol w:w="1241"/>
      </w:tblGrid>
      <w:tr w:rsidR="001C19A4" w:rsidRPr="00A36D29" w14:paraId="0E62B552" w14:textId="77777777" w:rsidTr="005F27A6">
        <w:trPr>
          <w:tblHeader/>
        </w:trPr>
        <w:tc>
          <w:tcPr>
            <w:tcW w:w="2610" w:type="dxa"/>
            <w:shd w:val="clear" w:color="auto" w:fill="E7E6E6" w:themeFill="background2"/>
            <w:vAlign w:val="center"/>
          </w:tcPr>
          <w:p w14:paraId="5589E435" w14:textId="77777777" w:rsidR="001C19A4" w:rsidRPr="00A36D29" w:rsidRDefault="001C19A4" w:rsidP="005F27A6">
            <w:pPr>
              <w:spacing w:after="0"/>
              <w:jc w:val="center"/>
              <w:rPr>
                <w:rFonts w:cs="Arial"/>
                <w:b/>
              </w:rPr>
            </w:pPr>
            <w:r w:rsidRPr="00A36D29">
              <w:rPr>
                <w:rFonts w:cs="Arial"/>
                <w:b/>
              </w:rPr>
              <w:t>AP Course</w:t>
            </w:r>
          </w:p>
        </w:tc>
        <w:tc>
          <w:tcPr>
            <w:tcW w:w="990" w:type="dxa"/>
            <w:shd w:val="clear" w:color="auto" w:fill="E7E6E6" w:themeFill="background2"/>
            <w:vAlign w:val="center"/>
          </w:tcPr>
          <w:p w14:paraId="2604A085" w14:textId="77777777" w:rsidR="001C19A4" w:rsidRPr="00A36D29" w:rsidRDefault="001C19A4" w:rsidP="005F27A6">
            <w:pPr>
              <w:spacing w:after="0"/>
              <w:jc w:val="center"/>
              <w:rPr>
                <w:rFonts w:cs="Arial"/>
                <w:b/>
              </w:rPr>
            </w:pPr>
            <w:r>
              <w:rPr>
                <w:rFonts w:cs="Arial"/>
                <w:b/>
              </w:rPr>
              <w:t>College Park High</w:t>
            </w:r>
          </w:p>
        </w:tc>
        <w:tc>
          <w:tcPr>
            <w:tcW w:w="1260" w:type="dxa"/>
            <w:shd w:val="clear" w:color="auto" w:fill="E7E6E6" w:themeFill="background2"/>
            <w:vAlign w:val="center"/>
          </w:tcPr>
          <w:p w14:paraId="1A8ECAF0" w14:textId="77777777" w:rsidR="001C19A4" w:rsidRPr="00A36D29" w:rsidRDefault="001C19A4" w:rsidP="005F27A6">
            <w:pPr>
              <w:spacing w:after="0"/>
              <w:jc w:val="center"/>
              <w:rPr>
                <w:rFonts w:cs="Arial"/>
                <w:b/>
              </w:rPr>
            </w:pPr>
            <w:r>
              <w:rPr>
                <w:rFonts w:cs="Arial"/>
                <w:b/>
              </w:rPr>
              <w:t>Concord High</w:t>
            </w:r>
          </w:p>
        </w:tc>
        <w:tc>
          <w:tcPr>
            <w:tcW w:w="1163" w:type="dxa"/>
            <w:shd w:val="clear" w:color="auto" w:fill="E7E6E6" w:themeFill="background2"/>
            <w:vAlign w:val="center"/>
          </w:tcPr>
          <w:p w14:paraId="730C0AA3" w14:textId="77777777" w:rsidR="001C19A4" w:rsidRPr="00A36D29" w:rsidRDefault="001C19A4" w:rsidP="005F27A6">
            <w:pPr>
              <w:spacing w:after="0"/>
              <w:jc w:val="center"/>
              <w:rPr>
                <w:rFonts w:cs="Arial"/>
                <w:b/>
              </w:rPr>
            </w:pPr>
            <w:r>
              <w:rPr>
                <w:rFonts w:cs="Arial"/>
                <w:b/>
              </w:rPr>
              <w:t>Mt. Diablo High</w:t>
            </w:r>
          </w:p>
        </w:tc>
        <w:tc>
          <w:tcPr>
            <w:tcW w:w="1364" w:type="dxa"/>
            <w:shd w:val="clear" w:color="auto" w:fill="E7E6E6" w:themeFill="background2"/>
            <w:vAlign w:val="center"/>
          </w:tcPr>
          <w:p w14:paraId="30010AEC" w14:textId="77777777" w:rsidR="001C19A4" w:rsidRPr="00A36D29" w:rsidRDefault="001C19A4" w:rsidP="005F27A6">
            <w:pPr>
              <w:spacing w:after="0"/>
              <w:jc w:val="center"/>
              <w:rPr>
                <w:rFonts w:cs="Arial"/>
                <w:b/>
              </w:rPr>
            </w:pPr>
            <w:r>
              <w:rPr>
                <w:rFonts w:cs="Arial"/>
                <w:b/>
              </w:rPr>
              <w:t>Northgate High</w:t>
            </w:r>
          </w:p>
        </w:tc>
        <w:tc>
          <w:tcPr>
            <w:tcW w:w="1248" w:type="dxa"/>
            <w:shd w:val="clear" w:color="auto" w:fill="E7E6E6" w:themeFill="background2"/>
            <w:vAlign w:val="center"/>
          </w:tcPr>
          <w:p w14:paraId="330CD561" w14:textId="77777777" w:rsidR="001C19A4" w:rsidRPr="00A36D29" w:rsidRDefault="001C19A4" w:rsidP="005F27A6">
            <w:pPr>
              <w:spacing w:after="0"/>
              <w:jc w:val="center"/>
              <w:rPr>
                <w:rFonts w:cs="Arial"/>
                <w:b/>
              </w:rPr>
            </w:pPr>
            <w:r>
              <w:rPr>
                <w:rFonts w:cs="Arial"/>
                <w:b/>
              </w:rPr>
              <w:t>Ygnacio Valley High</w:t>
            </w:r>
          </w:p>
        </w:tc>
      </w:tr>
      <w:tr w:rsidR="001C19A4" w:rsidRPr="00A36D29" w14:paraId="7D7F3D10" w14:textId="77777777" w:rsidTr="005F27A6">
        <w:trPr>
          <w:trHeight w:val="360"/>
        </w:trPr>
        <w:tc>
          <w:tcPr>
            <w:tcW w:w="2610" w:type="dxa"/>
            <w:vAlign w:val="center"/>
          </w:tcPr>
          <w:p w14:paraId="7BD2BE69" w14:textId="77777777" w:rsidR="001C19A4" w:rsidRPr="00A36D29" w:rsidRDefault="001C19A4" w:rsidP="005F27A6">
            <w:pPr>
              <w:spacing w:after="0"/>
              <w:rPr>
                <w:rFonts w:cs="Arial"/>
              </w:rPr>
            </w:pPr>
            <w:r>
              <w:rPr>
                <w:rFonts w:cs="Arial"/>
              </w:rPr>
              <w:t>Computer Science</w:t>
            </w:r>
          </w:p>
        </w:tc>
        <w:tc>
          <w:tcPr>
            <w:tcW w:w="990" w:type="dxa"/>
            <w:vAlign w:val="center"/>
          </w:tcPr>
          <w:p w14:paraId="5EDFC81D" w14:textId="77777777" w:rsidR="001C19A4" w:rsidRPr="00A36D29" w:rsidRDefault="001C19A4" w:rsidP="005F27A6">
            <w:pPr>
              <w:spacing w:after="0"/>
              <w:jc w:val="center"/>
              <w:rPr>
                <w:rFonts w:cs="Arial"/>
              </w:rPr>
            </w:pPr>
            <w:r>
              <w:rPr>
                <w:rFonts w:cs="Arial"/>
              </w:rPr>
              <w:t>1</w:t>
            </w:r>
          </w:p>
        </w:tc>
        <w:tc>
          <w:tcPr>
            <w:tcW w:w="1260" w:type="dxa"/>
            <w:vAlign w:val="center"/>
          </w:tcPr>
          <w:p w14:paraId="4A0CF80C" w14:textId="77777777" w:rsidR="001C19A4" w:rsidRPr="00A36D29" w:rsidRDefault="001C19A4" w:rsidP="005F27A6">
            <w:pPr>
              <w:spacing w:after="0"/>
              <w:jc w:val="center"/>
              <w:rPr>
                <w:rFonts w:cs="Arial"/>
              </w:rPr>
            </w:pPr>
            <w:r>
              <w:rPr>
                <w:rFonts w:cs="Arial"/>
              </w:rPr>
              <w:t>0</w:t>
            </w:r>
          </w:p>
        </w:tc>
        <w:tc>
          <w:tcPr>
            <w:tcW w:w="1163" w:type="dxa"/>
            <w:vAlign w:val="center"/>
          </w:tcPr>
          <w:p w14:paraId="6E94B355" w14:textId="77777777" w:rsidR="001C19A4" w:rsidRPr="00A36D29" w:rsidRDefault="001C19A4" w:rsidP="005F27A6">
            <w:pPr>
              <w:spacing w:after="0"/>
              <w:jc w:val="center"/>
              <w:rPr>
                <w:rFonts w:cs="Arial"/>
              </w:rPr>
            </w:pPr>
            <w:r>
              <w:rPr>
                <w:rFonts w:cs="Arial"/>
              </w:rPr>
              <w:t>0</w:t>
            </w:r>
          </w:p>
        </w:tc>
        <w:tc>
          <w:tcPr>
            <w:tcW w:w="1364" w:type="dxa"/>
            <w:vAlign w:val="center"/>
          </w:tcPr>
          <w:p w14:paraId="59B0AEF3" w14:textId="77777777" w:rsidR="001C19A4" w:rsidRPr="00A36D29" w:rsidRDefault="001C19A4" w:rsidP="005F27A6">
            <w:pPr>
              <w:spacing w:after="0"/>
              <w:jc w:val="center"/>
              <w:rPr>
                <w:rFonts w:cs="Arial"/>
              </w:rPr>
            </w:pPr>
            <w:r>
              <w:rPr>
                <w:rFonts w:cs="Arial"/>
              </w:rPr>
              <w:t>0</w:t>
            </w:r>
          </w:p>
        </w:tc>
        <w:tc>
          <w:tcPr>
            <w:tcW w:w="1248" w:type="dxa"/>
            <w:vAlign w:val="center"/>
          </w:tcPr>
          <w:p w14:paraId="6A348FD8" w14:textId="77777777" w:rsidR="001C19A4" w:rsidRPr="00A36D29" w:rsidRDefault="001C19A4" w:rsidP="005F27A6">
            <w:pPr>
              <w:spacing w:after="0"/>
              <w:jc w:val="center"/>
              <w:rPr>
                <w:rFonts w:cs="Arial"/>
              </w:rPr>
            </w:pPr>
            <w:r>
              <w:rPr>
                <w:rFonts w:cs="Arial"/>
              </w:rPr>
              <w:t>0</w:t>
            </w:r>
          </w:p>
        </w:tc>
      </w:tr>
      <w:tr w:rsidR="001C19A4" w:rsidRPr="00A36D29" w14:paraId="782575A4" w14:textId="77777777" w:rsidTr="005F27A6">
        <w:trPr>
          <w:trHeight w:val="360"/>
        </w:trPr>
        <w:tc>
          <w:tcPr>
            <w:tcW w:w="2610" w:type="dxa"/>
            <w:vAlign w:val="center"/>
          </w:tcPr>
          <w:p w14:paraId="155688B9" w14:textId="77777777" w:rsidR="001C19A4" w:rsidRPr="00A36D29" w:rsidRDefault="001C19A4" w:rsidP="005F27A6">
            <w:pPr>
              <w:spacing w:after="0"/>
              <w:rPr>
                <w:rFonts w:cs="Arial"/>
              </w:rPr>
            </w:pPr>
            <w:bookmarkStart w:id="40" w:name="_Hlk94168760"/>
            <w:r>
              <w:rPr>
                <w:rFonts w:cs="Arial"/>
              </w:rPr>
              <w:t>English</w:t>
            </w:r>
          </w:p>
        </w:tc>
        <w:tc>
          <w:tcPr>
            <w:tcW w:w="990" w:type="dxa"/>
            <w:vAlign w:val="center"/>
          </w:tcPr>
          <w:p w14:paraId="33C7E910" w14:textId="77777777" w:rsidR="001C19A4" w:rsidRPr="00A36D29" w:rsidRDefault="001C19A4" w:rsidP="005F27A6">
            <w:pPr>
              <w:spacing w:after="0"/>
              <w:jc w:val="center"/>
              <w:rPr>
                <w:rFonts w:cs="Arial"/>
              </w:rPr>
            </w:pPr>
            <w:r>
              <w:rPr>
                <w:rFonts w:cs="Arial"/>
              </w:rPr>
              <w:t>6</w:t>
            </w:r>
          </w:p>
        </w:tc>
        <w:tc>
          <w:tcPr>
            <w:tcW w:w="1260" w:type="dxa"/>
            <w:vAlign w:val="center"/>
          </w:tcPr>
          <w:p w14:paraId="1744EC12" w14:textId="77777777" w:rsidR="001C19A4" w:rsidRPr="00A36D29" w:rsidRDefault="001C19A4" w:rsidP="005F27A6">
            <w:pPr>
              <w:spacing w:after="0"/>
              <w:jc w:val="center"/>
              <w:rPr>
                <w:rFonts w:cs="Arial"/>
              </w:rPr>
            </w:pPr>
            <w:r>
              <w:rPr>
                <w:rFonts w:cs="Arial"/>
              </w:rPr>
              <w:t>4</w:t>
            </w:r>
          </w:p>
        </w:tc>
        <w:tc>
          <w:tcPr>
            <w:tcW w:w="1163" w:type="dxa"/>
            <w:vAlign w:val="center"/>
          </w:tcPr>
          <w:p w14:paraId="4A213F89" w14:textId="77777777" w:rsidR="001C19A4" w:rsidRPr="00A36D29" w:rsidRDefault="001C19A4" w:rsidP="005F27A6">
            <w:pPr>
              <w:spacing w:after="0"/>
              <w:jc w:val="center"/>
              <w:rPr>
                <w:rFonts w:cs="Arial"/>
              </w:rPr>
            </w:pPr>
            <w:r>
              <w:rPr>
                <w:rFonts w:cs="Arial"/>
              </w:rPr>
              <w:t>1</w:t>
            </w:r>
          </w:p>
        </w:tc>
        <w:tc>
          <w:tcPr>
            <w:tcW w:w="1364" w:type="dxa"/>
            <w:vAlign w:val="center"/>
          </w:tcPr>
          <w:p w14:paraId="788F522B" w14:textId="77777777" w:rsidR="001C19A4" w:rsidRPr="00A36D29" w:rsidRDefault="001C19A4" w:rsidP="005F27A6">
            <w:pPr>
              <w:spacing w:after="0"/>
              <w:jc w:val="center"/>
              <w:rPr>
                <w:rFonts w:cs="Arial"/>
              </w:rPr>
            </w:pPr>
            <w:r>
              <w:rPr>
                <w:rFonts w:cs="Arial"/>
              </w:rPr>
              <w:t>4</w:t>
            </w:r>
          </w:p>
        </w:tc>
        <w:tc>
          <w:tcPr>
            <w:tcW w:w="1248" w:type="dxa"/>
            <w:vAlign w:val="center"/>
          </w:tcPr>
          <w:p w14:paraId="2D502EF0" w14:textId="77777777" w:rsidR="001C19A4" w:rsidRPr="00A36D29" w:rsidRDefault="001C19A4" w:rsidP="005F27A6">
            <w:pPr>
              <w:spacing w:after="0"/>
              <w:jc w:val="center"/>
              <w:rPr>
                <w:rFonts w:cs="Arial"/>
              </w:rPr>
            </w:pPr>
            <w:r>
              <w:rPr>
                <w:rFonts w:cs="Arial"/>
              </w:rPr>
              <w:t>0</w:t>
            </w:r>
          </w:p>
        </w:tc>
      </w:tr>
      <w:tr w:rsidR="001C19A4" w:rsidRPr="00A36D29" w14:paraId="76C739A1" w14:textId="77777777" w:rsidTr="005F27A6">
        <w:trPr>
          <w:trHeight w:val="360"/>
        </w:trPr>
        <w:tc>
          <w:tcPr>
            <w:tcW w:w="2610" w:type="dxa"/>
            <w:vAlign w:val="center"/>
          </w:tcPr>
          <w:p w14:paraId="501F0738" w14:textId="77777777" w:rsidR="001C19A4" w:rsidRPr="00A36D29" w:rsidRDefault="001C19A4" w:rsidP="005F27A6">
            <w:pPr>
              <w:spacing w:after="0"/>
              <w:rPr>
                <w:rFonts w:cs="Arial"/>
              </w:rPr>
            </w:pPr>
            <w:r>
              <w:rPr>
                <w:rFonts w:cs="Arial"/>
              </w:rPr>
              <w:t>Fine and Performing Arts</w:t>
            </w:r>
          </w:p>
        </w:tc>
        <w:tc>
          <w:tcPr>
            <w:tcW w:w="990" w:type="dxa"/>
            <w:vAlign w:val="center"/>
          </w:tcPr>
          <w:p w14:paraId="5164C5E3" w14:textId="77777777" w:rsidR="001C19A4" w:rsidRDefault="001C19A4" w:rsidP="005F27A6">
            <w:pPr>
              <w:spacing w:after="0"/>
              <w:jc w:val="center"/>
              <w:rPr>
                <w:rFonts w:cs="Arial"/>
              </w:rPr>
            </w:pPr>
            <w:r>
              <w:rPr>
                <w:rFonts w:cs="Arial"/>
              </w:rPr>
              <w:t>0</w:t>
            </w:r>
          </w:p>
        </w:tc>
        <w:tc>
          <w:tcPr>
            <w:tcW w:w="1260" w:type="dxa"/>
            <w:vAlign w:val="center"/>
          </w:tcPr>
          <w:p w14:paraId="22086770" w14:textId="77777777" w:rsidR="001C19A4" w:rsidRPr="00A36D29" w:rsidRDefault="001C19A4" w:rsidP="005F27A6">
            <w:pPr>
              <w:spacing w:after="0"/>
              <w:jc w:val="center"/>
              <w:rPr>
                <w:rFonts w:cs="Arial"/>
              </w:rPr>
            </w:pPr>
            <w:r>
              <w:rPr>
                <w:rFonts w:cs="Arial"/>
              </w:rPr>
              <w:t>3</w:t>
            </w:r>
          </w:p>
        </w:tc>
        <w:tc>
          <w:tcPr>
            <w:tcW w:w="1163" w:type="dxa"/>
            <w:vAlign w:val="center"/>
          </w:tcPr>
          <w:p w14:paraId="37750296" w14:textId="77777777" w:rsidR="001C19A4" w:rsidRPr="00A36D29" w:rsidRDefault="001C19A4" w:rsidP="005F27A6">
            <w:pPr>
              <w:spacing w:after="0"/>
              <w:jc w:val="center"/>
              <w:rPr>
                <w:rFonts w:cs="Arial"/>
              </w:rPr>
            </w:pPr>
            <w:r>
              <w:rPr>
                <w:rFonts w:cs="Arial"/>
              </w:rPr>
              <w:t>0</w:t>
            </w:r>
          </w:p>
        </w:tc>
        <w:tc>
          <w:tcPr>
            <w:tcW w:w="1364" w:type="dxa"/>
            <w:vAlign w:val="center"/>
          </w:tcPr>
          <w:p w14:paraId="1EF11899" w14:textId="77777777" w:rsidR="001C19A4" w:rsidRPr="00A36D29" w:rsidRDefault="001C19A4" w:rsidP="005F27A6">
            <w:pPr>
              <w:spacing w:after="0"/>
              <w:jc w:val="center"/>
              <w:rPr>
                <w:rFonts w:cs="Arial"/>
              </w:rPr>
            </w:pPr>
            <w:r>
              <w:rPr>
                <w:rFonts w:cs="Arial"/>
              </w:rPr>
              <w:t>2</w:t>
            </w:r>
          </w:p>
        </w:tc>
        <w:tc>
          <w:tcPr>
            <w:tcW w:w="1248" w:type="dxa"/>
            <w:vAlign w:val="center"/>
          </w:tcPr>
          <w:p w14:paraId="224972D6" w14:textId="77777777" w:rsidR="001C19A4" w:rsidRPr="00A36D29" w:rsidRDefault="001C19A4" w:rsidP="005F27A6">
            <w:pPr>
              <w:spacing w:after="0"/>
              <w:jc w:val="center"/>
              <w:rPr>
                <w:rFonts w:cs="Arial"/>
              </w:rPr>
            </w:pPr>
            <w:r>
              <w:rPr>
                <w:rFonts w:cs="Arial"/>
              </w:rPr>
              <w:t>0</w:t>
            </w:r>
          </w:p>
        </w:tc>
      </w:tr>
      <w:tr w:rsidR="001C19A4" w:rsidRPr="00A36D29" w14:paraId="2DC27C38" w14:textId="77777777" w:rsidTr="005F27A6">
        <w:trPr>
          <w:trHeight w:val="360"/>
        </w:trPr>
        <w:tc>
          <w:tcPr>
            <w:tcW w:w="2610" w:type="dxa"/>
            <w:vAlign w:val="center"/>
          </w:tcPr>
          <w:p w14:paraId="53FAD70A" w14:textId="77777777" w:rsidR="001C19A4" w:rsidRPr="00A36D29" w:rsidRDefault="001C19A4" w:rsidP="005F27A6">
            <w:pPr>
              <w:spacing w:after="0"/>
              <w:rPr>
                <w:rFonts w:cs="Arial"/>
              </w:rPr>
            </w:pPr>
            <w:r>
              <w:rPr>
                <w:rFonts w:cs="Arial"/>
              </w:rPr>
              <w:t>Foreign Language</w:t>
            </w:r>
          </w:p>
        </w:tc>
        <w:tc>
          <w:tcPr>
            <w:tcW w:w="990" w:type="dxa"/>
            <w:vAlign w:val="center"/>
          </w:tcPr>
          <w:p w14:paraId="591876B8" w14:textId="77777777" w:rsidR="001C19A4" w:rsidRDefault="001C19A4" w:rsidP="005F27A6">
            <w:pPr>
              <w:spacing w:after="0"/>
              <w:jc w:val="center"/>
              <w:rPr>
                <w:rFonts w:cs="Arial"/>
              </w:rPr>
            </w:pPr>
            <w:r>
              <w:rPr>
                <w:rFonts w:cs="Arial"/>
              </w:rPr>
              <w:t>4</w:t>
            </w:r>
          </w:p>
        </w:tc>
        <w:tc>
          <w:tcPr>
            <w:tcW w:w="1260" w:type="dxa"/>
            <w:vAlign w:val="center"/>
          </w:tcPr>
          <w:p w14:paraId="1A8F53C0" w14:textId="77777777" w:rsidR="001C19A4" w:rsidRPr="00A36D29" w:rsidRDefault="001C19A4" w:rsidP="005F27A6">
            <w:pPr>
              <w:spacing w:after="0"/>
              <w:jc w:val="center"/>
              <w:rPr>
                <w:rFonts w:cs="Arial"/>
              </w:rPr>
            </w:pPr>
            <w:r>
              <w:rPr>
                <w:rFonts w:cs="Arial"/>
              </w:rPr>
              <w:t>2</w:t>
            </w:r>
          </w:p>
        </w:tc>
        <w:tc>
          <w:tcPr>
            <w:tcW w:w="1163" w:type="dxa"/>
            <w:vAlign w:val="center"/>
          </w:tcPr>
          <w:p w14:paraId="078CBD9A" w14:textId="77777777" w:rsidR="001C19A4" w:rsidRPr="00A36D29" w:rsidRDefault="001C19A4" w:rsidP="005F27A6">
            <w:pPr>
              <w:spacing w:after="0"/>
              <w:jc w:val="center"/>
              <w:rPr>
                <w:rFonts w:cs="Arial"/>
              </w:rPr>
            </w:pPr>
            <w:r>
              <w:rPr>
                <w:rFonts w:cs="Arial"/>
              </w:rPr>
              <w:t>2</w:t>
            </w:r>
          </w:p>
        </w:tc>
        <w:tc>
          <w:tcPr>
            <w:tcW w:w="1364" w:type="dxa"/>
            <w:vAlign w:val="center"/>
          </w:tcPr>
          <w:p w14:paraId="3D52700C" w14:textId="77777777" w:rsidR="001C19A4" w:rsidRPr="00A36D29" w:rsidRDefault="001C19A4" w:rsidP="005F27A6">
            <w:pPr>
              <w:spacing w:after="0"/>
              <w:jc w:val="center"/>
              <w:rPr>
                <w:rFonts w:cs="Arial"/>
              </w:rPr>
            </w:pPr>
            <w:r>
              <w:rPr>
                <w:rFonts w:cs="Arial"/>
              </w:rPr>
              <w:t>5</w:t>
            </w:r>
          </w:p>
        </w:tc>
        <w:tc>
          <w:tcPr>
            <w:tcW w:w="1248" w:type="dxa"/>
            <w:vAlign w:val="center"/>
          </w:tcPr>
          <w:p w14:paraId="1EA1518E" w14:textId="77777777" w:rsidR="001C19A4" w:rsidRPr="00A36D29" w:rsidRDefault="001C19A4" w:rsidP="005F27A6">
            <w:pPr>
              <w:spacing w:after="0"/>
              <w:jc w:val="center"/>
              <w:rPr>
                <w:rFonts w:cs="Arial"/>
              </w:rPr>
            </w:pPr>
            <w:r>
              <w:rPr>
                <w:rFonts w:cs="Arial"/>
              </w:rPr>
              <w:t>0</w:t>
            </w:r>
          </w:p>
        </w:tc>
      </w:tr>
      <w:bookmarkEnd w:id="40"/>
      <w:tr w:rsidR="001C19A4" w:rsidRPr="00A36D29" w14:paraId="10785B09" w14:textId="77777777" w:rsidTr="005F27A6">
        <w:trPr>
          <w:trHeight w:val="360"/>
        </w:trPr>
        <w:tc>
          <w:tcPr>
            <w:tcW w:w="2610" w:type="dxa"/>
            <w:vAlign w:val="center"/>
          </w:tcPr>
          <w:p w14:paraId="19243CB3" w14:textId="77777777" w:rsidR="001C19A4" w:rsidRPr="00A36D29" w:rsidRDefault="001C19A4" w:rsidP="005F27A6">
            <w:pPr>
              <w:spacing w:after="0"/>
              <w:rPr>
                <w:rFonts w:cs="Arial"/>
              </w:rPr>
            </w:pPr>
            <w:r>
              <w:rPr>
                <w:rFonts w:cs="Arial"/>
              </w:rPr>
              <w:t>Mathematics</w:t>
            </w:r>
          </w:p>
        </w:tc>
        <w:tc>
          <w:tcPr>
            <w:tcW w:w="990" w:type="dxa"/>
            <w:vAlign w:val="center"/>
          </w:tcPr>
          <w:p w14:paraId="1E395607" w14:textId="77777777" w:rsidR="001C19A4" w:rsidRPr="00A36D29" w:rsidRDefault="001C19A4" w:rsidP="005F27A6">
            <w:pPr>
              <w:spacing w:after="0"/>
              <w:jc w:val="center"/>
              <w:rPr>
                <w:rFonts w:cs="Arial"/>
              </w:rPr>
            </w:pPr>
            <w:r>
              <w:rPr>
                <w:rFonts w:cs="Arial"/>
              </w:rPr>
              <w:t>3</w:t>
            </w:r>
          </w:p>
        </w:tc>
        <w:tc>
          <w:tcPr>
            <w:tcW w:w="1260" w:type="dxa"/>
            <w:vAlign w:val="center"/>
          </w:tcPr>
          <w:p w14:paraId="18A60A76" w14:textId="77777777" w:rsidR="001C19A4" w:rsidRPr="00A36D29" w:rsidRDefault="001C19A4" w:rsidP="005F27A6">
            <w:pPr>
              <w:spacing w:after="0"/>
              <w:jc w:val="center"/>
              <w:rPr>
                <w:rFonts w:cs="Arial"/>
              </w:rPr>
            </w:pPr>
            <w:r>
              <w:rPr>
                <w:rFonts w:cs="Arial"/>
              </w:rPr>
              <w:t>2</w:t>
            </w:r>
          </w:p>
        </w:tc>
        <w:tc>
          <w:tcPr>
            <w:tcW w:w="1163" w:type="dxa"/>
            <w:vAlign w:val="center"/>
          </w:tcPr>
          <w:p w14:paraId="34EC0205" w14:textId="77777777" w:rsidR="001C19A4" w:rsidRPr="00A36D29" w:rsidRDefault="001C19A4" w:rsidP="005F27A6">
            <w:pPr>
              <w:spacing w:after="0"/>
              <w:jc w:val="center"/>
              <w:rPr>
                <w:rFonts w:cs="Arial"/>
              </w:rPr>
            </w:pPr>
            <w:r>
              <w:rPr>
                <w:rFonts w:cs="Arial"/>
              </w:rPr>
              <w:t>0</w:t>
            </w:r>
          </w:p>
        </w:tc>
        <w:tc>
          <w:tcPr>
            <w:tcW w:w="1364" w:type="dxa"/>
            <w:vAlign w:val="center"/>
          </w:tcPr>
          <w:p w14:paraId="5D1659A6" w14:textId="77777777" w:rsidR="001C19A4" w:rsidRPr="00A36D29" w:rsidRDefault="001C19A4" w:rsidP="005F27A6">
            <w:pPr>
              <w:spacing w:after="0"/>
              <w:jc w:val="center"/>
              <w:rPr>
                <w:rFonts w:cs="Arial"/>
              </w:rPr>
            </w:pPr>
            <w:r>
              <w:rPr>
                <w:rFonts w:cs="Arial"/>
              </w:rPr>
              <w:t>4</w:t>
            </w:r>
          </w:p>
        </w:tc>
        <w:tc>
          <w:tcPr>
            <w:tcW w:w="1248" w:type="dxa"/>
            <w:vAlign w:val="center"/>
          </w:tcPr>
          <w:p w14:paraId="3D7A1B5C" w14:textId="77777777" w:rsidR="001C19A4" w:rsidRPr="00A36D29" w:rsidRDefault="001C19A4" w:rsidP="005F27A6">
            <w:pPr>
              <w:spacing w:after="0"/>
              <w:jc w:val="center"/>
              <w:rPr>
                <w:rFonts w:cs="Arial"/>
              </w:rPr>
            </w:pPr>
            <w:r>
              <w:rPr>
                <w:rFonts w:cs="Arial"/>
              </w:rPr>
              <w:t>0</w:t>
            </w:r>
          </w:p>
        </w:tc>
      </w:tr>
      <w:tr w:rsidR="001C19A4" w:rsidRPr="00A36D29" w14:paraId="5D39AB1C" w14:textId="77777777" w:rsidTr="005F27A6">
        <w:trPr>
          <w:trHeight w:val="360"/>
        </w:trPr>
        <w:tc>
          <w:tcPr>
            <w:tcW w:w="2610" w:type="dxa"/>
            <w:vAlign w:val="center"/>
          </w:tcPr>
          <w:p w14:paraId="74492E1A" w14:textId="77777777" w:rsidR="001C19A4" w:rsidRDefault="001C19A4" w:rsidP="005F27A6">
            <w:pPr>
              <w:spacing w:after="0"/>
              <w:rPr>
                <w:rFonts w:cs="Arial"/>
              </w:rPr>
            </w:pPr>
            <w:r>
              <w:rPr>
                <w:rFonts w:cs="Arial"/>
              </w:rPr>
              <w:t>Science</w:t>
            </w:r>
          </w:p>
        </w:tc>
        <w:tc>
          <w:tcPr>
            <w:tcW w:w="990" w:type="dxa"/>
            <w:vAlign w:val="center"/>
          </w:tcPr>
          <w:p w14:paraId="367A8060" w14:textId="77777777" w:rsidR="001C19A4" w:rsidRDefault="001C19A4" w:rsidP="005F27A6">
            <w:pPr>
              <w:spacing w:after="0"/>
              <w:jc w:val="center"/>
              <w:rPr>
                <w:rFonts w:cs="Arial"/>
              </w:rPr>
            </w:pPr>
            <w:r>
              <w:rPr>
                <w:rFonts w:cs="Arial"/>
              </w:rPr>
              <w:t>3</w:t>
            </w:r>
          </w:p>
        </w:tc>
        <w:tc>
          <w:tcPr>
            <w:tcW w:w="1260" w:type="dxa"/>
            <w:vAlign w:val="center"/>
          </w:tcPr>
          <w:p w14:paraId="149BB021" w14:textId="77777777" w:rsidR="001C19A4" w:rsidRPr="00A36D29" w:rsidRDefault="001C19A4" w:rsidP="005F27A6">
            <w:pPr>
              <w:spacing w:after="0"/>
              <w:jc w:val="center"/>
              <w:rPr>
                <w:rFonts w:cs="Arial"/>
              </w:rPr>
            </w:pPr>
            <w:r>
              <w:rPr>
                <w:rFonts w:cs="Arial"/>
              </w:rPr>
              <w:t>1</w:t>
            </w:r>
          </w:p>
        </w:tc>
        <w:tc>
          <w:tcPr>
            <w:tcW w:w="1163" w:type="dxa"/>
            <w:vAlign w:val="center"/>
          </w:tcPr>
          <w:p w14:paraId="33C09FE1" w14:textId="77777777" w:rsidR="001C19A4" w:rsidRPr="00A36D29" w:rsidRDefault="001C19A4" w:rsidP="005F27A6">
            <w:pPr>
              <w:spacing w:after="0"/>
              <w:jc w:val="center"/>
              <w:rPr>
                <w:rFonts w:cs="Arial"/>
              </w:rPr>
            </w:pPr>
            <w:r>
              <w:rPr>
                <w:rFonts w:cs="Arial"/>
              </w:rPr>
              <w:t>1</w:t>
            </w:r>
          </w:p>
        </w:tc>
        <w:tc>
          <w:tcPr>
            <w:tcW w:w="1364" w:type="dxa"/>
            <w:vAlign w:val="center"/>
          </w:tcPr>
          <w:p w14:paraId="7FC255EC" w14:textId="77777777" w:rsidR="001C19A4" w:rsidRPr="00A36D29" w:rsidRDefault="001C19A4" w:rsidP="005F27A6">
            <w:pPr>
              <w:spacing w:after="0"/>
              <w:jc w:val="center"/>
              <w:rPr>
                <w:rFonts w:cs="Arial"/>
              </w:rPr>
            </w:pPr>
            <w:r>
              <w:rPr>
                <w:rFonts w:cs="Arial"/>
              </w:rPr>
              <w:t>5</w:t>
            </w:r>
          </w:p>
        </w:tc>
        <w:tc>
          <w:tcPr>
            <w:tcW w:w="1248" w:type="dxa"/>
            <w:vAlign w:val="center"/>
          </w:tcPr>
          <w:p w14:paraId="5D67411C" w14:textId="77777777" w:rsidR="001C19A4" w:rsidRPr="00A36D29" w:rsidRDefault="001C19A4" w:rsidP="005F27A6">
            <w:pPr>
              <w:spacing w:after="0"/>
              <w:jc w:val="center"/>
              <w:rPr>
                <w:rFonts w:cs="Arial"/>
              </w:rPr>
            </w:pPr>
            <w:r>
              <w:rPr>
                <w:rFonts w:cs="Arial"/>
              </w:rPr>
              <w:t>1</w:t>
            </w:r>
          </w:p>
        </w:tc>
      </w:tr>
      <w:tr w:rsidR="001C19A4" w:rsidRPr="00A36D29" w14:paraId="007C59CD" w14:textId="77777777" w:rsidTr="005F27A6">
        <w:trPr>
          <w:trHeight w:val="360"/>
        </w:trPr>
        <w:tc>
          <w:tcPr>
            <w:tcW w:w="2610" w:type="dxa"/>
            <w:vAlign w:val="center"/>
          </w:tcPr>
          <w:p w14:paraId="08662625" w14:textId="77777777" w:rsidR="001C19A4" w:rsidRPr="00A36D29" w:rsidRDefault="001C19A4" w:rsidP="005F27A6">
            <w:pPr>
              <w:spacing w:after="0"/>
              <w:rPr>
                <w:rFonts w:cs="Arial"/>
              </w:rPr>
            </w:pPr>
            <w:r>
              <w:rPr>
                <w:rFonts w:cs="Arial"/>
              </w:rPr>
              <w:t>Social Science</w:t>
            </w:r>
          </w:p>
        </w:tc>
        <w:tc>
          <w:tcPr>
            <w:tcW w:w="990" w:type="dxa"/>
            <w:vAlign w:val="center"/>
          </w:tcPr>
          <w:p w14:paraId="51D20C2B" w14:textId="77777777" w:rsidR="001C19A4" w:rsidRPr="00A36D29" w:rsidRDefault="001C19A4" w:rsidP="005F27A6">
            <w:pPr>
              <w:spacing w:after="0"/>
              <w:jc w:val="center"/>
              <w:rPr>
                <w:rFonts w:cs="Arial"/>
              </w:rPr>
            </w:pPr>
            <w:r>
              <w:rPr>
                <w:rFonts w:cs="Arial"/>
              </w:rPr>
              <w:t>19</w:t>
            </w:r>
          </w:p>
        </w:tc>
        <w:tc>
          <w:tcPr>
            <w:tcW w:w="1260" w:type="dxa"/>
            <w:vAlign w:val="center"/>
          </w:tcPr>
          <w:p w14:paraId="0229A657" w14:textId="77777777" w:rsidR="001C19A4" w:rsidRPr="00A36D29" w:rsidRDefault="001C19A4" w:rsidP="005F27A6">
            <w:pPr>
              <w:spacing w:after="0"/>
              <w:jc w:val="center"/>
              <w:rPr>
                <w:rFonts w:cs="Arial"/>
              </w:rPr>
            </w:pPr>
            <w:r>
              <w:rPr>
                <w:rFonts w:cs="Arial"/>
              </w:rPr>
              <w:t>10</w:t>
            </w:r>
          </w:p>
        </w:tc>
        <w:tc>
          <w:tcPr>
            <w:tcW w:w="1163" w:type="dxa"/>
            <w:vAlign w:val="center"/>
          </w:tcPr>
          <w:p w14:paraId="12DF0D7B" w14:textId="77777777" w:rsidR="001C19A4" w:rsidRPr="00A36D29" w:rsidRDefault="001C19A4" w:rsidP="005F27A6">
            <w:pPr>
              <w:spacing w:after="0"/>
              <w:jc w:val="center"/>
              <w:rPr>
                <w:rFonts w:cs="Arial"/>
              </w:rPr>
            </w:pPr>
            <w:r>
              <w:rPr>
                <w:rFonts w:cs="Arial"/>
              </w:rPr>
              <w:t>3</w:t>
            </w:r>
          </w:p>
        </w:tc>
        <w:tc>
          <w:tcPr>
            <w:tcW w:w="1364" w:type="dxa"/>
            <w:vAlign w:val="center"/>
          </w:tcPr>
          <w:p w14:paraId="1214F22B" w14:textId="77777777" w:rsidR="001C19A4" w:rsidRPr="00A36D29" w:rsidRDefault="001C19A4" w:rsidP="005F27A6">
            <w:pPr>
              <w:spacing w:after="0"/>
              <w:jc w:val="center"/>
              <w:rPr>
                <w:rFonts w:cs="Arial"/>
              </w:rPr>
            </w:pPr>
            <w:r>
              <w:rPr>
                <w:rFonts w:cs="Arial"/>
              </w:rPr>
              <w:t>13</w:t>
            </w:r>
          </w:p>
        </w:tc>
        <w:tc>
          <w:tcPr>
            <w:tcW w:w="1248" w:type="dxa"/>
            <w:vAlign w:val="center"/>
          </w:tcPr>
          <w:p w14:paraId="489B14DE" w14:textId="77777777" w:rsidR="001C19A4" w:rsidRPr="00A36D29" w:rsidRDefault="001C19A4" w:rsidP="005F27A6">
            <w:pPr>
              <w:spacing w:after="0"/>
              <w:jc w:val="center"/>
              <w:rPr>
                <w:rFonts w:cs="Arial"/>
              </w:rPr>
            </w:pPr>
            <w:r>
              <w:rPr>
                <w:rFonts w:cs="Arial"/>
              </w:rPr>
              <w:t>1</w:t>
            </w:r>
          </w:p>
        </w:tc>
      </w:tr>
      <w:tr w:rsidR="001C19A4" w:rsidRPr="000E46A9" w14:paraId="1C491F57" w14:textId="77777777" w:rsidTr="005F27A6">
        <w:trPr>
          <w:trHeight w:val="360"/>
        </w:trPr>
        <w:tc>
          <w:tcPr>
            <w:tcW w:w="2610" w:type="dxa"/>
            <w:vAlign w:val="center"/>
          </w:tcPr>
          <w:p w14:paraId="3D8DB616" w14:textId="77777777" w:rsidR="001C19A4" w:rsidRPr="000E46A9" w:rsidRDefault="001C19A4" w:rsidP="005F27A6">
            <w:pPr>
              <w:spacing w:after="0"/>
              <w:rPr>
                <w:rFonts w:cs="Arial"/>
                <w:b/>
              </w:rPr>
            </w:pPr>
            <w:r w:rsidRPr="000E46A9">
              <w:rPr>
                <w:rFonts w:cs="Arial"/>
                <w:b/>
              </w:rPr>
              <w:t>Total</w:t>
            </w:r>
          </w:p>
        </w:tc>
        <w:tc>
          <w:tcPr>
            <w:tcW w:w="990" w:type="dxa"/>
            <w:vAlign w:val="center"/>
          </w:tcPr>
          <w:p w14:paraId="008F2EB5" w14:textId="77777777" w:rsidR="001C19A4" w:rsidRPr="000E46A9" w:rsidRDefault="001C19A4" w:rsidP="005F27A6">
            <w:pPr>
              <w:spacing w:after="0"/>
              <w:jc w:val="center"/>
              <w:rPr>
                <w:rFonts w:cs="Arial"/>
                <w:b/>
              </w:rPr>
            </w:pPr>
            <w:r w:rsidRPr="000E46A9">
              <w:rPr>
                <w:rFonts w:cs="Arial"/>
                <w:b/>
              </w:rPr>
              <w:t>36</w:t>
            </w:r>
          </w:p>
        </w:tc>
        <w:tc>
          <w:tcPr>
            <w:tcW w:w="1260" w:type="dxa"/>
            <w:vAlign w:val="center"/>
          </w:tcPr>
          <w:p w14:paraId="0FFF83FD" w14:textId="77777777" w:rsidR="001C19A4" w:rsidRPr="000E46A9" w:rsidRDefault="001C19A4" w:rsidP="005F27A6">
            <w:pPr>
              <w:spacing w:after="0"/>
              <w:jc w:val="center"/>
              <w:rPr>
                <w:rFonts w:cs="Arial"/>
                <w:b/>
              </w:rPr>
            </w:pPr>
            <w:r w:rsidRPr="000E46A9">
              <w:rPr>
                <w:rFonts w:cs="Arial"/>
                <w:b/>
              </w:rPr>
              <w:t>22</w:t>
            </w:r>
          </w:p>
        </w:tc>
        <w:tc>
          <w:tcPr>
            <w:tcW w:w="1163" w:type="dxa"/>
            <w:vAlign w:val="center"/>
          </w:tcPr>
          <w:p w14:paraId="58773729" w14:textId="77777777" w:rsidR="001C19A4" w:rsidRPr="000E46A9" w:rsidRDefault="001C19A4" w:rsidP="005F27A6">
            <w:pPr>
              <w:spacing w:after="0"/>
              <w:jc w:val="center"/>
              <w:rPr>
                <w:rFonts w:cs="Arial"/>
                <w:b/>
              </w:rPr>
            </w:pPr>
            <w:r w:rsidRPr="000E46A9">
              <w:rPr>
                <w:rFonts w:cs="Arial"/>
                <w:b/>
              </w:rPr>
              <w:t>7</w:t>
            </w:r>
          </w:p>
        </w:tc>
        <w:tc>
          <w:tcPr>
            <w:tcW w:w="1364" w:type="dxa"/>
            <w:vAlign w:val="center"/>
          </w:tcPr>
          <w:p w14:paraId="708BF25A" w14:textId="77777777" w:rsidR="001C19A4" w:rsidRPr="000E46A9" w:rsidRDefault="001C19A4" w:rsidP="005F27A6">
            <w:pPr>
              <w:spacing w:after="0"/>
              <w:jc w:val="center"/>
              <w:rPr>
                <w:rFonts w:cs="Arial"/>
                <w:b/>
              </w:rPr>
            </w:pPr>
            <w:r w:rsidRPr="000E46A9">
              <w:rPr>
                <w:rFonts w:cs="Arial"/>
                <w:b/>
              </w:rPr>
              <w:t>33</w:t>
            </w:r>
          </w:p>
        </w:tc>
        <w:tc>
          <w:tcPr>
            <w:tcW w:w="1248" w:type="dxa"/>
            <w:vAlign w:val="center"/>
          </w:tcPr>
          <w:p w14:paraId="43DD4FBF" w14:textId="77777777" w:rsidR="001C19A4" w:rsidRPr="000E46A9" w:rsidRDefault="001C19A4" w:rsidP="005F27A6">
            <w:pPr>
              <w:spacing w:after="0"/>
              <w:jc w:val="center"/>
              <w:rPr>
                <w:rFonts w:cs="Arial"/>
                <w:b/>
              </w:rPr>
            </w:pPr>
            <w:r>
              <w:rPr>
                <w:rFonts w:cs="Arial"/>
                <w:b/>
              </w:rPr>
              <w:t>2</w:t>
            </w:r>
          </w:p>
        </w:tc>
      </w:tr>
      <w:tr w:rsidR="001C19A4" w:rsidRPr="000E46A9" w14:paraId="3C80FDB0" w14:textId="77777777" w:rsidTr="005F27A6">
        <w:trPr>
          <w:trHeight w:val="360"/>
        </w:trPr>
        <w:tc>
          <w:tcPr>
            <w:tcW w:w="2610" w:type="dxa"/>
            <w:vAlign w:val="center"/>
          </w:tcPr>
          <w:p w14:paraId="3C4414FD" w14:textId="77777777" w:rsidR="001C19A4" w:rsidRPr="000E46A9" w:rsidRDefault="001C19A4" w:rsidP="005F27A6">
            <w:pPr>
              <w:spacing w:after="0"/>
              <w:rPr>
                <w:rFonts w:cs="Arial"/>
                <w:b/>
              </w:rPr>
            </w:pPr>
            <w:r>
              <w:rPr>
                <w:rFonts w:cs="Arial"/>
                <w:b/>
              </w:rPr>
              <w:t>Students Enrolled in AP</w:t>
            </w:r>
          </w:p>
        </w:tc>
        <w:tc>
          <w:tcPr>
            <w:tcW w:w="990" w:type="dxa"/>
            <w:vAlign w:val="center"/>
          </w:tcPr>
          <w:p w14:paraId="1AE5F339" w14:textId="77777777" w:rsidR="001C19A4" w:rsidRPr="000E46A9" w:rsidRDefault="001C19A4" w:rsidP="005F27A6">
            <w:pPr>
              <w:spacing w:after="0"/>
              <w:jc w:val="center"/>
              <w:rPr>
                <w:rFonts w:cs="Arial"/>
                <w:b/>
              </w:rPr>
            </w:pPr>
            <w:r>
              <w:rPr>
                <w:rFonts w:cs="Arial"/>
                <w:b/>
              </w:rPr>
              <w:t>32.8%</w:t>
            </w:r>
          </w:p>
        </w:tc>
        <w:tc>
          <w:tcPr>
            <w:tcW w:w="1260" w:type="dxa"/>
            <w:vAlign w:val="center"/>
          </w:tcPr>
          <w:p w14:paraId="02B085DC" w14:textId="77777777" w:rsidR="001C19A4" w:rsidRPr="000E46A9" w:rsidRDefault="001C19A4" w:rsidP="005F27A6">
            <w:pPr>
              <w:spacing w:after="0"/>
              <w:jc w:val="center"/>
              <w:rPr>
                <w:rFonts w:cs="Arial"/>
                <w:b/>
              </w:rPr>
            </w:pPr>
            <w:r>
              <w:rPr>
                <w:rFonts w:cs="Arial"/>
                <w:b/>
              </w:rPr>
              <w:t>28.4%</w:t>
            </w:r>
          </w:p>
        </w:tc>
        <w:tc>
          <w:tcPr>
            <w:tcW w:w="1163" w:type="dxa"/>
            <w:vAlign w:val="center"/>
          </w:tcPr>
          <w:p w14:paraId="490C0C95" w14:textId="77777777" w:rsidR="001C19A4" w:rsidRPr="000E46A9" w:rsidRDefault="001C19A4" w:rsidP="005F27A6">
            <w:pPr>
              <w:spacing w:after="0"/>
              <w:jc w:val="center"/>
              <w:rPr>
                <w:rFonts w:cs="Arial"/>
                <w:b/>
              </w:rPr>
            </w:pPr>
            <w:r>
              <w:rPr>
                <w:rFonts w:cs="Arial"/>
                <w:b/>
              </w:rPr>
              <w:t>7.3%</w:t>
            </w:r>
          </w:p>
        </w:tc>
        <w:tc>
          <w:tcPr>
            <w:tcW w:w="1364" w:type="dxa"/>
            <w:vAlign w:val="center"/>
          </w:tcPr>
          <w:p w14:paraId="6E4B8ACB" w14:textId="77777777" w:rsidR="001C19A4" w:rsidRPr="000E46A9" w:rsidRDefault="001C19A4" w:rsidP="005F27A6">
            <w:pPr>
              <w:spacing w:after="0"/>
              <w:jc w:val="center"/>
              <w:rPr>
                <w:rFonts w:cs="Arial"/>
                <w:b/>
              </w:rPr>
            </w:pPr>
            <w:r>
              <w:rPr>
                <w:rFonts w:cs="Arial"/>
                <w:b/>
              </w:rPr>
              <w:t>34%</w:t>
            </w:r>
          </w:p>
        </w:tc>
        <w:tc>
          <w:tcPr>
            <w:tcW w:w="1248" w:type="dxa"/>
            <w:vAlign w:val="center"/>
          </w:tcPr>
          <w:p w14:paraId="63187658" w14:textId="77777777" w:rsidR="001C19A4" w:rsidRDefault="001C19A4" w:rsidP="005F27A6">
            <w:pPr>
              <w:spacing w:after="0"/>
              <w:jc w:val="center"/>
              <w:rPr>
                <w:rFonts w:cs="Arial"/>
                <w:b/>
              </w:rPr>
            </w:pPr>
            <w:r>
              <w:rPr>
                <w:rFonts w:cs="Arial"/>
                <w:b/>
              </w:rPr>
              <w:t>3.5%</w:t>
            </w:r>
          </w:p>
        </w:tc>
      </w:tr>
    </w:tbl>
    <w:p w14:paraId="3B911C1C" w14:textId="77777777" w:rsidR="001C19A4" w:rsidRPr="000869C7" w:rsidRDefault="001C19A4" w:rsidP="005F27A6">
      <w:pPr>
        <w:spacing w:before="120"/>
        <w:ind w:left="720"/>
        <w:rPr>
          <w:rFonts w:cs="Arial"/>
          <w:b/>
          <w:color w:val="1F497D"/>
        </w:rPr>
      </w:pPr>
      <w:r w:rsidRPr="000869C7">
        <w:rPr>
          <w:rFonts w:cs="Arial"/>
          <w:b/>
          <w:i/>
        </w:rPr>
        <w:t>Source: School Accountability Report Cards, 2020–21</w:t>
      </w:r>
    </w:p>
    <w:p w14:paraId="48F02979" w14:textId="4C0F99D7" w:rsidR="001C19A4" w:rsidRDefault="001C19A4" w:rsidP="005F27A6">
      <w:pPr>
        <w:ind w:left="720"/>
        <w:rPr>
          <w:rFonts w:cs="Arial"/>
        </w:rPr>
      </w:pPr>
      <w:r>
        <w:rPr>
          <w:rFonts w:cs="Arial"/>
        </w:rPr>
        <w:t xml:space="preserve">The territory for the proposed Northgate USD includes Northgate High and its entire current attendance area, plus a small portion of the Bancroft Elementary attendance area that currently feeds to Oak Grove Middle and Ygnacio Valley High. The reorganization is not expected to substantially change the student population of the Northgate High and, therefore, the AP course offerings are expected to be substantially unaffected. </w:t>
      </w:r>
      <w:r w:rsidRPr="00D17DB3">
        <w:rPr>
          <w:rFonts w:cs="Arial"/>
        </w:rPr>
        <w:t>The attendance areas of</w:t>
      </w:r>
      <w:r>
        <w:rPr>
          <w:rFonts w:cs="Arial"/>
        </w:rPr>
        <w:t xml:space="preserve"> one or more of</w:t>
      </w:r>
      <w:r w:rsidRPr="00D17DB3">
        <w:rPr>
          <w:rFonts w:cs="Arial"/>
        </w:rPr>
        <w:t xml:space="preserve"> the remaining three high schools, College Park High, Concord High</w:t>
      </w:r>
      <w:r>
        <w:rPr>
          <w:rFonts w:cs="Arial"/>
        </w:rPr>
        <w:t>,</w:t>
      </w:r>
      <w:r w:rsidRPr="00D17DB3">
        <w:rPr>
          <w:rFonts w:cs="Arial"/>
        </w:rPr>
        <w:t xml:space="preserve"> and Mt. Diablo High, will need to be adjusted to incorporate the attendance area of Ygnacio Valley High.</w:t>
      </w:r>
      <w:r>
        <w:rPr>
          <w:rFonts w:cs="Arial"/>
        </w:rPr>
        <w:t xml:space="preserve"> However, there is no reason to expect expansion of the attendance areas would substantially affect the schools’ AP course offerings.</w:t>
      </w:r>
      <w:r w:rsidR="0024655D">
        <w:rPr>
          <w:rFonts w:cs="Arial"/>
        </w:rPr>
        <w:t xml:space="preserve"> </w:t>
      </w:r>
      <w:r>
        <w:rPr>
          <w:rFonts w:cs="Arial"/>
        </w:rPr>
        <w:t xml:space="preserve"> </w:t>
      </w:r>
    </w:p>
    <w:p w14:paraId="4073F5DA" w14:textId="5C069298" w:rsidR="001C19A4" w:rsidRPr="00447533" w:rsidRDefault="001C19A4" w:rsidP="009D0D7F">
      <w:pPr>
        <w:pStyle w:val="Heading4"/>
        <w:numPr>
          <w:ilvl w:val="0"/>
          <w:numId w:val="20"/>
        </w:numPr>
      </w:pPr>
      <w:r w:rsidRPr="00447533">
        <w:lastRenderedPageBreak/>
        <w:t>Career Technical Education</w:t>
      </w:r>
    </w:p>
    <w:p w14:paraId="3BAB7F71" w14:textId="77777777" w:rsidR="001C19A4" w:rsidRDefault="001C19A4" w:rsidP="005F27A6">
      <w:pPr>
        <w:ind w:left="720"/>
        <w:rPr>
          <w:rFonts w:cs="Arial"/>
        </w:rPr>
      </w:pPr>
      <w:r>
        <w:rPr>
          <w:rFonts w:cs="Arial"/>
        </w:rPr>
        <w:t xml:space="preserve">Mt. Diablo USD offers a variety of career technical education (CTE) courses at each of its comprehensive high schools. The district has an advisory committee named </w:t>
      </w:r>
      <w:r w:rsidRPr="00B87DA1">
        <w:rPr>
          <w:rFonts w:cs="Arial"/>
        </w:rPr>
        <w:t>Mt. Diablo Business Education Alliance (MDBEA)</w:t>
      </w:r>
      <w:r>
        <w:rPr>
          <w:rFonts w:cs="Arial"/>
        </w:rPr>
        <w:t xml:space="preserve"> comprised of leaders from local industry sectors.</w:t>
      </w:r>
    </w:p>
    <w:p w14:paraId="3D44E453" w14:textId="77777777" w:rsidR="001C19A4" w:rsidRDefault="001C19A4" w:rsidP="005F27A6">
      <w:pPr>
        <w:ind w:left="720"/>
        <w:rPr>
          <w:rFonts w:cs="Arial"/>
        </w:rPr>
      </w:pPr>
      <w:r>
        <w:rPr>
          <w:rFonts w:cs="Arial"/>
        </w:rPr>
        <w:t xml:space="preserve">According to the 2020–21 School Accountability Report Card (SARC) for each high school, Mt. Diablo USD high schools offer CTE courses in eleven different subject areas, though specific course offerings in each subject area varies from school to school. Table 6b provides a look at the CTE offerings and participation in the CTE program by high school. An asterisk (*) indicates that CTE courses areas are offered but they are not part of a complete CTE pathway at the school. </w:t>
      </w:r>
    </w:p>
    <w:p w14:paraId="16F80891" w14:textId="77777777" w:rsidR="001C19A4" w:rsidRDefault="001C19A4" w:rsidP="009C6E70">
      <w:pPr>
        <w:pStyle w:val="Heading4"/>
        <w:ind w:left="720"/>
      </w:pPr>
      <w:r w:rsidRPr="00E34DBB">
        <w:t>Table 6</w:t>
      </w:r>
      <w:r>
        <w:t>b</w:t>
      </w:r>
      <w:r w:rsidRPr="00E34DBB">
        <w:t xml:space="preserve">: </w:t>
      </w:r>
      <w:r>
        <w:t>CTE Offerings by High School in Academic Year 2019–20</w:t>
      </w:r>
    </w:p>
    <w:tbl>
      <w:tblPr>
        <w:tblStyle w:val="TableGridLight"/>
        <w:tblW w:w="8635" w:type="dxa"/>
        <w:tblInd w:w="715" w:type="dxa"/>
        <w:tblCellMar>
          <w:top w:w="115" w:type="dxa"/>
          <w:left w:w="115" w:type="dxa"/>
          <w:bottom w:w="115" w:type="dxa"/>
          <w:right w:w="115" w:type="dxa"/>
        </w:tblCellMar>
        <w:tblLook w:val="04A0" w:firstRow="1" w:lastRow="0" w:firstColumn="1" w:lastColumn="0" w:noHBand="0" w:noVBand="1"/>
        <w:tblDescription w:val="Table 6b provides a list of the 2019-20 career technical education pathways by topic for each comprehensive high school in the existing Mt. Diablo USD. "/>
      </w:tblPr>
      <w:tblGrid>
        <w:gridCol w:w="1778"/>
        <w:gridCol w:w="1271"/>
        <w:gridCol w:w="1256"/>
        <w:gridCol w:w="1401"/>
        <w:gridCol w:w="1434"/>
        <w:gridCol w:w="1495"/>
      </w:tblGrid>
      <w:tr w:rsidR="001C19A4" w:rsidRPr="00A36D29" w14:paraId="30E93723" w14:textId="77777777" w:rsidTr="005F27A6">
        <w:trPr>
          <w:cantSplit/>
          <w:tblHeader/>
        </w:trPr>
        <w:tc>
          <w:tcPr>
            <w:tcW w:w="1778" w:type="dxa"/>
            <w:shd w:val="clear" w:color="auto" w:fill="E7E6E6" w:themeFill="background2"/>
            <w:vAlign w:val="center"/>
          </w:tcPr>
          <w:p w14:paraId="446D4FEF" w14:textId="77777777" w:rsidR="001C19A4" w:rsidRDefault="001C19A4" w:rsidP="005F27A6">
            <w:pPr>
              <w:spacing w:after="0"/>
              <w:jc w:val="center"/>
              <w:rPr>
                <w:rFonts w:cs="Arial"/>
                <w:b/>
              </w:rPr>
            </w:pPr>
            <w:r>
              <w:rPr>
                <w:rFonts w:cs="Arial"/>
                <w:b/>
              </w:rPr>
              <w:t>CTE Topic/</w:t>
            </w:r>
          </w:p>
          <w:p w14:paraId="30A05293" w14:textId="77777777" w:rsidR="001C19A4" w:rsidRPr="00A36D29" w:rsidRDefault="001C19A4" w:rsidP="005F27A6">
            <w:pPr>
              <w:spacing w:after="0"/>
              <w:jc w:val="center"/>
              <w:rPr>
                <w:rFonts w:cs="Arial"/>
                <w:b/>
              </w:rPr>
            </w:pPr>
            <w:r>
              <w:rPr>
                <w:rFonts w:cs="Arial"/>
                <w:b/>
              </w:rPr>
              <w:t>Measure</w:t>
            </w:r>
          </w:p>
        </w:tc>
        <w:tc>
          <w:tcPr>
            <w:tcW w:w="1271" w:type="dxa"/>
            <w:shd w:val="clear" w:color="auto" w:fill="E7E6E6" w:themeFill="background2"/>
            <w:vAlign w:val="center"/>
          </w:tcPr>
          <w:p w14:paraId="118CA793" w14:textId="77777777" w:rsidR="001C19A4" w:rsidRPr="00A36D29" w:rsidRDefault="001C19A4" w:rsidP="005F27A6">
            <w:pPr>
              <w:spacing w:after="0"/>
              <w:jc w:val="center"/>
              <w:rPr>
                <w:rFonts w:cs="Arial"/>
                <w:b/>
              </w:rPr>
            </w:pPr>
            <w:r>
              <w:rPr>
                <w:rFonts w:cs="Arial"/>
                <w:b/>
              </w:rPr>
              <w:t>College Park High</w:t>
            </w:r>
          </w:p>
        </w:tc>
        <w:tc>
          <w:tcPr>
            <w:tcW w:w="1256" w:type="dxa"/>
            <w:shd w:val="clear" w:color="auto" w:fill="E7E6E6" w:themeFill="background2"/>
            <w:vAlign w:val="center"/>
          </w:tcPr>
          <w:p w14:paraId="5C056188" w14:textId="77777777" w:rsidR="001C19A4" w:rsidRPr="00A36D29" w:rsidRDefault="001C19A4" w:rsidP="005F27A6">
            <w:pPr>
              <w:spacing w:after="0"/>
              <w:jc w:val="center"/>
              <w:rPr>
                <w:rFonts w:cs="Arial"/>
                <w:b/>
              </w:rPr>
            </w:pPr>
            <w:r>
              <w:rPr>
                <w:rFonts w:cs="Arial"/>
                <w:b/>
              </w:rPr>
              <w:t>Concord High</w:t>
            </w:r>
          </w:p>
        </w:tc>
        <w:tc>
          <w:tcPr>
            <w:tcW w:w="1401" w:type="dxa"/>
            <w:shd w:val="clear" w:color="auto" w:fill="E7E6E6" w:themeFill="background2"/>
            <w:vAlign w:val="center"/>
          </w:tcPr>
          <w:p w14:paraId="557B81E9" w14:textId="77777777" w:rsidR="001C19A4" w:rsidRPr="00A36D29" w:rsidRDefault="001C19A4" w:rsidP="005F27A6">
            <w:pPr>
              <w:spacing w:after="0"/>
              <w:jc w:val="center"/>
              <w:rPr>
                <w:rFonts w:cs="Arial"/>
                <w:b/>
              </w:rPr>
            </w:pPr>
            <w:r>
              <w:rPr>
                <w:rFonts w:cs="Arial"/>
                <w:b/>
              </w:rPr>
              <w:t>Mt. Diablo High</w:t>
            </w:r>
          </w:p>
        </w:tc>
        <w:tc>
          <w:tcPr>
            <w:tcW w:w="1434" w:type="dxa"/>
            <w:shd w:val="clear" w:color="auto" w:fill="E7E6E6" w:themeFill="background2"/>
            <w:vAlign w:val="center"/>
          </w:tcPr>
          <w:p w14:paraId="7E33A9DF" w14:textId="77777777" w:rsidR="001C19A4" w:rsidRPr="00A36D29" w:rsidRDefault="001C19A4" w:rsidP="005F27A6">
            <w:pPr>
              <w:spacing w:after="0"/>
              <w:jc w:val="center"/>
              <w:rPr>
                <w:rFonts w:cs="Arial"/>
                <w:b/>
              </w:rPr>
            </w:pPr>
            <w:r>
              <w:rPr>
                <w:rFonts w:cs="Arial"/>
                <w:b/>
              </w:rPr>
              <w:t>Northgate High</w:t>
            </w:r>
          </w:p>
        </w:tc>
        <w:tc>
          <w:tcPr>
            <w:tcW w:w="1495" w:type="dxa"/>
            <w:shd w:val="clear" w:color="auto" w:fill="E7E6E6" w:themeFill="background2"/>
            <w:vAlign w:val="center"/>
          </w:tcPr>
          <w:p w14:paraId="1F08D53D" w14:textId="77777777" w:rsidR="001C19A4" w:rsidRPr="00A36D29" w:rsidRDefault="001C19A4" w:rsidP="005F27A6">
            <w:pPr>
              <w:spacing w:after="0"/>
              <w:jc w:val="center"/>
              <w:rPr>
                <w:rFonts w:cs="Arial"/>
                <w:b/>
              </w:rPr>
            </w:pPr>
            <w:r>
              <w:rPr>
                <w:rFonts w:cs="Arial"/>
                <w:b/>
              </w:rPr>
              <w:t>Ygnacio Valley High</w:t>
            </w:r>
          </w:p>
        </w:tc>
      </w:tr>
      <w:tr w:rsidR="001C19A4" w:rsidRPr="00A36D29" w14:paraId="6B7374AE" w14:textId="77777777" w:rsidTr="005F27A6">
        <w:trPr>
          <w:cantSplit/>
          <w:trHeight w:val="46"/>
        </w:trPr>
        <w:tc>
          <w:tcPr>
            <w:tcW w:w="1778" w:type="dxa"/>
            <w:vAlign w:val="center"/>
          </w:tcPr>
          <w:p w14:paraId="7DF51978" w14:textId="77777777" w:rsidR="001C19A4" w:rsidRDefault="001C19A4" w:rsidP="005F27A6">
            <w:pPr>
              <w:spacing w:after="0"/>
              <w:rPr>
                <w:rFonts w:cs="Arial"/>
              </w:rPr>
            </w:pPr>
            <w:r w:rsidRPr="008018A9">
              <w:rPr>
                <w:rFonts w:cs="Arial"/>
              </w:rPr>
              <w:t>Art/Design</w:t>
            </w:r>
          </w:p>
        </w:tc>
        <w:tc>
          <w:tcPr>
            <w:tcW w:w="1271" w:type="dxa"/>
            <w:vAlign w:val="center"/>
          </w:tcPr>
          <w:p w14:paraId="3EDF160B" w14:textId="77777777" w:rsidR="001C19A4" w:rsidRDefault="001C19A4" w:rsidP="005F27A6">
            <w:pPr>
              <w:spacing w:after="0"/>
              <w:jc w:val="center"/>
              <w:rPr>
                <w:rFonts w:cs="Arial"/>
              </w:rPr>
            </w:pPr>
            <w:r>
              <w:rPr>
                <w:rFonts w:cs="Arial"/>
              </w:rPr>
              <w:t>Yes*</w:t>
            </w:r>
          </w:p>
        </w:tc>
        <w:tc>
          <w:tcPr>
            <w:tcW w:w="1256" w:type="dxa"/>
            <w:vAlign w:val="center"/>
          </w:tcPr>
          <w:p w14:paraId="0F5D6ACE" w14:textId="77777777" w:rsidR="001C19A4" w:rsidRDefault="001C19A4" w:rsidP="005F27A6">
            <w:pPr>
              <w:spacing w:after="0"/>
              <w:jc w:val="center"/>
              <w:rPr>
                <w:rFonts w:cs="Arial"/>
              </w:rPr>
            </w:pPr>
            <w:r>
              <w:rPr>
                <w:rFonts w:cs="Arial"/>
              </w:rPr>
              <w:t>Yes</w:t>
            </w:r>
          </w:p>
        </w:tc>
        <w:tc>
          <w:tcPr>
            <w:tcW w:w="1401" w:type="dxa"/>
            <w:vAlign w:val="center"/>
          </w:tcPr>
          <w:p w14:paraId="0DD72D44" w14:textId="77777777" w:rsidR="001C19A4" w:rsidRPr="008018A9" w:rsidRDefault="001C19A4" w:rsidP="005F27A6">
            <w:pPr>
              <w:spacing w:after="0"/>
              <w:jc w:val="center"/>
              <w:rPr>
                <w:rFonts w:cs="Arial"/>
              </w:rPr>
            </w:pPr>
            <w:r>
              <w:rPr>
                <w:rFonts w:cs="Arial"/>
              </w:rPr>
              <w:t>Yes</w:t>
            </w:r>
          </w:p>
        </w:tc>
        <w:tc>
          <w:tcPr>
            <w:tcW w:w="1434" w:type="dxa"/>
            <w:vAlign w:val="center"/>
          </w:tcPr>
          <w:p w14:paraId="12F047AC" w14:textId="77777777" w:rsidR="001C19A4" w:rsidRPr="008018A9" w:rsidRDefault="001C19A4" w:rsidP="005F27A6">
            <w:pPr>
              <w:spacing w:after="0"/>
              <w:jc w:val="center"/>
              <w:rPr>
                <w:rFonts w:cs="Arial"/>
              </w:rPr>
            </w:pPr>
            <w:r>
              <w:rPr>
                <w:rFonts w:cs="Arial"/>
              </w:rPr>
              <w:t>Yes</w:t>
            </w:r>
          </w:p>
        </w:tc>
        <w:tc>
          <w:tcPr>
            <w:tcW w:w="1495" w:type="dxa"/>
            <w:vAlign w:val="center"/>
          </w:tcPr>
          <w:p w14:paraId="26FA4D47" w14:textId="77777777" w:rsidR="001C19A4" w:rsidRPr="008018A9" w:rsidRDefault="001C19A4" w:rsidP="005F27A6">
            <w:pPr>
              <w:spacing w:after="0"/>
              <w:jc w:val="center"/>
              <w:rPr>
                <w:rFonts w:cs="Arial"/>
              </w:rPr>
            </w:pPr>
            <w:r>
              <w:rPr>
                <w:rFonts w:cs="Arial"/>
              </w:rPr>
              <w:t>Yes*</w:t>
            </w:r>
          </w:p>
        </w:tc>
      </w:tr>
      <w:tr w:rsidR="001C19A4" w:rsidRPr="00A36D29" w14:paraId="760BB6D7" w14:textId="77777777" w:rsidTr="005F27A6">
        <w:trPr>
          <w:cantSplit/>
          <w:trHeight w:val="288"/>
        </w:trPr>
        <w:tc>
          <w:tcPr>
            <w:tcW w:w="1778" w:type="dxa"/>
            <w:vAlign w:val="center"/>
          </w:tcPr>
          <w:p w14:paraId="475039E3" w14:textId="77777777" w:rsidR="001C19A4" w:rsidRPr="008018A9" w:rsidRDefault="001C19A4" w:rsidP="005F27A6">
            <w:pPr>
              <w:spacing w:after="0"/>
              <w:rPr>
                <w:rFonts w:cs="Arial"/>
              </w:rPr>
            </w:pPr>
            <w:r>
              <w:rPr>
                <w:rFonts w:cs="Arial"/>
              </w:rPr>
              <w:t>Biotechnology</w:t>
            </w:r>
          </w:p>
        </w:tc>
        <w:tc>
          <w:tcPr>
            <w:tcW w:w="1271" w:type="dxa"/>
            <w:vAlign w:val="center"/>
          </w:tcPr>
          <w:p w14:paraId="6BC98AE9" w14:textId="77777777" w:rsidR="001C19A4" w:rsidRDefault="001C19A4" w:rsidP="005F27A6">
            <w:pPr>
              <w:spacing w:after="0"/>
              <w:jc w:val="center"/>
              <w:rPr>
                <w:rFonts w:cs="Arial"/>
              </w:rPr>
            </w:pPr>
            <w:r>
              <w:rPr>
                <w:rFonts w:cs="Arial"/>
              </w:rPr>
              <w:t>No</w:t>
            </w:r>
          </w:p>
        </w:tc>
        <w:tc>
          <w:tcPr>
            <w:tcW w:w="1256" w:type="dxa"/>
            <w:vAlign w:val="center"/>
          </w:tcPr>
          <w:p w14:paraId="2DE2F77E" w14:textId="77777777" w:rsidR="001C19A4" w:rsidRDefault="001C19A4" w:rsidP="005F27A6">
            <w:pPr>
              <w:spacing w:after="0"/>
              <w:jc w:val="center"/>
              <w:rPr>
                <w:rFonts w:cs="Arial"/>
              </w:rPr>
            </w:pPr>
            <w:r>
              <w:rPr>
                <w:rFonts w:cs="Arial"/>
              </w:rPr>
              <w:t>Yes*</w:t>
            </w:r>
          </w:p>
        </w:tc>
        <w:tc>
          <w:tcPr>
            <w:tcW w:w="1401" w:type="dxa"/>
            <w:vAlign w:val="center"/>
          </w:tcPr>
          <w:p w14:paraId="773D7782" w14:textId="77777777" w:rsidR="001C19A4" w:rsidRPr="008018A9" w:rsidRDefault="001C19A4" w:rsidP="005F27A6">
            <w:pPr>
              <w:spacing w:after="0"/>
              <w:jc w:val="center"/>
              <w:rPr>
                <w:rFonts w:cs="Arial"/>
              </w:rPr>
            </w:pPr>
            <w:r>
              <w:rPr>
                <w:rFonts w:cs="Arial"/>
              </w:rPr>
              <w:t>Yes</w:t>
            </w:r>
          </w:p>
        </w:tc>
        <w:tc>
          <w:tcPr>
            <w:tcW w:w="1434" w:type="dxa"/>
            <w:vAlign w:val="center"/>
          </w:tcPr>
          <w:p w14:paraId="0C1EB529" w14:textId="77777777" w:rsidR="001C19A4" w:rsidRDefault="001C19A4" w:rsidP="005F27A6">
            <w:pPr>
              <w:spacing w:after="0"/>
              <w:jc w:val="center"/>
              <w:rPr>
                <w:rFonts w:cs="Arial"/>
              </w:rPr>
            </w:pPr>
            <w:r>
              <w:rPr>
                <w:rFonts w:cs="Arial"/>
              </w:rPr>
              <w:t>No</w:t>
            </w:r>
          </w:p>
        </w:tc>
        <w:tc>
          <w:tcPr>
            <w:tcW w:w="1495" w:type="dxa"/>
            <w:vAlign w:val="center"/>
          </w:tcPr>
          <w:p w14:paraId="11188DFC" w14:textId="77777777" w:rsidR="001C19A4" w:rsidRDefault="001C19A4" w:rsidP="005F27A6">
            <w:pPr>
              <w:spacing w:after="0"/>
              <w:jc w:val="center"/>
              <w:rPr>
                <w:rFonts w:cs="Arial"/>
              </w:rPr>
            </w:pPr>
            <w:r>
              <w:rPr>
                <w:rFonts w:cs="Arial"/>
              </w:rPr>
              <w:t>No</w:t>
            </w:r>
          </w:p>
        </w:tc>
      </w:tr>
      <w:tr w:rsidR="001C19A4" w:rsidRPr="00A36D29" w14:paraId="143032CF" w14:textId="77777777" w:rsidTr="005F27A6">
        <w:trPr>
          <w:cantSplit/>
          <w:trHeight w:val="360"/>
        </w:trPr>
        <w:tc>
          <w:tcPr>
            <w:tcW w:w="1778" w:type="dxa"/>
            <w:vAlign w:val="center"/>
          </w:tcPr>
          <w:p w14:paraId="3A723C15" w14:textId="77777777" w:rsidR="001C19A4" w:rsidRPr="008018A9" w:rsidRDefault="001C19A4" w:rsidP="005F27A6">
            <w:pPr>
              <w:spacing w:after="0"/>
              <w:rPr>
                <w:rFonts w:cs="Arial"/>
              </w:rPr>
            </w:pPr>
            <w:r>
              <w:rPr>
                <w:rFonts w:cs="Arial"/>
              </w:rPr>
              <w:t>Computer Science</w:t>
            </w:r>
          </w:p>
        </w:tc>
        <w:tc>
          <w:tcPr>
            <w:tcW w:w="1271" w:type="dxa"/>
            <w:vAlign w:val="center"/>
          </w:tcPr>
          <w:p w14:paraId="4B77D3B6" w14:textId="77777777" w:rsidR="001C19A4" w:rsidRDefault="001C19A4" w:rsidP="005F27A6">
            <w:pPr>
              <w:spacing w:after="0"/>
              <w:jc w:val="center"/>
              <w:rPr>
                <w:rFonts w:cs="Arial"/>
              </w:rPr>
            </w:pPr>
            <w:r>
              <w:rPr>
                <w:rFonts w:cs="Arial"/>
              </w:rPr>
              <w:t>Yes*</w:t>
            </w:r>
          </w:p>
        </w:tc>
        <w:tc>
          <w:tcPr>
            <w:tcW w:w="1256" w:type="dxa"/>
            <w:vAlign w:val="center"/>
          </w:tcPr>
          <w:p w14:paraId="4F01BE0A" w14:textId="77777777" w:rsidR="001C19A4" w:rsidRDefault="001C19A4" w:rsidP="005F27A6">
            <w:pPr>
              <w:spacing w:after="0"/>
              <w:jc w:val="center"/>
              <w:rPr>
                <w:rFonts w:cs="Arial"/>
              </w:rPr>
            </w:pPr>
            <w:r>
              <w:rPr>
                <w:rFonts w:cs="Arial"/>
              </w:rPr>
              <w:t>Yes*</w:t>
            </w:r>
          </w:p>
        </w:tc>
        <w:tc>
          <w:tcPr>
            <w:tcW w:w="1401" w:type="dxa"/>
            <w:vAlign w:val="center"/>
          </w:tcPr>
          <w:p w14:paraId="10E46612" w14:textId="77777777" w:rsidR="001C19A4" w:rsidRPr="008018A9" w:rsidRDefault="001C19A4" w:rsidP="005F27A6">
            <w:pPr>
              <w:spacing w:after="0"/>
              <w:jc w:val="center"/>
              <w:rPr>
                <w:rFonts w:cs="Arial"/>
              </w:rPr>
            </w:pPr>
            <w:r>
              <w:rPr>
                <w:rFonts w:cs="Arial"/>
              </w:rPr>
              <w:t>Yes*</w:t>
            </w:r>
          </w:p>
        </w:tc>
        <w:tc>
          <w:tcPr>
            <w:tcW w:w="1434" w:type="dxa"/>
            <w:vAlign w:val="center"/>
          </w:tcPr>
          <w:p w14:paraId="252C6B40" w14:textId="77777777" w:rsidR="001C19A4" w:rsidRDefault="001C19A4" w:rsidP="005F27A6">
            <w:pPr>
              <w:spacing w:after="0"/>
              <w:jc w:val="center"/>
              <w:rPr>
                <w:rFonts w:cs="Arial"/>
              </w:rPr>
            </w:pPr>
            <w:r>
              <w:rPr>
                <w:rFonts w:cs="Arial"/>
              </w:rPr>
              <w:t>Yes*</w:t>
            </w:r>
          </w:p>
        </w:tc>
        <w:tc>
          <w:tcPr>
            <w:tcW w:w="1495" w:type="dxa"/>
            <w:vAlign w:val="center"/>
          </w:tcPr>
          <w:p w14:paraId="341B3E42" w14:textId="77777777" w:rsidR="001C19A4" w:rsidRPr="008018A9" w:rsidRDefault="001C19A4" w:rsidP="005F27A6">
            <w:pPr>
              <w:spacing w:after="0"/>
              <w:jc w:val="center"/>
              <w:rPr>
                <w:rFonts w:cs="Arial"/>
              </w:rPr>
            </w:pPr>
            <w:r>
              <w:rPr>
                <w:rFonts w:cs="Arial"/>
              </w:rPr>
              <w:t>No</w:t>
            </w:r>
          </w:p>
        </w:tc>
      </w:tr>
      <w:tr w:rsidR="001C19A4" w:rsidRPr="00A36D29" w14:paraId="396CE728" w14:textId="77777777" w:rsidTr="005F27A6">
        <w:trPr>
          <w:cantSplit/>
          <w:trHeight w:val="360"/>
        </w:trPr>
        <w:tc>
          <w:tcPr>
            <w:tcW w:w="1778" w:type="dxa"/>
            <w:vAlign w:val="center"/>
          </w:tcPr>
          <w:p w14:paraId="1819F7F5" w14:textId="77777777" w:rsidR="001C19A4" w:rsidRDefault="001C19A4" w:rsidP="005F27A6">
            <w:pPr>
              <w:spacing w:after="0"/>
              <w:rPr>
                <w:rFonts w:cs="Arial"/>
              </w:rPr>
            </w:pPr>
            <w:r>
              <w:rPr>
                <w:rFonts w:cs="Arial"/>
              </w:rPr>
              <w:t>Construction</w:t>
            </w:r>
          </w:p>
        </w:tc>
        <w:tc>
          <w:tcPr>
            <w:tcW w:w="1271" w:type="dxa"/>
            <w:vAlign w:val="center"/>
          </w:tcPr>
          <w:p w14:paraId="374A33CB" w14:textId="77777777" w:rsidR="001C19A4" w:rsidRDefault="001C19A4" w:rsidP="005F27A6">
            <w:pPr>
              <w:spacing w:after="0"/>
              <w:jc w:val="center"/>
              <w:rPr>
                <w:rFonts w:cs="Arial"/>
              </w:rPr>
            </w:pPr>
            <w:r>
              <w:rPr>
                <w:rFonts w:cs="Arial"/>
              </w:rPr>
              <w:t>No</w:t>
            </w:r>
          </w:p>
        </w:tc>
        <w:tc>
          <w:tcPr>
            <w:tcW w:w="1256" w:type="dxa"/>
            <w:vAlign w:val="center"/>
          </w:tcPr>
          <w:p w14:paraId="34B1B8A8" w14:textId="77777777" w:rsidR="001C19A4" w:rsidRDefault="001C19A4" w:rsidP="005F27A6">
            <w:pPr>
              <w:spacing w:after="0"/>
              <w:jc w:val="center"/>
              <w:rPr>
                <w:rFonts w:cs="Arial"/>
              </w:rPr>
            </w:pPr>
            <w:r>
              <w:rPr>
                <w:rFonts w:cs="Arial"/>
              </w:rPr>
              <w:t>Yes</w:t>
            </w:r>
          </w:p>
        </w:tc>
        <w:tc>
          <w:tcPr>
            <w:tcW w:w="1401" w:type="dxa"/>
            <w:vAlign w:val="center"/>
          </w:tcPr>
          <w:p w14:paraId="2105CA91" w14:textId="77777777" w:rsidR="001C19A4" w:rsidRPr="008018A9" w:rsidRDefault="001C19A4" w:rsidP="005F27A6">
            <w:pPr>
              <w:spacing w:after="0"/>
              <w:jc w:val="center"/>
              <w:rPr>
                <w:rFonts w:cs="Arial"/>
              </w:rPr>
            </w:pPr>
            <w:r>
              <w:rPr>
                <w:rFonts w:cs="Arial"/>
              </w:rPr>
              <w:t>Yes</w:t>
            </w:r>
          </w:p>
        </w:tc>
        <w:tc>
          <w:tcPr>
            <w:tcW w:w="1434" w:type="dxa"/>
            <w:vAlign w:val="center"/>
          </w:tcPr>
          <w:p w14:paraId="7638E5BA" w14:textId="77777777" w:rsidR="001C19A4" w:rsidRDefault="001C19A4" w:rsidP="005F27A6">
            <w:pPr>
              <w:spacing w:after="0"/>
              <w:jc w:val="center"/>
              <w:rPr>
                <w:rFonts w:cs="Arial"/>
              </w:rPr>
            </w:pPr>
            <w:r>
              <w:rPr>
                <w:rFonts w:cs="Arial"/>
              </w:rPr>
              <w:t>No</w:t>
            </w:r>
          </w:p>
        </w:tc>
        <w:tc>
          <w:tcPr>
            <w:tcW w:w="1495" w:type="dxa"/>
            <w:vAlign w:val="center"/>
          </w:tcPr>
          <w:p w14:paraId="7FD21497" w14:textId="77777777" w:rsidR="001C19A4" w:rsidRPr="008018A9" w:rsidRDefault="001C19A4" w:rsidP="005F27A6">
            <w:pPr>
              <w:spacing w:after="0"/>
              <w:jc w:val="center"/>
              <w:rPr>
                <w:rFonts w:cs="Arial"/>
              </w:rPr>
            </w:pPr>
            <w:r>
              <w:rPr>
                <w:rFonts w:cs="Arial"/>
              </w:rPr>
              <w:t>No</w:t>
            </w:r>
          </w:p>
        </w:tc>
      </w:tr>
      <w:tr w:rsidR="001C19A4" w:rsidRPr="00A36D29" w14:paraId="49DA42CA" w14:textId="77777777" w:rsidTr="005F27A6">
        <w:trPr>
          <w:cantSplit/>
          <w:trHeight w:val="360"/>
        </w:trPr>
        <w:tc>
          <w:tcPr>
            <w:tcW w:w="1778" w:type="dxa"/>
            <w:vAlign w:val="center"/>
          </w:tcPr>
          <w:p w14:paraId="21ECBE94" w14:textId="77777777" w:rsidR="001C19A4" w:rsidRDefault="001C19A4" w:rsidP="005F27A6">
            <w:pPr>
              <w:spacing w:after="0"/>
              <w:rPr>
                <w:rFonts w:cs="Arial"/>
              </w:rPr>
            </w:pPr>
            <w:r>
              <w:rPr>
                <w:rFonts w:cs="Arial"/>
              </w:rPr>
              <w:t>Culinary &amp; Tourism</w:t>
            </w:r>
          </w:p>
        </w:tc>
        <w:tc>
          <w:tcPr>
            <w:tcW w:w="1271" w:type="dxa"/>
            <w:vAlign w:val="center"/>
          </w:tcPr>
          <w:p w14:paraId="1257ED77" w14:textId="77777777" w:rsidR="001C19A4" w:rsidRDefault="001C19A4" w:rsidP="005F27A6">
            <w:pPr>
              <w:spacing w:after="0"/>
              <w:jc w:val="center"/>
              <w:rPr>
                <w:rFonts w:cs="Arial"/>
              </w:rPr>
            </w:pPr>
            <w:r>
              <w:rPr>
                <w:rFonts w:cs="Arial"/>
              </w:rPr>
              <w:t>No</w:t>
            </w:r>
          </w:p>
        </w:tc>
        <w:tc>
          <w:tcPr>
            <w:tcW w:w="1256" w:type="dxa"/>
            <w:vAlign w:val="center"/>
          </w:tcPr>
          <w:p w14:paraId="523D9C76" w14:textId="77777777" w:rsidR="001C19A4" w:rsidRDefault="001C19A4" w:rsidP="005F27A6">
            <w:pPr>
              <w:spacing w:after="0"/>
              <w:jc w:val="center"/>
              <w:rPr>
                <w:rFonts w:cs="Arial"/>
              </w:rPr>
            </w:pPr>
            <w:r>
              <w:rPr>
                <w:rFonts w:cs="Arial"/>
              </w:rPr>
              <w:t>No</w:t>
            </w:r>
          </w:p>
        </w:tc>
        <w:tc>
          <w:tcPr>
            <w:tcW w:w="1401" w:type="dxa"/>
            <w:vAlign w:val="center"/>
          </w:tcPr>
          <w:p w14:paraId="20A8377B" w14:textId="77777777" w:rsidR="001C19A4" w:rsidRDefault="001C19A4" w:rsidP="005F27A6">
            <w:pPr>
              <w:spacing w:after="0"/>
              <w:jc w:val="center"/>
              <w:rPr>
                <w:rFonts w:cs="Arial"/>
              </w:rPr>
            </w:pPr>
            <w:r>
              <w:rPr>
                <w:rFonts w:cs="Arial"/>
              </w:rPr>
              <w:t>Yes</w:t>
            </w:r>
          </w:p>
        </w:tc>
        <w:tc>
          <w:tcPr>
            <w:tcW w:w="1434" w:type="dxa"/>
            <w:vAlign w:val="center"/>
          </w:tcPr>
          <w:p w14:paraId="706530A3" w14:textId="77777777" w:rsidR="001C19A4" w:rsidRDefault="001C19A4" w:rsidP="005F27A6">
            <w:pPr>
              <w:spacing w:after="0"/>
              <w:jc w:val="center"/>
              <w:rPr>
                <w:rFonts w:cs="Arial"/>
              </w:rPr>
            </w:pPr>
            <w:r>
              <w:rPr>
                <w:rFonts w:cs="Arial"/>
              </w:rPr>
              <w:t>No</w:t>
            </w:r>
          </w:p>
        </w:tc>
        <w:tc>
          <w:tcPr>
            <w:tcW w:w="1495" w:type="dxa"/>
            <w:vAlign w:val="center"/>
          </w:tcPr>
          <w:p w14:paraId="7507DDF0" w14:textId="77777777" w:rsidR="001C19A4" w:rsidRDefault="001C19A4" w:rsidP="005F27A6">
            <w:pPr>
              <w:spacing w:after="0"/>
              <w:jc w:val="center"/>
              <w:rPr>
                <w:rFonts w:cs="Arial"/>
              </w:rPr>
            </w:pPr>
            <w:r>
              <w:rPr>
                <w:rFonts w:cs="Arial"/>
              </w:rPr>
              <w:t>No</w:t>
            </w:r>
          </w:p>
        </w:tc>
      </w:tr>
      <w:tr w:rsidR="001C19A4" w:rsidRPr="00A36D29" w14:paraId="55C0AF4D" w14:textId="77777777" w:rsidTr="005F27A6">
        <w:trPr>
          <w:cantSplit/>
          <w:trHeight w:val="360"/>
        </w:trPr>
        <w:tc>
          <w:tcPr>
            <w:tcW w:w="1778" w:type="dxa"/>
            <w:vAlign w:val="center"/>
          </w:tcPr>
          <w:p w14:paraId="554109EF" w14:textId="77777777" w:rsidR="001C19A4" w:rsidRDefault="001C19A4" w:rsidP="005F27A6">
            <w:pPr>
              <w:spacing w:after="0"/>
              <w:rPr>
                <w:rFonts w:cs="Arial"/>
              </w:rPr>
            </w:pPr>
            <w:r>
              <w:rPr>
                <w:rFonts w:cs="Arial"/>
              </w:rPr>
              <w:t>Digital Media</w:t>
            </w:r>
          </w:p>
        </w:tc>
        <w:tc>
          <w:tcPr>
            <w:tcW w:w="1271" w:type="dxa"/>
            <w:vAlign w:val="center"/>
          </w:tcPr>
          <w:p w14:paraId="3B270BC3" w14:textId="77777777" w:rsidR="001C19A4" w:rsidRDefault="001C19A4" w:rsidP="005F27A6">
            <w:pPr>
              <w:spacing w:after="0"/>
              <w:jc w:val="center"/>
              <w:rPr>
                <w:rFonts w:cs="Arial"/>
              </w:rPr>
            </w:pPr>
            <w:r>
              <w:rPr>
                <w:rFonts w:cs="Arial"/>
              </w:rPr>
              <w:t>Yes</w:t>
            </w:r>
          </w:p>
        </w:tc>
        <w:tc>
          <w:tcPr>
            <w:tcW w:w="1256" w:type="dxa"/>
            <w:vAlign w:val="center"/>
          </w:tcPr>
          <w:p w14:paraId="63FB0DEE" w14:textId="77777777" w:rsidR="001C19A4" w:rsidRDefault="001C19A4" w:rsidP="005F27A6">
            <w:pPr>
              <w:spacing w:after="0"/>
              <w:jc w:val="center"/>
              <w:rPr>
                <w:rFonts w:cs="Arial"/>
              </w:rPr>
            </w:pPr>
            <w:r>
              <w:rPr>
                <w:rFonts w:cs="Arial"/>
              </w:rPr>
              <w:t>Yes*</w:t>
            </w:r>
          </w:p>
        </w:tc>
        <w:tc>
          <w:tcPr>
            <w:tcW w:w="1401" w:type="dxa"/>
            <w:vAlign w:val="center"/>
          </w:tcPr>
          <w:p w14:paraId="3152585A" w14:textId="77777777" w:rsidR="001C19A4" w:rsidRPr="008018A9" w:rsidRDefault="001C19A4" w:rsidP="005F27A6">
            <w:pPr>
              <w:spacing w:after="0"/>
              <w:jc w:val="center"/>
              <w:rPr>
                <w:rFonts w:cs="Arial"/>
              </w:rPr>
            </w:pPr>
            <w:r>
              <w:rPr>
                <w:rFonts w:cs="Arial"/>
              </w:rPr>
              <w:t>Yes</w:t>
            </w:r>
          </w:p>
        </w:tc>
        <w:tc>
          <w:tcPr>
            <w:tcW w:w="1434" w:type="dxa"/>
            <w:vAlign w:val="center"/>
          </w:tcPr>
          <w:p w14:paraId="3F1435F5" w14:textId="77777777" w:rsidR="001C19A4" w:rsidRPr="008018A9" w:rsidRDefault="001C19A4" w:rsidP="005F27A6">
            <w:pPr>
              <w:spacing w:after="0"/>
              <w:jc w:val="center"/>
              <w:rPr>
                <w:rFonts w:cs="Arial"/>
              </w:rPr>
            </w:pPr>
            <w:r>
              <w:rPr>
                <w:rFonts w:cs="Arial"/>
              </w:rPr>
              <w:t>Yes</w:t>
            </w:r>
          </w:p>
        </w:tc>
        <w:tc>
          <w:tcPr>
            <w:tcW w:w="1495" w:type="dxa"/>
            <w:vAlign w:val="center"/>
          </w:tcPr>
          <w:p w14:paraId="0566D9DD" w14:textId="77777777" w:rsidR="001C19A4" w:rsidRPr="008018A9" w:rsidRDefault="001C19A4" w:rsidP="005F27A6">
            <w:pPr>
              <w:spacing w:after="0"/>
              <w:jc w:val="center"/>
              <w:rPr>
                <w:rFonts w:cs="Arial"/>
              </w:rPr>
            </w:pPr>
            <w:r>
              <w:rPr>
                <w:rFonts w:cs="Arial"/>
              </w:rPr>
              <w:t>No</w:t>
            </w:r>
          </w:p>
        </w:tc>
      </w:tr>
      <w:tr w:rsidR="001C19A4" w:rsidRPr="00A36D29" w14:paraId="5FAF09A2" w14:textId="77777777" w:rsidTr="005F27A6">
        <w:trPr>
          <w:cantSplit/>
          <w:trHeight w:val="360"/>
        </w:trPr>
        <w:tc>
          <w:tcPr>
            <w:tcW w:w="1778" w:type="dxa"/>
            <w:vAlign w:val="center"/>
          </w:tcPr>
          <w:p w14:paraId="5C1209C4" w14:textId="77777777" w:rsidR="001C19A4" w:rsidRDefault="001C19A4" w:rsidP="005F27A6">
            <w:pPr>
              <w:spacing w:after="0"/>
              <w:rPr>
                <w:rFonts w:cs="Arial"/>
              </w:rPr>
            </w:pPr>
            <w:r>
              <w:rPr>
                <w:rFonts w:cs="Arial"/>
              </w:rPr>
              <w:t>Education</w:t>
            </w:r>
          </w:p>
        </w:tc>
        <w:tc>
          <w:tcPr>
            <w:tcW w:w="1271" w:type="dxa"/>
            <w:vAlign w:val="center"/>
          </w:tcPr>
          <w:p w14:paraId="3B0D9A84" w14:textId="77777777" w:rsidR="001C19A4" w:rsidRDefault="001C19A4" w:rsidP="005F27A6">
            <w:pPr>
              <w:spacing w:after="0"/>
              <w:jc w:val="center"/>
              <w:rPr>
                <w:rFonts w:cs="Arial"/>
              </w:rPr>
            </w:pPr>
            <w:r>
              <w:rPr>
                <w:rFonts w:cs="Arial"/>
              </w:rPr>
              <w:t>No</w:t>
            </w:r>
          </w:p>
        </w:tc>
        <w:tc>
          <w:tcPr>
            <w:tcW w:w="1256" w:type="dxa"/>
            <w:vAlign w:val="center"/>
          </w:tcPr>
          <w:p w14:paraId="13ED8C87" w14:textId="77777777" w:rsidR="001C19A4" w:rsidRDefault="001C19A4" w:rsidP="005F27A6">
            <w:pPr>
              <w:spacing w:after="0"/>
              <w:jc w:val="center"/>
              <w:rPr>
                <w:rFonts w:cs="Arial"/>
              </w:rPr>
            </w:pPr>
            <w:r>
              <w:rPr>
                <w:rFonts w:cs="Arial"/>
              </w:rPr>
              <w:t>No</w:t>
            </w:r>
          </w:p>
        </w:tc>
        <w:tc>
          <w:tcPr>
            <w:tcW w:w="1401" w:type="dxa"/>
            <w:vAlign w:val="center"/>
          </w:tcPr>
          <w:p w14:paraId="1B34D0F7" w14:textId="77777777" w:rsidR="001C19A4" w:rsidRDefault="001C19A4" w:rsidP="005F27A6">
            <w:pPr>
              <w:spacing w:after="0"/>
              <w:jc w:val="center"/>
              <w:rPr>
                <w:rFonts w:cs="Arial"/>
              </w:rPr>
            </w:pPr>
            <w:r>
              <w:rPr>
                <w:rFonts w:cs="Arial"/>
              </w:rPr>
              <w:t>No</w:t>
            </w:r>
          </w:p>
        </w:tc>
        <w:tc>
          <w:tcPr>
            <w:tcW w:w="1434" w:type="dxa"/>
            <w:vAlign w:val="center"/>
          </w:tcPr>
          <w:p w14:paraId="544156DE" w14:textId="77777777" w:rsidR="001C19A4" w:rsidRDefault="001C19A4" w:rsidP="005F27A6">
            <w:pPr>
              <w:spacing w:after="0"/>
              <w:jc w:val="center"/>
              <w:rPr>
                <w:rFonts w:cs="Arial"/>
              </w:rPr>
            </w:pPr>
            <w:r>
              <w:rPr>
                <w:rFonts w:cs="Arial"/>
              </w:rPr>
              <w:t>Yes*</w:t>
            </w:r>
          </w:p>
        </w:tc>
        <w:tc>
          <w:tcPr>
            <w:tcW w:w="1495" w:type="dxa"/>
            <w:vAlign w:val="center"/>
          </w:tcPr>
          <w:p w14:paraId="69AE52E5" w14:textId="77777777" w:rsidR="001C19A4" w:rsidRDefault="001C19A4" w:rsidP="005F27A6">
            <w:pPr>
              <w:spacing w:after="0"/>
              <w:jc w:val="center"/>
              <w:rPr>
                <w:rFonts w:cs="Arial"/>
              </w:rPr>
            </w:pPr>
            <w:r>
              <w:rPr>
                <w:rFonts w:cs="Arial"/>
              </w:rPr>
              <w:t>Yes</w:t>
            </w:r>
          </w:p>
        </w:tc>
      </w:tr>
      <w:tr w:rsidR="001C19A4" w:rsidRPr="00A36D29" w14:paraId="1EBE80EB" w14:textId="77777777" w:rsidTr="005F27A6">
        <w:trPr>
          <w:cantSplit/>
          <w:trHeight w:val="360"/>
        </w:trPr>
        <w:tc>
          <w:tcPr>
            <w:tcW w:w="1778" w:type="dxa"/>
            <w:vAlign w:val="center"/>
          </w:tcPr>
          <w:p w14:paraId="59118203" w14:textId="77777777" w:rsidR="001C19A4" w:rsidRDefault="001C19A4" w:rsidP="005F27A6">
            <w:pPr>
              <w:spacing w:after="0"/>
              <w:rPr>
                <w:rFonts w:cs="Arial"/>
              </w:rPr>
            </w:pPr>
            <w:r>
              <w:rPr>
                <w:rFonts w:cs="Arial"/>
              </w:rPr>
              <w:t>Engineering</w:t>
            </w:r>
          </w:p>
        </w:tc>
        <w:tc>
          <w:tcPr>
            <w:tcW w:w="1271" w:type="dxa"/>
            <w:vAlign w:val="center"/>
          </w:tcPr>
          <w:p w14:paraId="0FB59817" w14:textId="77777777" w:rsidR="001C19A4" w:rsidRDefault="001C19A4" w:rsidP="005F27A6">
            <w:pPr>
              <w:spacing w:after="0"/>
              <w:jc w:val="center"/>
              <w:rPr>
                <w:rFonts w:cs="Arial"/>
              </w:rPr>
            </w:pPr>
            <w:r>
              <w:rPr>
                <w:rFonts w:cs="Arial"/>
              </w:rPr>
              <w:t>No</w:t>
            </w:r>
          </w:p>
        </w:tc>
        <w:tc>
          <w:tcPr>
            <w:tcW w:w="1256" w:type="dxa"/>
            <w:vAlign w:val="center"/>
          </w:tcPr>
          <w:p w14:paraId="44986C84" w14:textId="77777777" w:rsidR="001C19A4" w:rsidRDefault="001C19A4" w:rsidP="005F27A6">
            <w:pPr>
              <w:spacing w:after="0"/>
              <w:jc w:val="center"/>
              <w:rPr>
                <w:rFonts w:cs="Arial"/>
              </w:rPr>
            </w:pPr>
            <w:r>
              <w:rPr>
                <w:rFonts w:cs="Arial"/>
              </w:rPr>
              <w:t>Yes</w:t>
            </w:r>
          </w:p>
        </w:tc>
        <w:tc>
          <w:tcPr>
            <w:tcW w:w="1401" w:type="dxa"/>
            <w:vAlign w:val="center"/>
          </w:tcPr>
          <w:p w14:paraId="2687ECB4" w14:textId="77777777" w:rsidR="001C19A4" w:rsidRDefault="001C19A4" w:rsidP="005F27A6">
            <w:pPr>
              <w:spacing w:after="0"/>
              <w:jc w:val="center"/>
              <w:rPr>
                <w:rFonts w:cs="Arial"/>
              </w:rPr>
            </w:pPr>
            <w:r>
              <w:rPr>
                <w:rFonts w:cs="Arial"/>
              </w:rPr>
              <w:t>Yes</w:t>
            </w:r>
          </w:p>
        </w:tc>
        <w:tc>
          <w:tcPr>
            <w:tcW w:w="1434" w:type="dxa"/>
            <w:vAlign w:val="center"/>
          </w:tcPr>
          <w:p w14:paraId="47908CAF" w14:textId="77777777" w:rsidR="001C19A4" w:rsidRDefault="001C19A4" w:rsidP="005F27A6">
            <w:pPr>
              <w:spacing w:after="0"/>
              <w:jc w:val="center"/>
              <w:rPr>
                <w:rFonts w:cs="Arial"/>
              </w:rPr>
            </w:pPr>
            <w:r>
              <w:rPr>
                <w:rFonts w:cs="Arial"/>
              </w:rPr>
              <w:t>Yes</w:t>
            </w:r>
          </w:p>
        </w:tc>
        <w:tc>
          <w:tcPr>
            <w:tcW w:w="1495" w:type="dxa"/>
            <w:vAlign w:val="center"/>
          </w:tcPr>
          <w:p w14:paraId="0F71E081" w14:textId="77777777" w:rsidR="001C19A4" w:rsidRDefault="001C19A4" w:rsidP="005F27A6">
            <w:pPr>
              <w:spacing w:after="0"/>
              <w:jc w:val="center"/>
              <w:rPr>
                <w:rFonts w:cs="Arial"/>
              </w:rPr>
            </w:pPr>
            <w:r>
              <w:rPr>
                <w:rFonts w:cs="Arial"/>
              </w:rPr>
              <w:t>Yes</w:t>
            </w:r>
          </w:p>
        </w:tc>
      </w:tr>
      <w:tr w:rsidR="001C19A4" w:rsidRPr="00A36D29" w14:paraId="569D8E5C" w14:textId="77777777" w:rsidTr="005F27A6">
        <w:trPr>
          <w:cantSplit/>
          <w:trHeight w:val="360"/>
        </w:trPr>
        <w:tc>
          <w:tcPr>
            <w:tcW w:w="1778" w:type="dxa"/>
            <w:vAlign w:val="center"/>
          </w:tcPr>
          <w:p w14:paraId="0D6478DD" w14:textId="77777777" w:rsidR="001C19A4" w:rsidRDefault="001C19A4" w:rsidP="005F27A6">
            <w:pPr>
              <w:spacing w:after="0"/>
              <w:rPr>
                <w:rFonts w:cs="Arial"/>
              </w:rPr>
            </w:pPr>
            <w:r>
              <w:rPr>
                <w:rFonts w:cs="Arial"/>
              </w:rPr>
              <w:t>Health Care</w:t>
            </w:r>
          </w:p>
        </w:tc>
        <w:tc>
          <w:tcPr>
            <w:tcW w:w="1271" w:type="dxa"/>
            <w:vAlign w:val="center"/>
          </w:tcPr>
          <w:p w14:paraId="627D6051" w14:textId="77777777" w:rsidR="001C19A4" w:rsidRDefault="001C19A4" w:rsidP="005F27A6">
            <w:pPr>
              <w:spacing w:after="0"/>
              <w:jc w:val="center"/>
              <w:rPr>
                <w:rFonts w:cs="Arial"/>
              </w:rPr>
            </w:pPr>
            <w:r>
              <w:rPr>
                <w:rFonts w:cs="Arial"/>
              </w:rPr>
              <w:t>Yes</w:t>
            </w:r>
          </w:p>
        </w:tc>
        <w:tc>
          <w:tcPr>
            <w:tcW w:w="1256" w:type="dxa"/>
            <w:vAlign w:val="center"/>
          </w:tcPr>
          <w:p w14:paraId="7EE4FFCE" w14:textId="77777777" w:rsidR="001C19A4" w:rsidRDefault="001C19A4" w:rsidP="005F27A6">
            <w:pPr>
              <w:spacing w:after="0"/>
              <w:jc w:val="center"/>
              <w:rPr>
                <w:rFonts w:cs="Arial"/>
              </w:rPr>
            </w:pPr>
            <w:r>
              <w:rPr>
                <w:rFonts w:cs="Arial"/>
              </w:rPr>
              <w:t>No</w:t>
            </w:r>
          </w:p>
        </w:tc>
        <w:tc>
          <w:tcPr>
            <w:tcW w:w="1401" w:type="dxa"/>
            <w:vAlign w:val="center"/>
          </w:tcPr>
          <w:p w14:paraId="32366FC2" w14:textId="77777777" w:rsidR="001C19A4" w:rsidRPr="008018A9" w:rsidRDefault="001C19A4" w:rsidP="005F27A6">
            <w:pPr>
              <w:spacing w:after="0"/>
              <w:jc w:val="center"/>
              <w:rPr>
                <w:rFonts w:cs="Arial"/>
              </w:rPr>
            </w:pPr>
            <w:r>
              <w:rPr>
                <w:rFonts w:cs="Arial"/>
              </w:rPr>
              <w:t>Yes</w:t>
            </w:r>
          </w:p>
        </w:tc>
        <w:tc>
          <w:tcPr>
            <w:tcW w:w="1434" w:type="dxa"/>
            <w:vAlign w:val="center"/>
          </w:tcPr>
          <w:p w14:paraId="6D6A2AEF" w14:textId="77777777" w:rsidR="001C19A4" w:rsidRPr="008018A9" w:rsidRDefault="001C19A4" w:rsidP="005F27A6">
            <w:pPr>
              <w:spacing w:after="0"/>
              <w:jc w:val="center"/>
              <w:rPr>
                <w:rFonts w:cs="Arial"/>
              </w:rPr>
            </w:pPr>
            <w:r>
              <w:rPr>
                <w:rFonts w:cs="Arial"/>
              </w:rPr>
              <w:t>Yes</w:t>
            </w:r>
          </w:p>
        </w:tc>
        <w:tc>
          <w:tcPr>
            <w:tcW w:w="1495" w:type="dxa"/>
            <w:vAlign w:val="center"/>
          </w:tcPr>
          <w:p w14:paraId="1CFDFB47" w14:textId="77777777" w:rsidR="001C19A4" w:rsidRPr="008018A9" w:rsidRDefault="001C19A4" w:rsidP="005F27A6">
            <w:pPr>
              <w:spacing w:after="0"/>
              <w:jc w:val="center"/>
              <w:rPr>
                <w:rFonts w:cs="Arial"/>
              </w:rPr>
            </w:pPr>
            <w:r>
              <w:rPr>
                <w:rFonts w:cs="Arial"/>
              </w:rPr>
              <w:t>Yes</w:t>
            </w:r>
          </w:p>
        </w:tc>
      </w:tr>
      <w:tr w:rsidR="001C19A4" w:rsidRPr="00A36D29" w14:paraId="72094747" w14:textId="77777777" w:rsidTr="005F27A6">
        <w:trPr>
          <w:cantSplit/>
          <w:trHeight w:val="360"/>
        </w:trPr>
        <w:tc>
          <w:tcPr>
            <w:tcW w:w="1778" w:type="dxa"/>
            <w:vAlign w:val="center"/>
          </w:tcPr>
          <w:p w14:paraId="756B48C5" w14:textId="77777777" w:rsidR="001C19A4" w:rsidRDefault="001C19A4" w:rsidP="005F27A6">
            <w:pPr>
              <w:spacing w:after="0"/>
              <w:rPr>
                <w:rFonts w:cs="Arial"/>
              </w:rPr>
            </w:pPr>
            <w:r>
              <w:rPr>
                <w:rFonts w:cs="Arial"/>
              </w:rPr>
              <w:t>Hospitality</w:t>
            </w:r>
          </w:p>
        </w:tc>
        <w:tc>
          <w:tcPr>
            <w:tcW w:w="1271" w:type="dxa"/>
            <w:vAlign w:val="center"/>
          </w:tcPr>
          <w:p w14:paraId="2FD3963E" w14:textId="77777777" w:rsidR="001C19A4" w:rsidRDefault="001C19A4" w:rsidP="005F27A6">
            <w:pPr>
              <w:spacing w:after="0"/>
              <w:jc w:val="center"/>
              <w:rPr>
                <w:rFonts w:cs="Arial"/>
              </w:rPr>
            </w:pPr>
            <w:r>
              <w:rPr>
                <w:rFonts w:cs="Arial"/>
              </w:rPr>
              <w:t>No</w:t>
            </w:r>
          </w:p>
        </w:tc>
        <w:tc>
          <w:tcPr>
            <w:tcW w:w="1256" w:type="dxa"/>
            <w:vAlign w:val="center"/>
          </w:tcPr>
          <w:p w14:paraId="633798EB" w14:textId="77777777" w:rsidR="001C19A4" w:rsidRDefault="001C19A4" w:rsidP="005F27A6">
            <w:pPr>
              <w:spacing w:after="0"/>
              <w:jc w:val="center"/>
              <w:rPr>
                <w:rFonts w:cs="Arial"/>
              </w:rPr>
            </w:pPr>
            <w:r>
              <w:rPr>
                <w:rFonts w:cs="Arial"/>
              </w:rPr>
              <w:t>No</w:t>
            </w:r>
          </w:p>
        </w:tc>
        <w:tc>
          <w:tcPr>
            <w:tcW w:w="1401" w:type="dxa"/>
            <w:vAlign w:val="center"/>
          </w:tcPr>
          <w:p w14:paraId="66F26BC0" w14:textId="77777777" w:rsidR="001C19A4" w:rsidRDefault="001C19A4" w:rsidP="005F27A6">
            <w:pPr>
              <w:spacing w:after="0"/>
              <w:jc w:val="center"/>
              <w:rPr>
                <w:rFonts w:cs="Arial"/>
              </w:rPr>
            </w:pPr>
            <w:r>
              <w:rPr>
                <w:rFonts w:cs="Arial"/>
              </w:rPr>
              <w:t>Yes</w:t>
            </w:r>
          </w:p>
        </w:tc>
        <w:tc>
          <w:tcPr>
            <w:tcW w:w="1434" w:type="dxa"/>
            <w:vAlign w:val="center"/>
          </w:tcPr>
          <w:p w14:paraId="7D1C92AB" w14:textId="77777777" w:rsidR="001C19A4" w:rsidRDefault="001C19A4" w:rsidP="005F27A6">
            <w:pPr>
              <w:spacing w:after="0"/>
              <w:jc w:val="center"/>
              <w:rPr>
                <w:rFonts w:cs="Arial"/>
              </w:rPr>
            </w:pPr>
            <w:r>
              <w:rPr>
                <w:rFonts w:cs="Arial"/>
              </w:rPr>
              <w:t>No</w:t>
            </w:r>
          </w:p>
        </w:tc>
        <w:tc>
          <w:tcPr>
            <w:tcW w:w="1495" w:type="dxa"/>
            <w:vAlign w:val="center"/>
          </w:tcPr>
          <w:p w14:paraId="4C3395DE" w14:textId="77777777" w:rsidR="001C19A4" w:rsidRDefault="001C19A4" w:rsidP="005F27A6">
            <w:pPr>
              <w:spacing w:after="0"/>
              <w:jc w:val="center"/>
              <w:rPr>
                <w:rFonts w:cs="Arial"/>
              </w:rPr>
            </w:pPr>
            <w:r>
              <w:rPr>
                <w:rFonts w:cs="Arial"/>
              </w:rPr>
              <w:t>No</w:t>
            </w:r>
          </w:p>
        </w:tc>
      </w:tr>
      <w:tr w:rsidR="001C19A4" w:rsidRPr="00A36D29" w14:paraId="61F4BB79" w14:textId="77777777" w:rsidTr="005F27A6">
        <w:trPr>
          <w:cantSplit/>
          <w:trHeight w:val="360"/>
        </w:trPr>
        <w:tc>
          <w:tcPr>
            <w:tcW w:w="1778" w:type="dxa"/>
            <w:vAlign w:val="center"/>
          </w:tcPr>
          <w:p w14:paraId="690062A1" w14:textId="77777777" w:rsidR="001C19A4" w:rsidRDefault="001C19A4" w:rsidP="005F27A6">
            <w:pPr>
              <w:spacing w:after="0"/>
              <w:rPr>
                <w:rFonts w:cs="Arial"/>
              </w:rPr>
            </w:pPr>
            <w:r>
              <w:rPr>
                <w:rFonts w:cs="Arial"/>
              </w:rPr>
              <w:t>Transportation</w:t>
            </w:r>
          </w:p>
        </w:tc>
        <w:tc>
          <w:tcPr>
            <w:tcW w:w="1271" w:type="dxa"/>
            <w:vAlign w:val="center"/>
          </w:tcPr>
          <w:p w14:paraId="4ED4B3CC" w14:textId="77777777" w:rsidR="001C19A4" w:rsidRDefault="001C19A4" w:rsidP="005F27A6">
            <w:pPr>
              <w:spacing w:after="0"/>
              <w:jc w:val="center"/>
              <w:rPr>
                <w:rFonts w:cs="Arial"/>
              </w:rPr>
            </w:pPr>
            <w:r>
              <w:rPr>
                <w:rFonts w:cs="Arial"/>
              </w:rPr>
              <w:t>No</w:t>
            </w:r>
          </w:p>
        </w:tc>
        <w:tc>
          <w:tcPr>
            <w:tcW w:w="1256" w:type="dxa"/>
            <w:vAlign w:val="center"/>
          </w:tcPr>
          <w:p w14:paraId="510275DF" w14:textId="77777777" w:rsidR="001C19A4" w:rsidRDefault="001C19A4" w:rsidP="005F27A6">
            <w:pPr>
              <w:spacing w:after="0"/>
              <w:jc w:val="center"/>
              <w:rPr>
                <w:rFonts w:cs="Arial"/>
              </w:rPr>
            </w:pPr>
            <w:r>
              <w:rPr>
                <w:rFonts w:cs="Arial"/>
              </w:rPr>
              <w:t>Yes</w:t>
            </w:r>
          </w:p>
        </w:tc>
        <w:tc>
          <w:tcPr>
            <w:tcW w:w="1401" w:type="dxa"/>
            <w:vAlign w:val="center"/>
          </w:tcPr>
          <w:p w14:paraId="6670C0E7" w14:textId="77777777" w:rsidR="001C19A4" w:rsidRDefault="001C19A4" w:rsidP="005F27A6">
            <w:pPr>
              <w:spacing w:after="0"/>
              <w:jc w:val="center"/>
              <w:rPr>
                <w:rFonts w:cs="Arial"/>
              </w:rPr>
            </w:pPr>
            <w:r>
              <w:rPr>
                <w:rFonts w:cs="Arial"/>
              </w:rPr>
              <w:t>No</w:t>
            </w:r>
          </w:p>
        </w:tc>
        <w:tc>
          <w:tcPr>
            <w:tcW w:w="1434" w:type="dxa"/>
            <w:vAlign w:val="center"/>
          </w:tcPr>
          <w:p w14:paraId="0EA55668" w14:textId="77777777" w:rsidR="001C19A4" w:rsidRDefault="001C19A4" w:rsidP="005F27A6">
            <w:pPr>
              <w:spacing w:after="0"/>
              <w:jc w:val="center"/>
              <w:rPr>
                <w:rFonts w:cs="Arial"/>
              </w:rPr>
            </w:pPr>
            <w:r>
              <w:rPr>
                <w:rFonts w:cs="Arial"/>
              </w:rPr>
              <w:t>No</w:t>
            </w:r>
          </w:p>
        </w:tc>
        <w:tc>
          <w:tcPr>
            <w:tcW w:w="1495" w:type="dxa"/>
            <w:vAlign w:val="center"/>
          </w:tcPr>
          <w:p w14:paraId="77F08A40" w14:textId="77777777" w:rsidR="001C19A4" w:rsidRDefault="001C19A4" w:rsidP="005F27A6">
            <w:pPr>
              <w:spacing w:after="0"/>
              <w:jc w:val="center"/>
              <w:rPr>
                <w:rFonts w:cs="Arial"/>
              </w:rPr>
            </w:pPr>
            <w:r>
              <w:rPr>
                <w:rFonts w:cs="Arial"/>
              </w:rPr>
              <w:t>No</w:t>
            </w:r>
          </w:p>
        </w:tc>
      </w:tr>
      <w:tr w:rsidR="001C19A4" w:rsidRPr="00A36D29" w14:paraId="170EED4F" w14:textId="77777777" w:rsidTr="005F27A6">
        <w:trPr>
          <w:cantSplit/>
          <w:trHeight w:val="360"/>
        </w:trPr>
        <w:tc>
          <w:tcPr>
            <w:tcW w:w="1778" w:type="dxa"/>
            <w:vAlign w:val="center"/>
          </w:tcPr>
          <w:p w14:paraId="04C90579" w14:textId="77777777" w:rsidR="001C19A4" w:rsidRDefault="001C19A4" w:rsidP="005F27A6">
            <w:pPr>
              <w:spacing w:after="0"/>
              <w:rPr>
                <w:rFonts w:cs="Arial"/>
              </w:rPr>
            </w:pPr>
            <w:r>
              <w:rPr>
                <w:rFonts w:cs="Arial"/>
              </w:rPr>
              <w:lastRenderedPageBreak/>
              <w:t>Number of Course Areas</w:t>
            </w:r>
          </w:p>
        </w:tc>
        <w:tc>
          <w:tcPr>
            <w:tcW w:w="1271" w:type="dxa"/>
            <w:vAlign w:val="center"/>
          </w:tcPr>
          <w:p w14:paraId="2EE3B7BE" w14:textId="77777777" w:rsidR="001C19A4" w:rsidRDefault="001C19A4" w:rsidP="005F27A6">
            <w:pPr>
              <w:spacing w:after="0"/>
              <w:jc w:val="center"/>
              <w:rPr>
                <w:rFonts w:cs="Arial"/>
              </w:rPr>
            </w:pPr>
            <w:r>
              <w:rPr>
                <w:rFonts w:cs="Arial"/>
              </w:rPr>
              <w:t>4</w:t>
            </w:r>
          </w:p>
        </w:tc>
        <w:tc>
          <w:tcPr>
            <w:tcW w:w="1256" w:type="dxa"/>
            <w:vAlign w:val="center"/>
          </w:tcPr>
          <w:p w14:paraId="710CC41E" w14:textId="77777777" w:rsidR="001C19A4" w:rsidRDefault="001C19A4" w:rsidP="005F27A6">
            <w:pPr>
              <w:spacing w:after="0"/>
              <w:jc w:val="center"/>
              <w:rPr>
                <w:rFonts w:cs="Arial"/>
              </w:rPr>
            </w:pPr>
            <w:r>
              <w:rPr>
                <w:rFonts w:cs="Arial"/>
              </w:rPr>
              <w:t>7</w:t>
            </w:r>
          </w:p>
        </w:tc>
        <w:tc>
          <w:tcPr>
            <w:tcW w:w="1401" w:type="dxa"/>
            <w:vAlign w:val="center"/>
          </w:tcPr>
          <w:p w14:paraId="11CCB9C6" w14:textId="77777777" w:rsidR="001C19A4" w:rsidRDefault="001C19A4" w:rsidP="005F27A6">
            <w:pPr>
              <w:spacing w:after="0"/>
              <w:jc w:val="center"/>
              <w:rPr>
                <w:rFonts w:cs="Arial"/>
              </w:rPr>
            </w:pPr>
            <w:r>
              <w:rPr>
                <w:rFonts w:cs="Arial"/>
              </w:rPr>
              <w:t>9</w:t>
            </w:r>
          </w:p>
        </w:tc>
        <w:tc>
          <w:tcPr>
            <w:tcW w:w="1434" w:type="dxa"/>
            <w:vAlign w:val="center"/>
          </w:tcPr>
          <w:p w14:paraId="75FF929B" w14:textId="77777777" w:rsidR="001C19A4" w:rsidRDefault="001C19A4" w:rsidP="005F27A6">
            <w:pPr>
              <w:spacing w:after="0"/>
              <w:jc w:val="center"/>
              <w:rPr>
                <w:rFonts w:cs="Arial"/>
              </w:rPr>
            </w:pPr>
            <w:r>
              <w:rPr>
                <w:rFonts w:cs="Arial"/>
              </w:rPr>
              <w:t>6</w:t>
            </w:r>
          </w:p>
        </w:tc>
        <w:tc>
          <w:tcPr>
            <w:tcW w:w="1495" w:type="dxa"/>
            <w:vAlign w:val="center"/>
          </w:tcPr>
          <w:p w14:paraId="68A82E8E" w14:textId="77777777" w:rsidR="001C19A4" w:rsidRDefault="001C19A4" w:rsidP="005F27A6">
            <w:pPr>
              <w:spacing w:after="0"/>
              <w:jc w:val="center"/>
              <w:rPr>
                <w:rFonts w:cs="Arial"/>
              </w:rPr>
            </w:pPr>
            <w:r>
              <w:rPr>
                <w:rFonts w:cs="Arial"/>
              </w:rPr>
              <w:t>4</w:t>
            </w:r>
          </w:p>
        </w:tc>
      </w:tr>
      <w:tr w:rsidR="001C19A4" w:rsidRPr="00A36D29" w14:paraId="1C03B9E5" w14:textId="77777777" w:rsidTr="005F27A6">
        <w:trPr>
          <w:cantSplit/>
          <w:trHeight w:val="360"/>
        </w:trPr>
        <w:tc>
          <w:tcPr>
            <w:tcW w:w="1778" w:type="dxa"/>
            <w:vAlign w:val="center"/>
          </w:tcPr>
          <w:p w14:paraId="32B29C82" w14:textId="77777777" w:rsidR="001C19A4" w:rsidRPr="00A36D29" w:rsidRDefault="001C19A4" w:rsidP="005F27A6">
            <w:pPr>
              <w:spacing w:after="0"/>
              <w:rPr>
                <w:rFonts w:cs="Arial"/>
              </w:rPr>
            </w:pPr>
            <w:r>
              <w:rPr>
                <w:rFonts w:cs="Arial"/>
              </w:rPr>
              <w:t xml:space="preserve">Pupils Participating </w:t>
            </w:r>
          </w:p>
        </w:tc>
        <w:tc>
          <w:tcPr>
            <w:tcW w:w="1271" w:type="dxa"/>
            <w:vAlign w:val="center"/>
          </w:tcPr>
          <w:p w14:paraId="092AF288" w14:textId="77777777" w:rsidR="001C19A4" w:rsidRPr="00A36D29" w:rsidRDefault="001C19A4" w:rsidP="005F27A6">
            <w:pPr>
              <w:spacing w:after="0"/>
              <w:jc w:val="center"/>
              <w:rPr>
                <w:rFonts w:cs="Arial"/>
              </w:rPr>
            </w:pPr>
            <w:r>
              <w:rPr>
                <w:rFonts w:cs="Arial"/>
              </w:rPr>
              <w:t>789</w:t>
            </w:r>
          </w:p>
        </w:tc>
        <w:tc>
          <w:tcPr>
            <w:tcW w:w="1256" w:type="dxa"/>
            <w:vAlign w:val="center"/>
          </w:tcPr>
          <w:p w14:paraId="4FA713F0" w14:textId="77777777" w:rsidR="001C19A4" w:rsidRPr="00A36D29" w:rsidRDefault="001C19A4" w:rsidP="005F27A6">
            <w:pPr>
              <w:spacing w:after="0"/>
              <w:jc w:val="center"/>
              <w:rPr>
                <w:rFonts w:cs="Arial"/>
              </w:rPr>
            </w:pPr>
            <w:r>
              <w:rPr>
                <w:rFonts w:cs="Arial"/>
              </w:rPr>
              <w:t>486</w:t>
            </w:r>
          </w:p>
        </w:tc>
        <w:tc>
          <w:tcPr>
            <w:tcW w:w="1401" w:type="dxa"/>
            <w:vAlign w:val="center"/>
          </w:tcPr>
          <w:p w14:paraId="57B4B16F" w14:textId="1CC732E8" w:rsidR="001C19A4" w:rsidRPr="00A36D29" w:rsidRDefault="001C19A4" w:rsidP="005F27A6">
            <w:pPr>
              <w:spacing w:after="0"/>
              <w:jc w:val="center"/>
              <w:rPr>
                <w:rFonts w:cs="Arial"/>
              </w:rPr>
            </w:pPr>
            <w:r>
              <w:rPr>
                <w:rFonts w:cs="Arial"/>
              </w:rPr>
              <w:t>1</w:t>
            </w:r>
            <w:r w:rsidR="00571E1D">
              <w:rPr>
                <w:rFonts w:cs="Arial"/>
              </w:rPr>
              <w:t>,</w:t>
            </w:r>
            <w:r>
              <w:rPr>
                <w:rFonts w:cs="Arial"/>
              </w:rPr>
              <w:t>086</w:t>
            </w:r>
          </w:p>
        </w:tc>
        <w:tc>
          <w:tcPr>
            <w:tcW w:w="1434" w:type="dxa"/>
            <w:vAlign w:val="center"/>
          </w:tcPr>
          <w:p w14:paraId="4A07C198" w14:textId="77777777" w:rsidR="001C19A4" w:rsidRPr="00A36D29" w:rsidRDefault="001C19A4" w:rsidP="005F27A6">
            <w:pPr>
              <w:spacing w:after="0"/>
              <w:jc w:val="center"/>
              <w:rPr>
                <w:rFonts w:cs="Arial"/>
              </w:rPr>
            </w:pPr>
            <w:r>
              <w:rPr>
                <w:rFonts w:cs="Arial"/>
              </w:rPr>
              <w:t>486</w:t>
            </w:r>
          </w:p>
        </w:tc>
        <w:tc>
          <w:tcPr>
            <w:tcW w:w="1495" w:type="dxa"/>
            <w:vAlign w:val="center"/>
          </w:tcPr>
          <w:p w14:paraId="269ACEFE" w14:textId="77777777" w:rsidR="001C19A4" w:rsidRPr="00A36D29" w:rsidRDefault="001C19A4" w:rsidP="005F27A6">
            <w:pPr>
              <w:spacing w:after="0"/>
              <w:jc w:val="center"/>
              <w:rPr>
                <w:rFonts w:cs="Arial"/>
              </w:rPr>
            </w:pPr>
            <w:r>
              <w:rPr>
                <w:rFonts w:cs="Arial"/>
              </w:rPr>
              <w:t>518</w:t>
            </w:r>
          </w:p>
        </w:tc>
      </w:tr>
      <w:tr w:rsidR="001C19A4" w:rsidRPr="00A36D29" w14:paraId="2BF2D22B" w14:textId="77777777" w:rsidTr="005F27A6">
        <w:trPr>
          <w:cantSplit/>
          <w:trHeight w:val="360"/>
        </w:trPr>
        <w:tc>
          <w:tcPr>
            <w:tcW w:w="1778" w:type="dxa"/>
            <w:vAlign w:val="center"/>
          </w:tcPr>
          <w:p w14:paraId="55FF54F1" w14:textId="77777777" w:rsidR="001C19A4" w:rsidRPr="00A36D29" w:rsidRDefault="001C19A4" w:rsidP="005F27A6">
            <w:pPr>
              <w:spacing w:after="0"/>
              <w:rPr>
                <w:rFonts w:cs="Arial"/>
              </w:rPr>
            </w:pPr>
            <w:r>
              <w:rPr>
                <w:rFonts w:cs="Arial"/>
              </w:rPr>
              <w:t>Percent of Pupils that Complete a CTE Program &amp; Earn a High School Diploma</w:t>
            </w:r>
          </w:p>
        </w:tc>
        <w:tc>
          <w:tcPr>
            <w:tcW w:w="1271" w:type="dxa"/>
            <w:vAlign w:val="center"/>
          </w:tcPr>
          <w:p w14:paraId="3F6A77B8" w14:textId="77777777" w:rsidR="001C19A4" w:rsidRPr="00A36D29" w:rsidRDefault="001C19A4" w:rsidP="005F27A6">
            <w:pPr>
              <w:spacing w:after="0"/>
              <w:jc w:val="center"/>
              <w:rPr>
                <w:rFonts w:cs="Arial"/>
              </w:rPr>
            </w:pPr>
            <w:r>
              <w:rPr>
                <w:rFonts w:cs="Arial"/>
              </w:rPr>
              <w:t>72%</w:t>
            </w:r>
          </w:p>
        </w:tc>
        <w:tc>
          <w:tcPr>
            <w:tcW w:w="1256" w:type="dxa"/>
            <w:vAlign w:val="center"/>
          </w:tcPr>
          <w:p w14:paraId="727FA356" w14:textId="77777777" w:rsidR="001C19A4" w:rsidRPr="00A36D29" w:rsidRDefault="001C19A4" w:rsidP="005F27A6">
            <w:pPr>
              <w:spacing w:after="0"/>
              <w:jc w:val="center"/>
              <w:rPr>
                <w:rFonts w:cs="Arial"/>
              </w:rPr>
            </w:pPr>
            <w:r>
              <w:rPr>
                <w:rFonts w:cs="Arial"/>
              </w:rPr>
              <w:t>66.7%</w:t>
            </w:r>
          </w:p>
        </w:tc>
        <w:tc>
          <w:tcPr>
            <w:tcW w:w="1401" w:type="dxa"/>
            <w:vAlign w:val="center"/>
          </w:tcPr>
          <w:p w14:paraId="25A9FDC0" w14:textId="77777777" w:rsidR="001C19A4" w:rsidRPr="00A36D29" w:rsidRDefault="001C19A4" w:rsidP="005F27A6">
            <w:pPr>
              <w:spacing w:after="0"/>
              <w:jc w:val="center"/>
              <w:rPr>
                <w:rFonts w:cs="Arial"/>
              </w:rPr>
            </w:pPr>
            <w:r>
              <w:rPr>
                <w:rFonts w:cs="Arial"/>
              </w:rPr>
              <w:t>93.4%</w:t>
            </w:r>
          </w:p>
        </w:tc>
        <w:tc>
          <w:tcPr>
            <w:tcW w:w="1434" w:type="dxa"/>
            <w:vAlign w:val="center"/>
          </w:tcPr>
          <w:p w14:paraId="05786A9F" w14:textId="77777777" w:rsidR="001C19A4" w:rsidRPr="00A36D29" w:rsidRDefault="001C19A4" w:rsidP="005F27A6">
            <w:pPr>
              <w:spacing w:after="0"/>
              <w:jc w:val="center"/>
              <w:rPr>
                <w:rFonts w:cs="Arial"/>
              </w:rPr>
            </w:pPr>
            <w:r>
              <w:rPr>
                <w:rFonts w:cs="Arial"/>
              </w:rPr>
              <w:t>82.1%</w:t>
            </w:r>
          </w:p>
        </w:tc>
        <w:tc>
          <w:tcPr>
            <w:tcW w:w="1495" w:type="dxa"/>
            <w:vAlign w:val="center"/>
          </w:tcPr>
          <w:p w14:paraId="779F0E41" w14:textId="77777777" w:rsidR="001C19A4" w:rsidRPr="00A36D29" w:rsidRDefault="001C19A4" w:rsidP="005F27A6">
            <w:pPr>
              <w:spacing w:after="0"/>
              <w:jc w:val="center"/>
              <w:rPr>
                <w:rFonts w:cs="Arial"/>
              </w:rPr>
            </w:pPr>
            <w:r>
              <w:rPr>
                <w:rFonts w:cs="Arial"/>
              </w:rPr>
              <w:t>92.6%</w:t>
            </w:r>
          </w:p>
        </w:tc>
      </w:tr>
    </w:tbl>
    <w:p w14:paraId="1D758D85" w14:textId="77777777" w:rsidR="001C19A4" w:rsidRPr="000869C7" w:rsidRDefault="001C19A4" w:rsidP="005F27A6">
      <w:pPr>
        <w:spacing w:before="120"/>
        <w:ind w:left="720"/>
        <w:rPr>
          <w:rFonts w:cs="Arial"/>
          <w:b/>
          <w:color w:val="1F497D"/>
        </w:rPr>
      </w:pPr>
      <w:r w:rsidRPr="000869C7">
        <w:rPr>
          <w:rFonts w:cs="Arial"/>
          <w:b/>
          <w:i/>
        </w:rPr>
        <w:t>Source: Mt. Diablo USD School Accountability Report Cards, 2020–21</w:t>
      </w:r>
    </w:p>
    <w:p w14:paraId="41C2EF3F" w14:textId="51819F47" w:rsidR="001C19A4" w:rsidRPr="00575C9C" w:rsidRDefault="001C19A4" w:rsidP="005F27A6">
      <w:pPr>
        <w:ind w:left="720"/>
        <w:rPr>
          <w:rFonts w:cs="Arial"/>
        </w:rPr>
      </w:pPr>
      <w:r>
        <w:rPr>
          <w:rFonts w:cs="Arial"/>
        </w:rPr>
        <w:t>All of the high schools in the existing Mt. Diablo USD offer many CTE courses and have significant student participation. The data also indicates that programs at all but Concord High have a high rate of completion coupled with earning a high school diploma. There is no evidence to suggest that the reorganization would substantially affect the CTE offerings at any of the high schools aside from Ygnacio Valley High. As previously discussed, this school would become part of Northgate USD but the attendance area would not, so this school would likely not be operated as a comprehensive high school. The course offerings at that school are not unique within the district; they are offered by at least one other high school in the remaining portion of the Mt. Diablo USD with the exception of the education course</w:t>
      </w:r>
      <w:r w:rsidRPr="003E5066">
        <w:rPr>
          <w:rFonts w:cs="Arial"/>
        </w:rPr>
        <w:t xml:space="preserve"> </w:t>
      </w:r>
      <w:r>
        <w:rPr>
          <w:rFonts w:cs="Arial"/>
        </w:rPr>
        <w:t xml:space="preserve">at Ygnacio Valley High, which is not a full pathway. </w:t>
      </w:r>
    </w:p>
    <w:p w14:paraId="6E612C1C" w14:textId="39FDCE09" w:rsidR="001C19A4" w:rsidRDefault="001C19A4" w:rsidP="009D0D7F">
      <w:pPr>
        <w:pStyle w:val="Heading4"/>
        <w:numPr>
          <w:ilvl w:val="0"/>
          <w:numId w:val="20"/>
        </w:numPr>
      </w:pPr>
      <w:r>
        <w:t>Four-Year Adjusted Cohort Graduation Rates and Outcomes</w:t>
      </w:r>
    </w:p>
    <w:p w14:paraId="20E6216A" w14:textId="77777777" w:rsidR="001C19A4" w:rsidRDefault="001C19A4" w:rsidP="005F27A6">
      <w:pPr>
        <w:ind w:left="720"/>
      </w:pPr>
      <w:r>
        <w:t xml:space="preserve">All of the comprehensive high schools of the Mt. Diablo USD rank in the top two of five possible tiers of California School Dashboard performance levels for graduation rates in 2019–20 (see table 5e). The table below provides a detailed look at the graduation rates and outcomes for each of the five high schools, and how they compare to district-, county-, and state-level rates for the following: percent of cohort that earned a high school diploma, percent of graduates meeting University of California (UC) and California State University (CSU) entrance requirements, percent of graduates that earned a State Seal of Biliteracy, and the percent of graduates that earned a Golden State Seal Merit Diploma. </w:t>
      </w:r>
    </w:p>
    <w:p w14:paraId="379CA112" w14:textId="77777777" w:rsidR="001C19A4" w:rsidRPr="00916E20" w:rsidRDefault="001C19A4" w:rsidP="009C6E70">
      <w:pPr>
        <w:pStyle w:val="Heading4"/>
        <w:ind w:left="720"/>
      </w:pPr>
      <w:r w:rsidRPr="00916E20">
        <w:lastRenderedPageBreak/>
        <w:t xml:space="preserve">Table </w:t>
      </w:r>
      <w:r>
        <w:t xml:space="preserve">6c: </w:t>
      </w:r>
      <w:r w:rsidRPr="00916E20">
        <w:t>Four-Year Adjusted Cohort Graduation Rates and Outcomes</w:t>
      </w:r>
    </w:p>
    <w:tbl>
      <w:tblPr>
        <w:tblStyle w:val="TableGridLight"/>
        <w:tblW w:w="9086" w:type="dxa"/>
        <w:tblInd w:w="715" w:type="dxa"/>
        <w:tblCellMar>
          <w:top w:w="115" w:type="dxa"/>
          <w:left w:w="115" w:type="dxa"/>
          <w:bottom w:w="115" w:type="dxa"/>
          <w:right w:w="115" w:type="dxa"/>
        </w:tblCellMar>
        <w:tblLook w:val="04A0" w:firstRow="1" w:lastRow="0" w:firstColumn="1" w:lastColumn="0" w:noHBand="0" w:noVBand="1"/>
        <w:tblDescription w:val="Table 6c provides four-year adjusted cohort graduation rates and outcomes each comprehensive high school in the existing Mt. Diablo USD, as well as the rates at the district, county, and statewide levels. "/>
      </w:tblPr>
      <w:tblGrid>
        <w:gridCol w:w="2504"/>
        <w:gridCol w:w="1511"/>
        <w:gridCol w:w="1831"/>
        <w:gridCol w:w="1418"/>
        <w:gridCol w:w="1822"/>
      </w:tblGrid>
      <w:tr w:rsidR="001C19A4" w:rsidRPr="00B312CD" w14:paraId="61B33FE4" w14:textId="77777777" w:rsidTr="005F27A6">
        <w:trPr>
          <w:trHeight w:val="656"/>
          <w:tblHeader/>
        </w:trPr>
        <w:tc>
          <w:tcPr>
            <w:tcW w:w="2504" w:type="dxa"/>
            <w:shd w:val="clear" w:color="auto" w:fill="D9D9D9" w:themeFill="background1" w:themeFillShade="D9"/>
            <w:noWrap/>
            <w:vAlign w:val="center"/>
            <w:hideMark/>
          </w:tcPr>
          <w:p w14:paraId="0EDC06E9" w14:textId="77777777" w:rsidR="001C19A4" w:rsidRPr="00B312CD" w:rsidRDefault="001C19A4" w:rsidP="005F27A6">
            <w:pPr>
              <w:spacing w:after="0"/>
              <w:jc w:val="center"/>
              <w:rPr>
                <w:rFonts w:cs="Arial"/>
                <w:b/>
                <w:bCs/>
                <w:color w:val="000000"/>
              </w:rPr>
            </w:pPr>
            <w:r w:rsidRPr="00B312CD">
              <w:rPr>
                <w:b/>
              </w:rPr>
              <w:t>Name</w:t>
            </w:r>
          </w:p>
        </w:tc>
        <w:tc>
          <w:tcPr>
            <w:tcW w:w="1511" w:type="dxa"/>
            <w:shd w:val="clear" w:color="auto" w:fill="D9D9D9" w:themeFill="background1" w:themeFillShade="D9"/>
            <w:vAlign w:val="center"/>
          </w:tcPr>
          <w:p w14:paraId="2A01C42E" w14:textId="77777777" w:rsidR="001C19A4" w:rsidRPr="00B312CD" w:rsidRDefault="001C19A4" w:rsidP="005F27A6">
            <w:pPr>
              <w:spacing w:after="0"/>
              <w:jc w:val="center"/>
              <w:rPr>
                <w:b/>
              </w:rPr>
            </w:pPr>
            <w:r w:rsidRPr="00B312CD">
              <w:rPr>
                <w:b/>
              </w:rPr>
              <w:t>Cohort Graduation Rate</w:t>
            </w:r>
          </w:p>
        </w:tc>
        <w:tc>
          <w:tcPr>
            <w:tcW w:w="1831" w:type="dxa"/>
            <w:shd w:val="clear" w:color="auto" w:fill="D9D9D9" w:themeFill="background1" w:themeFillShade="D9"/>
            <w:vAlign w:val="center"/>
            <w:hideMark/>
          </w:tcPr>
          <w:p w14:paraId="20CFE0A5" w14:textId="77777777" w:rsidR="001C19A4" w:rsidRPr="00B312CD" w:rsidRDefault="001C19A4" w:rsidP="005F27A6">
            <w:pPr>
              <w:spacing w:after="0"/>
              <w:jc w:val="center"/>
              <w:rPr>
                <w:rFonts w:cs="Arial"/>
                <w:b/>
                <w:bCs/>
              </w:rPr>
            </w:pPr>
            <w:r w:rsidRPr="00B312CD">
              <w:rPr>
                <w:b/>
              </w:rPr>
              <w:t>Met UC/CSU Requirements</w:t>
            </w:r>
          </w:p>
        </w:tc>
        <w:tc>
          <w:tcPr>
            <w:tcW w:w="1418" w:type="dxa"/>
            <w:shd w:val="clear" w:color="auto" w:fill="D9D9D9" w:themeFill="background1" w:themeFillShade="D9"/>
            <w:vAlign w:val="center"/>
            <w:hideMark/>
          </w:tcPr>
          <w:p w14:paraId="61E9DBCD" w14:textId="77777777" w:rsidR="001C19A4" w:rsidRPr="00B312CD" w:rsidRDefault="001C19A4" w:rsidP="005F27A6">
            <w:pPr>
              <w:spacing w:after="0"/>
              <w:jc w:val="center"/>
              <w:rPr>
                <w:rFonts w:cs="Arial"/>
                <w:b/>
                <w:bCs/>
              </w:rPr>
            </w:pPr>
            <w:r>
              <w:rPr>
                <w:b/>
              </w:rPr>
              <w:t>Earned</w:t>
            </w:r>
            <w:r w:rsidRPr="00B312CD">
              <w:rPr>
                <w:b/>
              </w:rPr>
              <w:t xml:space="preserve"> a Seal of Biliteracy</w:t>
            </w:r>
          </w:p>
        </w:tc>
        <w:tc>
          <w:tcPr>
            <w:tcW w:w="1822" w:type="dxa"/>
            <w:shd w:val="clear" w:color="auto" w:fill="D9D9D9" w:themeFill="background1" w:themeFillShade="D9"/>
            <w:vAlign w:val="center"/>
            <w:hideMark/>
          </w:tcPr>
          <w:p w14:paraId="63A23AB6" w14:textId="77777777" w:rsidR="001C19A4" w:rsidRPr="00B312CD" w:rsidRDefault="001C19A4" w:rsidP="005F27A6">
            <w:pPr>
              <w:spacing w:after="0"/>
              <w:jc w:val="center"/>
              <w:rPr>
                <w:rFonts w:cs="Arial"/>
                <w:b/>
                <w:bCs/>
              </w:rPr>
            </w:pPr>
            <w:r>
              <w:rPr>
                <w:b/>
              </w:rPr>
              <w:t>Earned</w:t>
            </w:r>
            <w:r w:rsidRPr="00B312CD">
              <w:rPr>
                <w:b/>
              </w:rPr>
              <w:t xml:space="preserve"> a Golden State Seal Merit Diploma</w:t>
            </w:r>
          </w:p>
        </w:tc>
      </w:tr>
      <w:tr w:rsidR="001C19A4" w:rsidRPr="005248FB" w14:paraId="6C4695E6" w14:textId="77777777" w:rsidTr="005F27A6">
        <w:trPr>
          <w:trHeight w:val="312"/>
        </w:trPr>
        <w:tc>
          <w:tcPr>
            <w:tcW w:w="2504" w:type="dxa"/>
            <w:noWrap/>
            <w:vAlign w:val="center"/>
            <w:hideMark/>
          </w:tcPr>
          <w:p w14:paraId="34A6FD9F" w14:textId="77777777" w:rsidR="001C19A4" w:rsidRPr="005248FB" w:rsidRDefault="001C19A4" w:rsidP="005F27A6">
            <w:pPr>
              <w:spacing w:after="0"/>
              <w:rPr>
                <w:rFonts w:cs="Arial"/>
                <w:color w:val="000000"/>
              </w:rPr>
            </w:pPr>
            <w:r w:rsidRPr="00DF0836">
              <w:t>College Park High</w:t>
            </w:r>
          </w:p>
        </w:tc>
        <w:tc>
          <w:tcPr>
            <w:tcW w:w="1511" w:type="dxa"/>
            <w:vAlign w:val="center"/>
          </w:tcPr>
          <w:p w14:paraId="055C96E8" w14:textId="77777777" w:rsidR="001C19A4" w:rsidRPr="00DF0836" w:rsidRDefault="001C19A4" w:rsidP="005F27A6">
            <w:pPr>
              <w:spacing w:after="0"/>
              <w:jc w:val="center"/>
            </w:pPr>
            <w:r w:rsidRPr="00DF0836">
              <w:t>96.1%</w:t>
            </w:r>
          </w:p>
        </w:tc>
        <w:tc>
          <w:tcPr>
            <w:tcW w:w="1831" w:type="dxa"/>
            <w:noWrap/>
            <w:hideMark/>
          </w:tcPr>
          <w:p w14:paraId="4C15E319" w14:textId="77777777" w:rsidR="001C19A4" w:rsidRPr="005248FB" w:rsidRDefault="001C19A4" w:rsidP="005F27A6">
            <w:pPr>
              <w:spacing w:after="0"/>
              <w:jc w:val="center"/>
              <w:rPr>
                <w:rFonts w:cs="Arial"/>
                <w:color w:val="000000"/>
              </w:rPr>
            </w:pPr>
            <w:r w:rsidRPr="001A5C75">
              <w:t>51.7%</w:t>
            </w:r>
          </w:p>
        </w:tc>
        <w:tc>
          <w:tcPr>
            <w:tcW w:w="1418" w:type="dxa"/>
            <w:noWrap/>
            <w:hideMark/>
          </w:tcPr>
          <w:p w14:paraId="7EB62559" w14:textId="77777777" w:rsidR="001C19A4" w:rsidRPr="005248FB" w:rsidRDefault="001C19A4" w:rsidP="005F27A6">
            <w:pPr>
              <w:spacing w:after="0"/>
              <w:jc w:val="center"/>
              <w:rPr>
                <w:rFonts w:cs="Arial"/>
                <w:color w:val="000000"/>
              </w:rPr>
            </w:pPr>
            <w:r w:rsidRPr="001A5C75">
              <w:t>14.5%</w:t>
            </w:r>
          </w:p>
        </w:tc>
        <w:tc>
          <w:tcPr>
            <w:tcW w:w="1822" w:type="dxa"/>
            <w:noWrap/>
            <w:hideMark/>
          </w:tcPr>
          <w:p w14:paraId="2CC3BD6C" w14:textId="77777777" w:rsidR="001C19A4" w:rsidRPr="005248FB" w:rsidRDefault="001C19A4" w:rsidP="005F27A6">
            <w:pPr>
              <w:spacing w:after="0"/>
              <w:jc w:val="center"/>
              <w:rPr>
                <w:rFonts w:cs="Arial"/>
                <w:color w:val="000000"/>
              </w:rPr>
            </w:pPr>
            <w:r w:rsidRPr="001A5C75">
              <w:t>53.2%</w:t>
            </w:r>
          </w:p>
        </w:tc>
      </w:tr>
      <w:tr w:rsidR="001C19A4" w:rsidRPr="005248FB" w14:paraId="215CAF5B" w14:textId="77777777" w:rsidTr="005F27A6">
        <w:trPr>
          <w:trHeight w:val="312"/>
        </w:trPr>
        <w:tc>
          <w:tcPr>
            <w:tcW w:w="2504" w:type="dxa"/>
            <w:noWrap/>
            <w:vAlign w:val="center"/>
            <w:hideMark/>
          </w:tcPr>
          <w:p w14:paraId="6AF18533" w14:textId="77777777" w:rsidR="001C19A4" w:rsidRPr="005248FB" w:rsidRDefault="001C19A4" w:rsidP="005F27A6">
            <w:pPr>
              <w:spacing w:after="0"/>
              <w:rPr>
                <w:rFonts w:cs="Arial"/>
                <w:color w:val="000000"/>
              </w:rPr>
            </w:pPr>
            <w:r w:rsidRPr="00DF0836">
              <w:t>Concord High</w:t>
            </w:r>
          </w:p>
        </w:tc>
        <w:tc>
          <w:tcPr>
            <w:tcW w:w="1511" w:type="dxa"/>
            <w:vAlign w:val="center"/>
          </w:tcPr>
          <w:p w14:paraId="4E8FDE0D" w14:textId="77777777" w:rsidR="001C19A4" w:rsidRPr="00DF0836" w:rsidRDefault="001C19A4" w:rsidP="005F27A6">
            <w:pPr>
              <w:spacing w:after="0"/>
              <w:jc w:val="center"/>
            </w:pPr>
            <w:r w:rsidRPr="00DF0836">
              <w:t>94.4%</w:t>
            </w:r>
          </w:p>
        </w:tc>
        <w:tc>
          <w:tcPr>
            <w:tcW w:w="1831" w:type="dxa"/>
            <w:noWrap/>
            <w:hideMark/>
          </w:tcPr>
          <w:p w14:paraId="0046818D" w14:textId="77777777" w:rsidR="001C19A4" w:rsidRPr="005248FB" w:rsidRDefault="001C19A4" w:rsidP="005F27A6">
            <w:pPr>
              <w:spacing w:after="0"/>
              <w:jc w:val="center"/>
              <w:rPr>
                <w:rFonts w:cs="Arial"/>
                <w:color w:val="000000"/>
              </w:rPr>
            </w:pPr>
            <w:r w:rsidRPr="001A5C75">
              <w:t>45.5%</w:t>
            </w:r>
          </w:p>
        </w:tc>
        <w:tc>
          <w:tcPr>
            <w:tcW w:w="1418" w:type="dxa"/>
            <w:noWrap/>
            <w:hideMark/>
          </w:tcPr>
          <w:p w14:paraId="2BE4B61F" w14:textId="77777777" w:rsidR="001C19A4" w:rsidRPr="005248FB" w:rsidRDefault="001C19A4" w:rsidP="005F27A6">
            <w:pPr>
              <w:spacing w:after="0"/>
              <w:jc w:val="center"/>
              <w:rPr>
                <w:rFonts w:cs="Arial"/>
                <w:color w:val="000000"/>
              </w:rPr>
            </w:pPr>
            <w:r w:rsidRPr="001A5C75">
              <w:t>11.9%</w:t>
            </w:r>
          </w:p>
        </w:tc>
        <w:tc>
          <w:tcPr>
            <w:tcW w:w="1822" w:type="dxa"/>
            <w:noWrap/>
            <w:hideMark/>
          </w:tcPr>
          <w:p w14:paraId="002B8A13" w14:textId="77777777" w:rsidR="001C19A4" w:rsidRPr="005248FB" w:rsidRDefault="001C19A4" w:rsidP="005F27A6">
            <w:pPr>
              <w:spacing w:after="0"/>
              <w:jc w:val="center"/>
              <w:rPr>
                <w:rFonts w:cs="Arial"/>
                <w:color w:val="000000"/>
              </w:rPr>
            </w:pPr>
            <w:r w:rsidRPr="001A5C75">
              <w:t>48.9%</w:t>
            </w:r>
          </w:p>
        </w:tc>
      </w:tr>
      <w:tr w:rsidR="001C19A4" w:rsidRPr="005248FB" w14:paraId="5F3BC8FA" w14:textId="77777777" w:rsidTr="005F27A6">
        <w:trPr>
          <w:trHeight w:val="312"/>
        </w:trPr>
        <w:tc>
          <w:tcPr>
            <w:tcW w:w="2504" w:type="dxa"/>
            <w:noWrap/>
            <w:vAlign w:val="center"/>
            <w:hideMark/>
          </w:tcPr>
          <w:p w14:paraId="7BBFEF3A" w14:textId="77777777" w:rsidR="001C19A4" w:rsidRPr="005248FB" w:rsidRDefault="001C19A4" w:rsidP="005F27A6">
            <w:pPr>
              <w:spacing w:after="0"/>
              <w:rPr>
                <w:rFonts w:cs="Arial"/>
                <w:color w:val="000000"/>
              </w:rPr>
            </w:pPr>
            <w:r w:rsidRPr="00DF0836">
              <w:t>Mt. Diablo High</w:t>
            </w:r>
          </w:p>
        </w:tc>
        <w:tc>
          <w:tcPr>
            <w:tcW w:w="1511" w:type="dxa"/>
            <w:vAlign w:val="center"/>
          </w:tcPr>
          <w:p w14:paraId="0D498301" w14:textId="77777777" w:rsidR="001C19A4" w:rsidRPr="00DF0836" w:rsidRDefault="001C19A4" w:rsidP="005F27A6">
            <w:pPr>
              <w:spacing w:after="0"/>
              <w:jc w:val="center"/>
            </w:pPr>
            <w:r w:rsidRPr="00DF0836">
              <w:t>84.7%</w:t>
            </w:r>
          </w:p>
        </w:tc>
        <w:tc>
          <w:tcPr>
            <w:tcW w:w="1831" w:type="dxa"/>
            <w:noWrap/>
            <w:hideMark/>
          </w:tcPr>
          <w:p w14:paraId="58336573" w14:textId="77777777" w:rsidR="001C19A4" w:rsidRPr="005248FB" w:rsidRDefault="001C19A4" w:rsidP="005F27A6">
            <w:pPr>
              <w:spacing w:after="0"/>
              <w:jc w:val="center"/>
              <w:rPr>
                <w:rFonts w:cs="Arial"/>
                <w:color w:val="000000"/>
              </w:rPr>
            </w:pPr>
            <w:r w:rsidRPr="001A5C75">
              <w:t>30.2%</w:t>
            </w:r>
          </w:p>
        </w:tc>
        <w:tc>
          <w:tcPr>
            <w:tcW w:w="1418" w:type="dxa"/>
            <w:noWrap/>
            <w:hideMark/>
          </w:tcPr>
          <w:p w14:paraId="46C7CD6F" w14:textId="77777777" w:rsidR="001C19A4" w:rsidRPr="005248FB" w:rsidRDefault="001C19A4" w:rsidP="005F27A6">
            <w:pPr>
              <w:spacing w:after="0"/>
              <w:jc w:val="center"/>
              <w:rPr>
                <w:rFonts w:cs="Arial"/>
                <w:color w:val="000000"/>
              </w:rPr>
            </w:pPr>
            <w:r w:rsidRPr="001A5C75">
              <w:t>4.7%</w:t>
            </w:r>
          </w:p>
        </w:tc>
        <w:tc>
          <w:tcPr>
            <w:tcW w:w="1822" w:type="dxa"/>
            <w:noWrap/>
            <w:hideMark/>
          </w:tcPr>
          <w:p w14:paraId="7A21014C" w14:textId="77777777" w:rsidR="001C19A4" w:rsidRPr="005248FB" w:rsidRDefault="001C19A4" w:rsidP="005F27A6">
            <w:pPr>
              <w:spacing w:after="0"/>
              <w:jc w:val="center"/>
              <w:rPr>
                <w:rFonts w:cs="Arial"/>
                <w:color w:val="000000"/>
              </w:rPr>
            </w:pPr>
            <w:r w:rsidRPr="001A5C75">
              <w:t>37.3%</w:t>
            </w:r>
          </w:p>
        </w:tc>
      </w:tr>
      <w:tr w:rsidR="001C19A4" w:rsidRPr="005248FB" w14:paraId="5937AD65" w14:textId="77777777" w:rsidTr="005F27A6">
        <w:trPr>
          <w:trHeight w:val="312"/>
        </w:trPr>
        <w:tc>
          <w:tcPr>
            <w:tcW w:w="2504" w:type="dxa"/>
            <w:noWrap/>
            <w:vAlign w:val="center"/>
          </w:tcPr>
          <w:p w14:paraId="139A0F24" w14:textId="77777777" w:rsidR="001C19A4" w:rsidRPr="00D859B6" w:rsidRDefault="001C19A4" w:rsidP="005F27A6">
            <w:pPr>
              <w:spacing w:after="0"/>
            </w:pPr>
            <w:r w:rsidRPr="00DF0836">
              <w:t>Northgate High</w:t>
            </w:r>
          </w:p>
        </w:tc>
        <w:tc>
          <w:tcPr>
            <w:tcW w:w="1511" w:type="dxa"/>
            <w:vAlign w:val="center"/>
          </w:tcPr>
          <w:p w14:paraId="18439645" w14:textId="77777777" w:rsidR="001C19A4" w:rsidRPr="00DF0836" w:rsidRDefault="001C19A4" w:rsidP="005F27A6">
            <w:pPr>
              <w:spacing w:after="0"/>
              <w:jc w:val="center"/>
            </w:pPr>
            <w:r w:rsidRPr="00DF0836">
              <w:t>97.7%</w:t>
            </w:r>
          </w:p>
        </w:tc>
        <w:tc>
          <w:tcPr>
            <w:tcW w:w="1831" w:type="dxa"/>
            <w:noWrap/>
          </w:tcPr>
          <w:p w14:paraId="73E8A5C3" w14:textId="77777777" w:rsidR="001C19A4" w:rsidRPr="00EA13B4" w:rsidRDefault="001C19A4" w:rsidP="005F27A6">
            <w:pPr>
              <w:spacing w:after="0"/>
              <w:jc w:val="center"/>
            </w:pPr>
            <w:r w:rsidRPr="001A5C75">
              <w:t>64.6%</w:t>
            </w:r>
          </w:p>
        </w:tc>
        <w:tc>
          <w:tcPr>
            <w:tcW w:w="1418" w:type="dxa"/>
            <w:noWrap/>
          </w:tcPr>
          <w:p w14:paraId="3F2C1BBB" w14:textId="77777777" w:rsidR="001C19A4" w:rsidRPr="00EA13B4" w:rsidRDefault="001C19A4" w:rsidP="005F27A6">
            <w:pPr>
              <w:spacing w:after="0"/>
              <w:jc w:val="center"/>
            </w:pPr>
            <w:r w:rsidRPr="001A5C75">
              <w:t>29.0%</w:t>
            </w:r>
          </w:p>
        </w:tc>
        <w:tc>
          <w:tcPr>
            <w:tcW w:w="1822" w:type="dxa"/>
            <w:noWrap/>
          </w:tcPr>
          <w:p w14:paraId="1A30B25F" w14:textId="77777777" w:rsidR="001C19A4" w:rsidRPr="00EA13B4" w:rsidRDefault="001C19A4" w:rsidP="005F27A6">
            <w:pPr>
              <w:spacing w:after="0"/>
              <w:jc w:val="center"/>
            </w:pPr>
            <w:r w:rsidRPr="001A5C75">
              <w:t>73.9%</w:t>
            </w:r>
          </w:p>
        </w:tc>
      </w:tr>
      <w:tr w:rsidR="001C19A4" w:rsidRPr="005248FB" w14:paraId="31CE09F6" w14:textId="77777777" w:rsidTr="005F27A6">
        <w:trPr>
          <w:trHeight w:val="312"/>
        </w:trPr>
        <w:tc>
          <w:tcPr>
            <w:tcW w:w="2504" w:type="dxa"/>
            <w:noWrap/>
            <w:vAlign w:val="center"/>
          </w:tcPr>
          <w:p w14:paraId="4803CF16" w14:textId="77777777" w:rsidR="001C19A4" w:rsidRDefault="001C19A4" w:rsidP="005F27A6">
            <w:pPr>
              <w:spacing w:after="0"/>
            </w:pPr>
            <w:r w:rsidRPr="00DF0836">
              <w:t>Ygnacio Valley High</w:t>
            </w:r>
          </w:p>
        </w:tc>
        <w:tc>
          <w:tcPr>
            <w:tcW w:w="1511" w:type="dxa"/>
            <w:vAlign w:val="center"/>
          </w:tcPr>
          <w:p w14:paraId="552C5F33" w14:textId="77777777" w:rsidR="001C19A4" w:rsidRPr="00DF0836" w:rsidRDefault="001C19A4" w:rsidP="005F27A6">
            <w:pPr>
              <w:spacing w:after="0"/>
              <w:jc w:val="center"/>
            </w:pPr>
            <w:r w:rsidRPr="00DF0836">
              <w:t>83.5%</w:t>
            </w:r>
          </w:p>
        </w:tc>
        <w:tc>
          <w:tcPr>
            <w:tcW w:w="1831" w:type="dxa"/>
            <w:noWrap/>
          </w:tcPr>
          <w:p w14:paraId="224D0A0F" w14:textId="77777777" w:rsidR="001C19A4" w:rsidRDefault="001C19A4" w:rsidP="005F27A6">
            <w:pPr>
              <w:spacing w:after="0"/>
              <w:jc w:val="center"/>
            </w:pPr>
            <w:r w:rsidRPr="001A5C75">
              <w:t>40.8%</w:t>
            </w:r>
          </w:p>
        </w:tc>
        <w:tc>
          <w:tcPr>
            <w:tcW w:w="1418" w:type="dxa"/>
            <w:noWrap/>
          </w:tcPr>
          <w:p w14:paraId="0087B5D3" w14:textId="77777777" w:rsidR="001C19A4" w:rsidRDefault="001C19A4" w:rsidP="005F27A6">
            <w:pPr>
              <w:spacing w:after="0"/>
              <w:jc w:val="center"/>
            </w:pPr>
            <w:r w:rsidRPr="001A5C75">
              <w:t>30.7%</w:t>
            </w:r>
          </w:p>
        </w:tc>
        <w:tc>
          <w:tcPr>
            <w:tcW w:w="1822" w:type="dxa"/>
            <w:noWrap/>
          </w:tcPr>
          <w:p w14:paraId="715700FE" w14:textId="77777777" w:rsidR="001C19A4" w:rsidRDefault="001C19A4" w:rsidP="005F27A6">
            <w:pPr>
              <w:spacing w:after="0"/>
              <w:jc w:val="center"/>
            </w:pPr>
            <w:r w:rsidRPr="001A5C75">
              <w:t>2.3%</w:t>
            </w:r>
          </w:p>
        </w:tc>
      </w:tr>
      <w:tr w:rsidR="001C19A4" w:rsidRPr="005248FB" w14:paraId="772EB650" w14:textId="77777777" w:rsidTr="005F27A6">
        <w:trPr>
          <w:trHeight w:val="312"/>
        </w:trPr>
        <w:tc>
          <w:tcPr>
            <w:tcW w:w="2504" w:type="dxa"/>
            <w:noWrap/>
            <w:vAlign w:val="center"/>
          </w:tcPr>
          <w:p w14:paraId="4860E0C8" w14:textId="77777777" w:rsidR="001C19A4" w:rsidRDefault="001C19A4" w:rsidP="005F27A6">
            <w:pPr>
              <w:spacing w:after="0"/>
            </w:pPr>
            <w:r w:rsidRPr="00DF0836">
              <w:t>Mt. Diablo Unified</w:t>
            </w:r>
          </w:p>
        </w:tc>
        <w:tc>
          <w:tcPr>
            <w:tcW w:w="1511" w:type="dxa"/>
            <w:vAlign w:val="center"/>
          </w:tcPr>
          <w:p w14:paraId="479C3E42" w14:textId="77777777" w:rsidR="001C19A4" w:rsidRPr="00DF0836" w:rsidRDefault="001C19A4" w:rsidP="005F27A6">
            <w:pPr>
              <w:spacing w:after="0"/>
              <w:jc w:val="center"/>
            </w:pPr>
            <w:r w:rsidRPr="00DF0836">
              <w:t>84.3%</w:t>
            </w:r>
          </w:p>
        </w:tc>
        <w:tc>
          <w:tcPr>
            <w:tcW w:w="1831" w:type="dxa"/>
            <w:noWrap/>
          </w:tcPr>
          <w:p w14:paraId="500D4F81" w14:textId="77777777" w:rsidR="001C19A4" w:rsidRDefault="001C19A4" w:rsidP="005F27A6">
            <w:pPr>
              <w:spacing w:after="0"/>
              <w:jc w:val="center"/>
            </w:pPr>
            <w:r w:rsidRPr="001A5C75">
              <w:t>42.8%</w:t>
            </w:r>
          </w:p>
        </w:tc>
        <w:tc>
          <w:tcPr>
            <w:tcW w:w="1418" w:type="dxa"/>
            <w:noWrap/>
          </w:tcPr>
          <w:p w14:paraId="29AFE66D" w14:textId="77777777" w:rsidR="001C19A4" w:rsidRDefault="001C19A4" w:rsidP="005F27A6">
            <w:pPr>
              <w:spacing w:after="0"/>
              <w:jc w:val="center"/>
            </w:pPr>
            <w:r w:rsidRPr="001A5C75">
              <w:t>15.7%</w:t>
            </w:r>
          </w:p>
        </w:tc>
        <w:tc>
          <w:tcPr>
            <w:tcW w:w="1822" w:type="dxa"/>
            <w:noWrap/>
          </w:tcPr>
          <w:p w14:paraId="5C279FEA" w14:textId="77777777" w:rsidR="001C19A4" w:rsidRDefault="001C19A4" w:rsidP="005F27A6">
            <w:pPr>
              <w:spacing w:after="0"/>
              <w:jc w:val="center"/>
            </w:pPr>
            <w:r w:rsidRPr="001A5C75">
              <w:t>41.5%</w:t>
            </w:r>
          </w:p>
        </w:tc>
      </w:tr>
      <w:tr w:rsidR="001C19A4" w:rsidRPr="005248FB" w14:paraId="31B5CF0B" w14:textId="77777777" w:rsidTr="005F27A6">
        <w:trPr>
          <w:trHeight w:val="312"/>
        </w:trPr>
        <w:tc>
          <w:tcPr>
            <w:tcW w:w="2504" w:type="dxa"/>
            <w:noWrap/>
            <w:vAlign w:val="center"/>
          </w:tcPr>
          <w:p w14:paraId="561500E4" w14:textId="77777777" w:rsidR="001C19A4" w:rsidRDefault="001C19A4" w:rsidP="005F27A6">
            <w:pPr>
              <w:spacing w:after="0"/>
            </w:pPr>
            <w:r w:rsidRPr="00DF0836">
              <w:t>Contra Costa County</w:t>
            </w:r>
          </w:p>
        </w:tc>
        <w:tc>
          <w:tcPr>
            <w:tcW w:w="1511" w:type="dxa"/>
            <w:vAlign w:val="center"/>
          </w:tcPr>
          <w:p w14:paraId="7ECFFEF8" w14:textId="77777777" w:rsidR="001C19A4" w:rsidRPr="00DF0836" w:rsidRDefault="001C19A4" w:rsidP="005F27A6">
            <w:pPr>
              <w:spacing w:after="0"/>
              <w:jc w:val="center"/>
            </w:pPr>
            <w:r w:rsidRPr="00DF0836">
              <w:t>89.5%</w:t>
            </w:r>
          </w:p>
        </w:tc>
        <w:tc>
          <w:tcPr>
            <w:tcW w:w="1831" w:type="dxa"/>
            <w:noWrap/>
          </w:tcPr>
          <w:p w14:paraId="0C756FA0" w14:textId="77777777" w:rsidR="001C19A4" w:rsidRDefault="001C19A4" w:rsidP="005F27A6">
            <w:pPr>
              <w:spacing w:after="0"/>
              <w:jc w:val="center"/>
            </w:pPr>
            <w:r w:rsidRPr="001A5C75">
              <w:t>54.3%</w:t>
            </w:r>
          </w:p>
        </w:tc>
        <w:tc>
          <w:tcPr>
            <w:tcW w:w="1418" w:type="dxa"/>
            <w:noWrap/>
          </w:tcPr>
          <w:p w14:paraId="10480699" w14:textId="77777777" w:rsidR="001C19A4" w:rsidRDefault="001C19A4" w:rsidP="005F27A6">
            <w:pPr>
              <w:spacing w:after="0"/>
              <w:jc w:val="center"/>
            </w:pPr>
            <w:r w:rsidRPr="001A5C75">
              <w:t>18.8%</w:t>
            </w:r>
          </w:p>
        </w:tc>
        <w:tc>
          <w:tcPr>
            <w:tcW w:w="1822" w:type="dxa"/>
            <w:noWrap/>
          </w:tcPr>
          <w:p w14:paraId="3631DB46" w14:textId="77777777" w:rsidR="001C19A4" w:rsidRDefault="001C19A4" w:rsidP="005F27A6">
            <w:pPr>
              <w:spacing w:after="0"/>
              <w:jc w:val="center"/>
            </w:pPr>
            <w:r w:rsidRPr="001A5C75">
              <w:t>31.9%</w:t>
            </w:r>
          </w:p>
        </w:tc>
      </w:tr>
      <w:tr w:rsidR="001C19A4" w:rsidRPr="005248FB" w14:paraId="6469C4F9" w14:textId="77777777" w:rsidTr="005F27A6">
        <w:trPr>
          <w:trHeight w:val="312"/>
        </w:trPr>
        <w:tc>
          <w:tcPr>
            <w:tcW w:w="2504" w:type="dxa"/>
            <w:noWrap/>
            <w:vAlign w:val="center"/>
          </w:tcPr>
          <w:p w14:paraId="26D49ED5" w14:textId="77777777" w:rsidR="001C19A4" w:rsidRDefault="001C19A4" w:rsidP="005F27A6">
            <w:pPr>
              <w:spacing w:after="0"/>
            </w:pPr>
            <w:r w:rsidRPr="00DF0836">
              <w:t>Statewide Total</w:t>
            </w:r>
          </w:p>
        </w:tc>
        <w:tc>
          <w:tcPr>
            <w:tcW w:w="1511" w:type="dxa"/>
            <w:vAlign w:val="center"/>
          </w:tcPr>
          <w:p w14:paraId="45DE0FF2" w14:textId="77777777" w:rsidR="001C19A4" w:rsidRPr="00DF0836" w:rsidRDefault="001C19A4" w:rsidP="005F27A6">
            <w:pPr>
              <w:spacing w:after="0"/>
              <w:jc w:val="center"/>
            </w:pPr>
            <w:r w:rsidRPr="00DF0836">
              <w:t>87.7%</w:t>
            </w:r>
          </w:p>
        </w:tc>
        <w:tc>
          <w:tcPr>
            <w:tcW w:w="1831" w:type="dxa"/>
            <w:noWrap/>
          </w:tcPr>
          <w:p w14:paraId="73168416" w14:textId="77777777" w:rsidR="001C19A4" w:rsidRDefault="001C19A4" w:rsidP="005F27A6">
            <w:pPr>
              <w:spacing w:after="0"/>
              <w:jc w:val="center"/>
            </w:pPr>
            <w:r w:rsidRPr="001A5C75">
              <w:t>51.8%</w:t>
            </w:r>
          </w:p>
        </w:tc>
        <w:tc>
          <w:tcPr>
            <w:tcW w:w="1418" w:type="dxa"/>
            <w:noWrap/>
          </w:tcPr>
          <w:p w14:paraId="41D643A4" w14:textId="77777777" w:rsidR="001C19A4" w:rsidRDefault="001C19A4" w:rsidP="005F27A6">
            <w:pPr>
              <w:spacing w:after="0"/>
              <w:jc w:val="center"/>
            </w:pPr>
            <w:r w:rsidRPr="001A5C75">
              <w:t>15.5%</w:t>
            </w:r>
          </w:p>
        </w:tc>
        <w:tc>
          <w:tcPr>
            <w:tcW w:w="1822" w:type="dxa"/>
            <w:noWrap/>
          </w:tcPr>
          <w:p w14:paraId="53EDC9F6" w14:textId="77777777" w:rsidR="001C19A4" w:rsidRDefault="001C19A4" w:rsidP="005F27A6">
            <w:pPr>
              <w:spacing w:after="0"/>
              <w:jc w:val="center"/>
            </w:pPr>
            <w:r w:rsidRPr="001A5C75">
              <w:t>27.3%</w:t>
            </w:r>
          </w:p>
        </w:tc>
      </w:tr>
    </w:tbl>
    <w:p w14:paraId="48B65FCB" w14:textId="77777777" w:rsidR="001C19A4" w:rsidRPr="000869C7" w:rsidRDefault="001C19A4" w:rsidP="005F27A6">
      <w:pPr>
        <w:spacing w:before="120"/>
        <w:ind w:left="720"/>
        <w:rPr>
          <w:b/>
          <w:i/>
        </w:rPr>
      </w:pPr>
      <w:r w:rsidRPr="000869C7">
        <w:rPr>
          <w:b/>
          <w:i/>
        </w:rPr>
        <w:t>Source: CALPADS, 2020–21</w:t>
      </w:r>
    </w:p>
    <w:p w14:paraId="1785D8B3" w14:textId="0E39245D" w:rsidR="001C19A4" w:rsidRDefault="001C19A4" w:rsidP="005F27A6">
      <w:pPr>
        <w:ind w:left="720"/>
      </w:pPr>
      <w:r>
        <w:t>Northgate High has a very high rate of graduation, outperforming the district and state by at least 10 percentage points, and outperforming the county rate by 8.2 percentage points. Northgate High has higher percentages of graduates m</w:t>
      </w:r>
      <w:r w:rsidRPr="007727CF">
        <w:t xml:space="preserve">eeting </w:t>
      </w:r>
      <w:r>
        <w:t>U</w:t>
      </w:r>
      <w:r w:rsidRPr="007727CF">
        <w:t>C</w:t>
      </w:r>
      <w:r>
        <w:t>/C</w:t>
      </w:r>
      <w:r w:rsidRPr="007727CF">
        <w:t xml:space="preserve">SU </w:t>
      </w:r>
      <w:r>
        <w:t>r</w:t>
      </w:r>
      <w:r w:rsidRPr="007727CF">
        <w:t>equirements</w:t>
      </w:r>
      <w:r>
        <w:t xml:space="preserve"> than the</w:t>
      </w:r>
      <w:r w:rsidRPr="007727CF">
        <w:t xml:space="preserve"> </w:t>
      </w:r>
      <w:r>
        <w:t>other four high schools. Most notably, it had 73.5 percent of its graduates earn the</w:t>
      </w:r>
      <w:r w:rsidRPr="0091281D">
        <w:t xml:space="preserve"> Golden State Seal Merit </w:t>
      </w:r>
      <w:r>
        <w:t>D</w:t>
      </w:r>
      <w:r w:rsidRPr="0091281D">
        <w:t>iploma</w:t>
      </w:r>
      <w:r>
        <w:t>, which is 20 percentage points higher than any other high school in the Mt. Diablo USD.</w:t>
      </w:r>
      <w:r w:rsidR="0024655D">
        <w:t xml:space="preserve"> </w:t>
      </w:r>
    </w:p>
    <w:p w14:paraId="04D6F85D" w14:textId="37501256" w:rsidR="001C19A4" w:rsidRDefault="001C19A4" w:rsidP="009D0D7F">
      <w:pPr>
        <w:pStyle w:val="Heading4"/>
        <w:numPr>
          <w:ilvl w:val="0"/>
          <w:numId w:val="20"/>
        </w:numPr>
      </w:pPr>
      <w:r>
        <w:t>High School Program Summary</w:t>
      </w:r>
    </w:p>
    <w:p w14:paraId="4602B724" w14:textId="77777777" w:rsidR="001C19A4" w:rsidRPr="00A935B3" w:rsidRDefault="001C19A4" w:rsidP="005F27A6">
      <w:pPr>
        <w:ind w:left="720"/>
      </w:pPr>
      <w:r>
        <w:t xml:space="preserve">The proposed reorganization is based on the attendance areas of Northgate High School and its feeder schools; therefore, the student population of Northgate High is not expected to change substantially. The remaining portion of Mt. Diablo USD would also have largely the same high school student population, though it would impact the total site-level enrollment at its high school sites due to the loss of Ygnacio Valley High and the subsequent redistribution of its students. The change would not be expected to hinder the district’s ability to offer the same high school programs, nor would it be expected to impact the performance of the students in the remaining Mt. Diablo USD high schools. </w:t>
      </w:r>
    </w:p>
    <w:p w14:paraId="7138B21F" w14:textId="77777777" w:rsidR="001C19A4" w:rsidRPr="00FB1EDF" w:rsidRDefault="001C19A4" w:rsidP="007F1E2D">
      <w:pPr>
        <w:pStyle w:val="Heading2"/>
      </w:pPr>
      <w:r w:rsidRPr="00FB1EDF">
        <w:lastRenderedPageBreak/>
        <w:t>Conclusion</w:t>
      </w:r>
    </w:p>
    <w:p w14:paraId="27164B7F" w14:textId="77777777" w:rsidR="001C19A4" w:rsidRDefault="001C19A4" w:rsidP="005F27A6">
      <w:pPr>
        <w:rPr>
          <w:rFonts w:cs="Arial"/>
        </w:rPr>
      </w:pPr>
      <w:r>
        <w:rPr>
          <w:rFonts w:cs="Arial"/>
        </w:rPr>
        <w:t xml:space="preserve">A review of California School Dashboard shows that the Northgate area schools already perform at high levels in English Language Arts, Mathematics, and English Language Progress. Northgate High offers a large complement of Advanced Placement and Career Technical Education Programs. Though there was a decline in the high school graduation rate in 2019–20, the high school has historically achieved high pupil graduation rates. </w:t>
      </w:r>
      <w:r w:rsidRPr="00AE454F">
        <w:rPr>
          <w:rFonts w:cs="Arial"/>
        </w:rPr>
        <w:t xml:space="preserve">If the proposed Northgate USD is approved, there will be few if any changes to the composition of the </w:t>
      </w:r>
      <w:r>
        <w:rPr>
          <w:rFonts w:cs="Arial"/>
        </w:rPr>
        <w:t>schools</w:t>
      </w:r>
      <w:r w:rsidRPr="00AE454F">
        <w:rPr>
          <w:rFonts w:cs="Arial"/>
        </w:rPr>
        <w:t xml:space="preserve"> in the Northgate area</w:t>
      </w:r>
      <w:r>
        <w:rPr>
          <w:rFonts w:cs="Arial"/>
        </w:rPr>
        <w:t>. They</w:t>
      </w:r>
      <w:r w:rsidRPr="00AE454F">
        <w:rPr>
          <w:rFonts w:cs="Arial"/>
        </w:rPr>
        <w:t xml:space="preserve"> will serve essentially the same student populations, </w:t>
      </w:r>
      <w:r>
        <w:rPr>
          <w:rFonts w:cs="Arial"/>
        </w:rPr>
        <w:t xml:space="preserve">and </w:t>
      </w:r>
      <w:r w:rsidRPr="00AE454F">
        <w:rPr>
          <w:rFonts w:cs="Arial"/>
        </w:rPr>
        <w:t>educational programs likely will remain very similar to what they were prior to the reorganization.</w:t>
      </w:r>
      <w:r>
        <w:rPr>
          <w:rFonts w:cs="Arial"/>
        </w:rPr>
        <w:t xml:space="preserve"> There could be staffing changes given that teachers at the Northgate area schools will have a choice of remaining with the Mt. Diablo USD or joining the new school district. The district will need to address the needs of its special education, continuation high, and community day students. It is likely the new district would become a member of the County Costa County SELPA in order to offer needed services for its special education student population. The overall evidence indicates there would not be a significant impact to the program offerings of the Northgate area schools as result of the reorganization proposal.</w:t>
      </w:r>
    </w:p>
    <w:p w14:paraId="1D5B00E9" w14:textId="77777777" w:rsidR="001C19A4" w:rsidRDefault="001C19A4">
      <w:pPr>
        <w:rPr>
          <w:rFonts w:cs="Arial"/>
        </w:rPr>
      </w:pPr>
      <w:r>
        <w:rPr>
          <w:rFonts w:cs="Arial"/>
        </w:rPr>
        <w:t>Because the remaining portion of the Mt. Diablo USD would continue to serve largely the same student population, and is a very large school district, its staffing and educational programs likely will experience minimal change as a result of the reorganization. There would be some district-wide programs that are currently operating at one of the Northgate area schools that Mt. Diablo could relocate to one of its remaining school sites. The loss of the Northgate area schools may impact the district-level performance level rating of some indicators, but it would not significantly affect the programs or performance at the school level. The impact to the remaining portion of the Mt. Diablo USD would primarily result from the loss of the Oak Grove Middle and Ygnacio Valley High schools, which will necessitate changes to attendance areas of the remaining middle and high school campuses to accommodate the pupils displaced as a result.</w:t>
      </w:r>
      <w:r w:rsidRPr="008001FC">
        <w:rPr>
          <w:rFonts w:cs="Arial"/>
        </w:rPr>
        <w:t xml:space="preserve"> This represents a logistical challenge to the district</w:t>
      </w:r>
      <w:r>
        <w:rPr>
          <w:rFonts w:cs="Arial"/>
        </w:rPr>
        <w:t xml:space="preserve"> and it may have some administrative impact on the middle and high schools that absorb those students</w:t>
      </w:r>
      <w:r w:rsidRPr="008001FC">
        <w:rPr>
          <w:rFonts w:cs="Arial"/>
        </w:rPr>
        <w:t xml:space="preserve">. However, </w:t>
      </w:r>
      <w:r>
        <w:rPr>
          <w:rFonts w:cs="Arial"/>
        </w:rPr>
        <w:t>it should</w:t>
      </w:r>
      <w:r w:rsidRPr="008001FC">
        <w:rPr>
          <w:rFonts w:cs="Arial"/>
        </w:rPr>
        <w:t xml:space="preserve"> not </w:t>
      </w:r>
      <w:r>
        <w:rPr>
          <w:rFonts w:cs="Arial"/>
        </w:rPr>
        <w:t xml:space="preserve">significantly </w:t>
      </w:r>
      <w:r w:rsidRPr="008001FC">
        <w:rPr>
          <w:rFonts w:cs="Arial"/>
        </w:rPr>
        <w:t>impact programs offered at the remaining schools.</w:t>
      </w:r>
      <w:r>
        <w:rPr>
          <w:rFonts w:cs="Arial"/>
        </w:rPr>
        <w:t xml:space="preserve"> </w:t>
      </w:r>
    </w:p>
    <w:p w14:paraId="473E9FD8" w14:textId="77777777" w:rsidR="001C19A4" w:rsidRDefault="001C19A4" w:rsidP="005F27A6">
      <w:r>
        <w:t xml:space="preserve">Given the findings above, the CDE finds that the proposal to form a new Northgate USD substantially complies with </w:t>
      </w:r>
      <w:r w:rsidRPr="00CD6BCC">
        <w:rPr>
          <w:i/>
        </w:rPr>
        <w:t>EC</w:t>
      </w:r>
      <w:r>
        <w:t xml:space="preserve"> Section 35753(a)(6). </w:t>
      </w:r>
    </w:p>
    <w:p w14:paraId="4886F9F5" w14:textId="77777777" w:rsidR="001C19A4" w:rsidRDefault="001C19A4" w:rsidP="005F27A6">
      <w:pPr>
        <w:rPr>
          <w:bCs/>
        </w:rPr>
        <w:sectPr w:rsidR="001C19A4" w:rsidSect="00AB6213">
          <w:headerReference w:type="default" r:id="rId16"/>
          <w:footnotePr>
            <w:numRestart w:val="eachSect"/>
          </w:footnotePr>
          <w:pgSz w:w="12240" w:h="15840"/>
          <w:pgMar w:top="1440" w:right="1440" w:bottom="1440" w:left="1440" w:header="720" w:footer="720" w:gutter="0"/>
          <w:pgNumType w:start="1"/>
          <w:cols w:space="720"/>
          <w:docGrid w:linePitch="360"/>
        </w:sectPr>
      </w:pPr>
    </w:p>
    <w:p w14:paraId="7D3019B2" w14:textId="77777777" w:rsidR="001C19A4" w:rsidRPr="00DA54FF" w:rsidRDefault="001C19A4" w:rsidP="007F1E2D">
      <w:pPr>
        <w:pStyle w:val="Heading2"/>
      </w:pPr>
      <w:r>
        <w:lastRenderedPageBreak/>
        <w:t>Appendix A</w:t>
      </w:r>
    </w:p>
    <w:p w14:paraId="3956BEDF" w14:textId="77777777" w:rsidR="001C19A4" w:rsidRPr="008A0D22" w:rsidRDefault="001C19A4" w:rsidP="008A0D22">
      <w:pPr>
        <w:pStyle w:val="Heading3"/>
        <w:numPr>
          <w:ilvl w:val="0"/>
          <w:numId w:val="0"/>
        </w:numPr>
        <w:rPr>
          <w:i/>
        </w:rPr>
      </w:pPr>
      <w:r w:rsidRPr="008A0D22">
        <w:rPr>
          <w:i/>
        </w:rPr>
        <w:t>Table A1: Elementary School Placement in California Accountability Model</w:t>
      </w:r>
    </w:p>
    <w:tbl>
      <w:tblPr>
        <w:tblStyle w:val="TableGrid"/>
        <w:tblW w:w="1304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Description w:val="Table A1 provides the 2019-20 school-level placement in the California  Accountability Model for three California School Dashboard indicators (English Learner Progress, English Language Arts, Mathematics) for all elementary schools the existing Mt. Diablo USD."/>
      </w:tblPr>
      <w:tblGrid>
        <w:gridCol w:w="1755"/>
        <w:gridCol w:w="1114"/>
        <w:gridCol w:w="1301"/>
        <w:gridCol w:w="1158"/>
        <w:gridCol w:w="1533"/>
        <w:gridCol w:w="1698"/>
        <w:gridCol w:w="1162"/>
        <w:gridCol w:w="1539"/>
        <w:gridCol w:w="1789"/>
      </w:tblGrid>
      <w:tr w:rsidR="001C19A4" w:rsidRPr="006C1407" w14:paraId="4B5569B4" w14:textId="77777777" w:rsidTr="005F27A6">
        <w:trPr>
          <w:trHeight w:val="613"/>
          <w:tblHeader/>
        </w:trPr>
        <w:tc>
          <w:tcPr>
            <w:tcW w:w="1755" w:type="dxa"/>
            <w:shd w:val="clear" w:color="auto" w:fill="D9D9D9" w:themeFill="background1" w:themeFillShade="D9"/>
            <w:vAlign w:val="center"/>
            <w:hideMark/>
          </w:tcPr>
          <w:p w14:paraId="4FE53891" w14:textId="77777777" w:rsidR="001C19A4" w:rsidRPr="006C1407" w:rsidRDefault="001C19A4" w:rsidP="005F27A6">
            <w:pPr>
              <w:spacing w:after="0"/>
              <w:jc w:val="center"/>
              <w:rPr>
                <w:rFonts w:cs="Arial"/>
                <w:b/>
                <w:bCs/>
              </w:rPr>
            </w:pPr>
            <w:r w:rsidRPr="006C1407">
              <w:rPr>
                <w:rFonts w:cs="Arial"/>
                <w:b/>
                <w:bCs/>
              </w:rPr>
              <w:t>School Name</w:t>
            </w:r>
          </w:p>
        </w:tc>
        <w:tc>
          <w:tcPr>
            <w:tcW w:w="1114" w:type="dxa"/>
            <w:shd w:val="clear" w:color="auto" w:fill="D9D9D9" w:themeFill="background1" w:themeFillShade="D9"/>
            <w:vAlign w:val="center"/>
            <w:hideMark/>
          </w:tcPr>
          <w:p w14:paraId="27B7FE6D" w14:textId="77777777" w:rsidR="001C19A4" w:rsidRPr="006C1407" w:rsidRDefault="001C19A4" w:rsidP="005F27A6">
            <w:pPr>
              <w:spacing w:after="0"/>
              <w:jc w:val="center"/>
              <w:rPr>
                <w:rFonts w:cs="Arial"/>
                <w:b/>
                <w:bCs/>
              </w:rPr>
            </w:pPr>
            <w:r w:rsidRPr="006C1407">
              <w:rPr>
                <w:rFonts w:cs="Arial"/>
                <w:b/>
                <w:bCs/>
              </w:rPr>
              <w:t>ELP Status</w:t>
            </w:r>
          </w:p>
        </w:tc>
        <w:tc>
          <w:tcPr>
            <w:tcW w:w="1301" w:type="dxa"/>
            <w:shd w:val="clear" w:color="auto" w:fill="D9D9D9" w:themeFill="background1" w:themeFillShade="D9"/>
            <w:vAlign w:val="center"/>
            <w:hideMark/>
          </w:tcPr>
          <w:p w14:paraId="58A856B7" w14:textId="77777777" w:rsidR="001C19A4" w:rsidRPr="006C1407" w:rsidRDefault="001C19A4" w:rsidP="005F27A6">
            <w:pPr>
              <w:spacing w:after="0"/>
              <w:jc w:val="center"/>
              <w:rPr>
                <w:rFonts w:cs="Arial"/>
                <w:b/>
                <w:bCs/>
              </w:rPr>
            </w:pPr>
            <w:r w:rsidRPr="006C1407">
              <w:rPr>
                <w:rFonts w:cs="Arial"/>
                <w:b/>
                <w:bCs/>
              </w:rPr>
              <w:t xml:space="preserve">ELP </w:t>
            </w:r>
            <w:r>
              <w:rPr>
                <w:rFonts w:cs="Arial"/>
                <w:b/>
                <w:bCs/>
              </w:rPr>
              <w:t>Change</w:t>
            </w:r>
          </w:p>
        </w:tc>
        <w:tc>
          <w:tcPr>
            <w:tcW w:w="1158" w:type="dxa"/>
            <w:shd w:val="clear" w:color="auto" w:fill="D9D9D9" w:themeFill="background1" w:themeFillShade="D9"/>
            <w:vAlign w:val="center"/>
            <w:hideMark/>
          </w:tcPr>
          <w:p w14:paraId="4D139062" w14:textId="77777777" w:rsidR="001C19A4" w:rsidRPr="006C1407" w:rsidRDefault="001C19A4" w:rsidP="005F27A6">
            <w:pPr>
              <w:spacing w:after="0"/>
              <w:jc w:val="center"/>
              <w:rPr>
                <w:rFonts w:cs="Arial"/>
                <w:b/>
                <w:bCs/>
              </w:rPr>
            </w:pPr>
            <w:r w:rsidRPr="006C1407">
              <w:rPr>
                <w:rFonts w:cs="Arial"/>
                <w:b/>
                <w:bCs/>
              </w:rPr>
              <w:t>ELA Status</w:t>
            </w:r>
          </w:p>
        </w:tc>
        <w:tc>
          <w:tcPr>
            <w:tcW w:w="1533" w:type="dxa"/>
            <w:shd w:val="clear" w:color="auto" w:fill="D9D9D9" w:themeFill="background1" w:themeFillShade="D9"/>
            <w:vAlign w:val="center"/>
            <w:hideMark/>
          </w:tcPr>
          <w:p w14:paraId="0296DAA5" w14:textId="77777777" w:rsidR="001C19A4" w:rsidRPr="006C1407" w:rsidRDefault="001C19A4" w:rsidP="005F27A6">
            <w:pPr>
              <w:spacing w:after="0"/>
              <w:jc w:val="center"/>
              <w:rPr>
                <w:rFonts w:cs="Arial"/>
                <w:b/>
                <w:bCs/>
              </w:rPr>
            </w:pPr>
            <w:r w:rsidRPr="006C1407">
              <w:rPr>
                <w:rFonts w:cs="Arial"/>
                <w:b/>
                <w:bCs/>
              </w:rPr>
              <w:t>ELA Change</w:t>
            </w:r>
          </w:p>
        </w:tc>
        <w:tc>
          <w:tcPr>
            <w:tcW w:w="1698" w:type="dxa"/>
            <w:shd w:val="clear" w:color="auto" w:fill="D9D9D9" w:themeFill="background1" w:themeFillShade="D9"/>
            <w:vAlign w:val="center"/>
            <w:hideMark/>
          </w:tcPr>
          <w:p w14:paraId="704E93A7" w14:textId="77777777" w:rsidR="001C19A4" w:rsidRPr="006C1407" w:rsidRDefault="001C19A4" w:rsidP="005F27A6">
            <w:pPr>
              <w:spacing w:after="0"/>
              <w:jc w:val="center"/>
              <w:rPr>
                <w:rFonts w:cs="Arial"/>
                <w:b/>
                <w:bCs/>
              </w:rPr>
            </w:pPr>
            <w:r w:rsidRPr="006C1407">
              <w:rPr>
                <w:rFonts w:cs="Arial"/>
                <w:b/>
                <w:bCs/>
              </w:rPr>
              <w:t>ELA Performance Level</w:t>
            </w:r>
          </w:p>
        </w:tc>
        <w:tc>
          <w:tcPr>
            <w:tcW w:w="1162" w:type="dxa"/>
            <w:shd w:val="clear" w:color="auto" w:fill="D9D9D9" w:themeFill="background1" w:themeFillShade="D9"/>
            <w:vAlign w:val="center"/>
            <w:hideMark/>
          </w:tcPr>
          <w:p w14:paraId="118351DA" w14:textId="77777777" w:rsidR="001C19A4" w:rsidRPr="006C1407" w:rsidRDefault="001C19A4" w:rsidP="005F27A6">
            <w:pPr>
              <w:spacing w:after="0"/>
              <w:jc w:val="center"/>
              <w:rPr>
                <w:rFonts w:cs="Arial"/>
                <w:b/>
                <w:bCs/>
              </w:rPr>
            </w:pPr>
            <w:r w:rsidRPr="006C1407">
              <w:rPr>
                <w:rFonts w:cs="Arial"/>
                <w:b/>
                <w:bCs/>
              </w:rPr>
              <w:t>Math Status</w:t>
            </w:r>
          </w:p>
        </w:tc>
        <w:tc>
          <w:tcPr>
            <w:tcW w:w="1539" w:type="dxa"/>
            <w:shd w:val="clear" w:color="auto" w:fill="D9D9D9" w:themeFill="background1" w:themeFillShade="D9"/>
            <w:vAlign w:val="center"/>
            <w:hideMark/>
          </w:tcPr>
          <w:p w14:paraId="75E7DD0D" w14:textId="77777777" w:rsidR="001C19A4" w:rsidRPr="006C1407" w:rsidRDefault="001C19A4" w:rsidP="005F27A6">
            <w:pPr>
              <w:spacing w:after="0"/>
              <w:jc w:val="center"/>
              <w:rPr>
                <w:rFonts w:cs="Arial"/>
                <w:b/>
                <w:bCs/>
              </w:rPr>
            </w:pPr>
            <w:r w:rsidRPr="006C1407">
              <w:rPr>
                <w:rFonts w:cs="Arial"/>
                <w:b/>
                <w:bCs/>
              </w:rPr>
              <w:t>Math Change</w:t>
            </w:r>
          </w:p>
        </w:tc>
        <w:tc>
          <w:tcPr>
            <w:tcW w:w="1789" w:type="dxa"/>
            <w:shd w:val="clear" w:color="auto" w:fill="D9D9D9" w:themeFill="background1" w:themeFillShade="D9"/>
            <w:vAlign w:val="center"/>
            <w:hideMark/>
          </w:tcPr>
          <w:p w14:paraId="5B183927" w14:textId="77777777" w:rsidR="001C19A4" w:rsidRPr="006C1407" w:rsidRDefault="001C19A4" w:rsidP="005F27A6">
            <w:pPr>
              <w:spacing w:after="0"/>
              <w:jc w:val="center"/>
              <w:rPr>
                <w:rFonts w:cs="Arial"/>
                <w:b/>
                <w:bCs/>
              </w:rPr>
            </w:pPr>
            <w:r w:rsidRPr="006C1407">
              <w:rPr>
                <w:rFonts w:cs="Arial"/>
                <w:b/>
                <w:bCs/>
              </w:rPr>
              <w:t>Math Performance Level</w:t>
            </w:r>
          </w:p>
        </w:tc>
      </w:tr>
      <w:tr w:rsidR="001C19A4" w:rsidRPr="006C1407" w14:paraId="3CE10F27" w14:textId="77777777" w:rsidTr="005F27A6">
        <w:trPr>
          <w:trHeight w:val="288"/>
        </w:trPr>
        <w:tc>
          <w:tcPr>
            <w:tcW w:w="1755" w:type="dxa"/>
            <w:noWrap/>
            <w:hideMark/>
          </w:tcPr>
          <w:p w14:paraId="26C504BF" w14:textId="77777777" w:rsidR="001C19A4" w:rsidRPr="006C1407" w:rsidRDefault="001C19A4" w:rsidP="005F27A6">
            <w:pPr>
              <w:spacing w:after="0"/>
              <w:rPr>
                <w:rFonts w:cs="Arial"/>
              </w:rPr>
            </w:pPr>
            <w:r w:rsidRPr="006C1407">
              <w:rPr>
                <w:rFonts w:cs="Arial"/>
              </w:rPr>
              <w:t>Ayers Elementary</w:t>
            </w:r>
          </w:p>
        </w:tc>
        <w:tc>
          <w:tcPr>
            <w:tcW w:w="1114" w:type="dxa"/>
            <w:noWrap/>
            <w:hideMark/>
          </w:tcPr>
          <w:p w14:paraId="6F53CB81" w14:textId="77777777" w:rsidR="001C19A4" w:rsidRPr="006C1407" w:rsidRDefault="001C19A4" w:rsidP="005F27A6">
            <w:pPr>
              <w:spacing w:after="0"/>
              <w:rPr>
                <w:rFonts w:cs="Arial"/>
              </w:rPr>
            </w:pPr>
            <w:r w:rsidRPr="006C1407">
              <w:rPr>
                <w:rFonts w:cs="Arial"/>
              </w:rPr>
              <w:t>Low</w:t>
            </w:r>
          </w:p>
        </w:tc>
        <w:tc>
          <w:tcPr>
            <w:tcW w:w="1301" w:type="dxa"/>
            <w:noWrap/>
            <w:hideMark/>
          </w:tcPr>
          <w:p w14:paraId="7CB315EF" w14:textId="77777777" w:rsidR="001C19A4" w:rsidRPr="006C1407" w:rsidRDefault="001C19A4" w:rsidP="005F27A6">
            <w:pPr>
              <w:spacing w:after="0"/>
              <w:rPr>
                <w:rFonts w:cs="Arial"/>
              </w:rPr>
            </w:pPr>
            <w:r w:rsidRPr="006C1407">
              <w:rPr>
                <w:rFonts w:cs="Arial"/>
              </w:rPr>
              <w:t>42.4%</w:t>
            </w:r>
          </w:p>
        </w:tc>
        <w:tc>
          <w:tcPr>
            <w:tcW w:w="1158" w:type="dxa"/>
            <w:noWrap/>
            <w:hideMark/>
          </w:tcPr>
          <w:p w14:paraId="7D5D7E9C" w14:textId="77777777" w:rsidR="001C19A4" w:rsidRPr="006C1407" w:rsidRDefault="001C19A4" w:rsidP="005F27A6">
            <w:pPr>
              <w:spacing w:after="0"/>
              <w:rPr>
                <w:rFonts w:cs="Arial"/>
              </w:rPr>
            </w:pPr>
            <w:r w:rsidRPr="006C1407">
              <w:rPr>
                <w:rFonts w:cs="Arial"/>
              </w:rPr>
              <w:t>Medium</w:t>
            </w:r>
          </w:p>
        </w:tc>
        <w:tc>
          <w:tcPr>
            <w:tcW w:w="1533" w:type="dxa"/>
            <w:noWrap/>
            <w:hideMark/>
          </w:tcPr>
          <w:p w14:paraId="06CF3291" w14:textId="77777777" w:rsidR="001C19A4" w:rsidRPr="006C1407" w:rsidRDefault="001C19A4" w:rsidP="005F27A6">
            <w:pPr>
              <w:spacing w:after="0"/>
              <w:rPr>
                <w:rFonts w:cs="Arial"/>
              </w:rPr>
            </w:pPr>
            <w:r w:rsidRPr="006C1407">
              <w:rPr>
                <w:rFonts w:cs="Arial"/>
              </w:rPr>
              <w:t>Increased</w:t>
            </w:r>
          </w:p>
        </w:tc>
        <w:tc>
          <w:tcPr>
            <w:tcW w:w="1698" w:type="dxa"/>
            <w:shd w:val="clear" w:color="auto" w:fill="C5E0B3" w:themeFill="accent6" w:themeFillTint="66"/>
            <w:noWrap/>
            <w:hideMark/>
          </w:tcPr>
          <w:p w14:paraId="55D39CF2" w14:textId="77777777" w:rsidR="001C19A4" w:rsidRPr="006C1407" w:rsidRDefault="001C19A4" w:rsidP="005F27A6">
            <w:pPr>
              <w:spacing w:after="0"/>
              <w:rPr>
                <w:rFonts w:cs="Arial"/>
              </w:rPr>
            </w:pPr>
            <w:r w:rsidRPr="006C1407">
              <w:rPr>
                <w:rFonts w:cs="Arial"/>
              </w:rPr>
              <w:t>Green</w:t>
            </w:r>
          </w:p>
        </w:tc>
        <w:tc>
          <w:tcPr>
            <w:tcW w:w="1162" w:type="dxa"/>
            <w:noWrap/>
            <w:hideMark/>
          </w:tcPr>
          <w:p w14:paraId="3238D990" w14:textId="77777777" w:rsidR="001C19A4" w:rsidRPr="006C1407" w:rsidRDefault="001C19A4" w:rsidP="005F27A6">
            <w:pPr>
              <w:spacing w:after="0"/>
              <w:rPr>
                <w:rFonts w:cs="Arial"/>
              </w:rPr>
            </w:pPr>
            <w:r w:rsidRPr="006C1407">
              <w:rPr>
                <w:rFonts w:cs="Arial"/>
              </w:rPr>
              <w:t>Medium</w:t>
            </w:r>
          </w:p>
        </w:tc>
        <w:tc>
          <w:tcPr>
            <w:tcW w:w="1539" w:type="dxa"/>
            <w:noWrap/>
            <w:hideMark/>
          </w:tcPr>
          <w:p w14:paraId="49FF477F" w14:textId="77777777" w:rsidR="001C19A4" w:rsidRPr="006C1407" w:rsidRDefault="001C19A4" w:rsidP="005F27A6">
            <w:pPr>
              <w:spacing w:after="0"/>
              <w:rPr>
                <w:rFonts w:cs="Arial"/>
              </w:rPr>
            </w:pPr>
            <w:r w:rsidRPr="006C1407">
              <w:rPr>
                <w:rFonts w:cs="Arial"/>
              </w:rPr>
              <w:t>Increased Significantly</w:t>
            </w:r>
          </w:p>
        </w:tc>
        <w:tc>
          <w:tcPr>
            <w:tcW w:w="1789" w:type="dxa"/>
            <w:shd w:val="clear" w:color="auto" w:fill="C5E0B3" w:themeFill="accent6" w:themeFillTint="66"/>
            <w:noWrap/>
            <w:hideMark/>
          </w:tcPr>
          <w:p w14:paraId="6166B956" w14:textId="77777777" w:rsidR="001C19A4" w:rsidRPr="006C1407" w:rsidRDefault="001C19A4" w:rsidP="005F27A6">
            <w:pPr>
              <w:spacing w:after="0"/>
              <w:rPr>
                <w:rFonts w:cs="Arial"/>
              </w:rPr>
            </w:pPr>
            <w:r w:rsidRPr="006C1407">
              <w:rPr>
                <w:rFonts w:cs="Arial"/>
              </w:rPr>
              <w:t>Green</w:t>
            </w:r>
          </w:p>
        </w:tc>
      </w:tr>
      <w:tr w:rsidR="001C19A4" w:rsidRPr="006C1407" w14:paraId="03FE4AB5" w14:textId="77777777" w:rsidTr="005F27A6">
        <w:trPr>
          <w:trHeight w:val="288"/>
        </w:trPr>
        <w:tc>
          <w:tcPr>
            <w:tcW w:w="1755" w:type="dxa"/>
            <w:noWrap/>
            <w:hideMark/>
          </w:tcPr>
          <w:p w14:paraId="210F2F20" w14:textId="77777777" w:rsidR="001C19A4" w:rsidRPr="006C1407" w:rsidRDefault="001C19A4" w:rsidP="005F27A6">
            <w:pPr>
              <w:spacing w:after="0"/>
              <w:rPr>
                <w:rFonts w:cs="Arial"/>
              </w:rPr>
            </w:pPr>
            <w:r w:rsidRPr="006C1407">
              <w:rPr>
                <w:rFonts w:cs="Arial"/>
              </w:rPr>
              <w:t>Bancroft Elementary</w:t>
            </w:r>
          </w:p>
        </w:tc>
        <w:tc>
          <w:tcPr>
            <w:tcW w:w="1114" w:type="dxa"/>
            <w:noWrap/>
            <w:hideMark/>
          </w:tcPr>
          <w:p w14:paraId="5E8F9DF0" w14:textId="77777777" w:rsidR="001C19A4" w:rsidRPr="006C1407" w:rsidRDefault="001C19A4" w:rsidP="005F27A6">
            <w:pPr>
              <w:spacing w:after="0"/>
              <w:rPr>
                <w:rFonts w:cs="Arial"/>
              </w:rPr>
            </w:pPr>
            <w:r w:rsidRPr="006C1407">
              <w:rPr>
                <w:rFonts w:cs="Arial"/>
              </w:rPr>
              <w:t>Low</w:t>
            </w:r>
          </w:p>
        </w:tc>
        <w:tc>
          <w:tcPr>
            <w:tcW w:w="1301" w:type="dxa"/>
            <w:noWrap/>
            <w:hideMark/>
          </w:tcPr>
          <w:p w14:paraId="46AAECAF" w14:textId="77777777" w:rsidR="001C19A4" w:rsidRPr="006C1407" w:rsidRDefault="001C19A4" w:rsidP="005F27A6">
            <w:pPr>
              <w:spacing w:after="0"/>
              <w:rPr>
                <w:rFonts w:cs="Arial"/>
              </w:rPr>
            </w:pPr>
            <w:r w:rsidRPr="006C1407">
              <w:rPr>
                <w:rFonts w:cs="Arial"/>
              </w:rPr>
              <w:t>72.3%</w:t>
            </w:r>
          </w:p>
        </w:tc>
        <w:tc>
          <w:tcPr>
            <w:tcW w:w="1158" w:type="dxa"/>
            <w:noWrap/>
            <w:hideMark/>
          </w:tcPr>
          <w:p w14:paraId="2646D004" w14:textId="77777777" w:rsidR="001C19A4" w:rsidRPr="006C1407" w:rsidRDefault="001C19A4" w:rsidP="005F27A6">
            <w:pPr>
              <w:spacing w:after="0"/>
              <w:rPr>
                <w:rFonts w:cs="Arial"/>
              </w:rPr>
            </w:pPr>
            <w:r w:rsidRPr="006C1407">
              <w:rPr>
                <w:rFonts w:cs="Arial"/>
              </w:rPr>
              <w:t>High</w:t>
            </w:r>
          </w:p>
        </w:tc>
        <w:tc>
          <w:tcPr>
            <w:tcW w:w="1533" w:type="dxa"/>
            <w:noWrap/>
            <w:hideMark/>
          </w:tcPr>
          <w:p w14:paraId="05A6E626" w14:textId="77777777" w:rsidR="001C19A4" w:rsidRPr="006C1407" w:rsidRDefault="001C19A4" w:rsidP="005F27A6">
            <w:pPr>
              <w:spacing w:after="0"/>
              <w:rPr>
                <w:rFonts w:cs="Arial"/>
              </w:rPr>
            </w:pPr>
            <w:r w:rsidRPr="006C1407">
              <w:rPr>
                <w:rFonts w:cs="Arial"/>
              </w:rPr>
              <w:t>Decreased</w:t>
            </w:r>
          </w:p>
        </w:tc>
        <w:tc>
          <w:tcPr>
            <w:tcW w:w="1698" w:type="dxa"/>
            <w:shd w:val="clear" w:color="auto" w:fill="C5E0B3" w:themeFill="accent6" w:themeFillTint="66"/>
            <w:noWrap/>
            <w:hideMark/>
          </w:tcPr>
          <w:p w14:paraId="6ED7F839" w14:textId="77777777" w:rsidR="001C19A4" w:rsidRPr="006C1407" w:rsidRDefault="001C19A4" w:rsidP="005F27A6">
            <w:pPr>
              <w:spacing w:after="0"/>
              <w:rPr>
                <w:rFonts w:cs="Arial"/>
              </w:rPr>
            </w:pPr>
            <w:r w:rsidRPr="006C1407">
              <w:rPr>
                <w:rFonts w:cs="Arial"/>
              </w:rPr>
              <w:t>Green</w:t>
            </w:r>
          </w:p>
        </w:tc>
        <w:tc>
          <w:tcPr>
            <w:tcW w:w="1162" w:type="dxa"/>
            <w:noWrap/>
            <w:hideMark/>
          </w:tcPr>
          <w:p w14:paraId="6E5A9A4A" w14:textId="77777777" w:rsidR="001C19A4" w:rsidRPr="006C1407" w:rsidRDefault="001C19A4" w:rsidP="005F27A6">
            <w:pPr>
              <w:spacing w:after="0"/>
              <w:rPr>
                <w:rFonts w:cs="Arial"/>
              </w:rPr>
            </w:pPr>
            <w:r w:rsidRPr="006C1407">
              <w:rPr>
                <w:rFonts w:cs="Arial"/>
              </w:rPr>
              <w:t>High</w:t>
            </w:r>
          </w:p>
        </w:tc>
        <w:tc>
          <w:tcPr>
            <w:tcW w:w="1539" w:type="dxa"/>
            <w:noWrap/>
            <w:hideMark/>
          </w:tcPr>
          <w:p w14:paraId="24DE0531" w14:textId="77777777" w:rsidR="001C19A4" w:rsidRPr="006C1407" w:rsidRDefault="001C19A4" w:rsidP="005F27A6">
            <w:pPr>
              <w:spacing w:after="0"/>
              <w:rPr>
                <w:rFonts w:cs="Arial"/>
              </w:rPr>
            </w:pPr>
            <w:r w:rsidRPr="006C1407">
              <w:rPr>
                <w:rFonts w:cs="Arial"/>
              </w:rPr>
              <w:t>Increased</w:t>
            </w:r>
          </w:p>
        </w:tc>
        <w:tc>
          <w:tcPr>
            <w:tcW w:w="1789" w:type="dxa"/>
            <w:shd w:val="clear" w:color="auto" w:fill="C5E0B3" w:themeFill="accent6" w:themeFillTint="66"/>
            <w:noWrap/>
            <w:hideMark/>
          </w:tcPr>
          <w:p w14:paraId="7479E976" w14:textId="77777777" w:rsidR="001C19A4" w:rsidRPr="006C1407" w:rsidRDefault="001C19A4" w:rsidP="005F27A6">
            <w:pPr>
              <w:spacing w:after="0"/>
              <w:rPr>
                <w:rFonts w:cs="Arial"/>
              </w:rPr>
            </w:pPr>
            <w:r w:rsidRPr="006C1407">
              <w:rPr>
                <w:rFonts w:cs="Arial"/>
              </w:rPr>
              <w:t>Green</w:t>
            </w:r>
          </w:p>
        </w:tc>
      </w:tr>
      <w:tr w:rsidR="001C19A4" w:rsidRPr="006C1407" w14:paraId="19910277" w14:textId="77777777" w:rsidTr="005F27A6">
        <w:trPr>
          <w:trHeight w:val="288"/>
        </w:trPr>
        <w:tc>
          <w:tcPr>
            <w:tcW w:w="1755" w:type="dxa"/>
            <w:noWrap/>
            <w:hideMark/>
          </w:tcPr>
          <w:p w14:paraId="4D84B887" w14:textId="77777777" w:rsidR="001C19A4" w:rsidRPr="006C1407" w:rsidRDefault="001C19A4" w:rsidP="005F27A6">
            <w:pPr>
              <w:spacing w:after="0"/>
              <w:rPr>
                <w:rFonts w:cs="Arial"/>
              </w:rPr>
            </w:pPr>
            <w:r w:rsidRPr="006C1407">
              <w:rPr>
                <w:rFonts w:cs="Arial"/>
              </w:rPr>
              <w:t>Bel Air Elementary</w:t>
            </w:r>
          </w:p>
        </w:tc>
        <w:tc>
          <w:tcPr>
            <w:tcW w:w="1114" w:type="dxa"/>
            <w:noWrap/>
            <w:hideMark/>
          </w:tcPr>
          <w:p w14:paraId="77A7E469" w14:textId="77777777" w:rsidR="001C19A4" w:rsidRPr="006C1407" w:rsidRDefault="001C19A4" w:rsidP="005F27A6">
            <w:pPr>
              <w:spacing w:after="0"/>
              <w:rPr>
                <w:rFonts w:cs="Arial"/>
              </w:rPr>
            </w:pPr>
            <w:r w:rsidRPr="006C1407">
              <w:rPr>
                <w:rFonts w:cs="Arial"/>
              </w:rPr>
              <w:t>Medium</w:t>
            </w:r>
          </w:p>
        </w:tc>
        <w:tc>
          <w:tcPr>
            <w:tcW w:w="1301" w:type="dxa"/>
            <w:noWrap/>
            <w:hideMark/>
          </w:tcPr>
          <w:p w14:paraId="7EF29A62" w14:textId="77777777" w:rsidR="001C19A4" w:rsidRPr="006C1407" w:rsidRDefault="001C19A4" w:rsidP="005F27A6">
            <w:pPr>
              <w:spacing w:after="0"/>
              <w:rPr>
                <w:rFonts w:cs="Arial"/>
              </w:rPr>
            </w:pPr>
            <w:r w:rsidRPr="006C1407">
              <w:rPr>
                <w:rFonts w:cs="Arial"/>
              </w:rPr>
              <w:t>51.8%</w:t>
            </w:r>
          </w:p>
        </w:tc>
        <w:tc>
          <w:tcPr>
            <w:tcW w:w="1158" w:type="dxa"/>
            <w:noWrap/>
            <w:hideMark/>
          </w:tcPr>
          <w:p w14:paraId="3C19A6C0" w14:textId="77777777" w:rsidR="001C19A4" w:rsidRPr="006C1407" w:rsidRDefault="001C19A4" w:rsidP="005F27A6">
            <w:pPr>
              <w:spacing w:after="0"/>
              <w:rPr>
                <w:rFonts w:cs="Arial"/>
              </w:rPr>
            </w:pPr>
            <w:r w:rsidRPr="006C1407">
              <w:rPr>
                <w:rFonts w:cs="Arial"/>
              </w:rPr>
              <w:t>Very Low</w:t>
            </w:r>
          </w:p>
        </w:tc>
        <w:tc>
          <w:tcPr>
            <w:tcW w:w="1533" w:type="dxa"/>
            <w:noWrap/>
            <w:hideMark/>
          </w:tcPr>
          <w:p w14:paraId="3F1EE50C" w14:textId="77777777" w:rsidR="001C19A4" w:rsidRPr="006C1407" w:rsidRDefault="001C19A4" w:rsidP="005F27A6">
            <w:pPr>
              <w:spacing w:after="0"/>
              <w:rPr>
                <w:rFonts w:cs="Arial"/>
              </w:rPr>
            </w:pPr>
            <w:r w:rsidRPr="006C1407">
              <w:rPr>
                <w:rFonts w:cs="Arial"/>
              </w:rPr>
              <w:t>Increased Significantly</w:t>
            </w:r>
          </w:p>
        </w:tc>
        <w:tc>
          <w:tcPr>
            <w:tcW w:w="1698" w:type="dxa"/>
            <w:shd w:val="clear" w:color="auto" w:fill="F7CAAC" w:themeFill="accent2" w:themeFillTint="66"/>
            <w:noWrap/>
            <w:hideMark/>
          </w:tcPr>
          <w:p w14:paraId="1F45DA46" w14:textId="77777777" w:rsidR="001C19A4" w:rsidRPr="006C1407" w:rsidRDefault="001C19A4" w:rsidP="005F27A6">
            <w:pPr>
              <w:spacing w:after="0"/>
              <w:rPr>
                <w:rFonts w:cs="Arial"/>
              </w:rPr>
            </w:pPr>
            <w:r w:rsidRPr="006C1407">
              <w:rPr>
                <w:rFonts w:cs="Arial"/>
              </w:rPr>
              <w:t>Orange</w:t>
            </w:r>
          </w:p>
        </w:tc>
        <w:tc>
          <w:tcPr>
            <w:tcW w:w="1162" w:type="dxa"/>
            <w:noWrap/>
            <w:hideMark/>
          </w:tcPr>
          <w:p w14:paraId="55D36BE5" w14:textId="77777777" w:rsidR="001C19A4" w:rsidRPr="006C1407" w:rsidRDefault="001C19A4" w:rsidP="005F27A6">
            <w:pPr>
              <w:spacing w:after="0"/>
              <w:rPr>
                <w:rFonts w:cs="Arial"/>
              </w:rPr>
            </w:pPr>
            <w:r w:rsidRPr="006C1407">
              <w:rPr>
                <w:rFonts w:cs="Arial"/>
              </w:rPr>
              <w:t>Low</w:t>
            </w:r>
          </w:p>
        </w:tc>
        <w:tc>
          <w:tcPr>
            <w:tcW w:w="1539" w:type="dxa"/>
            <w:noWrap/>
            <w:hideMark/>
          </w:tcPr>
          <w:p w14:paraId="2ADF2070" w14:textId="77777777" w:rsidR="001C19A4" w:rsidRPr="006C1407" w:rsidRDefault="001C19A4" w:rsidP="005F27A6">
            <w:pPr>
              <w:spacing w:after="0"/>
              <w:rPr>
                <w:rFonts w:cs="Arial"/>
              </w:rPr>
            </w:pPr>
            <w:r w:rsidRPr="006C1407">
              <w:rPr>
                <w:rFonts w:cs="Arial"/>
              </w:rPr>
              <w:t>Increased</w:t>
            </w:r>
          </w:p>
        </w:tc>
        <w:tc>
          <w:tcPr>
            <w:tcW w:w="1789" w:type="dxa"/>
            <w:shd w:val="clear" w:color="auto" w:fill="FFF2CC" w:themeFill="accent4" w:themeFillTint="33"/>
            <w:noWrap/>
            <w:hideMark/>
          </w:tcPr>
          <w:p w14:paraId="4CEC1FE9" w14:textId="77777777" w:rsidR="001C19A4" w:rsidRPr="006C1407" w:rsidRDefault="001C19A4" w:rsidP="005F27A6">
            <w:pPr>
              <w:spacing w:after="0"/>
              <w:rPr>
                <w:rFonts w:cs="Arial"/>
              </w:rPr>
            </w:pPr>
            <w:r w:rsidRPr="006C1407">
              <w:rPr>
                <w:rFonts w:cs="Arial"/>
              </w:rPr>
              <w:t>Yellow</w:t>
            </w:r>
          </w:p>
        </w:tc>
      </w:tr>
      <w:tr w:rsidR="001C19A4" w:rsidRPr="006C1407" w14:paraId="7329F67F" w14:textId="77777777" w:rsidTr="005F27A6">
        <w:trPr>
          <w:trHeight w:val="288"/>
        </w:trPr>
        <w:tc>
          <w:tcPr>
            <w:tcW w:w="1755" w:type="dxa"/>
            <w:noWrap/>
            <w:hideMark/>
          </w:tcPr>
          <w:p w14:paraId="6B185A62" w14:textId="77777777" w:rsidR="001C19A4" w:rsidRPr="006C1407" w:rsidRDefault="001C19A4" w:rsidP="005F27A6">
            <w:pPr>
              <w:spacing w:after="0"/>
              <w:rPr>
                <w:rFonts w:cs="Arial"/>
              </w:rPr>
            </w:pPr>
            <w:r w:rsidRPr="006C1407">
              <w:rPr>
                <w:rFonts w:cs="Arial"/>
              </w:rPr>
              <w:t>Cambridge Elementary</w:t>
            </w:r>
          </w:p>
        </w:tc>
        <w:tc>
          <w:tcPr>
            <w:tcW w:w="1114" w:type="dxa"/>
            <w:noWrap/>
            <w:hideMark/>
          </w:tcPr>
          <w:p w14:paraId="20504290" w14:textId="77777777" w:rsidR="001C19A4" w:rsidRPr="006C1407" w:rsidRDefault="001C19A4" w:rsidP="005F27A6">
            <w:pPr>
              <w:spacing w:after="0"/>
              <w:rPr>
                <w:rFonts w:cs="Arial"/>
              </w:rPr>
            </w:pPr>
            <w:r w:rsidRPr="006C1407">
              <w:rPr>
                <w:rFonts w:cs="Arial"/>
              </w:rPr>
              <w:t>Medium</w:t>
            </w:r>
          </w:p>
        </w:tc>
        <w:tc>
          <w:tcPr>
            <w:tcW w:w="1301" w:type="dxa"/>
            <w:noWrap/>
            <w:hideMark/>
          </w:tcPr>
          <w:p w14:paraId="42164396" w14:textId="77777777" w:rsidR="001C19A4" w:rsidRPr="006C1407" w:rsidRDefault="001C19A4" w:rsidP="005F27A6">
            <w:pPr>
              <w:spacing w:after="0"/>
              <w:rPr>
                <w:rFonts w:cs="Arial"/>
              </w:rPr>
            </w:pPr>
            <w:r w:rsidRPr="006C1407">
              <w:rPr>
                <w:rFonts w:cs="Arial"/>
              </w:rPr>
              <w:t>48.7%</w:t>
            </w:r>
          </w:p>
        </w:tc>
        <w:tc>
          <w:tcPr>
            <w:tcW w:w="1158" w:type="dxa"/>
            <w:noWrap/>
            <w:hideMark/>
          </w:tcPr>
          <w:p w14:paraId="6B2BB0F3" w14:textId="77777777" w:rsidR="001C19A4" w:rsidRPr="006C1407" w:rsidRDefault="001C19A4" w:rsidP="005F27A6">
            <w:pPr>
              <w:spacing w:after="0"/>
              <w:rPr>
                <w:rFonts w:cs="Arial"/>
              </w:rPr>
            </w:pPr>
            <w:r w:rsidRPr="006C1407">
              <w:rPr>
                <w:rFonts w:cs="Arial"/>
              </w:rPr>
              <w:t>Very Low</w:t>
            </w:r>
          </w:p>
        </w:tc>
        <w:tc>
          <w:tcPr>
            <w:tcW w:w="1533" w:type="dxa"/>
            <w:noWrap/>
            <w:hideMark/>
          </w:tcPr>
          <w:p w14:paraId="063043DB" w14:textId="77777777" w:rsidR="001C19A4" w:rsidRPr="006C1407" w:rsidRDefault="001C19A4" w:rsidP="005F27A6">
            <w:pPr>
              <w:spacing w:after="0"/>
              <w:rPr>
                <w:rFonts w:cs="Arial"/>
              </w:rPr>
            </w:pPr>
            <w:r w:rsidRPr="006C1407">
              <w:rPr>
                <w:rFonts w:cs="Arial"/>
              </w:rPr>
              <w:t>Increased Significantly</w:t>
            </w:r>
          </w:p>
        </w:tc>
        <w:tc>
          <w:tcPr>
            <w:tcW w:w="1698" w:type="dxa"/>
            <w:shd w:val="clear" w:color="auto" w:fill="F7CAAC" w:themeFill="accent2" w:themeFillTint="66"/>
            <w:noWrap/>
            <w:hideMark/>
          </w:tcPr>
          <w:p w14:paraId="04A7D97E" w14:textId="77777777" w:rsidR="001C19A4" w:rsidRPr="006C1407" w:rsidRDefault="001C19A4" w:rsidP="005F27A6">
            <w:pPr>
              <w:spacing w:after="0"/>
              <w:rPr>
                <w:rFonts w:cs="Arial"/>
              </w:rPr>
            </w:pPr>
            <w:r w:rsidRPr="006C1407">
              <w:rPr>
                <w:rFonts w:cs="Arial"/>
              </w:rPr>
              <w:t>Orange</w:t>
            </w:r>
          </w:p>
        </w:tc>
        <w:tc>
          <w:tcPr>
            <w:tcW w:w="1162" w:type="dxa"/>
            <w:noWrap/>
            <w:hideMark/>
          </w:tcPr>
          <w:p w14:paraId="364F5B57" w14:textId="77777777" w:rsidR="001C19A4" w:rsidRPr="006C1407" w:rsidRDefault="001C19A4" w:rsidP="005F27A6">
            <w:pPr>
              <w:spacing w:after="0"/>
              <w:rPr>
                <w:rFonts w:cs="Arial"/>
              </w:rPr>
            </w:pPr>
            <w:r w:rsidRPr="006C1407">
              <w:rPr>
                <w:rFonts w:cs="Arial"/>
              </w:rPr>
              <w:t>Low</w:t>
            </w:r>
          </w:p>
        </w:tc>
        <w:tc>
          <w:tcPr>
            <w:tcW w:w="1539" w:type="dxa"/>
            <w:noWrap/>
            <w:hideMark/>
          </w:tcPr>
          <w:p w14:paraId="1D6FE4A9" w14:textId="77777777" w:rsidR="001C19A4" w:rsidRPr="006C1407" w:rsidRDefault="001C19A4" w:rsidP="005F27A6">
            <w:pPr>
              <w:spacing w:after="0"/>
              <w:rPr>
                <w:rFonts w:cs="Arial"/>
              </w:rPr>
            </w:pPr>
            <w:r w:rsidRPr="006C1407">
              <w:rPr>
                <w:rFonts w:cs="Arial"/>
              </w:rPr>
              <w:t>Increased</w:t>
            </w:r>
          </w:p>
        </w:tc>
        <w:tc>
          <w:tcPr>
            <w:tcW w:w="1789" w:type="dxa"/>
            <w:shd w:val="clear" w:color="auto" w:fill="FFF2CC" w:themeFill="accent4" w:themeFillTint="33"/>
            <w:noWrap/>
            <w:hideMark/>
          </w:tcPr>
          <w:p w14:paraId="68A3E8E1" w14:textId="77777777" w:rsidR="001C19A4" w:rsidRPr="006C1407" w:rsidRDefault="001C19A4" w:rsidP="005F27A6">
            <w:pPr>
              <w:spacing w:after="0"/>
              <w:rPr>
                <w:rFonts w:cs="Arial"/>
              </w:rPr>
            </w:pPr>
            <w:r w:rsidRPr="006C1407">
              <w:rPr>
                <w:rFonts w:cs="Arial"/>
              </w:rPr>
              <w:t>Yellow</w:t>
            </w:r>
          </w:p>
        </w:tc>
      </w:tr>
      <w:tr w:rsidR="001C19A4" w:rsidRPr="006C1407" w14:paraId="462E0CD7" w14:textId="77777777" w:rsidTr="005F27A6">
        <w:trPr>
          <w:trHeight w:val="288"/>
        </w:trPr>
        <w:tc>
          <w:tcPr>
            <w:tcW w:w="1755" w:type="dxa"/>
            <w:noWrap/>
            <w:hideMark/>
          </w:tcPr>
          <w:p w14:paraId="2BE26285" w14:textId="77777777" w:rsidR="001C19A4" w:rsidRPr="006C1407" w:rsidRDefault="001C19A4" w:rsidP="005F27A6">
            <w:pPr>
              <w:spacing w:after="0"/>
              <w:rPr>
                <w:rFonts w:cs="Arial"/>
              </w:rPr>
            </w:pPr>
            <w:r w:rsidRPr="006C1407">
              <w:rPr>
                <w:rFonts w:cs="Arial"/>
              </w:rPr>
              <w:t>Delta View Elementary</w:t>
            </w:r>
          </w:p>
        </w:tc>
        <w:tc>
          <w:tcPr>
            <w:tcW w:w="1114" w:type="dxa"/>
            <w:noWrap/>
            <w:hideMark/>
          </w:tcPr>
          <w:p w14:paraId="26EA4FE0" w14:textId="77777777" w:rsidR="001C19A4" w:rsidRPr="006C1407" w:rsidRDefault="001C19A4" w:rsidP="005F27A6">
            <w:pPr>
              <w:spacing w:after="0"/>
              <w:rPr>
                <w:rFonts w:cs="Arial"/>
              </w:rPr>
            </w:pPr>
            <w:r w:rsidRPr="006C1407">
              <w:rPr>
                <w:rFonts w:cs="Arial"/>
              </w:rPr>
              <w:t>Low</w:t>
            </w:r>
          </w:p>
        </w:tc>
        <w:tc>
          <w:tcPr>
            <w:tcW w:w="1301" w:type="dxa"/>
            <w:noWrap/>
            <w:hideMark/>
          </w:tcPr>
          <w:p w14:paraId="060709C3" w14:textId="77777777" w:rsidR="001C19A4" w:rsidRPr="006C1407" w:rsidRDefault="001C19A4" w:rsidP="005F27A6">
            <w:pPr>
              <w:spacing w:after="0"/>
              <w:rPr>
                <w:rFonts w:cs="Arial"/>
              </w:rPr>
            </w:pPr>
            <w:r w:rsidRPr="006C1407">
              <w:rPr>
                <w:rFonts w:cs="Arial"/>
              </w:rPr>
              <w:t>40.2%</w:t>
            </w:r>
          </w:p>
        </w:tc>
        <w:tc>
          <w:tcPr>
            <w:tcW w:w="1158" w:type="dxa"/>
            <w:noWrap/>
            <w:hideMark/>
          </w:tcPr>
          <w:p w14:paraId="570E38F5" w14:textId="77777777" w:rsidR="001C19A4" w:rsidRPr="006C1407" w:rsidRDefault="001C19A4" w:rsidP="005F27A6">
            <w:pPr>
              <w:spacing w:after="0"/>
              <w:rPr>
                <w:rFonts w:cs="Arial"/>
              </w:rPr>
            </w:pPr>
            <w:r w:rsidRPr="006C1407">
              <w:rPr>
                <w:rFonts w:cs="Arial"/>
              </w:rPr>
              <w:t>Low</w:t>
            </w:r>
          </w:p>
        </w:tc>
        <w:tc>
          <w:tcPr>
            <w:tcW w:w="1533" w:type="dxa"/>
            <w:noWrap/>
            <w:hideMark/>
          </w:tcPr>
          <w:p w14:paraId="57ABF4E8" w14:textId="77777777" w:rsidR="001C19A4" w:rsidRPr="006C1407" w:rsidRDefault="001C19A4" w:rsidP="005F27A6">
            <w:pPr>
              <w:spacing w:after="0"/>
              <w:rPr>
                <w:rFonts w:cs="Arial"/>
              </w:rPr>
            </w:pPr>
            <w:r w:rsidRPr="006C1407">
              <w:rPr>
                <w:rFonts w:cs="Arial"/>
              </w:rPr>
              <w:t>Maintained</w:t>
            </w:r>
          </w:p>
        </w:tc>
        <w:tc>
          <w:tcPr>
            <w:tcW w:w="1698" w:type="dxa"/>
            <w:shd w:val="clear" w:color="auto" w:fill="F7CAAC" w:themeFill="accent2" w:themeFillTint="66"/>
            <w:noWrap/>
            <w:hideMark/>
          </w:tcPr>
          <w:p w14:paraId="7ADF4351" w14:textId="77777777" w:rsidR="001C19A4" w:rsidRPr="006C1407" w:rsidRDefault="001C19A4" w:rsidP="005F27A6">
            <w:pPr>
              <w:spacing w:after="0"/>
              <w:rPr>
                <w:rFonts w:cs="Arial"/>
              </w:rPr>
            </w:pPr>
            <w:r w:rsidRPr="006C1407">
              <w:rPr>
                <w:rFonts w:cs="Arial"/>
              </w:rPr>
              <w:t>Orange</w:t>
            </w:r>
          </w:p>
        </w:tc>
        <w:tc>
          <w:tcPr>
            <w:tcW w:w="1162" w:type="dxa"/>
            <w:noWrap/>
            <w:hideMark/>
          </w:tcPr>
          <w:p w14:paraId="62266EDD" w14:textId="77777777" w:rsidR="001C19A4" w:rsidRPr="006C1407" w:rsidRDefault="001C19A4" w:rsidP="005F27A6">
            <w:pPr>
              <w:spacing w:after="0"/>
              <w:rPr>
                <w:rFonts w:cs="Arial"/>
              </w:rPr>
            </w:pPr>
            <w:r w:rsidRPr="006C1407">
              <w:rPr>
                <w:rFonts w:cs="Arial"/>
              </w:rPr>
              <w:t>Low</w:t>
            </w:r>
          </w:p>
        </w:tc>
        <w:tc>
          <w:tcPr>
            <w:tcW w:w="1539" w:type="dxa"/>
            <w:noWrap/>
            <w:hideMark/>
          </w:tcPr>
          <w:p w14:paraId="7777F89C" w14:textId="77777777" w:rsidR="001C19A4" w:rsidRPr="006C1407" w:rsidRDefault="001C19A4" w:rsidP="005F27A6">
            <w:pPr>
              <w:spacing w:after="0"/>
              <w:rPr>
                <w:rFonts w:cs="Arial"/>
              </w:rPr>
            </w:pPr>
            <w:r w:rsidRPr="006C1407">
              <w:rPr>
                <w:rFonts w:cs="Arial"/>
              </w:rPr>
              <w:t>Decreased</w:t>
            </w:r>
          </w:p>
        </w:tc>
        <w:tc>
          <w:tcPr>
            <w:tcW w:w="1789" w:type="dxa"/>
            <w:shd w:val="clear" w:color="auto" w:fill="F7CAAC" w:themeFill="accent2" w:themeFillTint="66"/>
            <w:noWrap/>
            <w:hideMark/>
          </w:tcPr>
          <w:p w14:paraId="50898131" w14:textId="77777777" w:rsidR="001C19A4" w:rsidRPr="006C1407" w:rsidRDefault="001C19A4" w:rsidP="005F27A6">
            <w:pPr>
              <w:spacing w:after="0"/>
              <w:rPr>
                <w:rFonts w:cs="Arial"/>
              </w:rPr>
            </w:pPr>
            <w:r w:rsidRPr="006C1407">
              <w:rPr>
                <w:rFonts w:cs="Arial"/>
              </w:rPr>
              <w:t>Orange</w:t>
            </w:r>
          </w:p>
        </w:tc>
      </w:tr>
      <w:tr w:rsidR="001C19A4" w:rsidRPr="006C1407" w14:paraId="690C4CE0" w14:textId="77777777" w:rsidTr="005F27A6">
        <w:trPr>
          <w:trHeight w:val="288"/>
        </w:trPr>
        <w:tc>
          <w:tcPr>
            <w:tcW w:w="1755" w:type="dxa"/>
            <w:noWrap/>
            <w:hideMark/>
          </w:tcPr>
          <w:p w14:paraId="6FAF7E5A" w14:textId="77777777" w:rsidR="001C19A4" w:rsidRPr="006C1407" w:rsidRDefault="001C19A4" w:rsidP="005F27A6">
            <w:pPr>
              <w:spacing w:after="0"/>
              <w:rPr>
                <w:rFonts w:cs="Arial"/>
              </w:rPr>
            </w:pPr>
            <w:r w:rsidRPr="006C1407">
              <w:rPr>
                <w:rFonts w:cs="Arial"/>
              </w:rPr>
              <w:t>El Monte Elementary</w:t>
            </w:r>
          </w:p>
        </w:tc>
        <w:tc>
          <w:tcPr>
            <w:tcW w:w="1114" w:type="dxa"/>
            <w:noWrap/>
            <w:hideMark/>
          </w:tcPr>
          <w:p w14:paraId="3A8F3244" w14:textId="77777777" w:rsidR="001C19A4" w:rsidRPr="006C1407" w:rsidRDefault="001C19A4" w:rsidP="005F27A6">
            <w:pPr>
              <w:spacing w:after="0"/>
              <w:rPr>
                <w:rFonts w:cs="Arial"/>
              </w:rPr>
            </w:pPr>
            <w:r w:rsidRPr="006C1407">
              <w:rPr>
                <w:rFonts w:cs="Arial"/>
              </w:rPr>
              <w:t>High</w:t>
            </w:r>
          </w:p>
        </w:tc>
        <w:tc>
          <w:tcPr>
            <w:tcW w:w="1301" w:type="dxa"/>
            <w:noWrap/>
            <w:hideMark/>
          </w:tcPr>
          <w:p w14:paraId="22882004" w14:textId="77777777" w:rsidR="001C19A4" w:rsidRPr="006C1407" w:rsidRDefault="001C19A4" w:rsidP="005F27A6">
            <w:pPr>
              <w:spacing w:after="0"/>
              <w:rPr>
                <w:rFonts w:cs="Arial"/>
              </w:rPr>
            </w:pPr>
            <w:r w:rsidRPr="006C1407">
              <w:rPr>
                <w:rFonts w:cs="Arial"/>
              </w:rPr>
              <w:t>55.7%</w:t>
            </w:r>
          </w:p>
        </w:tc>
        <w:tc>
          <w:tcPr>
            <w:tcW w:w="1158" w:type="dxa"/>
            <w:noWrap/>
            <w:hideMark/>
          </w:tcPr>
          <w:p w14:paraId="5B40ED9A" w14:textId="77777777" w:rsidR="001C19A4" w:rsidRPr="006C1407" w:rsidRDefault="001C19A4" w:rsidP="005F27A6">
            <w:pPr>
              <w:spacing w:after="0"/>
              <w:rPr>
                <w:rFonts w:cs="Arial"/>
              </w:rPr>
            </w:pPr>
            <w:r w:rsidRPr="006C1407">
              <w:rPr>
                <w:rFonts w:cs="Arial"/>
              </w:rPr>
              <w:t>Low</w:t>
            </w:r>
          </w:p>
        </w:tc>
        <w:tc>
          <w:tcPr>
            <w:tcW w:w="1533" w:type="dxa"/>
            <w:noWrap/>
            <w:hideMark/>
          </w:tcPr>
          <w:p w14:paraId="64E816F8"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36C602C2" w14:textId="77777777" w:rsidR="001C19A4" w:rsidRPr="006C1407" w:rsidRDefault="001C19A4" w:rsidP="005F27A6">
            <w:pPr>
              <w:spacing w:after="0"/>
              <w:rPr>
                <w:rFonts w:cs="Arial"/>
              </w:rPr>
            </w:pPr>
            <w:r w:rsidRPr="006C1407">
              <w:rPr>
                <w:rFonts w:cs="Arial"/>
              </w:rPr>
              <w:t>Orange</w:t>
            </w:r>
          </w:p>
        </w:tc>
        <w:tc>
          <w:tcPr>
            <w:tcW w:w="1162" w:type="dxa"/>
            <w:noWrap/>
            <w:hideMark/>
          </w:tcPr>
          <w:p w14:paraId="65649E12" w14:textId="77777777" w:rsidR="001C19A4" w:rsidRPr="006C1407" w:rsidRDefault="001C19A4" w:rsidP="005F27A6">
            <w:pPr>
              <w:spacing w:after="0"/>
              <w:rPr>
                <w:rFonts w:cs="Arial"/>
              </w:rPr>
            </w:pPr>
            <w:r w:rsidRPr="006C1407">
              <w:rPr>
                <w:rFonts w:cs="Arial"/>
              </w:rPr>
              <w:t>Low</w:t>
            </w:r>
          </w:p>
        </w:tc>
        <w:tc>
          <w:tcPr>
            <w:tcW w:w="1539" w:type="dxa"/>
            <w:noWrap/>
            <w:hideMark/>
          </w:tcPr>
          <w:p w14:paraId="60111152" w14:textId="77777777" w:rsidR="001C19A4" w:rsidRPr="006C1407" w:rsidRDefault="001C19A4" w:rsidP="005F27A6">
            <w:pPr>
              <w:spacing w:after="0"/>
              <w:rPr>
                <w:rFonts w:cs="Arial"/>
              </w:rPr>
            </w:pPr>
            <w:r w:rsidRPr="006C1407">
              <w:rPr>
                <w:rFonts w:cs="Arial"/>
              </w:rPr>
              <w:t>Decreased</w:t>
            </w:r>
          </w:p>
        </w:tc>
        <w:tc>
          <w:tcPr>
            <w:tcW w:w="1789" w:type="dxa"/>
            <w:shd w:val="clear" w:color="auto" w:fill="F7CAAC" w:themeFill="accent2" w:themeFillTint="66"/>
            <w:noWrap/>
            <w:hideMark/>
          </w:tcPr>
          <w:p w14:paraId="09D26F81" w14:textId="77777777" w:rsidR="001C19A4" w:rsidRPr="006C1407" w:rsidRDefault="001C19A4" w:rsidP="005F27A6">
            <w:pPr>
              <w:spacing w:after="0"/>
              <w:rPr>
                <w:rFonts w:cs="Arial"/>
              </w:rPr>
            </w:pPr>
            <w:r w:rsidRPr="006C1407">
              <w:rPr>
                <w:rFonts w:cs="Arial"/>
              </w:rPr>
              <w:t>Orange</w:t>
            </w:r>
          </w:p>
        </w:tc>
      </w:tr>
      <w:tr w:rsidR="001C19A4" w:rsidRPr="006C1407" w14:paraId="0B6D2C0B" w14:textId="77777777" w:rsidTr="005F27A6">
        <w:trPr>
          <w:trHeight w:val="288"/>
        </w:trPr>
        <w:tc>
          <w:tcPr>
            <w:tcW w:w="1755" w:type="dxa"/>
            <w:noWrap/>
            <w:hideMark/>
          </w:tcPr>
          <w:p w14:paraId="17EE233D" w14:textId="77777777" w:rsidR="001C19A4" w:rsidRPr="006C1407" w:rsidRDefault="001C19A4" w:rsidP="005F27A6">
            <w:pPr>
              <w:spacing w:after="0"/>
              <w:rPr>
                <w:rFonts w:cs="Arial"/>
              </w:rPr>
            </w:pPr>
            <w:r w:rsidRPr="006C1407">
              <w:rPr>
                <w:rFonts w:cs="Arial"/>
              </w:rPr>
              <w:t>Fair Oaks Elementary</w:t>
            </w:r>
          </w:p>
        </w:tc>
        <w:tc>
          <w:tcPr>
            <w:tcW w:w="1114" w:type="dxa"/>
            <w:noWrap/>
            <w:hideMark/>
          </w:tcPr>
          <w:p w14:paraId="25CAAA49" w14:textId="77777777" w:rsidR="001C19A4" w:rsidRPr="006C1407" w:rsidRDefault="001C19A4" w:rsidP="005F27A6">
            <w:pPr>
              <w:spacing w:after="0"/>
              <w:rPr>
                <w:rFonts w:cs="Arial"/>
              </w:rPr>
            </w:pPr>
            <w:r w:rsidRPr="006C1407">
              <w:rPr>
                <w:rFonts w:cs="Arial"/>
              </w:rPr>
              <w:t>Very Low</w:t>
            </w:r>
          </w:p>
        </w:tc>
        <w:tc>
          <w:tcPr>
            <w:tcW w:w="1301" w:type="dxa"/>
            <w:noWrap/>
            <w:hideMark/>
          </w:tcPr>
          <w:p w14:paraId="6AF3852A" w14:textId="77777777" w:rsidR="001C19A4" w:rsidRPr="006C1407" w:rsidRDefault="001C19A4" w:rsidP="005F27A6">
            <w:pPr>
              <w:spacing w:after="0"/>
              <w:rPr>
                <w:rFonts w:cs="Arial"/>
              </w:rPr>
            </w:pPr>
            <w:r w:rsidRPr="006C1407">
              <w:rPr>
                <w:rFonts w:cs="Arial"/>
              </w:rPr>
              <w:t>31.3%</w:t>
            </w:r>
          </w:p>
        </w:tc>
        <w:tc>
          <w:tcPr>
            <w:tcW w:w="1158" w:type="dxa"/>
            <w:noWrap/>
            <w:hideMark/>
          </w:tcPr>
          <w:p w14:paraId="1B488383" w14:textId="77777777" w:rsidR="001C19A4" w:rsidRPr="006C1407" w:rsidRDefault="001C19A4" w:rsidP="005F27A6">
            <w:pPr>
              <w:spacing w:after="0"/>
              <w:rPr>
                <w:rFonts w:cs="Arial"/>
              </w:rPr>
            </w:pPr>
            <w:r w:rsidRPr="006C1407">
              <w:rPr>
                <w:rFonts w:cs="Arial"/>
              </w:rPr>
              <w:t>Low</w:t>
            </w:r>
          </w:p>
        </w:tc>
        <w:tc>
          <w:tcPr>
            <w:tcW w:w="1533" w:type="dxa"/>
            <w:noWrap/>
            <w:hideMark/>
          </w:tcPr>
          <w:p w14:paraId="47E9F7C1"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75D285AB" w14:textId="77777777" w:rsidR="001C19A4" w:rsidRPr="006C1407" w:rsidRDefault="001C19A4" w:rsidP="005F27A6">
            <w:pPr>
              <w:spacing w:after="0"/>
              <w:rPr>
                <w:rFonts w:cs="Arial"/>
              </w:rPr>
            </w:pPr>
            <w:r w:rsidRPr="006C1407">
              <w:rPr>
                <w:rFonts w:cs="Arial"/>
              </w:rPr>
              <w:t>Orange</w:t>
            </w:r>
          </w:p>
        </w:tc>
        <w:tc>
          <w:tcPr>
            <w:tcW w:w="1162" w:type="dxa"/>
            <w:noWrap/>
            <w:hideMark/>
          </w:tcPr>
          <w:p w14:paraId="285EFA2B" w14:textId="77777777" w:rsidR="001C19A4" w:rsidRPr="006C1407" w:rsidRDefault="001C19A4" w:rsidP="005F27A6">
            <w:pPr>
              <w:spacing w:after="0"/>
              <w:rPr>
                <w:rFonts w:cs="Arial"/>
              </w:rPr>
            </w:pPr>
            <w:r w:rsidRPr="006C1407">
              <w:rPr>
                <w:rFonts w:cs="Arial"/>
              </w:rPr>
              <w:t>Low</w:t>
            </w:r>
          </w:p>
        </w:tc>
        <w:tc>
          <w:tcPr>
            <w:tcW w:w="1539" w:type="dxa"/>
            <w:noWrap/>
            <w:hideMark/>
          </w:tcPr>
          <w:p w14:paraId="5EAFFFA3" w14:textId="77777777" w:rsidR="001C19A4" w:rsidRPr="006C1407" w:rsidRDefault="001C19A4" w:rsidP="005F27A6">
            <w:pPr>
              <w:spacing w:after="0"/>
              <w:rPr>
                <w:rFonts w:cs="Arial"/>
              </w:rPr>
            </w:pPr>
            <w:r w:rsidRPr="006C1407">
              <w:rPr>
                <w:rFonts w:cs="Arial"/>
              </w:rPr>
              <w:t>Decreased Significantly</w:t>
            </w:r>
          </w:p>
        </w:tc>
        <w:tc>
          <w:tcPr>
            <w:tcW w:w="1789" w:type="dxa"/>
            <w:shd w:val="clear" w:color="auto" w:fill="F7CAAC" w:themeFill="accent2" w:themeFillTint="66"/>
            <w:noWrap/>
            <w:hideMark/>
          </w:tcPr>
          <w:p w14:paraId="20EEFD03" w14:textId="77777777" w:rsidR="001C19A4" w:rsidRPr="006C1407" w:rsidRDefault="001C19A4" w:rsidP="005F27A6">
            <w:pPr>
              <w:spacing w:after="0"/>
              <w:rPr>
                <w:rFonts w:cs="Arial"/>
              </w:rPr>
            </w:pPr>
            <w:r w:rsidRPr="006C1407">
              <w:rPr>
                <w:rFonts w:cs="Arial"/>
              </w:rPr>
              <w:t>Orange</w:t>
            </w:r>
          </w:p>
        </w:tc>
      </w:tr>
      <w:tr w:rsidR="001C19A4" w:rsidRPr="006C1407" w14:paraId="6D99DBB8" w14:textId="77777777" w:rsidTr="005F27A6">
        <w:trPr>
          <w:trHeight w:val="288"/>
        </w:trPr>
        <w:tc>
          <w:tcPr>
            <w:tcW w:w="1755" w:type="dxa"/>
            <w:noWrap/>
            <w:hideMark/>
          </w:tcPr>
          <w:p w14:paraId="763F4E33" w14:textId="77777777" w:rsidR="001C19A4" w:rsidRPr="006C1407" w:rsidRDefault="001C19A4" w:rsidP="005F27A6">
            <w:pPr>
              <w:spacing w:after="0"/>
              <w:rPr>
                <w:rFonts w:cs="Arial"/>
              </w:rPr>
            </w:pPr>
            <w:r w:rsidRPr="006C1407">
              <w:rPr>
                <w:rFonts w:cs="Arial"/>
              </w:rPr>
              <w:t>Gregory Gardens Elementary</w:t>
            </w:r>
          </w:p>
        </w:tc>
        <w:tc>
          <w:tcPr>
            <w:tcW w:w="1114" w:type="dxa"/>
            <w:noWrap/>
            <w:hideMark/>
          </w:tcPr>
          <w:p w14:paraId="75A8012C" w14:textId="77777777" w:rsidR="001C19A4" w:rsidRPr="006C1407" w:rsidRDefault="001C19A4" w:rsidP="005F27A6">
            <w:pPr>
              <w:spacing w:after="0"/>
              <w:rPr>
                <w:rFonts w:cs="Arial"/>
              </w:rPr>
            </w:pPr>
            <w:r w:rsidRPr="006C1407">
              <w:rPr>
                <w:rFonts w:cs="Arial"/>
              </w:rPr>
              <w:t>Low</w:t>
            </w:r>
          </w:p>
        </w:tc>
        <w:tc>
          <w:tcPr>
            <w:tcW w:w="1301" w:type="dxa"/>
            <w:noWrap/>
            <w:hideMark/>
          </w:tcPr>
          <w:p w14:paraId="4941DE8F" w14:textId="77777777" w:rsidR="001C19A4" w:rsidRPr="006C1407" w:rsidRDefault="001C19A4" w:rsidP="005F27A6">
            <w:pPr>
              <w:spacing w:after="0"/>
              <w:rPr>
                <w:rFonts w:cs="Arial"/>
              </w:rPr>
            </w:pPr>
            <w:r w:rsidRPr="006C1407">
              <w:rPr>
                <w:rFonts w:cs="Arial"/>
              </w:rPr>
              <w:t>44.3%</w:t>
            </w:r>
          </w:p>
        </w:tc>
        <w:tc>
          <w:tcPr>
            <w:tcW w:w="1158" w:type="dxa"/>
            <w:noWrap/>
            <w:hideMark/>
          </w:tcPr>
          <w:p w14:paraId="7F03EB3D" w14:textId="77777777" w:rsidR="001C19A4" w:rsidRPr="006C1407" w:rsidRDefault="001C19A4" w:rsidP="005F27A6">
            <w:pPr>
              <w:spacing w:after="0"/>
              <w:rPr>
                <w:rFonts w:cs="Arial"/>
              </w:rPr>
            </w:pPr>
            <w:r w:rsidRPr="006C1407">
              <w:rPr>
                <w:rFonts w:cs="Arial"/>
              </w:rPr>
              <w:t>Low</w:t>
            </w:r>
          </w:p>
        </w:tc>
        <w:tc>
          <w:tcPr>
            <w:tcW w:w="1533" w:type="dxa"/>
            <w:noWrap/>
            <w:hideMark/>
          </w:tcPr>
          <w:p w14:paraId="54647473"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2CD45232" w14:textId="77777777" w:rsidR="001C19A4" w:rsidRPr="006C1407" w:rsidRDefault="001C19A4" w:rsidP="005F27A6">
            <w:pPr>
              <w:spacing w:after="0"/>
              <w:rPr>
                <w:rFonts w:cs="Arial"/>
              </w:rPr>
            </w:pPr>
            <w:r w:rsidRPr="006C1407">
              <w:rPr>
                <w:rFonts w:cs="Arial"/>
              </w:rPr>
              <w:t>Orange</w:t>
            </w:r>
          </w:p>
        </w:tc>
        <w:tc>
          <w:tcPr>
            <w:tcW w:w="1162" w:type="dxa"/>
            <w:noWrap/>
            <w:hideMark/>
          </w:tcPr>
          <w:p w14:paraId="686209A6" w14:textId="77777777" w:rsidR="001C19A4" w:rsidRPr="006C1407" w:rsidRDefault="001C19A4" w:rsidP="005F27A6">
            <w:pPr>
              <w:spacing w:after="0"/>
              <w:rPr>
                <w:rFonts w:cs="Arial"/>
              </w:rPr>
            </w:pPr>
            <w:r w:rsidRPr="006C1407">
              <w:rPr>
                <w:rFonts w:cs="Arial"/>
              </w:rPr>
              <w:t>Low</w:t>
            </w:r>
          </w:p>
        </w:tc>
        <w:tc>
          <w:tcPr>
            <w:tcW w:w="1539" w:type="dxa"/>
            <w:noWrap/>
            <w:hideMark/>
          </w:tcPr>
          <w:p w14:paraId="14191C12" w14:textId="77777777" w:rsidR="001C19A4" w:rsidRPr="006C1407" w:rsidRDefault="001C19A4" w:rsidP="005F27A6">
            <w:pPr>
              <w:spacing w:after="0"/>
              <w:rPr>
                <w:rFonts w:cs="Arial"/>
              </w:rPr>
            </w:pPr>
            <w:r w:rsidRPr="006C1407">
              <w:rPr>
                <w:rFonts w:cs="Arial"/>
              </w:rPr>
              <w:t>Maintained</w:t>
            </w:r>
          </w:p>
        </w:tc>
        <w:tc>
          <w:tcPr>
            <w:tcW w:w="1789" w:type="dxa"/>
            <w:shd w:val="clear" w:color="auto" w:fill="F7CAAC" w:themeFill="accent2" w:themeFillTint="66"/>
            <w:noWrap/>
            <w:hideMark/>
          </w:tcPr>
          <w:p w14:paraId="22568E32" w14:textId="77777777" w:rsidR="001C19A4" w:rsidRPr="006C1407" w:rsidRDefault="001C19A4" w:rsidP="005F27A6">
            <w:pPr>
              <w:spacing w:after="0"/>
              <w:rPr>
                <w:rFonts w:cs="Arial"/>
              </w:rPr>
            </w:pPr>
            <w:r w:rsidRPr="006C1407">
              <w:rPr>
                <w:rFonts w:cs="Arial"/>
              </w:rPr>
              <w:t>Orange</w:t>
            </w:r>
          </w:p>
        </w:tc>
      </w:tr>
      <w:tr w:rsidR="001C19A4" w:rsidRPr="006C1407" w14:paraId="4911D258" w14:textId="77777777" w:rsidTr="005F27A6">
        <w:trPr>
          <w:trHeight w:val="288"/>
        </w:trPr>
        <w:tc>
          <w:tcPr>
            <w:tcW w:w="1755" w:type="dxa"/>
            <w:noWrap/>
            <w:hideMark/>
          </w:tcPr>
          <w:p w14:paraId="428F0D97" w14:textId="77777777" w:rsidR="001C19A4" w:rsidRPr="006C1407" w:rsidRDefault="001C19A4" w:rsidP="005F27A6">
            <w:pPr>
              <w:spacing w:after="0"/>
              <w:rPr>
                <w:rFonts w:cs="Arial"/>
              </w:rPr>
            </w:pPr>
            <w:r w:rsidRPr="006C1407">
              <w:rPr>
                <w:rFonts w:cs="Arial"/>
              </w:rPr>
              <w:lastRenderedPageBreak/>
              <w:t>Hidden Valley Elementary</w:t>
            </w:r>
          </w:p>
        </w:tc>
        <w:tc>
          <w:tcPr>
            <w:tcW w:w="1114" w:type="dxa"/>
            <w:noWrap/>
            <w:hideMark/>
          </w:tcPr>
          <w:p w14:paraId="05093B7E" w14:textId="77777777" w:rsidR="001C19A4" w:rsidRPr="006C1407" w:rsidRDefault="001C19A4" w:rsidP="005F27A6">
            <w:pPr>
              <w:spacing w:after="0"/>
              <w:rPr>
                <w:rFonts w:cs="Arial"/>
              </w:rPr>
            </w:pPr>
            <w:r w:rsidRPr="006C1407">
              <w:rPr>
                <w:rFonts w:cs="Arial"/>
              </w:rPr>
              <w:t>Medium</w:t>
            </w:r>
          </w:p>
        </w:tc>
        <w:tc>
          <w:tcPr>
            <w:tcW w:w="1301" w:type="dxa"/>
            <w:noWrap/>
            <w:hideMark/>
          </w:tcPr>
          <w:p w14:paraId="4E3BF7E3" w14:textId="77777777" w:rsidR="001C19A4" w:rsidRPr="006C1407" w:rsidRDefault="001C19A4" w:rsidP="005F27A6">
            <w:pPr>
              <w:spacing w:after="0"/>
              <w:rPr>
                <w:rFonts w:cs="Arial"/>
              </w:rPr>
            </w:pPr>
            <w:r w:rsidRPr="006C1407">
              <w:rPr>
                <w:rFonts w:cs="Arial"/>
              </w:rPr>
              <w:t>51.2%</w:t>
            </w:r>
          </w:p>
        </w:tc>
        <w:tc>
          <w:tcPr>
            <w:tcW w:w="1158" w:type="dxa"/>
            <w:noWrap/>
            <w:hideMark/>
          </w:tcPr>
          <w:p w14:paraId="6DA19242" w14:textId="77777777" w:rsidR="001C19A4" w:rsidRPr="006C1407" w:rsidRDefault="001C19A4" w:rsidP="005F27A6">
            <w:pPr>
              <w:spacing w:after="0"/>
              <w:rPr>
                <w:rFonts w:cs="Arial"/>
              </w:rPr>
            </w:pPr>
            <w:r w:rsidRPr="006C1407">
              <w:rPr>
                <w:rFonts w:cs="Arial"/>
              </w:rPr>
              <w:t>Medium</w:t>
            </w:r>
          </w:p>
        </w:tc>
        <w:tc>
          <w:tcPr>
            <w:tcW w:w="1533" w:type="dxa"/>
            <w:noWrap/>
            <w:hideMark/>
          </w:tcPr>
          <w:p w14:paraId="6A74E32A" w14:textId="77777777" w:rsidR="001C19A4" w:rsidRPr="006C1407" w:rsidRDefault="001C19A4" w:rsidP="005F27A6">
            <w:pPr>
              <w:spacing w:after="0"/>
              <w:rPr>
                <w:rFonts w:cs="Arial"/>
              </w:rPr>
            </w:pPr>
            <w:r w:rsidRPr="006C1407">
              <w:rPr>
                <w:rFonts w:cs="Arial"/>
              </w:rPr>
              <w:t>Decreased</w:t>
            </w:r>
          </w:p>
        </w:tc>
        <w:tc>
          <w:tcPr>
            <w:tcW w:w="1698" w:type="dxa"/>
            <w:shd w:val="clear" w:color="auto" w:fill="FFF2CC" w:themeFill="accent4" w:themeFillTint="33"/>
            <w:noWrap/>
            <w:hideMark/>
          </w:tcPr>
          <w:p w14:paraId="213B9F65" w14:textId="77777777" w:rsidR="001C19A4" w:rsidRPr="006C1407" w:rsidRDefault="001C19A4" w:rsidP="005F27A6">
            <w:pPr>
              <w:spacing w:after="0"/>
              <w:rPr>
                <w:rFonts w:cs="Arial"/>
              </w:rPr>
            </w:pPr>
            <w:r w:rsidRPr="006C1407">
              <w:rPr>
                <w:rFonts w:cs="Arial"/>
              </w:rPr>
              <w:t>Yellow</w:t>
            </w:r>
          </w:p>
        </w:tc>
        <w:tc>
          <w:tcPr>
            <w:tcW w:w="1162" w:type="dxa"/>
            <w:noWrap/>
            <w:hideMark/>
          </w:tcPr>
          <w:p w14:paraId="075EB711" w14:textId="77777777" w:rsidR="001C19A4" w:rsidRPr="006C1407" w:rsidRDefault="001C19A4" w:rsidP="005F27A6">
            <w:pPr>
              <w:spacing w:after="0"/>
              <w:rPr>
                <w:rFonts w:cs="Arial"/>
              </w:rPr>
            </w:pPr>
            <w:r w:rsidRPr="006C1407">
              <w:rPr>
                <w:rFonts w:cs="Arial"/>
              </w:rPr>
              <w:t>High</w:t>
            </w:r>
          </w:p>
        </w:tc>
        <w:tc>
          <w:tcPr>
            <w:tcW w:w="1539" w:type="dxa"/>
            <w:noWrap/>
            <w:hideMark/>
          </w:tcPr>
          <w:p w14:paraId="57A1C4B1" w14:textId="77777777" w:rsidR="001C19A4" w:rsidRPr="006C1407" w:rsidRDefault="001C19A4" w:rsidP="005F27A6">
            <w:pPr>
              <w:spacing w:after="0"/>
              <w:rPr>
                <w:rFonts w:cs="Arial"/>
              </w:rPr>
            </w:pPr>
            <w:r w:rsidRPr="006C1407">
              <w:rPr>
                <w:rFonts w:cs="Arial"/>
              </w:rPr>
              <w:t>Maintained</w:t>
            </w:r>
          </w:p>
        </w:tc>
        <w:tc>
          <w:tcPr>
            <w:tcW w:w="1789" w:type="dxa"/>
            <w:shd w:val="clear" w:color="auto" w:fill="C5E0B3" w:themeFill="accent6" w:themeFillTint="66"/>
            <w:noWrap/>
            <w:hideMark/>
          </w:tcPr>
          <w:p w14:paraId="74039902" w14:textId="77777777" w:rsidR="001C19A4" w:rsidRPr="006C1407" w:rsidRDefault="001C19A4" w:rsidP="005F27A6">
            <w:pPr>
              <w:spacing w:after="0"/>
              <w:rPr>
                <w:rFonts w:cs="Arial"/>
              </w:rPr>
            </w:pPr>
            <w:r w:rsidRPr="006C1407">
              <w:rPr>
                <w:rFonts w:cs="Arial"/>
              </w:rPr>
              <w:t>Green</w:t>
            </w:r>
          </w:p>
        </w:tc>
      </w:tr>
      <w:tr w:rsidR="001C19A4" w:rsidRPr="006C1407" w14:paraId="5FE15AA6" w14:textId="77777777" w:rsidTr="005F27A6">
        <w:trPr>
          <w:trHeight w:val="288"/>
        </w:trPr>
        <w:tc>
          <w:tcPr>
            <w:tcW w:w="1755" w:type="dxa"/>
            <w:noWrap/>
            <w:hideMark/>
          </w:tcPr>
          <w:p w14:paraId="4BBF541B" w14:textId="77777777" w:rsidR="001C19A4" w:rsidRPr="006C1407" w:rsidRDefault="001C19A4" w:rsidP="005F27A6">
            <w:pPr>
              <w:spacing w:after="0"/>
              <w:rPr>
                <w:rFonts w:cs="Arial"/>
              </w:rPr>
            </w:pPr>
            <w:r w:rsidRPr="006C1407">
              <w:rPr>
                <w:rFonts w:cs="Arial"/>
              </w:rPr>
              <w:t>Highlands Elementary</w:t>
            </w:r>
          </w:p>
        </w:tc>
        <w:tc>
          <w:tcPr>
            <w:tcW w:w="1114" w:type="dxa"/>
            <w:noWrap/>
            <w:hideMark/>
          </w:tcPr>
          <w:p w14:paraId="060A7D5C" w14:textId="77777777" w:rsidR="001C19A4" w:rsidRPr="006C1407" w:rsidRDefault="001C19A4" w:rsidP="005F27A6">
            <w:pPr>
              <w:spacing w:after="0"/>
              <w:rPr>
                <w:rFonts w:cs="Arial"/>
              </w:rPr>
            </w:pPr>
            <w:r w:rsidRPr="006C1407">
              <w:rPr>
                <w:rFonts w:cs="Arial"/>
              </w:rPr>
              <w:t>Medium</w:t>
            </w:r>
          </w:p>
        </w:tc>
        <w:tc>
          <w:tcPr>
            <w:tcW w:w="1301" w:type="dxa"/>
            <w:noWrap/>
            <w:hideMark/>
          </w:tcPr>
          <w:p w14:paraId="5B77D4F6" w14:textId="77777777" w:rsidR="001C19A4" w:rsidRPr="006C1407" w:rsidRDefault="001C19A4" w:rsidP="005F27A6">
            <w:pPr>
              <w:spacing w:after="0"/>
              <w:rPr>
                <w:rFonts w:cs="Arial"/>
              </w:rPr>
            </w:pPr>
            <w:r w:rsidRPr="006C1407">
              <w:rPr>
                <w:rFonts w:cs="Arial"/>
              </w:rPr>
              <w:t>46.</w:t>
            </w:r>
            <w:r>
              <w:rPr>
                <w:rFonts w:cs="Arial"/>
              </w:rPr>
              <w:t>7</w:t>
            </w:r>
            <w:r w:rsidRPr="006C1407">
              <w:rPr>
                <w:rFonts w:cs="Arial"/>
              </w:rPr>
              <w:t>%</w:t>
            </w:r>
          </w:p>
        </w:tc>
        <w:tc>
          <w:tcPr>
            <w:tcW w:w="1158" w:type="dxa"/>
            <w:noWrap/>
            <w:hideMark/>
          </w:tcPr>
          <w:p w14:paraId="1F31D775" w14:textId="77777777" w:rsidR="001C19A4" w:rsidRPr="006C1407" w:rsidRDefault="001C19A4" w:rsidP="005F27A6">
            <w:pPr>
              <w:spacing w:after="0"/>
              <w:rPr>
                <w:rFonts w:cs="Arial"/>
              </w:rPr>
            </w:pPr>
            <w:r w:rsidRPr="006C1407">
              <w:rPr>
                <w:rFonts w:cs="Arial"/>
              </w:rPr>
              <w:t>High</w:t>
            </w:r>
          </w:p>
        </w:tc>
        <w:tc>
          <w:tcPr>
            <w:tcW w:w="1533" w:type="dxa"/>
            <w:noWrap/>
            <w:hideMark/>
          </w:tcPr>
          <w:p w14:paraId="5623612B" w14:textId="77777777" w:rsidR="001C19A4" w:rsidRPr="006C1407" w:rsidRDefault="001C19A4" w:rsidP="005F27A6">
            <w:pPr>
              <w:spacing w:after="0"/>
              <w:rPr>
                <w:rFonts w:cs="Arial"/>
              </w:rPr>
            </w:pPr>
            <w:r w:rsidRPr="006C1407">
              <w:rPr>
                <w:rFonts w:cs="Arial"/>
              </w:rPr>
              <w:t>Increased</w:t>
            </w:r>
          </w:p>
        </w:tc>
        <w:tc>
          <w:tcPr>
            <w:tcW w:w="1698" w:type="dxa"/>
            <w:shd w:val="clear" w:color="auto" w:fill="C5E0B3" w:themeFill="accent6" w:themeFillTint="66"/>
            <w:noWrap/>
            <w:hideMark/>
          </w:tcPr>
          <w:p w14:paraId="26539B45" w14:textId="77777777" w:rsidR="001C19A4" w:rsidRPr="006C1407" w:rsidRDefault="001C19A4" w:rsidP="005F27A6">
            <w:pPr>
              <w:spacing w:after="0"/>
              <w:rPr>
                <w:rFonts w:cs="Arial"/>
              </w:rPr>
            </w:pPr>
            <w:r w:rsidRPr="006C1407">
              <w:rPr>
                <w:rFonts w:cs="Arial"/>
              </w:rPr>
              <w:t>Green</w:t>
            </w:r>
          </w:p>
        </w:tc>
        <w:tc>
          <w:tcPr>
            <w:tcW w:w="1162" w:type="dxa"/>
            <w:noWrap/>
            <w:hideMark/>
          </w:tcPr>
          <w:p w14:paraId="70786813" w14:textId="77777777" w:rsidR="001C19A4" w:rsidRPr="006C1407" w:rsidRDefault="001C19A4" w:rsidP="005F27A6">
            <w:pPr>
              <w:spacing w:after="0"/>
              <w:rPr>
                <w:rFonts w:cs="Arial"/>
              </w:rPr>
            </w:pPr>
            <w:r w:rsidRPr="006C1407">
              <w:rPr>
                <w:rFonts w:cs="Arial"/>
              </w:rPr>
              <w:t>High</w:t>
            </w:r>
          </w:p>
        </w:tc>
        <w:tc>
          <w:tcPr>
            <w:tcW w:w="1539" w:type="dxa"/>
            <w:noWrap/>
            <w:hideMark/>
          </w:tcPr>
          <w:p w14:paraId="563DA214" w14:textId="77777777" w:rsidR="001C19A4" w:rsidRPr="006C1407" w:rsidRDefault="001C19A4" w:rsidP="005F27A6">
            <w:pPr>
              <w:spacing w:after="0"/>
              <w:rPr>
                <w:rFonts w:cs="Arial"/>
              </w:rPr>
            </w:pPr>
            <w:r w:rsidRPr="006C1407">
              <w:rPr>
                <w:rFonts w:cs="Arial"/>
              </w:rPr>
              <w:t>Increased Significantly</w:t>
            </w:r>
          </w:p>
        </w:tc>
        <w:tc>
          <w:tcPr>
            <w:tcW w:w="1789" w:type="dxa"/>
            <w:shd w:val="clear" w:color="auto" w:fill="D9E2F3" w:themeFill="accent1" w:themeFillTint="33"/>
            <w:noWrap/>
            <w:hideMark/>
          </w:tcPr>
          <w:p w14:paraId="157FB8CD" w14:textId="77777777" w:rsidR="001C19A4" w:rsidRPr="006C1407" w:rsidRDefault="001C19A4" w:rsidP="005F27A6">
            <w:pPr>
              <w:spacing w:after="0"/>
              <w:rPr>
                <w:rFonts w:cs="Arial"/>
              </w:rPr>
            </w:pPr>
            <w:r w:rsidRPr="006C1407">
              <w:rPr>
                <w:rFonts w:cs="Arial"/>
              </w:rPr>
              <w:t>B</w:t>
            </w:r>
            <w:r w:rsidRPr="00B53E94">
              <w:rPr>
                <w:rFonts w:cs="Arial"/>
                <w:shd w:val="clear" w:color="auto" w:fill="D9E2F3" w:themeFill="accent1" w:themeFillTint="33"/>
              </w:rPr>
              <w:t>lue</w:t>
            </w:r>
          </w:p>
        </w:tc>
      </w:tr>
      <w:tr w:rsidR="001C19A4" w:rsidRPr="006C1407" w14:paraId="0762B12F" w14:textId="77777777" w:rsidTr="005F27A6">
        <w:trPr>
          <w:trHeight w:val="288"/>
        </w:trPr>
        <w:tc>
          <w:tcPr>
            <w:tcW w:w="1755" w:type="dxa"/>
            <w:noWrap/>
            <w:hideMark/>
          </w:tcPr>
          <w:p w14:paraId="635F8BC3" w14:textId="77777777" w:rsidR="001C19A4" w:rsidRPr="006C1407" w:rsidRDefault="001C19A4" w:rsidP="005F27A6">
            <w:pPr>
              <w:spacing w:after="0"/>
              <w:rPr>
                <w:rFonts w:cs="Arial"/>
              </w:rPr>
            </w:pPr>
            <w:r w:rsidRPr="006C1407">
              <w:rPr>
                <w:rFonts w:cs="Arial"/>
              </w:rPr>
              <w:t>Holbrook Language Academy</w:t>
            </w:r>
          </w:p>
        </w:tc>
        <w:tc>
          <w:tcPr>
            <w:tcW w:w="1114" w:type="dxa"/>
            <w:noWrap/>
            <w:hideMark/>
          </w:tcPr>
          <w:p w14:paraId="6381A289" w14:textId="77777777" w:rsidR="001C19A4" w:rsidRPr="006C1407" w:rsidRDefault="001C19A4" w:rsidP="005F27A6">
            <w:pPr>
              <w:spacing w:after="0"/>
              <w:rPr>
                <w:rFonts w:cs="Arial"/>
              </w:rPr>
            </w:pPr>
            <w:r w:rsidRPr="006C1407">
              <w:rPr>
                <w:rFonts w:cs="Arial"/>
              </w:rPr>
              <w:t>Medium</w:t>
            </w:r>
          </w:p>
        </w:tc>
        <w:tc>
          <w:tcPr>
            <w:tcW w:w="1301" w:type="dxa"/>
            <w:noWrap/>
            <w:hideMark/>
          </w:tcPr>
          <w:p w14:paraId="7F4554C8" w14:textId="77777777" w:rsidR="001C19A4" w:rsidRPr="006C1407" w:rsidRDefault="001C19A4" w:rsidP="005F27A6">
            <w:pPr>
              <w:spacing w:after="0"/>
              <w:rPr>
                <w:rFonts w:cs="Arial"/>
              </w:rPr>
            </w:pPr>
            <w:r w:rsidRPr="006C1407">
              <w:rPr>
                <w:rFonts w:cs="Arial"/>
              </w:rPr>
              <w:t>46.7%</w:t>
            </w:r>
          </w:p>
        </w:tc>
        <w:tc>
          <w:tcPr>
            <w:tcW w:w="1158" w:type="dxa"/>
            <w:noWrap/>
            <w:hideMark/>
          </w:tcPr>
          <w:p w14:paraId="21D275E4" w14:textId="77777777" w:rsidR="001C19A4" w:rsidRPr="006C1407" w:rsidRDefault="001C19A4" w:rsidP="005F27A6">
            <w:pPr>
              <w:spacing w:after="0"/>
              <w:rPr>
                <w:rFonts w:cs="Arial"/>
              </w:rPr>
            </w:pPr>
            <w:r w:rsidRPr="006C1407">
              <w:rPr>
                <w:rFonts w:cs="Arial"/>
              </w:rPr>
              <w:t>Low</w:t>
            </w:r>
          </w:p>
        </w:tc>
        <w:tc>
          <w:tcPr>
            <w:tcW w:w="1533" w:type="dxa"/>
            <w:noWrap/>
            <w:hideMark/>
          </w:tcPr>
          <w:p w14:paraId="220181C6" w14:textId="77777777" w:rsidR="001C19A4" w:rsidRPr="006C1407" w:rsidRDefault="001C19A4" w:rsidP="005F27A6">
            <w:pPr>
              <w:spacing w:after="0"/>
              <w:rPr>
                <w:rFonts w:cs="Arial"/>
              </w:rPr>
            </w:pPr>
            <w:r w:rsidRPr="006C1407">
              <w:rPr>
                <w:rFonts w:cs="Arial"/>
              </w:rPr>
              <w:t>Decreased Significantly</w:t>
            </w:r>
          </w:p>
        </w:tc>
        <w:tc>
          <w:tcPr>
            <w:tcW w:w="1698" w:type="dxa"/>
            <w:shd w:val="clear" w:color="auto" w:fill="F7CAAC" w:themeFill="accent2" w:themeFillTint="66"/>
            <w:noWrap/>
            <w:hideMark/>
          </w:tcPr>
          <w:p w14:paraId="2EDC4985" w14:textId="77777777" w:rsidR="001C19A4" w:rsidRPr="006C1407" w:rsidRDefault="001C19A4" w:rsidP="005F27A6">
            <w:pPr>
              <w:spacing w:after="0"/>
              <w:rPr>
                <w:rFonts w:cs="Arial"/>
              </w:rPr>
            </w:pPr>
            <w:r w:rsidRPr="006C1407">
              <w:rPr>
                <w:rFonts w:cs="Arial"/>
              </w:rPr>
              <w:t>Orange</w:t>
            </w:r>
          </w:p>
        </w:tc>
        <w:tc>
          <w:tcPr>
            <w:tcW w:w="1162" w:type="dxa"/>
            <w:noWrap/>
            <w:hideMark/>
          </w:tcPr>
          <w:p w14:paraId="53FD3CD2" w14:textId="77777777" w:rsidR="001C19A4" w:rsidRPr="006C1407" w:rsidRDefault="001C19A4" w:rsidP="005F27A6">
            <w:pPr>
              <w:spacing w:after="0"/>
              <w:rPr>
                <w:rFonts w:cs="Arial"/>
              </w:rPr>
            </w:pPr>
            <w:r w:rsidRPr="006C1407">
              <w:rPr>
                <w:rFonts w:cs="Arial"/>
              </w:rPr>
              <w:t>Low</w:t>
            </w:r>
          </w:p>
        </w:tc>
        <w:tc>
          <w:tcPr>
            <w:tcW w:w="1539" w:type="dxa"/>
            <w:noWrap/>
            <w:hideMark/>
          </w:tcPr>
          <w:p w14:paraId="35132566" w14:textId="77777777" w:rsidR="001C19A4" w:rsidRPr="006C1407" w:rsidRDefault="001C19A4" w:rsidP="005F27A6">
            <w:pPr>
              <w:spacing w:after="0"/>
              <w:rPr>
                <w:rFonts w:cs="Arial"/>
              </w:rPr>
            </w:pPr>
            <w:r w:rsidRPr="006C1407">
              <w:rPr>
                <w:rFonts w:cs="Arial"/>
              </w:rPr>
              <w:t>Decreased Significantly</w:t>
            </w:r>
          </w:p>
        </w:tc>
        <w:tc>
          <w:tcPr>
            <w:tcW w:w="1789" w:type="dxa"/>
            <w:shd w:val="clear" w:color="auto" w:fill="F7CAAC" w:themeFill="accent2" w:themeFillTint="66"/>
            <w:noWrap/>
            <w:hideMark/>
          </w:tcPr>
          <w:p w14:paraId="3A8E7D1E" w14:textId="77777777" w:rsidR="001C19A4" w:rsidRPr="006C1407" w:rsidRDefault="001C19A4" w:rsidP="005F27A6">
            <w:pPr>
              <w:spacing w:after="0"/>
              <w:rPr>
                <w:rFonts w:cs="Arial"/>
              </w:rPr>
            </w:pPr>
            <w:r w:rsidRPr="006C1407">
              <w:rPr>
                <w:rFonts w:cs="Arial"/>
              </w:rPr>
              <w:t>Orange</w:t>
            </w:r>
          </w:p>
        </w:tc>
      </w:tr>
      <w:tr w:rsidR="001C19A4" w:rsidRPr="006C1407" w14:paraId="7490295D" w14:textId="77777777" w:rsidTr="005F27A6">
        <w:trPr>
          <w:trHeight w:val="288"/>
        </w:trPr>
        <w:tc>
          <w:tcPr>
            <w:tcW w:w="1755" w:type="dxa"/>
            <w:noWrap/>
            <w:hideMark/>
          </w:tcPr>
          <w:p w14:paraId="7033FDE9" w14:textId="77777777" w:rsidR="001C19A4" w:rsidRPr="006C1407" w:rsidRDefault="001C19A4" w:rsidP="005F27A6">
            <w:pPr>
              <w:spacing w:after="0"/>
              <w:rPr>
                <w:rFonts w:cs="Arial"/>
              </w:rPr>
            </w:pPr>
            <w:r w:rsidRPr="006C1407">
              <w:rPr>
                <w:rFonts w:cs="Arial"/>
              </w:rPr>
              <w:t>Meadow Homes Elementary</w:t>
            </w:r>
          </w:p>
        </w:tc>
        <w:tc>
          <w:tcPr>
            <w:tcW w:w="1114" w:type="dxa"/>
            <w:noWrap/>
            <w:hideMark/>
          </w:tcPr>
          <w:p w14:paraId="15A0C96F" w14:textId="77777777" w:rsidR="001C19A4" w:rsidRPr="006C1407" w:rsidRDefault="001C19A4" w:rsidP="005F27A6">
            <w:pPr>
              <w:spacing w:after="0"/>
              <w:rPr>
                <w:rFonts w:cs="Arial"/>
              </w:rPr>
            </w:pPr>
            <w:r w:rsidRPr="006C1407">
              <w:rPr>
                <w:rFonts w:cs="Arial"/>
              </w:rPr>
              <w:t>Medium</w:t>
            </w:r>
          </w:p>
        </w:tc>
        <w:tc>
          <w:tcPr>
            <w:tcW w:w="1301" w:type="dxa"/>
            <w:noWrap/>
            <w:hideMark/>
          </w:tcPr>
          <w:p w14:paraId="545C6F7B" w14:textId="77777777" w:rsidR="001C19A4" w:rsidRPr="006C1407" w:rsidRDefault="001C19A4" w:rsidP="005F27A6">
            <w:pPr>
              <w:spacing w:after="0"/>
              <w:rPr>
                <w:rFonts w:cs="Arial"/>
              </w:rPr>
            </w:pPr>
            <w:r w:rsidRPr="006C1407">
              <w:rPr>
                <w:rFonts w:cs="Arial"/>
              </w:rPr>
              <w:t>50.3%</w:t>
            </w:r>
          </w:p>
        </w:tc>
        <w:tc>
          <w:tcPr>
            <w:tcW w:w="1158" w:type="dxa"/>
            <w:noWrap/>
            <w:hideMark/>
          </w:tcPr>
          <w:p w14:paraId="792D9873" w14:textId="77777777" w:rsidR="001C19A4" w:rsidRPr="006C1407" w:rsidRDefault="001C19A4" w:rsidP="005F27A6">
            <w:pPr>
              <w:spacing w:after="0"/>
              <w:rPr>
                <w:rFonts w:cs="Arial"/>
              </w:rPr>
            </w:pPr>
            <w:r w:rsidRPr="006C1407">
              <w:rPr>
                <w:rFonts w:cs="Arial"/>
              </w:rPr>
              <w:t>Low</w:t>
            </w:r>
          </w:p>
        </w:tc>
        <w:tc>
          <w:tcPr>
            <w:tcW w:w="1533" w:type="dxa"/>
            <w:noWrap/>
            <w:hideMark/>
          </w:tcPr>
          <w:p w14:paraId="653E5AA7"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2428A1A5" w14:textId="77777777" w:rsidR="001C19A4" w:rsidRPr="006C1407" w:rsidRDefault="001C19A4" w:rsidP="005F27A6">
            <w:pPr>
              <w:spacing w:after="0"/>
              <w:rPr>
                <w:rFonts w:cs="Arial"/>
              </w:rPr>
            </w:pPr>
            <w:r w:rsidRPr="006C1407">
              <w:rPr>
                <w:rFonts w:cs="Arial"/>
              </w:rPr>
              <w:t>Orange</w:t>
            </w:r>
          </w:p>
        </w:tc>
        <w:tc>
          <w:tcPr>
            <w:tcW w:w="1162" w:type="dxa"/>
            <w:noWrap/>
            <w:hideMark/>
          </w:tcPr>
          <w:p w14:paraId="45CDFCC6" w14:textId="77777777" w:rsidR="001C19A4" w:rsidRPr="006C1407" w:rsidRDefault="001C19A4" w:rsidP="005F27A6">
            <w:pPr>
              <w:spacing w:after="0"/>
              <w:rPr>
                <w:rFonts w:cs="Arial"/>
              </w:rPr>
            </w:pPr>
            <w:r w:rsidRPr="006C1407">
              <w:rPr>
                <w:rFonts w:cs="Arial"/>
              </w:rPr>
              <w:t>Low</w:t>
            </w:r>
          </w:p>
        </w:tc>
        <w:tc>
          <w:tcPr>
            <w:tcW w:w="1539" w:type="dxa"/>
            <w:noWrap/>
            <w:hideMark/>
          </w:tcPr>
          <w:p w14:paraId="0A671CDD" w14:textId="77777777" w:rsidR="001C19A4" w:rsidRPr="006C1407" w:rsidRDefault="001C19A4" w:rsidP="005F27A6">
            <w:pPr>
              <w:spacing w:after="0"/>
              <w:rPr>
                <w:rFonts w:cs="Arial"/>
              </w:rPr>
            </w:pPr>
            <w:r w:rsidRPr="006C1407">
              <w:rPr>
                <w:rFonts w:cs="Arial"/>
              </w:rPr>
              <w:t>Maintained</w:t>
            </w:r>
          </w:p>
        </w:tc>
        <w:tc>
          <w:tcPr>
            <w:tcW w:w="1789" w:type="dxa"/>
            <w:shd w:val="clear" w:color="auto" w:fill="F7CAAC" w:themeFill="accent2" w:themeFillTint="66"/>
            <w:noWrap/>
            <w:hideMark/>
          </w:tcPr>
          <w:p w14:paraId="30CAF119" w14:textId="77777777" w:rsidR="001C19A4" w:rsidRPr="006C1407" w:rsidRDefault="001C19A4" w:rsidP="005F27A6">
            <w:pPr>
              <w:spacing w:after="0"/>
              <w:rPr>
                <w:rFonts w:cs="Arial"/>
              </w:rPr>
            </w:pPr>
            <w:r w:rsidRPr="006C1407">
              <w:rPr>
                <w:rFonts w:cs="Arial"/>
              </w:rPr>
              <w:t>Orange</w:t>
            </w:r>
          </w:p>
        </w:tc>
      </w:tr>
      <w:tr w:rsidR="001C19A4" w:rsidRPr="006C1407" w14:paraId="39455B3A" w14:textId="77777777" w:rsidTr="005F27A6">
        <w:trPr>
          <w:trHeight w:val="288"/>
        </w:trPr>
        <w:tc>
          <w:tcPr>
            <w:tcW w:w="1755" w:type="dxa"/>
            <w:noWrap/>
            <w:hideMark/>
          </w:tcPr>
          <w:p w14:paraId="598FDA75" w14:textId="77777777" w:rsidR="001C19A4" w:rsidRPr="006C1407" w:rsidRDefault="001C19A4" w:rsidP="005F27A6">
            <w:pPr>
              <w:spacing w:after="0"/>
              <w:rPr>
                <w:rFonts w:cs="Arial"/>
              </w:rPr>
            </w:pPr>
            <w:r w:rsidRPr="006C1407">
              <w:rPr>
                <w:rFonts w:cs="Arial"/>
              </w:rPr>
              <w:t>Monte Gardens Elementary</w:t>
            </w:r>
          </w:p>
        </w:tc>
        <w:tc>
          <w:tcPr>
            <w:tcW w:w="1114" w:type="dxa"/>
            <w:noWrap/>
            <w:hideMark/>
          </w:tcPr>
          <w:p w14:paraId="7EBC9623" w14:textId="77777777" w:rsidR="001C19A4" w:rsidRPr="006C1407" w:rsidRDefault="001C19A4" w:rsidP="005F27A6">
            <w:pPr>
              <w:spacing w:after="0"/>
              <w:rPr>
                <w:rFonts w:cs="Arial"/>
              </w:rPr>
            </w:pPr>
            <w:r w:rsidRPr="006C1407">
              <w:rPr>
                <w:rFonts w:cs="Arial"/>
              </w:rPr>
              <w:t>Very Low</w:t>
            </w:r>
          </w:p>
        </w:tc>
        <w:tc>
          <w:tcPr>
            <w:tcW w:w="1301" w:type="dxa"/>
            <w:noWrap/>
            <w:hideMark/>
          </w:tcPr>
          <w:p w14:paraId="23D8C28A" w14:textId="77777777" w:rsidR="001C19A4" w:rsidRPr="006C1407" w:rsidRDefault="001C19A4" w:rsidP="005F27A6">
            <w:pPr>
              <w:spacing w:after="0"/>
              <w:rPr>
                <w:rFonts w:cs="Arial"/>
              </w:rPr>
            </w:pPr>
            <w:r w:rsidRPr="006C1407">
              <w:rPr>
                <w:rFonts w:cs="Arial"/>
              </w:rPr>
              <w:t>24.2%</w:t>
            </w:r>
          </w:p>
        </w:tc>
        <w:tc>
          <w:tcPr>
            <w:tcW w:w="1158" w:type="dxa"/>
            <w:noWrap/>
            <w:hideMark/>
          </w:tcPr>
          <w:p w14:paraId="4DABEB7E" w14:textId="77777777" w:rsidR="001C19A4" w:rsidRPr="006C1407" w:rsidRDefault="001C19A4" w:rsidP="005F27A6">
            <w:pPr>
              <w:spacing w:after="0"/>
              <w:rPr>
                <w:rFonts w:cs="Arial"/>
              </w:rPr>
            </w:pPr>
            <w:r w:rsidRPr="006C1407">
              <w:rPr>
                <w:rFonts w:cs="Arial"/>
              </w:rPr>
              <w:t>High</w:t>
            </w:r>
          </w:p>
        </w:tc>
        <w:tc>
          <w:tcPr>
            <w:tcW w:w="1533" w:type="dxa"/>
            <w:noWrap/>
            <w:hideMark/>
          </w:tcPr>
          <w:p w14:paraId="577625ED" w14:textId="77777777" w:rsidR="001C19A4" w:rsidRPr="006C1407" w:rsidRDefault="001C19A4" w:rsidP="005F27A6">
            <w:pPr>
              <w:spacing w:after="0"/>
              <w:rPr>
                <w:rFonts w:cs="Arial"/>
              </w:rPr>
            </w:pPr>
            <w:r w:rsidRPr="006C1407">
              <w:rPr>
                <w:rFonts w:cs="Arial"/>
              </w:rPr>
              <w:t>Maintained</w:t>
            </w:r>
          </w:p>
        </w:tc>
        <w:tc>
          <w:tcPr>
            <w:tcW w:w="1698" w:type="dxa"/>
            <w:shd w:val="clear" w:color="auto" w:fill="C5E0B3" w:themeFill="accent6" w:themeFillTint="66"/>
            <w:noWrap/>
            <w:hideMark/>
          </w:tcPr>
          <w:p w14:paraId="6A99D72D" w14:textId="77777777" w:rsidR="001C19A4" w:rsidRPr="006C1407" w:rsidRDefault="001C19A4" w:rsidP="005F27A6">
            <w:pPr>
              <w:spacing w:after="0"/>
              <w:rPr>
                <w:rFonts w:cs="Arial"/>
              </w:rPr>
            </w:pPr>
            <w:r w:rsidRPr="006C1407">
              <w:rPr>
                <w:rFonts w:cs="Arial"/>
              </w:rPr>
              <w:t>Green</w:t>
            </w:r>
          </w:p>
        </w:tc>
        <w:tc>
          <w:tcPr>
            <w:tcW w:w="1162" w:type="dxa"/>
            <w:noWrap/>
            <w:hideMark/>
          </w:tcPr>
          <w:p w14:paraId="2AE0D0A3" w14:textId="77777777" w:rsidR="001C19A4" w:rsidRPr="006C1407" w:rsidRDefault="001C19A4" w:rsidP="005F27A6">
            <w:pPr>
              <w:spacing w:after="0"/>
              <w:rPr>
                <w:rFonts w:cs="Arial"/>
              </w:rPr>
            </w:pPr>
            <w:r w:rsidRPr="006C1407">
              <w:rPr>
                <w:rFonts w:cs="Arial"/>
              </w:rPr>
              <w:t>High</w:t>
            </w:r>
          </w:p>
        </w:tc>
        <w:tc>
          <w:tcPr>
            <w:tcW w:w="1539" w:type="dxa"/>
            <w:noWrap/>
            <w:hideMark/>
          </w:tcPr>
          <w:p w14:paraId="0DB0B74A" w14:textId="77777777" w:rsidR="001C19A4" w:rsidRPr="006C1407" w:rsidRDefault="001C19A4" w:rsidP="005F27A6">
            <w:pPr>
              <w:spacing w:after="0"/>
              <w:rPr>
                <w:rFonts w:cs="Arial"/>
              </w:rPr>
            </w:pPr>
            <w:r w:rsidRPr="006C1407">
              <w:rPr>
                <w:rFonts w:cs="Arial"/>
              </w:rPr>
              <w:t>Decreased</w:t>
            </w:r>
          </w:p>
        </w:tc>
        <w:tc>
          <w:tcPr>
            <w:tcW w:w="1789" w:type="dxa"/>
            <w:shd w:val="clear" w:color="auto" w:fill="C5E0B3" w:themeFill="accent6" w:themeFillTint="66"/>
            <w:noWrap/>
            <w:hideMark/>
          </w:tcPr>
          <w:p w14:paraId="4F743C97" w14:textId="77777777" w:rsidR="001C19A4" w:rsidRPr="006C1407" w:rsidRDefault="001C19A4" w:rsidP="005F27A6">
            <w:pPr>
              <w:spacing w:after="0"/>
              <w:rPr>
                <w:rFonts w:cs="Arial"/>
              </w:rPr>
            </w:pPr>
            <w:r w:rsidRPr="006C1407">
              <w:rPr>
                <w:rFonts w:cs="Arial"/>
              </w:rPr>
              <w:t>Green</w:t>
            </w:r>
          </w:p>
        </w:tc>
      </w:tr>
      <w:tr w:rsidR="001C19A4" w:rsidRPr="006C1407" w14:paraId="4C19D3BB" w14:textId="77777777" w:rsidTr="005F27A6">
        <w:trPr>
          <w:trHeight w:val="288"/>
        </w:trPr>
        <w:tc>
          <w:tcPr>
            <w:tcW w:w="1755" w:type="dxa"/>
            <w:noWrap/>
            <w:hideMark/>
          </w:tcPr>
          <w:p w14:paraId="34C988E7" w14:textId="77777777" w:rsidR="001C19A4" w:rsidRPr="006C1407" w:rsidRDefault="001C19A4" w:rsidP="005F27A6">
            <w:pPr>
              <w:spacing w:after="0"/>
              <w:rPr>
                <w:rFonts w:cs="Arial"/>
              </w:rPr>
            </w:pPr>
            <w:r w:rsidRPr="006C1407">
              <w:rPr>
                <w:rFonts w:cs="Arial"/>
              </w:rPr>
              <w:t>Mountain View Elementary</w:t>
            </w:r>
          </w:p>
        </w:tc>
        <w:tc>
          <w:tcPr>
            <w:tcW w:w="1114" w:type="dxa"/>
            <w:noWrap/>
            <w:hideMark/>
          </w:tcPr>
          <w:p w14:paraId="3295CEAD" w14:textId="77777777" w:rsidR="001C19A4" w:rsidRPr="006C1407" w:rsidRDefault="001C19A4" w:rsidP="005F27A6">
            <w:pPr>
              <w:spacing w:after="0"/>
              <w:rPr>
                <w:rFonts w:cs="Arial"/>
              </w:rPr>
            </w:pPr>
            <w:r w:rsidRPr="006C1407">
              <w:rPr>
                <w:rFonts w:cs="Arial"/>
              </w:rPr>
              <w:t>Low</w:t>
            </w:r>
          </w:p>
        </w:tc>
        <w:tc>
          <w:tcPr>
            <w:tcW w:w="1301" w:type="dxa"/>
            <w:noWrap/>
            <w:hideMark/>
          </w:tcPr>
          <w:p w14:paraId="382684A3" w14:textId="77777777" w:rsidR="001C19A4" w:rsidRPr="006C1407" w:rsidRDefault="001C19A4" w:rsidP="005F27A6">
            <w:pPr>
              <w:spacing w:after="0"/>
              <w:rPr>
                <w:rFonts w:cs="Arial"/>
              </w:rPr>
            </w:pPr>
            <w:r w:rsidRPr="006C1407">
              <w:rPr>
                <w:rFonts w:cs="Arial"/>
              </w:rPr>
              <w:t>40.5%</w:t>
            </w:r>
          </w:p>
        </w:tc>
        <w:tc>
          <w:tcPr>
            <w:tcW w:w="1158" w:type="dxa"/>
            <w:noWrap/>
            <w:hideMark/>
          </w:tcPr>
          <w:p w14:paraId="38BB2720" w14:textId="77777777" w:rsidR="001C19A4" w:rsidRPr="006C1407" w:rsidRDefault="001C19A4" w:rsidP="005F27A6">
            <w:pPr>
              <w:spacing w:after="0"/>
              <w:rPr>
                <w:rFonts w:cs="Arial"/>
              </w:rPr>
            </w:pPr>
            <w:r w:rsidRPr="006C1407">
              <w:rPr>
                <w:rFonts w:cs="Arial"/>
              </w:rPr>
              <w:t>Low</w:t>
            </w:r>
          </w:p>
        </w:tc>
        <w:tc>
          <w:tcPr>
            <w:tcW w:w="1533" w:type="dxa"/>
            <w:noWrap/>
            <w:hideMark/>
          </w:tcPr>
          <w:p w14:paraId="7ED8BC28" w14:textId="77777777" w:rsidR="001C19A4" w:rsidRPr="006C1407" w:rsidRDefault="001C19A4" w:rsidP="005F27A6">
            <w:pPr>
              <w:spacing w:after="0"/>
              <w:rPr>
                <w:rFonts w:cs="Arial"/>
              </w:rPr>
            </w:pPr>
            <w:r w:rsidRPr="006C1407">
              <w:rPr>
                <w:rFonts w:cs="Arial"/>
              </w:rPr>
              <w:t>Increased</w:t>
            </w:r>
          </w:p>
        </w:tc>
        <w:tc>
          <w:tcPr>
            <w:tcW w:w="1698" w:type="dxa"/>
            <w:shd w:val="clear" w:color="auto" w:fill="FFF2CC" w:themeFill="accent4" w:themeFillTint="33"/>
            <w:noWrap/>
            <w:hideMark/>
          </w:tcPr>
          <w:p w14:paraId="5BB739F3" w14:textId="77777777" w:rsidR="001C19A4" w:rsidRPr="006C1407" w:rsidRDefault="001C19A4" w:rsidP="005F27A6">
            <w:pPr>
              <w:spacing w:after="0"/>
              <w:rPr>
                <w:rFonts w:cs="Arial"/>
              </w:rPr>
            </w:pPr>
            <w:r w:rsidRPr="006C1407">
              <w:rPr>
                <w:rFonts w:cs="Arial"/>
              </w:rPr>
              <w:t>Yellow</w:t>
            </w:r>
          </w:p>
        </w:tc>
        <w:tc>
          <w:tcPr>
            <w:tcW w:w="1162" w:type="dxa"/>
            <w:noWrap/>
            <w:hideMark/>
          </w:tcPr>
          <w:p w14:paraId="1F36FD04" w14:textId="77777777" w:rsidR="001C19A4" w:rsidRPr="006C1407" w:rsidRDefault="001C19A4" w:rsidP="005F27A6">
            <w:pPr>
              <w:spacing w:after="0"/>
              <w:rPr>
                <w:rFonts w:cs="Arial"/>
              </w:rPr>
            </w:pPr>
            <w:r w:rsidRPr="006C1407">
              <w:rPr>
                <w:rFonts w:cs="Arial"/>
              </w:rPr>
              <w:t>Low</w:t>
            </w:r>
          </w:p>
        </w:tc>
        <w:tc>
          <w:tcPr>
            <w:tcW w:w="1539" w:type="dxa"/>
            <w:noWrap/>
            <w:hideMark/>
          </w:tcPr>
          <w:p w14:paraId="1B953ED9" w14:textId="77777777" w:rsidR="001C19A4" w:rsidRPr="006C1407" w:rsidRDefault="001C19A4" w:rsidP="005F27A6">
            <w:pPr>
              <w:spacing w:after="0"/>
              <w:rPr>
                <w:rFonts w:cs="Arial"/>
              </w:rPr>
            </w:pPr>
            <w:r w:rsidRPr="006C1407">
              <w:rPr>
                <w:rFonts w:cs="Arial"/>
              </w:rPr>
              <w:t>Increased Significantly</w:t>
            </w:r>
          </w:p>
        </w:tc>
        <w:tc>
          <w:tcPr>
            <w:tcW w:w="1789" w:type="dxa"/>
            <w:shd w:val="clear" w:color="auto" w:fill="FFF2CC" w:themeFill="accent4" w:themeFillTint="33"/>
            <w:noWrap/>
            <w:hideMark/>
          </w:tcPr>
          <w:p w14:paraId="4798CDBE" w14:textId="77777777" w:rsidR="001C19A4" w:rsidRPr="006C1407" w:rsidRDefault="001C19A4" w:rsidP="005F27A6">
            <w:pPr>
              <w:spacing w:after="0"/>
              <w:rPr>
                <w:rFonts w:cs="Arial"/>
              </w:rPr>
            </w:pPr>
            <w:r w:rsidRPr="006C1407">
              <w:rPr>
                <w:rFonts w:cs="Arial"/>
              </w:rPr>
              <w:t>Yellow</w:t>
            </w:r>
          </w:p>
        </w:tc>
      </w:tr>
      <w:tr w:rsidR="001C19A4" w:rsidRPr="006C1407" w14:paraId="30A3087F" w14:textId="77777777" w:rsidTr="005F27A6">
        <w:trPr>
          <w:trHeight w:val="288"/>
        </w:trPr>
        <w:tc>
          <w:tcPr>
            <w:tcW w:w="1755" w:type="dxa"/>
            <w:noWrap/>
            <w:hideMark/>
          </w:tcPr>
          <w:p w14:paraId="15DC8161" w14:textId="77777777" w:rsidR="001C19A4" w:rsidRPr="006C1407" w:rsidRDefault="001C19A4" w:rsidP="005F27A6">
            <w:pPr>
              <w:spacing w:after="0"/>
              <w:rPr>
                <w:rFonts w:cs="Arial"/>
              </w:rPr>
            </w:pPr>
            <w:r w:rsidRPr="006C1407">
              <w:rPr>
                <w:rFonts w:cs="Arial"/>
              </w:rPr>
              <w:t>Mt. Diablo Elementary</w:t>
            </w:r>
          </w:p>
        </w:tc>
        <w:tc>
          <w:tcPr>
            <w:tcW w:w="1114" w:type="dxa"/>
            <w:noWrap/>
            <w:hideMark/>
          </w:tcPr>
          <w:p w14:paraId="475C34EA" w14:textId="77777777" w:rsidR="001C19A4" w:rsidRPr="006C1407" w:rsidRDefault="001C19A4" w:rsidP="005F27A6">
            <w:pPr>
              <w:spacing w:after="0"/>
              <w:rPr>
                <w:rFonts w:cs="Arial"/>
              </w:rPr>
            </w:pPr>
            <w:r w:rsidRPr="006C1407">
              <w:rPr>
                <w:rFonts w:cs="Arial"/>
              </w:rPr>
              <w:t>Medium</w:t>
            </w:r>
          </w:p>
        </w:tc>
        <w:tc>
          <w:tcPr>
            <w:tcW w:w="1301" w:type="dxa"/>
            <w:noWrap/>
            <w:hideMark/>
          </w:tcPr>
          <w:p w14:paraId="3766C435" w14:textId="77777777" w:rsidR="001C19A4" w:rsidRPr="006C1407" w:rsidRDefault="001C19A4" w:rsidP="005F27A6">
            <w:pPr>
              <w:spacing w:after="0"/>
              <w:rPr>
                <w:rFonts w:cs="Arial"/>
              </w:rPr>
            </w:pPr>
            <w:r w:rsidRPr="006C1407">
              <w:rPr>
                <w:rFonts w:cs="Arial"/>
              </w:rPr>
              <w:t>50</w:t>
            </w:r>
            <w:r>
              <w:rPr>
                <w:rFonts w:cs="Arial"/>
              </w:rPr>
              <w:t>.0</w:t>
            </w:r>
            <w:r w:rsidRPr="006C1407">
              <w:rPr>
                <w:rFonts w:cs="Arial"/>
              </w:rPr>
              <w:t>%</w:t>
            </w:r>
          </w:p>
        </w:tc>
        <w:tc>
          <w:tcPr>
            <w:tcW w:w="1158" w:type="dxa"/>
            <w:noWrap/>
            <w:hideMark/>
          </w:tcPr>
          <w:p w14:paraId="7C81FEDD" w14:textId="77777777" w:rsidR="001C19A4" w:rsidRPr="006C1407" w:rsidRDefault="001C19A4" w:rsidP="005F27A6">
            <w:pPr>
              <w:spacing w:after="0"/>
              <w:rPr>
                <w:rFonts w:cs="Arial"/>
              </w:rPr>
            </w:pPr>
            <w:r w:rsidRPr="006C1407">
              <w:rPr>
                <w:rFonts w:cs="Arial"/>
              </w:rPr>
              <w:t>Very High</w:t>
            </w:r>
          </w:p>
        </w:tc>
        <w:tc>
          <w:tcPr>
            <w:tcW w:w="1533" w:type="dxa"/>
            <w:noWrap/>
            <w:hideMark/>
          </w:tcPr>
          <w:p w14:paraId="221B6DC8" w14:textId="77777777" w:rsidR="001C19A4" w:rsidRPr="006C1407" w:rsidRDefault="001C19A4" w:rsidP="005F27A6">
            <w:pPr>
              <w:spacing w:after="0"/>
              <w:rPr>
                <w:rFonts w:cs="Arial"/>
              </w:rPr>
            </w:pPr>
            <w:r w:rsidRPr="006C1407">
              <w:rPr>
                <w:rFonts w:cs="Arial"/>
              </w:rPr>
              <w:t>Maintained</w:t>
            </w:r>
          </w:p>
        </w:tc>
        <w:tc>
          <w:tcPr>
            <w:tcW w:w="1698" w:type="dxa"/>
            <w:shd w:val="clear" w:color="auto" w:fill="D9E2F3" w:themeFill="accent1" w:themeFillTint="33"/>
            <w:noWrap/>
            <w:hideMark/>
          </w:tcPr>
          <w:p w14:paraId="114F5120" w14:textId="77777777" w:rsidR="001C19A4" w:rsidRPr="006C1407" w:rsidRDefault="001C19A4" w:rsidP="005F27A6">
            <w:pPr>
              <w:spacing w:after="0"/>
              <w:rPr>
                <w:rFonts w:cs="Arial"/>
              </w:rPr>
            </w:pPr>
            <w:r w:rsidRPr="006C1407">
              <w:rPr>
                <w:rFonts w:cs="Arial"/>
              </w:rPr>
              <w:t>Blue</w:t>
            </w:r>
          </w:p>
        </w:tc>
        <w:tc>
          <w:tcPr>
            <w:tcW w:w="1162" w:type="dxa"/>
            <w:noWrap/>
            <w:hideMark/>
          </w:tcPr>
          <w:p w14:paraId="2AE7E655" w14:textId="77777777" w:rsidR="001C19A4" w:rsidRPr="006C1407" w:rsidRDefault="001C19A4" w:rsidP="005F27A6">
            <w:pPr>
              <w:spacing w:after="0"/>
              <w:rPr>
                <w:rFonts w:cs="Arial"/>
              </w:rPr>
            </w:pPr>
            <w:r w:rsidRPr="006C1407">
              <w:rPr>
                <w:rFonts w:cs="Arial"/>
              </w:rPr>
              <w:t>High</w:t>
            </w:r>
          </w:p>
        </w:tc>
        <w:tc>
          <w:tcPr>
            <w:tcW w:w="1539" w:type="dxa"/>
            <w:noWrap/>
            <w:hideMark/>
          </w:tcPr>
          <w:p w14:paraId="1D7C1D14" w14:textId="77777777" w:rsidR="001C19A4" w:rsidRPr="006C1407" w:rsidRDefault="001C19A4" w:rsidP="005F27A6">
            <w:pPr>
              <w:spacing w:after="0"/>
              <w:rPr>
                <w:rFonts w:cs="Arial"/>
              </w:rPr>
            </w:pPr>
            <w:r w:rsidRPr="006C1407">
              <w:rPr>
                <w:rFonts w:cs="Arial"/>
              </w:rPr>
              <w:t>Increased</w:t>
            </w:r>
          </w:p>
        </w:tc>
        <w:tc>
          <w:tcPr>
            <w:tcW w:w="1789" w:type="dxa"/>
            <w:shd w:val="clear" w:color="auto" w:fill="C5E0B3" w:themeFill="accent6" w:themeFillTint="66"/>
            <w:noWrap/>
            <w:hideMark/>
          </w:tcPr>
          <w:p w14:paraId="3D7445B5" w14:textId="77777777" w:rsidR="001C19A4" w:rsidRPr="006C1407" w:rsidRDefault="001C19A4" w:rsidP="005F27A6">
            <w:pPr>
              <w:spacing w:after="0"/>
              <w:rPr>
                <w:rFonts w:cs="Arial"/>
              </w:rPr>
            </w:pPr>
            <w:r w:rsidRPr="006C1407">
              <w:rPr>
                <w:rFonts w:cs="Arial"/>
              </w:rPr>
              <w:t>Green</w:t>
            </w:r>
          </w:p>
        </w:tc>
      </w:tr>
      <w:tr w:rsidR="001C19A4" w:rsidRPr="006C1407" w14:paraId="0CDB7C57" w14:textId="77777777" w:rsidTr="005F27A6">
        <w:trPr>
          <w:trHeight w:val="288"/>
        </w:trPr>
        <w:tc>
          <w:tcPr>
            <w:tcW w:w="1755" w:type="dxa"/>
            <w:noWrap/>
            <w:hideMark/>
          </w:tcPr>
          <w:p w14:paraId="7989BE82" w14:textId="77777777" w:rsidR="001C19A4" w:rsidRPr="006C1407" w:rsidRDefault="001C19A4" w:rsidP="005F27A6">
            <w:pPr>
              <w:spacing w:after="0"/>
              <w:rPr>
                <w:rFonts w:cs="Arial"/>
              </w:rPr>
            </w:pPr>
            <w:r w:rsidRPr="006C1407">
              <w:rPr>
                <w:rFonts w:cs="Arial"/>
              </w:rPr>
              <w:t>Pleasant Hill Elementary</w:t>
            </w:r>
          </w:p>
        </w:tc>
        <w:tc>
          <w:tcPr>
            <w:tcW w:w="1114" w:type="dxa"/>
            <w:noWrap/>
            <w:hideMark/>
          </w:tcPr>
          <w:p w14:paraId="345E8148" w14:textId="77777777" w:rsidR="001C19A4" w:rsidRPr="006C1407" w:rsidRDefault="001C19A4" w:rsidP="005F27A6">
            <w:pPr>
              <w:spacing w:after="0"/>
              <w:rPr>
                <w:rFonts w:cs="Arial"/>
              </w:rPr>
            </w:pPr>
            <w:r w:rsidRPr="006C1407">
              <w:rPr>
                <w:rFonts w:cs="Arial"/>
              </w:rPr>
              <w:t>Medium</w:t>
            </w:r>
          </w:p>
        </w:tc>
        <w:tc>
          <w:tcPr>
            <w:tcW w:w="1301" w:type="dxa"/>
            <w:noWrap/>
            <w:hideMark/>
          </w:tcPr>
          <w:p w14:paraId="28926AF8" w14:textId="77777777" w:rsidR="001C19A4" w:rsidRPr="006C1407" w:rsidRDefault="001C19A4" w:rsidP="005F27A6">
            <w:pPr>
              <w:spacing w:after="0"/>
              <w:rPr>
                <w:rFonts w:cs="Arial"/>
              </w:rPr>
            </w:pPr>
            <w:r w:rsidRPr="006C1407">
              <w:rPr>
                <w:rFonts w:cs="Arial"/>
              </w:rPr>
              <w:t>45.9%</w:t>
            </w:r>
          </w:p>
        </w:tc>
        <w:tc>
          <w:tcPr>
            <w:tcW w:w="1158" w:type="dxa"/>
            <w:noWrap/>
            <w:hideMark/>
          </w:tcPr>
          <w:p w14:paraId="141E6E55" w14:textId="77777777" w:rsidR="001C19A4" w:rsidRPr="006C1407" w:rsidRDefault="001C19A4" w:rsidP="005F27A6">
            <w:pPr>
              <w:spacing w:after="0"/>
              <w:rPr>
                <w:rFonts w:cs="Arial"/>
              </w:rPr>
            </w:pPr>
            <w:r w:rsidRPr="006C1407">
              <w:rPr>
                <w:rFonts w:cs="Arial"/>
              </w:rPr>
              <w:t>High</w:t>
            </w:r>
          </w:p>
        </w:tc>
        <w:tc>
          <w:tcPr>
            <w:tcW w:w="1533" w:type="dxa"/>
            <w:noWrap/>
            <w:hideMark/>
          </w:tcPr>
          <w:p w14:paraId="6E7B7C3B" w14:textId="77777777" w:rsidR="001C19A4" w:rsidRPr="006C1407" w:rsidRDefault="001C19A4" w:rsidP="005F27A6">
            <w:pPr>
              <w:spacing w:after="0"/>
              <w:rPr>
                <w:rFonts w:cs="Arial"/>
              </w:rPr>
            </w:pPr>
            <w:r w:rsidRPr="006C1407">
              <w:rPr>
                <w:rFonts w:cs="Arial"/>
              </w:rPr>
              <w:t>Decreased</w:t>
            </w:r>
          </w:p>
        </w:tc>
        <w:tc>
          <w:tcPr>
            <w:tcW w:w="1698" w:type="dxa"/>
            <w:shd w:val="clear" w:color="auto" w:fill="C5E0B3" w:themeFill="accent6" w:themeFillTint="66"/>
            <w:noWrap/>
            <w:hideMark/>
          </w:tcPr>
          <w:p w14:paraId="1259DCF8" w14:textId="77777777" w:rsidR="001C19A4" w:rsidRPr="006C1407" w:rsidRDefault="001C19A4" w:rsidP="005F27A6">
            <w:pPr>
              <w:spacing w:after="0"/>
              <w:rPr>
                <w:rFonts w:cs="Arial"/>
              </w:rPr>
            </w:pPr>
            <w:r w:rsidRPr="006C1407">
              <w:rPr>
                <w:rFonts w:cs="Arial"/>
              </w:rPr>
              <w:t>Green</w:t>
            </w:r>
          </w:p>
        </w:tc>
        <w:tc>
          <w:tcPr>
            <w:tcW w:w="1162" w:type="dxa"/>
            <w:noWrap/>
            <w:hideMark/>
          </w:tcPr>
          <w:p w14:paraId="1C7EE18D" w14:textId="77777777" w:rsidR="001C19A4" w:rsidRPr="006C1407" w:rsidRDefault="001C19A4" w:rsidP="005F27A6">
            <w:pPr>
              <w:spacing w:after="0"/>
              <w:rPr>
                <w:rFonts w:cs="Arial"/>
              </w:rPr>
            </w:pPr>
            <w:r w:rsidRPr="006C1407">
              <w:rPr>
                <w:rFonts w:cs="Arial"/>
              </w:rPr>
              <w:t>High</w:t>
            </w:r>
          </w:p>
        </w:tc>
        <w:tc>
          <w:tcPr>
            <w:tcW w:w="1539" w:type="dxa"/>
            <w:noWrap/>
            <w:hideMark/>
          </w:tcPr>
          <w:p w14:paraId="4A9F8E54" w14:textId="77777777" w:rsidR="001C19A4" w:rsidRPr="006C1407" w:rsidRDefault="001C19A4" w:rsidP="005F27A6">
            <w:pPr>
              <w:spacing w:after="0"/>
              <w:rPr>
                <w:rFonts w:cs="Arial"/>
              </w:rPr>
            </w:pPr>
            <w:r w:rsidRPr="006C1407">
              <w:rPr>
                <w:rFonts w:cs="Arial"/>
              </w:rPr>
              <w:t>Maintained</w:t>
            </w:r>
          </w:p>
        </w:tc>
        <w:tc>
          <w:tcPr>
            <w:tcW w:w="1789" w:type="dxa"/>
            <w:shd w:val="clear" w:color="auto" w:fill="C5E0B3" w:themeFill="accent6" w:themeFillTint="66"/>
            <w:noWrap/>
            <w:hideMark/>
          </w:tcPr>
          <w:p w14:paraId="6623F784" w14:textId="77777777" w:rsidR="001C19A4" w:rsidRPr="006C1407" w:rsidRDefault="001C19A4" w:rsidP="005F27A6">
            <w:pPr>
              <w:spacing w:after="0"/>
              <w:rPr>
                <w:rFonts w:cs="Arial"/>
              </w:rPr>
            </w:pPr>
            <w:r w:rsidRPr="006C1407">
              <w:rPr>
                <w:rFonts w:cs="Arial"/>
              </w:rPr>
              <w:t>Green</w:t>
            </w:r>
          </w:p>
        </w:tc>
      </w:tr>
      <w:tr w:rsidR="001C19A4" w:rsidRPr="006C1407" w14:paraId="604EDE7D" w14:textId="77777777" w:rsidTr="005F27A6">
        <w:trPr>
          <w:trHeight w:val="288"/>
        </w:trPr>
        <w:tc>
          <w:tcPr>
            <w:tcW w:w="1755" w:type="dxa"/>
            <w:noWrap/>
            <w:hideMark/>
          </w:tcPr>
          <w:p w14:paraId="5B3DD2F8" w14:textId="77777777" w:rsidR="001C19A4" w:rsidRPr="006C1407" w:rsidRDefault="001C19A4" w:rsidP="005F27A6">
            <w:pPr>
              <w:spacing w:after="0"/>
              <w:rPr>
                <w:rFonts w:cs="Arial"/>
              </w:rPr>
            </w:pPr>
            <w:r w:rsidRPr="006C1407">
              <w:rPr>
                <w:rFonts w:cs="Arial"/>
              </w:rPr>
              <w:lastRenderedPageBreak/>
              <w:t>Rio Vista Elementary</w:t>
            </w:r>
          </w:p>
        </w:tc>
        <w:tc>
          <w:tcPr>
            <w:tcW w:w="1114" w:type="dxa"/>
            <w:noWrap/>
            <w:hideMark/>
          </w:tcPr>
          <w:p w14:paraId="6DD36B3A" w14:textId="77777777" w:rsidR="001C19A4" w:rsidRPr="006C1407" w:rsidRDefault="001C19A4" w:rsidP="005F27A6">
            <w:pPr>
              <w:spacing w:after="0"/>
              <w:rPr>
                <w:rFonts w:cs="Arial"/>
              </w:rPr>
            </w:pPr>
            <w:r w:rsidRPr="006C1407">
              <w:rPr>
                <w:rFonts w:cs="Arial"/>
              </w:rPr>
              <w:t>High</w:t>
            </w:r>
          </w:p>
        </w:tc>
        <w:tc>
          <w:tcPr>
            <w:tcW w:w="1301" w:type="dxa"/>
            <w:noWrap/>
            <w:hideMark/>
          </w:tcPr>
          <w:p w14:paraId="62C588EE" w14:textId="77777777" w:rsidR="001C19A4" w:rsidRPr="006C1407" w:rsidRDefault="001C19A4" w:rsidP="005F27A6">
            <w:pPr>
              <w:spacing w:after="0"/>
              <w:rPr>
                <w:rFonts w:cs="Arial"/>
              </w:rPr>
            </w:pPr>
            <w:r w:rsidRPr="006C1407">
              <w:rPr>
                <w:rFonts w:cs="Arial"/>
              </w:rPr>
              <w:t>57.3%</w:t>
            </w:r>
          </w:p>
        </w:tc>
        <w:tc>
          <w:tcPr>
            <w:tcW w:w="1158" w:type="dxa"/>
            <w:noWrap/>
            <w:hideMark/>
          </w:tcPr>
          <w:p w14:paraId="4F22EBDA" w14:textId="77777777" w:rsidR="001C19A4" w:rsidRPr="006C1407" w:rsidRDefault="001C19A4" w:rsidP="005F27A6">
            <w:pPr>
              <w:spacing w:after="0"/>
              <w:rPr>
                <w:rFonts w:cs="Arial"/>
              </w:rPr>
            </w:pPr>
            <w:r w:rsidRPr="006C1407">
              <w:rPr>
                <w:rFonts w:cs="Arial"/>
              </w:rPr>
              <w:t>Low</w:t>
            </w:r>
          </w:p>
        </w:tc>
        <w:tc>
          <w:tcPr>
            <w:tcW w:w="1533" w:type="dxa"/>
            <w:noWrap/>
            <w:hideMark/>
          </w:tcPr>
          <w:p w14:paraId="09BED86D"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798172FC" w14:textId="77777777" w:rsidR="001C19A4" w:rsidRPr="006C1407" w:rsidRDefault="001C19A4" w:rsidP="005F27A6">
            <w:pPr>
              <w:spacing w:after="0"/>
              <w:rPr>
                <w:rFonts w:cs="Arial"/>
              </w:rPr>
            </w:pPr>
            <w:r w:rsidRPr="006C1407">
              <w:rPr>
                <w:rFonts w:cs="Arial"/>
              </w:rPr>
              <w:t>Orange</w:t>
            </w:r>
          </w:p>
        </w:tc>
        <w:tc>
          <w:tcPr>
            <w:tcW w:w="1162" w:type="dxa"/>
            <w:noWrap/>
            <w:hideMark/>
          </w:tcPr>
          <w:p w14:paraId="76251FE2" w14:textId="77777777" w:rsidR="001C19A4" w:rsidRPr="006C1407" w:rsidRDefault="001C19A4" w:rsidP="005F27A6">
            <w:pPr>
              <w:spacing w:after="0"/>
              <w:rPr>
                <w:rFonts w:cs="Arial"/>
              </w:rPr>
            </w:pPr>
            <w:r w:rsidRPr="006C1407">
              <w:rPr>
                <w:rFonts w:cs="Arial"/>
              </w:rPr>
              <w:t>Low</w:t>
            </w:r>
          </w:p>
        </w:tc>
        <w:tc>
          <w:tcPr>
            <w:tcW w:w="1539" w:type="dxa"/>
            <w:noWrap/>
            <w:hideMark/>
          </w:tcPr>
          <w:p w14:paraId="09452880" w14:textId="77777777" w:rsidR="001C19A4" w:rsidRPr="006C1407" w:rsidRDefault="001C19A4" w:rsidP="005F27A6">
            <w:pPr>
              <w:spacing w:after="0"/>
              <w:rPr>
                <w:rFonts w:cs="Arial"/>
              </w:rPr>
            </w:pPr>
            <w:r w:rsidRPr="006C1407">
              <w:rPr>
                <w:rFonts w:cs="Arial"/>
              </w:rPr>
              <w:t>Decreased</w:t>
            </w:r>
          </w:p>
        </w:tc>
        <w:tc>
          <w:tcPr>
            <w:tcW w:w="1789" w:type="dxa"/>
            <w:shd w:val="clear" w:color="auto" w:fill="F7CAAC" w:themeFill="accent2" w:themeFillTint="66"/>
            <w:noWrap/>
            <w:hideMark/>
          </w:tcPr>
          <w:p w14:paraId="3D2F72AB" w14:textId="77777777" w:rsidR="001C19A4" w:rsidRPr="006C1407" w:rsidRDefault="001C19A4" w:rsidP="005F27A6">
            <w:pPr>
              <w:spacing w:after="0"/>
              <w:rPr>
                <w:rFonts w:cs="Arial"/>
              </w:rPr>
            </w:pPr>
            <w:r w:rsidRPr="006C1407">
              <w:rPr>
                <w:rFonts w:cs="Arial"/>
              </w:rPr>
              <w:t>Orange</w:t>
            </w:r>
          </w:p>
        </w:tc>
      </w:tr>
      <w:tr w:rsidR="001C19A4" w:rsidRPr="006C1407" w14:paraId="45CCEB49" w14:textId="77777777" w:rsidTr="005F27A6">
        <w:trPr>
          <w:trHeight w:val="288"/>
        </w:trPr>
        <w:tc>
          <w:tcPr>
            <w:tcW w:w="1755" w:type="dxa"/>
            <w:noWrap/>
            <w:hideMark/>
          </w:tcPr>
          <w:p w14:paraId="4CBA4F7B" w14:textId="77777777" w:rsidR="001C19A4" w:rsidRPr="006C1407" w:rsidRDefault="001C19A4" w:rsidP="005F27A6">
            <w:pPr>
              <w:spacing w:after="0"/>
              <w:rPr>
                <w:rFonts w:cs="Arial"/>
              </w:rPr>
            </w:pPr>
            <w:r w:rsidRPr="006C1407">
              <w:rPr>
                <w:rFonts w:cs="Arial"/>
              </w:rPr>
              <w:t>Sequoia Elementary</w:t>
            </w:r>
          </w:p>
        </w:tc>
        <w:tc>
          <w:tcPr>
            <w:tcW w:w="1114" w:type="dxa"/>
            <w:noWrap/>
            <w:hideMark/>
          </w:tcPr>
          <w:p w14:paraId="2287F502" w14:textId="77777777" w:rsidR="001C19A4" w:rsidRPr="006C1407" w:rsidRDefault="001C19A4" w:rsidP="005F27A6">
            <w:pPr>
              <w:spacing w:after="0"/>
              <w:rPr>
                <w:rFonts w:cs="Arial"/>
              </w:rPr>
            </w:pPr>
            <w:r w:rsidRPr="006C1407">
              <w:rPr>
                <w:rFonts w:cs="Arial"/>
              </w:rPr>
              <w:t>Very High</w:t>
            </w:r>
          </w:p>
        </w:tc>
        <w:tc>
          <w:tcPr>
            <w:tcW w:w="1301" w:type="dxa"/>
            <w:noWrap/>
            <w:hideMark/>
          </w:tcPr>
          <w:p w14:paraId="54CF009A" w14:textId="77777777" w:rsidR="001C19A4" w:rsidRPr="006C1407" w:rsidRDefault="001C19A4" w:rsidP="005F27A6">
            <w:pPr>
              <w:spacing w:after="0"/>
              <w:rPr>
                <w:rFonts w:cs="Arial"/>
              </w:rPr>
            </w:pPr>
            <w:r w:rsidRPr="006C1407">
              <w:rPr>
                <w:rFonts w:cs="Arial"/>
              </w:rPr>
              <w:t>76.2%</w:t>
            </w:r>
          </w:p>
        </w:tc>
        <w:tc>
          <w:tcPr>
            <w:tcW w:w="1158" w:type="dxa"/>
            <w:noWrap/>
            <w:hideMark/>
          </w:tcPr>
          <w:p w14:paraId="2456FA99" w14:textId="77777777" w:rsidR="001C19A4" w:rsidRPr="006C1407" w:rsidRDefault="001C19A4" w:rsidP="005F27A6">
            <w:pPr>
              <w:spacing w:after="0"/>
              <w:rPr>
                <w:rFonts w:cs="Arial"/>
              </w:rPr>
            </w:pPr>
            <w:r w:rsidRPr="006C1407">
              <w:rPr>
                <w:rFonts w:cs="Arial"/>
              </w:rPr>
              <w:t>High</w:t>
            </w:r>
          </w:p>
        </w:tc>
        <w:tc>
          <w:tcPr>
            <w:tcW w:w="1533" w:type="dxa"/>
            <w:noWrap/>
            <w:hideMark/>
          </w:tcPr>
          <w:p w14:paraId="37D89394" w14:textId="77777777" w:rsidR="001C19A4" w:rsidRPr="006C1407" w:rsidRDefault="001C19A4" w:rsidP="005F27A6">
            <w:pPr>
              <w:spacing w:after="0"/>
              <w:rPr>
                <w:rFonts w:cs="Arial"/>
              </w:rPr>
            </w:pPr>
            <w:r w:rsidRPr="006C1407">
              <w:rPr>
                <w:rFonts w:cs="Arial"/>
              </w:rPr>
              <w:t>Decreased</w:t>
            </w:r>
          </w:p>
        </w:tc>
        <w:tc>
          <w:tcPr>
            <w:tcW w:w="1698" w:type="dxa"/>
            <w:shd w:val="clear" w:color="auto" w:fill="C5E0B3" w:themeFill="accent6" w:themeFillTint="66"/>
            <w:noWrap/>
            <w:hideMark/>
          </w:tcPr>
          <w:p w14:paraId="0AA25FFF" w14:textId="77777777" w:rsidR="001C19A4" w:rsidRPr="006C1407" w:rsidRDefault="001C19A4" w:rsidP="005F27A6">
            <w:pPr>
              <w:spacing w:after="0"/>
              <w:rPr>
                <w:rFonts w:cs="Arial"/>
              </w:rPr>
            </w:pPr>
            <w:r w:rsidRPr="006C1407">
              <w:rPr>
                <w:rFonts w:cs="Arial"/>
              </w:rPr>
              <w:t>Green</w:t>
            </w:r>
          </w:p>
        </w:tc>
        <w:tc>
          <w:tcPr>
            <w:tcW w:w="1162" w:type="dxa"/>
            <w:noWrap/>
            <w:hideMark/>
          </w:tcPr>
          <w:p w14:paraId="12497B34" w14:textId="77777777" w:rsidR="001C19A4" w:rsidRPr="006C1407" w:rsidRDefault="001C19A4" w:rsidP="005F27A6">
            <w:pPr>
              <w:spacing w:after="0"/>
              <w:rPr>
                <w:rFonts w:cs="Arial"/>
              </w:rPr>
            </w:pPr>
            <w:r w:rsidRPr="006C1407">
              <w:rPr>
                <w:rFonts w:cs="Arial"/>
              </w:rPr>
              <w:t>High</w:t>
            </w:r>
          </w:p>
        </w:tc>
        <w:tc>
          <w:tcPr>
            <w:tcW w:w="1539" w:type="dxa"/>
            <w:noWrap/>
            <w:hideMark/>
          </w:tcPr>
          <w:p w14:paraId="28082AE5" w14:textId="77777777" w:rsidR="001C19A4" w:rsidRPr="006C1407" w:rsidRDefault="001C19A4" w:rsidP="005F27A6">
            <w:pPr>
              <w:spacing w:after="0"/>
              <w:rPr>
                <w:rFonts w:cs="Arial"/>
              </w:rPr>
            </w:pPr>
            <w:r w:rsidRPr="006C1407">
              <w:rPr>
                <w:rFonts w:cs="Arial"/>
              </w:rPr>
              <w:t>Decreased</w:t>
            </w:r>
          </w:p>
        </w:tc>
        <w:tc>
          <w:tcPr>
            <w:tcW w:w="1789" w:type="dxa"/>
            <w:shd w:val="clear" w:color="auto" w:fill="C5E0B3" w:themeFill="accent6" w:themeFillTint="66"/>
            <w:noWrap/>
            <w:hideMark/>
          </w:tcPr>
          <w:p w14:paraId="5C626516" w14:textId="77777777" w:rsidR="001C19A4" w:rsidRPr="006C1407" w:rsidRDefault="001C19A4" w:rsidP="005F27A6">
            <w:pPr>
              <w:spacing w:after="0"/>
              <w:rPr>
                <w:rFonts w:cs="Arial"/>
              </w:rPr>
            </w:pPr>
            <w:r w:rsidRPr="006C1407">
              <w:rPr>
                <w:rFonts w:cs="Arial"/>
              </w:rPr>
              <w:t>Green</w:t>
            </w:r>
          </w:p>
        </w:tc>
      </w:tr>
      <w:tr w:rsidR="001C19A4" w:rsidRPr="006C1407" w14:paraId="0CCD81E1" w14:textId="77777777" w:rsidTr="005F27A6">
        <w:trPr>
          <w:trHeight w:val="288"/>
        </w:trPr>
        <w:tc>
          <w:tcPr>
            <w:tcW w:w="1755" w:type="dxa"/>
            <w:noWrap/>
            <w:hideMark/>
          </w:tcPr>
          <w:p w14:paraId="616B37BE" w14:textId="77777777" w:rsidR="001C19A4" w:rsidRPr="006C1407" w:rsidRDefault="001C19A4" w:rsidP="005F27A6">
            <w:pPr>
              <w:spacing w:after="0"/>
              <w:rPr>
                <w:rFonts w:cs="Arial"/>
              </w:rPr>
            </w:pPr>
            <w:r w:rsidRPr="006C1407">
              <w:rPr>
                <w:rFonts w:cs="Arial"/>
              </w:rPr>
              <w:t>Shore Acres Elementary</w:t>
            </w:r>
          </w:p>
        </w:tc>
        <w:tc>
          <w:tcPr>
            <w:tcW w:w="1114" w:type="dxa"/>
            <w:noWrap/>
            <w:hideMark/>
          </w:tcPr>
          <w:p w14:paraId="69466743" w14:textId="77777777" w:rsidR="001C19A4" w:rsidRPr="006C1407" w:rsidRDefault="001C19A4" w:rsidP="005F27A6">
            <w:pPr>
              <w:spacing w:after="0"/>
              <w:rPr>
                <w:rFonts w:cs="Arial"/>
              </w:rPr>
            </w:pPr>
            <w:r w:rsidRPr="006C1407">
              <w:rPr>
                <w:rFonts w:cs="Arial"/>
              </w:rPr>
              <w:t>Low</w:t>
            </w:r>
          </w:p>
        </w:tc>
        <w:tc>
          <w:tcPr>
            <w:tcW w:w="1301" w:type="dxa"/>
            <w:noWrap/>
            <w:hideMark/>
          </w:tcPr>
          <w:p w14:paraId="4CF45D1D" w14:textId="77777777" w:rsidR="001C19A4" w:rsidRPr="006C1407" w:rsidRDefault="001C19A4" w:rsidP="005F27A6">
            <w:pPr>
              <w:spacing w:after="0"/>
              <w:rPr>
                <w:rFonts w:cs="Arial"/>
              </w:rPr>
            </w:pPr>
            <w:r w:rsidRPr="006C1407">
              <w:rPr>
                <w:rFonts w:cs="Arial"/>
              </w:rPr>
              <w:t>39.9%</w:t>
            </w:r>
          </w:p>
        </w:tc>
        <w:tc>
          <w:tcPr>
            <w:tcW w:w="1158" w:type="dxa"/>
            <w:noWrap/>
            <w:hideMark/>
          </w:tcPr>
          <w:p w14:paraId="55A51154" w14:textId="77777777" w:rsidR="001C19A4" w:rsidRPr="006C1407" w:rsidRDefault="001C19A4" w:rsidP="005F27A6">
            <w:pPr>
              <w:spacing w:after="0"/>
              <w:rPr>
                <w:rFonts w:cs="Arial"/>
              </w:rPr>
            </w:pPr>
            <w:r w:rsidRPr="006C1407">
              <w:rPr>
                <w:rFonts w:cs="Arial"/>
              </w:rPr>
              <w:t>Very Low</w:t>
            </w:r>
          </w:p>
        </w:tc>
        <w:tc>
          <w:tcPr>
            <w:tcW w:w="1533" w:type="dxa"/>
            <w:noWrap/>
            <w:hideMark/>
          </w:tcPr>
          <w:p w14:paraId="38969DA8" w14:textId="77777777" w:rsidR="001C19A4" w:rsidRPr="006C1407" w:rsidRDefault="001C19A4" w:rsidP="005F27A6">
            <w:pPr>
              <w:spacing w:after="0"/>
              <w:rPr>
                <w:rFonts w:cs="Arial"/>
              </w:rPr>
            </w:pPr>
            <w:r w:rsidRPr="006C1407">
              <w:rPr>
                <w:rFonts w:cs="Arial"/>
              </w:rPr>
              <w:t>Increased</w:t>
            </w:r>
          </w:p>
        </w:tc>
        <w:tc>
          <w:tcPr>
            <w:tcW w:w="1698" w:type="dxa"/>
            <w:shd w:val="clear" w:color="auto" w:fill="F7CAAC" w:themeFill="accent2" w:themeFillTint="66"/>
            <w:noWrap/>
            <w:hideMark/>
          </w:tcPr>
          <w:p w14:paraId="052AFD38" w14:textId="77777777" w:rsidR="001C19A4" w:rsidRPr="006C1407" w:rsidRDefault="001C19A4" w:rsidP="005F27A6">
            <w:pPr>
              <w:spacing w:after="0"/>
              <w:rPr>
                <w:rFonts w:cs="Arial"/>
              </w:rPr>
            </w:pPr>
            <w:r w:rsidRPr="006C1407">
              <w:rPr>
                <w:rFonts w:cs="Arial"/>
              </w:rPr>
              <w:t>Orange</w:t>
            </w:r>
          </w:p>
        </w:tc>
        <w:tc>
          <w:tcPr>
            <w:tcW w:w="1162" w:type="dxa"/>
            <w:noWrap/>
            <w:hideMark/>
          </w:tcPr>
          <w:p w14:paraId="5D40EFE2" w14:textId="77777777" w:rsidR="001C19A4" w:rsidRPr="006C1407" w:rsidRDefault="001C19A4" w:rsidP="005F27A6">
            <w:pPr>
              <w:spacing w:after="0"/>
              <w:rPr>
                <w:rFonts w:cs="Arial"/>
              </w:rPr>
            </w:pPr>
            <w:r w:rsidRPr="006C1407">
              <w:rPr>
                <w:rFonts w:cs="Arial"/>
              </w:rPr>
              <w:t>Very Low</w:t>
            </w:r>
          </w:p>
        </w:tc>
        <w:tc>
          <w:tcPr>
            <w:tcW w:w="1539" w:type="dxa"/>
            <w:noWrap/>
            <w:hideMark/>
          </w:tcPr>
          <w:p w14:paraId="1F3FA731" w14:textId="77777777" w:rsidR="001C19A4" w:rsidRPr="006C1407" w:rsidRDefault="001C19A4" w:rsidP="005F27A6">
            <w:pPr>
              <w:spacing w:after="0"/>
              <w:rPr>
                <w:rFonts w:cs="Arial"/>
              </w:rPr>
            </w:pPr>
            <w:r w:rsidRPr="006C1407">
              <w:rPr>
                <w:rFonts w:cs="Arial"/>
              </w:rPr>
              <w:t>Increased</w:t>
            </w:r>
          </w:p>
        </w:tc>
        <w:tc>
          <w:tcPr>
            <w:tcW w:w="1789" w:type="dxa"/>
            <w:shd w:val="clear" w:color="auto" w:fill="F7CAAC" w:themeFill="accent2" w:themeFillTint="66"/>
            <w:noWrap/>
            <w:hideMark/>
          </w:tcPr>
          <w:p w14:paraId="67FDC077" w14:textId="77777777" w:rsidR="001C19A4" w:rsidRPr="006C1407" w:rsidRDefault="001C19A4" w:rsidP="005F27A6">
            <w:pPr>
              <w:spacing w:after="0"/>
              <w:rPr>
                <w:rFonts w:cs="Arial"/>
              </w:rPr>
            </w:pPr>
            <w:r w:rsidRPr="006C1407">
              <w:rPr>
                <w:rFonts w:cs="Arial"/>
              </w:rPr>
              <w:t>Orange</w:t>
            </w:r>
          </w:p>
        </w:tc>
      </w:tr>
      <w:tr w:rsidR="001C19A4" w:rsidRPr="006C1407" w14:paraId="5D5C33D6" w14:textId="77777777" w:rsidTr="005F27A6">
        <w:trPr>
          <w:trHeight w:val="288"/>
        </w:trPr>
        <w:tc>
          <w:tcPr>
            <w:tcW w:w="1755" w:type="dxa"/>
            <w:noWrap/>
            <w:hideMark/>
          </w:tcPr>
          <w:p w14:paraId="42FC56C0" w14:textId="77777777" w:rsidR="001C19A4" w:rsidRPr="006C1407" w:rsidRDefault="001C19A4" w:rsidP="005F27A6">
            <w:pPr>
              <w:spacing w:after="0"/>
              <w:rPr>
                <w:rFonts w:cs="Arial"/>
              </w:rPr>
            </w:pPr>
            <w:r w:rsidRPr="006C1407">
              <w:rPr>
                <w:rFonts w:cs="Arial"/>
              </w:rPr>
              <w:t>Silverwood Elementary</w:t>
            </w:r>
          </w:p>
        </w:tc>
        <w:tc>
          <w:tcPr>
            <w:tcW w:w="1114" w:type="dxa"/>
            <w:noWrap/>
            <w:hideMark/>
          </w:tcPr>
          <w:p w14:paraId="6598DE90" w14:textId="77777777" w:rsidR="001C19A4" w:rsidRPr="006C1407" w:rsidRDefault="001C19A4" w:rsidP="005F27A6">
            <w:pPr>
              <w:spacing w:after="0"/>
              <w:rPr>
                <w:rFonts w:cs="Arial"/>
              </w:rPr>
            </w:pPr>
            <w:r w:rsidRPr="006C1407">
              <w:rPr>
                <w:rFonts w:cs="Arial"/>
              </w:rPr>
              <w:t>Medium</w:t>
            </w:r>
          </w:p>
        </w:tc>
        <w:tc>
          <w:tcPr>
            <w:tcW w:w="1301" w:type="dxa"/>
            <w:noWrap/>
            <w:hideMark/>
          </w:tcPr>
          <w:p w14:paraId="349F19D9" w14:textId="77777777" w:rsidR="001C19A4" w:rsidRPr="006C1407" w:rsidRDefault="001C19A4" w:rsidP="005F27A6">
            <w:pPr>
              <w:spacing w:after="0"/>
              <w:rPr>
                <w:rFonts w:cs="Arial"/>
              </w:rPr>
            </w:pPr>
            <w:r w:rsidRPr="006C1407">
              <w:rPr>
                <w:rFonts w:cs="Arial"/>
              </w:rPr>
              <w:t>48.4%</w:t>
            </w:r>
          </w:p>
        </w:tc>
        <w:tc>
          <w:tcPr>
            <w:tcW w:w="1158" w:type="dxa"/>
            <w:noWrap/>
            <w:hideMark/>
          </w:tcPr>
          <w:p w14:paraId="56AF6403" w14:textId="77777777" w:rsidR="001C19A4" w:rsidRPr="006C1407" w:rsidRDefault="001C19A4" w:rsidP="005F27A6">
            <w:pPr>
              <w:spacing w:after="0"/>
              <w:rPr>
                <w:rFonts w:cs="Arial"/>
              </w:rPr>
            </w:pPr>
            <w:r w:rsidRPr="006C1407">
              <w:rPr>
                <w:rFonts w:cs="Arial"/>
              </w:rPr>
              <w:t>High</w:t>
            </w:r>
          </w:p>
        </w:tc>
        <w:tc>
          <w:tcPr>
            <w:tcW w:w="1533" w:type="dxa"/>
            <w:noWrap/>
            <w:hideMark/>
          </w:tcPr>
          <w:p w14:paraId="219C9A30" w14:textId="77777777" w:rsidR="001C19A4" w:rsidRPr="006C1407" w:rsidRDefault="001C19A4" w:rsidP="005F27A6">
            <w:pPr>
              <w:spacing w:after="0"/>
              <w:rPr>
                <w:rFonts w:cs="Arial"/>
              </w:rPr>
            </w:pPr>
            <w:r w:rsidRPr="006C1407">
              <w:rPr>
                <w:rFonts w:cs="Arial"/>
              </w:rPr>
              <w:t>Decreased</w:t>
            </w:r>
          </w:p>
        </w:tc>
        <w:tc>
          <w:tcPr>
            <w:tcW w:w="1698" w:type="dxa"/>
            <w:shd w:val="clear" w:color="auto" w:fill="C5E0B3" w:themeFill="accent6" w:themeFillTint="66"/>
            <w:noWrap/>
            <w:hideMark/>
          </w:tcPr>
          <w:p w14:paraId="0FD3E7C6" w14:textId="77777777" w:rsidR="001C19A4" w:rsidRPr="006C1407" w:rsidRDefault="001C19A4" w:rsidP="005F27A6">
            <w:pPr>
              <w:spacing w:after="0"/>
              <w:rPr>
                <w:rFonts w:cs="Arial"/>
              </w:rPr>
            </w:pPr>
            <w:r w:rsidRPr="006C1407">
              <w:rPr>
                <w:rFonts w:cs="Arial"/>
              </w:rPr>
              <w:t>Green</w:t>
            </w:r>
          </w:p>
        </w:tc>
        <w:tc>
          <w:tcPr>
            <w:tcW w:w="1162" w:type="dxa"/>
            <w:noWrap/>
            <w:hideMark/>
          </w:tcPr>
          <w:p w14:paraId="4F6F6395" w14:textId="77777777" w:rsidR="001C19A4" w:rsidRPr="006C1407" w:rsidRDefault="001C19A4" w:rsidP="005F27A6">
            <w:pPr>
              <w:spacing w:after="0"/>
              <w:rPr>
                <w:rFonts w:cs="Arial"/>
              </w:rPr>
            </w:pPr>
            <w:r w:rsidRPr="006C1407">
              <w:rPr>
                <w:rFonts w:cs="Arial"/>
              </w:rPr>
              <w:t>High</w:t>
            </w:r>
          </w:p>
        </w:tc>
        <w:tc>
          <w:tcPr>
            <w:tcW w:w="1539" w:type="dxa"/>
            <w:noWrap/>
            <w:hideMark/>
          </w:tcPr>
          <w:p w14:paraId="7F4C1DFF" w14:textId="77777777" w:rsidR="001C19A4" w:rsidRPr="006C1407" w:rsidRDefault="001C19A4" w:rsidP="005F27A6">
            <w:pPr>
              <w:spacing w:after="0"/>
              <w:rPr>
                <w:rFonts w:cs="Arial"/>
              </w:rPr>
            </w:pPr>
            <w:r w:rsidRPr="006C1407">
              <w:rPr>
                <w:rFonts w:cs="Arial"/>
              </w:rPr>
              <w:t>Maintained</w:t>
            </w:r>
          </w:p>
        </w:tc>
        <w:tc>
          <w:tcPr>
            <w:tcW w:w="1789" w:type="dxa"/>
            <w:shd w:val="clear" w:color="auto" w:fill="C5E0B3" w:themeFill="accent6" w:themeFillTint="66"/>
            <w:noWrap/>
            <w:hideMark/>
          </w:tcPr>
          <w:p w14:paraId="2627BBCB" w14:textId="77777777" w:rsidR="001C19A4" w:rsidRPr="006C1407" w:rsidRDefault="001C19A4" w:rsidP="005F27A6">
            <w:pPr>
              <w:spacing w:after="0"/>
              <w:rPr>
                <w:rFonts w:cs="Arial"/>
              </w:rPr>
            </w:pPr>
            <w:r w:rsidRPr="006C1407">
              <w:rPr>
                <w:rFonts w:cs="Arial"/>
              </w:rPr>
              <w:t>Green</w:t>
            </w:r>
          </w:p>
        </w:tc>
      </w:tr>
      <w:tr w:rsidR="001C19A4" w:rsidRPr="006C1407" w14:paraId="1F4503A4" w14:textId="77777777" w:rsidTr="005F27A6">
        <w:trPr>
          <w:trHeight w:val="288"/>
        </w:trPr>
        <w:tc>
          <w:tcPr>
            <w:tcW w:w="1755" w:type="dxa"/>
            <w:noWrap/>
            <w:hideMark/>
          </w:tcPr>
          <w:p w14:paraId="353D7175" w14:textId="77777777" w:rsidR="001C19A4" w:rsidRPr="006C1407" w:rsidRDefault="001C19A4" w:rsidP="005F27A6">
            <w:pPr>
              <w:spacing w:after="0"/>
              <w:rPr>
                <w:rFonts w:cs="Arial"/>
              </w:rPr>
            </w:pPr>
            <w:proofErr w:type="spellStart"/>
            <w:r w:rsidRPr="006C1407">
              <w:rPr>
                <w:rFonts w:cs="Arial"/>
              </w:rPr>
              <w:t>Strandwood</w:t>
            </w:r>
            <w:proofErr w:type="spellEnd"/>
            <w:r w:rsidRPr="006C1407">
              <w:rPr>
                <w:rFonts w:cs="Arial"/>
              </w:rPr>
              <w:t xml:space="preserve"> Elementary</w:t>
            </w:r>
          </w:p>
        </w:tc>
        <w:tc>
          <w:tcPr>
            <w:tcW w:w="1114" w:type="dxa"/>
            <w:noWrap/>
            <w:hideMark/>
          </w:tcPr>
          <w:p w14:paraId="113671BE" w14:textId="77777777" w:rsidR="001C19A4" w:rsidRPr="006C1407" w:rsidRDefault="001C19A4" w:rsidP="005F27A6">
            <w:pPr>
              <w:spacing w:after="0"/>
              <w:rPr>
                <w:rFonts w:cs="Arial"/>
              </w:rPr>
            </w:pPr>
            <w:r w:rsidRPr="006C1407">
              <w:rPr>
                <w:rFonts w:cs="Arial"/>
              </w:rPr>
              <w:t>Very High</w:t>
            </w:r>
          </w:p>
        </w:tc>
        <w:tc>
          <w:tcPr>
            <w:tcW w:w="1301" w:type="dxa"/>
            <w:noWrap/>
            <w:hideMark/>
          </w:tcPr>
          <w:p w14:paraId="70B65080" w14:textId="77777777" w:rsidR="001C19A4" w:rsidRPr="006C1407" w:rsidRDefault="001C19A4" w:rsidP="005F27A6">
            <w:pPr>
              <w:spacing w:after="0"/>
              <w:rPr>
                <w:rFonts w:cs="Arial"/>
              </w:rPr>
            </w:pPr>
            <w:r w:rsidRPr="006C1407">
              <w:rPr>
                <w:rFonts w:cs="Arial"/>
              </w:rPr>
              <w:t>70</w:t>
            </w:r>
            <w:r>
              <w:rPr>
                <w:rFonts w:cs="Arial"/>
              </w:rPr>
              <w:t>.0</w:t>
            </w:r>
            <w:r w:rsidRPr="006C1407">
              <w:rPr>
                <w:rFonts w:cs="Arial"/>
              </w:rPr>
              <w:t>%</w:t>
            </w:r>
          </w:p>
        </w:tc>
        <w:tc>
          <w:tcPr>
            <w:tcW w:w="1158" w:type="dxa"/>
            <w:noWrap/>
            <w:hideMark/>
          </w:tcPr>
          <w:p w14:paraId="1D3B2D79" w14:textId="77777777" w:rsidR="001C19A4" w:rsidRPr="006C1407" w:rsidRDefault="001C19A4" w:rsidP="005F27A6">
            <w:pPr>
              <w:spacing w:after="0"/>
              <w:rPr>
                <w:rFonts w:cs="Arial"/>
              </w:rPr>
            </w:pPr>
            <w:r w:rsidRPr="006C1407">
              <w:rPr>
                <w:rFonts w:cs="Arial"/>
              </w:rPr>
              <w:t>High</w:t>
            </w:r>
          </w:p>
        </w:tc>
        <w:tc>
          <w:tcPr>
            <w:tcW w:w="1533" w:type="dxa"/>
            <w:noWrap/>
            <w:hideMark/>
          </w:tcPr>
          <w:p w14:paraId="024C2EE3" w14:textId="77777777" w:rsidR="001C19A4" w:rsidRPr="006C1407" w:rsidRDefault="001C19A4" w:rsidP="005F27A6">
            <w:pPr>
              <w:spacing w:after="0"/>
              <w:rPr>
                <w:rFonts w:cs="Arial"/>
              </w:rPr>
            </w:pPr>
            <w:r w:rsidRPr="006C1407">
              <w:rPr>
                <w:rFonts w:cs="Arial"/>
              </w:rPr>
              <w:t>Maintained</w:t>
            </w:r>
          </w:p>
        </w:tc>
        <w:tc>
          <w:tcPr>
            <w:tcW w:w="1698" w:type="dxa"/>
            <w:shd w:val="clear" w:color="auto" w:fill="C5E0B3" w:themeFill="accent6" w:themeFillTint="66"/>
            <w:noWrap/>
            <w:hideMark/>
          </w:tcPr>
          <w:p w14:paraId="3FAF6938" w14:textId="77777777" w:rsidR="001C19A4" w:rsidRPr="006C1407" w:rsidRDefault="001C19A4" w:rsidP="005F27A6">
            <w:pPr>
              <w:spacing w:after="0"/>
              <w:rPr>
                <w:rFonts w:cs="Arial"/>
              </w:rPr>
            </w:pPr>
            <w:r w:rsidRPr="006C1407">
              <w:rPr>
                <w:rFonts w:cs="Arial"/>
              </w:rPr>
              <w:t>Green</w:t>
            </w:r>
          </w:p>
        </w:tc>
        <w:tc>
          <w:tcPr>
            <w:tcW w:w="1162" w:type="dxa"/>
            <w:noWrap/>
            <w:hideMark/>
          </w:tcPr>
          <w:p w14:paraId="4764705F" w14:textId="77777777" w:rsidR="001C19A4" w:rsidRPr="006C1407" w:rsidRDefault="001C19A4" w:rsidP="005F27A6">
            <w:pPr>
              <w:spacing w:after="0"/>
              <w:rPr>
                <w:rFonts w:cs="Arial"/>
              </w:rPr>
            </w:pPr>
            <w:r w:rsidRPr="006C1407">
              <w:rPr>
                <w:rFonts w:cs="Arial"/>
              </w:rPr>
              <w:t>High</w:t>
            </w:r>
          </w:p>
        </w:tc>
        <w:tc>
          <w:tcPr>
            <w:tcW w:w="1539" w:type="dxa"/>
            <w:noWrap/>
            <w:hideMark/>
          </w:tcPr>
          <w:p w14:paraId="7337D3FC" w14:textId="77777777" w:rsidR="001C19A4" w:rsidRPr="006C1407" w:rsidRDefault="001C19A4" w:rsidP="005F27A6">
            <w:pPr>
              <w:spacing w:after="0"/>
              <w:rPr>
                <w:rFonts w:cs="Arial"/>
              </w:rPr>
            </w:pPr>
            <w:r w:rsidRPr="006C1407">
              <w:rPr>
                <w:rFonts w:cs="Arial"/>
              </w:rPr>
              <w:t>Maintained</w:t>
            </w:r>
          </w:p>
        </w:tc>
        <w:tc>
          <w:tcPr>
            <w:tcW w:w="1789" w:type="dxa"/>
            <w:shd w:val="clear" w:color="auto" w:fill="C5E0B3" w:themeFill="accent6" w:themeFillTint="66"/>
            <w:noWrap/>
            <w:hideMark/>
          </w:tcPr>
          <w:p w14:paraId="3FCC64D5" w14:textId="77777777" w:rsidR="001C19A4" w:rsidRPr="006C1407" w:rsidRDefault="001C19A4" w:rsidP="005F27A6">
            <w:pPr>
              <w:spacing w:after="0"/>
              <w:rPr>
                <w:rFonts w:cs="Arial"/>
              </w:rPr>
            </w:pPr>
            <w:r w:rsidRPr="006C1407">
              <w:rPr>
                <w:rFonts w:cs="Arial"/>
              </w:rPr>
              <w:t>Green</w:t>
            </w:r>
          </w:p>
        </w:tc>
      </w:tr>
      <w:tr w:rsidR="001C19A4" w:rsidRPr="006C1407" w14:paraId="22EAD74A" w14:textId="77777777" w:rsidTr="005F27A6">
        <w:trPr>
          <w:trHeight w:val="288"/>
        </w:trPr>
        <w:tc>
          <w:tcPr>
            <w:tcW w:w="1755" w:type="dxa"/>
            <w:noWrap/>
            <w:hideMark/>
          </w:tcPr>
          <w:p w14:paraId="35A97043" w14:textId="77777777" w:rsidR="001C19A4" w:rsidRPr="006C1407" w:rsidRDefault="001C19A4" w:rsidP="005F27A6">
            <w:pPr>
              <w:spacing w:after="0"/>
              <w:rPr>
                <w:rFonts w:cs="Arial"/>
              </w:rPr>
            </w:pPr>
            <w:r w:rsidRPr="006C1407">
              <w:rPr>
                <w:rFonts w:cs="Arial"/>
              </w:rPr>
              <w:t>Sun Terrace Elementary</w:t>
            </w:r>
          </w:p>
        </w:tc>
        <w:tc>
          <w:tcPr>
            <w:tcW w:w="1114" w:type="dxa"/>
            <w:noWrap/>
            <w:hideMark/>
          </w:tcPr>
          <w:p w14:paraId="40449155" w14:textId="77777777" w:rsidR="001C19A4" w:rsidRPr="006C1407" w:rsidRDefault="001C19A4" w:rsidP="005F27A6">
            <w:pPr>
              <w:spacing w:after="0"/>
              <w:rPr>
                <w:rFonts w:cs="Arial"/>
              </w:rPr>
            </w:pPr>
            <w:r w:rsidRPr="006C1407">
              <w:rPr>
                <w:rFonts w:cs="Arial"/>
              </w:rPr>
              <w:t>High</w:t>
            </w:r>
          </w:p>
        </w:tc>
        <w:tc>
          <w:tcPr>
            <w:tcW w:w="1301" w:type="dxa"/>
            <w:noWrap/>
            <w:hideMark/>
          </w:tcPr>
          <w:p w14:paraId="21883F4D" w14:textId="77777777" w:rsidR="001C19A4" w:rsidRPr="006C1407" w:rsidRDefault="001C19A4" w:rsidP="005F27A6">
            <w:pPr>
              <w:spacing w:after="0"/>
              <w:rPr>
                <w:rFonts w:cs="Arial"/>
              </w:rPr>
            </w:pPr>
            <w:r w:rsidRPr="006C1407">
              <w:rPr>
                <w:rFonts w:cs="Arial"/>
              </w:rPr>
              <w:t>56.9%</w:t>
            </w:r>
          </w:p>
        </w:tc>
        <w:tc>
          <w:tcPr>
            <w:tcW w:w="1158" w:type="dxa"/>
            <w:noWrap/>
            <w:hideMark/>
          </w:tcPr>
          <w:p w14:paraId="02F12326" w14:textId="77777777" w:rsidR="001C19A4" w:rsidRPr="006C1407" w:rsidRDefault="001C19A4" w:rsidP="005F27A6">
            <w:pPr>
              <w:spacing w:after="0"/>
              <w:rPr>
                <w:rFonts w:cs="Arial"/>
              </w:rPr>
            </w:pPr>
            <w:r w:rsidRPr="006C1407">
              <w:rPr>
                <w:rFonts w:cs="Arial"/>
              </w:rPr>
              <w:t>Low</w:t>
            </w:r>
          </w:p>
        </w:tc>
        <w:tc>
          <w:tcPr>
            <w:tcW w:w="1533" w:type="dxa"/>
            <w:noWrap/>
            <w:hideMark/>
          </w:tcPr>
          <w:p w14:paraId="77DE28CA"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20CFD23C" w14:textId="77777777" w:rsidR="001C19A4" w:rsidRPr="006C1407" w:rsidRDefault="001C19A4" w:rsidP="005F27A6">
            <w:pPr>
              <w:spacing w:after="0"/>
              <w:rPr>
                <w:rFonts w:cs="Arial"/>
              </w:rPr>
            </w:pPr>
            <w:r w:rsidRPr="006C1407">
              <w:rPr>
                <w:rFonts w:cs="Arial"/>
              </w:rPr>
              <w:t>Orange</w:t>
            </w:r>
          </w:p>
        </w:tc>
        <w:tc>
          <w:tcPr>
            <w:tcW w:w="1162" w:type="dxa"/>
            <w:noWrap/>
            <w:hideMark/>
          </w:tcPr>
          <w:p w14:paraId="5FC11426" w14:textId="77777777" w:rsidR="001C19A4" w:rsidRPr="006C1407" w:rsidRDefault="001C19A4" w:rsidP="005F27A6">
            <w:pPr>
              <w:spacing w:after="0"/>
              <w:rPr>
                <w:rFonts w:cs="Arial"/>
              </w:rPr>
            </w:pPr>
            <w:r w:rsidRPr="006C1407">
              <w:rPr>
                <w:rFonts w:cs="Arial"/>
              </w:rPr>
              <w:t>Low</w:t>
            </w:r>
          </w:p>
        </w:tc>
        <w:tc>
          <w:tcPr>
            <w:tcW w:w="1539" w:type="dxa"/>
            <w:noWrap/>
            <w:hideMark/>
          </w:tcPr>
          <w:p w14:paraId="0D2ED32B" w14:textId="77777777" w:rsidR="001C19A4" w:rsidRPr="006C1407" w:rsidRDefault="001C19A4" w:rsidP="005F27A6">
            <w:pPr>
              <w:spacing w:after="0"/>
              <w:rPr>
                <w:rFonts w:cs="Arial"/>
              </w:rPr>
            </w:pPr>
            <w:r w:rsidRPr="006C1407">
              <w:rPr>
                <w:rFonts w:cs="Arial"/>
              </w:rPr>
              <w:t>Increased</w:t>
            </w:r>
          </w:p>
        </w:tc>
        <w:tc>
          <w:tcPr>
            <w:tcW w:w="1789" w:type="dxa"/>
            <w:shd w:val="clear" w:color="auto" w:fill="FFF2CC" w:themeFill="accent4" w:themeFillTint="33"/>
            <w:noWrap/>
            <w:hideMark/>
          </w:tcPr>
          <w:p w14:paraId="5867D889" w14:textId="77777777" w:rsidR="001C19A4" w:rsidRPr="006C1407" w:rsidRDefault="001C19A4" w:rsidP="005F27A6">
            <w:pPr>
              <w:spacing w:after="0"/>
              <w:rPr>
                <w:rFonts w:cs="Arial"/>
              </w:rPr>
            </w:pPr>
            <w:r w:rsidRPr="006C1407">
              <w:rPr>
                <w:rFonts w:cs="Arial"/>
              </w:rPr>
              <w:t>Yellow</w:t>
            </w:r>
          </w:p>
        </w:tc>
      </w:tr>
      <w:tr w:rsidR="001C19A4" w:rsidRPr="006C1407" w14:paraId="1B8EB001" w14:textId="77777777" w:rsidTr="005F27A6">
        <w:trPr>
          <w:trHeight w:val="288"/>
        </w:trPr>
        <w:tc>
          <w:tcPr>
            <w:tcW w:w="1755" w:type="dxa"/>
            <w:noWrap/>
            <w:hideMark/>
          </w:tcPr>
          <w:p w14:paraId="2651EB5B" w14:textId="77777777" w:rsidR="001C19A4" w:rsidRPr="006C1407" w:rsidRDefault="001C19A4" w:rsidP="005F27A6">
            <w:pPr>
              <w:spacing w:after="0"/>
              <w:rPr>
                <w:rFonts w:cs="Arial"/>
              </w:rPr>
            </w:pPr>
            <w:r w:rsidRPr="006C1407">
              <w:rPr>
                <w:rFonts w:cs="Arial"/>
              </w:rPr>
              <w:t>Valhalla Elementary</w:t>
            </w:r>
          </w:p>
        </w:tc>
        <w:tc>
          <w:tcPr>
            <w:tcW w:w="1114" w:type="dxa"/>
            <w:noWrap/>
            <w:hideMark/>
          </w:tcPr>
          <w:p w14:paraId="2FBEC1C0" w14:textId="77777777" w:rsidR="001C19A4" w:rsidRPr="006C1407" w:rsidRDefault="001C19A4" w:rsidP="005F27A6">
            <w:pPr>
              <w:spacing w:after="0"/>
              <w:rPr>
                <w:rFonts w:cs="Arial"/>
              </w:rPr>
            </w:pPr>
            <w:r w:rsidRPr="006C1407">
              <w:rPr>
                <w:rFonts w:cs="Arial"/>
              </w:rPr>
              <w:t>Medium</w:t>
            </w:r>
          </w:p>
        </w:tc>
        <w:tc>
          <w:tcPr>
            <w:tcW w:w="1301" w:type="dxa"/>
            <w:noWrap/>
            <w:hideMark/>
          </w:tcPr>
          <w:p w14:paraId="441BA55D" w14:textId="77777777" w:rsidR="001C19A4" w:rsidRPr="006C1407" w:rsidRDefault="001C19A4" w:rsidP="005F27A6">
            <w:pPr>
              <w:spacing w:after="0"/>
              <w:rPr>
                <w:rFonts w:cs="Arial"/>
              </w:rPr>
            </w:pPr>
            <w:r w:rsidRPr="006C1407">
              <w:rPr>
                <w:rFonts w:cs="Arial"/>
              </w:rPr>
              <w:t>54.1%</w:t>
            </w:r>
          </w:p>
        </w:tc>
        <w:tc>
          <w:tcPr>
            <w:tcW w:w="1158" w:type="dxa"/>
            <w:noWrap/>
            <w:hideMark/>
          </w:tcPr>
          <w:p w14:paraId="73A3A69E" w14:textId="77777777" w:rsidR="001C19A4" w:rsidRPr="006C1407" w:rsidRDefault="001C19A4" w:rsidP="005F27A6">
            <w:pPr>
              <w:spacing w:after="0"/>
              <w:rPr>
                <w:rFonts w:cs="Arial"/>
              </w:rPr>
            </w:pPr>
            <w:r w:rsidRPr="006C1407">
              <w:rPr>
                <w:rFonts w:cs="Arial"/>
              </w:rPr>
              <w:t>High</w:t>
            </w:r>
          </w:p>
        </w:tc>
        <w:tc>
          <w:tcPr>
            <w:tcW w:w="1533" w:type="dxa"/>
            <w:noWrap/>
            <w:hideMark/>
          </w:tcPr>
          <w:p w14:paraId="683BE053" w14:textId="77777777" w:rsidR="001C19A4" w:rsidRPr="006C1407" w:rsidRDefault="001C19A4" w:rsidP="005F27A6">
            <w:pPr>
              <w:spacing w:after="0"/>
              <w:rPr>
                <w:rFonts w:cs="Arial"/>
              </w:rPr>
            </w:pPr>
            <w:r w:rsidRPr="006C1407">
              <w:rPr>
                <w:rFonts w:cs="Arial"/>
              </w:rPr>
              <w:t>Maintained</w:t>
            </w:r>
          </w:p>
        </w:tc>
        <w:tc>
          <w:tcPr>
            <w:tcW w:w="1698" w:type="dxa"/>
            <w:shd w:val="clear" w:color="auto" w:fill="C5E0B3" w:themeFill="accent6" w:themeFillTint="66"/>
            <w:noWrap/>
            <w:hideMark/>
          </w:tcPr>
          <w:p w14:paraId="5C19C3C4" w14:textId="77777777" w:rsidR="001C19A4" w:rsidRPr="006C1407" w:rsidRDefault="001C19A4" w:rsidP="005F27A6">
            <w:pPr>
              <w:spacing w:after="0"/>
              <w:rPr>
                <w:rFonts w:cs="Arial"/>
              </w:rPr>
            </w:pPr>
            <w:r w:rsidRPr="006C1407">
              <w:rPr>
                <w:rFonts w:cs="Arial"/>
              </w:rPr>
              <w:t>Green</w:t>
            </w:r>
          </w:p>
        </w:tc>
        <w:tc>
          <w:tcPr>
            <w:tcW w:w="1162" w:type="dxa"/>
            <w:noWrap/>
            <w:hideMark/>
          </w:tcPr>
          <w:p w14:paraId="63781A75" w14:textId="77777777" w:rsidR="001C19A4" w:rsidRPr="006C1407" w:rsidRDefault="001C19A4" w:rsidP="005F27A6">
            <w:pPr>
              <w:spacing w:after="0"/>
              <w:rPr>
                <w:rFonts w:cs="Arial"/>
              </w:rPr>
            </w:pPr>
            <w:r w:rsidRPr="006C1407">
              <w:rPr>
                <w:rFonts w:cs="Arial"/>
              </w:rPr>
              <w:t>Very High</w:t>
            </w:r>
          </w:p>
        </w:tc>
        <w:tc>
          <w:tcPr>
            <w:tcW w:w="1539" w:type="dxa"/>
            <w:noWrap/>
            <w:hideMark/>
          </w:tcPr>
          <w:p w14:paraId="119BD5B2" w14:textId="77777777" w:rsidR="001C19A4" w:rsidRPr="006C1407" w:rsidRDefault="001C19A4" w:rsidP="005F27A6">
            <w:pPr>
              <w:spacing w:after="0"/>
              <w:rPr>
                <w:rFonts w:cs="Arial"/>
              </w:rPr>
            </w:pPr>
            <w:r w:rsidRPr="006C1407">
              <w:rPr>
                <w:rFonts w:cs="Arial"/>
              </w:rPr>
              <w:t>Increased</w:t>
            </w:r>
          </w:p>
        </w:tc>
        <w:tc>
          <w:tcPr>
            <w:tcW w:w="1789" w:type="dxa"/>
            <w:shd w:val="clear" w:color="auto" w:fill="D9E2F3" w:themeFill="accent1" w:themeFillTint="33"/>
            <w:noWrap/>
            <w:hideMark/>
          </w:tcPr>
          <w:p w14:paraId="2261C351" w14:textId="77777777" w:rsidR="001C19A4" w:rsidRPr="006C1407" w:rsidRDefault="001C19A4" w:rsidP="005F27A6">
            <w:pPr>
              <w:spacing w:after="0"/>
              <w:rPr>
                <w:rFonts w:cs="Arial"/>
              </w:rPr>
            </w:pPr>
            <w:r w:rsidRPr="006C1407">
              <w:rPr>
                <w:rFonts w:cs="Arial"/>
              </w:rPr>
              <w:t>Blue</w:t>
            </w:r>
          </w:p>
        </w:tc>
      </w:tr>
      <w:tr w:rsidR="001C19A4" w:rsidRPr="006C1407" w14:paraId="484CEFF5" w14:textId="77777777" w:rsidTr="005F27A6">
        <w:trPr>
          <w:trHeight w:val="288"/>
        </w:trPr>
        <w:tc>
          <w:tcPr>
            <w:tcW w:w="1755" w:type="dxa"/>
            <w:noWrap/>
            <w:hideMark/>
          </w:tcPr>
          <w:p w14:paraId="4C02C4F8" w14:textId="77777777" w:rsidR="001C19A4" w:rsidRPr="006C1407" w:rsidRDefault="001C19A4" w:rsidP="005F27A6">
            <w:pPr>
              <w:spacing w:after="0"/>
              <w:rPr>
                <w:rFonts w:cs="Arial"/>
              </w:rPr>
            </w:pPr>
            <w:r w:rsidRPr="006C1407">
              <w:rPr>
                <w:rFonts w:cs="Arial"/>
              </w:rPr>
              <w:t>Valle Verde Elementary</w:t>
            </w:r>
          </w:p>
        </w:tc>
        <w:tc>
          <w:tcPr>
            <w:tcW w:w="1114" w:type="dxa"/>
            <w:noWrap/>
            <w:hideMark/>
          </w:tcPr>
          <w:p w14:paraId="214B3730" w14:textId="77777777" w:rsidR="001C19A4" w:rsidRPr="006C1407" w:rsidRDefault="001C19A4" w:rsidP="005F27A6">
            <w:pPr>
              <w:spacing w:after="0"/>
              <w:rPr>
                <w:rFonts w:cs="Arial"/>
              </w:rPr>
            </w:pPr>
            <w:r w:rsidRPr="006C1407">
              <w:rPr>
                <w:rFonts w:cs="Arial"/>
              </w:rPr>
              <w:t>Very High</w:t>
            </w:r>
          </w:p>
        </w:tc>
        <w:tc>
          <w:tcPr>
            <w:tcW w:w="1301" w:type="dxa"/>
            <w:noWrap/>
            <w:hideMark/>
          </w:tcPr>
          <w:p w14:paraId="5D90DECA" w14:textId="77777777" w:rsidR="001C19A4" w:rsidRPr="006C1407" w:rsidRDefault="001C19A4" w:rsidP="005F27A6">
            <w:pPr>
              <w:spacing w:after="0"/>
              <w:rPr>
                <w:rFonts w:cs="Arial"/>
              </w:rPr>
            </w:pPr>
            <w:r w:rsidRPr="006C1407">
              <w:rPr>
                <w:rFonts w:cs="Arial"/>
              </w:rPr>
              <w:t>76.9%</w:t>
            </w:r>
          </w:p>
        </w:tc>
        <w:tc>
          <w:tcPr>
            <w:tcW w:w="1158" w:type="dxa"/>
            <w:noWrap/>
            <w:hideMark/>
          </w:tcPr>
          <w:p w14:paraId="19BFC79F" w14:textId="77777777" w:rsidR="001C19A4" w:rsidRPr="006C1407" w:rsidRDefault="001C19A4" w:rsidP="005F27A6">
            <w:pPr>
              <w:spacing w:after="0"/>
              <w:rPr>
                <w:rFonts w:cs="Arial"/>
              </w:rPr>
            </w:pPr>
            <w:r w:rsidRPr="006C1407">
              <w:rPr>
                <w:rFonts w:cs="Arial"/>
              </w:rPr>
              <w:t>High</w:t>
            </w:r>
          </w:p>
        </w:tc>
        <w:tc>
          <w:tcPr>
            <w:tcW w:w="1533" w:type="dxa"/>
            <w:noWrap/>
            <w:hideMark/>
          </w:tcPr>
          <w:p w14:paraId="6D59E93D" w14:textId="77777777" w:rsidR="001C19A4" w:rsidRPr="006C1407" w:rsidRDefault="001C19A4" w:rsidP="005F27A6">
            <w:pPr>
              <w:spacing w:after="0"/>
              <w:rPr>
                <w:rFonts w:cs="Arial"/>
              </w:rPr>
            </w:pPr>
            <w:r w:rsidRPr="006C1407">
              <w:rPr>
                <w:rFonts w:cs="Arial"/>
              </w:rPr>
              <w:t>Maintained</w:t>
            </w:r>
          </w:p>
        </w:tc>
        <w:tc>
          <w:tcPr>
            <w:tcW w:w="1698" w:type="dxa"/>
            <w:shd w:val="clear" w:color="auto" w:fill="C5E0B3" w:themeFill="accent6" w:themeFillTint="66"/>
            <w:noWrap/>
            <w:hideMark/>
          </w:tcPr>
          <w:p w14:paraId="2D55B821" w14:textId="77777777" w:rsidR="001C19A4" w:rsidRPr="006C1407" w:rsidRDefault="001C19A4" w:rsidP="005F27A6">
            <w:pPr>
              <w:spacing w:after="0"/>
              <w:rPr>
                <w:rFonts w:cs="Arial"/>
              </w:rPr>
            </w:pPr>
            <w:r w:rsidRPr="006C1407">
              <w:rPr>
                <w:rFonts w:cs="Arial"/>
              </w:rPr>
              <w:t>Green</w:t>
            </w:r>
          </w:p>
        </w:tc>
        <w:tc>
          <w:tcPr>
            <w:tcW w:w="1162" w:type="dxa"/>
            <w:noWrap/>
            <w:hideMark/>
          </w:tcPr>
          <w:p w14:paraId="4C85A447" w14:textId="77777777" w:rsidR="001C19A4" w:rsidRPr="006C1407" w:rsidRDefault="001C19A4" w:rsidP="005F27A6">
            <w:pPr>
              <w:spacing w:after="0"/>
              <w:rPr>
                <w:rFonts w:cs="Arial"/>
              </w:rPr>
            </w:pPr>
            <w:r w:rsidRPr="006C1407">
              <w:rPr>
                <w:rFonts w:cs="Arial"/>
              </w:rPr>
              <w:t>High</w:t>
            </w:r>
          </w:p>
        </w:tc>
        <w:tc>
          <w:tcPr>
            <w:tcW w:w="1539" w:type="dxa"/>
            <w:noWrap/>
            <w:hideMark/>
          </w:tcPr>
          <w:p w14:paraId="3DFC0CE9" w14:textId="77777777" w:rsidR="001C19A4" w:rsidRPr="006C1407" w:rsidRDefault="001C19A4" w:rsidP="005F27A6">
            <w:pPr>
              <w:spacing w:after="0"/>
              <w:rPr>
                <w:rFonts w:cs="Arial"/>
              </w:rPr>
            </w:pPr>
            <w:r w:rsidRPr="006C1407">
              <w:rPr>
                <w:rFonts w:cs="Arial"/>
              </w:rPr>
              <w:t>Increased</w:t>
            </w:r>
          </w:p>
        </w:tc>
        <w:tc>
          <w:tcPr>
            <w:tcW w:w="1789" w:type="dxa"/>
            <w:shd w:val="clear" w:color="auto" w:fill="C5E0B3" w:themeFill="accent6" w:themeFillTint="66"/>
            <w:noWrap/>
            <w:hideMark/>
          </w:tcPr>
          <w:p w14:paraId="09882DAD" w14:textId="77777777" w:rsidR="001C19A4" w:rsidRPr="006C1407" w:rsidRDefault="001C19A4" w:rsidP="005F27A6">
            <w:pPr>
              <w:spacing w:after="0"/>
              <w:rPr>
                <w:rFonts w:cs="Arial"/>
              </w:rPr>
            </w:pPr>
            <w:r w:rsidRPr="006C1407">
              <w:rPr>
                <w:rFonts w:cs="Arial"/>
              </w:rPr>
              <w:t>Green</w:t>
            </w:r>
          </w:p>
        </w:tc>
      </w:tr>
      <w:tr w:rsidR="001C19A4" w:rsidRPr="006C1407" w14:paraId="1426B4EB" w14:textId="77777777" w:rsidTr="005F27A6">
        <w:trPr>
          <w:trHeight w:val="288"/>
        </w:trPr>
        <w:tc>
          <w:tcPr>
            <w:tcW w:w="1755" w:type="dxa"/>
            <w:noWrap/>
            <w:hideMark/>
          </w:tcPr>
          <w:p w14:paraId="4A9E66FD" w14:textId="77777777" w:rsidR="001C19A4" w:rsidRPr="006C1407" w:rsidRDefault="001C19A4" w:rsidP="005F27A6">
            <w:pPr>
              <w:spacing w:after="0"/>
              <w:rPr>
                <w:rFonts w:cs="Arial"/>
              </w:rPr>
            </w:pPr>
            <w:r w:rsidRPr="006C1407">
              <w:rPr>
                <w:rFonts w:cs="Arial"/>
              </w:rPr>
              <w:t>Walnut Acres Elementary</w:t>
            </w:r>
          </w:p>
        </w:tc>
        <w:tc>
          <w:tcPr>
            <w:tcW w:w="1114" w:type="dxa"/>
            <w:noWrap/>
            <w:hideMark/>
          </w:tcPr>
          <w:p w14:paraId="39E1E1B6" w14:textId="77777777" w:rsidR="001C19A4" w:rsidRPr="006C1407" w:rsidRDefault="001C19A4" w:rsidP="005F27A6">
            <w:pPr>
              <w:spacing w:after="0"/>
              <w:rPr>
                <w:rFonts w:cs="Arial"/>
              </w:rPr>
            </w:pPr>
            <w:r w:rsidRPr="006C1407">
              <w:rPr>
                <w:rFonts w:cs="Arial"/>
              </w:rPr>
              <w:t>Medium</w:t>
            </w:r>
          </w:p>
        </w:tc>
        <w:tc>
          <w:tcPr>
            <w:tcW w:w="1301" w:type="dxa"/>
            <w:noWrap/>
            <w:hideMark/>
          </w:tcPr>
          <w:p w14:paraId="299CC8E1" w14:textId="77777777" w:rsidR="001C19A4" w:rsidRPr="006C1407" w:rsidRDefault="001C19A4" w:rsidP="005F27A6">
            <w:pPr>
              <w:spacing w:after="0"/>
              <w:rPr>
                <w:rFonts w:cs="Arial"/>
              </w:rPr>
            </w:pPr>
            <w:r w:rsidRPr="006C1407">
              <w:rPr>
                <w:rFonts w:cs="Arial"/>
              </w:rPr>
              <w:t>46.2%</w:t>
            </w:r>
          </w:p>
        </w:tc>
        <w:tc>
          <w:tcPr>
            <w:tcW w:w="1158" w:type="dxa"/>
            <w:noWrap/>
            <w:hideMark/>
          </w:tcPr>
          <w:p w14:paraId="7ED31755" w14:textId="77777777" w:rsidR="001C19A4" w:rsidRPr="006C1407" w:rsidRDefault="001C19A4" w:rsidP="005F27A6">
            <w:pPr>
              <w:spacing w:after="0"/>
              <w:rPr>
                <w:rFonts w:cs="Arial"/>
              </w:rPr>
            </w:pPr>
            <w:r w:rsidRPr="006C1407">
              <w:rPr>
                <w:rFonts w:cs="Arial"/>
              </w:rPr>
              <w:t>Very High</w:t>
            </w:r>
          </w:p>
        </w:tc>
        <w:tc>
          <w:tcPr>
            <w:tcW w:w="1533" w:type="dxa"/>
            <w:noWrap/>
            <w:hideMark/>
          </w:tcPr>
          <w:p w14:paraId="03330F8B" w14:textId="77777777" w:rsidR="001C19A4" w:rsidRPr="006C1407" w:rsidRDefault="001C19A4" w:rsidP="005F27A6">
            <w:pPr>
              <w:spacing w:after="0"/>
              <w:rPr>
                <w:rFonts w:cs="Arial"/>
              </w:rPr>
            </w:pPr>
            <w:r w:rsidRPr="006C1407">
              <w:rPr>
                <w:rFonts w:cs="Arial"/>
              </w:rPr>
              <w:t>Maintained</w:t>
            </w:r>
          </w:p>
        </w:tc>
        <w:tc>
          <w:tcPr>
            <w:tcW w:w="1698" w:type="dxa"/>
            <w:shd w:val="clear" w:color="auto" w:fill="D9E2F3" w:themeFill="accent1" w:themeFillTint="33"/>
            <w:noWrap/>
            <w:hideMark/>
          </w:tcPr>
          <w:p w14:paraId="58E7FE1E" w14:textId="77777777" w:rsidR="001C19A4" w:rsidRPr="006C1407" w:rsidRDefault="001C19A4" w:rsidP="005F27A6">
            <w:pPr>
              <w:spacing w:after="0"/>
              <w:rPr>
                <w:rFonts w:cs="Arial"/>
              </w:rPr>
            </w:pPr>
            <w:r w:rsidRPr="006C1407">
              <w:rPr>
                <w:rFonts w:cs="Arial"/>
              </w:rPr>
              <w:t>Blue</w:t>
            </w:r>
          </w:p>
        </w:tc>
        <w:tc>
          <w:tcPr>
            <w:tcW w:w="1162" w:type="dxa"/>
            <w:noWrap/>
            <w:hideMark/>
          </w:tcPr>
          <w:p w14:paraId="570CAEB3" w14:textId="77777777" w:rsidR="001C19A4" w:rsidRPr="006C1407" w:rsidRDefault="001C19A4" w:rsidP="005F27A6">
            <w:pPr>
              <w:spacing w:after="0"/>
              <w:rPr>
                <w:rFonts w:cs="Arial"/>
              </w:rPr>
            </w:pPr>
            <w:r w:rsidRPr="006C1407">
              <w:rPr>
                <w:rFonts w:cs="Arial"/>
              </w:rPr>
              <w:t>High</w:t>
            </w:r>
          </w:p>
        </w:tc>
        <w:tc>
          <w:tcPr>
            <w:tcW w:w="1539" w:type="dxa"/>
            <w:noWrap/>
            <w:hideMark/>
          </w:tcPr>
          <w:p w14:paraId="1C96E5CB" w14:textId="77777777" w:rsidR="001C19A4" w:rsidRPr="006C1407" w:rsidRDefault="001C19A4" w:rsidP="005F27A6">
            <w:pPr>
              <w:spacing w:after="0"/>
              <w:rPr>
                <w:rFonts w:cs="Arial"/>
              </w:rPr>
            </w:pPr>
            <w:r w:rsidRPr="006C1407">
              <w:rPr>
                <w:rFonts w:cs="Arial"/>
              </w:rPr>
              <w:t>Decreased</w:t>
            </w:r>
          </w:p>
        </w:tc>
        <w:tc>
          <w:tcPr>
            <w:tcW w:w="1789" w:type="dxa"/>
            <w:shd w:val="clear" w:color="auto" w:fill="C5E0B3" w:themeFill="accent6" w:themeFillTint="66"/>
            <w:noWrap/>
            <w:hideMark/>
          </w:tcPr>
          <w:p w14:paraId="63FA4B46" w14:textId="77777777" w:rsidR="001C19A4" w:rsidRPr="006C1407" w:rsidRDefault="001C19A4" w:rsidP="005F27A6">
            <w:pPr>
              <w:spacing w:after="0"/>
              <w:rPr>
                <w:rFonts w:cs="Arial"/>
              </w:rPr>
            </w:pPr>
            <w:r w:rsidRPr="006C1407">
              <w:rPr>
                <w:rFonts w:cs="Arial"/>
              </w:rPr>
              <w:t>Green</w:t>
            </w:r>
          </w:p>
        </w:tc>
      </w:tr>
      <w:tr w:rsidR="001C19A4" w:rsidRPr="006C1407" w14:paraId="6E1B9FA6" w14:textId="77777777" w:rsidTr="005F27A6">
        <w:trPr>
          <w:trHeight w:val="288"/>
        </w:trPr>
        <w:tc>
          <w:tcPr>
            <w:tcW w:w="1755" w:type="dxa"/>
            <w:noWrap/>
            <w:hideMark/>
          </w:tcPr>
          <w:p w14:paraId="2BF751D8" w14:textId="77777777" w:rsidR="001C19A4" w:rsidRPr="006C1407" w:rsidRDefault="001C19A4" w:rsidP="005F27A6">
            <w:pPr>
              <w:spacing w:after="0"/>
              <w:rPr>
                <w:rFonts w:cs="Arial"/>
              </w:rPr>
            </w:pPr>
            <w:r w:rsidRPr="006C1407">
              <w:rPr>
                <w:rFonts w:cs="Arial"/>
              </w:rPr>
              <w:lastRenderedPageBreak/>
              <w:t>Westwood Elementary</w:t>
            </w:r>
          </w:p>
        </w:tc>
        <w:tc>
          <w:tcPr>
            <w:tcW w:w="1114" w:type="dxa"/>
            <w:noWrap/>
            <w:hideMark/>
          </w:tcPr>
          <w:p w14:paraId="4A0BA755" w14:textId="77777777" w:rsidR="001C19A4" w:rsidRPr="006C1407" w:rsidRDefault="001C19A4" w:rsidP="005F27A6">
            <w:pPr>
              <w:spacing w:after="0"/>
              <w:rPr>
                <w:rFonts w:cs="Arial"/>
              </w:rPr>
            </w:pPr>
            <w:r w:rsidRPr="006C1407">
              <w:rPr>
                <w:rFonts w:cs="Arial"/>
              </w:rPr>
              <w:t>High</w:t>
            </w:r>
          </w:p>
        </w:tc>
        <w:tc>
          <w:tcPr>
            <w:tcW w:w="1301" w:type="dxa"/>
            <w:noWrap/>
            <w:hideMark/>
          </w:tcPr>
          <w:p w14:paraId="3C1F35E1" w14:textId="77777777" w:rsidR="001C19A4" w:rsidRPr="006C1407" w:rsidRDefault="001C19A4" w:rsidP="005F27A6">
            <w:pPr>
              <w:spacing w:after="0"/>
              <w:rPr>
                <w:rFonts w:cs="Arial"/>
              </w:rPr>
            </w:pPr>
            <w:r w:rsidRPr="006C1407">
              <w:rPr>
                <w:rFonts w:cs="Arial"/>
              </w:rPr>
              <w:t>55.1%</w:t>
            </w:r>
          </w:p>
        </w:tc>
        <w:tc>
          <w:tcPr>
            <w:tcW w:w="1158" w:type="dxa"/>
            <w:noWrap/>
            <w:hideMark/>
          </w:tcPr>
          <w:p w14:paraId="1462D5F4" w14:textId="77777777" w:rsidR="001C19A4" w:rsidRPr="006C1407" w:rsidRDefault="001C19A4" w:rsidP="005F27A6">
            <w:pPr>
              <w:spacing w:after="0"/>
              <w:rPr>
                <w:rFonts w:cs="Arial"/>
              </w:rPr>
            </w:pPr>
            <w:r w:rsidRPr="006C1407">
              <w:rPr>
                <w:rFonts w:cs="Arial"/>
              </w:rPr>
              <w:t>Low</w:t>
            </w:r>
          </w:p>
        </w:tc>
        <w:tc>
          <w:tcPr>
            <w:tcW w:w="1533" w:type="dxa"/>
            <w:noWrap/>
            <w:hideMark/>
          </w:tcPr>
          <w:p w14:paraId="2EB6A39F" w14:textId="77777777" w:rsidR="001C19A4" w:rsidRPr="006C1407" w:rsidRDefault="001C19A4" w:rsidP="005F27A6">
            <w:pPr>
              <w:spacing w:after="0"/>
              <w:rPr>
                <w:rFonts w:cs="Arial"/>
              </w:rPr>
            </w:pPr>
            <w:r w:rsidRPr="006C1407">
              <w:rPr>
                <w:rFonts w:cs="Arial"/>
              </w:rPr>
              <w:t>Decreased</w:t>
            </w:r>
          </w:p>
        </w:tc>
        <w:tc>
          <w:tcPr>
            <w:tcW w:w="1698" w:type="dxa"/>
            <w:shd w:val="clear" w:color="auto" w:fill="F7CAAC" w:themeFill="accent2" w:themeFillTint="66"/>
            <w:noWrap/>
            <w:hideMark/>
          </w:tcPr>
          <w:p w14:paraId="2FAFC428" w14:textId="77777777" w:rsidR="001C19A4" w:rsidRPr="006C1407" w:rsidRDefault="001C19A4" w:rsidP="005F27A6">
            <w:pPr>
              <w:spacing w:after="0"/>
              <w:rPr>
                <w:rFonts w:cs="Arial"/>
              </w:rPr>
            </w:pPr>
            <w:r w:rsidRPr="006C1407">
              <w:rPr>
                <w:rFonts w:cs="Arial"/>
              </w:rPr>
              <w:t>Orange</w:t>
            </w:r>
          </w:p>
        </w:tc>
        <w:tc>
          <w:tcPr>
            <w:tcW w:w="1162" w:type="dxa"/>
            <w:noWrap/>
            <w:hideMark/>
          </w:tcPr>
          <w:p w14:paraId="0505119F" w14:textId="77777777" w:rsidR="001C19A4" w:rsidRPr="006C1407" w:rsidRDefault="001C19A4" w:rsidP="005F27A6">
            <w:pPr>
              <w:spacing w:after="0"/>
              <w:rPr>
                <w:rFonts w:cs="Arial"/>
              </w:rPr>
            </w:pPr>
            <w:r w:rsidRPr="006C1407">
              <w:rPr>
                <w:rFonts w:cs="Arial"/>
              </w:rPr>
              <w:t>Low</w:t>
            </w:r>
          </w:p>
        </w:tc>
        <w:tc>
          <w:tcPr>
            <w:tcW w:w="1539" w:type="dxa"/>
            <w:noWrap/>
            <w:hideMark/>
          </w:tcPr>
          <w:p w14:paraId="2E81A122" w14:textId="77777777" w:rsidR="001C19A4" w:rsidRPr="006C1407" w:rsidRDefault="001C19A4" w:rsidP="005F27A6">
            <w:pPr>
              <w:spacing w:after="0"/>
              <w:rPr>
                <w:rFonts w:cs="Arial"/>
              </w:rPr>
            </w:pPr>
            <w:r w:rsidRPr="006C1407">
              <w:rPr>
                <w:rFonts w:cs="Arial"/>
              </w:rPr>
              <w:t>Decreased</w:t>
            </w:r>
          </w:p>
        </w:tc>
        <w:tc>
          <w:tcPr>
            <w:tcW w:w="1789" w:type="dxa"/>
            <w:shd w:val="clear" w:color="auto" w:fill="F7CAAC" w:themeFill="accent2" w:themeFillTint="66"/>
            <w:noWrap/>
            <w:hideMark/>
          </w:tcPr>
          <w:p w14:paraId="3E0F5ACF" w14:textId="77777777" w:rsidR="001C19A4" w:rsidRPr="006C1407" w:rsidRDefault="001C19A4" w:rsidP="005F27A6">
            <w:pPr>
              <w:spacing w:after="0"/>
              <w:rPr>
                <w:rFonts w:cs="Arial"/>
              </w:rPr>
            </w:pPr>
            <w:r w:rsidRPr="006C1407">
              <w:rPr>
                <w:rFonts w:cs="Arial"/>
              </w:rPr>
              <w:t>Orange</w:t>
            </w:r>
          </w:p>
        </w:tc>
      </w:tr>
      <w:tr w:rsidR="001C19A4" w:rsidRPr="006C1407" w14:paraId="690AD7CD" w14:textId="77777777" w:rsidTr="005F27A6">
        <w:trPr>
          <w:trHeight w:val="288"/>
        </w:trPr>
        <w:tc>
          <w:tcPr>
            <w:tcW w:w="1755" w:type="dxa"/>
            <w:noWrap/>
            <w:hideMark/>
          </w:tcPr>
          <w:p w14:paraId="34C88516" w14:textId="77777777" w:rsidR="001C19A4" w:rsidRPr="006C1407" w:rsidRDefault="001C19A4" w:rsidP="005F27A6">
            <w:pPr>
              <w:spacing w:after="0"/>
              <w:rPr>
                <w:rFonts w:cs="Arial"/>
              </w:rPr>
            </w:pPr>
            <w:r w:rsidRPr="006C1407">
              <w:rPr>
                <w:rFonts w:cs="Arial"/>
              </w:rPr>
              <w:t>Woodside Elementary</w:t>
            </w:r>
          </w:p>
        </w:tc>
        <w:tc>
          <w:tcPr>
            <w:tcW w:w="1114" w:type="dxa"/>
            <w:noWrap/>
            <w:hideMark/>
          </w:tcPr>
          <w:p w14:paraId="0BA6787C" w14:textId="77777777" w:rsidR="001C19A4" w:rsidRPr="006C1407" w:rsidRDefault="001C19A4" w:rsidP="005F27A6">
            <w:pPr>
              <w:spacing w:after="0"/>
              <w:rPr>
                <w:rFonts w:cs="Arial"/>
              </w:rPr>
            </w:pPr>
            <w:r w:rsidRPr="006C1407">
              <w:rPr>
                <w:rFonts w:cs="Arial"/>
              </w:rPr>
              <w:t>Medium</w:t>
            </w:r>
          </w:p>
        </w:tc>
        <w:tc>
          <w:tcPr>
            <w:tcW w:w="1301" w:type="dxa"/>
            <w:noWrap/>
            <w:hideMark/>
          </w:tcPr>
          <w:p w14:paraId="0C68D836" w14:textId="77777777" w:rsidR="001C19A4" w:rsidRPr="006C1407" w:rsidRDefault="001C19A4" w:rsidP="005F27A6">
            <w:pPr>
              <w:spacing w:after="0"/>
              <w:rPr>
                <w:rFonts w:cs="Arial"/>
              </w:rPr>
            </w:pPr>
            <w:r w:rsidRPr="006C1407">
              <w:rPr>
                <w:rFonts w:cs="Arial"/>
              </w:rPr>
              <w:t>48.3%</w:t>
            </w:r>
          </w:p>
        </w:tc>
        <w:tc>
          <w:tcPr>
            <w:tcW w:w="1158" w:type="dxa"/>
            <w:noWrap/>
            <w:hideMark/>
          </w:tcPr>
          <w:p w14:paraId="2D3B34B5" w14:textId="77777777" w:rsidR="001C19A4" w:rsidRPr="006C1407" w:rsidRDefault="001C19A4" w:rsidP="005F27A6">
            <w:pPr>
              <w:spacing w:after="0"/>
              <w:rPr>
                <w:rFonts w:cs="Arial"/>
              </w:rPr>
            </w:pPr>
            <w:r w:rsidRPr="006C1407">
              <w:rPr>
                <w:rFonts w:cs="Arial"/>
              </w:rPr>
              <w:t>Medium</w:t>
            </w:r>
          </w:p>
        </w:tc>
        <w:tc>
          <w:tcPr>
            <w:tcW w:w="1533" w:type="dxa"/>
            <w:noWrap/>
            <w:hideMark/>
          </w:tcPr>
          <w:p w14:paraId="5361DA38" w14:textId="77777777" w:rsidR="001C19A4" w:rsidRPr="006C1407" w:rsidRDefault="001C19A4" w:rsidP="005F27A6">
            <w:pPr>
              <w:spacing w:after="0"/>
              <w:rPr>
                <w:rFonts w:cs="Arial"/>
              </w:rPr>
            </w:pPr>
            <w:r w:rsidRPr="006C1407">
              <w:rPr>
                <w:rFonts w:cs="Arial"/>
              </w:rPr>
              <w:t>Maintained</w:t>
            </w:r>
          </w:p>
        </w:tc>
        <w:tc>
          <w:tcPr>
            <w:tcW w:w="1698" w:type="dxa"/>
            <w:shd w:val="clear" w:color="auto" w:fill="FFF2CC" w:themeFill="accent4" w:themeFillTint="33"/>
            <w:noWrap/>
            <w:hideMark/>
          </w:tcPr>
          <w:p w14:paraId="6BFD87B5" w14:textId="77777777" w:rsidR="001C19A4" w:rsidRPr="006C1407" w:rsidRDefault="001C19A4" w:rsidP="005F27A6">
            <w:pPr>
              <w:spacing w:after="0"/>
              <w:rPr>
                <w:rFonts w:cs="Arial"/>
              </w:rPr>
            </w:pPr>
            <w:r w:rsidRPr="006C1407">
              <w:rPr>
                <w:rFonts w:cs="Arial"/>
              </w:rPr>
              <w:t>Yellow</w:t>
            </w:r>
          </w:p>
        </w:tc>
        <w:tc>
          <w:tcPr>
            <w:tcW w:w="1162" w:type="dxa"/>
            <w:noWrap/>
            <w:hideMark/>
          </w:tcPr>
          <w:p w14:paraId="784C2422" w14:textId="77777777" w:rsidR="001C19A4" w:rsidRPr="006C1407" w:rsidRDefault="001C19A4" w:rsidP="005F27A6">
            <w:pPr>
              <w:spacing w:after="0"/>
              <w:rPr>
                <w:rFonts w:cs="Arial"/>
              </w:rPr>
            </w:pPr>
            <w:r w:rsidRPr="006C1407">
              <w:rPr>
                <w:rFonts w:cs="Arial"/>
              </w:rPr>
              <w:t>Medium</w:t>
            </w:r>
          </w:p>
        </w:tc>
        <w:tc>
          <w:tcPr>
            <w:tcW w:w="1539" w:type="dxa"/>
            <w:noWrap/>
            <w:hideMark/>
          </w:tcPr>
          <w:p w14:paraId="1C133672" w14:textId="77777777" w:rsidR="001C19A4" w:rsidRPr="006C1407" w:rsidRDefault="001C19A4" w:rsidP="005F27A6">
            <w:pPr>
              <w:spacing w:after="0"/>
              <w:rPr>
                <w:rFonts w:cs="Arial"/>
              </w:rPr>
            </w:pPr>
            <w:r w:rsidRPr="006C1407">
              <w:rPr>
                <w:rFonts w:cs="Arial"/>
              </w:rPr>
              <w:t>Maintained</w:t>
            </w:r>
          </w:p>
        </w:tc>
        <w:tc>
          <w:tcPr>
            <w:tcW w:w="1789" w:type="dxa"/>
            <w:shd w:val="clear" w:color="auto" w:fill="FFF2CC" w:themeFill="accent4" w:themeFillTint="33"/>
            <w:noWrap/>
            <w:hideMark/>
          </w:tcPr>
          <w:p w14:paraId="281C8443" w14:textId="77777777" w:rsidR="001C19A4" w:rsidRPr="006C1407" w:rsidRDefault="001C19A4" w:rsidP="005F27A6">
            <w:pPr>
              <w:spacing w:after="0"/>
              <w:rPr>
                <w:rFonts w:cs="Arial"/>
              </w:rPr>
            </w:pPr>
            <w:r w:rsidRPr="006C1407">
              <w:rPr>
                <w:rFonts w:cs="Arial"/>
              </w:rPr>
              <w:t>Yellow</w:t>
            </w:r>
          </w:p>
        </w:tc>
      </w:tr>
      <w:tr w:rsidR="001C19A4" w:rsidRPr="006C1407" w14:paraId="3698E2AD" w14:textId="77777777" w:rsidTr="005F27A6">
        <w:trPr>
          <w:trHeight w:val="288"/>
        </w:trPr>
        <w:tc>
          <w:tcPr>
            <w:tcW w:w="1755" w:type="dxa"/>
            <w:noWrap/>
            <w:hideMark/>
          </w:tcPr>
          <w:p w14:paraId="6005CF07" w14:textId="77777777" w:rsidR="001C19A4" w:rsidRPr="006C1407" w:rsidRDefault="001C19A4" w:rsidP="005F27A6">
            <w:pPr>
              <w:spacing w:after="0"/>
              <w:rPr>
                <w:rFonts w:cs="Arial"/>
              </w:rPr>
            </w:pPr>
            <w:r w:rsidRPr="006C1407">
              <w:rPr>
                <w:rFonts w:cs="Arial"/>
              </w:rPr>
              <w:t>Wren Avenue Elementary</w:t>
            </w:r>
          </w:p>
        </w:tc>
        <w:tc>
          <w:tcPr>
            <w:tcW w:w="1114" w:type="dxa"/>
            <w:noWrap/>
            <w:hideMark/>
          </w:tcPr>
          <w:p w14:paraId="59E42D89" w14:textId="77777777" w:rsidR="001C19A4" w:rsidRPr="006C1407" w:rsidRDefault="001C19A4" w:rsidP="005F27A6">
            <w:pPr>
              <w:spacing w:after="0"/>
              <w:rPr>
                <w:rFonts w:cs="Arial"/>
              </w:rPr>
            </w:pPr>
            <w:r w:rsidRPr="006C1407">
              <w:rPr>
                <w:rFonts w:cs="Arial"/>
              </w:rPr>
              <w:t>High</w:t>
            </w:r>
          </w:p>
        </w:tc>
        <w:tc>
          <w:tcPr>
            <w:tcW w:w="1301" w:type="dxa"/>
            <w:noWrap/>
            <w:hideMark/>
          </w:tcPr>
          <w:p w14:paraId="21B3D37D" w14:textId="77777777" w:rsidR="001C19A4" w:rsidRPr="006C1407" w:rsidRDefault="001C19A4" w:rsidP="005F27A6">
            <w:pPr>
              <w:spacing w:after="0"/>
              <w:rPr>
                <w:rFonts w:cs="Arial"/>
              </w:rPr>
            </w:pPr>
            <w:r w:rsidRPr="006C1407">
              <w:rPr>
                <w:rFonts w:cs="Arial"/>
              </w:rPr>
              <w:t>56.3%</w:t>
            </w:r>
          </w:p>
        </w:tc>
        <w:tc>
          <w:tcPr>
            <w:tcW w:w="1158" w:type="dxa"/>
            <w:noWrap/>
            <w:hideMark/>
          </w:tcPr>
          <w:p w14:paraId="0AC51969" w14:textId="77777777" w:rsidR="001C19A4" w:rsidRPr="006C1407" w:rsidRDefault="001C19A4" w:rsidP="005F27A6">
            <w:pPr>
              <w:spacing w:after="0"/>
              <w:rPr>
                <w:rFonts w:cs="Arial"/>
              </w:rPr>
            </w:pPr>
            <w:r w:rsidRPr="006C1407">
              <w:rPr>
                <w:rFonts w:cs="Arial"/>
              </w:rPr>
              <w:t>Low</w:t>
            </w:r>
          </w:p>
        </w:tc>
        <w:tc>
          <w:tcPr>
            <w:tcW w:w="1533" w:type="dxa"/>
            <w:noWrap/>
            <w:hideMark/>
          </w:tcPr>
          <w:p w14:paraId="466C910F" w14:textId="77777777" w:rsidR="001C19A4" w:rsidRPr="006C1407" w:rsidRDefault="001C19A4" w:rsidP="005F27A6">
            <w:pPr>
              <w:spacing w:after="0"/>
              <w:rPr>
                <w:rFonts w:cs="Arial"/>
              </w:rPr>
            </w:pPr>
            <w:r w:rsidRPr="006C1407">
              <w:rPr>
                <w:rFonts w:cs="Arial"/>
              </w:rPr>
              <w:t>Increased</w:t>
            </w:r>
          </w:p>
        </w:tc>
        <w:tc>
          <w:tcPr>
            <w:tcW w:w="1698" w:type="dxa"/>
            <w:shd w:val="clear" w:color="auto" w:fill="FFF2CC" w:themeFill="accent4" w:themeFillTint="33"/>
            <w:noWrap/>
            <w:hideMark/>
          </w:tcPr>
          <w:p w14:paraId="4E05C3F7" w14:textId="77777777" w:rsidR="001C19A4" w:rsidRPr="006C1407" w:rsidRDefault="001C19A4" w:rsidP="005F27A6">
            <w:pPr>
              <w:spacing w:after="0"/>
              <w:rPr>
                <w:rFonts w:cs="Arial"/>
              </w:rPr>
            </w:pPr>
            <w:r w:rsidRPr="006C1407">
              <w:rPr>
                <w:rFonts w:cs="Arial"/>
              </w:rPr>
              <w:t>Yellow</w:t>
            </w:r>
          </w:p>
        </w:tc>
        <w:tc>
          <w:tcPr>
            <w:tcW w:w="1162" w:type="dxa"/>
            <w:noWrap/>
            <w:hideMark/>
          </w:tcPr>
          <w:p w14:paraId="4E3BBA90" w14:textId="77777777" w:rsidR="001C19A4" w:rsidRPr="006C1407" w:rsidRDefault="001C19A4" w:rsidP="005F27A6">
            <w:pPr>
              <w:spacing w:after="0"/>
              <w:rPr>
                <w:rFonts w:cs="Arial"/>
              </w:rPr>
            </w:pPr>
            <w:r w:rsidRPr="006C1407">
              <w:rPr>
                <w:rFonts w:cs="Arial"/>
              </w:rPr>
              <w:t>Low</w:t>
            </w:r>
          </w:p>
        </w:tc>
        <w:tc>
          <w:tcPr>
            <w:tcW w:w="1539" w:type="dxa"/>
            <w:noWrap/>
            <w:hideMark/>
          </w:tcPr>
          <w:p w14:paraId="64710C5D" w14:textId="77777777" w:rsidR="001C19A4" w:rsidRPr="006C1407" w:rsidRDefault="001C19A4" w:rsidP="005F27A6">
            <w:pPr>
              <w:spacing w:after="0"/>
              <w:rPr>
                <w:rFonts w:cs="Arial"/>
              </w:rPr>
            </w:pPr>
            <w:r w:rsidRPr="006C1407">
              <w:rPr>
                <w:rFonts w:cs="Arial"/>
              </w:rPr>
              <w:t>Maintained</w:t>
            </w:r>
          </w:p>
        </w:tc>
        <w:tc>
          <w:tcPr>
            <w:tcW w:w="1789" w:type="dxa"/>
            <w:shd w:val="clear" w:color="auto" w:fill="F7CAAC" w:themeFill="accent2" w:themeFillTint="66"/>
            <w:noWrap/>
            <w:hideMark/>
          </w:tcPr>
          <w:p w14:paraId="5FF434C2" w14:textId="77777777" w:rsidR="001C19A4" w:rsidRPr="006C1407" w:rsidRDefault="001C19A4" w:rsidP="005F27A6">
            <w:pPr>
              <w:spacing w:after="0"/>
              <w:rPr>
                <w:rFonts w:cs="Arial"/>
              </w:rPr>
            </w:pPr>
            <w:r w:rsidRPr="006C1407">
              <w:rPr>
                <w:rFonts w:cs="Arial"/>
              </w:rPr>
              <w:t>Orange</w:t>
            </w:r>
          </w:p>
        </w:tc>
      </w:tr>
      <w:tr w:rsidR="001C19A4" w:rsidRPr="006C1407" w14:paraId="6A49CD90" w14:textId="77777777" w:rsidTr="005F27A6">
        <w:trPr>
          <w:trHeight w:val="288"/>
        </w:trPr>
        <w:tc>
          <w:tcPr>
            <w:tcW w:w="1755" w:type="dxa"/>
            <w:noWrap/>
            <w:hideMark/>
          </w:tcPr>
          <w:p w14:paraId="223CC56A" w14:textId="77777777" w:rsidR="001C19A4" w:rsidRPr="006C1407" w:rsidRDefault="001C19A4" w:rsidP="005F27A6">
            <w:pPr>
              <w:spacing w:after="0"/>
              <w:rPr>
                <w:rFonts w:cs="Arial"/>
              </w:rPr>
            </w:pPr>
            <w:r w:rsidRPr="006C1407">
              <w:rPr>
                <w:rFonts w:cs="Arial"/>
              </w:rPr>
              <w:t>Ygnacio Valley Elementary</w:t>
            </w:r>
          </w:p>
        </w:tc>
        <w:tc>
          <w:tcPr>
            <w:tcW w:w="1114" w:type="dxa"/>
            <w:noWrap/>
            <w:hideMark/>
          </w:tcPr>
          <w:p w14:paraId="106E40B0" w14:textId="77777777" w:rsidR="001C19A4" w:rsidRPr="006C1407" w:rsidRDefault="001C19A4" w:rsidP="005F27A6">
            <w:pPr>
              <w:spacing w:after="0"/>
              <w:rPr>
                <w:rFonts w:cs="Arial"/>
              </w:rPr>
            </w:pPr>
            <w:r w:rsidRPr="006C1407">
              <w:rPr>
                <w:rFonts w:cs="Arial"/>
              </w:rPr>
              <w:t>High</w:t>
            </w:r>
          </w:p>
        </w:tc>
        <w:tc>
          <w:tcPr>
            <w:tcW w:w="1301" w:type="dxa"/>
            <w:noWrap/>
            <w:hideMark/>
          </w:tcPr>
          <w:p w14:paraId="70B456DB" w14:textId="77777777" w:rsidR="001C19A4" w:rsidRPr="006C1407" w:rsidRDefault="001C19A4" w:rsidP="005F27A6">
            <w:pPr>
              <w:spacing w:after="0"/>
              <w:rPr>
                <w:rFonts w:cs="Arial"/>
              </w:rPr>
            </w:pPr>
            <w:r w:rsidRPr="006C1407">
              <w:rPr>
                <w:rFonts w:cs="Arial"/>
              </w:rPr>
              <w:t>62</w:t>
            </w:r>
            <w:r>
              <w:rPr>
                <w:rFonts w:cs="Arial"/>
              </w:rPr>
              <w:t>.0</w:t>
            </w:r>
            <w:r w:rsidRPr="006C1407">
              <w:rPr>
                <w:rFonts w:cs="Arial"/>
              </w:rPr>
              <w:t>%</w:t>
            </w:r>
          </w:p>
        </w:tc>
        <w:tc>
          <w:tcPr>
            <w:tcW w:w="1158" w:type="dxa"/>
            <w:noWrap/>
            <w:hideMark/>
          </w:tcPr>
          <w:p w14:paraId="5175153B" w14:textId="77777777" w:rsidR="001C19A4" w:rsidRPr="006C1407" w:rsidRDefault="001C19A4" w:rsidP="005F27A6">
            <w:pPr>
              <w:spacing w:after="0"/>
              <w:rPr>
                <w:rFonts w:cs="Arial"/>
              </w:rPr>
            </w:pPr>
            <w:r w:rsidRPr="006C1407">
              <w:rPr>
                <w:rFonts w:cs="Arial"/>
              </w:rPr>
              <w:t>Low</w:t>
            </w:r>
          </w:p>
        </w:tc>
        <w:tc>
          <w:tcPr>
            <w:tcW w:w="1533" w:type="dxa"/>
            <w:noWrap/>
            <w:hideMark/>
          </w:tcPr>
          <w:p w14:paraId="13BC5413" w14:textId="77777777" w:rsidR="001C19A4" w:rsidRPr="006C1407" w:rsidRDefault="001C19A4" w:rsidP="005F27A6">
            <w:pPr>
              <w:spacing w:after="0"/>
              <w:rPr>
                <w:rFonts w:cs="Arial"/>
              </w:rPr>
            </w:pPr>
            <w:r w:rsidRPr="006C1407">
              <w:rPr>
                <w:rFonts w:cs="Arial"/>
              </w:rPr>
              <w:t>Maintained</w:t>
            </w:r>
          </w:p>
        </w:tc>
        <w:tc>
          <w:tcPr>
            <w:tcW w:w="1698" w:type="dxa"/>
            <w:shd w:val="clear" w:color="auto" w:fill="F7CAAC" w:themeFill="accent2" w:themeFillTint="66"/>
            <w:noWrap/>
            <w:hideMark/>
          </w:tcPr>
          <w:p w14:paraId="3AF21600" w14:textId="77777777" w:rsidR="001C19A4" w:rsidRPr="006C1407" w:rsidRDefault="001C19A4" w:rsidP="005F27A6">
            <w:pPr>
              <w:spacing w:after="0"/>
              <w:rPr>
                <w:rFonts w:cs="Arial"/>
              </w:rPr>
            </w:pPr>
            <w:r w:rsidRPr="006C1407">
              <w:rPr>
                <w:rFonts w:cs="Arial"/>
              </w:rPr>
              <w:t>Orange</w:t>
            </w:r>
          </w:p>
        </w:tc>
        <w:tc>
          <w:tcPr>
            <w:tcW w:w="1162" w:type="dxa"/>
            <w:noWrap/>
            <w:hideMark/>
          </w:tcPr>
          <w:p w14:paraId="7442C135" w14:textId="77777777" w:rsidR="001C19A4" w:rsidRPr="006C1407" w:rsidRDefault="001C19A4" w:rsidP="005F27A6">
            <w:pPr>
              <w:spacing w:after="0"/>
              <w:rPr>
                <w:rFonts w:cs="Arial"/>
              </w:rPr>
            </w:pPr>
            <w:r w:rsidRPr="006C1407">
              <w:rPr>
                <w:rFonts w:cs="Arial"/>
              </w:rPr>
              <w:t>Low</w:t>
            </w:r>
          </w:p>
        </w:tc>
        <w:tc>
          <w:tcPr>
            <w:tcW w:w="1539" w:type="dxa"/>
            <w:noWrap/>
            <w:hideMark/>
          </w:tcPr>
          <w:p w14:paraId="3FFB0BD6" w14:textId="77777777" w:rsidR="001C19A4" w:rsidRPr="006C1407" w:rsidRDefault="001C19A4" w:rsidP="005F27A6">
            <w:pPr>
              <w:spacing w:after="0"/>
              <w:rPr>
                <w:rFonts w:cs="Arial"/>
              </w:rPr>
            </w:pPr>
            <w:r w:rsidRPr="006C1407">
              <w:rPr>
                <w:rFonts w:cs="Arial"/>
              </w:rPr>
              <w:t>Decreased</w:t>
            </w:r>
          </w:p>
        </w:tc>
        <w:tc>
          <w:tcPr>
            <w:tcW w:w="1789" w:type="dxa"/>
            <w:shd w:val="clear" w:color="auto" w:fill="F7CAAC" w:themeFill="accent2" w:themeFillTint="66"/>
            <w:noWrap/>
            <w:hideMark/>
          </w:tcPr>
          <w:p w14:paraId="1D01D4B4" w14:textId="77777777" w:rsidR="001C19A4" w:rsidRPr="006C1407" w:rsidRDefault="001C19A4" w:rsidP="005F27A6">
            <w:pPr>
              <w:spacing w:after="0"/>
              <w:rPr>
                <w:rFonts w:cs="Arial"/>
              </w:rPr>
            </w:pPr>
            <w:r w:rsidRPr="006C1407">
              <w:rPr>
                <w:rFonts w:cs="Arial"/>
              </w:rPr>
              <w:t>Orange</w:t>
            </w:r>
          </w:p>
        </w:tc>
      </w:tr>
    </w:tbl>
    <w:p w14:paraId="2C5FF4CA" w14:textId="77777777" w:rsidR="001C19A4" w:rsidRPr="00450755" w:rsidRDefault="001C19A4" w:rsidP="005F27A6">
      <w:pPr>
        <w:spacing w:before="120"/>
        <w:rPr>
          <w:rStyle w:val="Emphasis"/>
        </w:rPr>
      </w:pPr>
      <w:r w:rsidRPr="00450755">
        <w:rPr>
          <w:rStyle w:val="Emphasis"/>
        </w:rPr>
        <w:t>Source: California School Dashboard (2019)</w:t>
      </w:r>
    </w:p>
    <w:p w14:paraId="783EBD4D" w14:textId="77777777" w:rsidR="001C19A4" w:rsidRPr="008A0D22" w:rsidRDefault="001C19A4" w:rsidP="008A0D22">
      <w:pPr>
        <w:pStyle w:val="Heading3"/>
        <w:numPr>
          <w:ilvl w:val="0"/>
          <w:numId w:val="0"/>
        </w:numPr>
        <w:rPr>
          <w:i/>
        </w:rPr>
      </w:pPr>
      <w:r w:rsidRPr="008A0D22">
        <w:rPr>
          <w:i/>
        </w:rPr>
        <w:t>Table A2: Middle School Placement in California Accountability Model</w:t>
      </w:r>
    </w:p>
    <w:tbl>
      <w:tblPr>
        <w:tblStyle w:val="TableGrid"/>
        <w:tblW w:w="130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Description w:val="Table A2 provides the 2019-20 school-level placement in the California  Accountability Model for three California School Dashboard indicators (English Learner Progress, English Language Arts, Mathematics) for all middle schools in the existing Mt. Diablo USD."/>
      </w:tblPr>
      <w:tblGrid>
        <w:gridCol w:w="1611"/>
        <w:gridCol w:w="1210"/>
        <w:gridCol w:w="1361"/>
        <w:gridCol w:w="1189"/>
        <w:gridCol w:w="1511"/>
        <w:gridCol w:w="1744"/>
        <w:gridCol w:w="1103"/>
        <w:gridCol w:w="1529"/>
        <w:gridCol w:w="1790"/>
      </w:tblGrid>
      <w:tr w:rsidR="001C19A4" w:rsidRPr="00D80F78" w14:paraId="6A0FC666" w14:textId="77777777" w:rsidTr="005F27A6">
        <w:trPr>
          <w:trHeight w:val="864"/>
          <w:tblHeader/>
        </w:trPr>
        <w:tc>
          <w:tcPr>
            <w:tcW w:w="1611" w:type="dxa"/>
            <w:shd w:val="clear" w:color="auto" w:fill="D9D9D9" w:themeFill="background1" w:themeFillShade="D9"/>
            <w:vAlign w:val="center"/>
            <w:hideMark/>
          </w:tcPr>
          <w:p w14:paraId="19F11D99" w14:textId="77777777" w:rsidR="001C19A4" w:rsidRPr="00D80F78" w:rsidRDefault="001C19A4" w:rsidP="005F27A6">
            <w:pPr>
              <w:spacing w:after="0"/>
              <w:jc w:val="center"/>
              <w:rPr>
                <w:rFonts w:cs="Arial"/>
                <w:b/>
                <w:bCs/>
              </w:rPr>
            </w:pPr>
            <w:r w:rsidRPr="00D80F78">
              <w:rPr>
                <w:rFonts w:cs="Arial"/>
                <w:b/>
                <w:bCs/>
              </w:rPr>
              <w:t>School Name</w:t>
            </w:r>
          </w:p>
        </w:tc>
        <w:tc>
          <w:tcPr>
            <w:tcW w:w="1210" w:type="dxa"/>
            <w:shd w:val="clear" w:color="auto" w:fill="D9D9D9" w:themeFill="background1" w:themeFillShade="D9"/>
            <w:vAlign w:val="center"/>
            <w:hideMark/>
          </w:tcPr>
          <w:p w14:paraId="52093C57" w14:textId="77777777" w:rsidR="001C19A4" w:rsidRPr="00D80F78" w:rsidRDefault="001C19A4" w:rsidP="005F27A6">
            <w:pPr>
              <w:spacing w:after="0"/>
              <w:jc w:val="center"/>
              <w:rPr>
                <w:rFonts w:cs="Arial"/>
                <w:b/>
                <w:bCs/>
              </w:rPr>
            </w:pPr>
            <w:r w:rsidRPr="00D80F78">
              <w:rPr>
                <w:rFonts w:cs="Arial"/>
                <w:b/>
                <w:bCs/>
              </w:rPr>
              <w:t>ELP Status</w:t>
            </w:r>
          </w:p>
        </w:tc>
        <w:tc>
          <w:tcPr>
            <w:tcW w:w="1361" w:type="dxa"/>
            <w:shd w:val="clear" w:color="auto" w:fill="D9D9D9" w:themeFill="background1" w:themeFillShade="D9"/>
            <w:vAlign w:val="center"/>
            <w:hideMark/>
          </w:tcPr>
          <w:p w14:paraId="475CB391" w14:textId="77777777" w:rsidR="001C19A4" w:rsidRPr="00D80F78" w:rsidRDefault="001C19A4" w:rsidP="005F27A6">
            <w:pPr>
              <w:spacing w:after="0"/>
              <w:jc w:val="center"/>
              <w:rPr>
                <w:rFonts w:cs="Arial"/>
                <w:b/>
                <w:bCs/>
              </w:rPr>
            </w:pPr>
            <w:r w:rsidRPr="00D80F78">
              <w:rPr>
                <w:rFonts w:cs="Arial"/>
                <w:b/>
                <w:bCs/>
              </w:rPr>
              <w:t xml:space="preserve">ELP </w:t>
            </w:r>
            <w:r>
              <w:rPr>
                <w:rFonts w:cs="Arial"/>
                <w:b/>
                <w:bCs/>
              </w:rPr>
              <w:t>Change</w:t>
            </w:r>
          </w:p>
        </w:tc>
        <w:tc>
          <w:tcPr>
            <w:tcW w:w="1189" w:type="dxa"/>
            <w:shd w:val="clear" w:color="auto" w:fill="D9D9D9" w:themeFill="background1" w:themeFillShade="D9"/>
            <w:vAlign w:val="center"/>
            <w:hideMark/>
          </w:tcPr>
          <w:p w14:paraId="4A6192F9" w14:textId="77777777" w:rsidR="001C19A4" w:rsidRPr="00D80F78" w:rsidRDefault="001C19A4" w:rsidP="005F27A6">
            <w:pPr>
              <w:spacing w:after="0"/>
              <w:jc w:val="center"/>
              <w:rPr>
                <w:rFonts w:cs="Arial"/>
                <w:b/>
                <w:bCs/>
              </w:rPr>
            </w:pPr>
            <w:r w:rsidRPr="00D80F78">
              <w:rPr>
                <w:rFonts w:cs="Arial"/>
                <w:b/>
                <w:bCs/>
              </w:rPr>
              <w:t>ELA Status</w:t>
            </w:r>
          </w:p>
        </w:tc>
        <w:tc>
          <w:tcPr>
            <w:tcW w:w="1511" w:type="dxa"/>
            <w:shd w:val="clear" w:color="auto" w:fill="D9D9D9" w:themeFill="background1" w:themeFillShade="D9"/>
            <w:vAlign w:val="center"/>
            <w:hideMark/>
          </w:tcPr>
          <w:p w14:paraId="1C50375F" w14:textId="77777777" w:rsidR="001C19A4" w:rsidRPr="00D80F78" w:rsidRDefault="001C19A4" w:rsidP="005F27A6">
            <w:pPr>
              <w:spacing w:after="0"/>
              <w:jc w:val="center"/>
              <w:rPr>
                <w:rFonts w:cs="Arial"/>
                <w:b/>
                <w:bCs/>
              </w:rPr>
            </w:pPr>
            <w:r w:rsidRPr="00D80F78">
              <w:rPr>
                <w:rFonts w:cs="Arial"/>
                <w:b/>
                <w:bCs/>
              </w:rPr>
              <w:t>ELA Change</w:t>
            </w:r>
          </w:p>
        </w:tc>
        <w:tc>
          <w:tcPr>
            <w:tcW w:w="1744" w:type="dxa"/>
            <w:shd w:val="clear" w:color="auto" w:fill="D9D9D9" w:themeFill="background1" w:themeFillShade="D9"/>
            <w:vAlign w:val="center"/>
            <w:hideMark/>
          </w:tcPr>
          <w:p w14:paraId="4C68F3FA" w14:textId="77777777" w:rsidR="001C19A4" w:rsidRPr="00D80F78" w:rsidRDefault="001C19A4" w:rsidP="005F27A6">
            <w:pPr>
              <w:spacing w:after="0"/>
              <w:jc w:val="center"/>
              <w:rPr>
                <w:rFonts w:cs="Arial"/>
                <w:b/>
                <w:bCs/>
              </w:rPr>
            </w:pPr>
            <w:r w:rsidRPr="00D80F78">
              <w:rPr>
                <w:rFonts w:cs="Arial"/>
                <w:b/>
                <w:bCs/>
              </w:rPr>
              <w:t>ELA Performance Level</w:t>
            </w:r>
          </w:p>
        </w:tc>
        <w:tc>
          <w:tcPr>
            <w:tcW w:w="1103" w:type="dxa"/>
            <w:shd w:val="clear" w:color="auto" w:fill="D9D9D9" w:themeFill="background1" w:themeFillShade="D9"/>
            <w:vAlign w:val="center"/>
            <w:hideMark/>
          </w:tcPr>
          <w:p w14:paraId="7164AE0F" w14:textId="77777777" w:rsidR="001C19A4" w:rsidRPr="00D80F78" w:rsidRDefault="001C19A4" w:rsidP="005F27A6">
            <w:pPr>
              <w:spacing w:after="0"/>
              <w:jc w:val="center"/>
              <w:rPr>
                <w:rFonts w:cs="Arial"/>
                <w:b/>
                <w:bCs/>
              </w:rPr>
            </w:pPr>
            <w:r w:rsidRPr="00D80F78">
              <w:rPr>
                <w:rFonts w:cs="Arial"/>
                <w:b/>
                <w:bCs/>
              </w:rPr>
              <w:t>Math Status</w:t>
            </w:r>
          </w:p>
        </w:tc>
        <w:tc>
          <w:tcPr>
            <w:tcW w:w="1529" w:type="dxa"/>
            <w:shd w:val="clear" w:color="auto" w:fill="D9D9D9" w:themeFill="background1" w:themeFillShade="D9"/>
            <w:vAlign w:val="center"/>
            <w:hideMark/>
          </w:tcPr>
          <w:p w14:paraId="3E767966" w14:textId="77777777" w:rsidR="001C19A4" w:rsidRPr="00D80F78" w:rsidRDefault="001C19A4" w:rsidP="005F27A6">
            <w:pPr>
              <w:spacing w:after="0"/>
              <w:jc w:val="center"/>
              <w:rPr>
                <w:rFonts w:cs="Arial"/>
                <w:b/>
                <w:bCs/>
              </w:rPr>
            </w:pPr>
            <w:r w:rsidRPr="00D80F78">
              <w:rPr>
                <w:rFonts w:cs="Arial"/>
                <w:b/>
                <w:bCs/>
              </w:rPr>
              <w:t>Math Change</w:t>
            </w:r>
          </w:p>
        </w:tc>
        <w:tc>
          <w:tcPr>
            <w:tcW w:w="1790" w:type="dxa"/>
            <w:shd w:val="clear" w:color="auto" w:fill="D9D9D9" w:themeFill="background1" w:themeFillShade="D9"/>
            <w:vAlign w:val="center"/>
            <w:hideMark/>
          </w:tcPr>
          <w:p w14:paraId="621C12F2" w14:textId="77777777" w:rsidR="001C19A4" w:rsidRPr="00D80F78" w:rsidRDefault="001C19A4" w:rsidP="005F27A6">
            <w:pPr>
              <w:spacing w:after="0"/>
              <w:jc w:val="center"/>
              <w:rPr>
                <w:rFonts w:cs="Arial"/>
                <w:b/>
                <w:bCs/>
              </w:rPr>
            </w:pPr>
            <w:r w:rsidRPr="00D80F78">
              <w:rPr>
                <w:rFonts w:cs="Arial"/>
                <w:b/>
                <w:bCs/>
              </w:rPr>
              <w:t>Math Performance Level</w:t>
            </w:r>
          </w:p>
        </w:tc>
      </w:tr>
      <w:tr w:rsidR="001C19A4" w:rsidRPr="00D80F78" w14:paraId="020BD95C" w14:textId="77777777" w:rsidTr="005F27A6">
        <w:trPr>
          <w:trHeight w:val="288"/>
        </w:trPr>
        <w:tc>
          <w:tcPr>
            <w:tcW w:w="1611" w:type="dxa"/>
            <w:noWrap/>
            <w:hideMark/>
          </w:tcPr>
          <w:p w14:paraId="7A3B13E3" w14:textId="77777777" w:rsidR="001C19A4" w:rsidRPr="00D80F78" w:rsidRDefault="001C19A4" w:rsidP="005F27A6">
            <w:pPr>
              <w:spacing w:after="0"/>
              <w:rPr>
                <w:rFonts w:cs="Arial"/>
              </w:rPr>
            </w:pPr>
            <w:r w:rsidRPr="00D80F78">
              <w:rPr>
                <w:rFonts w:cs="Arial"/>
              </w:rPr>
              <w:t>Diablo View Middle</w:t>
            </w:r>
          </w:p>
        </w:tc>
        <w:tc>
          <w:tcPr>
            <w:tcW w:w="1210" w:type="dxa"/>
            <w:noWrap/>
            <w:hideMark/>
          </w:tcPr>
          <w:p w14:paraId="4776EDB1" w14:textId="77777777" w:rsidR="001C19A4" w:rsidRPr="00D80F78" w:rsidRDefault="001C19A4" w:rsidP="005F27A6">
            <w:pPr>
              <w:spacing w:after="0"/>
              <w:rPr>
                <w:rFonts w:cs="Arial"/>
              </w:rPr>
            </w:pPr>
            <w:r w:rsidRPr="00D80F78">
              <w:rPr>
                <w:rFonts w:cs="Arial"/>
              </w:rPr>
              <w:t>Medium</w:t>
            </w:r>
          </w:p>
        </w:tc>
        <w:tc>
          <w:tcPr>
            <w:tcW w:w="1361" w:type="dxa"/>
            <w:noWrap/>
            <w:hideMark/>
          </w:tcPr>
          <w:p w14:paraId="38896D74" w14:textId="77777777" w:rsidR="001C19A4" w:rsidRPr="00D80F78" w:rsidRDefault="001C19A4" w:rsidP="005F27A6">
            <w:pPr>
              <w:spacing w:after="0"/>
              <w:rPr>
                <w:rFonts w:cs="Arial"/>
              </w:rPr>
            </w:pPr>
            <w:r w:rsidRPr="00D80F78">
              <w:rPr>
                <w:rFonts w:cs="Arial"/>
              </w:rPr>
              <w:t>47.8%</w:t>
            </w:r>
          </w:p>
        </w:tc>
        <w:tc>
          <w:tcPr>
            <w:tcW w:w="1189" w:type="dxa"/>
            <w:noWrap/>
            <w:hideMark/>
          </w:tcPr>
          <w:p w14:paraId="0B38BFEE" w14:textId="77777777" w:rsidR="001C19A4" w:rsidRPr="00D80F78" w:rsidRDefault="001C19A4" w:rsidP="005F27A6">
            <w:pPr>
              <w:spacing w:after="0"/>
              <w:rPr>
                <w:rFonts w:cs="Arial"/>
              </w:rPr>
            </w:pPr>
            <w:r w:rsidRPr="00D80F78">
              <w:rPr>
                <w:rFonts w:cs="Arial"/>
              </w:rPr>
              <w:t>High</w:t>
            </w:r>
          </w:p>
        </w:tc>
        <w:tc>
          <w:tcPr>
            <w:tcW w:w="1511" w:type="dxa"/>
            <w:noWrap/>
            <w:hideMark/>
          </w:tcPr>
          <w:p w14:paraId="1B27B733" w14:textId="77777777" w:rsidR="001C19A4" w:rsidRPr="00D80F78" w:rsidRDefault="001C19A4" w:rsidP="005F27A6">
            <w:pPr>
              <w:spacing w:after="0"/>
              <w:rPr>
                <w:rFonts w:cs="Arial"/>
              </w:rPr>
            </w:pPr>
            <w:r w:rsidRPr="00D80F78">
              <w:rPr>
                <w:rFonts w:cs="Arial"/>
              </w:rPr>
              <w:t>Maintained</w:t>
            </w:r>
          </w:p>
        </w:tc>
        <w:tc>
          <w:tcPr>
            <w:tcW w:w="1744" w:type="dxa"/>
            <w:shd w:val="clear" w:color="auto" w:fill="C5E0B3" w:themeFill="accent6" w:themeFillTint="66"/>
            <w:noWrap/>
            <w:hideMark/>
          </w:tcPr>
          <w:p w14:paraId="5DABD9AC" w14:textId="77777777" w:rsidR="001C19A4" w:rsidRPr="00D80F78" w:rsidRDefault="001C19A4" w:rsidP="005F27A6">
            <w:pPr>
              <w:spacing w:after="0"/>
              <w:rPr>
                <w:rFonts w:cs="Arial"/>
              </w:rPr>
            </w:pPr>
            <w:r w:rsidRPr="00D80F78">
              <w:rPr>
                <w:rFonts w:cs="Arial"/>
              </w:rPr>
              <w:t>Green</w:t>
            </w:r>
          </w:p>
        </w:tc>
        <w:tc>
          <w:tcPr>
            <w:tcW w:w="1103" w:type="dxa"/>
            <w:noWrap/>
            <w:hideMark/>
          </w:tcPr>
          <w:p w14:paraId="24CA7387" w14:textId="77777777" w:rsidR="001C19A4" w:rsidRPr="00D80F78" w:rsidRDefault="001C19A4" w:rsidP="005F27A6">
            <w:pPr>
              <w:spacing w:after="0"/>
              <w:rPr>
                <w:rFonts w:cs="Arial"/>
              </w:rPr>
            </w:pPr>
            <w:r w:rsidRPr="00D80F78">
              <w:rPr>
                <w:rFonts w:cs="Arial"/>
              </w:rPr>
              <w:t>Medium</w:t>
            </w:r>
          </w:p>
        </w:tc>
        <w:tc>
          <w:tcPr>
            <w:tcW w:w="1529" w:type="dxa"/>
            <w:noWrap/>
            <w:hideMark/>
          </w:tcPr>
          <w:p w14:paraId="05BEC5EF" w14:textId="77777777" w:rsidR="001C19A4" w:rsidRPr="00D80F78" w:rsidRDefault="001C19A4" w:rsidP="005F27A6">
            <w:pPr>
              <w:spacing w:after="0"/>
              <w:rPr>
                <w:rFonts w:cs="Arial"/>
              </w:rPr>
            </w:pPr>
            <w:r w:rsidRPr="00D80F78">
              <w:rPr>
                <w:rFonts w:cs="Arial"/>
              </w:rPr>
              <w:t>Decreased</w:t>
            </w:r>
          </w:p>
        </w:tc>
        <w:tc>
          <w:tcPr>
            <w:tcW w:w="1790" w:type="dxa"/>
            <w:shd w:val="clear" w:color="auto" w:fill="FFF2CC" w:themeFill="accent4" w:themeFillTint="33"/>
            <w:noWrap/>
            <w:hideMark/>
          </w:tcPr>
          <w:p w14:paraId="02BC04AC" w14:textId="77777777" w:rsidR="001C19A4" w:rsidRPr="00D80F78" w:rsidRDefault="001C19A4" w:rsidP="005F27A6">
            <w:pPr>
              <w:spacing w:after="0"/>
              <w:rPr>
                <w:rFonts w:cs="Arial"/>
              </w:rPr>
            </w:pPr>
            <w:r w:rsidRPr="00D80F78">
              <w:rPr>
                <w:rFonts w:cs="Arial"/>
              </w:rPr>
              <w:t>Yellow</w:t>
            </w:r>
          </w:p>
        </w:tc>
      </w:tr>
      <w:tr w:rsidR="001C19A4" w:rsidRPr="00D80F78" w14:paraId="3E1E9F32" w14:textId="77777777" w:rsidTr="005F27A6">
        <w:trPr>
          <w:trHeight w:val="288"/>
        </w:trPr>
        <w:tc>
          <w:tcPr>
            <w:tcW w:w="1611" w:type="dxa"/>
            <w:noWrap/>
            <w:hideMark/>
          </w:tcPr>
          <w:p w14:paraId="1B9E4B9C" w14:textId="77777777" w:rsidR="001C19A4" w:rsidRPr="00D80F78" w:rsidRDefault="001C19A4" w:rsidP="005F27A6">
            <w:pPr>
              <w:spacing w:after="0"/>
              <w:rPr>
                <w:rFonts w:cs="Arial"/>
              </w:rPr>
            </w:pPr>
            <w:r w:rsidRPr="00D80F78">
              <w:rPr>
                <w:rFonts w:cs="Arial"/>
              </w:rPr>
              <w:t>El Dorado Middle</w:t>
            </w:r>
          </w:p>
        </w:tc>
        <w:tc>
          <w:tcPr>
            <w:tcW w:w="1210" w:type="dxa"/>
            <w:noWrap/>
            <w:hideMark/>
          </w:tcPr>
          <w:p w14:paraId="22C75817" w14:textId="77777777" w:rsidR="001C19A4" w:rsidRPr="00D80F78" w:rsidRDefault="001C19A4" w:rsidP="005F27A6">
            <w:pPr>
              <w:spacing w:after="0"/>
              <w:rPr>
                <w:rFonts w:cs="Arial"/>
              </w:rPr>
            </w:pPr>
            <w:r w:rsidRPr="00D80F78">
              <w:rPr>
                <w:rFonts w:cs="Arial"/>
              </w:rPr>
              <w:t>Low</w:t>
            </w:r>
          </w:p>
        </w:tc>
        <w:tc>
          <w:tcPr>
            <w:tcW w:w="1361" w:type="dxa"/>
            <w:noWrap/>
            <w:hideMark/>
          </w:tcPr>
          <w:p w14:paraId="548B33EF" w14:textId="77777777" w:rsidR="001C19A4" w:rsidRPr="00D80F78" w:rsidRDefault="001C19A4" w:rsidP="005F27A6">
            <w:pPr>
              <w:spacing w:after="0"/>
              <w:rPr>
                <w:rFonts w:cs="Arial"/>
              </w:rPr>
            </w:pPr>
            <w:r w:rsidRPr="00D80F78">
              <w:rPr>
                <w:rFonts w:cs="Arial"/>
              </w:rPr>
              <w:t>38.7%</w:t>
            </w:r>
          </w:p>
        </w:tc>
        <w:tc>
          <w:tcPr>
            <w:tcW w:w="1189" w:type="dxa"/>
            <w:noWrap/>
            <w:hideMark/>
          </w:tcPr>
          <w:p w14:paraId="7B543FE5" w14:textId="77777777" w:rsidR="001C19A4" w:rsidRPr="00D80F78" w:rsidRDefault="001C19A4" w:rsidP="005F27A6">
            <w:pPr>
              <w:spacing w:after="0"/>
              <w:rPr>
                <w:rFonts w:cs="Arial"/>
              </w:rPr>
            </w:pPr>
            <w:r w:rsidRPr="00D80F78">
              <w:rPr>
                <w:rFonts w:cs="Arial"/>
              </w:rPr>
              <w:t>Low</w:t>
            </w:r>
          </w:p>
        </w:tc>
        <w:tc>
          <w:tcPr>
            <w:tcW w:w="1511" w:type="dxa"/>
            <w:noWrap/>
            <w:hideMark/>
          </w:tcPr>
          <w:p w14:paraId="6A243FDB" w14:textId="77777777" w:rsidR="001C19A4" w:rsidRPr="00D80F78" w:rsidRDefault="001C19A4" w:rsidP="005F27A6">
            <w:pPr>
              <w:spacing w:after="0"/>
              <w:rPr>
                <w:rFonts w:cs="Arial"/>
              </w:rPr>
            </w:pPr>
            <w:r w:rsidRPr="00D80F78">
              <w:rPr>
                <w:rFonts w:cs="Arial"/>
              </w:rPr>
              <w:t>Decreased</w:t>
            </w:r>
          </w:p>
        </w:tc>
        <w:tc>
          <w:tcPr>
            <w:tcW w:w="1744" w:type="dxa"/>
            <w:shd w:val="clear" w:color="auto" w:fill="F7CAAC" w:themeFill="accent2" w:themeFillTint="66"/>
            <w:noWrap/>
            <w:hideMark/>
          </w:tcPr>
          <w:p w14:paraId="0BB2A494" w14:textId="77777777" w:rsidR="001C19A4" w:rsidRPr="00D80F78" w:rsidRDefault="001C19A4" w:rsidP="005F27A6">
            <w:pPr>
              <w:spacing w:after="0"/>
              <w:rPr>
                <w:rFonts w:cs="Arial"/>
              </w:rPr>
            </w:pPr>
            <w:r w:rsidRPr="00D80F78">
              <w:rPr>
                <w:rFonts w:cs="Arial"/>
              </w:rPr>
              <w:t>Orange</w:t>
            </w:r>
          </w:p>
        </w:tc>
        <w:tc>
          <w:tcPr>
            <w:tcW w:w="1103" w:type="dxa"/>
            <w:noWrap/>
            <w:hideMark/>
          </w:tcPr>
          <w:p w14:paraId="5F608A72" w14:textId="77777777" w:rsidR="001C19A4" w:rsidRPr="00D80F78" w:rsidRDefault="001C19A4" w:rsidP="005F27A6">
            <w:pPr>
              <w:spacing w:after="0"/>
              <w:rPr>
                <w:rFonts w:cs="Arial"/>
              </w:rPr>
            </w:pPr>
            <w:r w:rsidRPr="00D80F78">
              <w:rPr>
                <w:rFonts w:cs="Arial"/>
              </w:rPr>
              <w:t>Very Low</w:t>
            </w:r>
          </w:p>
        </w:tc>
        <w:tc>
          <w:tcPr>
            <w:tcW w:w="1529" w:type="dxa"/>
            <w:noWrap/>
            <w:hideMark/>
          </w:tcPr>
          <w:p w14:paraId="15AC1899" w14:textId="77777777" w:rsidR="001C19A4" w:rsidRPr="00D80F78" w:rsidRDefault="001C19A4" w:rsidP="005F27A6">
            <w:pPr>
              <w:spacing w:after="0"/>
              <w:rPr>
                <w:rFonts w:cs="Arial"/>
              </w:rPr>
            </w:pPr>
            <w:r w:rsidRPr="00D80F78">
              <w:rPr>
                <w:rFonts w:cs="Arial"/>
              </w:rPr>
              <w:t>Maintained</w:t>
            </w:r>
          </w:p>
        </w:tc>
        <w:tc>
          <w:tcPr>
            <w:tcW w:w="1790" w:type="dxa"/>
            <w:shd w:val="clear" w:color="auto" w:fill="FF9797"/>
            <w:noWrap/>
            <w:hideMark/>
          </w:tcPr>
          <w:p w14:paraId="06386F9D" w14:textId="77777777" w:rsidR="001C19A4" w:rsidRPr="00D80F78" w:rsidRDefault="001C19A4" w:rsidP="005F27A6">
            <w:pPr>
              <w:spacing w:after="0"/>
              <w:rPr>
                <w:rFonts w:cs="Arial"/>
              </w:rPr>
            </w:pPr>
            <w:r w:rsidRPr="00D80F78">
              <w:rPr>
                <w:rFonts w:cs="Arial"/>
              </w:rPr>
              <w:t>Red</w:t>
            </w:r>
          </w:p>
        </w:tc>
      </w:tr>
      <w:tr w:rsidR="001C19A4" w:rsidRPr="00D80F78" w14:paraId="247124DA" w14:textId="77777777" w:rsidTr="005F27A6">
        <w:trPr>
          <w:trHeight w:val="288"/>
        </w:trPr>
        <w:tc>
          <w:tcPr>
            <w:tcW w:w="1611" w:type="dxa"/>
            <w:noWrap/>
            <w:hideMark/>
          </w:tcPr>
          <w:p w14:paraId="37CE0DBE" w14:textId="77777777" w:rsidR="001C19A4" w:rsidRPr="00D80F78" w:rsidRDefault="001C19A4" w:rsidP="005F27A6">
            <w:pPr>
              <w:spacing w:after="0"/>
              <w:rPr>
                <w:rFonts w:cs="Arial"/>
              </w:rPr>
            </w:pPr>
            <w:r w:rsidRPr="00D80F78">
              <w:rPr>
                <w:rFonts w:cs="Arial"/>
              </w:rPr>
              <w:lastRenderedPageBreak/>
              <w:t>Foothill Middle</w:t>
            </w:r>
          </w:p>
        </w:tc>
        <w:tc>
          <w:tcPr>
            <w:tcW w:w="1210" w:type="dxa"/>
            <w:noWrap/>
            <w:hideMark/>
          </w:tcPr>
          <w:p w14:paraId="76F1FDEC" w14:textId="77777777" w:rsidR="001C19A4" w:rsidRPr="00D80F78" w:rsidRDefault="001C19A4" w:rsidP="005F27A6">
            <w:pPr>
              <w:spacing w:after="0"/>
              <w:rPr>
                <w:rFonts w:cs="Arial"/>
              </w:rPr>
            </w:pPr>
            <w:r w:rsidRPr="00D80F78">
              <w:rPr>
                <w:rFonts w:cs="Arial"/>
              </w:rPr>
              <w:t>Low</w:t>
            </w:r>
          </w:p>
        </w:tc>
        <w:tc>
          <w:tcPr>
            <w:tcW w:w="1361" w:type="dxa"/>
            <w:noWrap/>
            <w:hideMark/>
          </w:tcPr>
          <w:p w14:paraId="3CA74703" w14:textId="77777777" w:rsidR="001C19A4" w:rsidRPr="00D80F78" w:rsidRDefault="001C19A4" w:rsidP="005F27A6">
            <w:pPr>
              <w:spacing w:after="0"/>
              <w:rPr>
                <w:rFonts w:cs="Arial"/>
              </w:rPr>
            </w:pPr>
            <w:r w:rsidRPr="00D80F78">
              <w:rPr>
                <w:rFonts w:cs="Arial"/>
              </w:rPr>
              <w:t>62.5%</w:t>
            </w:r>
          </w:p>
        </w:tc>
        <w:tc>
          <w:tcPr>
            <w:tcW w:w="1189" w:type="dxa"/>
            <w:noWrap/>
            <w:hideMark/>
          </w:tcPr>
          <w:p w14:paraId="785C16BA" w14:textId="77777777" w:rsidR="001C19A4" w:rsidRPr="00D80F78" w:rsidRDefault="001C19A4" w:rsidP="005F27A6">
            <w:pPr>
              <w:spacing w:after="0"/>
              <w:rPr>
                <w:rFonts w:cs="Arial"/>
              </w:rPr>
            </w:pPr>
            <w:r w:rsidRPr="00D80F78">
              <w:rPr>
                <w:rFonts w:cs="Arial"/>
              </w:rPr>
              <w:t>Very High</w:t>
            </w:r>
          </w:p>
        </w:tc>
        <w:tc>
          <w:tcPr>
            <w:tcW w:w="1511" w:type="dxa"/>
            <w:noWrap/>
            <w:hideMark/>
          </w:tcPr>
          <w:p w14:paraId="7FE0D933" w14:textId="77777777" w:rsidR="001C19A4" w:rsidRPr="00D80F78" w:rsidRDefault="001C19A4" w:rsidP="005F27A6">
            <w:pPr>
              <w:spacing w:after="0"/>
              <w:rPr>
                <w:rFonts w:cs="Arial"/>
              </w:rPr>
            </w:pPr>
            <w:r w:rsidRPr="00D80F78">
              <w:rPr>
                <w:rFonts w:cs="Arial"/>
              </w:rPr>
              <w:t>Decreased</w:t>
            </w:r>
          </w:p>
        </w:tc>
        <w:tc>
          <w:tcPr>
            <w:tcW w:w="1744" w:type="dxa"/>
            <w:shd w:val="clear" w:color="auto" w:fill="C5E0B3" w:themeFill="accent6" w:themeFillTint="66"/>
            <w:noWrap/>
            <w:hideMark/>
          </w:tcPr>
          <w:p w14:paraId="6FF96EA3" w14:textId="77777777" w:rsidR="001C19A4" w:rsidRPr="00D80F78" w:rsidRDefault="001C19A4" w:rsidP="005F27A6">
            <w:pPr>
              <w:spacing w:after="0"/>
              <w:rPr>
                <w:rFonts w:cs="Arial"/>
              </w:rPr>
            </w:pPr>
            <w:r w:rsidRPr="00D80F78">
              <w:rPr>
                <w:rFonts w:cs="Arial"/>
              </w:rPr>
              <w:t>Green</w:t>
            </w:r>
          </w:p>
        </w:tc>
        <w:tc>
          <w:tcPr>
            <w:tcW w:w="1103" w:type="dxa"/>
            <w:noWrap/>
            <w:hideMark/>
          </w:tcPr>
          <w:p w14:paraId="4F165FD2" w14:textId="77777777" w:rsidR="001C19A4" w:rsidRPr="00D80F78" w:rsidRDefault="001C19A4" w:rsidP="005F27A6">
            <w:pPr>
              <w:spacing w:after="0"/>
              <w:rPr>
                <w:rFonts w:cs="Arial"/>
              </w:rPr>
            </w:pPr>
            <w:r w:rsidRPr="00D80F78">
              <w:rPr>
                <w:rFonts w:cs="Arial"/>
              </w:rPr>
              <w:t>Very High</w:t>
            </w:r>
          </w:p>
        </w:tc>
        <w:tc>
          <w:tcPr>
            <w:tcW w:w="1529" w:type="dxa"/>
            <w:noWrap/>
            <w:hideMark/>
          </w:tcPr>
          <w:p w14:paraId="2866D7D4" w14:textId="77777777" w:rsidR="001C19A4" w:rsidRPr="00D80F78" w:rsidRDefault="001C19A4" w:rsidP="005F27A6">
            <w:pPr>
              <w:spacing w:after="0"/>
              <w:rPr>
                <w:rFonts w:cs="Arial"/>
              </w:rPr>
            </w:pPr>
            <w:r w:rsidRPr="00D80F78">
              <w:rPr>
                <w:rFonts w:cs="Arial"/>
              </w:rPr>
              <w:t>Maintained</w:t>
            </w:r>
          </w:p>
        </w:tc>
        <w:tc>
          <w:tcPr>
            <w:tcW w:w="1790" w:type="dxa"/>
            <w:shd w:val="clear" w:color="auto" w:fill="D9E2F3" w:themeFill="accent1" w:themeFillTint="33"/>
            <w:noWrap/>
            <w:hideMark/>
          </w:tcPr>
          <w:p w14:paraId="0C72A002" w14:textId="77777777" w:rsidR="001C19A4" w:rsidRPr="00D80F78" w:rsidRDefault="001C19A4" w:rsidP="005F27A6">
            <w:pPr>
              <w:spacing w:after="0"/>
              <w:rPr>
                <w:rFonts w:cs="Arial"/>
              </w:rPr>
            </w:pPr>
            <w:r w:rsidRPr="00D80F78">
              <w:rPr>
                <w:rFonts w:cs="Arial"/>
              </w:rPr>
              <w:t>Blue</w:t>
            </w:r>
          </w:p>
        </w:tc>
      </w:tr>
      <w:tr w:rsidR="001C19A4" w:rsidRPr="00D80F78" w14:paraId="522B6F73" w14:textId="77777777" w:rsidTr="005F27A6">
        <w:trPr>
          <w:trHeight w:val="288"/>
        </w:trPr>
        <w:tc>
          <w:tcPr>
            <w:tcW w:w="1611" w:type="dxa"/>
            <w:noWrap/>
            <w:hideMark/>
          </w:tcPr>
          <w:p w14:paraId="239F748C" w14:textId="77777777" w:rsidR="001C19A4" w:rsidRPr="00D80F78" w:rsidRDefault="001C19A4" w:rsidP="005F27A6">
            <w:pPr>
              <w:spacing w:after="0"/>
              <w:rPr>
                <w:rFonts w:cs="Arial"/>
              </w:rPr>
            </w:pPr>
            <w:r w:rsidRPr="00D80F78">
              <w:rPr>
                <w:rFonts w:cs="Arial"/>
              </w:rPr>
              <w:t>Oak Grove Middle</w:t>
            </w:r>
          </w:p>
        </w:tc>
        <w:tc>
          <w:tcPr>
            <w:tcW w:w="1210" w:type="dxa"/>
            <w:noWrap/>
            <w:hideMark/>
          </w:tcPr>
          <w:p w14:paraId="3746DEED" w14:textId="77777777" w:rsidR="001C19A4" w:rsidRPr="00D80F78" w:rsidRDefault="001C19A4" w:rsidP="005F27A6">
            <w:pPr>
              <w:spacing w:after="0"/>
              <w:rPr>
                <w:rFonts w:cs="Arial"/>
              </w:rPr>
            </w:pPr>
            <w:r w:rsidRPr="00D80F78">
              <w:rPr>
                <w:rFonts w:cs="Arial"/>
              </w:rPr>
              <w:t>Low</w:t>
            </w:r>
          </w:p>
        </w:tc>
        <w:tc>
          <w:tcPr>
            <w:tcW w:w="1361" w:type="dxa"/>
            <w:noWrap/>
            <w:hideMark/>
          </w:tcPr>
          <w:p w14:paraId="34E2E930" w14:textId="77777777" w:rsidR="001C19A4" w:rsidRPr="00D80F78" w:rsidRDefault="001C19A4" w:rsidP="005F27A6">
            <w:pPr>
              <w:spacing w:after="0"/>
              <w:rPr>
                <w:rFonts w:cs="Arial"/>
              </w:rPr>
            </w:pPr>
            <w:r w:rsidRPr="00D80F78">
              <w:rPr>
                <w:rFonts w:cs="Arial"/>
              </w:rPr>
              <w:t>41.8%</w:t>
            </w:r>
          </w:p>
        </w:tc>
        <w:tc>
          <w:tcPr>
            <w:tcW w:w="1189" w:type="dxa"/>
            <w:noWrap/>
            <w:hideMark/>
          </w:tcPr>
          <w:p w14:paraId="0018AE08" w14:textId="77777777" w:rsidR="001C19A4" w:rsidRPr="00D80F78" w:rsidRDefault="001C19A4" w:rsidP="005F27A6">
            <w:pPr>
              <w:spacing w:after="0"/>
              <w:rPr>
                <w:rFonts w:cs="Arial"/>
              </w:rPr>
            </w:pPr>
            <w:r w:rsidRPr="00D80F78">
              <w:rPr>
                <w:rFonts w:cs="Arial"/>
              </w:rPr>
              <w:t>Very Low</w:t>
            </w:r>
          </w:p>
        </w:tc>
        <w:tc>
          <w:tcPr>
            <w:tcW w:w="1511" w:type="dxa"/>
            <w:noWrap/>
            <w:hideMark/>
          </w:tcPr>
          <w:p w14:paraId="4DD92958" w14:textId="77777777" w:rsidR="001C19A4" w:rsidRPr="00D80F78" w:rsidRDefault="001C19A4" w:rsidP="005F27A6">
            <w:pPr>
              <w:spacing w:after="0"/>
              <w:rPr>
                <w:rFonts w:cs="Arial"/>
              </w:rPr>
            </w:pPr>
            <w:r w:rsidRPr="00D80F78">
              <w:rPr>
                <w:rFonts w:cs="Arial"/>
              </w:rPr>
              <w:t>Increased</w:t>
            </w:r>
          </w:p>
        </w:tc>
        <w:tc>
          <w:tcPr>
            <w:tcW w:w="1744" w:type="dxa"/>
            <w:shd w:val="clear" w:color="auto" w:fill="F7CAAC" w:themeFill="accent2" w:themeFillTint="66"/>
            <w:noWrap/>
            <w:hideMark/>
          </w:tcPr>
          <w:p w14:paraId="1F13F6E7" w14:textId="77777777" w:rsidR="001C19A4" w:rsidRPr="00D80F78" w:rsidRDefault="001C19A4" w:rsidP="005F27A6">
            <w:pPr>
              <w:spacing w:after="0"/>
              <w:rPr>
                <w:rFonts w:cs="Arial"/>
              </w:rPr>
            </w:pPr>
            <w:r w:rsidRPr="00D80F78">
              <w:rPr>
                <w:rFonts w:cs="Arial"/>
              </w:rPr>
              <w:t>Orange</w:t>
            </w:r>
          </w:p>
        </w:tc>
        <w:tc>
          <w:tcPr>
            <w:tcW w:w="1103" w:type="dxa"/>
            <w:noWrap/>
            <w:hideMark/>
          </w:tcPr>
          <w:p w14:paraId="5BF3CC8A" w14:textId="77777777" w:rsidR="001C19A4" w:rsidRPr="00D80F78" w:rsidRDefault="001C19A4" w:rsidP="005F27A6">
            <w:pPr>
              <w:spacing w:after="0"/>
              <w:rPr>
                <w:rFonts w:cs="Arial"/>
              </w:rPr>
            </w:pPr>
            <w:r w:rsidRPr="00D80F78">
              <w:rPr>
                <w:rFonts w:cs="Arial"/>
              </w:rPr>
              <w:t>Very Low</w:t>
            </w:r>
          </w:p>
        </w:tc>
        <w:tc>
          <w:tcPr>
            <w:tcW w:w="1529" w:type="dxa"/>
            <w:noWrap/>
            <w:hideMark/>
          </w:tcPr>
          <w:p w14:paraId="32FAB50E" w14:textId="77777777" w:rsidR="001C19A4" w:rsidRPr="00D80F78" w:rsidRDefault="001C19A4" w:rsidP="005F27A6">
            <w:pPr>
              <w:spacing w:after="0"/>
              <w:rPr>
                <w:rFonts w:cs="Arial"/>
              </w:rPr>
            </w:pPr>
            <w:r w:rsidRPr="00D80F78">
              <w:rPr>
                <w:rFonts w:cs="Arial"/>
              </w:rPr>
              <w:t>Decreased</w:t>
            </w:r>
          </w:p>
        </w:tc>
        <w:tc>
          <w:tcPr>
            <w:tcW w:w="1790" w:type="dxa"/>
            <w:shd w:val="clear" w:color="auto" w:fill="FF9797"/>
            <w:noWrap/>
            <w:hideMark/>
          </w:tcPr>
          <w:p w14:paraId="5700BBA4" w14:textId="77777777" w:rsidR="001C19A4" w:rsidRPr="00D80F78" w:rsidRDefault="001C19A4" w:rsidP="005F27A6">
            <w:pPr>
              <w:spacing w:after="0"/>
              <w:rPr>
                <w:rFonts w:cs="Arial"/>
              </w:rPr>
            </w:pPr>
            <w:r w:rsidRPr="00D80F78">
              <w:rPr>
                <w:rFonts w:cs="Arial"/>
              </w:rPr>
              <w:t>Red</w:t>
            </w:r>
          </w:p>
        </w:tc>
      </w:tr>
      <w:tr w:rsidR="001C19A4" w:rsidRPr="00D80F78" w14:paraId="7AA01348" w14:textId="77777777" w:rsidTr="005F27A6">
        <w:trPr>
          <w:trHeight w:val="288"/>
        </w:trPr>
        <w:tc>
          <w:tcPr>
            <w:tcW w:w="1611" w:type="dxa"/>
            <w:noWrap/>
            <w:hideMark/>
          </w:tcPr>
          <w:p w14:paraId="675F65B1" w14:textId="77777777" w:rsidR="001C19A4" w:rsidRPr="00D80F78" w:rsidRDefault="001C19A4" w:rsidP="005F27A6">
            <w:pPr>
              <w:spacing w:after="0"/>
              <w:rPr>
                <w:rFonts w:cs="Arial"/>
              </w:rPr>
            </w:pPr>
            <w:r w:rsidRPr="00D80F78">
              <w:rPr>
                <w:rFonts w:cs="Arial"/>
              </w:rPr>
              <w:t>Pine Hollow Middle</w:t>
            </w:r>
          </w:p>
        </w:tc>
        <w:tc>
          <w:tcPr>
            <w:tcW w:w="1210" w:type="dxa"/>
            <w:noWrap/>
            <w:hideMark/>
          </w:tcPr>
          <w:p w14:paraId="51CD2C1D" w14:textId="77777777" w:rsidR="001C19A4" w:rsidRPr="00D80F78" w:rsidRDefault="001C19A4" w:rsidP="005F27A6">
            <w:pPr>
              <w:spacing w:after="0"/>
              <w:rPr>
                <w:rFonts w:cs="Arial"/>
              </w:rPr>
            </w:pPr>
            <w:r w:rsidRPr="00D80F78">
              <w:rPr>
                <w:rFonts w:cs="Arial"/>
              </w:rPr>
              <w:t>Low</w:t>
            </w:r>
          </w:p>
        </w:tc>
        <w:tc>
          <w:tcPr>
            <w:tcW w:w="1361" w:type="dxa"/>
            <w:noWrap/>
            <w:hideMark/>
          </w:tcPr>
          <w:p w14:paraId="47223531" w14:textId="77777777" w:rsidR="001C19A4" w:rsidRPr="00D80F78" w:rsidRDefault="001C19A4" w:rsidP="005F27A6">
            <w:pPr>
              <w:spacing w:after="0"/>
              <w:rPr>
                <w:rFonts w:cs="Arial"/>
              </w:rPr>
            </w:pPr>
            <w:r w:rsidRPr="00D80F78">
              <w:rPr>
                <w:rFonts w:cs="Arial"/>
              </w:rPr>
              <w:t>35.7%</w:t>
            </w:r>
          </w:p>
        </w:tc>
        <w:tc>
          <w:tcPr>
            <w:tcW w:w="1189" w:type="dxa"/>
            <w:noWrap/>
            <w:hideMark/>
          </w:tcPr>
          <w:p w14:paraId="065F7EC8" w14:textId="77777777" w:rsidR="001C19A4" w:rsidRPr="00D80F78" w:rsidRDefault="001C19A4" w:rsidP="005F27A6">
            <w:pPr>
              <w:spacing w:after="0"/>
              <w:rPr>
                <w:rFonts w:cs="Arial"/>
              </w:rPr>
            </w:pPr>
            <w:r w:rsidRPr="00D80F78">
              <w:rPr>
                <w:rFonts w:cs="Arial"/>
              </w:rPr>
              <w:t>Low</w:t>
            </w:r>
          </w:p>
        </w:tc>
        <w:tc>
          <w:tcPr>
            <w:tcW w:w="1511" w:type="dxa"/>
            <w:noWrap/>
            <w:hideMark/>
          </w:tcPr>
          <w:p w14:paraId="188F7A4D" w14:textId="77777777" w:rsidR="001C19A4" w:rsidRPr="00D80F78" w:rsidRDefault="001C19A4" w:rsidP="005F27A6">
            <w:pPr>
              <w:spacing w:after="0"/>
              <w:rPr>
                <w:rFonts w:cs="Arial"/>
              </w:rPr>
            </w:pPr>
            <w:r w:rsidRPr="00D80F78">
              <w:rPr>
                <w:rFonts w:cs="Arial"/>
              </w:rPr>
              <w:t>Decreased</w:t>
            </w:r>
          </w:p>
        </w:tc>
        <w:tc>
          <w:tcPr>
            <w:tcW w:w="1744" w:type="dxa"/>
            <w:shd w:val="clear" w:color="auto" w:fill="F7CAAC" w:themeFill="accent2" w:themeFillTint="66"/>
            <w:noWrap/>
            <w:hideMark/>
          </w:tcPr>
          <w:p w14:paraId="5353A5ED" w14:textId="77777777" w:rsidR="001C19A4" w:rsidRPr="00D80F78" w:rsidRDefault="001C19A4" w:rsidP="005F27A6">
            <w:pPr>
              <w:spacing w:after="0"/>
              <w:rPr>
                <w:rFonts w:cs="Arial"/>
              </w:rPr>
            </w:pPr>
            <w:r w:rsidRPr="00D80F78">
              <w:rPr>
                <w:rFonts w:cs="Arial"/>
              </w:rPr>
              <w:t>Orange</w:t>
            </w:r>
          </w:p>
        </w:tc>
        <w:tc>
          <w:tcPr>
            <w:tcW w:w="1103" w:type="dxa"/>
            <w:noWrap/>
            <w:hideMark/>
          </w:tcPr>
          <w:p w14:paraId="4B1159A7" w14:textId="77777777" w:rsidR="001C19A4" w:rsidRPr="00D80F78" w:rsidRDefault="001C19A4" w:rsidP="005F27A6">
            <w:pPr>
              <w:spacing w:after="0"/>
              <w:rPr>
                <w:rFonts w:cs="Arial"/>
              </w:rPr>
            </w:pPr>
            <w:r w:rsidRPr="00D80F78">
              <w:rPr>
                <w:rFonts w:cs="Arial"/>
              </w:rPr>
              <w:t>Low</w:t>
            </w:r>
          </w:p>
        </w:tc>
        <w:tc>
          <w:tcPr>
            <w:tcW w:w="1529" w:type="dxa"/>
            <w:noWrap/>
            <w:hideMark/>
          </w:tcPr>
          <w:p w14:paraId="73A92C5D" w14:textId="77777777" w:rsidR="001C19A4" w:rsidRPr="00D80F78" w:rsidRDefault="001C19A4" w:rsidP="005F27A6">
            <w:pPr>
              <w:spacing w:after="0"/>
              <w:rPr>
                <w:rFonts w:cs="Arial"/>
              </w:rPr>
            </w:pPr>
            <w:r w:rsidRPr="00D80F78">
              <w:rPr>
                <w:rFonts w:cs="Arial"/>
              </w:rPr>
              <w:t>Maintained</w:t>
            </w:r>
          </w:p>
        </w:tc>
        <w:tc>
          <w:tcPr>
            <w:tcW w:w="1790" w:type="dxa"/>
            <w:shd w:val="clear" w:color="auto" w:fill="F7CAAC" w:themeFill="accent2" w:themeFillTint="66"/>
            <w:noWrap/>
            <w:hideMark/>
          </w:tcPr>
          <w:p w14:paraId="3C17DDAD" w14:textId="77777777" w:rsidR="001C19A4" w:rsidRPr="00D80F78" w:rsidRDefault="001C19A4" w:rsidP="005F27A6">
            <w:pPr>
              <w:spacing w:after="0"/>
              <w:rPr>
                <w:rFonts w:cs="Arial"/>
              </w:rPr>
            </w:pPr>
            <w:r w:rsidRPr="00D80F78">
              <w:rPr>
                <w:rFonts w:cs="Arial"/>
              </w:rPr>
              <w:t>Orange</w:t>
            </w:r>
          </w:p>
        </w:tc>
      </w:tr>
      <w:tr w:rsidR="001C19A4" w:rsidRPr="00D80F78" w14:paraId="420B25C9" w14:textId="77777777" w:rsidTr="005F27A6">
        <w:trPr>
          <w:trHeight w:val="288"/>
        </w:trPr>
        <w:tc>
          <w:tcPr>
            <w:tcW w:w="1611" w:type="dxa"/>
            <w:noWrap/>
            <w:hideMark/>
          </w:tcPr>
          <w:p w14:paraId="6A109E66" w14:textId="77777777" w:rsidR="001C19A4" w:rsidRPr="00D80F78" w:rsidRDefault="001C19A4" w:rsidP="005F27A6">
            <w:pPr>
              <w:spacing w:after="0"/>
              <w:rPr>
                <w:rFonts w:cs="Arial"/>
              </w:rPr>
            </w:pPr>
            <w:r w:rsidRPr="00D80F78">
              <w:rPr>
                <w:rFonts w:cs="Arial"/>
              </w:rPr>
              <w:t>Pleasant Hill Middle</w:t>
            </w:r>
          </w:p>
        </w:tc>
        <w:tc>
          <w:tcPr>
            <w:tcW w:w="1210" w:type="dxa"/>
            <w:noWrap/>
            <w:hideMark/>
          </w:tcPr>
          <w:p w14:paraId="1A99A8F7" w14:textId="77777777" w:rsidR="001C19A4" w:rsidRPr="00D80F78" w:rsidRDefault="001C19A4" w:rsidP="005F27A6">
            <w:pPr>
              <w:spacing w:after="0"/>
              <w:rPr>
                <w:rFonts w:cs="Arial"/>
              </w:rPr>
            </w:pPr>
            <w:r w:rsidRPr="00D80F78">
              <w:rPr>
                <w:rFonts w:cs="Arial"/>
              </w:rPr>
              <w:t>Medium</w:t>
            </w:r>
          </w:p>
        </w:tc>
        <w:tc>
          <w:tcPr>
            <w:tcW w:w="1361" w:type="dxa"/>
            <w:noWrap/>
            <w:hideMark/>
          </w:tcPr>
          <w:p w14:paraId="13F3D384" w14:textId="77777777" w:rsidR="001C19A4" w:rsidRPr="00D80F78" w:rsidRDefault="001C19A4" w:rsidP="005F27A6">
            <w:pPr>
              <w:spacing w:after="0"/>
              <w:rPr>
                <w:rFonts w:cs="Arial"/>
              </w:rPr>
            </w:pPr>
            <w:r w:rsidRPr="00D80F78">
              <w:rPr>
                <w:rFonts w:cs="Arial"/>
              </w:rPr>
              <w:t>52.3%</w:t>
            </w:r>
          </w:p>
        </w:tc>
        <w:tc>
          <w:tcPr>
            <w:tcW w:w="1189" w:type="dxa"/>
            <w:noWrap/>
            <w:hideMark/>
          </w:tcPr>
          <w:p w14:paraId="0C0622E2" w14:textId="77777777" w:rsidR="001C19A4" w:rsidRPr="00D80F78" w:rsidRDefault="001C19A4" w:rsidP="005F27A6">
            <w:pPr>
              <w:spacing w:after="0"/>
              <w:rPr>
                <w:rFonts w:cs="Arial"/>
              </w:rPr>
            </w:pPr>
            <w:r w:rsidRPr="00D80F78">
              <w:rPr>
                <w:rFonts w:cs="Arial"/>
              </w:rPr>
              <w:t>Medium</w:t>
            </w:r>
          </w:p>
        </w:tc>
        <w:tc>
          <w:tcPr>
            <w:tcW w:w="1511" w:type="dxa"/>
            <w:noWrap/>
            <w:hideMark/>
          </w:tcPr>
          <w:p w14:paraId="6274E6DB" w14:textId="77777777" w:rsidR="001C19A4" w:rsidRPr="00D80F78" w:rsidRDefault="001C19A4" w:rsidP="005F27A6">
            <w:pPr>
              <w:spacing w:after="0"/>
              <w:rPr>
                <w:rFonts w:cs="Arial"/>
              </w:rPr>
            </w:pPr>
            <w:r w:rsidRPr="00D80F78">
              <w:rPr>
                <w:rFonts w:cs="Arial"/>
              </w:rPr>
              <w:t>Decreased</w:t>
            </w:r>
          </w:p>
        </w:tc>
        <w:tc>
          <w:tcPr>
            <w:tcW w:w="1744" w:type="dxa"/>
            <w:shd w:val="clear" w:color="auto" w:fill="FFF2CC" w:themeFill="accent4" w:themeFillTint="33"/>
            <w:noWrap/>
            <w:hideMark/>
          </w:tcPr>
          <w:p w14:paraId="39C94696" w14:textId="77777777" w:rsidR="001C19A4" w:rsidRPr="00D80F78" w:rsidRDefault="001C19A4" w:rsidP="005F27A6">
            <w:pPr>
              <w:spacing w:after="0"/>
              <w:rPr>
                <w:rFonts w:cs="Arial"/>
              </w:rPr>
            </w:pPr>
            <w:r w:rsidRPr="00D80F78">
              <w:rPr>
                <w:rFonts w:cs="Arial"/>
              </w:rPr>
              <w:t>Yellow</w:t>
            </w:r>
          </w:p>
        </w:tc>
        <w:tc>
          <w:tcPr>
            <w:tcW w:w="1103" w:type="dxa"/>
            <w:noWrap/>
            <w:hideMark/>
          </w:tcPr>
          <w:p w14:paraId="79A5B8F6" w14:textId="77777777" w:rsidR="001C19A4" w:rsidRPr="00D80F78" w:rsidRDefault="001C19A4" w:rsidP="005F27A6">
            <w:pPr>
              <w:spacing w:after="0"/>
              <w:rPr>
                <w:rFonts w:cs="Arial"/>
              </w:rPr>
            </w:pPr>
            <w:r w:rsidRPr="00D80F78">
              <w:rPr>
                <w:rFonts w:cs="Arial"/>
              </w:rPr>
              <w:t>Low</w:t>
            </w:r>
          </w:p>
        </w:tc>
        <w:tc>
          <w:tcPr>
            <w:tcW w:w="1529" w:type="dxa"/>
            <w:noWrap/>
            <w:hideMark/>
          </w:tcPr>
          <w:p w14:paraId="65B5B8B7" w14:textId="77777777" w:rsidR="001C19A4" w:rsidRPr="00D80F78" w:rsidRDefault="001C19A4" w:rsidP="005F27A6">
            <w:pPr>
              <w:spacing w:after="0"/>
              <w:rPr>
                <w:rFonts w:cs="Arial"/>
              </w:rPr>
            </w:pPr>
            <w:r w:rsidRPr="00D80F78">
              <w:rPr>
                <w:rFonts w:cs="Arial"/>
              </w:rPr>
              <w:t>Decreased</w:t>
            </w:r>
          </w:p>
        </w:tc>
        <w:tc>
          <w:tcPr>
            <w:tcW w:w="1790" w:type="dxa"/>
            <w:shd w:val="clear" w:color="auto" w:fill="F7CAAC" w:themeFill="accent2" w:themeFillTint="66"/>
            <w:noWrap/>
            <w:hideMark/>
          </w:tcPr>
          <w:p w14:paraId="077C2E5C" w14:textId="77777777" w:rsidR="001C19A4" w:rsidRPr="00D80F78" w:rsidRDefault="001C19A4" w:rsidP="005F27A6">
            <w:pPr>
              <w:spacing w:after="0"/>
              <w:rPr>
                <w:rFonts w:cs="Arial"/>
              </w:rPr>
            </w:pPr>
            <w:r w:rsidRPr="00D80F78">
              <w:rPr>
                <w:rFonts w:cs="Arial"/>
              </w:rPr>
              <w:t>Orange</w:t>
            </w:r>
          </w:p>
        </w:tc>
      </w:tr>
      <w:tr w:rsidR="001C19A4" w:rsidRPr="00D80F78" w14:paraId="6B01A518" w14:textId="77777777" w:rsidTr="005F27A6">
        <w:trPr>
          <w:trHeight w:val="288"/>
        </w:trPr>
        <w:tc>
          <w:tcPr>
            <w:tcW w:w="1611" w:type="dxa"/>
            <w:noWrap/>
            <w:hideMark/>
          </w:tcPr>
          <w:p w14:paraId="40B569DC" w14:textId="77777777" w:rsidR="001C19A4" w:rsidRPr="00D80F78" w:rsidRDefault="001C19A4" w:rsidP="005F27A6">
            <w:pPr>
              <w:spacing w:after="0"/>
              <w:rPr>
                <w:rFonts w:cs="Arial"/>
              </w:rPr>
            </w:pPr>
            <w:r w:rsidRPr="00D80F78">
              <w:rPr>
                <w:rFonts w:cs="Arial"/>
              </w:rPr>
              <w:t>Riverview Middle</w:t>
            </w:r>
          </w:p>
        </w:tc>
        <w:tc>
          <w:tcPr>
            <w:tcW w:w="1210" w:type="dxa"/>
            <w:noWrap/>
            <w:hideMark/>
          </w:tcPr>
          <w:p w14:paraId="0AAAEE99" w14:textId="77777777" w:rsidR="001C19A4" w:rsidRPr="00D80F78" w:rsidRDefault="001C19A4" w:rsidP="005F27A6">
            <w:pPr>
              <w:spacing w:after="0"/>
              <w:rPr>
                <w:rFonts w:cs="Arial"/>
              </w:rPr>
            </w:pPr>
            <w:r w:rsidRPr="00D80F78">
              <w:rPr>
                <w:rFonts w:cs="Arial"/>
              </w:rPr>
              <w:t>Medium</w:t>
            </w:r>
          </w:p>
        </w:tc>
        <w:tc>
          <w:tcPr>
            <w:tcW w:w="1361" w:type="dxa"/>
            <w:noWrap/>
            <w:hideMark/>
          </w:tcPr>
          <w:p w14:paraId="5A90169B" w14:textId="77777777" w:rsidR="001C19A4" w:rsidRPr="00D80F78" w:rsidRDefault="001C19A4" w:rsidP="005F27A6">
            <w:pPr>
              <w:spacing w:after="0"/>
              <w:rPr>
                <w:rFonts w:cs="Arial"/>
              </w:rPr>
            </w:pPr>
            <w:r w:rsidRPr="00D80F78">
              <w:rPr>
                <w:rFonts w:cs="Arial"/>
              </w:rPr>
              <w:t>45.8%</w:t>
            </w:r>
          </w:p>
        </w:tc>
        <w:tc>
          <w:tcPr>
            <w:tcW w:w="1189" w:type="dxa"/>
            <w:noWrap/>
            <w:hideMark/>
          </w:tcPr>
          <w:p w14:paraId="64C02CE5" w14:textId="77777777" w:rsidR="001C19A4" w:rsidRPr="00D80F78" w:rsidRDefault="001C19A4" w:rsidP="005F27A6">
            <w:pPr>
              <w:spacing w:after="0"/>
              <w:rPr>
                <w:rFonts w:cs="Arial"/>
              </w:rPr>
            </w:pPr>
            <w:r w:rsidRPr="00D80F78">
              <w:rPr>
                <w:rFonts w:cs="Arial"/>
              </w:rPr>
              <w:t>Low</w:t>
            </w:r>
          </w:p>
        </w:tc>
        <w:tc>
          <w:tcPr>
            <w:tcW w:w="1511" w:type="dxa"/>
            <w:noWrap/>
            <w:hideMark/>
          </w:tcPr>
          <w:p w14:paraId="3B873F4F" w14:textId="77777777" w:rsidR="001C19A4" w:rsidRPr="00D80F78" w:rsidRDefault="001C19A4" w:rsidP="005F27A6">
            <w:pPr>
              <w:spacing w:after="0"/>
              <w:rPr>
                <w:rFonts w:cs="Arial"/>
              </w:rPr>
            </w:pPr>
            <w:r w:rsidRPr="00D80F78">
              <w:rPr>
                <w:rFonts w:cs="Arial"/>
              </w:rPr>
              <w:t>Increased Sign</w:t>
            </w:r>
            <w:r>
              <w:rPr>
                <w:rFonts w:cs="Arial"/>
              </w:rPr>
              <w:t>i</w:t>
            </w:r>
            <w:r w:rsidRPr="00D80F78">
              <w:rPr>
                <w:rFonts w:cs="Arial"/>
              </w:rPr>
              <w:t>ficantly</w:t>
            </w:r>
          </w:p>
        </w:tc>
        <w:tc>
          <w:tcPr>
            <w:tcW w:w="1744" w:type="dxa"/>
            <w:shd w:val="clear" w:color="auto" w:fill="FFF2CC" w:themeFill="accent4" w:themeFillTint="33"/>
            <w:noWrap/>
            <w:hideMark/>
          </w:tcPr>
          <w:p w14:paraId="4E9485AD" w14:textId="77777777" w:rsidR="001C19A4" w:rsidRPr="00D80F78" w:rsidRDefault="001C19A4" w:rsidP="005F27A6">
            <w:pPr>
              <w:spacing w:after="0"/>
              <w:rPr>
                <w:rFonts w:cs="Arial"/>
              </w:rPr>
            </w:pPr>
            <w:r w:rsidRPr="00D80F78">
              <w:rPr>
                <w:rFonts w:cs="Arial"/>
              </w:rPr>
              <w:t>Yellow</w:t>
            </w:r>
          </w:p>
        </w:tc>
        <w:tc>
          <w:tcPr>
            <w:tcW w:w="1103" w:type="dxa"/>
            <w:noWrap/>
            <w:hideMark/>
          </w:tcPr>
          <w:p w14:paraId="32D91EBB" w14:textId="77777777" w:rsidR="001C19A4" w:rsidRPr="00D80F78" w:rsidRDefault="001C19A4" w:rsidP="005F27A6">
            <w:pPr>
              <w:spacing w:after="0"/>
              <w:rPr>
                <w:rFonts w:cs="Arial"/>
              </w:rPr>
            </w:pPr>
            <w:r w:rsidRPr="00D80F78">
              <w:rPr>
                <w:rFonts w:cs="Arial"/>
              </w:rPr>
              <w:t>Very Low</w:t>
            </w:r>
          </w:p>
        </w:tc>
        <w:tc>
          <w:tcPr>
            <w:tcW w:w="1529" w:type="dxa"/>
            <w:noWrap/>
            <w:hideMark/>
          </w:tcPr>
          <w:p w14:paraId="4E7CC074" w14:textId="77777777" w:rsidR="001C19A4" w:rsidRPr="00D80F78" w:rsidRDefault="001C19A4" w:rsidP="005F27A6">
            <w:pPr>
              <w:spacing w:after="0"/>
              <w:rPr>
                <w:rFonts w:cs="Arial"/>
              </w:rPr>
            </w:pPr>
            <w:r w:rsidRPr="00D80F78">
              <w:rPr>
                <w:rFonts w:cs="Arial"/>
              </w:rPr>
              <w:t>Maintained</w:t>
            </w:r>
          </w:p>
        </w:tc>
        <w:tc>
          <w:tcPr>
            <w:tcW w:w="1790" w:type="dxa"/>
            <w:shd w:val="clear" w:color="auto" w:fill="FF9797"/>
            <w:noWrap/>
            <w:hideMark/>
          </w:tcPr>
          <w:p w14:paraId="22EFF7C9" w14:textId="77777777" w:rsidR="001C19A4" w:rsidRPr="00D80F78" w:rsidRDefault="001C19A4" w:rsidP="005F27A6">
            <w:pPr>
              <w:spacing w:after="0"/>
              <w:rPr>
                <w:rFonts w:cs="Arial"/>
              </w:rPr>
            </w:pPr>
            <w:r w:rsidRPr="00D80F78">
              <w:rPr>
                <w:rFonts w:cs="Arial"/>
              </w:rPr>
              <w:t>Red</w:t>
            </w:r>
          </w:p>
        </w:tc>
      </w:tr>
      <w:tr w:rsidR="001C19A4" w:rsidRPr="00D80F78" w14:paraId="5A894BA8" w14:textId="77777777" w:rsidTr="005F27A6">
        <w:trPr>
          <w:trHeight w:val="288"/>
        </w:trPr>
        <w:tc>
          <w:tcPr>
            <w:tcW w:w="1611" w:type="dxa"/>
            <w:noWrap/>
            <w:hideMark/>
          </w:tcPr>
          <w:p w14:paraId="39278A12" w14:textId="77777777" w:rsidR="001C19A4" w:rsidRPr="00D80F78" w:rsidRDefault="001C19A4" w:rsidP="005F27A6">
            <w:pPr>
              <w:spacing w:after="0"/>
              <w:rPr>
                <w:rFonts w:cs="Arial"/>
              </w:rPr>
            </w:pPr>
            <w:r w:rsidRPr="00D80F78">
              <w:rPr>
                <w:rFonts w:cs="Arial"/>
              </w:rPr>
              <w:t>Sequoia Middle</w:t>
            </w:r>
          </w:p>
        </w:tc>
        <w:tc>
          <w:tcPr>
            <w:tcW w:w="1210" w:type="dxa"/>
            <w:noWrap/>
            <w:hideMark/>
          </w:tcPr>
          <w:p w14:paraId="3CE8B439" w14:textId="77777777" w:rsidR="001C19A4" w:rsidRPr="00D80F78" w:rsidRDefault="001C19A4" w:rsidP="005F27A6">
            <w:pPr>
              <w:spacing w:after="0"/>
              <w:rPr>
                <w:rFonts w:cs="Arial"/>
              </w:rPr>
            </w:pPr>
            <w:r w:rsidRPr="00D80F78">
              <w:rPr>
                <w:rFonts w:cs="Arial"/>
              </w:rPr>
              <w:t>Low</w:t>
            </w:r>
          </w:p>
        </w:tc>
        <w:tc>
          <w:tcPr>
            <w:tcW w:w="1361" w:type="dxa"/>
            <w:noWrap/>
            <w:hideMark/>
          </w:tcPr>
          <w:p w14:paraId="4656C6D3" w14:textId="77777777" w:rsidR="001C19A4" w:rsidRPr="00D80F78" w:rsidRDefault="001C19A4" w:rsidP="005F27A6">
            <w:pPr>
              <w:spacing w:after="0"/>
              <w:rPr>
                <w:rFonts w:cs="Arial"/>
              </w:rPr>
            </w:pPr>
            <w:r w:rsidRPr="00D80F78">
              <w:rPr>
                <w:rFonts w:cs="Arial"/>
              </w:rPr>
              <w:t>36.5%</w:t>
            </w:r>
          </w:p>
        </w:tc>
        <w:tc>
          <w:tcPr>
            <w:tcW w:w="1189" w:type="dxa"/>
            <w:noWrap/>
            <w:hideMark/>
          </w:tcPr>
          <w:p w14:paraId="0A165782" w14:textId="77777777" w:rsidR="001C19A4" w:rsidRPr="00D80F78" w:rsidRDefault="001C19A4" w:rsidP="005F27A6">
            <w:pPr>
              <w:spacing w:after="0"/>
              <w:rPr>
                <w:rFonts w:cs="Arial"/>
              </w:rPr>
            </w:pPr>
            <w:r w:rsidRPr="00D80F78">
              <w:rPr>
                <w:rFonts w:cs="Arial"/>
              </w:rPr>
              <w:t>High</w:t>
            </w:r>
          </w:p>
        </w:tc>
        <w:tc>
          <w:tcPr>
            <w:tcW w:w="1511" w:type="dxa"/>
            <w:noWrap/>
            <w:hideMark/>
          </w:tcPr>
          <w:p w14:paraId="1627DB50" w14:textId="77777777" w:rsidR="001C19A4" w:rsidRPr="00D80F78" w:rsidRDefault="001C19A4" w:rsidP="005F27A6">
            <w:pPr>
              <w:spacing w:after="0"/>
              <w:rPr>
                <w:rFonts w:cs="Arial"/>
              </w:rPr>
            </w:pPr>
            <w:r w:rsidRPr="00D80F78">
              <w:rPr>
                <w:rFonts w:cs="Arial"/>
              </w:rPr>
              <w:t>Decreased</w:t>
            </w:r>
          </w:p>
        </w:tc>
        <w:tc>
          <w:tcPr>
            <w:tcW w:w="1744" w:type="dxa"/>
            <w:shd w:val="clear" w:color="auto" w:fill="C5E0B3" w:themeFill="accent6" w:themeFillTint="66"/>
            <w:noWrap/>
            <w:hideMark/>
          </w:tcPr>
          <w:p w14:paraId="121551AD" w14:textId="77777777" w:rsidR="001C19A4" w:rsidRPr="00D80F78" w:rsidRDefault="001C19A4" w:rsidP="005F27A6">
            <w:pPr>
              <w:spacing w:after="0"/>
              <w:rPr>
                <w:rFonts w:cs="Arial"/>
              </w:rPr>
            </w:pPr>
            <w:r w:rsidRPr="00D80F78">
              <w:rPr>
                <w:rFonts w:cs="Arial"/>
              </w:rPr>
              <w:t>Green</w:t>
            </w:r>
          </w:p>
        </w:tc>
        <w:tc>
          <w:tcPr>
            <w:tcW w:w="1103" w:type="dxa"/>
            <w:noWrap/>
            <w:hideMark/>
          </w:tcPr>
          <w:p w14:paraId="56EB0382" w14:textId="77777777" w:rsidR="001C19A4" w:rsidRPr="00D80F78" w:rsidRDefault="001C19A4" w:rsidP="005F27A6">
            <w:pPr>
              <w:spacing w:after="0"/>
              <w:rPr>
                <w:rFonts w:cs="Arial"/>
              </w:rPr>
            </w:pPr>
            <w:r w:rsidRPr="00D80F78">
              <w:rPr>
                <w:rFonts w:cs="Arial"/>
              </w:rPr>
              <w:t>Medium</w:t>
            </w:r>
          </w:p>
        </w:tc>
        <w:tc>
          <w:tcPr>
            <w:tcW w:w="1529" w:type="dxa"/>
            <w:noWrap/>
            <w:hideMark/>
          </w:tcPr>
          <w:p w14:paraId="10F26BC5" w14:textId="77777777" w:rsidR="001C19A4" w:rsidRPr="00D80F78" w:rsidRDefault="001C19A4" w:rsidP="005F27A6">
            <w:pPr>
              <w:spacing w:after="0"/>
              <w:rPr>
                <w:rFonts w:cs="Arial"/>
              </w:rPr>
            </w:pPr>
            <w:r w:rsidRPr="00D80F78">
              <w:rPr>
                <w:rFonts w:cs="Arial"/>
              </w:rPr>
              <w:t>Decreased</w:t>
            </w:r>
          </w:p>
        </w:tc>
        <w:tc>
          <w:tcPr>
            <w:tcW w:w="1790" w:type="dxa"/>
            <w:shd w:val="clear" w:color="auto" w:fill="FFF2CC" w:themeFill="accent4" w:themeFillTint="33"/>
            <w:noWrap/>
            <w:hideMark/>
          </w:tcPr>
          <w:p w14:paraId="3F1D1A5E" w14:textId="77777777" w:rsidR="001C19A4" w:rsidRPr="00D80F78" w:rsidRDefault="001C19A4" w:rsidP="005F27A6">
            <w:pPr>
              <w:spacing w:after="0"/>
              <w:rPr>
                <w:rFonts w:cs="Arial"/>
              </w:rPr>
            </w:pPr>
            <w:r w:rsidRPr="00D80F78">
              <w:rPr>
                <w:rFonts w:cs="Arial"/>
              </w:rPr>
              <w:t>Yellow</w:t>
            </w:r>
          </w:p>
        </w:tc>
      </w:tr>
      <w:tr w:rsidR="001C19A4" w:rsidRPr="00D80F78" w14:paraId="4E7206C6" w14:textId="77777777" w:rsidTr="005F27A6">
        <w:trPr>
          <w:trHeight w:val="288"/>
        </w:trPr>
        <w:tc>
          <w:tcPr>
            <w:tcW w:w="1611" w:type="dxa"/>
            <w:noWrap/>
            <w:hideMark/>
          </w:tcPr>
          <w:p w14:paraId="60285F1F" w14:textId="77777777" w:rsidR="001C19A4" w:rsidRPr="00D80F78" w:rsidRDefault="001C19A4" w:rsidP="005F27A6">
            <w:pPr>
              <w:spacing w:after="0"/>
              <w:rPr>
                <w:rFonts w:cs="Arial"/>
              </w:rPr>
            </w:pPr>
            <w:r w:rsidRPr="00D80F78">
              <w:rPr>
                <w:rFonts w:cs="Arial"/>
              </w:rPr>
              <w:t>Valley View Middle</w:t>
            </w:r>
          </w:p>
        </w:tc>
        <w:tc>
          <w:tcPr>
            <w:tcW w:w="1210" w:type="dxa"/>
            <w:noWrap/>
            <w:hideMark/>
          </w:tcPr>
          <w:p w14:paraId="07D6021B" w14:textId="77777777" w:rsidR="001C19A4" w:rsidRPr="00D80F78" w:rsidRDefault="001C19A4" w:rsidP="005F27A6">
            <w:pPr>
              <w:spacing w:after="0"/>
              <w:rPr>
                <w:rFonts w:cs="Arial"/>
              </w:rPr>
            </w:pPr>
            <w:r w:rsidRPr="00D80F78">
              <w:rPr>
                <w:rFonts w:cs="Arial"/>
              </w:rPr>
              <w:t>Low</w:t>
            </w:r>
          </w:p>
        </w:tc>
        <w:tc>
          <w:tcPr>
            <w:tcW w:w="1361" w:type="dxa"/>
            <w:noWrap/>
            <w:hideMark/>
          </w:tcPr>
          <w:p w14:paraId="381B711E" w14:textId="77777777" w:rsidR="001C19A4" w:rsidRPr="00D80F78" w:rsidRDefault="001C19A4" w:rsidP="005F27A6">
            <w:pPr>
              <w:spacing w:after="0"/>
              <w:rPr>
                <w:rFonts w:cs="Arial"/>
              </w:rPr>
            </w:pPr>
            <w:r w:rsidRPr="00D80F78">
              <w:rPr>
                <w:rFonts w:cs="Arial"/>
              </w:rPr>
              <w:t>42.4%</w:t>
            </w:r>
          </w:p>
        </w:tc>
        <w:tc>
          <w:tcPr>
            <w:tcW w:w="1189" w:type="dxa"/>
            <w:noWrap/>
            <w:hideMark/>
          </w:tcPr>
          <w:p w14:paraId="0FCF654B" w14:textId="77777777" w:rsidR="001C19A4" w:rsidRPr="00D80F78" w:rsidRDefault="001C19A4" w:rsidP="005F27A6">
            <w:pPr>
              <w:spacing w:after="0"/>
              <w:rPr>
                <w:rFonts w:cs="Arial"/>
              </w:rPr>
            </w:pPr>
            <w:r w:rsidRPr="00D80F78">
              <w:rPr>
                <w:rFonts w:cs="Arial"/>
              </w:rPr>
              <w:t>Medium</w:t>
            </w:r>
          </w:p>
        </w:tc>
        <w:tc>
          <w:tcPr>
            <w:tcW w:w="1511" w:type="dxa"/>
            <w:noWrap/>
            <w:hideMark/>
          </w:tcPr>
          <w:p w14:paraId="226D961C" w14:textId="77777777" w:rsidR="001C19A4" w:rsidRPr="00D80F78" w:rsidRDefault="001C19A4" w:rsidP="005F27A6">
            <w:pPr>
              <w:spacing w:after="0"/>
              <w:rPr>
                <w:rFonts w:cs="Arial"/>
              </w:rPr>
            </w:pPr>
            <w:r w:rsidRPr="00D80F78">
              <w:rPr>
                <w:rFonts w:cs="Arial"/>
              </w:rPr>
              <w:t>Maintained</w:t>
            </w:r>
          </w:p>
        </w:tc>
        <w:tc>
          <w:tcPr>
            <w:tcW w:w="1744" w:type="dxa"/>
            <w:shd w:val="clear" w:color="auto" w:fill="FFF2CC" w:themeFill="accent4" w:themeFillTint="33"/>
            <w:noWrap/>
            <w:hideMark/>
          </w:tcPr>
          <w:p w14:paraId="61247BEC" w14:textId="77777777" w:rsidR="001C19A4" w:rsidRPr="00D80F78" w:rsidRDefault="001C19A4" w:rsidP="005F27A6">
            <w:pPr>
              <w:spacing w:after="0"/>
              <w:rPr>
                <w:rFonts w:cs="Arial"/>
              </w:rPr>
            </w:pPr>
            <w:r w:rsidRPr="00D80F78">
              <w:rPr>
                <w:rFonts w:cs="Arial"/>
              </w:rPr>
              <w:t>Yellow</w:t>
            </w:r>
          </w:p>
        </w:tc>
        <w:tc>
          <w:tcPr>
            <w:tcW w:w="1103" w:type="dxa"/>
            <w:noWrap/>
            <w:hideMark/>
          </w:tcPr>
          <w:p w14:paraId="4FB2FF13" w14:textId="77777777" w:rsidR="001C19A4" w:rsidRPr="00D80F78" w:rsidRDefault="001C19A4" w:rsidP="005F27A6">
            <w:pPr>
              <w:spacing w:after="0"/>
              <w:rPr>
                <w:rFonts w:cs="Arial"/>
              </w:rPr>
            </w:pPr>
            <w:r w:rsidRPr="00D80F78">
              <w:rPr>
                <w:rFonts w:cs="Arial"/>
              </w:rPr>
              <w:t>Medium</w:t>
            </w:r>
          </w:p>
        </w:tc>
        <w:tc>
          <w:tcPr>
            <w:tcW w:w="1529" w:type="dxa"/>
            <w:noWrap/>
            <w:hideMark/>
          </w:tcPr>
          <w:p w14:paraId="20F05CC9" w14:textId="77777777" w:rsidR="001C19A4" w:rsidRPr="00D80F78" w:rsidRDefault="001C19A4" w:rsidP="005F27A6">
            <w:pPr>
              <w:spacing w:after="0"/>
              <w:rPr>
                <w:rFonts w:cs="Arial"/>
              </w:rPr>
            </w:pPr>
            <w:r w:rsidRPr="00D80F78">
              <w:rPr>
                <w:rFonts w:cs="Arial"/>
              </w:rPr>
              <w:t>Maintained</w:t>
            </w:r>
          </w:p>
        </w:tc>
        <w:tc>
          <w:tcPr>
            <w:tcW w:w="1790" w:type="dxa"/>
            <w:shd w:val="clear" w:color="auto" w:fill="FFF2CC" w:themeFill="accent4" w:themeFillTint="33"/>
            <w:noWrap/>
            <w:hideMark/>
          </w:tcPr>
          <w:p w14:paraId="40245F8A" w14:textId="77777777" w:rsidR="001C19A4" w:rsidRPr="00D80F78" w:rsidRDefault="001C19A4" w:rsidP="005F27A6">
            <w:pPr>
              <w:spacing w:after="0"/>
              <w:rPr>
                <w:rFonts w:cs="Arial"/>
              </w:rPr>
            </w:pPr>
            <w:r w:rsidRPr="00D80F78">
              <w:rPr>
                <w:rFonts w:cs="Arial"/>
              </w:rPr>
              <w:t>Yellow</w:t>
            </w:r>
          </w:p>
        </w:tc>
      </w:tr>
    </w:tbl>
    <w:p w14:paraId="077ACB60" w14:textId="77777777" w:rsidR="001C19A4" w:rsidRPr="00450755" w:rsidRDefault="001C19A4" w:rsidP="005F27A6">
      <w:pPr>
        <w:spacing w:before="120"/>
        <w:rPr>
          <w:rStyle w:val="Emphasis"/>
        </w:rPr>
      </w:pPr>
      <w:r w:rsidRPr="00450755">
        <w:rPr>
          <w:rStyle w:val="Emphasis"/>
        </w:rPr>
        <w:t>Source: California School Dashboard (2019)</w:t>
      </w:r>
    </w:p>
    <w:p w14:paraId="0CD8D581" w14:textId="77777777" w:rsidR="001C19A4" w:rsidRDefault="001C19A4">
      <w:pPr>
        <w:spacing w:after="160"/>
        <w:rPr>
          <w:rFonts w:cs="Arial"/>
          <w:b/>
        </w:rPr>
      </w:pPr>
      <w:r>
        <w:rPr>
          <w:rFonts w:cs="Arial"/>
          <w:b/>
        </w:rPr>
        <w:br w:type="page"/>
      </w:r>
    </w:p>
    <w:p w14:paraId="75836F1B" w14:textId="77777777" w:rsidR="001C19A4" w:rsidRPr="008A0D22" w:rsidRDefault="001C19A4" w:rsidP="008A0D22">
      <w:pPr>
        <w:pStyle w:val="Heading3"/>
        <w:numPr>
          <w:ilvl w:val="0"/>
          <w:numId w:val="0"/>
        </w:numPr>
        <w:rPr>
          <w:i/>
        </w:rPr>
      </w:pPr>
      <w:r w:rsidRPr="008A0D22">
        <w:rPr>
          <w:i/>
        </w:rPr>
        <w:lastRenderedPageBreak/>
        <w:t>Table A3a: Comprehensive High School Placement in California Accountability Model</w:t>
      </w:r>
    </w:p>
    <w:tbl>
      <w:tblPr>
        <w:tblStyle w:val="TableGrid"/>
        <w:tblW w:w="131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Description w:val="Table A3a provides the 2019-20 school-level placement in the California  Accountability Model for three California School Dashboard indicators (English Learner Progress, English Language Arts, Mathematics) for all comprehenstive high schools in the existing Mt. Diablo USD."/>
      </w:tblPr>
      <w:tblGrid>
        <w:gridCol w:w="1738"/>
        <w:gridCol w:w="1189"/>
        <w:gridCol w:w="1361"/>
        <w:gridCol w:w="1176"/>
        <w:gridCol w:w="1531"/>
        <w:gridCol w:w="1740"/>
        <w:gridCol w:w="1084"/>
        <w:gridCol w:w="1525"/>
        <w:gridCol w:w="1789"/>
      </w:tblGrid>
      <w:tr w:rsidR="001C19A4" w:rsidRPr="00875803" w14:paraId="6BFDD6CB" w14:textId="77777777" w:rsidTr="005F27A6">
        <w:trPr>
          <w:trHeight w:val="864"/>
          <w:tblHeader/>
        </w:trPr>
        <w:tc>
          <w:tcPr>
            <w:tcW w:w="1738" w:type="dxa"/>
            <w:shd w:val="clear" w:color="auto" w:fill="D9D9D9" w:themeFill="background1" w:themeFillShade="D9"/>
            <w:vAlign w:val="center"/>
            <w:hideMark/>
          </w:tcPr>
          <w:p w14:paraId="4E4A5652" w14:textId="77777777" w:rsidR="001C19A4" w:rsidRPr="00875803" w:rsidRDefault="001C19A4" w:rsidP="005F27A6">
            <w:pPr>
              <w:spacing w:after="0"/>
              <w:jc w:val="center"/>
              <w:rPr>
                <w:rFonts w:cs="Arial"/>
                <w:b/>
                <w:bCs/>
              </w:rPr>
            </w:pPr>
            <w:r w:rsidRPr="00875803">
              <w:rPr>
                <w:rFonts w:cs="Arial"/>
                <w:b/>
                <w:bCs/>
              </w:rPr>
              <w:t>School Name</w:t>
            </w:r>
          </w:p>
        </w:tc>
        <w:tc>
          <w:tcPr>
            <w:tcW w:w="1189" w:type="dxa"/>
            <w:shd w:val="clear" w:color="auto" w:fill="D9D9D9" w:themeFill="background1" w:themeFillShade="D9"/>
            <w:vAlign w:val="center"/>
            <w:hideMark/>
          </w:tcPr>
          <w:p w14:paraId="14DE56D7" w14:textId="77777777" w:rsidR="001C19A4" w:rsidRPr="00875803" w:rsidRDefault="001C19A4" w:rsidP="005F27A6">
            <w:pPr>
              <w:spacing w:after="0"/>
              <w:jc w:val="center"/>
              <w:rPr>
                <w:rFonts w:cs="Arial"/>
                <w:b/>
                <w:bCs/>
              </w:rPr>
            </w:pPr>
            <w:r w:rsidRPr="00875803">
              <w:rPr>
                <w:rFonts w:cs="Arial"/>
                <w:b/>
                <w:bCs/>
              </w:rPr>
              <w:t>ELP Status</w:t>
            </w:r>
          </w:p>
        </w:tc>
        <w:tc>
          <w:tcPr>
            <w:tcW w:w="1361" w:type="dxa"/>
            <w:shd w:val="clear" w:color="auto" w:fill="D9D9D9" w:themeFill="background1" w:themeFillShade="D9"/>
            <w:vAlign w:val="center"/>
            <w:hideMark/>
          </w:tcPr>
          <w:p w14:paraId="30B641C9" w14:textId="77777777" w:rsidR="001C19A4" w:rsidRPr="00875803" w:rsidRDefault="001C19A4" w:rsidP="005F27A6">
            <w:pPr>
              <w:spacing w:after="0"/>
              <w:jc w:val="center"/>
              <w:rPr>
                <w:rFonts w:cs="Arial"/>
                <w:b/>
                <w:bCs/>
              </w:rPr>
            </w:pPr>
            <w:r w:rsidRPr="00875803">
              <w:rPr>
                <w:rFonts w:cs="Arial"/>
                <w:b/>
                <w:bCs/>
              </w:rPr>
              <w:t xml:space="preserve">ELP </w:t>
            </w:r>
            <w:r>
              <w:rPr>
                <w:rFonts w:cs="Arial"/>
                <w:b/>
                <w:bCs/>
              </w:rPr>
              <w:t>Change</w:t>
            </w:r>
          </w:p>
        </w:tc>
        <w:tc>
          <w:tcPr>
            <w:tcW w:w="1176" w:type="dxa"/>
            <w:shd w:val="clear" w:color="auto" w:fill="D9D9D9" w:themeFill="background1" w:themeFillShade="D9"/>
            <w:vAlign w:val="center"/>
            <w:hideMark/>
          </w:tcPr>
          <w:p w14:paraId="5B068107" w14:textId="77777777" w:rsidR="001C19A4" w:rsidRPr="00875803" w:rsidRDefault="001C19A4" w:rsidP="005F27A6">
            <w:pPr>
              <w:spacing w:after="0"/>
              <w:jc w:val="center"/>
              <w:rPr>
                <w:rFonts w:cs="Arial"/>
                <w:b/>
                <w:bCs/>
              </w:rPr>
            </w:pPr>
            <w:r w:rsidRPr="00875803">
              <w:rPr>
                <w:rFonts w:cs="Arial"/>
                <w:b/>
                <w:bCs/>
              </w:rPr>
              <w:t>ELA Status</w:t>
            </w:r>
          </w:p>
        </w:tc>
        <w:tc>
          <w:tcPr>
            <w:tcW w:w="1531" w:type="dxa"/>
            <w:shd w:val="clear" w:color="auto" w:fill="D9D9D9" w:themeFill="background1" w:themeFillShade="D9"/>
            <w:vAlign w:val="center"/>
            <w:hideMark/>
          </w:tcPr>
          <w:p w14:paraId="2390CE8C" w14:textId="77777777" w:rsidR="001C19A4" w:rsidRPr="00875803" w:rsidRDefault="001C19A4" w:rsidP="005F27A6">
            <w:pPr>
              <w:spacing w:after="0"/>
              <w:jc w:val="center"/>
              <w:rPr>
                <w:rFonts w:cs="Arial"/>
                <w:b/>
                <w:bCs/>
              </w:rPr>
            </w:pPr>
            <w:r w:rsidRPr="00875803">
              <w:rPr>
                <w:rFonts w:cs="Arial"/>
                <w:b/>
                <w:bCs/>
              </w:rPr>
              <w:t>ELA Change</w:t>
            </w:r>
          </w:p>
        </w:tc>
        <w:tc>
          <w:tcPr>
            <w:tcW w:w="1740" w:type="dxa"/>
            <w:shd w:val="clear" w:color="auto" w:fill="D9D9D9" w:themeFill="background1" w:themeFillShade="D9"/>
            <w:vAlign w:val="center"/>
            <w:hideMark/>
          </w:tcPr>
          <w:p w14:paraId="0550A502" w14:textId="77777777" w:rsidR="001C19A4" w:rsidRPr="00875803" w:rsidRDefault="001C19A4" w:rsidP="005F27A6">
            <w:pPr>
              <w:spacing w:after="0"/>
              <w:jc w:val="center"/>
              <w:rPr>
                <w:rFonts w:cs="Arial"/>
                <w:b/>
                <w:bCs/>
              </w:rPr>
            </w:pPr>
            <w:r w:rsidRPr="00875803">
              <w:rPr>
                <w:rFonts w:cs="Arial"/>
                <w:b/>
                <w:bCs/>
              </w:rPr>
              <w:t>ELA Performance Level</w:t>
            </w:r>
          </w:p>
        </w:tc>
        <w:tc>
          <w:tcPr>
            <w:tcW w:w="1084" w:type="dxa"/>
            <w:shd w:val="clear" w:color="auto" w:fill="D9D9D9" w:themeFill="background1" w:themeFillShade="D9"/>
            <w:vAlign w:val="center"/>
            <w:hideMark/>
          </w:tcPr>
          <w:p w14:paraId="01D6F088" w14:textId="77777777" w:rsidR="001C19A4" w:rsidRPr="00875803" w:rsidRDefault="001C19A4" w:rsidP="005F27A6">
            <w:pPr>
              <w:spacing w:after="0"/>
              <w:jc w:val="center"/>
              <w:rPr>
                <w:rFonts w:cs="Arial"/>
                <w:b/>
                <w:bCs/>
              </w:rPr>
            </w:pPr>
            <w:r w:rsidRPr="00875803">
              <w:rPr>
                <w:rFonts w:cs="Arial"/>
                <w:b/>
                <w:bCs/>
              </w:rPr>
              <w:t>Math Status</w:t>
            </w:r>
          </w:p>
        </w:tc>
        <w:tc>
          <w:tcPr>
            <w:tcW w:w="1525" w:type="dxa"/>
            <w:shd w:val="clear" w:color="auto" w:fill="D9D9D9" w:themeFill="background1" w:themeFillShade="D9"/>
            <w:vAlign w:val="center"/>
            <w:hideMark/>
          </w:tcPr>
          <w:p w14:paraId="2DD64ABA" w14:textId="77777777" w:rsidR="001C19A4" w:rsidRPr="00875803" w:rsidRDefault="001C19A4" w:rsidP="005F27A6">
            <w:pPr>
              <w:spacing w:after="0"/>
              <w:jc w:val="center"/>
              <w:rPr>
                <w:rFonts w:cs="Arial"/>
                <w:b/>
                <w:bCs/>
              </w:rPr>
            </w:pPr>
            <w:r w:rsidRPr="00875803">
              <w:rPr>
                <w:rFonts w:cs="Arial"/>
                <w:b/>
                <w:bCs/>
              </w:rPr>
              <w:t>Math Change</w:t>
            </w:r>
          </w:p>
        </w:tc>
        <w:tc>
          <w:tcPr>
            <w:tcW w:w="1789" w:type="dxa"/>
            <w:shd w:val="clear" w:color="auto" w:fill="D9D9D9" w:themeFill="background1" w:themeFillShade="D9"/>
            <w:vAlign w:val="center"/>
            <w:hideMark/>
          </w:tcPr>
          <w:p w14:paraId="10FD99B1" w14:textId="77777777" w:rsidR="001C19A4" w:rsidRPr="00875803" w:rsidRDefault="001C19A4" w:rsidP="005F27A6">
            <w:pPr>
              <w:spacing w:after="0"/>
              <w:jc w:val="center"/>
              <w:rPr>
                <w:rFonts w:cs="Arial"/>
                <w:b/>
                <w:bCs/>
              </w:rPr>
            </w:pPr>
            <w:r w:rsidRPr="00875803">
              <w:rPr>
                <w:rFonts w:cs="Arial"/>
                <w:b/>
                <w:bCs/>
              </w:rPr>
              <w:t>Math Performance Level</w:t>
            </w:r>
          </w:p>
        </w:tc>
      </w:tr>
      <w:tr w:rsidR="001C19A4" w:rsidRPr="00875803" w14:paraId="1823BAD6" w14:textId="77777777" w:rsidTr="005F27A6">
        <w:trPr>
          <w:trHeight w:val="288"/>
        </w:trPr>
        <w:tc>
          <w:tcPr>
            <w:tcW w:w="1738" w:type="dxa"/>
            <w:noWrap/>
            <w:hideMark/>
          </w:tcPr>
          <w:p w14:paraId="04260C22" w14:textId="77777777" w:rsidR="001C19A4" w:rsidRPr="00875803" w:rsidRDefault="001C19A4" w:rsidP="005F27A6">
            <w:pPr>
              <w:spacing w:after="0"/>
              <w:rPr>
                <w:rFonts w:cs="Arial"/>
              </w:rPr>
            </w:pPr>
            <w:r w:rsidRPr="00875803">
              <w:rPr>
                <w:rFonts w:cs="Arial"/>
              </w:rPr>
              <w:t>College Park High</w:t>
            </w:r>
          </w:p>
        </w:tc>
        <w:tc>
          <w:tcPr>
            <w:tcW w:w="1189" w:type="dxa"/>
            <w:noWrap/>
            <w:hideMark/>
          </w:tcPr>
          <w:p w14:paraId="42AC147F" w14:textId="77777777" w:rsidR="001C19A4" w:rsidRPr="00875803" w:rsidRDefault="001C19A4" w:rsidP="005F27A6">
            <w:pPr>
              <w:spacing w:after="0"/>
              <w:rPr>
                <w:rFonts w:cs="Arial"/>
              </w:rPr>
            </w:pPr>
            <w:r w:rsidRPr="00875803">
              <w:rPr>
                <w:rFonts w:cs="Arial"/>
              </w:rPr>
              <w:t>High</w:t>
            </w:r>
          </w:p>
        </w:tc>
        <w:tc>
          <w:tcPr>
            <w:tcW w:w="1361" w:type="dxa"/>
            <w:noWrap/>
            <w:hideMark/>
          </w:tcPr>
          <w:p w14:paraId="5E9B230D" w14:textId="77777777" w:rsidR="001C19A4" w:rsidRPr="00875803" w:rsidRDefault="001C19A4" w:rsidP="005F27A6">
            <w:pPr>
              <w:spacing w:after="0"/>
              <w:rPr>
                <w:rFonts w:cs="Arial"/>
              </w:rPr>
            </w:pPr>
            <w:r w:rsidRPr="00875803">
              <w:rPr>
                <w:rFonts w:cs="Arial"/>
              </w:rPr>
              <w:t>57.1%</w:t>
            </w:r>
          </w:p>
        </w:tc>
        <w:tc>
          <w:tcPr>
            <w:tcW w:w="1176" w:type="dxa"/>
            <w:noWrap/>
            <w:hideMark/>
          </w:tcPr>
          <w:p w14:paraId="009C9E8A" w14:textId="77777777" w:rsidR="001C19A4" w:rsidRPr="00875803" w:rsidRDefault="001C19A4" w:rsidP="005F27A6">
            <w:pPr>
              <w:spacing w:after="0"/>
              <w:rPr>
                <w:rFonts w:cs="Arial"/>
              </w:rPr>
            </w:pPr>
            <w:r w:rsidRPr="00875803">
              <w:rPr>
                <w:rFonts w:cs="Arial"/>
              </w:rPr>
              <w:t>High</w:t>
            </w:r>
          </w:p>
        </w:tc>
        <w:tc>
          <w:tcPr>
            <w:tcW w:w="1531" w:type="dxa"/>
            <w:noWrap/>
            <w:hideMark/>
          </w:tcPr>
          <w:p w14:paraId="137ACE6E" w14:textId="77777777" w:rsidR="001C19A4" w:rsidRPr="00875803" w:rsidRDefault="001C19A4" w:rsidP="005F27A6">
            <w:pPr>
              <w:spacing w:after="0"/>
              <w:rPr>
                <w:rFonts w:cs="Arial"/>
              </w:rPr>
            </w:pPr>
            <w:r w:rsidRPr="00875803">
              <w:rPr>
                <w:rFonts w:cs="Arial"/>
              </w:rPr>
              <w:t>Maintained</w:t>
            </w:r>
          </w:p>
        </w:tc>
        <w:tc>
          <w:tcPr>
            <w:tcW w:w="1740" w:type="dxa"/>
            <w:shd w:val="clear" w:color="auto" w:fill="C5E0B3" w:themeFill="accent6" w:themeFillTint="66"/>
            <w:noWrap/>
            <w:hideMark/>
          </w:tcPr>
          <w:p w14:paraId="694E1193" w14:textId="77777777" w:rsidR="001C19A4" w:rsidRPr="00875803" w:rsidRDefault="001C19A4" w:rsidP="005F27A6">
            <w:pPr>
              <w:spacing w:after="0"/>
              <w:rPr>
                <w:rFonts w:cs="Arial"/>
              </w:rPr>
            </w:pPr>
            <w:r w:rsidRPr="00875803">
              <w:rPr>
                <w:rFonts w:cs="Arial"/>
              </w:rPr>
              <w:t>Green</w:t>
            </w:r>
          </w:p>
        </w:tc>
        <w:tc>
          <w:tcPr>
            <w:tcW w:w="1084" w:type="dxa"/>
            <w:noWrap/>
            <w:hideMark/>
          </w:tcPr>
          <w:p w14:paraId="730521E8" w14:textId="77777777" w:rsidR="001C19A4" w:rsidRPr="00875803" w:rsidRDefault="001C19A4" w:rsidP="005F27A6">
            <w:pPr>
              <w:spacing w:after="0"/>
              <w:rPr>
                <w:rFonts w:cs="Arial"/>
              </w:rPr>
            </w:pPr>
            <w:r w:rsidRPr="00875803">
              <w:rPr>
                <w:rFonts w:cs="Arial"/>
              </w:rPr>
              <w:t>Medium</w:t>
            </w:r>
          </w:p>
        </w:tc>
        <w:tc>
          <w:tcPr>
            <w:tcW w:w="1525" w:type="dxa"/>
            <w:noWrap/>
            <w:hideMark/>
          </w:tcPr>
          <w:p w14:paraId="26F2C036" w14:textId="77777777" w:rsidR="001C19A4" w:rsidRPr="00875803" w:rsidRDefault="001C19A4" w:rsidP="005F27A6">
            <w:pPr>
              <w:spacing w:after="0"/>
              <w:rPr>
                <w:rFonts w:cs="Arial"/>
              </w:rPr>
            </w:pPr>
            <w:r w:rsidRPr="00875803">
              <w:rPr>
                <w:rFonts w:cs="Arial"/>
              </w:rPr>
              <w:t>Decreased</w:t>
            </w:r>
          </w:p>
        </w:tc>
        <w:tc>
          <w:tcPr>
            <w:tcW w:w="1789" w:type="dxa"/>
            <w:shd w:val="clear" w:color="auto" w:fill="FFF2CC" w:themeFill="accent4" w:themeFillTint="33"/>
            <w:noWrap/>
            <w:hideMark/>
          </w:tcPr>
          <w:p w14:paraId="49C4A611" w14:textId="77777777" w:rsidR="001C19A4" w:rsidRPr="00875803" w:rsidRDefault="001C19A4" w:rsidP="005F27A6">
            <w:pPr>
              <w:spacing w:after="0"/>
              <w:rPr>
                <w:rFonts w:cs="Arial"/>
              </w:rPr>
            </w:pPr>
            <w:r w:rsidRPr="00875803">
              <w:rPr>
                <w:rFonts w:cs="Arial"/>
              </w:rPr>
              <w:t>Yellow</w:t>
            </w:r>
          </w:p>
        </w:tc>
      </w:tr>
      <w:tr w:rsidR="001C19A4" w:rsidRPr="00875803" w14:paraId="6E41CDB4" w14:textId="77777777" w:rsidTr="005F27A6">
        <w:trPr>
          <w:trHeight w:val="288"/>
        </w:trPr>
        <w:tc>
          <w:tcPr>
            <w:tcW w:w="1738" w:type="dxa"/>
            <w:noWrap/>
            <w:hideMark/>
          </w:tcPr>
          <w:p w14:paraId="2DC3635C" w14:textId="77777777" w:rsidR="001C19A4" w:rsidRPr="00875803" w:rsidRDefault="001C19A4" w:rsidP="005F27A6">
            <w:pPr>
              <w:spacing w:after="0"/>
              <w:rPr>
                <w:rFonts w:cs="Arial"/>
              </w:rPr>
            </w:pPr>
            <w:r w:rsidRPr="00875803">
              <w:rPr>
                <w:rFonts w:cs="Arial"/>
              </w:rPr>
              <w:t>Concord High</w:t>
            </w:r>
          </w:p>
        </w:tc>
        <w:tc>
          <w:tcPr>
            <w:tcW w:w="1189" w:type="dxa"/>
            <w:noWrap/>
            <w:hideMark/>
          </w:tcPr>
          <w:p w14:paraId="3BC77C11" w14:textId="77777777" w:rsidR="001C19A4" w:rsidRPr="00875803" w:rsidRDefault="001C19A4" w:rsidP="005F27A6">
            <w:pPr>
              <w:spacing w:after="0"/>
              <w:rPr>
                <w:rFonts w:cs="Arial"/>
              </w:rPr>
            </w:pPr>
            <w:r w:rsidRPr="00875803">
              <w:rPr>
                <w:rFonts w:cs="Arial"/>
              </w:rPr>
              <w:t>Low</w:t>
            </w:r>
          </w:p>
        </w:tc>
        <w:tc>
          <w:tcPr>
            <w:tcW w:w="1361" w:type="dxa"/>
            <w:noWrap/>
            <w:hideMark/>
          </w:tcPr>
          <w:p w14:paraId="6EEF6221" w14:textId="77777777" w:rsidR="001C19A4" w:rsidRPr="00875803" w:rsidRDefault="001C19A4" w:rsidP="005F27A6">
            <w:pPr>
              <w:spacing w:after="0"/>
              <w:rPr>
                <w:rFonts w:cs="Arial"/>
              </w:rPr>
            </w:pPr>
            <w:r w:rsidRPr="00875803">
              <w:rPr>
                <w:rFonts w:cs="Arial"/>
              </w:rPr>
              <w:t>42.3%</w:t>
            </w:r>
          </w:p>
        </w:tc>
        <w:tc>
          <w:tcPr>
            <w:tcW w:w="1176" w:type="dxa"/>
            <w:noWrap/>
            <w:hideMark/>
          </w:tcPr>
          <w:p w14:paraId="7094708A" w14:textId="77777777" w:rsidR="001C19A4" w:rsidRPr="00875803" w:rsidRDefault="001C19A4" w:rsidP="005F27A6">
            <w:pPr>
              <w:spacing w:after="0"/>
              <w:rPr>
                <w:rFonts w:cs="Arial"/>
              </w:rPr>
            </w:pPr>
            <w:r w:rsidRPr="00875803">
              <w:rPr>
                <w:rFonts w:cs="Arial"/>
              </w:rPr>
              <w:t>Low</w:t>
            </w:r>
          </w:p>
        </w:tc>
        <w:tc>
          <w:tcPr>
            <w:tcW w:w="1531" w:type="dxa"/>
            <w:noWrap/>
            <w:hideMark/>
          </w:tcPr>
          <w:p w14:paraId="09AE5559" w14:textId="77777777" w:rsidR="001C19A4" w:rsidRPr="00875803" w:rsidRDefault="001C19A4" w:rsidP="005F27A6">
            <w:pPr>
              <w:spacing w:after="0"/>
              <w:rPr>
                <w:rFonts w:cs="Arial"/>
              </w:rPr>
            </w:pPr>
            <w:r w:rsidRPr="00875803">
              <w:rPr>
                <w:rFonts w:cs="Arial"/>
              </w:rPr>
              <w:t>Maintained</w:t>
            </w:r>
          </w:p>
        </w:tc>
        <w:tc>
          <w:tcPr>
            <w:tcW w:w="1740" w:type="dxa"/>
            <w:shd w:val="clear" w:color="auto" w:fill="F7CAAC" w:themeFill="accent2" w:themeFillTint="66"/>
            <w:noWrap/>
            <w:hideMark/>
          </w:tcPr>
          <w:p w14:paraId="000CEA83" w14:textId="77777777" w:rsidR="001C19A4" w:rsidRPr="00875803" w:rsidRDefault="001C19A4" w:rsidP="005F27A6">
            <w:pPr>
              <w:spacing w:after="0"/>
              <w:rPr>
                <w:rFonts w:cs="Arial"/>
              </w:rPr>
            </w:pPr>
            <w:r w:rsidRPr="00875803">
              <w:rPr>
                <w:rFonts w:cs="Arial"/>
              </w:rPr>
              <w:t>Orange</w:t>
            </w:r>
          </w:p>
        </w:tc>
        <w:tc>
          <w:tcPr>
            <w:tcW w:w="1084" w:type="dxa"/>
            <w:noWrap/>
            <w:hideMark/>
          </w:tcPr>
          <w:p w14:paraId="0A8D5964" w14:textId="77777777" w:rsidR="001C19A4" w:rsidRPr="00875803" w:rsidRDefault="001C19A4" w:rsidP="005F27A6">
            <w:pPr>
              <w:spacing w:after="0"/>
              <w:rPr>
                <w:rFonts w:cs="Arial"/>
              </w:rPr>
            </w:pPr>
            <w:r w:rsidRPr="00875803">
              <w:rPr>
                <w:rFonts w:cs="Arial"/>
              </w:rPr>
              <w:t>Medium</w:t>
            </w:r>
          </w:p>
        </w:tc>
        <w:tc>
          <w:tcPr>
            <w:tcW w:w="1525" w:type="dxa"/>
            <w:noWrap/>
            <w:hideMark/>
          </w:tcPr>
          <w:p w14:paraId="6BAB14D6" w14:textId="77777777" w:rsidR="001C19A4" w:rsidRPr="00875803" w:rsidRDefault="001C19A4" w:rsidP="005F27A6">
            <w:pPr>
              <w:spacing w:after="0"/>
              <w:rPr>
                <w:rFonts w:cs="Arial"/>
              </w:rPr>
            </w:pPr>
            <w:r w:rsidRPr="00875803">
              <w:rPr>
                <w:rFonts w:cs="Arial"/>
              </w:rPr>
              <w:t>Increased</w:t>
            </w:r>
          </w:p>
        </w:tc>
        <w:tc>
          <w:tcPr>
            <w:tcW w:w="1789" w:type="dxa"/>
            <w:shd w:val="clear" w:color="auto" w:fill="C5E0B3" w:themeFill="accent6" w:themeFillTint="66"/>
            <w:noWrap/>
            <w:hideMark/>
          </w:tcPr>
          <w:p w14:paraId="1D4B567D" w14:textId="77777777" w:rsidR="001C19A4" w:rsidRPr="00875803" w:rsidRDefault="001C19A4" w:rsidP="005F27A6">
            <w:pPr>
              <w:spacing w:after="0"/>
              <w:rPr>
                <w:rFonts w:cs="Arial"/>
              </w:rPr>
            </w:pPr>
            <w:r w:rsidRPr="00875803">
              <w:rPr>
                <w:rFonts w:cs="Arial"/>
              </w:rPr>
              <w:t>Green</w:t>
            </w:r>
          </w:p>
        </w:tc>
      </w:tr>
      <w:tr w:rsidR="001C19A4" w:rsidRPr="00875803" w14:paraId="30784295" w14:textId="77777777" w:rsidTr="005F27A6">
        <w:trPr>
          <w:trHeight w:val="288"/>
        </w:trPr>
        <w:tc>
          <w:tcPr>
            <w:tcW w:w="1738" w:type="dxa"/>
            <w:noWrap/>
            <w:hideMark/>
          </w:tcPr>
          <w:p w14:paraId="6D7D597D" w14:textId="77777777" w:rsidR="001C19A4" w:rsidRPr="00875803" w:rsidRDefault="001C19A4" w:rsidP="005F27A6">
            <w:pPr>
              <w:spacing w:after="0"/>
              <w:rPr>
                <w:rFonts w:cs="Arial"/>
              </w:rPr>
            </w:pPr>
            <w:r w:rsidRPr="00875803">
              <w:rPr>
                <w:rFonts w:cs="Arial"/>
              </w:rPr>
              <w:t>Mt. Diablo High</w:t>
            </w:r>
          </w:p>
        </w:tc>
        <w:tc>
          <w:tcPr>
            <w:tcW w:w="1189" w:type="dxa"/>
            <w:noWrap/>
            <w:hideMark/>
          </w:tcPr>
          <w:p w14:paraId="7CDF0E36" w14:textId="77777777" w:rsidR="001C19A4" w:rsidRPr="00875803" w:rsidRDefault="001C19A4" w:rsidP="005F27A6">
            <w:pPr>
              <w:spacing w:after="0"/>
              <w:rPr>
                <w:rFonts w:cs="Arial"/>
              </w:rPr>
            </w:pPr>
            <w:r w:rsidRPr="00875803">
              <w:rPr>
                <w:rFonts w:cs="Arial"/>
              </w:rPr>
              <w:t>Medium</w:t>
            </w:r>
          </w:p>
        </w:tc>
        <w:tc>
          <w:tcPr>
            <w:tcW w:w="1361" w:type="dxa"/>
            <w:noWrap/>
            <w:hideMark/>
          </w:tcPr>
          <w:p w14:paraId="14312CEC" w14:textId="77777777" w:rsidR="001C19A4" w:rsidRPr="00875803" w:rsidRDefault="001C19A4" w:rsidP="005F27A6">
            <w:pPr>
              <w:spacing w:after="0"/>
              <w:rPr>
                <w:rFonts w:cs="Arial"/>
              </w:rPr>
            </w:pPr>
            <w:r w:rsidRPr="00875803">
              <w:rPr>
                <w:rFonts w:cs="Arial"/>
              </w:rPr>
              <w:t>45.8%</w:t>
            </w:r>
          </w:p>
        </w:tc>
        <w:tc>
          <w:tcPr>
            <w:tcW w:w="1176" w:type="dxa"/>
            <w:noWrap/>
            <w:hideMark/>
          </w:tcPr>
          <w:p w14:paraId="3D952497" w14:textId="77777777" w:rsidR="001C19A4" w:rsidRPr="00875803" w:rsidRDefault="001C19A4" w:rsidP="005F27A6">
            <w:pPr>
              <w:spacing w:after="0"/>
              <w:rPr>
                <w:rFonts w:cs="Arial"/>
              </w:rPr>
            </w:pPr>
            <w:r w:rsidRPr="00875803">
              <w:rPr>
                <w:rFonts w:cs="Arial"/>
              </w:rPr>
              <w:t>Low</w:t>
            </w:r>
          </w:p>
        </w:tc>
        <w:tc>
          <w:tcPr>
            <w:tcW w:w="1531" w:type="dxa"/>
            <w:noWrap/>
            <w:hideMark/>
          </w:tcPr>
          <w:p w14:paraId="1DA979F1" w14:textId="77777777" w:rsidR="001C19A4" w:rsidRPr="00875803" w:rsidRDefault="001C19A4" w:rsidP="005F27A6">
            <w:pPr>
              <w:spacing w:after="0"/>
              <w:rPr>
                <w:rFonts w:cs="Arial"/>
              </w:rPr>
            </w:pPr>
            <w:r w:rsidRPr="00875803">
              <w:rPr>
                <w:rFonts w:cs="Arial"/>
              </w:rPr>
              <w:t>Decreased Sign</w:t>
            </w:r>
            <w:r>
              <w:rPr>
                <w:rFonts w:cs="Arial"/>
              </w:rPr>
              <w:t>i</w:t>
            </w:r>
            <w:r w:rsidRPr="00875803">
              <w:rPr>
                <w:rFonts w:cs="Arial"/>
              </w:rPr>
              <w:t>ficantly</w:t>
            </w:r>
          </w:p>
        </w:tc>
        <w:tc>
          <w:tcPr>
            <w:tcW w:w="1740" w:type="dxa"/>
            <w:shd w:val="clear" w:color="auto" w:fill="F7CAAC" w:themeFill="accent2" w:themeFillTint="66"/>
            <w:noWrap/>
            <w:hideMark/>
          </w:tcPr>
          <w:p w14:paraId="09B7D82A" w14:textId="77777777" w:rsidR="001C19A4" w:rsidRPr="00875803" w:rsidRDefault="001C19A4" w:rsidP="005F27A6">
            <w:pPr>
              <w:spacing w:after="0"/>
              <w:rPr>
                <w:rFonts w:cs="Arial"/>
              </w:rPr>
            </w:pPr>
            <w:r w:rsidRPr="00875803">
              <w:rPr>
                <w:rFonts w:cs="Arial"/>
              </w:rPr>
              <w:t>Orange</w:t>
            </w:r>
          </w:p>
        </w:tc>
        <w:tc>
          <w:tcPr>
            <w:tcW w:w="1084" w:type="dxa"/>
            <w:noWrap/>
            <w:hideMark/>
          </w:tcPr>
          <w:p w14:paraId="6CEC6CEA" w14:textId="77777777" w:rsidR="001C19A4" w:rsidRPr="00875803" w:rsidRDefault="001C19A4" w:rsidP="005F27A6">
            <w:pPr>
              <w:spacing w:after="0"/>
              <w:rPr>
                <w:rFonts w:cs="Arial"/>
              </w:rPr>
            </w:pPr>
            <w:r w:rsidRPr="00875803">
              <w:rPr>
                <w:rFonts w:cs="Arial"/>
              </w:rPr>
              <w:t>Very Low</w:t>
            </w:r>
          </w:p>
        </w:tc>
        <w:tc>
          <w:tcPr>
            <w:tcW w:w="1525" w:type="dxa"/>
            <w:noWrap/>
            <w:hideMark/>
          </w:tcPr>
          <w:p w14:paraId="451B4CE9" w14:textId="77777777" w:rsidR="001C19A4" w:rsidRPr="00875803" w:rsidRDefault="001C19A4" w:rsidP="005F27A6">
            <w:pPr>
              <w:spacing w:after="0"/>
              <w:rPr>
                <w:rFonts w:cs="Arial"/>
              </w:rPr>
            </w:pPr>
            <w:r w:rsidRPr="00875803">
              <w:rPr>
                <w:rFonts w:cs="Arial"/>
              </w:rPr>
              <w:t>Decreased Significantly</w:t>
            </w:r>
          </w:p>
        </w:tc>
        <w:tc>
          <w:tcPr>
            <w:tcW w:w="1789" w:type="dxa"/>
            <w:shd w:val="clear" w:color="auto" w:fill="FF9797"/>
            <w:noWrap/>
            <w:hideMark/>
          </w:tcPr>
          <w:p w14:paraId="436262E2" w14:textId="77777777" w:rsidR="001C19A4" w:rsidRPr="00875803" w:rsidRDefault="001C19A4" w:rsidP="005F27A6">
            <w:pPr>
              <w:spacing w:after="0"/>
              <w:rPr>
                <w:rFonts w:cs="Arial"/>
              </w:rPr>
            </w:pPr>
            <w:r w:rsidRPr="00875803">
              <w:rPr>
                <w:rFonts w:cs="Arial"/>
              </w:rPr>
              <w:t>Red</w:t>
            </w:r>
          </w:p>
        </w:tc>
      </w:tr>
      <w:tr w:rsidR="001C19A4" w:rsidRPr="00875803" w14:paraId="4CFBE5AC" w14:textId="77777777" w:rsidTr="005F27A6">
        <w:trPr>
          <w:trHeight w:val="288"/>
        </w:trPr>
        <w:tc>
          <w:tcPr>
            <w:tcW w:w="1738" w:type="dxa"/>
            <w:noWrap/>
            <w:hideMark/>
          </w:tcPr>
          <w:p w14:paraId="109F16BD" w14:textId="77777777" w:rsidR="001C19A4" w:rsidRPr="00875803" w:rsidRDefault="001C19A4" w:rsidP="005F27A6">
            <w:pPr>
              <w:spacing w:after="0"/>
              <w:rPr>
                <w:rFonts w:cs="Arial"/>
              </w:rPr>
            </w:pPr>
            <w:r w:rsidRPr="00875803">
              <w:rPr>
                <w:rFonts w:cs="Arial"/>
              </w:rPr>
              <w:t>Northgate High</w:t>
            </w:r>
          </w:p>
        </w:tc>
        <w:tc>
          <w:tcPr>
            <w:tcW w:w="1189" w:type="dxa"/>
            <w:noWrap/>
            <w:hideMark/>
          </w:tcPr>
          <w:p w14:paraId="42380483" w14:textId="77777777" w:rsidR="001C19A4" w:rsidRPr="00875803" w:rsidRDefault="001C19A4" w:rsidP="005F27A6">
            <w:pPr>
              <w:spacing w:after="0"/>
              <w:rPr>
                <w:rFonts w:cs="Arial"/>
              </w:rPr>
            </w:pPr>
            <w:r w:rsidRPr="00875803">
              <w:rPr>
                <w:rFonts w:cs="Arial"/>
              </w:rPr>
              <w:t>Low</w:t>
            </w:r>
          </w:p>
        </w:tc>
        <w:tc>
          <w:tcPr>
            <w:tcW w:w="1361" w:type="dxa"/>
            <w:noWrap/>
            <w:hideMark/>
          </w:tcPr>
          <w:p w14:paraId="7A11E3BD" w14:textId="77777777" w:rsidR="001C19A4" w:rsidRPr="00875803" w:rsidRDefault="001C19A4" w:rsidP="005F27A6">
            <w:pPr>
              <w:spacing w:after="0"/>
              <w:rPr>
                <w:rFonts w:cs="Arial"/>
              </w:rPr>
            </w:pPr>
            <w:r w:rsidRPr="00875803">
              <w:rPr>
                <w:rFonts w:cs="Arial"/>
              </w:rPr>
              <w:t>60.0%</w:t>
            </w:r>
          </w:p>
        </w:tc>
        <w:tc>
          <w:tcPr>
            <w:tcW w:w="1176" w:type="dxa"/>
            <w:noWrap/>
            <w:hideMark/>
          </w:tcPr>
          <w:p w14:paraId="1B5AB4CF" w14:textId="77777777" w:rsidR="001C19A4" w:rsidRPr="00875803" w:rsidRDefault="001C19A4" w:rsidP="005F27A6">
            <w:pPr>
              <w:spacing w:after="0"/>
              <w:rPr>
                <w:rFonts w:cs="Arial"/>
              </w:rPr>
            </w:pPr>
            <w:r w:rsidRPr="00875803">
              <w:rPr>
                <w:rFonts w:cs="Arial"/>
              </w:rPr>
              <w:t>Very High</w:t>
            </w:r>
          </w:p>
        </w:tc>
        <w:tc>
          <w:tcPr>
            <w:tcW w:w="1531" w:type="dxa"/>
            <w:noWrap/>
            <w:hideMark/>
          </w:tcPr>
          <w:p w14:paraId="01D73974" w14:textId="77777777" w:rsidR="001C19A4" w:rsidRPr="00875803" w:rsidRDefault="001C19A4" w:rsidP="005F27A6">
            <w:pPr>
              <w:spacing w:after="0"/>
              <w:rPr>
                <w:rFonts w:cs="Arial"/>
              </w:rPr>
            </w:pPr>
            <w:r w:rsidRPr="00875803">
              <w:rPr>
                <w:rFonts w:cs="Arial"/>
              </w:rPr>
              <w:t>Increased</w:t>
            </w:r>
          </w:p>
        </w:tc>
        <w:tc>
          <w:tcPr>
            <w:tcW w:w="1740" w:type="dxa"/>
            <w:shd w:val="clear" w:color="auto" w:fill="D9E2F3" w:themeFill="accent1" w:themeFillTint="33"/>
            <w:noWrap/>
            <w:hideMark/>
          </w:tcPr>
          <w:p w14:paraId="38C3B8DC" w14:textId="77777777" w:rsidR="001C19A4" w:rsidRPr="00875803" w:rsidRDefault="001C19A4" w:rsidP="005F27A6">
            <w:pPr>
              <w:spacing w:after="0"/>
              <w:rPr>
                <w:rFonts w:cs="Arial"/>
              </w:rPr>
            </w:pPr>
            <w:r w:rsidRPr="00875803">
              <w:rPr>
                <w:rFonts w:cs="Arial"/>
              </w:rPr>
              <w:t>Blue</w:t>
            </w:r>
          </w:p>
        </w:tc>
        <w:tc>
          <w:tcPr>
            <w:tcW w:w="1084" w:type="dxa"/>
            <w:noWrap/>
            <w:hideMark/>
          </w:tcPr>
          <w:p w14:paraId="47979FB9" w14:textId="77777777" w:rsidR="001C19A4" w:rsidRPr="00875803" w:rsidRDefault="001C19A4" w:rsidP="005F27A6">
            <w:pPr>
              <w:spacing w:after="0"/>
              <w:rPr>
                <w:rFonts w:cs="Arial"/>
              </w:rPr>
            </w:pPr>
            <w:r w:rsidRPr="00875803">
              <w:rPr>
                <w:rFonts w:cs="Arial"/>
              </w:rPr>
              <w:t>Very High</w:t>
            </w:r>
          </w:p>
        </w:tc>
        <w:tc>
          <w:tcPr>
            <w:tcW w:w="1525" w:type="dxa"/>
            <w:noWrap/>
            <w:hideMark/>
          </w:tcPr>
          <w:p w14:paraId="1ED757D9" w14:textId="77777777" w:rsidR="001C19A4" w:rsidRPr="00875803" w:rsidRDefault="001C19A4" w:rsidP="005F27A6">
            <w:pPr>
              <w:spacing w:after="0"/>
              <w:rPr>
                <w:rFonts w:cs="Arial"/>
              </w:rPr>
            </w:pPr>
            <w:r w:rsidRPr="00875803">
              <w:rPr>
                <w:rFonts w:cs="Arial"/>
              </w:rPr>
              <w:t>Increased Significantly</w:t>
            </w:r>
          </w:p>
        </w:tc>
        <w:tc>
          <w:tcPr>
            <w:tcW w:w="1789" w:type="dxa"/>
            <w:shd w:val="clear" w:color="auto" w:fill="D9E2F3" w:themeFill="accent1" w:themeFillTint="33"/>
            <w:noWrap/>
            <w:hideMark/>
          </w:tcPr>
          <w:p w14:paraId="4651D8ED" w14:textId="77777777" w:rsidR="001C19A4" w:rsidRPr="00875803" w:rsidRDefault="001C19A4" w:rsidP="005F27A6">
            <w:pPr>
              <w:spacing w:after="0"/>
              <w:rPr>
                <w:rFonts w:cs="Arial"/>
              </w:rPr>
            </w:pPr>
            <w:r w:rsidRPr="00875803">
              <w:rPr>
                <w:rFonts w:cs="Arial"/>
              </w:rPr>
              <w:t>Blue</w:t>
            </w:r>
          </w:p>
        </w:tc>
      </w:tr>
      <w:tr w:rsidR="001C19A4" w:rsidRPr="00875803" w14:paraId="0E05F962" w14:textId="77777777" w:rsidTr="005F27A6">
        <w:trPr>
          <w:trHeight w:val="288"/>
        </w:trPr>
        <w:tc>
          <w:tcPr>
            <w:tcW w:w="1738" w:type="dxa"/>
            <w:noWrap/>
            <w:hideMark/>
          </w:tcPr>
          <w:p w14:paraId="76A6CEB3" w14:textId="77777777" w:rsidR="001C19A4" w:rsidRPr="00875803" w:rsidRDefault="001C19A4" w:rsidP="005F27A6">
            <w:pPr>
              <w:spacing w:after="0"/>
              <w:rPr>
                <w:rFonts w:cs="Arial"/>
              </w:rPr>
            </w:pPr>
            <w:r w:rsidRPr="00875803">
              <w:rPr>
                <w:rFonts w:cs="Arial"/>
              </w:rPr>
              <w:t>Ygnacio Valley High</w:t>
            </w:r>
          </w:p>
        </w:tc>
        <w:tc>
          <w:tcPr>
            <w:tcW w:w="1189" w:type="dxa"/>
            <w:noWrap/>
            <w:hideMark/>
          </w:tcPr>
          <w:p w14:paraId="78549359" w14:textId="77777777" w:rsidR="001C19A4" w:rsidRPr="00875803" w:rsidRDefault="001C19A4" w:rsidP="005F27A6">
            <w:pPr>
              <w:spacing w:after="0"/>
              <w:rPr>
                <w:rFonts w:cs="Arial"/>
              </w:rPr>
            </w:pPr>
            <w:r w:rsidRPr="00875803">
              <w:rPr>
                <w:rFonts w:cs="Arial"/>
              </w:rPr>
              <w:t>Medium</w:t>
            </w:r>
          </w:p>
        </w:tc>
        <w:tc>
          <w:tcPr>
            <w:tcW w:w="1361" w:type="dxa"/>
            <w:noWrap/>
            <w:hideMark/>
          </w:tcPr>
          <w:p w14:paraId="5FA5B3F1" w14:textId="77777777" w:rsidR="001C19A4" w:rsidRPr="00875803" w:rsidRDefault="001C19A4" w:rsidP="005F27A6">
            <w:pPr>
              <w:spacing w:after="0"/>
              <w:rPr>
                <w:rFonts w:cs="Arial"/>
              </w:rPr>
            </w:pPr>
            <w:r w:rsidRPr="00875803">
              <w:rPr>
                <w:rFonts w:cs="Arial"/>
              </w:rPr>
              <w:t>51.0%</w:t>
            </w:r>
          </w:p>
        </w:tc>
        <w:tc>
          <w:tcPr>
            <w:tcW w:w="1176" w:type="dxa"/>
            <w:noWrap/>
            <w:hideMark/>
          </w:tcPr>
          <w:p w14:paraId="72F51311" w14:textId="77777777" w:rsidR="001C19A4" w:rsidRPr="00875803" w:rsidRDefault="001C19A4" w:rsidP="005F27A6">
            <w:pPr>
              <w:spacing w:after="0"/>
              <w:rPr>
                <w:rFonts w:cs="Arial"/>
              </w:rPr>
            </w:pPr>
            <w:r w:rsidRPr="00875803">
              <w:rPr>
                <w:rFonts w:cs="Arial"/>
              </w:rPr>
              <w:t>Very Low</w:t>
            </w:r>
          </w:p>
        </w:tc>
        <w:tc>
          <w:tcPr>
            <w:tcW w:w="1531" w:type="dxa"/>
            <w:noWrap/>
            <w:hideMark/>
          </w:tcPr>
          <w:p w14:paraId="3EE9704E" w14:textId="77777777" w:rsidR="001C19A4" w:rsidRPr="00875803" w:rsidRDefault="001C19A4" w:rsidP="005F27A6">
            <w:pPr>
              <w:spacing w:after="0"/>
              <w:rPr>
                <w:rFonts w:cs="Arial"/>
              </w:rPr>
            </w:pPr>
            <w:r w:rsidRPr="00875803">
              <w:rPr>
                <w:rFonts w:cs="Arial"/>
              </w:rPr>
              <w:t>Increased</w:t>
            </w:r>
          </w:p>
        </w:tc>
        <w:tc>
          <w:tcPr>
            <w:tcW w:w="1740" w:type="dxa"/>
            <w:shd w:val="clear" w:color="auto" w:fill="F7CAAC" w:themeFill="accent2" w:themeFillTint="66"/>
            <w:noWrap/>
            <w:hideMark/>
          </w:tcPr>
          <w:p w14:paraId="1C86475D" w14:textId="77777777" w:rsidR="001C19A4" w:rsidRPr="00875803" w:rsidRDefault="001C19A4" w:rsidP="005F27A6">
            <w:pPr>
              <w:spacing w:after="0"/>
              <w:rPr>
                <w:rFonts w:cs="Arial"/>
              </w:rPr>
            </w:pPr>
            <w:r w:rsidRPr="00875803">
              <w:rPr>
                <w:rFonts w:cs="Arial"/>
              </w:rPr>
              <w:t>Orange</w:t>
            </w:r>
          </w:p>
        </w:tc>
        <w:tc>
          <w:tcPr>
            <w:tcW w:w="1084" w:type="dxa"/>
            <w:noWrap/>
            <w:hideMark/>
          </w:tcPr>
          <w:p w14:paraId="666C8B42" w14:textId="77777777" w:rsidR="001C19A4" w:rsidRPr="00875803" w:rsidRDefault="001C19A4" w:rsidP="005F27A6">
            <w:pPr>
              <w:spacing w:after="0"/>
              <w:rPr>
                <w:rFonts w:cs="Arial"/>
              </w:rPr>
            </w:pPr>
            <w:r w:rsidRPr="00875803">
              <w:rPr>
                <w:rFonts w:cs="Arial"/>
              </w:rPr>
              <w:t>Very Low</w:t>
            </w:r>
          </w:p>
        </w:tc>
        <w:tc>
          <w:tcPr>
            <w:tcW w:w="1525" w:type="dxa"/>
            <w:noWrap/>
            <w:hideMark/>
          </w:tcPr>
          <w:p w14:paraId="6D273FF6" w14:textId="77777777" w:rsidR="001C19A4" w:rsidRPr="00875803" w:rsidRDefault="001C19A4" w:rsidP="005F27A6">
            <w:pPr>
              <w:spacing w:after="0"/>
              <w:rPr>
                <w:rFonts w:cs="Arial"/>
              </w:rPr>
            </w:pPr>
            <w:r w:rsidRPr="00875803">
              <w:rPr>
                <w:rFonts w:cs="Arial"/>
              </w:rPr>
              <w:t>Decreased</w:t>
            </w:r>
          </w:p>
        </w:tc>
        <w:tc>
          <w:tcPr>
            <w:tcW w:w="1789" w:type="dxa"/>
            <w:shd w:val="clear" w:color="auto" w:fill="FF9797"/>
            <w:noWrap/>
            <w:hideMark/>
          </w:tcPr>
          <w:p w14:paraId="15CDAA2B" w14:textId="77777777" w:rsidR="001C19A4" w:rsidRPr="00875803" w:rsidRDefault="001C19A4" w:rsidP="005F27A6">
            <w:pPr>
              <w:spacing w:after="0"/>
              <w:rPr>
                <w:rFonts w:cs="Arial"/>
              </w:rPr>
            </w:pPr>
            <w:r w:rsidRPr="00875803">
              <w:rPr>
                <w:rFonts w:cs="Arial"/>
              </w:rPr>
              <w:t>Red</w:t>
            </w:r>
          </w:p>
        </w:tc>
      </w:tr>
    </w:tbl>
    <w:p w14:paraId="163CDC34" w14:textId="77777777" w:rsidR="001C19A4" w:rsidRPr="00450755" w:rsidRDefault="001C19A4" w:rsidP="00450755">
      <w:pPr>
        <w:spacing w:before="120"/>
        <w:rPr>
          <w:rStyle w:val="Emphasis"/>
        </w:rPr>
      </w:pPr>
      <w:r w:rsidRPr="00450755">
        <w:rPr>
          <w:rStyle w:val="Emphasis"/>
        </w:rPr>
        <w:t>Source: California School Dashboard (2019)</w:t>
      </w:r>
    </w:p>
    <w:p w14:paraId="37D861D3" w14:textId="77777777" w:rsidR="001C19A4" w:rsidRPr="008A0D22" w:rsidRDefault="001C19A4" w:rsidP="008A0D22">
      <w:pPr>
        <w:pStyle w:val="Heading3"/>
        <w:numPr>
          <w:ilvl w:val="0"/>
          <w:numId w:val="0"/>
        </w:numPr>
        <w:rPr>
          <w:i/>
        </w:rPr>
      </w:pPr>
      <w:r w:rsidRPr="008A0D22">
        <w:rPr>
          <w:i/>
        </w:rPr>
        <w:t>Table A3b: Comprehensive High School Placement in California Accountability Model</w:t>
      </w:r>
    </w:p>
    <w:tbl>
      <w:tblPr>
        <w:tblStyle w:val="TableGrid"/>
        <w:tblW w:w="130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Description w:val="Table A3b provides the 2019-20 school-level placement in the California  Accountability Model for two California School Dashboard indicators (Graduation Rates and College/Career Placement) for all comprehensive high schools in the existing Mt. Diablo USD."/>
      </w:tblPr>
      <w:tblGrid>
        <w:gridCol w:w="2695"/>
        <w:gridCol w:w="1980"/>
        <w:gridCol w:w="1530"/>
        <w:gridCol w:w="1710"/>
        <w:gridCol w:w="1440"/>
        <w:gridCol w:w="1710"/>
        <w:gridCol w:w="1980"/>
      </w:tblGrid>
      <w:tr w:rsidR="001C19A4" w:rsidRPr="00B721D5" w14:paraId="0CB0A9C9" w14:textId="77777777" w:rsidTr="005F27A6">
        <w:trPr>
          <w:trHeight w:val="15"/>
          <w:tblHeader/>
        </w:trPr>
        <w:tc>
          <w:tcPr>
            <w:tcW w:w="2695" w:type="dxa"/>
            <w:shd w:val="clear" w:color="auto" w:fill="D9D9D9" w:themeFill="background1" w:themeFillShade="D9"/>
            <w:vAlign w:val="center"/>
            <w:hideMark/>
          </w:tcPr>
          <w:p w14:paraId="032DB891" w14:textId="77777777" w:rsidR="001C19A4" w:rsidRPr="00B721D5" w:rsidRDefault="001C19A4" w:rsidP="005F27A6">
            <w:pPr>
              <w:spacing w:after="0"/>
              <w:jc w:val="center"/>
              <w:rPr>
                <w:rFonts w:cs="Arial"/>
                <w:b/>
                <w:bCs/>
              </w:rPr>
            </w:pPr>
            <w:r w:rsidRPr="00B721D5">
              <w:rPr>
                <w:rFonts w:cs="Arial"/>
                <w:b/>
                <w:bCs/>
              </w:rPr>
              <w:t>School Name</w:t>
            </w:r>
          </w:p>
        </w:tc>
        <w:tc>
          <w:tcPr>
            <w:tcW w:w="1980" w:type="dxa"/>
            <w:shd w:val="clear" w:color="auto" w:fill="D9D9D9" w:themeFill="background1" w:themeFillShade="D9"/>
            <w:vAlign w:val="center"/>
            <w:hideMark/>
          </w:tcPr>
          <w:p w14:paraId="0C0E4F25" w14:textId="77777777" w:rsidR="001C19A4" w:rsidRPr="00B721D5" w:rsidRDefault="001C19A4" w:rsidP="005F27A6">
            <w:pPr>
              <w:spacing w:after="0"/>
              <w:jc w:val="center"/>
              <w:rPr>
                <w:rFonts w:cs="Arial"/>
                <w:b/>
                <w:bCs/>
              </w:rPr>
            </w:pPr>
            <w:r w:rsidRPr="00B721D5">
              <w:rPr>
                <w:b/>
              </w:rPr>
              <w:t>Grad</w:t>
            </w:r>
            <w:r>
              <w:rPr>
                <w:b/>
              </w:rPr>
              <w:t>uation</w:t>
            </w:r>
            <w:r w:rsidRPr="00B721D5">
              <w:rPr>
                <w:b/>
              </w:rPr>
              <w:t xml:space="preserve"> Status</w:t>
            </w:r>
          </w:p>
        </w:tc>
        <w:tc>
          <w:tcPr>
            <w:tcW w:w="1530" w:type="dxa"/>
            <w:shd w:val="clear" w:color="auto" w:fill="D9D9D9" w:themeFill="background1" w:themeFillShade="D9"/>
            <w:vAlign w:val="center"/>
            <w:hideMark/>
          </w:tcPr>
          <w:p w14:paraId="1BFF0853" w14:textId="77777777" w:rsidR="001C19A4" w:rsidRPr="00B721D5" w:rsidRDefault="001C19A4" w:rsidP="005F27A6">
            <w:pPr>
              <w:spacing w:after="0"/>
              <w:jc w:val="center"/>
              <w:rPr>
                <w:rFonts w:cs="Arial"/>
                <w:b/>
                <w:bCs/>
              </w:rPr>
            </w:pPr>
            <w:r w:rsidRPr="00B721D5">
              <w:rPr>
                <w:b/>
              </w:rPr>
              <w:t>Grad</w:t>
            </w:r>
            <w:r>
              <w:rPr>
                <w:b/>
              </w:rPr>
              <w:t>uation</w:t>
            </w:r>
            <w:r w:rsidRPr="00B721D5">
              <w:rPr>
                <w:b/>
              </w:rPr>
              <w:t xml:space="preserve"> Change</w:t>
            </w:r>
          </w:p>
        </w:tc>
        <w:tc>
          <w:tcPr>
            <w:tcW w:w="1710" w:type="dxa"/>
            <w:shd w:val="clear" w:color="auto" w:fill="D9D9D9" w:themeFill="background1" w:themeFillShade="D9"/>
            <w:vAlign w:val="center"/>
            <w:hideMark/>
          </w:tcPr>
          <w:p w14:paraId="21EF265F" w14:textId="77777777" w:rsidR="001C19A4" w:rsidRPr="00B721D5" w:rsidRDefault="001C19A4" w:rsidP="005F27A6">
            <w:pPr>
              <w:spacing w:after="0"/>
              <w:jc w:val="center"/>
              <w:rPr>
                <w:rFonts w:cs="Arial"/>
                <w:b/>
                <w:bCs/>
              </w:rPr>
            </w:pPr>
            <w:r w:rsidRPr="00B721D5">
              <w:rPr>
                <w:b/>
              </w:rPr>
              <w:t>Grad</w:t>
            </w:r>
            <w:r>
              <w:rPr>
                <w:b/>
              </w:rPr>
              <w:t>uation</w:t>
            </w:r>
            <w:r w:rsidRPr="00B721D5">
              <w:rPr>
                <w:b/>
              </w:rPr>
              <w:t xml:space="preserve"> Performance Level</w:t>
            </w:r>
          </w:p>
        </w:tc>
        <w:tc>
          <w:tcPr>
            <w:tcW w:w="1440" w:type="dxa"/>
            <w:shd w:val="clear" w:color="auto" w:fill="D9D9D9" w:themeFill="background1" w:themeFillShade="D9"/>
          </w:tcPr>
          <w:p w14:paraId="6E9FC704" w14:textId="77777777" w:rsidR="001C19A4" w:rsidRPr="00B721D5" w:rsidRDefault="001C19A4" w:rsidP="005F27A6">
            <w:pPr>
              <w:spacing w:after="0"/>
              <w:jc w:val="center"/>
              <w:rPr>
                <w:b/>
              </w:rPr>
            </w:pPr>
            <w:r>
              <w:rPr>
                <w:b/>
              </w:rPr>
              <w:t>College/ Career Status</w:t>
            </w:r>
          </w:p>
        </w:tc>
        <w:tc>
          <w:tcPr>
            <w:tcW w:w="1710" w:type="dxa"/>
            <w:shd w:val="clear" w:color="auto" w:fill="D9D9D9" w:themeFill="background1" w:themeFillShade="D9"/>
          </w:tcPr>
          <w:p w14:paraId="02A2C501" w14:textId="77777777" w:rsidR="001C19A4" w:rsidRPr="00B721D5" w:rsidRDefault="001C19A4" w:rsidP="005F27A6">
            <w:pPr>
              <w:spacing w:after="0"/>
              <w:jc w:val="center"/>
              <w:rPr>
                <w:b/>
              </w:rPr>
            </w:pPr>
            <w:r>
              <w:rPr>
                <w:b/>
              </w:rPr>
              <w:t>College/ Career Change</w:t>
            </w:r>
          </w:p>
        </w:tc>
        <w:tc>
          <w:tcPr>
            <w:tcW w:w="1980" w:type="dxa"/>
            <w:shd w:val="clear" w:color="auto" w:fill="D9D9D9" w:themeFill="background1" w:themeFillShade="D9"/>
          </w:tcPr>
          <w:p w14:paraId="396C5975" w14:textId="77777777" w:rsidR="001C19A4" w:rsidRPr="00B721D5" w:rsidRDefault="001C19A4" w:rsidP="005F27A6">
            <w:pPr>
              <w:spacing w:after="0"/>
              <w:jc w:val="center"/>
              <w:rPr>
                <w:b/>
              </w:rPr>
            </w:pPr>
            <w:r>
              <w:rPr>
                <w:b/>
              </w:rPr>
              <w:t>College/Career Performance Level</w:t>
            </w:r>
          </w:p>
        </w:tc>
      </w:tr>
      <w:tr w:rsidR="001C19A4" w:rsidRPr="00875803" w14:paraId="7BFC7BA8" w14:textId="77777777" w:rsidTr="005F27A6">
        <w:trPr>
          <w:trHeight w:val="296"/>
        </w:trPr>
        <w:tc>
          <w:tcPr>
            <w:tcW w:w="2695" w:type="dxa"/>
            <w:noWrap/>
            <w:hideMark/>
          </w:tcPr>
          <w:p w14:paraId="706E4B0D" w14:textId="77777777" w:rsidR="001C19A4" w:rsidRPr="00875803" w:rsidRDefault="001C19A4" w:rsidP="005F27A6">
            <w:pPr>
              <w:spacing w:after="0"/>
              <w:rPr>
                <w:rFonts w:cs="Arial"/>
              </w:rPr>
            </w:pPr>
            <w:r w:rsidRPr="00875803">
              <w:rPr>
                <w:rFonts w:cs="Arial"/>
              </w:rPr>
              <w:t>College Park High</w:t>
            </w:r>
          </w:p>
        </w:tc>
        <w:tc>
          <w:tcPr>
            <w:tcW w:w="1980" w:type="dxa"/>
            <w:noWrap/>
            <w:hideMark/>
          </w:tcPr>
          <w:p w14:paraId="5242130E" w14:textId="77777777" w:rsidR="001C19A4" w:rsidRPr="00875803" w:rsidRDefault="001C19A4" w:rsidP="005F27A6">
            <w:pPr>
              <w:spacing w:after="0"/>
              <w:rPr>
                <w:rFonts w:cs="Arial"/>
              </w:rPr>
            </w:pPr>
            <w:r w:rsidRPr="004F3A46">
              <w:t>Very High</w:t>
            </w:r>
          </w:p>
        </w:tc>
        <w:tc>
          <w:tcPr>
            <w:tcW w:w="1530" w:type="dxa"/>
            <w:noWrap/>
            <w:hideMark/>
          </w:tcPr>
          <w:p w14:paraId="4BE1D820" w14:textId="77777777" w:rsidR="001C19A4" w:rsidRPr="00875803" w:rsidRDefault="001C19A4" w:rsidP="005F27A6">
            <w:pPr>
              <w:spacing w:after="0"/>
              <w:rPr>
                <w:rFonts w:cs="Arial"/>
              </w:rPr>
            </w:pPr>
            <w:r w:rsidRPr="004F3A46">
              <w:t>Maintained</w:t>
            </w:r>
          </w:p>
        </w:tc>
        <w:tc>
          <w:tcPr>
            <w:tcW w:w="1710" w:type="dxa"/>
            <w:shd w:val="clear" w:color="auto" w:fill="D9E2F3" w:themeFill="accent1" w:themeFillTint="33"/>
            <w:noWrap/>
            <w:hideMark/>
          </w:tcPr>
          <w:p w14:paraId="322D2DE0" w14:textId="77777777" w:rsidR="001C19A4" w:rsidRPr="00875803" w:rsidRDefault="001C19A4" w:rsidP="005F27A6">
            <w:pPr>
              <w:spacing w:after="0"/>
              <w:rPr>
                <w:rFonts w:cs="Arial"/>
              </w:rPr>
            </w:pPr>
            <w:r w:rsidRPr="004F3A46">
              <w:t>Blue</w:t>
            </w:r>
          </w:p>
        </w:tc>
        <w:tc>
          <w:tcPr>
            <w:tcW w:w="1440" w:type="dxa"/>
          </w:tcPr>
          <w:p w14:paraId="0A45B395" w14:textId="77777777" w:rsidR="001C19A4" w:rsidRPr="004F3A46" w:rsidRDefault="001C19A4" w:rsidP="005F27A6">
            <w:pPr>
              <w:spacing w:after="0"/>
            </w:pPr>
            <w:r>
              <w:t>High</w:t>
            </w:r>
          </w:p>
        </w:tc>
        <w:tc>
          <w:tcPr>
            <w:tcW w:w="1710" w:type="dxa"/>
          </w:tcPr>
          <w:p w14:paraId="2F07205D" w14:textId="77777777" w:rsidR="001C19A4" w:rsidRPr="004F3A46" w:rsidRDefault="001C19A4" w:rsidP="005F27A6">
            <w:pPr>
              <w:spacing w:after="0"/>
            </w:pPr>
            <w:r>
              <w:t>Maintained</w:t>
            </w:r>
          </w:p>
        </w:tc>
        <w:tc>
          <w:tcPr>
            <w:tcW w:w="1980" w:type="dxa"/>
            <w:shd w:val="clear" w:color="auto" w:fill="C5E0B3" w:themeFill="accent6" w:themeFillTint="66"/>
          </w:tcPr>
          <w:p w14:paraId="3F716355" w14:textId="77777777" w:rsidR="001C19A4" w:rsidRPr="004F3A46" w:rsidRDefault="001C19A4" w:rsidP="005F27A6">
            <w:pPr>
              <w:spacing w:after="0"/>
            </w:pPr>
            <w:r>
              <w:t>Green</w:t>
            </w:r>
          </w:p>
        </w:tc>
      </w:tr>
      <w:tr w:rsidR="001C19A4" w:rsidRPr="00875803" w14:paraId="749863CD" w14:textId="77777777" w:rsidTr="005F27A6">
        <w:trPr>
          <w:trHeight w:val="296"/>
        </w:trPr>
        <w:tc>
          <w:tcPr>
            <w:tcW w:w="2695" w:type="dxa"/>
            <w:noWrap/>
            <w:hideMark/>
          </w:tcPr>
          <w:p w14:paraId="2020DCAF" w14:textId="77777777" w:rsidR="001C19A4" w:rsidRPr="00875803" w:rsidRDefault="001C19A4" w:rsidP="005F27A6">
            <w:pPr>
              <w:spacing w:after="0"/>
              <w:rPr>
                <w:rFonts w:cs="Arial"/>
              </w:rPr>
            </w:pPr>
            <w:r w:rsidRPr="00875803">
              <w:rPr>
                <w:rFonts w:cs="Arial"/>
              </w:rPr>
              <w:t>Concord High</w:t>
            </w:r>
          </w:p>
        </w:tc>
        <w:tc>
          <w:tcPr>
            <w:tcW w:w="1980" w:type="dxa"/>
            <w:noWrap/>
            <w:hideMark/>
          </w:tcPr>
          <w:p w14:paraId="27BEFAC5" w14:textId="77777777" w:rsidR="001C19A4" w:rsidRPr="00875803" w:rsidRDefault="001C19A4" w:rsidP="005F27A6">
            <w:pPr>
              <w:spacing w:after="0"/>
              <w:rPr>
                <w:rFonts w:cs="Arial"/>
              </w:rPr>
            </w:pPr>
            <w:r w:rsidRPr="004F3A46">
              <w:t>High</w:t>
            </w:r>
          </w:p>
        </w:tc>
        <w:tc>
          <w:tcPr>
            <w:tcW w:w="1530" w:type="dxa"/>
            <w:noWrap/>
            <w:hideMark/>
          </w:tcPr>
          <w:p w14:paraId="64A71F32" w14:textId="77777777" w:rsidR="001C19A4" w:rsidRPr="00875803" w:rsidRDefault="001C19A4" w:rsidP="005F27A6">
            <w:pPr>
              <w:spacing w:after="0"/>
              <w:rPr>
                <w:rFonts w:cs="Arial"/>
              </w:rPr>
            </w:pPr>
            <w:r w:rsidRPr="004F3A46">
              <w:t>Maintained</w:t>
            </w:r>
          </w:p>
        </w:tc>
        <w:tc>
          <w:tcPr>
            <w:tcW w:w="1710" w:type="dxa"/>
            <w:shd w:val="clear" w:color="auto" w:fill="C5E0B3" w:themeFill="accent6" w:themeFillTint="66"/>
            <w:noWrap/>
            <w:hideMark/>
          </w:tcPr>
          <w:p w14:paraId="7A64B3E0" w14:textId="77777777" w:rsidR="001C19A4" w:rsidRPr="00875803" w:rsidRDefault="001C19A4" w:rsidP="005F27A6">
            <w:pPr>
              <w:spacing w:after="0"/>
              <w:rPr>
                <w:rFonts w:cs="Arial"/>
              </w:rPr>
            </w:pPr>
            <w:r w:rsidRPr="004F3A46">
              <w:t>Green</w:t>
            </w:r>
          </w:p>
        </w:tc>
        <w:tc>
          <w:tcPr>
            <w:tcW w:w="1440" w:type="dxa"/>
          </w:tcPr>
          <w:p w14:paraId="04559C1A" w14:textId="77777777" w:rsidR="001C19A4" w:rsidRPr="004F3A46" w:rsidRDefault="001C19A4" w:rsidP="005F27A6">
            <w:pPr>
              <w:spacing w:after="0"/>
            </w:pPr>
            <w:r>
              <w:t>Medium</w:t>
            </w:r>
          </w:p>
        </w:tc>
        <w:tc>
          <w:tcPr>
            <w:tcW w:w="1710" w:type="dxa"/>
          </w:tcPr>
          <w:p w14:paraId="63525182" w14:textId="77777777" w:rsidR="001C19A4" w:rsidRPr="004F3A46" w:rsidRDefault="001C19A4" w:rsidP="005F27A6">
            <w:pPr>
              <w:spacing w:after="0"/>
            </w:pPr>
            <w:r>
              <w:t>Increased</w:t>
            </w:r>
          </w:p>
        </w:tc>
        <w:tc>
          <w:tcPr>
            <w:tcW w:w="1980" w:type="dxa"/>
            <w:shd w:val="clear" w:color="auto" w:fill="C5E0B3" w:themeFill="accent6" w:themeFillTint="66"/>
          </w:tcPr>
          <w:p w14:paraId="680DCDAD" w14:textId="77777777" w:rsidR="001C19A4" w:rsidRPr="004F3A46" w:rsidRDefault="001C19A4" w:rsidP="005F27A6">
            <w:pPr>
              <w:spacing w:after="0"/>
            </w:pPr>
            <w:r>
              <w:t>Green</w:t>
            </w:r>
          </w:p>
        </w:tc>
      </w:tr>
      <w:tr w:rsidR="001C19A4" w:rsidRPr="00875803" w14:paraId="4910F919" w14:textId="77777777" w:rsidTr="005F27A6">
        <w:trPr>
          <w:trHeight w:val="296"/>
        </w:trPr>
        <w:tc>
          <w:tcPr>
            <w:tcW w:w="2695" w:type="dxa"/>
            <w:noWrap/>
            <w:hideMark/>
          </w:tcPr>
          <w:p w14:paraId="15399647" w14:textId="77777777" w:rsidR="001C19A4" w:rsidRPr="00875803" w:rsidRDefault="001C19A4" w:rsidP="005F27A6">
            <w:pPr>
              <w:spacing w:after="0"/>
              <w:rPr>
                <w:rFonts w:cs="Arial"/>
              </w:rPr>
            </w:pPr>
            <w:r w:rsidRPr="00875803">
              <w:rPr>
                <w:rFonts w:cs="Arial"/>
              </w:rPr>
              <w:lastRenderedPageBreak/>
              <w:t>Mt. Diablo High</w:t>
            </w:r>
          </w:p>
        </w:tc>
        <w:tc>
          <w:tcPr>
            <w:tcW w:w="1980" w:type="dxa"/>
            <w:noWrap/>
            <w:hideMark/>
          </w:tcPr>
          <w:p w14:paraId="5D46DD5C" w14:textId="77777777" w:rsidR="001C19A4" w:rsidRPr="00875803" w:rsidRDefault="001C19A4" w:rsidP="005F27A6">
            <w:pPr>
              <w:spacing w:after="0"/>
              <w:rPr>
                <w:rFonts w:cs="Arial"/>
              </w:rPr>
            </w:pPr>
            <w:r w:rsidRPr="004F3A46">
              <w:t>Medium</w:t>
            </w:r>
          </w:p>
        </w:tc>
        <w:tc>
          <w:tcPr>
            <w:tcW w:w="1530" w:type="dxa"/>
            <w:noWrap/>
            <w:hideMark/>
          </w:tcPr>
          <w:p w14:paraId="02A6FBC6" w14:textId="77777777" w:rsidR="001C19A4" w:rsidRPr="00875803" w:rsidRDefault="001C19A4" w:rsidP="005F27A6">
            <w:pPr>
              <w:spacing w:after="0"/>
              <w:rPr>
                <w:rFonts w:cs="Arial"/>
              </w:rPr>
            </w:pPr>
            <w:r w:rsidRPr="004F3A46">
              <w:t>Increased</w:t>
            </w:r>
          </w:p>
        </w:tc>
        <w:tc>
          <w:tcPr>
            <w:tcW w:w="1710" w:type="dxa"/>
            <w:shd w:val="clear" w:color="auto" w:fill="C5E0B3" w:themeFill="accent6" w:themeFillTint="66"/>
            <w:noWrap/>
            <w:hideMark/>
          </w:tcPr>
          <w:p w14:paraId="5B159D3D" w14:textId="77777777" w:rsidR="001C19A4" w:rsidRPr="00875803" w:rsidRDefault="001C19A4" w:rsidP="005F27A6">
            <w:pPr>
              <w:spacing w:after="0"/>
              <w:rPr>
                <w:rFonts w:cs="Arial"/>
              </w:rPr>
            </w:pPr>
            <w:r w:rsidRPr="004F3A46">
              <w:t>Green</w:t>
            </w:r>
          </w:p>
        </w:tc>
        <w:tc>
          <w:tcPr>
            <w:tcW w:w="1440" w:type="dxa"/>
          </w:tcPr>
          <w:p w14:paraId="673E23D9" w14:textId="77777777" w:rsidR="001C19A4" w:rsidRPr="004F3A46" w:rsidRDefault="001C19A4" w:rsidP="005F27A6">
            <w:pPr>
              <w:spacing w:after="0"/>
            </w:pPr>
            <w:r>
              <w:t>Low</w:t>
            </w:r>
          </w:p>
        </w:tc>
        <w:tc>
          <w:tcPr>
            <w:tcW w:w="1710" w:type="dxa"/>
          </w:tcPr>
          <w:p w14:paraId="55F221E2" w14:textId="77777777" w:rsidR="001C19A4" w:rsidRPr="004F3A46" w:rsidRDefault="001C19A4" w:rsidP="005F27A6">
            <w:pPr>
              <w:spacing w:after="0"/>
            </w:pPr>
            <w:r>
              <w:t>Maintained</w:t>
            </w:r>
          </w:p>
        </w:tc>
        <w:tc>
          <w:tcPr>
            <w:tcW w:w="1980" w:type="dxa"/>
            <w:shd w:val="clear" w:color="auto" w:fill="F7CAAC" w:themeFill="accent2" w:themeFillTint="66"/>
          </w:tcPr>
          <w:p w14:paraId="450AC413" w14:textId="77777777" w:rsidR="001C19A4" w:rsidRPr="004F3A46" w:rsidRDefault="001C19A4" w:rsidP="005F27A6">
            <w:pPr>
              <w:spacing w:after="0"/>
            </w:pPr>
            <w:r>
              <w:t>Orange</w:t>
            </w:r>
          </w:p>
        </w:tc>
      </w:tr>
      <w:tr w:rsidR="001C19A4" w:rsidRPr="00875803" w14:paraId="1D988847" w14:textId="77777777" w:rsidTr="005F27A6">
        <w:trPr>
          <w:trHeight w:val="296"/>
        </w:trPr>
        <w:tc>
          <w:tcPr>
            <w:tcW w:w="2695" w:type="dxa"/>
            <w:noWrap/>
            <w:hideMark/>
          </w:tcPr>
          <w:p w14:paraId="2B311903" w14:textId="77777777" w:rsidR="001C19A4" w:rsidRPr="00875803" w:rsidRDefault="001C19A4" w:rsidP="005F27A6">
            <w:pPr>
              <w:spacing w:after="0"/>
              <w:rPr>
                <w:rFonts w:cs="Arial"/>
              </w:rPr>
            </w:pPr>
            <w:r w:rsidRPr="00875803">
              <w:rPr>
                <w:rFonts w:cs="Arial"/>
              </w:rPr>
              <w:t>Northgate High</w:t>
            </w:r>
          </w:p>
        </w:tc>
        <w:tc>
          <w:tcPr>
            <w:tcW w:w="1980" w:type="dxa"/>
            <w:noWrap/>
            <w:hideMark/>
          </w:tcPr>
          <w:p w14:paraId="15995545" w14:textId="77777777" w:rsidR="001C19A4" w:rsidRPr="00875803" w:rsidRDefault="001C19A4" w:rsidP="005F27A6">
            <w:pPr>
              <w:spacing w:after="0"/>
              <w:rPr>
                <w:rFonts w:cs="Arial"/>
              </w:rPr>
            </w:pPr>
            <w:r w:rsidRPr="004F3A46">
              <w:t>Very High</w:t>
            </w:r>
          </w:p>
        </w:tc>
        <w:tc>
          <w:tcPr>
            <w:tcW w:w="1530" w:type="dxa"/>
            <w:noWrap/>
            <w:hideMark/>
          </w:tcPr>
          <w:p w14:paraId="3668EEFD" w14:textId="77777777" w:rsidR="001C19A4" w:rsidRPr="00875803" w:rsidRDefault="001C19A4" w:rsidP="005F27A6">
            <w:pPr>
              <w:spacing w:after="0"/>
              <w:rPr>
                <w:rFonts w:cs="Arial"/>
              </w:rPr>
            </w:pPr>
            <w:r w:rsidRPr="004F3A46">
              <w:t>Maintained</w:t>
            </w:r>
          </w:p>
        </w:tc>
        <w:tc>
          <w:tcPr>
            <w:tcW w:w="1710" w:type="dxa"/>
            <w:shd w:val="clear" w:color="auto" w:fill="D9E2F3" w:themeFill="accent1" w:themeFillTint="33"/>
            <w:noWrap/>
            <w:hideMark/>
          </w:tcPr>
          <w:p w14:paraId="72A53F37" w14:textId="77777777" w:rsidR="001C19A4" w:rsidRPr="00875803" w:rsidRDefault="001C19A4" w:rsidP="005F27A6">
            <w:pPr>
              <w:spacing w:after="0"/>
              <w:rPr>
                <w:rFonts w:cs="Arial"/>
              </w:rPr>
            </w:pPr>
            <w:r w:rsidRPr="004F3A46">
              <w:t>Blue</w:t>
            </w:r>
          </w:p>
        </w:tc>
        <w:tc>
          <w:tcPr>
            <w:tcW w:w="1440" w:type="dxa"/>
          </w:tcPr>
          <w:p w14:paraId="487722FB" w14:textId="77777777" w:rsidR="001C19A4" w:rsidRPr="004F3A46" w:rsidRDefault="001C19A4" w:rsidP="005F27A6">
            <w:pPr>
              <w:spacing w:after="0"/>
            </w:pPr>
            <w:r>
              <w:t>High</w:t>
            </w:r>
          </w:p>
        </w:tc>
        <w:tc>
          <w:tcPr>
            <w:tcW w:w="1710" w:type="dxa"/>
          </w:tcPr>
          <w:p w14:paraId="1D85D6B8" w14:textId="77777777" w:rsidR="001C19A4" w:rsidRPr="004F3A46" w:rsidRDefault="001C19A4" w:rsidP="005F27A6">
            <w:pPr>
              <w:spacing w:after="0"/>
            </w:pPr>
            <w:r>
              <w:t>Declined</w:t>
            </w:r>
          </w:p>
        </w:tc>
        <w:tc>
          <w:tcPr>
            <w:tcW w:w="1980" w:type="dxa"/>
            <w:shd w:val="clear" w:color="auto" w:fill="FFF2CC" w:themeFill="accent4" w:themeFillTint="33"/>
          </w:tcPr>
          <w:p w14:paraId="328B1B06" w14:textId="77777777" w:rsidR="001C19A4" w:rsidRPr="004F3A46" w:rsidRDefault="001C19A4" w:rsidP="005F27A6">
            <w:pPr>
              <w:spacing w:after="0"/>
            </w:pPr>
            <w:r>
              <w:t>Yellow</w:t>
            </w:r>
          </w:p>
        </w:tc>
      </w:tr>
      <w:tr w:rsidR="001C19A4" w:rsidRPr="00875803" w14:paraId="4F2367AC" w14:textId="77777777" w:rsidTr="005F27A6">
        <w:trPr>
          <w:trHeight w:val="296"/>
        </w:trPr>
        <w:tc>
          <w:tcPr>
            <w:tcW w:w="2695" w:type="dxa"/>
            <w:noWrap/>
            <w:hideMark/>
          </w:tcPr>
          <w:p w14:paraId="7FB0D020" w14:textId="77777777" w:rsidR="001C19A4" w:rsidRPr="00875803" w:rsidRDefault="001C19A4" w:rsidP="005F27A6">
            <w:pPr>
              <w:spacing w:after="0"/>
              <w:rPr>
                <w:rFonts w:cs="Arial"/>
              </w:rPr>
            </w:pPr>
            <w:r w:rsidRPr="00875803">
              <w:rPr>
                <w:rFonts w:cs="Arial"/>
              </w:rPr>
              <w:t>Ygnacio Valley High</w:t>
            </w:r>
          </w:p>
        </w:tc>
        <w:tc>
          <w:tcPr>
            <w:tcW w:w="1980" w:type="dxa"/>
            <w:noWrap/>
            <w:hideMark/>
          </w:tcPr>
          <w:p w14:paraId="3D2D4EA4" w14:textId="77777777" w:rsidR="001C19A4" w:rsidRPr="00875803" w:rsidRDefault="001C19A4" w:rsidP="005F27A6">
            <w:pPr>
              <w:spacing w:after="0"/>
              <w:rPr>
                <w:rFonts w:cs="Arial"/>
              </w:rPr>
            </w:pPr>
            <w:r w:rsidRPr="004F3A46">
              <w:t>High</w:t>
            </w:r>
          </w:p>
        </w:tc>
        <w:tc>
          <w:tcPr>
            <w:tcW w:w="1530" w:type="dxa"/>
            <w:noWrap/>
            <w:hideMark/>
          </w:tcPr>
          <w:p w14:paraId="0E2EBC87" w14:textId="77777777" w:rsidR="001C19A4" w:rsidRPr="00875803" w:rsidRDefault="001C19A4" w:rsidP="005F27A6">
            <w:pPr>
              <w:spacing w:after="0"/>
              <w:rPr>
                <w:rFonts w:cs="Arial"/>
              </w:rPr>
            </w:pPr>
            <w:r w:rsidRPr="004F3A46">
              <w:t>Maintained</w:t>
            </w:r>
          </w:p>
        </w:tc>
        <w:tc>
          <w:tcPr>
            <w:tcW w:w="1710" w:type="dxa"/>
            <w:shd w:val="clear" w:color="auto" w:fill="C5E0B3" w:themeFill="accent6" w:themeFillTint="66"/>
            <w:noWrap/>
            <w:hideMark/>
          </w:tcPr>
          <w:p w14:paraId="32033D71" w14:textId="77777777" w:rsidR="001C19A4" w:rsidRPr="00875803" w:rsidRDefault="001C19A4" w:rsidP="005F27A6">
            <w:pPr>
              <w:spacing w:after="0"/>
              <w:rPr>
                <w:rFonts w:cs="Arial"/>
              </w:rPr>
            </w:pPr>
            <w:r w:rsidRPr="004F3A46">
              <w:t>Green</w:t>
            </w:r>
          </w:p>
        </w:tc>
        <w:tc>
          <w:tcPr>
            <w:tcW w:w="1440" w:type="dxa"/>
          </w:tcPr>
          <w:p w14:paraId="4158ECF2" w14:textId="77777777" w:rsidR="001C19A4" w:rsidRPr="004F3A46" w:rsidRDefault="001C19A4" w:rsidP="005F27A6">
            <w:pPr>
              <w:spacing w:after="0"/>
            </w:pPr>
            <w:r>
              <w:t>Low</w:t>
            </w:r>
          </w:p>
        </w:tc>
        <w:tc>
          <w:tcPr>
            <w:tcW w:w="1710" w:type="dxa"/>
          </w:tcPr>
          <w:p w14:paraId="0B86D20A" w14:textId="77777777" w:rsidR="001C19A4" w:rsidRPr="004F3A46" w:rsidRDefault="001C19A4" w:rsidP="005F27A6">
            <w:pPr>
              <w:spacing w:after="0"/>
            </w:pPr>
            <w:r>
              <w:t>Increased</w:t>
            </w:r>
          </w:p>
        </w:tc>
        <w:tc>
          <w:tcPr>
            <w:tcW w:w="1980" w:type="dxa"/>
            <w:shd w:val="clear" w:color="auto" w:fill="FFF2CC" w:themeFill="accent4" w:themeFillTint="33"/>
          </w:tcPr>
          <w:p w14:paraId="4E34801B" w14:textId="77777777" w:rsidR="001C19A4" w:rsidRPr="004F3A46" w:rsidRDefault="001C19A4" w:rsidP="005F27A6">
            <w:pPr>
              <w:spacing w:after="0"/>
            </w:pPr>
            <w:r>
              <w:t>Yellow</w:t>
            </w:r>
          </w:p>
        </w:tc>
      </w:tr>
    </w:tbl>
    <w:p w14:paraId="1C4CFF7D" w14:textId="77777777" w:rsidR="001C19A4" w:rsidRPr="00450755" w:rsidRDefault="001C19A4" w:rsidP="005F27A6">
      <w:pPr>
        <w:spacing w:before="120" w:after="0"/>
        <w:rPr>
          <w:rStyle w:val="Emphasis"/>
        </w:rPr>
      </w:pPr>
      <w:r w:rsidRPr="00450755">
        <w:rPr>
          <w:rStyle w:val="Emphasis"/>
        </w:rPr>
        <w:t>Source: California School Dashboard (2019)</w:t>
      </w:r>
    </w:p>
    <w:p w14:paraId="0711A16C" w14:textId="77777777" w:rsidR="00141F09" w:rsidRPr="00450755" w:rsidRDefault="00141F09" w:rsidP="005F27A6">
      <w:pPr>
        <w:rPr>
          <w:rStyle w:val="Emphasis"/>
        </w:rPr>
        <w:sectPr w:rsidR="00141F09" w:rsidRPr="00450755" w:rsidSect="00AB6213">
          <w:headerReference w:type="first" r:id="rId17"/>
          <w:footnotePr>
            <w:numRestart w:val="eachSect"/>
          </w:footnotePr>
          <w:pgSz w:w="15840" w:h="12240" w:orient="landscape"/>
          <w:pgMar w:top="1440" w:right="1440" w:bottom="1440" w:left="1440" w:header="720" w:footer="720" w:gutter="0"/>
          <w:cols w:space="720"/>
          <w:docGrid w:linePitch="360"/>
        </w:sectPr>
      </w:pPr>
    </w:p>
    <w:p w14:paraId="300B534D" w14:textId="17DE00D9" w:rsidR="00493D0B" w:rsidRDefault="00493D0B" w:rsidP="00E201D0">
      <w:pPr>
        <w:pStyle w:val="Heading1"/>
      </w:pPr>
      <w:r>
        <w:lastRenderedPageBreak/>
        <w:t xml:space="preserve">Attachment </w:t>
      </w:r>
      <w:r w:rsidR="006E2750">
        <w:t>4</w:t>
      </w:r>
      <w:r w:rsidR="002A5893">
        <w:br/>
      </w:r>
      <w:r w:rsidR="002A5893" w:rsidRPr="002A5893">
        <w:t>School Facilities Analysis for Proposed Northgate Unified School District</w:t>
      </w:r>
    </w:p>
    <w:p w14:paraId="35C6F3EE" w14:textId="09CE344C" w:rsidR="001C19A4" w:rsidRPr="00735429" w:rsidRDefault="001C19A4" w:rsidP="00E201D0">
      <w:pPr>
        <w:pStyle w:val="Heading2"/>
        <w:spacing w:after="480"/>
        <w:rPr>
          <w:spacing w:val="40"/>
        </w:rPr>
      </w:pPr>
      <w:r w:rsidRPr="00735429">
        <w:rPr>
          <w:spacing w:val="40"/>
        </w:rPr>
        <w:t>Memorandum</w:t>
      </w:r>
    </w:p>
    <w:p w14:paraId="1542ADCA" w14:textId="77777777" w:rsidR="001C19A4" w:rsidRPr="003F765E" w:rsidRDefault="001C19A4" w:rsidP="005F27A6">
      <w:pPr>
        <w:rPr>
          <w:b/>
        </w:rPr>
      </w:pPr>
      <w:r w:rsidRPr="003F765E">
        <w:rPr>
          <w:b/>
        </w:rPr>
        <w:t>Date:</w:t>
      </w:r>
      <w:r w:rsidRPr="003F765E">
        <w:rPr>
          <w:b/>
        </w:rPr>
        <w:tab/>
      </w:r>
      <w:r w:rsidRPr="003F765E">
        <w:rPr>
          <w:b/>
        </w:rPr>
        <w:tab/>
      </w:r>
      <w:r w:rsidRPr="003F765E">
        <w:t>January 7, 2022</w:t>
      </w:r>
    </w:p>
    <w:p w14:paraId="3A11CD83" w14:textId="77777777" w:rsidR="001C19A4" w:rsidRPr="003F765E" w:rsidRDefault="001C19A4" w:rsidP="005F27A6">
      <w:pPr>
        <w:rPr>
          <w:bCs/>
        </w:rPr>
      </w:pPr>
      <w:r w:rsidRPr="003F765E">
        <w:rPr>
          <w:b/>
        </w:rPr>
        <w:t>To:</w:t>
      </w:r>
      <w:r w:rsidRPr="003F765E">
        <w:rPr>
          <w:b/>
        </w:rPr>
        <w:tab/>
      </w:r>
      <w:r w:rsidRPr="003F765E">
        <w:rPr>
          <w:b/>
        </w:rPr>
        <w:tab/>
      </w:r>
      <w:r w:rsidRPr="003F765E">
        <w:t>Juan Mireles, Director</w:t>
      </w:r>
    </w:p>
    <w:p w14:paraId="5805FE18" w14:textId="77777777" w:rsidR="001C19A4" w:rsidRPr="003F765E" w:rsidRDefault="001C19A4" w:rsidP="005F27A6">
      <w:r w:rsidRPr="003F765E">
        <w:t>via:</w:t>
      </w:r>
      <w:r w:rsidRPr="003F765E">
        <w:tab/>
      </w:r>
      <w:r w:rsidRPr="003F765E">
        <w:tab/>
        <w:t>Lesley Taylor, Education Administrator I</w:t>
      </w:r>
    </w:p>
    <w:p w14:paraId="78F1C0F2" w14:textId="77777777" w:rsidR="001C19A4" w:rsidRPr="003F765E" w:rsidRDefault="001C19A4" w:rsidP="005F27A6">
      <w:r w:rsidRPr="003F765E">
        <w:rPr>
          <w:b/>
        </w:rPr>
        <w:t>From:</w:t>
      </w:r>
      <w:r w:rsidRPr="003F765E">
        <w:rPr>
          <w:b/>
        </w:rPr>
        <w:tab/>
      </w:r>
      <w:r w:rsidRPr="003F765E">
        <w:rPr>
          <w:b/>
        </w:rPr>
        <w:tab/>
      </w:r>
      <w:r w:rsidRPr="003F765E">
        <w:t>Rob Corley, Education Programs Consultant</w:t>
      </w:r>
    </w:p>
    <w:p w14:paraId="6D840922" w14:textId="77777777" w:rsidR="001C19A4" w:rsidRPr="003F765E" w:rsidRDefault="001C19A4" w:rsidP="005F27A6">
      <w:r w:rsidRPr="003F765E">
        <w:t>via:</w:t>
      </w:r>
      <w:r w:rsidRPr="003F765E">
        <w:tab/>
      </w:r>
      <w:r w:rsidRPr="003F765E">
        <w:tab/>
        <w:t>John Gordon, Education Administrator I</w:t>
      </w:r>
    </w:p>
    <w:p w14:paraId="7D5F5C0D" w14:textId="77777777" w:rsidR="001C19A4" w:rsidRPr="003F765E" w:rsidRDefault="001C19A4" w:rsidP="005F27A6">
      <w:r w:rsidRPr="003F765E">
        <w:rPr>
          <w:b/>
        </w:rPr>
        <w:t>Subject:</w:t>
      </w:r>
      <w:r w:rsidRPr="003F765E">
        <w:rPr>
          <w:b/>
        </w:rPr>
        <w:tab/>
      </w:r>
      <w:r w:rsidRPr="003F765E">
        <w:t>School Facilities Analysis for Proposed Northgate Unified School District</w:t>
      </w:r>
    </w:p>
    <w:p w14:paraId="4E5B64EB" w14:textId="00A3975A" w:rsidR="001C19A4" w:rsidRPr="003F765E" w:rsidRDefault="001C19A4" w:rsidP="005F27A6">
      <w:r w:rsidRPr="003F765E">
        <w:t xml:space="preserve">Following is the requested analysis by the Facilities Planning Field Operations unit of a proposal to form the Northgate Unified School District </w:t>
      </w:r>
      <w:r w:rsidR="00947D42">
        <w:t>(</w:t>
      </w:r>
      <w:r w:rsidRPr="003F765E">
        <w:t xml:space="preserve">USD) from a portion of the Mt. Diablo </w:t>
      </w:r>
      <w:r w:rsidR="00947D42">
        <w:t>USD</w:t>
      </w:r>
      <w:r w:rsidRPr="003F765E">
        <w:t xml:space="preserve"> in Contra Costa County. Boundaries of the proposed N</w:t>
      </w:r>
      <w:r w:rsidR="00947D42">
        <w:t xml:space="preserve">orthgate </w:t>
      </w:r>
      <w:r w:rsidRPr="003F765E">
        <w:t>USD are defined in the unification petition as all territory within the attendance areas of five M</w:t>
      </w:r>
      <w:r w:rsidR="00947D42">
        <w:t xml:space="preserve">t. Diablo </w:t>
      </w:r>
      <w:r w:rsidRPr="003F765E">
        <w:t>USD schools: Bancroft Elementary, Valle Verde Elementary, Walnut Acres Elementary, Foothill Middle, and Northgate High.</w:t>
      </w:r>
    </w:p>
    <w:p w14:paraId="233B7180" w14:textId="77777777" w:rsidR="001C19A4" w:rsidRPr="003F765E" w:rsidRDefault="001C19A4" w:rsidP="005F27A6">
      <w:r w:rsidRPr="003F765E">
        <w:t xml:space="preserve">California </w:t>
      </w:r>
      <w:r w:rsidRPr="003F765E">
        <w:rPr>
          <w:i/>
        </w:rPr>
        <w:t>Education Code</w:t>
      </w:r>
      <w:r w:rsidRPr="003F765E">
        <w:t xml:space="preserve"> Section 35753(a) requires that nine conditions must be substantially met for the State Board of Education to approve a school district reorganization. Two of the nine conditions address school facilities—real property and bonded indebtedness:</w:t>
      </w:r>
    </w:p>
    <w:p w14:paraId="3A7E0515" w14:textId="77777777" w:rsidR="001C19A4" w:rsidRPr="003F765E" w:rsidRDefault="001C19A4" w:rsidP="000A33F9">
      <w:pPr>
        <w:pStyle w:val="BodyTextIndent"/>
        <w:numPr>
          <w:ilvl w:val="0"/>
          <w:numId w:val="21"/>
        </w:numPr>
        <w:tabs>
          <w:tab w:val="left" w:pos="720"/>
          <w:tab w:val="left" w:pos="1080"/>
        </w:tabs>
        <w:autoSpaceDE w:val="0"/>
        <w:autoSpaceDN w:val="0"/>
        <w:adjustRightInd w:val="0"/>
        <w:spacing w:after="240" w:line="259" w:lineRule="auto"/>
      </w:pPr>
      <w:r w:rsidRPr="003F765E">
        <w:t>Condition 3 requires that "The proposal will result in an equitable division of property and facilities of the original district or districts."</w:t>
      </w:r>
    </w:p>
    <w:p w14:paraId="0F95B858" w14:textId="77777777" w:rsidR="001C19A4" w:rsidRPr="003F765E" w:rsidRDefault="001C19A4" w:rsidP="000A33F9">
      <w:pPr>
        <w:pStyle w:val="ListParagraph"/>
        <w:widowControl w:val="0"/>
        <w:numPr>
          <w:ilvl w:val="0"/>
          <w:numId w:val="21"/>
        </w:numPr>
        <w:spacing w:after="240" w:line="259" w:lineRule="auto"/>
      </w:pPr>
      <w:r w:rsidRPr="003F765E">
        <w:t>Condition 7 requires that "Any increase in school facilities costs as a result of the proposed reorganization will be insignificant and otherwise incidental to the reorganization."</w:t>
      </w:r>
    </w:p>
    <w:p w14:paraId="7DCDC6E8" w14:textId="31D7245D" w:rsidR="001C19A4" w:rsidRPr="003F765E" w:rsidRDefault="001C19A4" w:rsidP="005F27A6">
      <w:r w:rsidRPr="003F765E">
        <w:t xml:space="preserve">The Contra Costa County Office of Education authorized a </w:t>
      </w:r>
      <w:r w:rsidR="00D64B69">
        <w:t>r</w:t>
      </w:r>
      <w:r w:rsidRPr="003F765E">
        <w:t xml:space="preserve">eorganization </w:t>
      </w:r>
      <w:r w:rsidR="00947D42">
        <w:t>f</w:t>
      </w:r>
      <w:r w:rsidRPr="003F765E">
        <w:t xml:space="preserve">easibility </w:t>
      </w:r>
      <w:r w:rsidR="00D64B69">
        <w:t>s</w:t>
      </w:r>
      <w:r w:rsidRPr="003F765E">
        <w:t>tudy for the proposed N</w:t>
      </w:r>
      <w:r w:rsidR="00947D42">
        <w:t xml:space="preserve">orthgate </w:t>
      </w:r>
      <w:r w:rsidRPr="003F765E">
        <w:t xml:space="preserve">USD, which was prepared August 8, 2017 by School Services of California (SSC). </w:t>
      </w:r>
    </w:p>
    <w:p w14:paraId="5A54A24C" w14:textId="77777777" w:rsidR="001C19A4" w:rsidRPr="007959FA" w:rsidRDefault="001C19A4" w:rsidP="007F1E2D">
      <w:pPr>
        <w:pStyle w:val="Heading2"/>
      </w:pPr>
      <w:r w:rsidRPr="007959FA">
        <w:lastRenderedPageBreak/>
        <w:t>Summary of Findings</w:t>
      </w:r>
    </w:p>
    <w:p w14:paraId="7BE32CBA" w14:textId="7B6ACAEB" w:rsidR="001C19A4" w:rsidRPr="003F765E" w:rsidRDefault="001C19A4" w:rsidP="005F27A6">
      <w:r w:rsidRPr="003F765E">
        <w:t>The petition specifies the territory of the proposed N</w:t>
      </w:r>
      <w:r w:rsidR="00947D42">
        <w:t xml:space="preserve">orthgate </w:t>
      </w:r>
      <w:r w:rsidRPr="003F765E">
        <w:t>USD as territory within the boundaries of five M</w:t>
      </w:r>
      <w:r w:rsidR="00947D42">
        <w:t xml:space="preserve">t. </w:t>
      </w:r>
      <w:r w:rsidRPr="003F765E">
        <w:t>D</w:t>
      </w:r>
      <w:r w:rsidR="00947D42">
        <w:t xml:space="preserve">iablo </w:t>
      </w:r>
      <w:r w:rsidRPr="003F765E">
        <w:t xml:space="preserve">USD schools as these boundaries existed on April 24, 2016. Three additional </w:t>
      </w:r>
      <w:r w:rsidR="00947D42" w:rsidRPr="003F765E">
        <w:t>M</w:t>
      </w:r>
      <w:r w:rsidR="00947D42">
        <w:t xml:space="preserve">t. </w:t>
      </w:r>
      <w:r w:rsidR="00947D42" w:rsidRPr="003F765E">
        <w:t>D</w:t>
      </w:r>
      <w:r w:rsidR="00947D42">
        <w:t xml:space="preserve">iablo </w:t>
      </w:r>
      <w:r w:rsidR="00947D42" w:rsidRPr="003F765E">
        <w:t>USD</w:t>
      </w:r>
      <w:r w:rsidRPr="003F765E">
        <w:t xml:space="preserve"> school sites are located within this area—Oak Grove Middle, Ygnacio Valley High, and Eagle Peak </w:t>
      </w:r>
      <w:r>
        <w:t>Montessori</w:t>
      </w:r>
      <w:r w:rsidRPr="003F765E">
        <w:rPr>
          <w:rStyle w:val="FootnoteReference"/>
          <w:vertAlign w:val="superscript"/>
        </w:rPr>
        <w:footnoteReference w:id="14"/>
      </w:r>
      <w:r w:rsidRPr="003F765E">
        <w:t xml:space="preserve"> currently serve </w:t>
      </w:r>
      <w:r w:rsidR="00947D42" w:rsidRPr="003F765E">
        <w:t>M</w:t>
      </w:r>
      <w:r w:rsidR="00947D42">
        <w:t xml:space="preserve">t. </w:t>
      </w:r>
      <w:r w:rsidR="00947D42" w:rsidRPr="003F765E">
        <w:t>D</w:t>
      </w:r>
      <w:r w:rsidR="00947D42">
        <w:t xml:space="preserve">iablo </w:t>
      </w:r>
      <w:r w:rsidR="00947D42" w:rsidRPr="003F765E">
        <w:t>USD</w:t>
      </w:r>
      <w:r w:rsidRPr="003F765E">
        <w:t xml:space="preserve"> attendance areas both inside and outside of the proposed N</w:t>
      </w:r>
      <w:r w:rsidR="00947D42">
        <w:t xml:space="preserve">orthgate </w:t>
      </w:r>
      <w:r w:rsidRPr="003F765E">
        <w:t xml:space="preserve">USD boundaries. </w:t>
      </w:r>
    </w:p>
    <w:p w14:paraId="5537C3B8" w14:textId="554D2573" w:rsidR="001C19A4" w:rsidRPr="003F765E" w:rsidRDefault="001C19A4" w:rsidP="005F27A6">
      <w:pPr>
        <w:rPr>
          <w:b/>
        </w:rPr>
      </w:pPr>
      <w:r w:rsidRPr="003F765E">
        <w:t xml:space="preserve">Oak Grove Middle and Ygnacio Valley High are necessary to accommodate </w:t>
      </w:r>
      <w:r w:rsidR="00947D42" w:rsidRPr="003F765E">
        <w:t>M</w:t>
      </w:r>
      <w:r w:rsidR="00947D42">
        <w:t xml:space="preserve">t. </w:t>
      </w:r>
      <w:r w:rsidR="00947D42" w:rsidRPr="003F765E">
        <w:t>D</w:t>
      </w:r>
      <w:r w:rsidR="00947D42">
        <w:t xml:space="preserve">iablo </w:t>
      </w:r>
      <w:r w:rsidR="00947D42" w:rsidRPr="003F765E">
        <w:t>USD</w:t>
      </w:r>
      <w:r w:rsidRPr="003F765E">
        <w:t xml:space="preserve"> enrollment; therefore, the proposal would not result in an equitable division of property and facilities of the original district. Eagle Peak </w:t>
      </w:r>
      <w:r>
        <w:t>Montessori</w:t>
      </w:r>
      <w:r w:rsidRPr="003F765E">
        <w:t xml:space="preserve"> is a dependent charter authorized by </w:t>
      </w:r>
      <w:r w:rsidR="00947D42" w:rsidRPr="003F765E">
        <w:t>M</w:t>
      </w:r>
      <w:r w:rsidR="00947D42">
        <w:t xml:space="preserve">t. </w:t>
      </w:r>
      <w:r w:rsidR="00947D42" w:rsidRPr="003F765E">
        <w:t>D</w:t>
      </w:r>
      <w:r w:rsidR="00947D42">
        <w:t xml:space="preserve">iablo </w:t>
      </w:r>
      <w:r w:rsidR="00947D42" w:rsidRPr="003F765E">
        <w:t>USD</w:t>
      </w:r>
      <w:r w:rsidRPr="003F765E">
        <w:t xml:space="preserve">. As discussed in the SSC report, if the proposed reorganization occurs, Eagle Peak </w:t>
      </w:r>
      <w:r>
        <w:t xml:space="preserve">Montessori </w:t>
      </w:r>
      <w:r w:rsidRPr="003F765E">
        <w:t>will be within N</w:t>
      </w:r>
      <w:r w:rsidR="00947D42">
        <w:t xml:space="preserve">orthgate </w:t>
      </w:r>
      <w:r w:rsidRPr="003F765E">
        <w:t>USD and not within the boundary of the charter</w:t>
      </w:r>
      <w:r>
        <w:t xml:space="preserve"> school</w:t>
      </w:r>
      <w:r w:rsidRPr="003F765E">
        <w:t>'s authorizing school district (</w:t>
      </w:r>
      <w:r w:rsidR="00947D42" w:rsidRPr="003F765E">
        <w:t>M</w:t>
      </w:r>
      <w:r w:rsidR="00947D42">
        <w:t xml:space="preserve">t. </w:t>
      </w:r>
      <w:r w:rsidR="00947D42" w:rsidRPr="003F765E">
        <w:t>D</w:t>
      </w:r>
      <w:r w:rsidR="00947D42">
        <w:t xml:space="preserve">iablo </w:t>
      </w:r>
      <w:r w:rsidR="00947D42" w:rsidRPr="003F765E">
        <w:t>USD</w:t>
      </w:r>
      <w:r w:rsidRPr="003F765E">
        <w:t xml:space="preserve">). </w:t>
      </w:r>
      <w:r w:rsidRPr="003F765E">
        <w:rPr>
          <w:b/>
        </w:rPr>
        <w:t>Condition 3 is not met.</w:t>
      </w:r>
    </w:p>
    <w:p w14:paraId="575C5644" w14:textId="552851A8" w:rsidR="001C19A4" w:rsidRPr="003F765E" w:rsidRDefault="001C19A4" w:rsidP="005F27A6">
      <w:r w:rsidRPr="003F765E">
        <w:t xml:space="preserve">Our analysis further concludes that any increase in school facilities costs due to the reorganization will not be insignificant or incidental to the reorganization. The primary cost to </w:t>
      </w:r>
      <w:r w:rsidR="00947D42" w:rsidRPr="003F765E">
        <w:t>M</w:t>
      </w:r>
      <w:r w:rsidR="00947D42">
        <w:t xml:space="preserve">t. </w:t>
      </w:r>
      <w:r w:rsidR="00947D42" w:rsidRPr="003F765E">
        <w:t>D</w:t>
      </w:r>
      <w:r w:rsidR="00947D42">
        <w:t xml:space="preserve">iablo </w:t>
      </w:r>
      <w:r w:rsidR="00947D42" w:rsidRPr="003F765E">
        <w:t>USD</w:t>
      </w:r>
      <w:r w:rsidRPr="003F765E">
        <w:t xml:space="preserve"> will be expansion of one or more existing middle schools and high schools, possibly including land acquisition, as the proposed reorganization would leave the </w:t>
      </w:r>
      <w:r w:rsidR="00947D42" w:rsidRPr="003F765E">
        <w:t>M</w:t>
      </w:r>
      <w:r w:rsidR="00947D42">
        <w:t xml:space="preserve">t. </w:t>
      </w:r>
      <w:r w:rsidR="00947D42" w:rsidRPr="003F765E">
        <w:t>D</w:t>
      </w:r>
      <w:r w:rsidR="00947D42">
        <w:t xml:space="preserve">iablo </w:t>
      </w:r>
      <w:r w:rsidR="00947D42" w:rsidRPr="003F765E">
        <w:t>USD</w:t>
      </w:r>
      <w:r w:rsidRPr="003F765E">
        <w:t xml:space="preserve"> with a significant shortage of capacity for middle and high school students. </w:t>
      </w:r>
      <w:r w:rsidRPr="003F765E">
        <w:rPr>
          <w:b/>
        </w:rPr>
        <w:t>Condition 7 is not met.</w:t>
      </w:r>
    </w:p>
    <w:p w14:paraId="0C66422D" w14:textId="77777777" w:rsidR="001C19A4" w:rsidRPr="008719A8" w:rsidRDefault="001C19A4" w:rsidP="000A33F9">
      <w:pPr>
        <w:pStyle w:val="Heading2"/>
        <w:numPr>
          <w:ilvl w:val="0"/>
          <w:numId w:val="42"/>
        </w:numPr>
      </w:pPr>
      <w:r w:rsidRPr="008719A8">
        <w:t>Analysis of Condition 3</w:t>
      </w:r>
    </w:p>
    <w:p w14:paraId="4A057929" w14:textId="77777777" w:rsidR="001C19A4" w:rsidRPr="00BF126B" w:rsidRDefault="001C19A4" w:rsidP="000A33F9">
      <w:pPr>
        <w:pStyle w:val="Heading3"/>
        <w:numPr>
          <w:ilvl w:val="1"/>
          <w:numId w:val="41"/>
        </w:numPr>
        <w:ind w:hanging="720"/>
      </w:pPr>
      <w:r w:rsidRPr="00BF126B">
        <w:t>Equitable Division of Property and Facilities</w:t>
      </w:r>
    </w:p>
    <w:p w14:paraId="4F05F84E" w14:textId="63CFFBAF" w:rsidR="001C19A4" w:rsidRPr="003F765E" w:rsidRDefault="001C19A4" w:rsidP="00947D42">
      <w:pPr>
        <w:ind w:left="1080"/>
      </w:pPr>
      <w:r w:rsidRPr="003F765E">
        <w:t xml:space="preserve">The SSC </w:t>
      </w:r>
      <w:r w:rsidRPr="00D64B69">
        <w:rPr>
          <w:i/>
        </w:rPr>
        <w:t>Feasibility Study</w:t>
      </w:r>
      <w:r w:rsidRPr="003F765E">
        <w:t xml:space="preserve"> shows 30,656 MDUSD students in 2016–17, with 26,113 (85%) remaining in M</w:t>
      </w:r>
      <w:r w:rsidR="00947D42">
        <w:t xml:space="preserve">t. Diablo </w:t>
      </w:r>
      <w:r w:rsidRPr="003F765E">
        <w:t>USD and 4,543 (15%) in the proposed N</w:t>
      </w:r>
      <w:r w:rsidR="00947D42">
        <w:t xml:space="preserve">orthgate </w:t>
      </w:r>
      <w:r w:rsidRPr="003F765E">
        <w:t xml:space="preserve">USD. </w:t>
      </w:r>
    </w:p>
    <w:p w14:paraId="33139D15" w14:textId="6176DB38" w:rsidR="001C19A4" w:rsidRPr="00DE7F52" w:rsidRDefault="001C19A4" w:rsidP="000A33F9">
      <w:pPr>
        <w:pStyle w:val="Heading3"/>
        <w:numPr>
          <w:ilvl w:val="1"/>
          <w:numId w:val="41"/>
        </w:numPr>
        <w:ind w:hanging="720"/>
      </w:pPr>
      <w:r w:rsidRPr="00DE7F52">
        <w:t xml:space="preserve">Facilities Available within the Proposed Northgate </w:t>
      </w:r>
      <w:r w:rsidR="00947D42">
        <w:t>USD</w:t>
      </w:r>
    </w:p>
    <w:p w14:paraId="573B3277" w14:textId="5259644C" w:rsidR="003E48CC" w:rsidRPr="009D0D7F" w:rsidRDefault="001C19A4" w:rsidP="00947D42">
      <w:pPr>
        <w:ind w:left="1080"/>
      </w:pPr>
      <w:r w:rsidRPr="003F765E">
        <w:t>The petition specifies the territory of the proposed N</w:t>
      </w:r>
      <w:r w:rsidR="00947D42">
        <w:t xml:space="preserve">orthgate </w:t>
      </w:r>
      <w:r w:rsidRPr="003F765E">
        <w:t>USD as territory within the boundaries of five M</w:t>
      </w:r>
      <w:r w:rsidR="00947D42">
        <w:t xml:space="preserve">t. </w:t>
      </w:r>
      <w:r w:rsidRPr="003F765E">
        <w:t>D</w:t>
      </w:r>
      <w:r w:rsidR="00947D42">
        <w:t xml:space="preserve">iablo </w:t>
      </w:r>
      <w:r w:rsidRPr="003F765E">
        <w:t xml:space="preserve">USD schools as these boundaries existed on April 24, 2016. Capacity and enrollment of the five schools for the 2016–17 school year are shown </w:t>
      </w:r>
      <w:r>
        <w:t xml:space="preserve">in </w:t>
      </w:r>
      <w:r w:rsidR="00362CBA">
        <w:t>T</w:t>
      </w:r>
      <w:r>
        <w:t>able 1</w:t>
      </w:r>
      <w:r w:rsidRPr="003F765E">
        <w:t>.</w:t>
      </w:r>
      <w:r w:rsidR="003E48CC">
        <w:rPr>
          <w:b/>
        </w:rPr>
        <w:br w:type="page"/>
      </w:r>
    </w:p>
    <w:p w14:paraId="04D8FAA5" w14:textId="4A3E687C" w:rsidR="001C19A4" w:rsidRPr="00903BB4" w:rsidRDefault="001C19A4" w:rsidP="00903BB4">
      <w:pPr>
        <w:pStyle w:val="Heading4"/>
        <w:rPr>
          <w:rStyle w:val="Strong"/>
          <w:b/>
          <w:bCs w:val="0"/>
        </w:rPr>
      </w:pPr>
      <w:r w:rsidRPr="00903BB4">
        <w:rPr>
          <w:rStyle w:val="Strong"/>
          <w:b/>
          <w:bCs w:val="0"/>
        </w:rPr>
        <w:lastRenderedPageBreak/>
        <w:t>Table 1. Capacity and Enrollment of Schools Named in the Petition</w:t>
      </w:r>
    </w:p>
    <w:tbl>
      <w:tblPr>
        <w:tblStyle w:val="TableGrid"/>
        <w:tblW w:w="9000" w:type="dxa"/>
        <w:tblInd w:w="355" w:type="dxa"/>
        <w:tblCellMar>
          <w:top w:w="115" w:type="dxa"/>
          <w:left w:w="115" w:type="dxa"/>
          <w:bottom w:w="115" w:type="dxa"/>
          <w:right w:w="115" w:type="dxa"/>
        </w:tblCellMar>
        <w:tblLook w:val="04A0" w:firstRow="1" w:lastRow="0" w:firstColumn="1" w:lastColumn="0" w:noHBand="0" w:noVBand="1"/>
        <w:tblDescription w:val="Table 1. Capacity, enrollment, and unused space of schools named in the petition by school type."/>
      </w:tblPr>
      <w:tblGrid>
        <w:gridCol w:w="2880"/>
        <w:gridCol w:w="2040"/>
        <w:gridCol w:w="2040"/>
        <w:gridCol w:w="2040"/>
      </w:tblGrid>
      <w:tr w:rsidR="001C19A4" w:rsidRPr="00BF126B" w14:paraId="74EE6F66" w14:textId="77777777" w:rsidTr="00903BB4">
        <w:trPr>
          <w:tblHeader/>
        </w:trPr>
        <w:tc>
          <w:tcPr>
            <w:tcW w:w="2880" w:type="dxa"/>
            <w:shd w:val="clear" w:color="auto" w:fill="D9D9D9"/>
            <w:vAlign w:val="center"/>
          </w:tcPr>
          <w:p w14:paraId="131440B2" w14:textId="77777777" w:rsidR="001C19A4" w:rsidRPr="00D87B25" w:rsidRDefault="001C19A4" w:rsidP="005F27A6">
            <w:pPr>
              <w:spacing w:after="0"/>
              <w:jc w:val="center"/>
              <w:rPr>
                <w:b/>
                <w:highlight w:val="lightGray"/>
              </w:rPr>
            </w:pPr>
            <w:r w:rsidRPr="00D87B25">
              <w:rPr>
                <w:b/>
                <w:highlight w:val="lightGray"/>
              </w:rPr>
              <w:t xml:space="preserve">School </w:t>
            </w:r>
            <w:r>
              <w:rPr>
                <w:b/>
                <w:highlight w:val="lightGray"/>
              </w:rPr>
              <w:t>T</w:t>
            </w:r>
            <w:r w:rsidRPr="00D87B25">
              <w:rPr>
                <w:b/>
                <w:highlight w:val="lightGray"/>
              </w:rPr>
              <w:t>ype</w:t>
            </w:r>
          </w:p>
        </w:tc>
        <w:tc>
          <w:tcPr>
            <w:tcW w:w="2040" w:type="dxa"/>
            <w:shd w:val="clear" w:color="auto" w:fill="D9D9D9"/>
            <w:vAlign w:val="center"/>
          </w:tcPr>
          <w:p w14:paraId="0B029B59" w14:textId="77777777" w:rsidR="001C19A4" w:rsidRPr="00D87B25" w:rsidRDefault="001C19A4" w:rsidP="005F27A6">
            <w:pPr>
              <w:spacing w:after="0"/>
              <w:jc w:val="center"/>
              <w:rPr>
                <w:b/>
                <w:highlight w:val="lightGray"/>
              </w:rPr>
            </w:pPr>
            <w:r w:rsidRPr="00D87B25">
              <w:rPr>
                <w:b/>
                <w:highlight w:val="lightGray"/>
              </w:rPr>
              <w:t>Capacity</w:t>
            </w:r>
          </w:p>
        </w:tc>
        <w:tc>
          <w:tcPr>
            <w:tcW w:w="2040" w:type="dxa"/>
            <w:shd w:val="clear" w:color="auto" w:fill="D9D9D9"/>
            <w:vAlign w:val="center"/>
          </w:tcPr>
          <w:p w14:paraId="7E0E5F06" w14:textId="77777777" w:rsidR="001C19A4" w:rsidRPr="00D87B25" w:rsidRDefault="001C19A4" w:rsidP="005F27A6">
            <w:pPr>
              <w:spacing w:after="0"/>
              <w:jc w:val="center"/>
              <w:rPr>
                <w:b/>
                <w:highlight w:val="lightGray"/>
              </w:rPr>
            </w:pPr>
            <w:r w:rsidRPr="00D87B25">
              <w:rPr>
                <w:b/>
                <w:highlight w:val="lightGray"/>
              </w:rPr>
              <w:t>Pupils 2016–17</w:t>
            </w:r>
          </w:p>
        </w:tc>
        <w:tc>
          <w:tcPr>
            <w:tcW w:w="2040" w:type="dxa"/>
            <w:shd w:val="clear" w:color="auto" w:fill="D9D9D9"/>
            <w:vAlign w:val="center"/>
          </w:tcPr>
          <w:p w14:paraId="08606424" w14:textId="77777777" w:rsidR="001C19A4" w:rsidRPr="00D87B25" w:rsidRDefault="001C19A4" w:rsidP="005F27A6">
            <w:pPr>
              <w:spacing w:after="0"/>
              <w:jc w:val="center"/>
              <w:rPr>
                <w:b/>
              </w:rPr>
            </w:pPr>
            <w:r w:rsidRPr="00D87B25">
              <w:rPr>
                <w:b/>
                <w:highlight w:val="lightGray"/>
              </w:rPr>
              <w:t>Unused Space</w:t>
            </w:r>
          </w:p>
        </w:tc>
      </w:tr>
      <w:tr w:rsidR="001C19A4" w:rsidRPr="003F765E" w14:paraId="39C714CE" w14:textId="77777777" w:rsidTr="00903BB4">
        <w:tc>
          <w:tcPr>
            <w:tcW w:w="2880" w:type="dxa"/>
          </w:tcPr>
          <w:p w14:paraId="7A349057" w14:textId="77777777" w:rsidR="001C19A4" w:rsidRPr="003F765E" w:rsidRDefault="001C19A4" w:rsidP="005F27A6">
            <w:pPr>
              <w:spacing w:after="0"/>
            </w:pPr>
            <w:r w:rsidRPr="003F765E">
              <w:t>Elementary (3)</w:t>
            </w:r>
          </w:p>
        </w:tc>
        <w:tc>
          <w:tcPr>
            <w:tcW w:w="2040" w:type="dxa"/>
            <w:vAlign w:val="center"/>
          </w:tcPr>
          <w:p w14:paraId="4D925636" w14:textId="77777777" w:rsidR="001C19A4" w:rsidRPr="003F765E" w:rsidRDefault="001C19A4" w:rsidP="005F27A6">
            <w:pPr>
              <w:spacing w:after="0"/>
              <w:jc w:val="right"/>
            </w:pPr>
            <w:r w:rsidRPr="003F765E">
              <w:t>1,842</w:t>
            </w:r>
          </w:p>
        </w:tc>
        <w:tc>
          <w:tcPr>
            <w:tcW w:w="2040" w:type="dxa"/>
            <w:vAlign w:val="center"/>
          </w:tcPr>
          <w:p w14:paraId="02023228" w14:textId="77777777" w:rsidR="001C19A4" w:rsidRPr="003F765E" w:rsidRDefault="001C19A4" w:rsidP="005F27A6">
            <w:pPr>
              <w:spacing w:after="0"/>
              <w:jc w:val="right"/>
            </w:pPr>
            <w:r w:rsidRPr="003F765E">
              <w:t>1,698</w:t>
            </w:r>
          </w:p>
        </w:tc>
        <w:tc>
          <w:tcPr>
            <w:tcW w:w="2040" w:type="dxa"/>
            <w:vAlign w:val="center"/>
          </w:tcPr>
          <w:p w14:paraId="294AE886" w14:textId="77777777" w:rsidR="001C19A4" w:rsidRPr="003F765E" w:rsidRDefault="001C19A4" w:rsidP="005F27A6">
            <w:pPr>
              <w:spacing w:after="0"/>
              <w:jc w:val="right"/>
            </w:pPr>
            <w:r w:rsidRPr="003F765E">
              <w:t>144</w:t>
            </w:r>
          </w:p>
        </w:tc>
      </w:tr>
      <w:tr w:rsidR="001C19A4" w:rsidRPr="003F765E" w14:paraId="2959C485" w14:textId="77777777" w:rsidTr="00903BB4">
        <w:tc>
          <w:tcPr>
            <w:tcW w:w="2880" w:type="dxa"/>
          </w:tcPr>
          <w:p w14:paraId="2575EF31" w14:textId="77777777" w:rsidR="001C19A4" w:rsidRPr="003F765E" w:rsidRDefault="001C19A4" w:rsidP="005F27A6">
            <w:pPr>
              <w:spacing w:after="0"/>
            </w:pPr>
            <w:r w:rsidRPr="003F765E">
              <w:t>Middle (1)</w:t>
            </w:r>
          </w:p>
        </w:tc>
        <w:tc>
          <w:tcPr>
            <w:tcW w:w="2040" w:type="dxa"/>
            <w:vAlign w:val="center"/>
          </w:tcPr>
          <w:p w14:paraId="3865E1CD" w14:textId="77777777" w:rsidR="001C19A4" w:rsidRPr="003F765E" w:rsidRDefault="001C19A4" w:rsidP="005F27A6">
            <w:pPr>
              <w:spacing w:after="0"/>
              <w:jc w:val="right"/>
            </w:pPr>
            <w:r w:rsidRPr="003F765E">
              <w:t>1,025</w:t>
            </w:r>
          </w:p>
        </w:tc>
        <w:tc>
          <w:tcPr>
            <w:tcW w:w="2040" w:type="dxa"/>
            <w:vAlign w:val="center"/>
          </w:tcPr>
          <w:p w14:paraId="37943563" w14:textId="77777777" w:rsidR="001C19A4" w:rsidRPr="003F765E" w:rsidRDefault="001C19A4" w:rsidP="005F27A6">
            <w:pPr>
              <w:spacing w:after="0"/>
              <w:jc w:val="right"/>
            </w:pPr>
            <w:r w:rsidRPr="003F765E">
              <w:t>828</w:t>
            </w:r>
          </w:p>
        </w:tc>
        <w:tc>
          <w:tcPr>
            <w:tcW w:w="2040" w:type="dxa"/>
            <w:vAlign w:val="center"/>
          </w:tcPr>
          <w:p w14:paraId="4BD0EE7B" w14:textId="77777777" w:rsidR="001C19A4" w:rsidRPr="003F765E" w:rsidRDefault="001C19A4" w:rsidP="005F27A6">
            <w:pPr>
              <w:spacing w:after="0"/>
              <w:jc w:val="right"/>
            </w:pPr>
            <w:r w:rsidRPr="003F765E">
              <w:t>197</w:t>
            </w:r>
          </w:p>
        </w:tc>
      </w:tr>
      <w:tr w:rsidR="001C19A4" w:rsidRPr="003F765E" w14:paraId="20AB1178" w14:textId="77777777" w:rsidTr="00903BB4">
        <w:trPr>
          <w:trHeight w:val="82"/>
        </w:trPr>
        <w:tc>
          <w:tcPr>
            <w:tcW w:w="2880" w:type="dxa"/>
          </w:tcPr>
          <w:p w14:paraId="73D4E201" w14:textId="77777777" w:rsidR="001C19A4" w:rsidRPr="003F765E" w:rsidRDefault="001C19A4" w:rsidP="005F27A6">
            <w:pPr>
              <w:spacing w:after="0"/>
            </w:pPr>
            <w:r w:rsidRPr="003F765E">
              <w:t>High School (1)</w:t>
            </w:r>
          </w:p>
        </w:tc>
        <w:tc>
          <w:tcPr>
            <w:tcW w:w="2040" w:type="dxa"/>
            <w:vAlign w:val="center"/>
          </w:tcPr>
          <w:p w14:paraId="48EF2956" w14:textId="77777777" w:rsidR="001C19A4" w:rsidRPr="003F765E" w:rsidRDefault="001C19A4" w:rsidP="005F27A6">
            <w:pPr>
              <w:spacing w:after="0"/>
              <w:jc w:val="right"/>
            </w:pPr>
            <w:r w:rsidRPr="003F765E">
              <w:t>1,379</w:t>
            </w:r>
          </w:p>
        </w:tc>
        <w:tc>
          <w:tcPr>
            <w:tcW w:w="2040" w:type="dxa"/>
            <w:vAlign w:val="center"/>
          </w:tcPr>
          <w:p w14:paraId="1A11B484" w14:textId="77777777" w:rsidR="001C19A4" w:rsidRPr="003F765E" w:rsidRDefault="001C19A4" w:rsidP="005F27A6">
            <w:pPr>
              <w:spacing w:after="0"/>
              <w:jc w:val="right"/>
            </w:pPr>
            <w:r w:rsidRPr="003F765E">
              <w:t>1,492</w:t>
            </w:r>
          </w:p>
        </w:tc>
        <w:tc>
          <w:tcPr>
            <w:tcW w:w="2040" w:type="dxa"/>
            <w:vAlign w:val="center"/>
          </w:tcPr>
          <w:p w14:paraId="3446F17D" w14:textId="77777777" w:rsidR="001C19A4" w:rsidRPr="003F765E" w:rsidRDefault="001C19A4" w:rsidP="005F27A6">
            <w:pPr>
              <w:spacing w:after="0"/>
              <w:jc w:val="right"/>
            </w:pPr>
            <w:r w:rsidRPr="003F765E">
              <w:t>-113</w:t>
            </w:r>
          </w:p>
        </w:tc>
      </w:tr>
      <w:tr w:rsidR="001C19A4" w:rsidRPr="003F765E" w14:paraId="76F71F35" w14:textId="77777777" w:rsidTr="00903BB4">
        <w:tc>
          <w:tcPr>
            <w:tcW w:w="2880" w:type="dxa"/>
          </w:tcPr>
          <w:p w14:paraId="5DC9DFE4" w14:textId="77777777" w:rsidR="001C19A4" w:rsidRPr="003F765E" w:rsidRDefault="001C19A4" w:rsidP="005F27A6">
            <w:pPr>
              <w:spacing w:after="0"/>
            </w:pPr>
            <w:r w:rsidRPr="003F765E">
              <w:t>Total</w:t>
            </w:r>
          </w:p>
        </w:tc>
        <w:tc>
          <w:tcPr>
            <w:tcW w:w="2040" w:type="dxa"/>
            <w:vAlign w:val="center"/>
          </w:tcPr>
          <w:p w14:paraId="249F099E" w14:textId="77777777" w:rsidR="001C19A4" w:rsidRPr="003F765E" w:rsidRDefault="001C19A4" w:rsidP="005F27A6">
            <w:pPr>
              <w:spacing w:after="0"/>
              <w:jc w:val="right"/>
            </w:pPr>
            <w:r w:rsidRPr="003F765E">
              <w:t>4,246</w:t>
            </w:r>
          </w:p>
        </w:tc>
        <w:tc>
          <w:tcPr>
            <w:tcW w:w="2040" w:type="dxa"/>
            <w:vAlign w:val="center"/>
          </w:tcPr>
          <w:p w14:paraId="0440B96F" w14:textId="77777777" w:rsidR="001C19A4" w:rsidRPr="003F765E" w:rsidRDefault="001C19A4" w:rsidP="005F27A6">
            <w:pPr>
              <w:spacing w:after="0"/>
              <w:jc w:val="right"/>
            </w:pPr>
            <w:r w:rsidRPr="003F765E">
              <w:t>4,018</w:t>
            </w:r>
          </w:p>
        </w:tc>
        <w:tc>
          <w:tcPr>
            <w:tcW w:w="2040" w:type="dxa"/>
            <w:vAlign w:val="center"/>
          </w:tcPr>
          <w:p w14:paraId="4216924B" w14:textId="77777777" w:rsidR="001C19A4" w:rsidRPr="003F765E" w:rsidRDefault="001C19A4" w:rsidP="005F27A6">
            <w:pPr>
              <w:spacing w:after="0"/>
              <w:jc w:val="right"/>
            </w:pPr>
            <w:r w:rsidRPr="003F765E">
              <w:t>228</w:t>
            </w:r>
          </w:p>
        </w:tc>
      </w:tr>
    </w:tbl>
    <w:p w14:paraId="01753DE7" w14:textId="4890C804" w:rsidR="001C19A4" w:rsidRDefault="001C19A4" w:rsidP="003E48CC">
      <w:pPr>
        <w:spacing w:before="120"/>
        <w:ind w:left="360"/>
      </w:pPr>
      <w:r w:rsidRPr="003F765E">
        <w:t xml:space="preserve">The SSC report identified various logistic and financial challenges from the proposal, most of which relate to three additional </w:t>
      </w:r>
      <w:r w:rsidR="00947D42" w:rsidRPr="003F765E">
        <w:t>M</w:t>
      </w:r>
      <w:r w:rsidR="00947D42">
        <w:t xml:space="preserve">t. </w:t>
      </w:r>
      <w:r w:rsidR="00947D42" w:rsidRPr="003F765E">
        <w:t>D</w:t>
      </w:r>
      <w:r w:rsidR="00947D42">
        <w:t xml:space="preserve">iablo </w:t>
      </w:r>
      <w:r w:rsidR="00947D42" w:rsidRPr="003F765E">
        <w:t>USD</w:t>
      </w:r>
      <w:r w:rsidRPr="003F765E">
        <w:t xml:space="preserve"> campuses within the territory proposed for the new unified school district. These schools—Oak Grove Middle, Ygnacio Valley High and Eagle Peak </w:t>
      </w:r>
      <w:r>
        <w:t>Montessori</w:t>
      </w:r>
      <w:r w:rsidRPr="003F765E">
        <w:t>—would become part of the new N</w:t>
      </w:r>
      <w:r w:rsidR="00947D42">
        <w:t xml:space="preserve">orthgate </w:t>
      </w:r>
      <w:r w:rsidRPr="003F765E">
        <w:t>USD</w:t>
      </w:r>
      <w:r w:rsidRPr="009B7209">
        <w:rPr>
          <w:rStyle w:val="FootnoteReference"/>
          <w:vertAlign w:val="superscript"/>
        </w:rPr>
        <w:footnoteReference w:id="15"/>
      </w:r>
      <w:r w:rsidRPr="003F765E">
        <w:t>. A portion of the Highlands Elementary attendance area (but not the campus) also falls within the proposed N</w:t>
      </w:r>
      <w:r w:rsidR="00947D42">
        <w:t xml:space="preserve">orthgate </w:t>
      </w:r>
      <w:r w:rsidRPr="003F765E">
        <w:t>USD boundary.</w:t>
      </w:r>
      <w:r>
        <w:t xml:space="preserve"> The capacity and enrollment of these additional schools are shown in </w:t>
      </w:r>
      <w:r w:rsidR="002F7493">
        <w:t>T</w:t>
      </w:r>
      <w:r>
        <w:t>able 2.</w:t>
      </w:r>
    </w:p>
    <w:p w14:paraId="09D46DF6" w14:textId="77777777" w:rsidR="001C19A4" w:rsidRPr="00903BB4" w:rsidRDefault="001C19A4" w:rsidP="00903BB4">
      <w:pPr>
        <w:pStyle w:val="Heading4"/>
        <w:rPr>
          <w:rStyle w:val="Strong"/>
          <w:b/>
          <w:bCs w:val="0"/>
        </w:rPr>
      </w:pPr>
      <w:r w:rsidRPr="00903BB4">
        <w:rPr>
          <w:rStyle w:val="Strong"/>
          <w:b/>
          <w:bCs w:val="0"/>
        </w:rPr>
        <w:t>Table 2. Capacity and Enrollment of Additional Schools in the Proposed Territory</w:t>
      </w:r>
    </w:p>
    <w:tbl>
      <w:tblPr>
        <w:tblStyle w:val="TableGrid"/>
        <w:tblW w:w="4810" w:type="pct"/>
        <w:tblInd w:w="355" w:type="dxa"/>
        <w:tblCellMar>
          <w:top w:w="115" w:type="dxa"/>
          <w:left w:w="115" w:type="dxa"/>
          <w:bottom w:w="115" w:type="dxa"/>
          <w:right w:w="115" w:type="dxa"/>
        </w:tblCellMar>
        <w:tblLook w:val="04A0" w:firstRow="1" w:lastRow="0" w:firstColumn="1" w:lastColumn="0" w:noHBand="0" w:noVBand="1"/>
        <w:tblDescription w:val="Table 2. Capacity, enrollment, and unused space of other schools included in the petition."/>
      </w:tblPr>
      <w:tblGrid>
        <w:gridCol w:w="2881"/>
        <w:gridCol w:w="2038"/>
        <w:gridCol w:w="2038"/>
        <w:gridCol w:w="2038"/>
      </w:tblGrid>
      <w:tr w:rsidR="001C19A4" w:rsidRPr="00BF126B" w14:paraId="55AF5A1C" w14:textId="77777777" w:rsidTr="00903BB4">
        <w:trPr>
          <w:tblHeader/>
        </w:trPr>
        <w:tc>
          <w:tcPr>
            <w:tcW w:w="1601" w:type="pct"/>
            <w:shd w:val="clear" w:color="auto" w:fill="D9D9D9"/>
            <w:vAlign w:val="center"/>
          </w:tcPr>
          <w:p w14:paraId="358B1BD5" w14:textId="77777777" w:rsidR="001C19A4" w:rsidRPr="00BF126B" w:rsidRDefault="001C19A4" w:rsidP="005F27A6">
            <w:pPr>
              <w:spacing w:after="0"/>
              <w:jc w:val="center"/>
              <w:rPr>
                <w:b/>
                <w:highlight w:val="lightGray"/>
              </w:rPr>
            </w:pPr>
            <w:r w:rsidRPr="00BF126B">
              <w:rPr>
                <w:b/>
                <w:highlight w:val="lightGray"/>
              </w:rPr>
              <w:t>School</w:t>
            </w:r>
          </w:p>
        </w:tc>
        <w:tc>
          <w:tcPr>
            <w:tcW w:w="1133" w:type="pct"/>
            <w:shd w:val="clear" w:color="auto" w:fill="D9D9D9"/>
            <w:vAlign w:val="center"/>
          </w:tcPr>
          <w:p w14:paraId="34B798D4" w14:textId="77777777" w:rsidR="001C19A4" w:rsidRPr="00BF126B" w:rsidRDefault="001C19A4" w:rsidP="005F27A6">
            <w:pPr>
              <w:spacing w:after="0"/>
              <w:jc w:val="center"/>
              <w:rPr>
                <w:b/>
                <w:highlight w:val="lightGray"/>
              </w:rPr>
            </w:pPr>
            <w:r w:rsidRPr="00BF126B">
              <w:rPr>
                <w:b/>
                <w:highlight w:val="lightGray"/>
              </w:rPr>
              <w:t>Capacity</w:t>
            </w:r>
          </w:p>
        </w:tc>
        <w:tc>
          <w:tcPr>
            <w:tcW w:w="1133" w:type="pct"/>
            <w:shd w:val="clear" w:color="auto" w:fill="D9D9D9"/>
            <w:vAlign w:val="center"/>
          </w:tcPr>
          <w:p w14:paraId="026EC21B" w14:textId="77777777" w:rsidR="001C19A4" w:rsidRPr="00BF126B" w:rsidRDefault="001C19A4" w:rsidP="005F27A6">
            <w:pPr>
              <w:spacing w:after="0"/>
              <w:jc w:val="center"/>
              <w:rPr>
                <w:b/>
                <w:highlight w:val="lightGray"/>
              </w:rPr>
            </w:pPr>
            <w:r w:rsidRPr="00BF126B">
              <w:rPr>
                <w:b/>
                <w:highlight w:val="lightGray"/>
              </w:rPr>
              <w:t>Pupils 2016–17</w:t>
            </w:r>
          </w:p>
        </w:tc>
        <w:tc>
          <w:tcPr>
            <w:tcW w:w="1133" w:type="pct"/>
            <w:shd w:val="clear" w:color="auto" w:fill="D9D9D9"/>
            <w:vAlign w:val="center"/>
          </w:tcPr>
          <w:p w14:paraId="6E19250D" w14:textId="77777777" w:rsidR="001C19A4" w:rsidRPr="00BF126B" w:rsidRDefault="001C19A4" w:rsidP="005F27A6">
            <w:pPr>
              <w:spacing w:after="0"/>
              <w:jc w:val="center"/>
              <w:rPr>
                <w:b/>
                <w:highlight w:val="lightGray"/>
              </w:rPr>
            </w:pPr>
            <w:r w:rsidRPr="00BF126B">
              <w:rPr>
                <w:b/>
                <w:highlight w:val="lightGray"/>
              </w:rPr>
              <w:t>Unused Space</w:t>
            </w:r>
          </w:p>
        </w:tc>
      </w:tr>
      <w:tr w:rsidR="001C19A4" w:rsidRPr="003F765E" w14:paraId="03626453" w14:textId="77777777" w:rsidTr="00903BB4">
        <w:tc>
          <w:tcPr>
            <w:tcW w:w="1601" w:type="pct"/>
            <w:vAlign w:val="center"/>
          </w:tcPr>
          <w:p w14:paraId="4320D4CA" w14:textId="77777777" w:rsidR="001C19A4" w:rsidRPr="003F765E" w:rsidRDefault="001C19A4" w:rsidP="005F27A6">
            <w:pPr>
              <w:spacing w:after="0"/>
            </w:pPr>
            <w:r w:rsidRPr="003F765E">
              <w:t>Oak Grove M</w:t>
            </w:r>
            <w:r>
              <w:t>iddle</w:t>
            </w:r>
          </w:p>
        </w:tc>
        <w:tc>
          <w:tcPr>
            <w:tcW w:w="1133" w:type="pct"/>
            <w:vAlign w:val="center"/>
          </w:tcPr>
          <w:p w14:paraId="5D902372" w14:textId="77777777" w:rsidR="001C19A4" w:rsidRPr="003F765E" w:rsidRDefault="001C19A4" w:rsidP="005F27A6">
            <w:pPr>
              <w:spacing w:after="0"/>
              <w:jc w:val="right"/>
            </w:pPr>
            <w:r w:rsidRPr="003F765E">
              <w:t>999</w:t>
            </w:r>
          </w:p>
        </w:tc>
        <w:tc>
          <w:tcPr>
            <w:tcW w:w="1133" w:type="pct"/>
            <w:vAlign w:val="center"/>
          </w:tcPr>
          <w:p w14:paraId="7DACB2FD" w14:textId="77777777" w:rsidR="001C19A4" w:rsidRPr="003F765E" w:rsidRDefault="001C19A4" w:rsidP="005F27A6">
            <w:pPr>
              <w:spacing w:after="0"/>
              <w:jc w:val="right"/>
            </w:pPr>
            <w:r w:rsidRPr="003F765E">
              <w:t>748</w:t>
            </w:r>
          </w:p>
        </w:tc>
        <w:tc>
          <w:tcPr>
            <w:tcW w:w="1133" w:type="pct"/>
            <w:vAlign w:val="center"/>
          </w:tcPr>
          <w:p w14:paraId="655B874C" w14:textId="77777777" w:rsidR="001C19A4" w:rsidRPr="003F765E" w:rsidRDefault="001C19A4" w:rsidP="005F27A6">
            <w:pPr>
              <w:spacing w:after="0"/>
              <w:jc w:val="right"/>
            </w:pPr>
            <w:r w:rsidRPr="003F765E">
              <w:t>251</w:t>
            </w:r>
          </w:p>
        </w:tc>
      </w:tr>
      <w:tr w:rsidR="001C19A4" w:rsidRPr="003F765E" w14:paraId="40971E8E" w14:textId="77777777" w:rsidTr="00903BB4">
        <w:tc>
          <w:tcPr>
            <w:tcW w:w="1601" w:type="pct"/>
            <w:vAlign w:val="center"/>
          </w:tcPr>
          <w:p w14:paraId="70AF8556" w14:textId="77777777" w:rsidR="001C19A4" w:rsidRPr="003F765E" w:rsidRDefault="001C19A4" w:rsidP="005F27A6">
            <w:pPr>
              <w:spacing w:after="0"/>
            </w:pPr>
            <w:r w:rsidRPr="003F765E">
              <w:t>Y</w:t>
            </w:r>
            <w:r>
              <w:t>gnacio Valley High</w:t>
            </w:r>
          </w:p>
        </w:tc>
        <w:tc>
          <w:tcPr>
            <w:tcW w:w="1133" w:type="pct"/>
            <w:vAlign w:val="center"/>
          </w:tcPr>
          <w:p w14:paraId="189B357F" w14:textId="77777777" w:rsidR="001C19A4" w:rsidRPr="003F765E" w:rsidRDefault="001C19A4" w:rsidP="005F27A6">
            <w:pPr>
              <w:spacing w:after="0"/>
              <w:jc w:val="right"/>
            </w:pPr>
            <w:r w:rsidRPr="003F765E">
              <w:t>1,973</w:t>
            </w:r>
          </w:p>
        </w:tc>
        <w:tc>
          <w:tcPr>
            <w:tcW w:w="1133" w:type="pct"/>
            <w:vAlign w:val="center"/>
          </w:tcPr>
          <w:p w14:paraId="1560095A" w14:textId="77777777" w:rsidR="001C19A4" w:rsidRPr="003F765E" w:rsidRDefault="001C19A4" w:rsidP="005F27A6">
            <w:pPr>
              <w:spacing w:after="0"/>
              <w:jc w:val="right"/>
            </w:pPr>
            <w:r w:rsidRPr="003F765E">
              <w:t>1,265</w:t>
            </w:r>
          </w:p>
        </w:tc>
        <w:tc>
          <w:tcPr>
            <w:tcW w:w="1133" w:type="pct"/>
            <w:vAlign w:val="center"/>
          </w:tcPr>
          <w:p w14:paraId="20538EB9" w14:textId="77777777" w:rsidR="001C19A4" w:rsidRPr="003F765E" w:rsidRDefault="001C19A4" w:rsidP="005F27A6">
            <w:pPr>
              <w:spacing w:after="0"/>
              <w:jc w:val="right"/>
            </w:pPr>
            <w:r w:rsidRPr="003F765E">
              <w:t>708</w:t>
            </w:r>
          </w:p>
        </w:tc>
      </w:tr>
      <w:tr w:rsidR="001C19A4" w:rsidRPr="003F765E" w14:paraId="07666A67" w14:textId="77777777" w:rsidTr="00903BB4">
        <w:tc>
          <w:tcPr>
            <w:tcW w:w="1601" w:type="pct"/>
            <w:vAlign w:val="center"/>
          </w:tcPr>
          <w:p w14:paraId="007C1524" w14:textId="77777777" w:rsidR="001C19A4" w:rsidRPr="003F765E" w:rsidRDefault="001C19A4" w:rsidP="005F27A6">
            <w:pPr>
              <w:spacing w:after="0"/>
            </w:pPr>
            <w:r w:rsidRPr="003F765E">
              <w:t>Highlands E</w:t>
            </w:r>
            <w:r>
              <w:t>lementary</w:t>
            </w:r>
          </w:p>
        </w:tc>
        <w:tc>
          <w:tcPr>
            <w:tcW w:w="1133" w:type="pct"/>
            <w:vAlign w:val="center"/>
          </w:tcPr>
          <w:p w14:paraId="3343BA9B" w14:textId="77777777" w:rsidR="001C19A4" w:rsidRPr="003F765E" w:rsidRDefault="001C19A4" w:rsidP="005F27A6">
            <w:pPr>
              <w:spacing w:after="0"/>
              <w:jc w:val="right"/>
            </w:pPr>
            <w:r w:rsidRPr="003F765E">
              <w:t>N/A</w:t>
            </w:r>
          </w:p>
        </w:tc>
        <w:tc>
          <w:tcPr>
            <w:tcW w:w="1133" w:type="pct"/>
            <w:vAlign w:val="center"/>
          </w:tcPr>
          <w:p w14:paraId="485A8C73" w14:textId="77777777" w:rsidR="001C19A4" w:rsidRPr="003F765E" w:rsidRDefault="001C19A4" w:rsidP="005F27A6">
            <w:pPr>
              <w:spacing w:after="0"/>
              <w:jc w:val="right"/>
            </w:pPr>
            <w:r w:rsidRPr="003F765E">
              <w:t>N/A</w:t>
            </w:r>
          </w:p>
        </w:tc>
        <w:tc>
          <w:tcPr>
            <w:tcW w:w="1133" w:type="pct"/>
            <w:vAlign w:val="center"/>
          </w:tcPr>
          <w:p w14:paraId="54CAE956" w14:textId="77777777" w:rsidR="001C19A4" w:rsidRPr="003F765E" w:rsidRDefault="001C19A4" w:rsidP="005F27A6">
            <w:pPr>
              <w:spacing w:after="0"/>
              <w:jc w:val="right"/>
            </w:pPr>
            <w:r w:rsidRPr="003F765E">
              <w:t>N/A</w:t>
            </w:r>
          </w:p>
        </w:tc>
      </w:tr>
      <w:tr w:rsidR="001C19A4" w:rsidRPr="003F765E" w14:paraId="4AC93110" w14:textId="77777777" w:rsidTr="00903BB4">
        <w:trPr>
          <w:trHeight w:val="379"/>
        </w:trPr>
        <w:tc>
          <w:tcPr>
            <w:tcW w:w="1601" w:type="pct"/>
            <w:vAlign w:val="center"/>
          </w:tcPr>
          <w:p w14:paraId="7F0CA2F1" w14:textId="77777777" w:rsidR="001C19A4" w:rsidRPr="003F765E" w:rsidRDefault="001C19A4" w:rsidP="005F27A6">
            <w:pPr>
              <w:spacing w:after="0"/>
            </w:pPr>
            <w:r w:rsidRPr="003F765E">
              <w:t xml:space="preserve">Eagle Peak </w:t>
            </w:r>
            <w:r>
              <w:t>Montessori</w:t>
            </w:r>
          </w:p>
        </w:tc>
        <w:tc>
          <w:tcPr>
            <w:tcW w:w="1133" w:type="pct"/>
            <w:vAlign w:val="center"/>
          </w:tcPr>
          <w:p w14:paraId="22D3FA3A" w14:textId="77777777" w:rsidR="001C19A4" w:rsidRPr="003F765E" w:rsidRDefault="001C19A4" w:rsidP="005F27A6">
            <w:pPr>
              <w:spacing w:after="0"/>
              <w:jc w:val="right"/>
            </w:pPr>
            <w:r w:rsidRPr="003F765E">
              <w:t>125</w:t>
            </w:r>
          </w:p>
        </w:tc>
        <w:tc>
          <w:tcPr>
            <w:tcW w:w="1133" w:type="pct"/>
            <w:vAlign w:val="center"/>
          </w:tcPr>
          <w:p w14:paraId="39335485" w14:textId="77777777" w:rsidR="001C19A4" w:rsidRPr="003F765E" w:rsidRDefault="001C19A4" w:rsidP="005F27A6">
            <w:pPr>
              <w:spacing w:after="0"/>
              <w:jc w:val="right"/>
            </w:pPr>
            <w:r w:rsidRPr="003F765E">
              <w:t>286</w:t>
            </w:r>
          </w:p>
        </w:tc>
        <w:tc>
          <w:tcPr>
            <w:tcW w:w="1133" w:type="pct"/>
            <w:vAlign w:val="center"/>
          </w:tcPr>
          <w:p w14:paraId="013E36CE" w14:textId="77777777" w:rsidR="001C19A4" w:rsidRPr="003F765E" w:rsidRDefault="001C19A4" w:rsidP="005F27A6">
            <w:pPr>
              <w:spacing w:after="0"/>
              <w:jc w:val="right"/>
            </w:pPr>
            <w:r w:rsidRPr="003F765E">
              <w:t>-161</w:t>
            </w:r>
          </w:p>
        </w:tc>
      </w:tr>
      <w:tr w:rsidR="001C19A4" w:rsidRPr="00BF126B" w14:paraId="4C1306A8" w14:textId="77777777" w:rsidTr="00903BB4">
        <w:tc>
          <w:tcPr>
            <w:tcW w:w="1601" w:type="pct"/>
          </w:tcPr>
          <w:p w14:paraId="236BFD72" w14:textId="77777777" w:rsidR="001C19A4" w:rsidRPr="00BF126B" w:rsidRDefault="001C19A4" w:rsidP="005F27A6">
            <w:pPr>
              <w:spacing w:after="0"/>
              <w:rPr>
                <w:b/>
              </w:rPr>
            </w:pPr>
            <w:r w:rsidRPr="00BF126B">
              <w:rPr>
                <w:b/>
              </w:rPr>
              <w:t>Total</w:t>
            </w:r>
          </w:p>
        </w:tc>
        <w:tc>
          <w:tcPr>
            <w:tcW w:w="1133" w:type="pct"/>
          </w:tcPr>
          <w:p w14:paraId="00E6BA10" w14:textId="77777777" w:rsidR="001C19A4" w:rsidRPr="00BF126B" w:rsidRDefault="001C19A4" w:rsidP="005F27A6">
            <w:pPr>
              <w:spacing w:after="0"/>
              <w:jc w:val="right"/>
              <w:rPr>
                <w:b/>
              </w:rPr>
            </w:pPr>
            <w:r w:rsidRPr="00BF126B">
              <w:rPr>
                <w:b/>
              </w:rPr>
              <w:t>3,097</w:t>
            </w:r>
          </w:p>
        </w:tc>
        <w:tc>
          <w:tcPr>
            <w:tcW w:w="1133" w:type="pct"/>
          </w:tcPr>
          <w:p w14:paraId="2E7C9B68" w14:textId="77777777" w:rsidR="001C19A4" w:rsidRPr="00BF126B" w:rsidRDefault="001C19A4" w:rsidP="005F27A6">
            <w:pPr>
              <w:spacing w:after="0"/>
              <w:jc w:val="right"/>
              <w:rPr>
                <w:b/>
              </w:rPr>
            </w:pPr>
            <w:r w:rsidRPr="00BF126B">
              <w:rPr>
                <w:b/>
              </w:rPr>
              <w:t>2,299</w:t>
            </w:r>
          </w:p>
        </w:tc>
        <w:tc>
          <w:tcPr>
            <w:tcW w:w="1133" w:type="pct"/>
          </w:tcPr>
          <w:p w14:paraId="7D62A2F8" w14:textId="77777777" w:rsidR="001C19A4" w:rsidRPr="00BF126B" w:rsidRDefault="001C19A4" w:rsidP="005F27A6">
            <w:pPr>
              <w:spacing w:after="0"/>
              <w:jc w:val="right"/>
              <w:rPr>
                <w:b/>
              </w:rPr>
            </w:pPr>
            <w:r w:rsidRPr="00BF126B">
              <w:rPr>
                <w:b/>
              </w:rPr>
              <w:t>798</w:t>
            </w:r>
          </w:p>
        </w:tc>
      </w:tr>
    </w:tbl>
    <w:p w14:paraId="10F33553" w14:textId="77777777" w:rsidR="001C19A4" w:rsidRDefault="001C19A4">
      <w:pPr>
        <w:spacing w:after="0" w:line="240" w:lineRule="auto"/>
        <w:rPr>
          <w:b/>
        </w:rPr>
      </w:pPr>
    </w:p>
    <w:p w14:paraId="5D515FE8" w14:textId="77777777" w:rsidR="001C19A4" w:rsidRDefault="001C19A4">
      <w:pPr>
        <w:spacing w:after="0" w:line="240" w:lineRule="auto"/>
        <w:rPr>
          <w:b/>
        </w:rPr>
      </w:pPr>
      <w:r>
        <w:rPr>
          <w:b/>
        </w:rPr>
        <w:br w:type="page"/>
      </w:r>
    </w:p>
    <w:p w14:paraId="15D92E50" w14:textId="77777777" w:rsidR="001C19A4" w:rsidRPr="00BF126B" w:rsidRDefault="001C19A4" w:rsidP="00903BB4">
      <w:pPr>
        <w:pStyle w:val="Heading4"/>
      </w:pPr>
      <w:r w:rsidRPr="00BF126B">
        <w:lastRenderedPageBreak/>
        <w:t>Table 3. Capacity and Enrollment of All Schools in the Proposed Territory</w:t>
      </w:r>
    </w:p>
    <w:tbl>
      <w:tblPr>
        <w:tblStyle w:val="TableGrid"/>
        <w:tblW w:w="4762" w:type="pct"/>
        <w:tblInd w:w="445" w:type="dxa"/>
        <w:tblCellMar>
          <w:top w:w="115" w:type="dxa"/>
          <w:left w:w="115" w:type="dxa"/>
          <w:bottom w:w="115" w:type="dxa"/>
          <w:right w:w="115" w:type="dxa"/>
        </w:tblCellMar>
        <w:tblLook w:val="04A0" w:firstRow="1" w:lastRow="0" w:firstColumn="1" w:lastColumn="0" w:noHBand="0" w:noVBand="1"/>
        <w:tblDescription w:val="Table 3. Capacity, enrollment, and unused space of all schools included in the territory of the proposed Northgate USD."/>
      </w:tblPr>
      <w:tblGrid>
        <w:gridCol w:w="3460"/>
        <w:gridCol w:w="1232"/>
        <w:gridCol w:w="2094"/>
        <w:gridCol w:w="2119"/>
      </w:tblGrid>
      <w:tr w:rsidR="001C19A4" w:rsidRPr="00BF126B" w14:paraId="3412623D" w14:textId="77777777" w:rsidTr="00903BB4">
        <w:trPr>
          <w:tblHeader/>
        </w:trPr>
        <w:tc>
          <w:tcPr>
            <w:tcW w:w="1942" w:type="pct"/>
            <w:shd w:val="clear" w:color="auto" w:fill="D9D9D9"/>
            <w:vAlign w:val="center"/>
          </w:tcPr>
          <w:p w14:paraId="47D25D2C" w14:textId="77777777" w:rsidR="001C19A4" w:rsidRPr="00BF126B" w:rsidRDefault="001C19A4" w:rsidP="005F27A6">
            <w:pPr>
              <w:spacing w:after="0"/>
              <w:jc w:val="center"/>
              <w:rPr>
                <w:b/>
                <w:highlight w:val="lightGray"/>
              </w:rPr>
            </w:pPr>
            <w:r w:rsidRPr="00BF126B">
              <w:rPr>
                <w:b/>
                <w:highlight w:val="lightGray"/>
              </w:rPr>
              <w:t>Category</w:t>
            </w:r>
          </w:p>
        </w:tc>
        <w:tc>
          <w:tcPr>
            <w:tcW w:w="691" w:type="pct"/>
            <w:shd w:val="clear" w:color="auto" w:fill="D9D9D9"/>
            <w:vAlign w:val="center"/>
          </w:tcPr>
          <w:p w14:paraId="6C4D3DF8" w14:textId="77777777" w:rsidR="001C19A4" w:rsidRPr="00BF126B" w:rsidRDefault="001C19A4" w:rsidP="005F27A6">
            <w:pPr>
              <w:spacing w:after="0"/>
              <w:jc w:val="center"/>
              <w:rPr>
                <w:b/>
                <w:highlight w:val="lightGray"/>
              </w:rPr>
            </w:pPr>
            <w:r w:rsidRPr="00BF126B">
              <w:rPr>
                <w:b/>
                <w:highlight w:val="lightGray"/>
              </w:rPr>
              <w:t>Capacity</w:t>
            </w:r>
          </w:p>
        </w:tc>
        <w:tc>
          <w:tcPr>
            <w:tcW w:w="1176" w:type="pct"/>
            <w:shd w:val="clear" w:color="auto" w:fill="D9D9D9"/>
            <w:vAlign w:val="center"/>
          </w:tcPr>
          <w:p w14:paraId="6A4F3CE4" w14:textId="77777777" w:rsidR="001C19A4" w:rsidRPr="00BF126B" w:rsidRDefault="001C19A4" w:rsidP="005F27A6">
            <w:pPr>
              <w:spacing w:after="0"/>
              <w:jc w:val="center"/>
              <w:rPr>
                <w:b/>
                <w:highlight w:val="lightGray"/>
              </w:rPr>
            </w:pPr>
            <w:r w:rsidRPr="00BF126B">
              <w:rPr>
                <w:b/>
                <w:highlight w:val="lightGray"/>
              </w:rPr>
              <w:t>Pupils 2016–17</w:t>
            </w:r>
          </w:p>
        </w:tc>
        <w:tc>
          <w:tcPr>
            <w:tcW w:w="1190" w:type="pct"/>
            <w:shd w:val="clear" w:color="auto" w:fill="D9D9D9"/>
            <w:vAlign w:val="center"/>
          </w:tcPr>
          <w:p w14:paraId="7CDFE2F2" w14:textId="77777777" w:rsidR="001C19A4" w:rsidRPr="00BF126B" w:rsidRDefault="001C19A4" w:rsidP="005F27A6">
            <w:pPr>
              <w:spacing w:after="0"/>
              <w:jc w:val="center"/>
              <w:rPr>
                <w:b/>
              </w:rPr>
            </w:pPr>
            <w:r w:rsidRPr="00BF126B">
              <w:rPr>
                <w:b/>
                <w:highlight w:val="lightGray"/>
              </w:rPr>
              <w:t>Unused Space</w:t>
            </w:r>
          </w:p>
        </w:tc>
      </w:tr>
      <w:tr w:rsidR="001C19A4" w:rsidRPr="003F765E" w14:paraId="41192D5F" w14:textId="77777777" w:rsidTr="00903BB4">
        <w:trPr>
          <w:tblHeader/>
        </w:trPr>
        <w:tc>
          <w:tcPr>
            <w:tcW w:w="1942" w:type="pct"/>
            <w:shd w:val="clear" w:color="auto" w:fill="auto"/>
            <w:vAlign w:val="center"/>
          </w:tcPr>
          <w:p w14:paraId="404F8F9C" w14:textId="77777777" w:rsidR="001C19A4" w:rsidRDefault="001C19A4" w:rsidP="005F27A6">
            <w:pPr>
              <w:spacing w:after="0"/>
              <w:rPr>
                <w:b/>
              </w:rPr>
            </w:pPr>
            <w:r w:rsidRPr="00B07674">
              <w:t>Schools Named in the Petition</w:t>
            </w:r>
          </w:p>
        </w:tc>
        <w:tc>
          <w:tcPr>
            <w:tcW w:w="691" w:type="pct"/>
            <w:shd w:val="clear" w:color="auto" w:fill="auto"/>
            <w:vAlign w:val="center"/>
          </w:tcPr>
          <w:p w14:paraId="47451828" w14:textId="77777777" w:rsidR="001C19A4" w:rsidRPr="003F765E" w:rsidRDefault="001C19A4" w:rsidP="005F27A6">
            <w:pPr>
              <w:spacing w:after="0"/>
              <w:jc w:val="right"/>
              <w:rPr>
                <w:b/>
              </w:rPr>
            </w:pPr>
            <w:r w:rsidRPr="00B07674">
              <w:t>4,246</w:t>
            </w:r>
          </w:p>
        </w:tc>
        <w:tc>
          <w:tcPr>
            <w:tcW w:w="1176" w:type="pct"/>
            <w:shd w:val="clear" w:color="auto" w:fill="auto"/>
            <w:vAlign w:val="center"/>
          </w:tcPr>
          <w:p w14:paraId="40BC911F" w14:textId="77777777" w:rsidR="001C19A4" w:rsidRPr="003F765E" w:rsidRDefault="001C19A4" w:rsidP="005F27A6">
            <w:pPr>
              <w:spacing w:after="0"/>
              <w:jc w:val="right"/>
              <w:rPr>
                <w:b/>
              </w:rPr>
            </w:pPr>
            <w:r w:rsidRPr="00B07674">
              <w:t>4,018</w:t>
            </w:r>
          </w:p>
        </w:tc>
        <w:tc>
          <w:tcPr>
            <w:tcW w:w="1190" w:type="pct"/>
            <w:shd w:val="clear" w:color="auto" w:fill="auto"/>
            <w:vAlign w:val="center"/>
          </w:tcPr>
          <w:p w14:paraId="1D181CE5" w14:textId="77777777" w:rsidR="001C19A4" w:rsidRPr="003F765E" w:rsidRDefault="001C19A4" w:rsidP="005F27A6">
            <w:pPr>
              <w:spacing w:after="0"/>
              <w:jc w:val="right"/>
              <w:rPr>
                <w:b/>
              </w:rPr>
            </w:pPr>
            <w:r w:rsidRPr="00B07674">
              <w:t>228</w:t>
            </w:r>
          </w:p>
        </w:tc>
      </w:tr>
      <w:tr w:rsidR="001C19A4" w:rsidRPr="003F765E" w14:paraId="1D588153" w14:textId="77777777" w:rsidTr="00903BB4">
        <w:trPr>
          <w:tblHeader/>
        </w:trPr>
        <w:tc>
          <w:tcPr>
            <w:tcW w:w="1942" w:type="pct"/>
            <w:shd w:val="clear" w:color="auto" w:fill="auto"/>
            <w:vAlign w:val="center"/>
          </w:tcPr>
          <w:p w14:paraId="7DEE677B" w14:textId="77777777" w:rsidR="001C19A4" w:rsidRDefault="001C19A4" w:rsidP="005F27A6">
            <w:pPr>
              <w:spacing w:after="0"/>
              <w:rPr>
                <w:b/>
              </w:rPr>
            </w:pPr>
            <w:r>
              <w:t>Additional Schools in the Proposed Territory</w:t>
            </w:r>
          </w:p>
        </w:tc>
        <w:tc>
          <w:tcPr>
            <w:tcW w:w="691" w:type="pct"/>
            <w:shd w:val="clear" w:color="auto" w:fill="auto"/>
            <w:vAlign w:val="center"/>
          </w:tcPr>
          <w:p w14:paraId="3E04CEF2" w14:textId="77777777" w:rsidR="001C19A4" w:rsidRPr="003F765E" w:rsidRDefault="001C19A4" w:rsidP="005F27A6">
            <w:pPr>
              <w:spacing w:after="0"/>
              <w:jc w:val="right"/>
              <w:rPr>
                <w:b/>
              </w:rPr>
            </w:pPr>
            <w:r w:rsidRPr="00B07674">
              <w:t>3,097</w:t>
            </w:r>
          </w:p>
        </w:tc>
        <w:tc>
          <w:tcPr>
            <w:tcW w:w="1176" w:type="pct"/>
            <w:shd w:val="clear" w:color="auto" w:fill="auto"/>
            <w:vAlign w:val="center"/>
          </w:tcPr>
          <w:p w14:paraId="5983FE18" w14:textId="77777777" w:rsidR="001C19A4" w:rsidRPr="003F765E" w:rsidRDefault="001C19A4" w:rsidP="005F27A6">
            <w:pPr>
              <w:spacing w:after="0"/>
              <w:jc w:val="right"/>
              <w:rPr>
                <w:b/>
              </w:rPr>
            </w:pPr>
            <w:r w:rsidRPr="00B07674">
              <w:t>2,299</w:t>
            </w:r>
          </w:p>
        </w:tc>
        <w:tc>
          <w:tcPr>
            <w:tcW w:w="1190" w:type="pct"/>
            <w:shd w:val="clear" w:color="auto" w:fill="auto"/>
            <w:vAlign w:val="center"/>
          </w:tcPr>
          <w:p w14:paraId="37B7B2F0" w14:textId="77777777" w:rsidR="001C19A4" w:rsidRPr="003F765E" w:rsidRDefault="001C19A4" w:rsidP="005F27A6">
            <w:pPr>
              <w:spacing w:after="0"/>
              <w:jc w:val="right"/>
              <w:rPr>
                <w:b/>
              </w:rPr>
            </w:pPr>
            <w:r w:rsidRPr="00B07674">
              <w:t>798</w:t>
            </w:r>
          </w:p>
        </w:tc>
      </w:tr>
      <w:tr w:rsidR="001C19A4" w:rsidRPr="00BF126B" w14:paraId="29EEF2A1" w14:textId="77777777" w:rsidTr="00903BB4">
        <w:trPr>
          <w:tblHeader/>
        </w:trPr>
        <w:tc>
          <w:tcPr>
            <w:tcW w:w="1942" w:type="pct"/>
            <w:shd w:val="clear" w:color="auto" w:fill="auto"/>
            <w:vAlign w:val="center"/>
          </w:tcPr>
          <w:p w14:paraId="67660259" w14:textId="77777777" w:rsidR="001C19A4" w:rsidRPr="00BF126B" w:rsidRDefault="001C19A4" w:rsidP="005F27A6">
            <w:pPr>
              <w:spacing w:after="0"/>
              <w:rPr>
                <w:b/>
              </w:rPr>
            </w:pPr>
            <w:r w:rsidRPr="00BF126B">
              <w:rPr>
                <w:b/>
              </w:rPr>
              <w:t>Totals</w:t>
            </w:r>
          </w:p>
        </w:tc>
        <w:tc>
          <w:tcPr>
            <w:tcW w:w="691" w:type="pct"/>
            <w:shd w:val="clear" w:color="auto" w:fill="auto"/>
            <w:vAlign w:val="center"/>
          </w:tcPr>
          <w:p w14:paraId="4F750F2F" w14:textId="77777777" w:rsidR="001C19A4" w:rsidRPr="00BF126B" w:rsidRDefault="001C19A4" w:rsidP="005F27A6">
            <w:pPr>
              <w:spacing w:after="0"/>
              <w:jc w:val="right"/>
              <w:rPr>
                <w:b/>
              </w:rPr>
            </w:pPr>
            <w:r w:rsidRPr="00BF126B">
              <w:rPr>
                <w:b/>
              </w:rPr>
              <w:t>7,343</w:t>
            </w:r>
          </w:p>
        </w:tc>
        <w:tc>
          <w:tcPr>
            <w:tcW w:w="1176" w:type="pct"/>
            <w:shd w:val="clear" w:color="auto" w:fill="auto"/>
            <w:vAlign w:val="center"/>
          </w:tcPr>
          <w:p w14:paraId="58D46BC5" w14:textId="77777777" w:rsidR="001C19A4" w:rsidRPr="00BF126B" w:rsidRDefault="001C19A4" w:rsidP="005F27A6">
            <w:pPr>
              <w:spacing w:after="0"/>
              <w:jc w:val="right"/>
              <w:rPr>
                <w:b/>
              </w:rPr>
            </w:pPr>
            <w:r w:rsidRPr="00BF126B">
              <w:rPr>
                <w:b/>
              </w:rPr>
              <w:t>6,317</w:t>
            </w:r>
          </w:p>
        </w:tc>
        <w:tc>
          <w:tcPr>
            <w:tcW w:w="1190" w:type="pct"/>
            <w:shd w:val="clear" w:color="auto" w:fill="auto"/>
            <w:vAlign w:val="center"/>
          </w:tcPr>
          <w:p w14:paraId="68373B68" w14:textId="77777777" w:rsidR="001C19A4" w:rsidRPr="00BF126B" w:rsidRDefault="001C19A4" w:rsidP="005F27A6">
            <w:pPr>
              <w:spacing w:after="0"/>
              <w:jc w:val="right"/>
              <w:rPr>
                <w:b/>
              </w:rPr>
            </w:pPr>
            <w:r w:rsidRPr="00BF126B">
              <w:rPr>
                <w:b/>
              </w:rPr>
              <w:t>1,026</w:t>
            </w:r>
          </w:p>
        </w:tc>
      </w:tr>
    </w:tbl>
    <w:p w14:paraId="4EDEC8E7" w14:textId="2059088D" w:rsidR="001C19A4" w:rsidRPr="008719A8" w:rsidRDefault="001C19A4" w:rsidP="000A33F9">
      <w:pPr>
        <w:pStyle w:val="Heading2"/>
        <w:numPr>
          <w:ilvl w:val="0"/>
          <w:numId w:val="42"/>
        </w:numPr>
        <w:spacing w:before="240"/>
      </w:pPr>
      <w:r w:rsidRPr="008719A8">
        <w:t>Analysis of Condition 7</w:t>
      </w:r>
    </w:p>
    <w:p w14:paraId="53CE2B85" w14:textId="2DBFAF5A" w:rsidR="001C19A4" w:rsidRPr="00BF126B" w:rsidRDefault="003E48CC" w:rsidP="003E48CC">
      <w:pPr>
        <w:pStyle w:val="Heading3"/>
        <w:numPr>
          <w:ilvl w:val="0"/>
          <w:numId w:val="0"/>
        </w:numPr>
        <w:ind w:left="1080" w:hanging="720"/>
        <w:rPr>
          <w:color w:val="333333"/>
        </w:rPr>
      </w:pPr>
      <w:r>
        <w:t>2.1</w:t>
      </w:r>
      <w:r>
        <w:tab/>
      </w:r>
      <w:r w:rsidR="001C19A4" w:rsidRPr="00BF126B">
        <w:t>No Substantial Increase to School Facility Costs</w:t>
      </w:r>
    </w:p>
    <w:p w14:paraId="276872D9" w14:textId="37B48F9A" w:rsidR="001C19A4" w:rsidRPr="007959FA" w:rsidRDefault="001C19A4" w:rsidP="00D43356">
      <w:pPr>
        <w:ind w:left="1080"/>
      </w:pPr>
      <w:r w:rsidRPr="007959FA">
        <w:t>As proposed, N</w:t>
      </w:r>
      <w:r w:rsidR="00947D42">
        <w:t xml:space="preserve">orthgate </w:t>
      </w:r>
      <w:r w:rsidRPr="007959FA">
        <w:t>USD elementary school capacity would be more than 90</w:t>
      </w:r>
      <w:r>
        <w:t xml:space="preserve"> percent</w:t>
      </w:r>
      <w:r w:rsidRPr="007959FA">
        <w:t xml:space="preserve"> filled, and </w:t>
      </w:r>
      <w:r w:rsidR="00947D42" w:rsidRPr="003F765E">
        <w:t>M</w:t>
      </w:r>
      <w:r w:rsidR="00947D42">
        <w:t xml:space="preserve">t. </w:t>
      </w:r>
      <w:r w:rsidR="00947D42" w:rsidRPr="003F765E">
        <w:t>D</w:t>
      </w:r>
      <w:r w:rsidR="00947D42">
        <w:t xml:space="preserve">iablo </w:t>
      </w:r>
      <w:r w:rsidR="00947D42" w:rsidRPr="003F765E">
        <w:t>USD</w:t>
      </w:r>
      <w:r w:rsidRPr="007959FA">
        <w:t xml:space="preserve"> would not have enough middle and high school capacity for its enrollment due to loss of a large middle school (Oak Grove Middle) and a large high school (Ygnacio Valley High). Whether new permanent or portable classrooms are added, </w:t>
      </w:r>
      <w:r w:rsidR="00947D42" w:rsidRPr="003F765E">
        <w:t>M</w:t>
      </w:r>
      <w:r w:rsidR="00947D42">
        <w:t xml:space="preserve">t. </w:t>
      </w:r>
      <w:r w:rsidR="00947D42" w:rsidRPr="003F765E">
        <w:t>D</w:t>
      </w:r>
      <w:r w:rsidR="00947D42">
        <w:t xml:space="preserve">iablo </w:t>
      </w:r>
      <w:r w:rsidR="00947D42" w:rsidRPr="003F765E">
        <w:t>USD</w:t>
      </w:r>
      <w:r w:rsidRPr="007959FA">
        <w:t xml:space="preserve"> would be faced with providing additional space while N</w:t>
      </w:r>
      <w:r w:rsidR="00947D42">
        <w:t xml:space="preserve">orthgate </w:t>
      </w:r>
      <w:r w:rsidRPr="007959FA">
        <w:t>USD would have approximately 1,000</w:t>
      </w:r>
      <w:r w:rsidRPr="00BF126B">
        <w:rPr>
          <w:rStyle w:val="FootnoteReference"/>
          <w:vertAlign w:val="superscript"/>
        </w:rPr>
        <w:footnoteReference w:id="16"/>
      </w:r>
      <w:r w:rsidRPr="00BF126B">
        <w:t xml:space="preserve"> </w:t>
      </w:r>
      <w:r w:rsidRPr="007959FA">
        <w:t>unused middle and high school seats. In addition, the new N</w:t>
      </w:r>
      <w:r w:rsidR="00947D42">
        <w:t xml:space="preserve">orthgate </w:t>
      </w:r>
      <w:r w:rsidRPr="007959FA">
        <w:t>USD would need to develop central office and support staff workplaces. The proposed reorganization is likely to increase school facility costs for both districts. Such costs will not be insignificant and are directly attributable to, rather than incidental to, the reorganization.</w:t>
      </w:r>
    </w:p>
    <w:p w14:paraId="6D0AA707" w14:textId="77777777" w:rsidR="001C19A4" w:rsidRPr="003F765E" w:rsidRDefault="001C19A4" w:rsidP="00D43356">
      <w:pPr>
        <w:ind w:left="1080"/>
      </w:pPr>
      <w:r w:rsidRPr="003F765E">
        <w:t>Condition of school facilities was not identified as a concern in the SSC report. No evidence is available that any of the existing schools are not in good condition.</w:t>
      </w:r>
    </w:p>
    <w:p w14:paraId="4CB69A39" w14:textId="0F0668EA" w:rsidR="001C19A4" w:rsidRPr="00BF126B" w:rsidRDefault="003E48CC" w:rsidP="003E48CC">
      <w:pPr>
        <w:pStyle w:val="Heading3"/>
        <w:numPr>
          <w:ilvl w:val="0"/>
          <w:numId w:val="0"/>
        </w:numPr>
        <w:ind w:left="1080" w:hanging="720"/>
      </w:pPr>
      <w:r>
        <w:t>2.2</w:t>
      </w:r>
      <w:r>
        <w:tab/>
      </w:r>
      <w:r w:rsidR="001C19A4" w:rsidRPr="00BF126B">
        <w:t>Post-reorganization Ownership of Existing Properties</w:t>
      </w:r>
    </w:p>
    <w:p w14:paraId="14475F17" w14:textId="77777777" w:rsidR="001C19A4" w:rsidRPr="003F765E" w:rsidRDefault="001C19A4" w:rsidP="00D43356">
      <w:pPr>
        <w:ind w:left="1080"/>
      </w:pPr>
      <w:r w:rsidRPr="003F765E">
        <w:t xml:space="preserve">Absent any agreements regarding disposition of real property assets, and pursuant to </w:t>
      </w:r>
      <w:r w:rsidRPr="003F765E">
        <w:rPr>
          <w:i/>
        </w:rPr>
        <w:t>Education Code</w:t>
      </w:r>
      <w:r w:rsidRPr="003F765E">
        <w:t xml:space="preserve"> Section 35560, it is assumed that existing school property will become property of the school district in which the property is physically located. </w:t>
      </w:r>
    </w:p>
    <w:p w14:paraId="1117BBCB" w14:textId="4083BA2A" w:rsidR="001C19A4" w:rsidRPr="003F765E" w:rsidRDefault="001C19A4" w:rsidP="00D43356">
      <w:pPr>
        <w:ind w:left="1080"/>
      </w:pPr>
      <w:r w:rsidRPr="003F765E">
        <w:lastRenderedPageBreak/>
        <w:t xml:space="preserve">The proposed unification will result in three </w:t>
      </w:r>
      <w:r w:rsidR="00947D42" w:rsidRPr="003F765E">
        <w:t>M</w:t>
      </w:r>
      <w:r w:rsidR="00947D42">
        <w:t xml:space="preserve">t. </w:t>
      </w:r>
      <w:r w:rsidR="00947D42" w:rsidRPr="003F765E">
        <w:t>D</w:t>
      </w:r>
      <w:r w:rsidR="00947D42">
        <w:t xml:space="preserve">iablo </w:t>
      </w:r>
      <w:r w:rsidR="00947D42" w:rsidRPr="003F765E">
        <w:t>USD</w:t>
      </w:r>
      <w:r w:rsidRPr="003F765E">
        <w:t xml:space="preserve"> campuses inside the proposed boundary of N</w:t>
      </w:r>
      <w:r w:rsidR="00947D42">
        <w:t xml:space="preserve">orthgate </w:t>
      </w:r>
      <w:r w:rsidRPr="003F765E">
        <w:t>USD. These three campuses provide capacity for 3,097 middle and high school students.</w:t>
      </w:r>
    </w:p>
    <w:p w14:paraId="568C0455" w14:textId="77777777" w:rsidR="001C19A4" w:rsidRPr="003F765E" w:rsidRDefault="001C19A4" w:rsidP="00D43356">
      <w:pPr>
        <w:ind w:left="1080"/>
      </w:pPr>
      <w:r w:rsidRPr="003F765E">
        <w:t xml:space="preserve">The ability to provide needed school facilities within five years is important to the reorganized districts. The CDE </w:t>
      </w:r>
      <w:r w:rsidRPr="00947D42">
        <w:rPr>
          <w:i/>
        </w:rPr>
        <w:t>District Organization Handbook</w:t>
      </w:r>
      <w:r w:rsidRPr="003F765E">
        <w:t xml:space="preserve"> (2010 edition) notes at page 181:</w:t>
      </w:r>
    </w:p>
    <w:p w14:paraId="548F0373" w14:textId="77777777" w:rsidR="001C19A4" w:rsidRPr="00D43356" w:rsidRDefault="001C19A4" w:rsidP="00D43356">
      <w:pPr>
        <w:ind w:left="1800"/>
        <w:rPr>
          <w:i/>
        </w:rPr>
      </w:pPr>
      <w:r w:rsidRPr="00D43356">
        <w:rPr>
          <w:i/>
        </w:rPr>
        <w:t>If, after five years from the date of reorganization, the district is still unable to provide school facilities to educate all of its own students, the CDE shall annually report and recommend to the State Board of Education whether the district should be lapsed. If lapsation is recommended by the CDE, the State Board of Education may direct the County Committee on School District Organization to revert the reorganized district to its former status or to have it annexed to one or more neighboring districts.</w:t>
      </w:r>
    </w:p>
    <w:p w14:paraId="0D843310" w14:textId="2E6F555E" w:rsidR="001C19A4" w:rsidRPr="003F765E" w:rsidRDefault="00947D42" w:rsidP="00D43356">
      <w:pPr>
        <w:ind w:left="1080"/>
      </w:pPr>
      <w:r w:rsidRPr="003F765E">
        <w:t>M</w:t>
      </w:r>
      <w:r>
        <w:t xml:space="preserve">t. </w:t>
      </w:r>
      <w:r w:rsidRPr="003F765E">
        <w:t>D</w:t>
      </w:r>
      <w:r>
        <w:t xml:space="preserve">iablo </w:t>
      </w:r>
      <w:r w:rsidRPr="003F765E">
        <w:t>USD</w:t>
      </w:r>
      <w:r w:rsidR="001C19A4" w:rsidRPr="003F765E">
        <w:t xml:space="preserve"> operations and support facilities (Maintenance, Operations </w:t>
      </w:r>
      <w:r>
        <w:t xml:space="preserve">and </w:t>
      </w:r>
      <w:r w:rsidR="001C19A4" w:rsidRPr="003F765E">
        <w:t>Facilities</w:t>
      </w:r>
      <w:r>
        <w:t>;</w:t>
      </w:r>
      <w:r w:rsidR="001C19A4" w:rsidRPr="003F765E">
        <w:t xml:space="preserve"> </w:t>
      </w:r>
      <w:r w:rsidR="008637F5">
        <w:t xml:space="preserve">and </w:t>
      </w:r>
      <w:r w:rsidR="001C19A4" w:rsidRPr="003F765E">
        <w:t xml:space="preserve">Transportation, Purchasing </w:t>
      </w:r>
      <w:r>
        <w:t>and</w:t>
      </w:r>
      <w:r w:rsidR="001C19A4" w:rsidRPr="003F765E">
        <w:t xml:space="preserve"> Warehouse) are located on Gasoline Alley and </w:t>
      </w:r>
      <w:proofErr w:type="spellStart"/>
      <w:r w:rsidR="001C19A4" w:rsidRPr="003F765E">
        <w:t>Bisso</w:t>
      </w:r>
      <w:proofErr w:type="spellEnd"/>
      <w:r w:rsidR="001C19A4" w:rsidRPr="003F765E">
        <w:t xml:space="preserve"> Lane in Concord and are not within the proposed N</w:t>
      </w:r>
      <w:r>
        <w:t xml:space="preserve">orthgate </w:t>
      </w:r>
      <w:r w:rsidR="001C19A4" w:rsidRPr="003F765E">
        <w:t>USD boundary. It is assumed that N</w:t>
      </w:r>
      <w:r>
        <w:t xml:space="preserve">orthgate </w:t>
      </w:r>
      <w:r w:rsidR="001C19A4" w:rsidRPr="003F765E">
        <w:t>USD would create its own operations and support staff and facilities.</w:t>
      </w:r>
    </w:p>
    <w:p w14:paraId="23A7AFF3" w14:textId="100631E7" w:rsidR="001C19A4" w:rsidRPr="00BF126B" w:rsidRDefault="001C19A4" w:rsidP="000A33F9">
      <w:pPr>
        <w:pStyle w:val="Heading3"/>
        <w:numPr>
          <w:ilvl w:val="1"/>
          <w:numId w:val="27"/>
        </w:numPr>
        <w:tabs>
          <w:tab w:val="left" w:pos="1080"/>
        </w:tabs>
        <w:ind w:left="1080"/>
      </w:pPr>
      <w:r w:rsidRPr="00BF126B">
        <w:t>General Obligation Bonds and Other Sources of Capital Outlay Funding</w:t>
      </w:r>
    </w:p>
    <w:p w14:paraId="7315CD86" w14:textId="5630D852" w:rsidR="001C19A4" w:rsidRPr="003F765E" w:rsidRDefault="001C19A4" w:rsidP="00D43356">
      <w:pPr>
        <w:ind w:left="1080"/>
      </w:pPr>
      <w:r w:rsidRPr="003F765E">
        <w:t>The SSC report identifies eight schools that will be within the proposed N</w:t>
      </w:r>
      <w:r w:rsidR="00947D42">
        <w:t xml:space="preserve">orthgate </w:t>
      </w:r>
      <w:r w:rsidRPr="003F765E">
        <w:t xml:space="preserve">USD. Existing debt is divided based on the greater of percentage assessed valuation (AV) in the new district (17.9%) or the outstanding bonded debt for the facilities transferred to the new school district. </w:t>
      </w:r>
    </w:p>
    <w:p w14:paraId="267A7C20" w14:textId="03DE8D1D" w:rsidR="001C19A4" w:rsidRPr="003F765E" w:rsidRDefault="001C19A4" w:rsidP="00D43356">
      <w:pPr>
        <w:ind w:left="1080"/>
      </w:pPr>
      <w:r w:rsidRPr="003F765E">
        <w:t>If the State Board of Education approves formation of a new N</w:t>
      </w:r>
      <w:r w:rsidR="00947D42">
        <w:t xml:space="preserve">orthgate </w:t>
      </w:r>
      <w:r w:rsidRPr="003F765E">
        <w:t>USD, it will determine:</w:t>
      </w:r>
    </w:p>
    <w:p w14:paraId="43F8A793" w14:textId="4CEE0B3D" w:rsidR="001C19A4" w:rsidRPr="003F765E" w:rsidRDefault="001C19A4" w:rsidP="009D0D7F">
      <w:pPr>
        <w:pStyle w:val="ListParagraph"/>
        <w:widowControl w:val="0"/>
        <w:numPr>
          <w:ilvl w:val="0"/>
          <w:numId w:val="22"/>
        </w:numPr>
        <w:spacing w:after="240" w:line="259" w:lineRule="auto"/>
        <w:ind w:left="1800"/>
        <w:contextualSpacing w:val="0"/>
      </w:pPr>
      <w:r w:rsidRPr="003F765E">
        <w:t>How outstanding bonded indebtedness will be divided between the new district and the remaining portion of the M</w:t>
      </w:r>
      <w:r w:rsidR="00947D42">
        <w:t xml:space="preserve">t. </w:t>
      </w:r>
      <w:r w:rsidRPr="003F765E">
        <w:t>D</w:t>
      </w:r>
      <w:r w:rsidR="00947D42">
        <w:t xml:space="preserve">iablo </w:t>
      </w:r>
      <w:r w:rsidRPr="003F765E">
        <w:t xml:space="preserve">USD. </w:t>
      </w:r>
      <w:r w:rsidRPr="007959FA">
        <w:rPr>
          <w:i/>
        </w:rPr>
        <w:t>Education Code</w:t>
      </w:r>
      <w:r w:rsidRPr="003F765E">
        <w:t xml:space="preserve"> sections 35576 and 35738 will guide this determination.</w:t>
      </w:r>
    </w:p>
    <w:p w14:paraId="354184F9" w14:textId="77777777" w:rsidR="001C19A4" w:rsidRPr="003F765E" w:rsidRDefault="001C19A4" w:rsidP="009D0D7F">
      <w:pPr>
        <w:pStyle w:val="ListParagraph"/>
        <w:widowControl w:val="0"/>
        <w:numPr>
          <w:ilvl w:val="0"/>
          <w:numId w:val="22"/>
        </w:numPr>
        <w:spacing w:after="240" w:line="259" w:lineRule="auto"/>
        <w:ind w:left="1800"/>
        <w:contextualSpacing w:val="0"/>
      </w:pPr>
      <w:r w:rsidRPr="003F765E">
        <w:t>How previously sold but unspent bond proceeds and other capital funds, including reserve funds, will be allocated.</w:t>
      </w:r>
    </w:p>
    <w:p w14:paraId="2D9724BE" w14:textId="77777777" w:rsidR="001C19A4" w:rsidRPr="003F765E" w:rsidRDefault="001C19A4" w:rsidP="009D0D7F">
      <w:pPr>
        <w:pStyle w:val="ListParagraph"/>
        <w:widowControl w:val="0"/>
        <w:numPr>
          <w:ilvl w:val="0"/>
          <w:numId w:val="22"/>
        </w:numPr>
        <w:spacing w:after="240" w:line="259" w:lineRule="auto"/>
        <w:ind w:left="1800"/>
        <w:contextualSpacing w:val="0"/>
      </w:pPr>
      <w:r w:rsidRPr="003F765E">
        <w:t>How previously collected school facility impact mitigation fees ("developer fees") will be divided between the two districts.</w:t>
      </w:r>
    </w:p>
    <w:p w14:paraId="55350524" w14:textId="77777777" w:rsidR="001C19A4" w:rsidRPr="00BF126B" w:rsidRDefault="001C19A4" w:rsidP="007C3412">
      <w:pPr>
        <w:pStyle w:val="Heading3"/>
        <w:numPr>
          <w:ilvl w:val="1"/>
          <w:numId w:val="27"/>
        </w:numPr>
        <w:ind w:left="1080"/>
      </w:pPr>
      <w:r w:rsidRPr="00BF126B">
        <w:lastRenderedPageBreak/>
        <w:t>State Matching Funds for Needed School Facilities</w:t>
      </w:r>
    </w:p>
    <w:p w14:paraId="6E132485" w14:textId="00D916A3" w:rsidR="001C19A4" w:rsidRPr="003F765E" w:rsidRDefault="001C19A4" w:rsidP="007C3412">
      <w:pPr>
        <w:ind w:left="1080"/>
      </w:pPr>
      <w:r w:rsidRPr="00AB3551">
        <w:t>It is reasonable to expect the N</w:t>
      </w:r>
      <w:r w:rsidR="00947D42">
        <w:t xml:space="preserve">orthgate </w:t>
      </w:r>
      <w:r w:rsidRPr="00AB3551">
        <w:t>USD to apply to the state School Facility Program to fund part of the cost of new or modernized school facilities in the Northgate community. It is not possible to guarantee that future state capital funding will be available or that the proposed Northgate district would be immediately be eligible for funding.</w:t>
      </w:r>
    </w:p>
    <w:p w14:paraId="5A383BAE" w14:textId="77777777" w:rsidR="003E48CC" w:rsidRDefault="003E48CC" w:rsidP="00EC33F3">
      <w:pPr>
        <w:pStyle w:val="Heading1"/>
        <w:sectPr w:rsidR="003E48CC" w:rsidSect="00AB6213">
          <w:headerReference w:type="default" r:id="rId18"/>
          <w:footnotePr>
            <w:numRestart w:val="eachSect"/>
          </w:footnotePr>
          <w:pgSz w:w="12240" w:h="15840"/>
          <w:pgMar w:top="1440" w:right="1440" w:bottom="1440" w:left="1440" w:header="720" w:footer="720" w:gutter="0"/>
          <w:pgNumType w:start="1"/>
          <w:cols w:space="720"/>
          <w:docGrid w:linePitch="360"/>
        </w:sectPr>
      </w:pPr>
    </w:p>
    <w:p w14:paraId="43A3ACAB" w14:textId="5FBC69EB" w:rsidR="001C19A4" w:rsidRPr="00994BED" w:rsidRDefault="001C19A4" w:rsidP="00EC33F3">
      <w:pPr>
        <w:pStyle w:val="Heading1"/>
      </w:pPr>
      <w:r w:rsidRPr="00725AEC">
        <w:lastRenderedPageBreak/>
        <w:t xml:space="preserve">Attachment 5 </w:t>
      </w:r>
      <w:r w:rsidRPr="00725AEC">
        <w:br/>
        <w:t xml:space="preserve">Fiscal Analysis of the </w:t>
      </w:r>
      <w:r w:rsidRPr="00725AEC">
        <w:br/>
        <w:t xml:space="preserve">Formation of a New Unified School District from </w:t>
      </w:r>
      <w:r w:rsidRPr="00725AEC">
        <w:br/>
        <w:t xml:space="preserve">the Northgate </w:t>
      </w:r>
      <w:r>
        <w:t>P</w:t>
      </w:r>
      <w:r w:rsidRPr="00725AEC">
        <w:t xml:space="preserve">ortion of the </w:t>
      </w:r>
      <w:r w:rsidRPr="00725AEC">
        <w:br/>
        <w:t>Mt. Diablo Unified School District in Contra Costa County</w:t>
      </w:r>
    </w:p>
    <w:p w14:paraId="7923F522" w14:textId="77777777" w:rsidR="001C19A4" w:rsidRPr="00725AEC" w:rsidRDefault="001C19A4" w:rsidP="007F1E2D">
      <w:pPr>
        <w:pStyle w:val="Heading2"/>
      </w:pPr>
      <w:r w:rsidRPr="00725AEC">
        <w:t>Background</w:t>
      </w:r>
    </w:p>
    <w:p w14:paraId="73801175" w14:textId="77777777" w:rsidR="001C19A4" w:rsidRPr="00C427D9" w:rsidRDefault="001C19A4" w:rsidP="005F27A6">
      <w:r w:rsidRPr="00C427D9">
        <w:t xml:space="preserve">The Contra Costa County Committee on School District Organization (County Committee) recommended that the California State Board of Education (SBE) disapprove a proposal to create a Northgate Unified School District (USD) from the Northgate portion of the Mt. Diablo USD. </w:t>
      </w:r>
    </w:p>
    <w:p w14:paraId="132ABC4E" w14:textId="77777777" w:rsidR="001C19A4" w:rsidRPr="00C427D9" w:rsidRDefault="001C19A4" w:rsidP="005F27A6">
      <w:r w:rsidRPr="00C427D9">
        <w:t>Before making its recommendation regarding the proposed Northgate USD, the County Committee was required to determine if the proposal substantially m</w:t>
      </w:r>
      <w:r>
        <w:t>e</w:t>
      </w:r>
      <w:r w:rsidRPr="00C427D9">
        <w:t>t</w:t>
      </w:r>
      <w:r>
        <w:t xml:space="preserve"> nine</w:t>
      </w:r>
      <w:r w:rsidRPr="00C427D9">
        <w:t xml:space="preserve"> conditions</w:t>
      </w:r>
      <w:r>
        <w:t>,</w:t>
      </w:r>
      <w:r w:rsidRPr="00C427D9">
        <w:t xml:space="preserve"> including the following: </w:t>
      </w:r>
    </w:p>
    <w:p w14:paraId="6986A71E" w14:textId="77777777" w:rsidR="001C19A4" w:rsidRDefault="001C19A4" w:rsidP="000A33F9">
      <w:pPr>
        <w:pStyle w:val="ListParagraph"/>
        <w:numPr>
          <w:ilvl w:val="0"/>
          <w:numId w:val="23"/>
        </w:numPr>
        <w:spacing w:before="240" w:after="240" w:line="259" w:lineRule="auto"/>
        <w:ind w:left="720"/>
        <w:contextualSpacing w:val="0"/>
      </w:pPr>
      <w:r w:rsidRPr="00EB2B26">
        <w:t>Any increase in costs to the state as a result of the proposed reorganization will be insignificant and otherwise incidental to the reorganization.</w:t>
      </w:r>
      <w:r>
        <w:t xml:space="preserve"> (</w:t>
      </w:r>
      <w:r w:rsidRPr="0089500F">
        <w:rPr>
          <w:i/>
        </w:rPr>
        <w:t>Education Code</w:t>
      </w:r>
      <w:r>
        <w:t xml:space="preserve"> [</w:t>
      </w:r>
      <w:r w:rsidRPr="0089500F">
        <w:rPr>
          <w:i/>
        </w:rPr>
        <w:t>EC</w:t>
      </w:r>
      <w:r>
        <w:t>] Section 35753[a][5])</w:t>
      </w:r>
    </w:p>
    <w:p w14:paraId="6DC61F3C" w14:textId="77777777" w:rsidR="001C19A4" w:rsidRDefault="001C19A4" w:rsidP="000A33F9">
      <w:pPr>
        <w:pStyle w:val="ListParagraph"/>
        <w:numPr>
          <w:ilvl w:val="0"/>
          <w:numId w:val="23"/>
        </w:numPr>
        <w:spacing w:before="240" w:after="240" w:line="259" w:lineRule="auto"/>
        <w:ind w:left="720"/>
        <w:contextualSpacing w:val="0"/>
      </w:pPr>
      <w:r w:rsidRPr="00291E35">
        <w:t>The proposed reorganization will continue to promote sound fiscal management and not cause a substantial negative effect on the fiscal status of the affected district</w:t>
      </w:r>
      <w:r>
        <w:t>. (</w:t>
      </w:r>
      <w:r w:rsidRPr="0089500F">
        <w:rPr>
          <w:i/>
        </w:rPr>
        <w:t>EC</w:t>
      </w:r>
      <w:r>
        <w:t xml:space="preserve"> Section 35753[a][9])</w:t>
      </w:r>
    </w:p>
    <w:p w14:paraId="64A92BDE" w14:textId="4F4C7F5F" w:rsidR="001C19A4" w:rsidRDefault="001C19A4" w:rsidP="005F27A6">
      <w:r w:rsidRPr="00C427D9">
        <w:t>The Contra Costa County Office of Education did not prepare a staff report on th</w:t>
      </w:r>
      <w:r>
        <w:t>ese</w:t>
      </w:r>
      <w:r w:rsidRPr="00C427D9">
        <w:t xml:space="preserve"> issue</w:t>
      </w:r>
      <w:r>
        <w:t>s</w:t>
      </w:r>
      <w:r w:rsidRPr="00C427D9">
        <w:t xml:space="preserve">. However, a feasibility study was prepared by School Services of California on behalf of the County Committee. In </w:t>
      </w:r>
      <w:r w:rsidR="00D316F1">
        <w:t xml:space="preserve">the </w:t>
      </w:r>
      <w:r w:rsidR="00D316F1">
        <w:rPr>
          <w:i/>
        </w:rPr>
        <w:t xml:space="preserve">Contra Costa County Office of Education </w:t>
      </w:r>
      <w:r w:rsidR="00D64B69">
        <w:rPr>
          <w:i/>
        </w:rPr>
        <w:t xml:space="preserve">Reorganization </w:t>
      </w:r>
      <w:r w:rsidR="00D316F1">
        <w:rPr>
          <w:i/>
        </w:rPr>
        <w:t>Feasibility Study</w:t>
      </w:r>
      <w:r w:rsidR="00D64B69">
        <w:rPr>
          <w:i/>
        </w:rPr>
        <w:t>:</w:t>
      </w:r>
      <w:r w:rsidR="00D316F1">
        <w:rPr>
          <w:i/>
        </w:rPr>
        <w:t xml:space="preserve"> Mt. Diablo Unified School District </w:t>
      </w:r>
      <w:r w:rsidR="00D316F1" w:rsidRPr="00D316F1">
        <w:t>(</w:t>
      </w:r>
      <w:r w:rsidR="00D316F1" w:rsidRPr="00D316F1">
        <w:rPr>
          <w:i/>
        </w:rPr>
        <w:t>Feasibility Study</w:t>
      </w:r>
      <w:r w:rsidR="00D316F1" w:rsidRPr="00D316F1">
        <w:t>)</w:t>
      </w:r>
      <w:r w:rsidRPr="00C427D9">
        <w:t>, School Services of California found that the proposal substantially meets</w:t>
      </w:r>
      <w:r>
        <w:t xml:space="preserve"> the</w:t>
      </w:r>
      <w:r w:rsidRPr="00C427D9">
        <w:t xml:space="preserve"> condition set forth in</w:t>
      </w:r>
      <w:r>
        <w:t xml:space="preserve"> paragraph (5) of</w:t>
      </w:r>
      <w:r w:rsidRPr="00C427D9">
        <w:t xml:space="preserve"> </w:t>
      </w:r>
      <w:r>
        <w:t xml:space="preserve">subdivision (a) of </w:t>
      </w:r>
      <w:r w:rsidRPr="00C427D9">
        <w:rPr>
          <w:i/>
        </w:rPr>
        <w:t>EC</w:t>
      </w:r>
      <w:r w:rsidRPr="00C427D9">
        <w:t xml:space="preserve"> </w:t>
      </w:r>
      <w:r>
        <w:t>S</w:t>
      </w:r>
      <w:r w:rsidRPr="00C427D9">
        <w:t>ection 35753</w:t>
      </w:r>
      <w:r>
        <w:t xml:space="preserve">. </w:t>
      </w:r>
      <w:r w:rsidRPr="00C427D9">
        <w:t>School Services of California</w:t>
      </w:r>
      <w:r>
        <w:t xml:space="preserve"> also </w:t>
      </w:r>
      <w:r w:rsidRPr="00C427D9">
        <w:t xml:space="preserve">found that the proposal substantially meets </w:t>
      </w:r>
      <w:r>
        <w:t xml:space="preserve">the </w:t>
      </w:r>
      <w:r w:rsidRPr="00C427D9">
        <w:t>condition set forth in</w:t>
      </w:r>
      <w:r>
        <w:t xml:space="preserve"> paragraph (9) of</w:t>
      </w:r>
      <w:r w:rsidRPr="00C427D9">
        <w:t xml:space="preserve"> </w:t>
      </w:r>
      <w:r>
        <w:t xml:space="preserve">subdivision (a) of </w:t>
      </w:r>
      <w:r w:rsidRPr="00C427D9">
        <w:rPr>
          <w:i/>
        </w:rPr>
        <w:t>EC</w:t>
      </w:r>
      <w:r w:rsidRPr="00C427D9">
        <w:t xml:space="preserve"> </w:t>
      </w:r>
      <w:r>
        <w:t>S</w:t>
      </w:r>
      <w:r w:rsidRPr="00C427D9">
        <w:t>ection 35753</w:t>
      </w:r>
      <w:r>
        <w:t>, noting that:</w:t>
      </w:r>
    </w:p>
    <w:p w14:paraId="4904D337" w14:textId="499B5899" w:rsidR="001C19A4" w:rsidRPr="00F86B7D" w:rsidRDefault="001C19A4" w:rsidP="005F27A6">
      <w:pPr>
        <w:ind w:left="360"/>
        <w:rPr>
          <w:i/>
        </w:rPr>
      </w:pPr>
      <w:r w:rsidRPr="00F86B7D">
        <w:rPr>
          <w:i/>
        </w:rPr>
        <w:t>The study finds that this criterion would be substantially met. The reorganization would not cause a substantial negative effect on the fiscal status of the proposed Northgate USD or Mt. Diablo USD. The fiscal fate of both districts, however, rests on the ability of Mt. Diablo USD to implement budget reductions noted in its 2017-18 Adopted Budget. For the current year, Mt. Diablo USD is running a deficit of $48.3 million. Failure to correct this imbalance between revenues and expenditures in</w:t>
      </w:r>
      <w:r w:rsidR="00D316F1">
        <w:rPr>
          <w:i/>
        </w:rPr>
        <w:t xml:space="preserve"> </w:t>
      </w:r>
      <w:r w:rsidRPr="00F86B7D">
        <w:rPr>
          <w:i/>
        </w:rPr>
        <w:lastRenderedPageBreak/>
        <w:t>2018-19 would seriously jeopardize the fiscal solvency of Mt. Diablo USD and start the newly established Northgate USD on an unsound fiscal footing.</w:t>
      </w:r>
    </w:p>
    <w:p w14:paraId="5927D094" w14:textId="66075FF6" w:rsidR="001C19A4" w:rsidRDefault="001C19A4" w:rsidP="005F27A6">
      <w:r>
        <w:t>After</w:t>
      </w:r>
      <w:r w:rsidRPr="00C427D9">
        <w:t xml:space="preserve"> considering the information </w:t>
      </w:r>
      <w:r>
        <w:t xml:space="preserve">provided by all parties </w:t>
      </w:r>
      <w:r w:rsidRPr="00C427D9">
        <w:t xml:space="preserve">and </w:t>
      </w:r>
      <w:r>
        <w:t xml:space="preserve">the </w:t>
      </w:r>
      <w:r w:rsidRPr="00C427D9">
        <w:t xml:space="preserve">finding in the </w:t>
      </w:r>
      <w:r w:rsidR="00D316F1" w:rsidRPr="00D316F1">
        <w:rPr>
          <w:i/>
        </w:rPr>
        <w:t>Feasibility Study</w:t>
      </w:r>
      <w:r w:rsidRPr="00C427D9">
        <w:t xml:space="preserve">, the County Committee concluded the proposal </w:t>
      </w:r>
      <w:r>
        <w:t xml:space="preserve">substantially met the </w:t>
      </w:r>
      <w:r w:rsidRPr="00A41D9A">
        <w:rPr>
          <w:i/>
        </w:rPr>
        <w:t>EC</w:t>
      </w:r>
      <w:r>
        <w:t xml:space="preserve"> Section 35753(a)(5) condition and </w:t>
      </w:r>
      <w:r w:rsidRPr="00C427D9">
        <w:t xml:space="preserve">failed to substantially meet the </w:t>
      </w:r>
      <w:r w:rsidRPr="00C427D9">
        <w:rPr>
          <w:i/>
        </w:rPr>
        <w:t>EC</w:t>
      </w:r>
      <w:r w:rsidRPr="00C427D9">
        <w:t xml:space="preserve"> Section 35753(a)(</w:t>
      </w:r>
      <w:r>
        <w:t>9</w:t>
      </w:r>
      <w:r w:rsidRPr="00C427D9">
        <w:t xml:space="preserve">) condition </w:t>
      </w:r>
      <w:r>
        <w:t>by</w:t>
      </w:r>
      <w:r w:rsidRPr="00C427D9">
        <w:t xml:space="preserve"> a</w:t>
      </w:r>
      <w:r>
        <w:t xml:space="preserve"> vote of 3-1-1</w:t>
      </w:r>
      <w:r w:rsidRPr="00C427D9">
        <w:t xml:space="preserve"> </w:t>
      </w:r>
      <w:r>
        <w:t>and 2-2-1</w:t>
      </w:r>
      <w:r w:rsidRPr="00FD699A">
        <w:t>, respectively</w:t>
      </w:r>
      <w:r w:rsidRPr="00C427D9">
        <w:t xml:space="preserve">. </w:t>
      </w:r>
    </w:p>
    <w:p w14:paraId="6779914F" w14:textId="675A4002" w:rsidR="001C19A4" w:rsidRPr="00C427D9" w:rsidRDefault="001C19A4" w:rsidP="005F27A6">
      <w:r>
        <w:t xml:space="preserve">Though the County Committee, as a body, did not articulate reasons for its determination that criterion 9 was not substantially met, concerns expressed by members during the public hearing were that the neither the petitioners’ report nor consultants’ </w:t>
      </w:r>
      <w:r w:rsidR="00D64B69" w:rsidRPr="00D64B69">
        <w:rPr>
          <w:i/>
        </w:rPr>
        <w:t>F</w:t>
      </w:r>
      <w:r w:rsidRPr="00D64B69">
        <w:rPr>
          <w:i/>
        </w:rPr>
        <w:t xml:space="preserve">easibility </w:t>
      </w:r>
      <w:r w:rsidR="00D64B69" w:rsidRPr="00D64B69">
        <w:rPr>
          <w:i/>
        </w:rPr>
        <w:t>S</w:t>
      </w:r>
      <w:r w:rsidRPr="00D64B69">
        <w:rPr>
          <w:i/>
        </w:rPr>
        <w:t>tudy</w:t>
      </w:r>
      <w:r>
        <w:t xml:space="preserve"> accounted for the fiscal impact of intra-district transfer students and that the reorganization would cause fiscal harm to the Mt. Diablo USD.</w:t>
      </w:r>
    </w:p>
    <w:p w14:paraId="3DC871D8" w14:textId="77777777" w:rsidR="001C19A4" w:rsidRPr="00725AEC" w:rsidRDefault="001C19A4" w:rsidP="007F1E2D">
      <w:pPr>
        <w:pStyle w:val="Heading2"/>
      </w:pPr>
      <w:r w:rsidRPr="00725AEC">
        <w:t>Recommendation</w:t>
      </w:r>
    </w:p>
    <w:p w14:paraId="4DC445C2" w14:textId="3DE1F337" w:rsidR="001C19A4" w:rsidRDefault="001C19A4" w:rsidP="005F27A6">
      <w:pPr>
        <w:rPr>
          <w:rStyle w:val="Strong"/>
          <w:b w:val="0"/>
        </w:rPr>
      </w:pPr>
      <w:r>
        <w:t xml:space="preserve">The California Department of California (CDE) recommends that the SBE find that the proposal to form a new Northgate USD from a portion of the Mt. Diablo USD </w:t>
      </w:r>
      <w:r w:rsidRPr="002B2D6F">
        <w:t>substantially complies</w:t>
      </w:r>
      <w:r>
        <w:t xml:space="preserve"> with conditions set forth in paragraphs (5) and (9) of subdivision (a) of </w:t>
      </w:r>
      <w:r w:rsidRPr="00CD6BCC">
        <w:rPr>
          <w:i/>
        </w:rPr>
        <w:t>EC</w:t>
      </w:r>
      <w:r>
        <w:t xml:space="preserve"> Section 35753</w:t>
      </w:r>
      <w:r w:rsidRPr="001C4584">
        <w:t>.</w:t>
      </w:r>
      <w:r>
        <w:t xml:space="preserve"> </w:t>
      </w:r>
    </w:p>
    <w:p w14:paraId="7DB4F897" w14:textId="4C900EB7" w:rsidR="001C19A4" w:rsidRDefault="001C19A4" w:rsidP="005F27A6">
      <w:r>
        <w:t>The following report, prepared by the CDE, provides detailed analyses to support this recommendation.</w:t>
      </w:r>
    </w:p>
    <w:p w14:paraId="22B1C63F" w14:textId="77777777" w:rsidR="001C19A4" w:rsidRDefault="001C19A4" w:rsidP="005F27A6">
      <w:pPr>
        <w:rPr>
          <w:rStyle w:val="Strong"/>
          <w:b w:val="0"/>
        </w:rPr>
      </w:pPr>
      <w:r w:rsidRPr="00035ED2">
        <w:rPr>
          <w:rStyle w:val="Strong"/>
          <w:b w:val="0"/>
        </w:rPr>
        <w:t xml:space="preserve">The standards and criteria adopted by the SBE pursuant to </w:t>
      </w:r>
      <w:r w:rsidRPr="00077604">
        <w:rPr>
          <w:rStyle w:val="Strong"/>
          <w:b w:val="0"/>
          <w:i/>
        </w:rPr>
        <w:t>EC</w:t>
      </w:r>
      <w:r w:rsidRPr="00035ED2">
        <w:rPr>
          <w:rStyle w:val="Strong"/>
          <w:b w:val="0"/>
        </w:rPr>
        <w:t xml:space="preserve"> Section 33127 and published in </w:t>
      </w:r>
      <w:r>
        <w:rPr>
          <w:rStyle w:val="Strong"/>
          <w:b w:val="0"/>
        </w:rPr>
        <w:t xml:space="preserve">Title 5 </w:t>
      </w:r>
      <w:r w:rsidRPr="0053166E">
        <w:rPr>
          <w:rStyle w:val="Strong"/>
          <w:b w:val="0"/>
          <w:i/>
        </w:rPr>
        <w:t>California Code of Regulations</w:t>
      </w:r>
      <w:r w:rsidRPr="00035ED2">
        <w:rPr>
          <w:rStyle w:val="Strong"/>
          <w:b w:val="0"/>
        </w:rPr>
        <w:t xml:space="preserve"> </w:t>
      </w:r>
      <w:r>
        <w:rPr>
          <w:rStyle w:val="Strong"/>
          <w:b w:val="0"/>
        </w:rPr>
        <w:t>s</w:t>
      </w:r>
      <w:r w:rsidRPr="00035ED2">
        <w:rPr>
          <w:rStyle w:val="Strong"/>
          <w:b w:val="0"/>
        </w:rPr>
        <w:t>ections 15440</w:t>
      </w:r>
      <w:r>
        <w:rPr>
          <w:rStyle w:val="Strong"/>
          <w:b w:val="0"/>
        </w:rPr>
        <w:t xml:space="preserve"> through </w:t>
      </w:r>
      <w:r w:rsidRPr="00035ED2">
        <w:rPr>
          <w:rStyle w:val="Strong"/>
          <w:b w:val="0"/>
        </w:rPr>
        <w:t xml:space="preserve">15466 </w:t>
      </w:r>
      <w:r>
        <w:rPr>
          <w:rStyle w:val="Strong"/>
          <w:b w:val="0"/>
        </w:rPr>
        <w:t>were used</w:t>
      </w:r>
      <w:r w:rsidRPr="00035ED2">
        <w:rPr>
          <w:rStyle w:val="Strong"/>
          <w:b w:val="0"/>
        </w:rPr>
        <w:t xml:space="preserve"> for evaluation of the financial conditions of the affected districts.</w:t>
      </w:r>
    </w:p>
    <w:p w14:paraId="190F2F70" w14:textId="77777777" w:rsidR="001C19A4" w:rsidRDefault="001C19A4">
      <w:pPr>
        <w:spacing w:after="160"/>
        <w:rPr>
          <w:rFonts w:eastAsiaTheme="majorEastAsia" w:cs="Arial"/>
          <w:b/>
          <w:sz w:val="32"/>
          <w:szCs w:val="26"/>
        </w:rPr>
      </w:pPr>
      <w:r>
        <w:br w:type="page"/>
      </w:r>
    </w:p>
    <w:p w14:paraId="769B9947" w14:textId="77777777" w:rsidR="001C19A4" w:rsidRPr="00EA731B" w:rsidRDefault="001C19A4" w:rsidP="007F1E2D">
      <w:pPr>
        <w:pStyle w:val="Heading2"/>
      </w:pPr>
      <w:r>
        <w:lastRenderedPageBreak/>
        <w:t xml:space="preserve">Evaluation </w:t>
      </w:r>
      <w:r w:rsidRPr="00CC2A01">
        <w:t xml:space="preserve">Criteria </w:t>
      </w:r>
      <w:r>
        <w:t>for the</w:t>
      </w:r>
      <w:r w:rsidRPr="00CC2A01">
        <w:t xml:space="preserve"> </w:t>
      </w:r>
      <w:r>
        <w:t>U</w:t>
      </w:r>
      <w:r w:rsidRPr="00CC2A01">
        <w:t xml:space="preserve">nification </w:t>
      </w:r>
      <w:r>
        <w:t>P</w:t>
      </w:r>
      <w:r w:rsidRPr="00CC2A01">
        <w:t>roposal</w:t>
      </w:r>
    </w:p>
    <w:p w14:paraId="4A541E78" w14:textId="77777777" w:rsidR="001C19A4" w:rsidRPr="00CB5656" w:rsidRDefault="001C19A4" w:rsidP="00D43356">
      <w:pPr>
        <w:pStyle w:val="Heading3"/>
        <w:numPr>
          <w:ilvl w:val="0"/>
          <w:numId w:val="0"/>
        </w:numPr>
      </w:pPr>
      <w:r w:rsidRPr="00CB5656">
        <w:t>Criterion 5</w:t>
      </w:r>
      <w:r>
        <w:t>.</w:t>
      </w:r>
      <w:r w:rsidRPr="00CB5656">
        <w:t xml:space="preserve"> The proposed reorganization must not result in any significant increase in costs to the State.</w:t>
      </w:r>
    </w:p>
    <w:p w14:paraId="1821CE2B" w14:textId="77777777" w:rsidR="001C19A4" w:rsidRDefault="001C19A4" w:rsidP="005F27A6">
      <w:r>
        <w:t>CDE staff provided hypothetical Local Control Funding Formula (LCFF) revenue estimates as if the proposed district reorganization were in effect as of the 2020–21 Second Principal Apportionment and the Fiscal Year (FY) 2021–22 First Principal Apportionment. The estimates were made using enrollment and unduplicated pupil counts for pupils residing in the territory of the proposed Northgate USD that were provided by the Mt. Diablo USD as well as enrollment and average daily attendance (ADA) from the 2021–22 First Interim report for Mt. Diablo USD and LCFF funding data from the 2020–21 Second Principal Apportionment.</w:t>
      </w:r>
    </w:p>
    <w:p w14:paraId="63EF02AA" w14:textId="77777777" w:rsidR="001C19A4" w:rsidRPr="004B4AD0" w:rsidRDefault="001C19A4" w:rsidP="00C306C8">
      <w:pPr>
        <w:pStyle w:val="Heading4"/>
        <w:ind w:left="0"/>
      </w:pPr>
      <w:r w:rsidRPr="004B4AD0">
        <w:t xml:space="preserve">Table </w:t>
      </w:r>
      <w:r>
        <w:t>1</w:t>
      </w:r>
      <w:r w:rsidRPr="004B4AD0">
        <w:t xml:space="preserve">. </w:t>
      </w:r>
      <w:r>
        <w:t>ADA and Enrollment Data for Mt. Diablo USD</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Description w:val="Table 1. ADA and Enrollment Data for Mt. Diablo USD for Fiscal Years 2019-20, 2020-21 and 2021-22. "/>
      </w:tblPr>
      <w:tblGrid>
        <w:gridCol w:w="2223"/>
        <w:gridCol w:w="1959"/>
        <w:gridCol w:w="2643"/>
        <w:gridCol w:w="2493"/>
      </w:tblGrid>
      <w:tr w:rsidR="004F40B9" w:rsidRPr="00AF72E2" w14:paraId="095AAD4A" w14:textId="77777777" w:rsidTr="004F40B9">
        <w:trPr>
          <w:trHeight w:val="352"/>
          <w:tblHeader/>
        </w:trPr>
        <w:tc>
          <w:tcPr>
            <w:tcW w:w="2223" w:type="dxa"/>
            <w:shd w:val="clear" w:color="auto" w:fill="D9D9D9" w:themeFill="background1" w:themeFillShade="D9"/>
            <w:noWrap/>
            <w:vAlign w:val="center"/>
            <w:hideMark/>
          </w:tcPr>
          <w:p w14:paraId="634612B1" w14:textId="77777777" w:rsidR="004F40B9" w:rsidRPr="00AF72E2" w:rsidRDefault="004F40B9" w:rsidP="005F27A6">
            <w:pPr>
              <w:spacing w:after="0"/>
              <w:jc w:val="center"/>
              <w:rPr>
                <w:b/>
                <w:bCs/>
              </w:rPr>
            </w:pPr>
            <w:r>
              <w:rPr>
                <w:b/>
                <w:bCs/>
              </w:rPr>
              <w:t>FY</w:t>
            </w:r>
          </w:p>
        </w:tc>
        <w:tc>
          <w:tcPr>
            <w:tcW w:w="1959" w:type="dxa"/>
            <w:shd w:val="clear" w:color="auto" w:fill="D9D9D9" w:themeFill="background1" w:themeFillShade="D9"/>
            <w:vAlign w:val="center"/>
          </w:tcPr>
          <w:p w14:paraId="1247EF76" w14:textId="77777777" w:rsidR="004F40B9" w:rsidRPr="00AF72E2" w:rsidRDefault="004F40B9" w:rsidP="005F27A6">
            <w:pPr>
              <w:spacing w:after="0"/>
              <w:jc w:val="center"/>
              <w:rPr>
                <w:b/>
                <w:bCs/>
              </w:rPr>
            </w:pPr>
            <w:r w:rsidRPr="00AF72E2">
              <w:rPr>
                <w:b/>
                <w:bCs/>
              </w:rPr>
              <w:t>Enrollment</w:t>
            </w:r>
          </w:p>
        </w:tc>
        <w:tc>
          <w:tcPr>
            <w:tcW w:w="2643" w:type="dxa"/>
            <w:shd w:val="clear" w:color="auto" w:fill="D9D9D9" w:themeFill="background1" w:themeFillShade="D9"/>
            <w:vAlign w:val="center"/>
            <w:hideMark/>
          </w:tcPr>
          <w:p w14:paraId="428B5560" w14:textId="77777777" w:rsidR="004F40B9" w:rsidRPr="00AF72E2" w:rsidRDefault="004F40B9" w:rsidP="005F27A6">
            <w:pPr>
              <w:spacing w:after="0"/>
              <w:jc w:val="center"/>
              <w:rPr>
                <w:b/>
                <w:bCs/>
              </w:rPr>
            </w:pPr>
            <w:r w:rsidRPr="00AF72E2">
              <w:rPr>
                <w:b/>
                <w:bCs/>
              </w:rPr>
              <w:t>C</w:t>
            </w:r>
            <w:r>
              <w:rPr>
                <w:b/>
                <w:bCs/>
              </w:rPr>
              <w:t xml:space="preserve">urrent </w:t>
            </w:r>
            <w:r w:rsidRPr="00AF72E2">
              <w:rPr>
                <w:b/>
                <w:bCs/>
              </w:rPr>
              <w:t>Y</w:t>
            </w:r>
            <w:r>
              <w:rPr>
                <w:b/>
                <w:bCs/>
              </w:rPr>
              <w:t>ear</w:t>
            </w:r>
            <w:r w:rsidRPr="00AF72E2">
              <w:rPr>
                <w:b/>
                <w:bCs/>
              </w:rPr>
              <w:t xml:space="preserve"> ADA to Enrollment Ratio</w:t>
            </w:r>
          </w:p>
        </w:tc>
        <w:tc>
          <w:tcPr>
            <w:tcW w:w="2493" w:type="dxa"/>
            <w:shd w:val="clear" w:color="auto" w:fill="D9D9D9" w:themeFill="background1" w:themeFillShade="D9"/>
            <w:vAlign w:val="center"/>
            <w:hideMark/>
          </w:tcPr>
          <w:p w14:paraId="76572CB2" w14:textId="77777777" w:rsidR="004F40B9" w:rsidRPr="00AF72E2" w:rsidRDefault="004F40B9" w:rsidP="005F27A6">
            <w:pPr>
              <w:spacing w:after="0"/>
              <w:jc w:val="center"/>
              <w:rPr>
                <w:b/>
                <w:bCs/>
              </w:rPr>
            </w:pPr>
            <w:r w:rsidRPr="00AF72E2">
              <w:rPr>
                <w:b/>
                <w:bCs/>
              </w:rPr>
              <w:t xml:space="preserve">Enrollment </w:t>
            </w:r>
            <w:r>
              <w:rPr>
                <w:b/>
                <w:bCs/>
              </w:rPr>
              <w:t xml:space="preserve">Growth from </w:t>
            </w:r>
            <w:r w:rsidRPr="00AF72E2">
              <w:rPr>
                <w:b/>
                <w:bCs/>
              </w:rPr>
              <w:t>P</w:t>
            </w:r>
            <w:r>
              <w:rPr>
                <w:b/>
                <w:bCs/>
              </w:rPr>
              <w:t xml:space="preserve">rior </w:t>
            </w:r>
            <w:r w:rsidRPr="00AF72E2">
              <w:rPr>
                <w:b/>
                <w:bCs/>
              </w:rPr>
              <w:t>Y</w:t>
            </w:r>
            <w:r>
              <w:rPr>
                <w:b/>
                <w:bCs/>
              </w:rPr>
              <w:t>ear</w:t>
            </w:r>
          </w:p>
        </w:tc>
      </w:tr>
      <w:tr w:rsidR="004F40B9" w:rsidRPr="00AF72E2" w14:paraId="57655541" w14:textId="77777777" w:rsidTr="004F40B9">
        <w:trPr>
          <w:trHeight w:val="373"/>
        </w:trPr>
        <w:tc>
          <w:tcPr>
            <w:tcW w:w="2223" w:type="dxa"/>
            <w:noWrap/>
            <w:vAlign w:val="center"/>
            <w:hideMark/>
          </w:tcPr>
          <w:p w14:paraId="76B6B6D6" w14:textId="77777777" w:rsidR="004F40B9" w:rsidRPr="00AF72E2" w:rsidRDefault="004F40B9" w:rsidP="005F27A6">
            <w:pPr>
              <w:spacing w:after="0"/>
              <w:jc w:val="center"/>
            </w:pPr>
            <w:r w:rsidRPr="00AF72E2">
              <w:t>2019</w:t>
            </w:r>
            <w:r>
              <w:t>–</w:t>
            </w:r>
            <w:r w:rsidRPr="00AF72E2">
              <w:t>20</w:t>
            </w:r>
          </w:p>
        </w:tc>
        <w:tc>
          <w:tcPr>
            <w:tcW w:w="1959" w:type="dxa"/>
            <w:vAlign w:val="center"/>
          </w:tcPr>
          <w:p w14:paraId="5A913078" w14:textId="77777777" w:rsidR="004F40B9" w:rsidRPr="00AF72E2" w:rsidRDefault="004F40B9" w:rsidP="005F27A6">
            <w:pPr>
              <w:spacing w:after="0"/>
              <w:jc w:val="right"/>
            </w:pPr>
            <w:r w:rsidRPr="00AF72E2">
              <w:t>30,724</w:t>
            </w:r>
          </w:p>
        </w:tc>
        <w:tc>
          <w:tcPr>
            <w:tcW w:w="2643" w:type="dxa"/>
            <w:noWrap/>
            <w:vAlign w:val="center"/>
            <w:hideMark/>
          </w:tcPr>
          <w:p w14:paraId="25B980DC" w14:textId="77777777" w:rsidR="004F40B9" w:rsidRPr="00AF72E2" w:rsidRDefault="004F40B9" w:rsidP="005F27A6">
            <w:pPr>
              <w:spacing w:after="0"/>
              <w:jc w:val="right"/>
            </w:pPr>
            <w:r w:rsidRPr="00AF72E2">
              <w:t>94.8%</w:t>
            </w:r>
          </w:p>
        </w:tc>
        <w:tc>
          <w:tcPr>
            <w:tcW w:w="2493" w:type="dxa"/>
            <w:noWrap/>
            <w:vAlign w:val="center"/>
            <w:hideMark/>
          </w:tcPr>
          <w:p w14:paraId="58914087" w14:textId="77777777" w:rsidR="004F40B9" w:rsidRPr="00AF72E2" w:rsidRDefault="004F40B9" w:rsidP="005F27A6">
            <w:pPr>
              <w:spacing w:after="0"/>
              <w:jc w:val="right"/>
            </w:pPr>
            <w:r w:rsidRPr="00AF72E2">
              <w:t xml:space="preserve"> </w:t>
            </w:r>
            <w:r>
              <w:t>N</w:t>
            </w:r>
            <w:r w:rsidRPr="00AF72E2">
              <w:t>/</w:t>
            </w:r>
            <w:r>
              <w:t>A</w:t>
            </w:r>
            <w:r w:rsidRPr="00AF72E2">
              <w:t xml:space="preserve"> </w:t>
            </w:r>
          </w:p>
        </w:tc>
      </w:tr>
      <w:tr w:rsidR="004F40B9" w:rsidRPr="00AF72E2" w14:paraId="2281B317" w14:textId="77777777" w:rsidTr="004F40B9">
        <w:trPr>
          <w:trHeight w:val="373"/>
        </w:trPr>
        <w:tc>
          <w:tcPr>
            <w:tcW w:w="2223" w:type="dxa"/>
            <w:noWrap/>
            <w:vAlign w:val="center"/>
            <w:hideMark/>
          </w:tcPr>
          <w:p w14:paraId="65849320" w14:textId="77777777" w:rsidR="004F40B9" w:rsidRPr="00AF72E2" w:rsidRDefault="004F40B9" w:rsidP="005F27A6">
            <w:pPr>
              <w:spacing w:after="0"/>
              <w:jc w:val="center"/>
            </w:pPr>
            <w:r w:rsidRPr="00AF72E2">
              <w:t>2020</w:t>
            </w:r>
            <w:r>
              <w:t>–</w:t>
            </w:r>
            <w:r w:rsidRPr="00AF72E2">
              <w:t>21</w:t>
            </w:r>
          </w:p>
        </w:tc>
        <w:tc>
          <w:tcPr>
            <w:tcW w:w="1959" w:type="dxa"/>
            <w:vAlign w:val="center"/>
          </w:tcPr>
          <w:p w14:paraId="2A0D1DC6" w14:textId="77777777" w:rsidR="004F40B9" w:rsidRPr="00AF72E2" w:rsidRDefault="004F40B9" w:rsidP="005F27A6">
            <w:pPr>
              <w:spacing w:after="0"/>
              <w:jc w:val="right"/>
            </w:pPr>
            <w:r w:rsidRPr="00AF72E2">
              <w:t xml:space="preserve">29,582 </w:t>
            </w:r>
          </w:p>
        </w:tc>
        <w:tc>
          <w:tcPr>
            <w:tcW w:w="2643" w:type="dxa"/>
            <w:noWrap/>
            <w:vAlign w:val="center"/>
            <w:hideMark/>
          </w:tcPr>
          <w:p w14:paraId="1D99BE0E" w14:textId="77777777" w:rsidR="004F40B9" w:rsidRPr="00AF72E2" w:rsidRDefault="004F40B9" w:rsidP="005F27A6">
            <w:pPr>
              <w:spacing w:after="0"/>
              <w:jc w:val="right"/>
            </w:pPr>
            <w:r w:rsidRPr="00AF72E2">
              <w:t>98.4%</w:t>
            </w:r>
          </w:p>
        </w:tc>
        <w:tc>
          <w:tcPr>
            <w:tcW w:w="2493" w:type="dxa"/>
            <w:noWrap/>
            <w:vAlign w:val="center"/>
            <w:hideMark/>
          </w:tcPr>
          <w:p w14:paraId="2E1CD0C4" w14:textId="77777777" w:rsidR="004F40B9" w:rsidRPr="00AF72E2" w:rsidRDefault="004F40B9" w:rsidP="005F27A6">
            <w:pPr>
              <w:spacing w:after="0"/>
              <w:jc w:val="right"/>
            </w:pPr>
            <w:r>
              <w:t>- 3.72%</w:t>
            </w:r>
          </w:p>
        </w:tc>
      </w:tr>
      <w:tr w:rsidR="004F40B9" w:rsidRPr="00AF72E2" w14:paraId="55CFAD10" w14:textId="77777777" w:rsidTr="004F40B9">
        <w:trPr>
          <w:trHeight w:val="373"/>
        </w:trPr>
        <w:tc>
          <w:tcPr>
            <w:tcW w:w="2223" w:type="dxa"/>
            <w:noWrap/>
            <w:vAlign w:val="center"/>
            <w:hideMark/>
          </w:tcPr>
          <w:p w14:paraId="64C0428F" w14:textId="77777777" w:rsidR="004F40B9" w:rsidRPr="00AF72E2" w:rsidRDefault="004F40B9" w:rsidP="005F27A6">
            <w:pPr>
              <w:spacing w:after="0"/>
              <w:jc w:val="center"/>
            </w:pPr>
            <w:r w:rsidRPr="00AF72E2">
              <w:t>2021</w:t>
            </w:r>
            <w:r>
              <w:t>–</w:t>
            </w:r>
            <w:r w:rsidRPr="00AF72E2">
              <w:t>22</w:t>
            </w:r>
          </w:p>
        </w:tc>
        <w:tc>
          <w:tcPr>
            <w:tcW w:w="1959" w:type="dxa"/>
            <w:vAlign w:val="center"/>
          </w:tcPr>
          <w:p w14:paraId="3EC6538C" w14:textId="77777777" w:rsidR="004F40B9" w:rsidRPr="00AF72E2" w:rsidRDefault="004F40B9" w:rsidP="005F27A6">
            <w:pPr>
              <w:spacing w:after="0"/>
              <w:jc w:val="right"/>
            </w:pPr>
            <w:r w:rsidRPr="00AF72E2">
              <w:t xml:space="preserve">28,831 </w:t>
            </w:r>
          </w:p>
        </w:tc>
        <w:tc>
          <w:tcPr>
            <w:tcW w:w="2643" w:type="dxa"/>
            <w:noWrap/>
            <w:vAlign w:val="center"/>
            <w:hideMark/>
          </w:tcPr>
          <w:p w14:paraId="1CF65E91" w14:textId="77777777" w:rsidR="004F40B9" w:rsidRPr="00AF72E2" w:rsidRDefault="004F40B9" w:rsidP="005F27A6">
            <w:pPr>
              <w:spacing w:after="0"/>
              <w:jc w:val="right"/>
            </w:pPr>
            <w:r w:rsidRPr="00AF72E2">
              <w:t>90.7%</w:t>
            </w:r>
          </w:p>
        </w:tc>
        <w:tc>
          <w:tcPr>
            <w:tcW w:w="2493" w:type="dxa"/>
            <w:noWrap/>
            <w:vAlign w:val="center"/>
            <w:hideMark/>
          </w:tcPr>
          <w:p w14:paraId="3296949A" w14:textId="77777777" w:rsidR="004F40B9" w:rsidRPr="00AF72E2" w:rsidRDefault="004F40B9" w:rsidP="005F27A6">
            <w:pPr>
              <w:spacing w:after="0"/>
              <w:jc w:val="right"/>
            </w:pPr>
            <w:r>
              <w:t>- 2.54%</w:t>
            </w:r>
          </w:p>
        </w:tc>
      </w:tr>
    </w:tbl>
    <w:p w14:paraId="1B2F25D7" w14:textId="77777777" w:rsidR="001C19A4" w:rsidRPr="009D0D7F" w:rsidRDefault="001C19A4" w:rsidP="005F27A6">
      <w:pPr>
        <w:spacing w:before="120"/>
        <w:rPr>
          <w:b/>
        </w:rPr>
      </w:pPr>
      <w:r w:rsidRPr="009D0D7F">
        <w:rPr>
          <w:b/>
          <w:i/>
        </w:rPr>
        <w:t>Source: Mt. Diablo USD FY 2021–22 First Interim</w:t>
      </w:r>
    </w:p>
    <w:p w14:paraId="0A5A7E42" w14:textId="233B07DC" w:rsidR="004E6CA5" w:rsidRPr="004E6CA5" w:rsidRDefault="004E6CA5" w:rsidP="004E6CA5">
      <w:pPr>
        <w:spacing w:after="160"/>
        <w:jc w:val="center"/>
        <w:rPr>
          <w:rFonts w:eastAsia="Times New Roman" w:cs="Arial"/>
          <w:b/>
          <w:i/>
          <w:szCs w:val="20"/>
        </w:rPr>
      </w:pPr>
      <w:r w:rsidRPr="004E6CA5">
        <w:rPr>
          <w:b/>
          <w:i/>
        </w:rPr>
        <w:t>Rest of Page Intentionally Blank</w:t>
      </w:r>
      <w:r w:rsidRPr="004E6CA5">
        <w:rPr>
          <w:b/>
          <w:i/>
        </w:rPr>
        <w:br w:type="page"/>
      </w:r>
    </w:p>
    <w:p w14:paraId="7ACB7993" w14:textId="51E99DE0" w:rsidR="001C19A4" w:rsidRPr="004B4AD0" w:rsidRDefault="001C19A4" w:rsidP="00C306C8">
      <w:pPr>
        <w:pStyle w:val="Heading4"/>
        <w:ind w:left="0"/>
      </w:pPr>
      <w:r w:rsidRPr="004B4AD0">
        <w:lastRenderedPageBreak/>
        <w:t xml:space="preserve">Table </w:t>
      </w:r>
      <w:r>
        <w:t>2</w:t>
      </w:r>
      <w:r w:rsidRPr="004B4AD0">
        <w:t>. LCFF</w:t>
      </w:r>
      <w:r>
        <w:t xml:space="preserve"> </w:t>
      </w:r>
      <w:r w:rsidRPr="004B4AD0">
        <w:t xml:space="preserve">Estimates for </w:t>
      </w:r>
      <w:r>
        <w:t>FY</w:t>
      </w:r>
      <w:r w:rsidRPr="004B4AD0">
        <w:t xml:space="preserve"> 2020–21</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Table 2. LCFF Estimates for FY 2020–21 for the existing Mt. Diablo USD, the proposed Northgate USD, and the remaining portion of the Mt. Diablo USD."/>
      </w:tblPr>
      <w:tblGrid>
        <w:gridCol w:w="2155"/>
        <w:gridCol w:w="2398"/>
        <w:gridCol w:w="2398"/>
        <w:gridCol w:w="2399"/>
      </w:tblGrid>
      <w:tr w:rsidR="001C19A4" w14:paraId="0A0DF5D6" w14:textId="77777777" w:rsidTr="005F27A6">
        <w:trPr>
          <w:tblHeader/>
        </w:trPr>
        <w:tc>
          <w:tcPr>
            <w:tcW w:w="2155" w:type="dxa"/>
            <w:shd w:val="clear" w:color="auto" w:fill="D9D9D9" w:themeFill="background1" w:themeFillShade="D9"/>
            <w:vAlign w:val="center"/>
          </w:tcPr>
          <w:p w14:paraId="6B03FFC0" w14:textId="77777777" w:rsidR="001C19A4" w:rsidRPr="004B4AD0" w:rsidRDefault="001C19A4" w:rsidP="005F27A6">
            <w:pPr>
              <w:spacing w:after="0"/>
              <w:jc w:val="center"/>
              <w:rPr>
                <w:b/>
              </w:rPr>
            </w:pPr>
            <w:r w:rsidRPr="004B4AD0">
              <w:rPr>
                <w:b/>
              </w:rPr>
              <w:t>Category</w:t>
            </w:r>
          </w:p>
        </w:tc>
        <w:tc>
          <w:tcPr>
            <w:tcW w:w="2398" w:type="dxa"/>
            <w:shd w:val="clear" w:color="auto" w:fill="D9D9D9" w:themeFill="background1" w:themeFillShade="D9"/>
            <w:vAlign w:val="center"/>
          </w:tcPr>
          <w:p w14:paraId="137752A0" w14:textId="77777777" w:rsidR="001C19A4" w:rsidRPr="004B4AD0" w:rsidRDefault="001C19A4" w:rsidP="005F27A6">
            <w:pPr>
              <w:spacing w:after="0"/>
              <w:jc w:val="center"/>
              <w:rPr>
                <w:b/>
              </w:rPr>
            </w:pPr>
            <w:r w:rsidRPr="004B4AD0">
              <w:rPr>
                <w:b/>
              </w:rPr>
              <w:t xml:space="preserve">Existing </w:t>
            </w:r>
            <w:r w:rsidRPr="004B4AD0">
              <w:rPr>
                <w:b/>
              </w:rPr>
              <w:br/>
              <w:t>Mt. Diablo USD</w:t>
            </w:r>
          </w:p>
        </w:tc>
        <w:tc>
          <w:tcPr>
            <w:tcW w:w="2398" w:type="dxa"/>
            <w:shd w:val="clear" w:color="auto" w:fill="D9D9D9" w:themeFill="background1" w:themeFillShade="D9"/>
            <w:vAlign w:val="center"/>
          </w:tcPr>
          <w:p w14:paraId="63A990ED" w14:textId="77777777" w:rsidR="001C19A4" w:rsidRPr="004B4AD0" w:rsidRDefault="001C19A4" w:rsidP="005F27A6">
            <w:pPr>
              <w:spacing w:after="0"/>
              <w:jc w:val="center"/>
              <w:rPr>
                <w:b/>
              </w:rPr>
            </w:pPr>
            <w:r w:rsidRPr="004B4AD0">
              <w:rPr>
                <w:b/>
              </w:rPr>
              <w:t>Northgate USD</w:t>
            </w:r>
          </w:p>
        </w:tc>
        <w:tc>
          <w:tcPr>
            <w:tcW w:w="2399" w:type="dxa"/>
            <w:shd w:val="clear" w:color="auto" w:fill="D9D9D9" w:themeFill="background1" w:themeFillShade="D9"/>
            <w:vAlign w:val="center"/>
          </w:tcPr>
          <w:p w14:paraId="7B29B4E7" w14:textId="77777777" w:rsidR="001C19A4" w:rsidRPr="004B4AD0" w:rsidRDefault="001C19A4" w:rsidP="005F27A6">
            <w:pPr>
              <w:spacing w:after="0"/>
              <w:jc w:val="center"/>
              <w:rPr>
                <w:b/>
              </w:rPr>
            </w:pPr>
            <w:r w:rsidRPr="004B4AD0">
              <w:rPr>
                <w:b/>
              </w:rPr>
              <w:t>Remaining Portion of Mt. Diablo USD</w:t>
            </w:r>
          </w:p>
        </w:tc>
      </w:tr>
      <w:tr w:rsidR="001C19A4" w14:paraId="6B12AA6A" w14:textId="77777777" w:rsidTr="005F27A6">
        <w:tc>
          <w:tcPr>
            <w:tcW w:w="2155" w:type="dxa"/>
            <w:vAlign w:val="center"/>
          </w:tcPr>
          <w:p w14:paraId="549CC638" w14:textId="77777777" w:rsidR="001C19A4" w:rsidRDefault="001C19A4" w:rsidP="005F27A6">
            <w:pPr>
              <w:spacing w:after="0"/>
            </w:pPr>
            <w:r>
              <w:t>Enrollment</w:t>
            </w:r>
          </w:p>
        </w:tc>
        <w:tc>
          <w:tcPr>
            <w:tcW w:w="2398" w:type="dxa"/>
            <w:vAlign w:val="center"/>
          </w:tcPr>
          <w:p w14:paraId="1D6D2405" w14:textId="77777777" w:rsidR="001C19A4" w:rsidRDefault="001C19A4" w:rsidP="005F27A6">
            <w:pPr>
              <w:spacing w:after="0"/>
              <w:jc w:val="right"/>
            </w:pPr>
            <w:r w:rsidRPr="00715716">
              <w:t>29,582</w:t>
            </w:r>
          </w:p>
        </w:tc>
        <w:tc>
          <w:tcPr>
            <w:tcW w:w="2398" w:type="dxa"/>
            <w:vAlign w:val="center"/>
          </w:tcPr>
          <w:p w14:paraId="7F0B86D7" w14:textId="77777777" w:rsidR="001C19A4" w:rsidRDefault="001C19A4" w:rsidP="005F27A6">
            <w:pPr>
              <w:spacing w:after="0"/>
              <w:jc w:val="right"/>
            </w:pPr>
            <w:r w:rsidRPr="00715716">
              <w:t>3,842</w:t>
            </w:r>
          </w:p>
        </w:tc>
        <w:tc>
          <w:tcPr>
            <w:tcW w:w="2399" w:type="dxa"/>
            <w:vAlign w:val="center"/>
          </w:tcPr>
          <w:p w14:paraId="7840DAB1" w14:textId="77777777" w:rsidR="001C19A4" w:rsidRDefault="001C19A4" w:rsidP="005F27A6">
            <w:pPr>
              <w:spacing w:after="0"/>
              <w:jc w:val="right"/>
            </w:pPr>
            <w:r w:rsidRPr="00715716">
              <w:t>25,740</w:t>
            </w:r>
          </w:p>
        </w:tc>
      </w:tr>
      <w:tr w:rsidR="001C19A4" w14:paraId="44B74555" w14:textId="77777777" w:rsidTr="005F27A6">
        <w:trPr>
          <w:trHeight w:val="154"/>
        </w:trPr>
        <w:tc>
          <w:tcPr>
            <w:tcW w:w="2155" w:type="dxa"/>
            <w:vAlign w:val="center"/>
          </w:tcPr>
          <w:p w14:paraId="462096EC" w14:textId="77777777" w:rsidR="001C19A4" w:rsidRDefault="001C19A4" w:rsidP="005F27A6">
            <w:pPr>
              <w:spacing w:after="0"/>
            </w:pPr>
            <w:r>
              <w:t>UPP</w:t>
            </w:r>
            <w:r w:rsidRPr="00D049A2">
              <w:rPr>
                <w:rStyle w:val="FootnoteReference"/>
                <w:vertAlign w:val="superscript"/>
              </w:rPr>
              <w:footnoteReference w:id="17"/>
            </w:r>
          </w:p>
        </w:tc>
        <w:tc>
          <w:tcPr>
            <w:tcW w:w="2398" w:type="dxa"/>
            <w:vAlign w:val="center"/>
          </w:tcPr>
          <w:p w14:paraId="6B4AC3A8" w14:textId="77777777" w:rsidR="001C19A4" w:rsidRDefault="001C19A4" w:rsidP="005F27A6">
            <w:pPr>
              <w:spacing w:after="0"/>
              <w:jc w:val="right"/>
            </w:pPr>
            <w:r w:rsidRPr="00715716">
              <w:t>47</w:t>
            </w:r>
            <w:r>
              <w:t>.</w:t>
            </w:r>
            <w:r w:rsidRPr="00715716">
              <w:t>79</w:t>
            </w:r>
            <w:r>
              <w:t>%</w:t>
            </w:r>
          </w:p>
        </w:tc>
        <w:tc>
          <w:tcPr>
            <w:tcW w:w="2398" w:type="dxa"/>
            <w:vAlign w:val="center"/>
          </w:tcPr>
          <w:p w14:paraId="2E4101C3" w14:textId="77777777" w:rsidR="001C19A4" w:rsidRDefault="001C19A4" w:rsidP="005F27A6">
            <w:pPr>
              <w:spacing w:after="0"/>
              <w:jc w:val="right"/>
            </w:pPr>
            <w:r w:rsidRPr="00715716">
              <w:t>10</w:t>
            </w:r>
            <w:r>
              <w:t>.</w:t>
            </w:r>
            <w:r w:rsidRPr="00715716">
              <w:t>8</w:t>
            </w:r>
            <w:r>
              <w:t>%</w:t>
            </w:r>
          </w:p>
        </w:tc>
        <w:tc>
          <w:tcPr>
            <w:tcW w:w="2399" w:type="dxa"/>
            <w:vAlign w:val="center"/>
          </w:tcPr>
          <w:p w14:paraId="0EED67E4" w14:textId="77777777" w:rsidR="001C19A4" w:rsidRDefault="001C19A4" w:rsidP="005F27A6">
            <w:pPr>
              <w:spacing w:after="0"/>
              <w:jc w:val="right"/>
            </w:pPr>
            <w:r w:rsidRPr="00715716">
              <w:t>49</w:t>
            </w:r>
            <w:r>
              <w:t>.</w:t>
            </w:r>
            <w:r w:rsidRPr="00715716">
              <w:t>42</w:t>
            </w:r>
            <w:r>
              <w:t>%</w:t>
            </w:r>
          </w:p>
        </w:tc>
      </w:tr>
      <w:tr w:rsidR="001C19A4" w14:paraId="38BB200C" w14:textId="77777777" w:rsidTr="005F27A6">
        <w:tc>
          <w:tcPr>
            <w:tcW w:w="2155" w:type="dxa"/>
            <w:vAlign w:val="center"/>
          </w:tcPr>
          <w:p w14:paraId="45EBADDD" w14:textId="77777777" w:rsidR="001C19A4" w:rsidRDefault="001C19A4" w:rsidP="005F27A6">
            <w:pPr>
              <w:spacing w:after="0"/>
            </w:pPr>
            <w:r>
              <w:t xml:space="preserve">Funded </w:t>
            </w:r>
            <w:r w:rsidRPr="00045044">
              <w:t>ADA</w:t>
            </w:r>
            <w:r w:rsidRPr="004F40B9">
              <w:rPr>
                <w:rStyle w:val="FootnoteReference"/>
                <w:vertAlign w:val="superscript"/>
              </w:rPr>
              <w:footnoteReference w:id="18"/>
            </w:r>
          </w:p>
        </w:tc>
        <w:tc>
          <w:tcPr>
            <w:tcW w:w="2398" w:type="dxa"/>
            <w:vAlign w:val="center"/>
          </w:tcPr>
          <w:p w14:paraId="7D79C4E8" w14:textId="77777777" w:rsidR="001C19A4" w:rsidRDefault="001C19A4" w:rsidP="005F27A6">
            <w:pPr>
              <w:spacing w:after="0"/>
              <w:jc w:val="right"/>
            </w:pPr>
            <w:r w:rsidRPr="00715716">
              <w:t>29,143.55</w:t>
            </w:r>
          </w:p>
        </w:tc>
        <w:tc>
          <w:tcPr>
            <w:tcW w:w="2398" w:type="dxa"/>
          </w:tcPr>
          <w:p w14:paraId="4383FF61" w14:textId="77777777" w:rsidR="001C19A4" w:rsidRDefault="001C19A4" w:rsidP="005F27A6">
            <w:pPr>
              <w:spacing w:after="0"/>
              <w:jc w:val="right"/>
            </w:pPr>
            <w:r w:rsidRPr="00BB53EE">
              <w:t>3,782.52</w:t>
            </w:r>
          </w:p>
        </w:tc>
        <w:tc>
          <w:tcPr>
            <w:tcW w:w="2399" w:type="dxa"/>
          </w:tcPr>
          <w:p w14:paraId="39E8F2E5" w14:textId="77777777" w:rsidR="001C19A4" w:rsidRDefault="001C19A4" w:rsidP="005F27A6">
            <w:pPr>
              <w:spacing w:after="0"/>
              <w:jc w:val="right"/>
            </w:pPr>
            <w:r w:rsidRPr="00BB53EE">
              <w:t>25,361.03</w:t>
            </w:r>
          </w:p>
        </w:tc>
      </w:tr>
      <w:tr w:rsidR="001C19A4" w14:paraId="2C28B8A9" w14:textId="77777777" w:rsidTr="005F27A6">
        <w:trPr>
          <w:trHeight w:val="181"/>
        </w:trPr>
        <w:tc>
          <w:tcPr>
            <w:tcW w:w="2155" w:type="dxa"/>
            <w:vAlign w:val="center"/>
          </w:tcPr>
          <w:p w14:paraId="7DC93290" w14:textId="77777777" w:rsidR="001C19A4" w:rsidRDefault="001C19A4" w:rsidP="005F27A6">
            <w:pPr>
              <w:spacing w:after="0"/>
            </w:pPr>
            <w:r w:rsidRPr="00C31186">
              <w:t xml:space="preserve">LCFF </w:t>
            </w:r>
            <w:r>
              <w:t>Entitlement</w:t>
            </w:r>
          </w:p>
        </w:tc>
        <w:tc>
          <w:tcPr>
            <w:tcW w:w="2398" w:type="dxa"/>
            <w:vAlign w:val="center"/>
          </w:tcPr>
          <w:p w14:paraId="2AA5C616" w14:textId="77777777" w:rsidR="001C19A4" w:rsidRDefault="001C19A4" w:rsidP="005F27A6">
            <w:pPr>
              <w:spacing w:after="0"/>
              <w:jc w:val="right"/>
            </w:pPr>
            <w:r w:rsidRPr="00715716">
              <w:t xml:space="preserve"> $</w:t>
            </w:r>
            <w:r>
              <w:t xml:space="preserve"> </w:t>
            </w:r>
            <w:r w:rsidRPr="00715716">
              <w:t xml:space="preserve">277,078,740 </w:t>
            </w:r>
          </w:p>
        </w:tc>
        <w:tc>
          <w:tcPr>
            <w:tcW w:w="2398" w:type="dxa"/>
          </w:tcPr>
          <w:p w14:paraId="34ACF290" w14:textId="77777777" w:rsidR="001C19A4" w:rsidRDefault="001C19A4" w:rsidP="005F27A6">
            <w:pPr>
              <w:spacing w:after="0"/>
              <w:jc w:val="right"/>
            </w:pPr>
            <w:r w:rsidRPr="00B97EE8">
              <w:t xml:space="preserve"> $</w:t>
            </w:r>
            <w:r>
              <w:t xml:space="preserve"> </w:t>
            </w:r>
            <w:r w:rsidRPr="00B97EE8">
              <w:t xml:space="preserve">33,310,422 </w:t>
            </w:r>
          </w:p>
        </w:tc>
        <w:tc>
          <w:tcPr>
            <w:tcW w:w="2399" w:type="dxa"/>
          </w:tcPr>
          <w:p w14:paraId="69E25D78" w14:textId="77777777" w:rsidR="001C19A4" w:rsidRDefault="001C19A4" w:rsidP="005F27A6">
            <w:pPr>
              <w:spacing w:after="0"/>
              <w:jc w:val="right"/>
            </w:pPr>
            <w:r w:rsidRPr="00B97EE8">
              <w:t xml:space="preserve"> $</w:t>
            </w:r>
            <w:r>
              <w:t xml:space="preserve"> </w:t>
            </w:r>
            <w:r w:rsidRPr="00B97EE8">
              <w:t xml:space="preserve">242,062,701 </w:t>
            </w:r>
          </w:p>
        </w:tc>
      </w:tr>
    </w:tbl>
    <w:p w14:paraId="3140ECBC" w14:textId="77777777" w:rsidR="001C19A4" w:rsidRPr="009D0D7F" w:rsidRDefault="001C19A4" w:rsidP="005F27A6">
      <w:pPr>
        <w:spacing w:before="120"/>
        <w:rPr>
          <w:b/>
          <w:i/>
        </w:rPr>
      </w:pPr>
      <w:r w:rsidRPr="009D0D7F">
        <w:rPr>
          <w:b/>
          <w:i/>
        </w:rPr>
        <w:t>Source: Mt. Diablo USD, Mt. Diablo USD 2021–22 First Interim, Mt. Diablo USD 2020–21 Second Principal Apportionment exhibits (LCFF Calculation and Unduplicated Pupil Percentage (UPP))</w:t>
      </w:r>
    </w:p>
    <w:p w14:paraId="22C6AAC3" w14:textId="77777777" w:rsidR="001C19A4" w:rsidRPr="007C47C9" w:rsidRDefault="001C19A4" w:rsidP="005F27A6">
      <w:r>
        <w:t>Using ADA and enrollment data for 2020</w:t>
      </w:r>
      <w:r w:rsidRPr="00DE42D3">
        <w:t>–</w:t>
      </w:r>
      <w:r>
        <w:t>21 and 2021</w:t>
      </w:r>
      <w:r w:rsidRPr="00DE42D3">
        <w:t>–</w:t>
      </w:r>
      <w:r>
        <w:t xml:space="preserve">22 from the Mt. </w:t>
      </w:r>
      <w:r w:rsidRPr="00DE42D3">
        <w:t>Diablo USD 2021–22 First Interim</w:t>
      </w:r>
      <w:r>
        <w:t xml:space="preserve"> report, CDE estimated the FY 2021–22 LCFF funding for the three areas. </w:t>
      </w:r>
    </w:p>
    <w:p w14:paraId="3A91B2BD" w14:textId="77777777" w:rsidR="001C19A4" w:rsidRPr="0003535B" w:rsidRDefault="001C19A4" w:rsidP="00C306C8">
      <w:pPr>
        <w:pStyle w:val="Heading4"/>
        <w:ind w:left="0"/>
      </w:pPr>
      <w:r w:rsidRPr="0003535B">
        <w:t xml:space="preserve">Table </w:t>
      </w:r>
      <w:r>
        <w:t>3</w:t>
      </w:r>
      <w:r w:rsidRPr="0003535B">
        <w:t xml:space="preserve">. LCFF Estimates for </w:t>
      </w:r>
      <w:r>
        <w:t>FY</w:t>
      </w:r>
      <w:r w:rsidRPr="0003535B">
        <w:t xml:space="preserve"> 2021–22</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Table 3. LCFF Estimates for FY 2021–22 for the existing Mt. Diablo USD, the proposed Northgate USD, and the remaining portion of the Mt. Diablo USD."/>
      </w:tblPr>
      <w:tblGrid>
        <w:gridCol w:w="2155"/>
        <w:gridCol w:w="2398"/>
        <w:gridCol w:w="2398"/>
        <w:gridCol w:w="2399"/>
      </w:tblGrid>
      <w:tr w:rsidR="001C19A4" w:rsidRPr="004B4AD0" w14:paraId="514FB5C5" w14:textId="77777777" w:rsidTr="005F27A6">
        <w:trPr>
          <w:tblHeader/>
        </w:trPr>
        <w:tc>
          <w:tcPr>
            <w:tcW w:w="2155" w:type="dxa"/>
            <w:shd w:val="clear" w:color="auto" w:fill="D9D9D9" w:themeFill="background1" w:themeFillShade="D9"/>
            <w:vAlign w:val="center"/>
          </w:tcPr>
          <w:p w14:paraId="0282C379" w14:textId="77777777" w:rsidR="001C19A4" w:rsidRPr="004B4AD0" w:rsidRDefault="001C19A4" w:rsidP="005F27A6">
            <w:pPr>
              <w:spacing w:after="0"/>
              <w:jc w:val="center"/>
              <w:rPr>
                <w:b/>
              </w:rPr>
            </w:pPr>
            <w:r w:rsidRPr="004B4AD0">
              <w:rPr>
                <w:b/>
              </w:rPr>
              <w:t>Category</w:t>
            </w:r>
          </w:p>
        </w:tc>
        <w:tc>
          <w:tcPr>
            <w:tcW w:w="2398" w:type="dxa"/>
            <w:shd w:val="clear" w:color="auto" w:fill="D9D9D9" w:themeFill="background1" w:themeFillShade="D9"/>
            <w:vAlign w:val="center"/>
          </w:tcPr>
          <w:p w14:paraId="6D919F05" w14:textId="77777777" w:rsidR="001C19A4" w:rsidRPr="004B4AD0" w:rsidRDefault="001C19A4" w:rsidP="005F27A6">
            <w:pPr>
              <w:spacing w:after="0"/>
              <w:jc w:val="center"/>
              <w:rPr>
                <w:b/>
              </w:rPr>
            </w:pPr>
            <w:r w:rsidRPr="004B4AD0">
              <w:rPr>
                <w:b/>
              </w:rPr>
              <w:t xml:space="preserve">Existing </w:t>
            </w:r>
            <w:r w:rsidRPr="004B4AD0">
              <w:rPr>
                <w:b/>
              </w:rPr>
              <w:br/>
              <w:t>Mt. Diablo USD</w:t>
            </w:r>
          </w:p>
        </w:tc>
        <w:tc>
          <w:tcPr>
            <w:tcW w:w="2398" w:type="dxa"/>
            <w:shd w:val="clear" w:color="auto" w:fill="D9D9D9" w:themeFill="background1" w:themeFillShade="D9"/>
            <w:vAlign w:val="center"/>
          </w:tcPr>
          <w:p w14:paraId="068E6727" w14:textId="77777777" w:rsidR="001C19A4" w:rsidRPr="004B4AD0" w:rsidRDefault="001C19A4" w:rsidP="005F27A6">
            <w:pPr>
              <w:spacing w:after="0"/>
              <w:jc w:val="center"/>
              <w:rPr>
                <w:b/>
              </w:rPr>
            </w:pPr>
            <w:r w:rsidRPr="004B4AD0">
              <w:rPr>
                <w:b/>
              </w:rPr>
              <w:t>Northgate USD</w:t>
            </w:r>
          </w:p>
        </w:tc>
        <w:tc>
          <w:tcPr>
            <w:tcW w:w="2399" w:type="dxa"/>
            <w:shd w:val="clear" w:color="auto" w:fill="D9D9D9" w:themeFill="background1" w:themeFillShade="D9"/>
            <w:vAlign w:val="center"/>
          </w:tcPr>
          <w:p w14:paraId="2017EF9A" w14:textId="77777777" w:rsidR="001C19A4" w:rsidRPr="004B4AD0" w:rsidRDefault="001C19A4" w:rsidP="005F27A6">
            <w:pPr>
              <w:spacing w:after="0"/>
              <w:jc w:val="center"/>
              <w:rPr>
                <w:b/>
              </w:rPr>
            </w:pPr>
            <w:r w:rsidRPr="004B4AD0">
              <w:rPr>
                <w:b/>
              </w:rPr>
              <w:t>Remaining Portion of Mt. Diablo USD</w:t>
            </w:r>
          </w:p>
        </w:tc>
      </w:tr>
      <w:tr w:rsidR="001C19A4" w14:paraId="113A537F" w14:textId="77777777" w:rsidTr="005F27A6">
        <w:tc>
          <w:tcPr>
            <w:tcW w:w="2155" w:type="dxa"/>
            <w:vAlign w:val="center"/>
          </w:tcPr>
          <w:p w14:paraId="79FD23B3" w14:textId="77777777" w:rsidR="001C19A4" w:rsidRDefault="001C19A4" w:rsidP="005F27A6">
            <w:pPr>
              <w:spacing w:after="0"/>
            </w:pPr>
            <w:r>
              <w:t>Enrollment</w:t>
            </w:r>
          </w:p>
        </w:tc>
        <w:tc>
          <w:tcPr>
            <w:tcW w:w="2398" w:type="dxa"/>
            <w:vAlign w:val="center"/>
          </w:tcPr>
          <w:p w14:paraId="7F4F81C2" w14:textId="77777777" w:rsidR="001C19A4" w:rsidRDefault="001C19A4" w:rsidP="005F27A6">
            <w:pPr>
              <w:spacing w:after="0"/>
              <w:jc w:val="right"/>
            </w:pPr>
            <w:r w:rsidRPr="00336065">
              <w:t>28,831</w:t>
            </w:r>
          </w:p>
        </w:tc>
        <w:tc>
          <w:tcPr>
            <w:tcW w:w="2398" w:type="dxa"/>
            <w:vAlign w:val="center"/>
          </w:tcPr>
          <w:p w14:paraId="2831F9DF" w14:textId="77777777" w:rsidR="001C19A4" w:rsidRDefault="001C19A4" w:rsidP="005F27A6">
            <w:pPr>
              <w:spacing w:after="0"/>
              <w:jc w:val="right"/>
            </w:pPr>
            <w:r w:rsidRPr="00336065">
              <w:t>3,744</w:t>
            </w:r>
          </w:p>
        </w:tc>
        <w:tc>
          <w:tcPr>
            <w:tcW w:w="2399" w:type="dxa"/>
            <w:vAlign w:val="center"/>
          </w:tcPr>
          <w:p w14:paraId="204BA65F" w14:textId="77777777" w:rsidR="001C19A4" w:rsidRDefault="001C19A4" w:rsidP="005F27A6">
            <w:pPr>
              <w:spacing w:after="0"/>
              <w:jc w:val="right"/>
            </w:pPr>
            <w:r w:rsidRPr="00336065">
              <w:t>25,087</w:t>
            </w:r>
          </w:p>
        </w:tc>
      </w:tr>
      <w:tr w:rsidR="001C19A4" w14:paraId="1F682661" w14:textId="77777777" w:rsidTr="005F27A6">
        <w:trPr>
          <w:trHeight w:val="25"/>
        </w:trPr>
        <w:tc>
          <w:tcPr>
            <w:tcW w:w="2155" w:type="dxa"/>
            <w:vAlign w:val="center"/>
          </w:tcPr>
          <w:p w14:paraId="05A1DF78" w14:textId="77777777" w:rsidR="001C19A4" w:rsidRDefault="001C19A4" w:rsidP="005F27A6">
            <w:pPr>
              <w:spacing w:after="0"/>
            </w:pPr>
            <w:r>
              <w:t>UPP</w:t>
            </w:r>
          </w:p>
        </w:tc>
        <w:tc>
          <w:tcPr>
            <w:tcW w:w="2398" w:type="dxa"/>
            <w:vAlign w:val="center"/>
          </w:tcPr>
          <w:p w14:paraId="2E06B824" w14:textId="77777777" w:rsidR="001C19A4" w:rsidRDefault="001C19A4" w:rsidP="005F27A6">
            <w:pPr>
              <w:spacing w:after="0"/>
              <w:jc w:val="right"/>
            </w:pPr>
            <w:r w:rsidRPr="00336065">
              <w:t>48</w:t>
            </w:r>
            <w:r>
              <w:t>.</w:t>
            </w:r>
            <w:r w:rsidRPr="00336065">
              <w:t>83</w:t>
            </w:r>
            <w:r>
              <w:t>%</w:t>
            </w:r>
          </w:p>
        </w:tc>
        <w:tc>
          <w:tcPr>
            <w:tcW w:w="2398" w:type="dxa"/>
            <w:vAlign w:val="center"/>
          </w:tcPr>
          <w:p w14:paraId="52D303BC" w14:textId="77777777" w:rsidR="001C19A4" w:rsidRDefault="001C19A4" w:rsidP="005F27A6">
            <w:pPr>
              <w:spacing w:after="0"/>
              <w:jc w:val="right"/>
            </w:pPr>
            <w:r w:rsidRPr="00336065">
              <w:t>10</w:t>
            </w:r>
            <w:r>
              <w:t>.</w:t>
            </w:r>
            <w:r w:rsidRPr="00336065">
              <w:t>8</w:t>
            </w:r>
            <w:r>
              <w:t>%</w:t>
            </w:r>
          </w:p>
        </w:tc>
        <w:tc>
          <w:tcPr>
            <w:tcW w:w="2399" w:type="dxa"/>
            <w:vAlign w:val="center"/>
          </w:tcPr>
          <w:p w14:paraId="04432828" w14:textId="77777777" w:rsidR="001C19A4" w:rsidRDefault="001C19A4" w:rsidP="005F27A6">
            <w:pPr>
              <w:spacing w:after="0"/>
              <w:jc w:val="right"/>
            </w:pPr>
            <w:r w:rsidRPr="00336065">
              <w:t>52</w:t>
            </w:r>
            <w:r>
              <w:t>.36%</w:t>
            </w:r>
          </w:p>
        </w:tc>
      </w:tr>
      <w:tr w:rsidR="001C19A4" w14:paraId="406D1142" w14:textId="77777777" w:rsidTr="005F27A6">
        <w:tc>
          <w:tcPr>
            <w:tcW w:w="2155" w:type="dxa"/>
            <w:vAlign w:val="center"/>
          </w:tcPr>
          <w:p w14:paraId="79951247" w14:textId="77777777" w:rsidR="001C19A4" w:rsidRDefault="001C19A4" w:rsidP="005F27A6">
            <w:pPr>
              <w:spacing w:after="0"/>
            </w:pPr>
            <w:r>
              <w:t>Funded ADA</w:t>
            </w:r>
            <w:r w:rsidRPr="004F40B9">
              <w:rPr>
                <w:rStyle w:val="FootnoteReference"/>
                <w:vertAlign w:val="superscript"/>
              </w:rPr>
              <w:footnoteReference w:id="19"/>
            </w:r>
          </w:p>
        </w:tc>
        <w:tc>
          <w:tcPr>
            <w:tcW w:w="2398" w:type="dxa"/>
            <w:vAlign w:val="center"/>
          </w:tcPr>
          <w:p w14:paraId="66EB3317" w14:textId="77777777" w:rsidR="001C19A4" w:rsidRPr="00336065" w:rsidRDefault="001C19A4" w:rsidP="005F27A6">
            <w:pPr>
              <w:spacing w:after="0"/>
              <w:jc w:val="right"/>
            </w:pPr>
            <w:r w:rsidRPr="00330206">
              <w:t>29,143.55</w:t>
            </w:r>
          </w:p>
        </w:tc>
        <w:tc>
          <w:tcPr>
            <w:tcW w:w="2398" w:type="dxa"/>
          </w:tcPr>
          <w:p w14:paraId="6813D896" w14:textId="77777777" w:rsidR="001C19A4" w:rsidRPr="00336065" w:rsidRDefault="001C19A4" w:rsidP="005F27A6">
            <w:pPr>
              <w:spacing w:after="0"/>
              <w:jc w:val="right"/>
            </w:pPr>
            <w:r w:rsidRPr="00D61F23">
              <w:t>3,782.52</w:t>
            </w:r>
          </w:p>
        </w:tc>
        <w:tc>
          <w:tcPr>
            <w:tcW w:w="2399" w:type="dxa"/>
          </w:tcPr>
          <w:p w14:paraId="5C68ED86" w14:textId="77777777" w:rsidR="001C19A4" w:rsidRPr="00336065" w:rsidRDefault="001C19A4" w:rsidP="005F27A6">
            <w:pPr>
              <w:spacing w:after="0"/>
              <w:jc w:val="right"/>
            </w:pPr>
            <w:r w:rsidRPr="00D61F23">
              <w:t>25,361.03</w:t>
            </w:r>
          </w:p>
        </w:tc>
      </w:tr>
      <w:tr w:rsidR="001C19A4" w14:paraId="392590F9" w14:textId="77777777" w:rsidTr="005F27A6">
        <w:tc>
          <w:tcPr>
            <w:tcW w:w="2155" w:type="dxa"/>
            <w:vAlign w:val="center"/>
          </w:tcPr>
          <w:p w14:paraId="333BFA2D" w14:textId="77777777" w:rsidR="001C19A4" w:rsidRDefault="001C19A4" w:rsidP="005F27A6">
            <w:pPr>
              <w:spacing w:after="0"/>
            </w:pPr>
            <w:r w:rsidRPr="00C31186">
              <w:t xml:space="preserve">LCFF </w:t>
            </w:r>
            <w:r>
              <w:t>Entitlement</w:t>
            </w:r>
          </w:p>
        </w:tc>
        <w:tc>
          <w:tcPr>
            <w:tcW w:w="2398" w:type="dxa"/>
          </w:tcPr>
          <w:p w14:paraId="1EF96B17" w14:textId="03A65290" w:rsidR="001C19A4" w:rsidRDefault="001C19A4" w:rsidP="005F27A6">
            <w:pPr>
              <w:spacing w:after="0"/>
              <w:jc w:val="right"/>
            </w:pPr>
            <w:r>
              <w:t>$ 291,485,101</w:t>
            </w:r>
          </w:p>
        </w:tc>
        <w:tc>
          <w:tcPr>
            <w:tcW w:w="2398" w:type="dxa"/>
          </w:tcPr>
          <w:p w14:paraId="618E038E" w14:textId="77777777" w:rsidR="001C19A4" w:rsidRDefault="001C19A4" w:rsidP="005F27A6">
            <w:pPr>
              <w:spacing w:after="0"/>
              <w:jc w:val="right"/>
            </w:pPr>
            <w:r>
              <w:t xml:space="preserve">$ </w:t>
            </w:r>
            <w:r w:rsidRPr="00206D5C">
              <w:t>35,000,460</w:t>
            </w:r>
          </w:p>
        </w:tc>
        <w:tc>
          <w:tcPr>
            <w:tcW w:w="2399" w:type="dxa"/>
          </w:tcPr>
          <w:p w14:paraId="202B5340" w14:textId="54E1428D" w:rsidR="001C19A4" w:rsidRDefault="001C19A4" w:rsidP="005F27A6">
            <w:pPr>
              <w:spacing w:after="0"/>
              <w:jc w:val="right"/>
            </w:pPr>
            <w:r>
              <w:t>$ 255,486,648</w:t>
            </w:r>
          </w:p>
        </w:tc>
      </w:tr>
    </w:tbl>
    <w:p w14:paraId="365A1805" w14:textId="77777777" w:rsidR="004E6CA5" w:rsidRDefault="001C19A4" w:rsidP="00615AC4">
      <w:pPr>
        <w:spacing w:before="120"/>
      </w:pPr>
      <w:r>
        <w:lastRenderedPageBreak/>
        <w:t xml:space="preserve">Tables 2 and 3 show that the estimated LCFF entitlements for the reorganized areas (Northgate USD and the remaining portion of Mt. Diablo USD) are $1.7 million less and $998,000 less for the respective years reviewed than for the existing district for the same period. The difference in funding is due to the very low UPP for the proposed Northgate USD, which determines the supplemental grant that is part of the LCFF entitlement. </w:t>
      </w:r>
    </w:p>
    <w:p w14:paraId="085E68F1" w14:textId="0E568282" w:rsidR="001C19A4" w:rsidRPr="0003535B" w:rsidRDefault="001C19A4" w:rsidP="00C306C8">
      <w:pPr>
        <w:pStyle w:val="Heading4"/>
        <w:ind w:left="0"/>
      </w:pPr>
      <w:r w:rsidRPr="0003535B">
        <w:t xml:space="preserve">Table </w:t>
      </w:r>
      <w:r>
        <w:t>4</w:t>
      </w:r>
      <w:r w:rsidRPr="0003535B">
        <w:t xml:space="preserve">. </w:t>
      </w:r>
      <w:r>
        <w:t xml:space="preserve">Estimated </w:t>
      </w:r>
      <w:r w:rsidRPr="0003535B">
        <w:t>LCF</w:t>
      </w:r>
      <w:r>
        <w:t xml:space="preserve">F State Aid and Local Revenue </w:t>
      </w:r>
      <w:r w:rsidRPr="0003535B">
        <w:t xml:space="preserve">for </w:t>
      </w:r>
      <w:r>
        <w:t>FY</w:t>
      </w:r>
      <w:r w:rsidRPr="0003535B">
        <w:t xml:space="preserve"> 202</w:t>
      </w:r>
      <w:r>
        <w:t>0</w:t>
      </w:r>
      <w:r w:rsidRPr="0003535B">
        <w:t>–2</w:t>
      </w:r>
      <w:r>
        <w:t>1</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Table 4. Estimated LCFF State Aid and Local Revenue for FY 2020–21 for the existing Mt. Diablo USD, the proposed Northgate USD, and the remaining portion of the Mt. Diablo USD."/>
      </w:tblPr>
      <w:tblGrid>
        <w:gridCol w:w="2515"/>
        <w:gridCol w:w="2218"/>
        <w:gridCol w:w="2218"/>
        <w:gridCol w:w="2399"/>
      </w:tblGrid>
      <w:tr w:rsidR="001C19A4" w:rsidRPr="004B4AD0" w14:paraId="4CF5E947" w14:textId="77777777" w:rsidTr="005F27A6">
        <w:trPr>
          <w:tblHeader/>
        </w:trPr>
        <w:tc>
          <w:tcPr>
            <w:tcW w:w="2515" w:type="dxa"/>
            <w:shd w:val="clear" w:color="auto" w:fill="D9D9D9" w:themeFill="background1" w:themeFillShade="D9"/>
            <w:vAlign w:val="center"/>
          </w:tcPr>
          <w:p w14:paraId="28EC8E3D" w14:textId="77777777" w:rsidR="001C19A4" w:rsidRPr="004B4AD0" w:rsidRDefault="001C19A4" w:rsidP="005F27A6">
            <w:pPr>
              <w:spacing w:after="0"/>
              <w:jc w:val="center"/>
              <w:rPr>
                <w:b/>
              </w:rPr>
            </w:pPr>
            <w:r w:rsidRPr="004B4AD0">
              <w:rPr>
                <w:b/>
              </w:rPr>
              <w:t>Category</w:t>
            </w:r>
          </w:p>
        </w:tc>
        <w:tc>
          <w:tcPr>
            <w:tcW w:w="2218" w:type="dxa"/>
            <w:shd w:val="clear" w:color="auto" w:fill="D9D9D9" w:themeFill="background1" w:themeFillShade="D9"/>
            <w:vAlign w:val="center"/>
          </w:tcPr>
          <w:p w14:paraId="161985D7" w14:textId="77777777" w:rsidR="001C19A4" w:rsidRPr="004B4AD0" w:rsidRDefault="001C19A4" w:rsidP="005F27A6">
            <w:pPr>
              <w:spacing w:after="0"/>
              <w:jc w:val="center"/>
              <w:rPr>
                <w:b/>
              </w:rPr>
            </w:pPr>
            <w:r w:rsidRPr="004B4AD0">
              <w:rPr>
                <w:b/>
              </w:rPr>
              <w:t xml:space="preserve">Existing </w:t>
            </w:r>
            <w:r w:rsidRPr="004B4AD0">
              <w:rPr>
                <w:b/>
              </w:rPr>
              <w:br/>
              <w:t>Mt. Diablo USD</w:t>
            </w:r>
          </w:p>
        </w:tc>
        <w:tc>
          <w:tcPr>
            <w:tcW w:w="2218" w:type="dxa"/>
            <w:shd w:val="clear" w:color="auto" w:fill="D9D9D9" w:themeFill="background1" w:themeFillShade="D9"/>
            <w:vAlign w:val="center"/>
          </w:tcPr>
          <w:p w14:paraId="6C304E1D" w14:textId="77777777" w:rsidR="001C19A4" w:rsidRPr="004B4AD0" w:rsidRDefault="001C19A4" w:rsidP="005F27A6">
            <w:pPr>
              <w:spacing w:after="0"/>
              <w:jc w:val="center"/>
              <w:rPr>
                <w:b/>
              </w:rPr>
            </w:pPr>
            <w:r w:rsidRPr="004B4AD0">
              <w:rPr>
                <w:b/>
              </w:rPr>
              <w:t>Northgate USD</w:t>
            </w:r>
          </w:p>
        </w:tc>
        <w:tc>
          <w:tcPr>
            <w:tcW w:w="2399" w:type="dxa"/>
            <w:shd w:val="clear" w:color="auto" w:fill="D9D9D9" w:themeFill="background1" w:themeFillShade="D9"/>
            <w:vAlign w:val="center"/>
          </w:tcPr>
          <w:p w14:paraId="1431938B" w14:textId="77777777" w:rsidR="001C19A4" w:rsidRPr="004B4AD0" w:rsidRDefault="001C19A4" w:rsidP="005F27A6">
            <w:pPr>
              <w:spacing w:after="0"/>
              <w:jc w:val="center"/>
              <w:rPr>
                <w:b/>
              </w:rPr>
            </w:pPr>
            <w:r w:rsidRPr="004B4AD0">
              <w:rPr>
                <w:b/>
              </w:rPr>
              <w:t>Remaining Portion of Mt. Diablo USD</w:t>
            </w:r>
          </w:p>
        </w:tc>
      </w:tr>
      <w:tr w:rsidR="001C19A4" w14:paraId="606B30A2" w14:textId="77777777" w:rsidTr="005F27A6">
        <w:trPr>
          <w:trHeight w:val="25"/>
        </w:trPr>
        <w:tc>
          <w:tcPr>
            <w:tcW w:w="2515" w:type="dxa"/>
            <w:vAlign w:val="center"/>
          </w:tcPr>
          <w:p w14:paraId="110321F6" w14:textId="77777777" w:rsidR="001C19A4" w:rsidRDefault="001C19A4" w:rsidP="005F27A6">
            <w:pPr>
              <w:spacing w:after="0"/>
            </w:pPr>
            <w:r>
              <w:t>Local Revenue</w:t>
            </w:r>
          </w:p>
        </w:tc>
        <w:tc>
          <w:tcPr>
            <w:tcW w:w="2218" w:type="dxa"/>
          </w:tcPr>
          <w:p w14:paraId="403A93B0" w14:textId="77777777" w:rsidR="001C19A4" w:rsidRDefault="001C19A4" w:rsidP="005F27A6">
            <w:pPr>
              <w:spacing w:after="0"/>
              <w:jc w:val="right"/>
            </w:pPr>
            <w:r w:rsidRPr="00267032">
              <w:t xml:space="preserve"> $</w:t>
            </w:r>
            <w:r>
              <w:t xml:space="preserve"> </w:t>
            </w:r>
            <w:r w:rsidRPr="00267032">
              <w:t xml:space="preserve">147,904,065 </w:t>
            </w:r>
          </w:p>
        </w:tc>
        <w:tc>
          <w:tcPr>
            <w:tcW w:w="2218" w:type="dxa"/>
          </w:tcPr>
          <w:p w14:paraId="22409F0E" w14:textId="77777777" w:rsidR="001C19A4" w:rsidRDefault="001C19A4" w:rsidP="005F27A6">
            <w:pPr>
              <w:spacing w:after="0"/>
              <w:jc w:val="right"/>
            </w:pPr>
            <w:r w:rsidRPr="00267032">
              <w:t xml:space="preserve"> $26,474,828 </w:t>
            </w:r>
          </w:p>
        </w:tc>
        <w:tc>
          <w:tcPr>
            <w:tcW w:w="2399" w:type="dxa"/>
          </w:tcPr>
          <w:p w14:paraId="2422A6F1" w14:textId="77777777" w:rsidR="001C19A4" w:rsidRDefault="001C19A4" w:rsidP="005F27A6">
            <w:pPr>
              <w:spacing w:after="0"/>
              <w:jc w:val="right"/>
            </w:pPr>
            <w:r w:rsidRPr="00267032">
              <w:t xml:space="preserve"> $</w:t>
            </w:r>
            <w:r>
              <w:t xml:space="preserve"> </w:t>
            </w:r>
            <w:r w:rsidRPr="00267032">
              <w:t xml:space="preserve">121,429,237 </w:t>
            </w:r>
          </w:p>
        </w:tc>
      </w:tr>
      <w:tr w:rsidR="001C19A4" w14:paraId="1EF23D80" w14:textId="77777777" w:rsidTr="005F27A6">
        <w:tc>
          <w:tcPr>
            <w:tcW w:w="2515" w:type="dxa"/>
            <w:vAlign w:val="center"/>
          </w:tcPr>
          <w:p w14:paraId="0B35A2D4" w14:textId="77777777" w:rsidR="001C19A4" w:rsidRDefault="001C19A4" w:rsidP="005F27A6">
            <w:pPr>
              <w:spacing w:after="0"/>
            </w:pPr>
            <w:r>
              <w:t>State Aid</w:t>
            </w:r>
          </w:p>
        </w:tc>
        <w:tc>
          <w:tcPr>
            <w:tcW w:w="2218" w:type="dxa"/>
          </w:tcPr>
          <w:p w14:paraId="23B448AE" w14:textId="77777777" w:rsidR="001C19A4" w:rsidRDefault="001C19A4" w:rsidP="005F27A6">
            <w:pPr>
              <w:spacing w:after="0"/>
              <w:jc w:val="right"/>
            </w:pPr>
            <w:r w:rsidRPr="009D7599">
              <w:t xml:space="preserve"> $</w:t>
            </w:r>
            <w:r>
              <w:t xml:space="preserve"> </w:t>
            </w:r>
            <w:r w:rsidRPr="009D7599">
              <w:t xml:space="preserve">129,174,675 </w:t>
            </w:r>
          </w:p>
        </w:tc>
        <w:tc>
          <w:tcPr>
            <w:tcW w:w="2218" w:type="dxa"/>
          </w:tcPr>
          <w:p w14:paraId="5654EE63" w14:textId="77777777" w:rsidR="001C19A4" w:rsidRDefault="001C19A4" w:rsidP="005F27A6">
            <w:pPr>
              <w:spacing w:after="0"/>
              <w:jc w:val="right"/>
            </w:pPr>
            <w:r w:rsidRPr="009D7599">
              <w:t xml:space="preserve"> $</w:t>
            </w:r>
            <w:r>
              <w:t xml:space="preserve"> </w:t>
            </w:r>
            <w:r w:rsidRPr="009D7599">
              <w:t xml:space="preserve">6,835,594 </w:t>
            </w:r>
          </w:p>
        </w:tc>
        <w:tc>
          <w:tcPr>
            <w:tcW w:w="2399" w:type="dxa"/>
          </w:tcPr>
          <w:p w14:paraId="134A2821" w14:textId="77777777" w:rsidR="001C19A4" w:rsidRDefault="001C19A4" w:rsidP="005F27A6">
            <w:pPr>
              <w:spacing w:after="0"/>
              <w:jc w:val="right"/>
            </w:pPr>
            <w:r w:rsidRPr="009D7599">
              <w:t xml:space="preserve"> $</w:t>
            </w:r>
            <w:r>
              <w:t xml:space="preserve"> </w:t>
            </w:r>
            <w:r w:rsidRPr="009D7599">
              <w:t xml:space="preserve">120,633,464 </w:t>
            </w:r>
          </w:p>
        </w:tc>
      </w:tr>
      <w:tr w:rsidR="001C19A4" w14:paraId="00515E3B" w14:textId="77777777" w:rsidTr="005F27A6">
        <w:trPr>
          <w:trHeight w:val="199"/>
        </w:trPr>
        <w:tc>
          <w:tcPr>
            <w:tcW w:w="2515" w:type="dxa"/>
            <w:vAlign w:val="center"/>
          </w:tcPr>
          <w:p w14:paraId="4E2E243A" w14:textId="77777777" w:rsidR="001C19A4" w:rsidRDefault="001C19A4" w:rsidP="005F27A6">
            <w:pPr>
              <w:spacing w:after="0"/>
            </w:pPr>
            <w:r>
              <w:t xml:space="preserve">Total </w:t>
            </w:r>
            <w:r w:rsidRPr="00C31186">
              <w:t xml:space="preserve">LCFF </w:t>
            </w:r>
            <w:r>
              <w:t>Funding</w:t>
            </w:r>
          </w:p>
        </w:tc>
        <w:tc>
          <w:tcPr>
            <w:tcW w:w="2218" w:type="dxa"/>
          </w:tcPr>
          <w:p w14:paraId="5B309EE8" w14:textId="77777777" w:rsidR="001C19A4" w:rsidRDefault="001C19A4" w:rsidP="005F27A6">
            <w:pPr>
              <w:spacing w:after="0"/>
              <w:jc w:val="right"/>
            </w:pPr>
            <w:r w:rsidRPr="00CD10F9">
              <w:t xml:space="preserve"> $</w:t>
            </w:r>
            <w:r>
              <w:t xml:space="preserve"> </w:t>
            </w:r>
            <w:r w:rsidRPr="00CD10F9">
              <w:t xml:space="preserve">277,078,740 </w:t>
            </w:r>
          </w:p>
        </w:tc>
        <w:tc>
          <w:tcPr>
            <w:tcW w:w="2218" w:type="dxa"/>
          </w:tcPr>
          <w:p w14:paraId="734D2250" w14:textId="77777777" w:rsidR="001C19A4" w:rsidRDefault="001C19A4" w:rsidP="005F27A6">
            <w:pPr>
              <w:spacing w:after="0"/>
              <w:jc w:val="right"/>
            </w:pPr>
            <w:r w:rsidRPr="00CD10F9">
              <w:t xml:space="preserve"> $</w:t>
            </w:r>
            <w:r>
              <w:t xml:space="preserve"> </w:t>
            </w:r>
            <w:r w:rsidRPr="00CD10F9">
              <w:t xml:space="preserve">33,310,422 </w:t>
            </w:r>
          </w:p>
        </w:tc>
        <w:tc>
          <w:tcPr>
            <w:tcW w:w="2399" w:type="dxa"/>
          </w:tcPr>
          <w:p w14:paraId="712A56D0" w14:textId="77777777" w:rsidR="001C19A4" w:rsidRDefault="001C19A4" w:rsidP="005F27A6">
            <w:pPr>
              <w:spacing w:after="0"/>
              <w:jc w:val="right"/>
            </w:pPr>
            <w:r w:rsidRPr="00CD10F9">
              <w:t xml:space="preserve"> $</w:t>
            </w:r>
            <w:r>
              <w:t xml:space="preserve"> </w:t>
            </w:r>
            <w:r w:rsidRPr="00CD10F9">
              <w:t xml:space="preserve">242,062,701 </w:t>
            </w:r>
          </w:p>
        </w:tc>
      </w:tr>
    </w:tbl>
    <w:p w14:paraId="4C98A9DE" w14:textId="6E8B9BC9" w:rsidR="001C19A4" w:rsidRDefault="001C19A4" w:rsidP="005F27A6">
      <w:pPr>
        <w:spacing w:before="240"/>
      </w:pPr>
      <w:r>
        <w:t xml:space="preserve">As of the 2020–21 Second Principal Apportionment, the amount of local property taxes collected by Mt. Diablo USD was $147,904,065, which is 53.4 percent of its LCFF entitlement. The </w:t>
      </w:r>
      <w:r w:rsidR="00D64B69" w:rsidRPr="00D316F1">
        <w:rPr>
          <w:i/>
        </w:rPr>
        <w:t>Feasibility Study</w:t>
      </w:r>
      <w:r w:rsidR="00D64B69">
        <w:t xml:space="preserve"> </w:t>
      </w:r>
      <w:r>
        <w:t>prepared by School Services of California estimated that the Northgate USD territory represented 17.9 percent of the assessed valuation of the existing district as of 2017. Therefore, on that basis, the Northgate USD would be expected to receive 17.9 percent of the property taxes of the existing Mt. Diablo USD, which is the primary source of local revenue for the LCFF. The result is that 79.5 percent of Northgate USD’s LCFF entitlement would be funded with local property taxes and the remaining portion of Mt. Diablo would have 50.1 percent of its LCFF entitlement funded with local property taxes. The existing district is a state aid funded district currently. Neither the remaining portion of Mt. Diablo USD nor the proposed Northgate USD would be expected to become basic aid as a result of the reorganization.</w:t>
      </w:r>
      <w:r w:rsidRPr="00EA6E15">
        <w:rPr>
          <w:rStyle w:val="FootnoteReference"/>
          <w:vertAlign w:val="superscript"/>
        </w:rPr>
        <w:footnoteReference w:id="20"/>
      </w:r>
    </w:p>
    <w:p w14:paraId="17B9787A" w14:textId="77777777" w:rsidR="001C19A4" w:rsidRDefault="001C19A4" w:rsidP="005F27A6">
      <w:pPr>
        <w:spacing w:before="240"/>
      </w:pPr>
      <w:r>
        <w:t>CDE finds that the reorganization would not result in increased costs to the state for the period examined.</w:t>
      </w:r>
    </w:p>
    <w:p w14:paraId="414FA57B" w14:textId="77777777" w:rsidR="001C19A4" w:rsidRPr="00C30B51" w:rsidRDefault="001C19A4" w:rsidP="00D43356">
      <w:pPr>
        <w:pStyle w:val="Heading3"/>
        <w:numPr>
          <w:ilvl w:val="0"/>
          <w:numId w:val="0"/>
        </w:numPr>
      </w:pPr>
      <w:r w:rsidRPr="00C30B51">
        <w:lastRenderedPageBreak/>
        <w:t xml:space="preserve">Criterion </w:t>
      </w:r>
      <w:r>
        <w:t>9.</w:t>
      </w:r>
      <w:r w:rsidRPr="00C30B51">
        <w:t xml:space="preserve"> The proposed reorganization must not cause a substantial negative effect on the fiscal management or fiscal status of the proposed district or any existing district affected by the proposed reorganization</w:t>
      </w:r>
      <w:r>
        <w:t>.</w:t>
      </w:r>
    </w:p>
    <w:p w14:paraId="278C2C43" w14:textId="77777777" w:rsidR="001C19A4" w:rsidRPr="00C30B51" w:rsidRDefault="001C19A4" w:rsidP="005F27A6">
      <w:r w:rsidRPr="00C30B51">
        <w:t>When one district divides into two, there will be some increased administrative costs due to the duplication of services required. District unifications and consolidations have been encouraged for this reason</w:t>
      </w:r>
      <w:r>
        <w:t>,</w:t>
      </w:r>
      <w:r w:rsidRPr="00C30B51">
        <w:t xml:space="preserve"> to eliminate duplicative administrative services and provide more efficient operations. However, </w:t>
      </w:r>
      <w:r>
        <w:t>the CDE</w:t>
      </w:r>
      <w:r w:rsidRPr="00C30B51">
        <w:t xml:space="preserve"> assume</w:t>
      </w:r>
      <w:r>
        <w:t>s</w:t>
      </w:r>
      <w:r w:rsidRPr="00C30B51">
        <w:t xml:space="preserve"> it was not the Legislature’s intent in establishing this criterion to prohibit all reorganizations that would divide an existing district into two or more separate districts. </w:t>
      </w:r>
      <w:r>
        <w:t>If the reorganization were to occur in FY 2021–22, t</w:t>
      </w:r>
      <w:r w:rsidRPr="00C30B51">
        <w:t xml:space="preserve">he proposed </w:t>
      </w:r>
      <w:r>
        <w:t>Northgate</w:t>
      </w:r>
      <w:r w:rsidRPr="00C30B51">
        <w:t xml:space="preserve"> USD would have enrollment of </w:t>
      </w:r>
      <w:r>
        <w:t xml:space="preserve">approximately </w:t>
      </w:r>
      <w:r w:rsidRPr="003069C8">
        <w:t>3,744</w:t>
      </w:r>
      <w:r w:rsidRPr="00C30B51">
        <w:t xml:space="preserve"> pupils and the remaining </w:t>
      </w:r>
      <w:r>
        <w:t>portion of Mt. Diablo</w:t>
      </w:r>
      <w:r w:rsidRPr="00C30B51">
        <w:t xml:space="preserve"> USD would have enrollment of </w:t>
      </w:r>
      <w:r>
        <w:t xml:space="preserve">approximately </w:t>
      </w:r>
      <w:r w:rsidRPr="003069C8">
        <w:t>25,087</w:t>
      </w:r>
      <w:r>
        <w:t xml:space="preserve"> </w:t>
      </w:r>
      <w:r w:rsidRPr="00C30B51">
        <w:t xml:space="preserve">pupils. </w:t>
      </w:r>
      <w:r>
        <w:t>As of the Second Interim Report of FY 2020–21, t</w:t>
      </w:r>
      <w:r w:rsidRPr="00C30B51">
        <w:t xml:space="preserve">here </w:t>
      </w:r>
      <w:r>
        <w:t>were</w:t>
      </w:r>
      <w:r w:rsidRPr="00C30B51">
        <w:t xml:space="preserve"> </w:t>
      </w:r>
      <w:r>
        <w:t>64</w:t>
      </w:r>
      <w:r w:rsidRPr="00C30B51">
        <w:t xml:space="preserve"> unified school districts in the state with enrollment between </w:t>
      </w:r>
      <w:r w:rsidRPr="002637A1">
        <w:t>3,000 and 4,000</w:t>
      </w:r>
      <w:r w:rsidRPr="00C30B51">
        <w:t xml:space="preserve"> pupils. These districts are able to remain fiscally solvent at these enrollment levels; therefore, we will not consider the additional administrative costs resulting from the division as a sole reason to determine that the proposal does not meet </w:t>
      </w:r>
      <w:r>
        <w:t xml:space="preserve">criterion </w:t>
      </w:r>
      <w:r w:rsidRPr="00C30B51">
        <w:t>9.</w:t>
      </w:r>
    </w:p>
    <w:p w14:paraId="0F75ADB2" w14:textId="77777777" w:rsidR="004F4871" w:rsidRPr="00C30B51" w:rsidRDefault="004F4871" w:rsidP="004F4871">
      <w:r w:rsidRPr="00717109">
        <w:t>Based on the 2020–21 Unaudited Actuals of the Mt. Diablo USD, the district ended the year with an unrestricted surplus of $36.3 million</w:t>
      </w:r>
      <w:r>
        <w:t>, which well in excess of its required reserve of $10.5 million,</w:t>
      </w:r>
      <w:r w:rsidRPr="00717109">
        <w:t xml:space="preserve"> and an unrestricted ending fund balance of $66.1 million. Based upon calculations of LCFF revenue for 2020–21</w:t>
      </w:r>
      <w:r>
        <w:t>, and</w:t>
      </w:r>
      <w:r w:rsidRPr="00717109">
        <w:t xml:space="preserve"> assuming that the two districts had been in existence in that year, we developed a hypothetical fiscal scenario for 2020–21 as if the reorganization had taken place.</w:t>
      </w:r>
      <w:r w:rsidRPr="00C30B51">
        <w:t xml:space="preserve"> </w:t>
      </w:r>
    </w:p>
    <w:p w14:paraId="33B06E70" w14:textId="77777777" w:rsidR="001C19A4" w:rsidRPr="00C30B51" w:rsidRDefault="001C19A4" w:rsidP="005F27A6">
      <w:r>
        <w:t xml:space="preserve">The hypothetical fiscal estimates contained in table 5 include </w:t>
      </w:r>
      <w:r w:rsidRPr="00C30B51">
        <w:t>the following assumptions:</w:t>
      </w:r>
    </w:p>
    <w:p w14:paraId="12899755" w14:textId="77777777" w:rsidR="001C19A4" w:rsidRPr="00C30B51" w:rsidRDefault="001C19A4" w:rsidP="000A33F9">
      <w:pPr>
        <w:pStyle w:val="ListParagraph"/>
        <w:numPr>
          <w:ilvl w:val="0"/>
          <w:numId w:val="24"/>
        </w:numPr>
        <w:spacing w:after="240" w:line="259" w:lineRule="auto"/>
        <w:ind w:left="720" w:hanging="360"/>
        <w:contextualSpacing w:val="0"/>
      </w:pPr>
      <w:r w:rsidRPr="00C30B51">
        <w:t xml:space="preserve">Enrollment/ADA </w:t>
      </w:r>
      <w:r w:rsidRPr="002637A1">
        <w:t>declines</w:t>
      </w:r>
      <w:r w:rsidRPr="00C30B51">
        <w:t xml:space="preserve"> based on district's assumptions.</w:t>
      </w:r>
    </w:p>
    <w:p w14:paraId="437F46C9" w14:textId="77777777" w:rsidR="001C19A4" w:rsidRPr="000C2876" w:rsidRDefault="001C19A4" w:rsidP="000A33F9">
      <w:pPr>
        <w:pStyle w:val="ListParagraph"/>
        <w:numPr>
          <w:ilvl w:val="0"/>
          <w:numId w:val="24"/>
        </w:numPr>
        <w:spacing w:after="240" w:line="259" w:lineRule="auto"/>
        <w:ind w:left="720" w:hanging="360"/>
        <w:contextualSpacing w:val="0"/>
      </w:pPr>
      <w:r w:rsidRPr="00C30B51">
        <w:t>Certificated/Classified staffing</w:t>
      </w:r>
      <w:r>
        <w:t xml:space="preserve"> levels</w:t>
      </w:r>
      <w:r w:rsidRPr="00C30B51">
        <w:t xml:space="preserve"> </w:t>
      </w:r>
      <w:r w:rsidRPr="000C2876">
        <w:t>remain flat</w:t>
      </w:r>
      <w:r>
        <w:t>.</w:t>
      </w:r>
      <w:r w:rsidRPr="000C2876">
        <w:t xml:space="preserve"> (1,643.7 FTE/1,201.7 FTE)</w:t>
      </w:r>
    </w:p>
    <w:p w14:paraId="04CB5BA0" w14:textId="77777777" w:rsidR="001C19A4" w:rsidRPr="00C30B51" w:rsidRDefault="001C19A4" w:rsidP="000A33F9">
      <w:pPr>
        <w:pStyle w:val="ListParagraph"/>
        <w:numPr>
          <w:ilvl w:val="0"/>
          <w:numId w:val="24"/>
        </w:numPr>
        <w:spacing w:after="240" w:line="259" w:lineRule="auto"/>
        <w:ind w:left="720" w:hanging="360"/>
        <w:contextualSpacing w:val="0"/>
      </w:pPr>
      <w:r w:rsidRPr="000C2876">
        <w:t>All Revenues/Expenditures (excluding LCFF</w:t>
      </w:r>
      <w:r>
        <w:t xml:space="preserve"> and Other Outgo Expense</w:t>
      </w:r>
      <w:r w:rsidRPr="000C2876">
        <w:t>) were pro-rated 13.5 percent to Northgate USD and 86.5 percent to the remaining portion of Mt. Diablo USD based</w:t>
      </w:r>
      <w:r w:rsidRPr="00C30B51">
        <w:t xml:space="preserve"> on </w:t>
      </w:r>
      <w:r>
        <w:t xml:space="preserve">enrollment and </w:t>
      </w:r>
      <w:r w:rsidRPr="00C30B51">
        <w:t>staffing projections by district.</w:t>
      </w:r>
    </w:p>
    <w:p w14:paraId="0886AAFF" w14:textId="77777777" w:rsidR="001C19A4" w:rsidRDefault="001C19A4" w:rsidP="000A33F9">
      <w:pPr>
        <w:pStyle w:val="ListParagraph"/>
        <w:numPr>
          <w:ilvl w:val="0"/>
          <w:numId w:val="24"/>
        </w:numPr>
        <w:spacing w:after="240" w:line="259" w:lineRule="auto"/>
        <w:ind w:left="720" w:hanging="360"/>
        <w:contextualSpacing w:val="0"/>
      </w:pPr>
      <w:r>
        <w:t>The Northgate USD territory represents 17.9 percent of the assessed valuation of the existing district based on the feasibility student conducted on behalf of the County Committee.</w:t>
      </w:r>
    </w:p>
    <w:p w14:paraId="315AB003" w14:textId="77777777" w:rsidR="001C19A4" w:rsidRDefault="001C19A4" w:rsidP="000A33F9">
      <w:pPr>
        <w:pStyle w:val="ListParagraph"/>
        <w:numPr>
          <w:ilvl w:val="0"/>
          <w:numId w:val="24"/>
        </w:numPr>
        <w:spacing w:after="240" w:line="259" w:lineRule="auto"/>
        <w:ind w:left="720" w:hanging="360"/>
        <w:contextualSpacing w:val="0"/>
      </w:pPr>
      <w:r w:rsidRPr="00C30B51">
        <w:t>LCFF Revenues for</w:t>
      </w:r>
      <w:r>
        <w:t xml:space="preserve"> FY </w:t>
      </w:r>
      <w:r w:rsidRPr="00C30B51">
        <w:t>20</w:t>
      </w:r>
      <w:r>
        <w:t>20</w:t>
      </w:r>
      <w:r w:rsidRPr="00C30B51">
        <w:t>–</w:t>
      </w:r>
      <w:r>
        <w:t>2</w:t>
      </w:r>
      <w:r w:rsidRPr="00C30B51">
        <w:t xml:space="preserve">1 and </w:t>
      </w:r>
      <w:r>
        <w:t xml:space="preserve">FY </w:t>
      </w:r>
      <w:r w:rsidRPr="00C30B51">
        <w:t>20</w:t>
      </w:r>
      <w:r>
        <w:t>21</w:t>
      </w:r>
      <w:r w:rsidRPr="00C30B51">
        <w:t>–</w:t>
      </w:r>
      <w:r>
        <w:t>22</w:t>
      </w:r>
      <w:r w:rsidRPr="00C30B51">
        <w:t xml:space="preserve"> were calculated assuming the reorganized districts were in existence in 20</w:t>
      </w:r>
      <w:r>
        <w:t>20</w:t>
      </w:r>
      <w:r w:rsidRPr="00C30B51">
        <w:t>–</w:t>
      </w:r>
      <w:r>
        <w:t>2</w:t>
      </w:r>
      <w:r w:rsidRPr="00C30B51">
        <w:t>1 and 20</w:t>
      </w:r>
      <w:r>
        <w:t>21</w:t>
      </w:r>
      <w:r w:rsidRPr="00C30B51">
        <w:t>–</w:t>
      </w:r>
      <w:r>
        <w:t>22</w:t>
      </w:r>
      <w:r w:rsidRPr="00C30B51">
        <w:t xml:space="preserve">. </w:t>
      </w:r>
    </w:p>
    <w:p w14:paraId="7F1F1F7B" w14:textId="220AAD1D" w:rsidR="001C19A4" w:rsidRDefault="001C19A4" w:rsidP="000A33F9">
      <w:pPr>
        <w:pStyle w:val="ListParagraph"/>
        <w:numPr>
          <w:ilvl w:val="0"/>
          <w:numId w:val="24"/>
        </w:numPr>
        <w:spacing w:after="240" w:line="259" w:lineRule="auto"/>
        <w:ind w:left="720" w:hanging="360"/>
        <w:contextualSpacing w:val="0"/>
      </w:pPr>
      <w:r>
        <w:lastRenderedPageBreak/>
        <w:t xml:space="preserve">The Mt. Diablo Educators Association </w:t>
      </w:r>
      <w:r w:rsidRPr="00C30B51">
        <w:t xml:space="preserve">Collective Bargaining </w:t>
      </w:r>
      <w:r>
        <w:t>A</w:t>
      </w:r>
      <w:r w:rsidRPr="00C30B51">
        <w:t>greement</w:t>
      </w:r>
      <w:r>
        <w:t xml:space="preserve"> (certificated staff) expired June 30, 2021, and is currently under negotiation.</w:t>
      </w:r>
      <w:r w:rsidR="0024655D">
        <w:t xml:space="preserve"> </w:t>
      </w:r>
    </w:p>
    <w:p w14:paraId="68079AF5" w14:textId="77777777" w:rsidR="001C19A4" w:rsidRPr="00C30B51" w:rsidRDefault="001C19A4" w:rsidP="000A33F9">
      <w:pPr>
        <w:pStyle w:val="ListParagraph"/>
        <w:numPr>
          <w:ilvl w:val="0"/>
          <w:numId w:val="24"/>
        </w:numPr>
        <w:spacing w:after="240" w:line="259" w:lineRule="auto"/>
        <w:ind w:left="720" w:hanging="360"/>
        <w:contextualSpacing w:val="0"/>
      </w:pPr>
      <w:r w:rsidRPr="008163B3">
        <w:rPr>
          <w:rFonts w:cs="Arial"/>
          <w:bCs/>
          <w:color w:val="000000"/>
        </w:rPr>
        <w:t>The ending fund balances for the multi-year projections in the Proposed Budget do not include any</w:t>
      </w:r>
      <w:r>
        <w:rPr>
          <w:rFonts w:cs="Arial"/>
          <w:bCs/>
          <w:color w:val="000000"/>
        </w:rPr>
        <w:t xml:space="preserve"> changes related to tentative or prospective agreements</w:t>
      </w:r>
      <w:r w:rsidRPr="008163B3">
        <w:rPr>
          <w:rFonts w:cs="Arial"/>
          <w:bCs/>
          <w:color w:val="000000"/>
        </w:rPr>
        <w:t xml:space="preserve"> </w:t>
      </w:r>
      <w:r>
        <w:rPr>
          <w:rFonts w:cs="Arial"/>
          <w:bCs/>
          <w:color w:val="000000"/>
        </w:rPr>
        <w:t>with</w:t>
      </w:r>
      <w:r w:rsidRPr="008163B3">
        <w:rPr>
          <w:rFonts w:cs="Arial"/>
          <w:bCs/>
          <w:color w:val="000000"/>
        </w:rPr>
        <w:t xml:space="preserve"> the District’s bargaining units.</w:t>
      </w:r>
    </w:p>
    <w:p w14:paraId="06D08ACA" w14:textId="22B947EA" w:rsidR="001C19A4" w:rsidRPr="00C30B51" w:rsidRDefault="001C19A4" w:rsidP="005F27A6">
      <w:r>
        <w:t>Based on this information,</w:t>
      </w:r>
      <w:r w:rsidRPr="00C30B51">
        <w:t xml:space="preserve"> the proposed </w:t>
      </w:r>
      <w:r>
        <w:t>Northgate</w:t>
      </w:r>
      <w:r w:rsidRPr="00C30B51">
        <w:t xml:space="preserve"> USD would have had </w:t>
      </w:r>
      <w:r>
        <w:t xml:space="preserve">a </w:t>
      </w:r>
      <w:r w:rsidRPr="00C30B51">
        <w:t>20</w:t>
      </w:r>
      <w:r>
        <w:t>20</w:t>
      </w:r>
      <w:r w:rsidRPr="00C30B51">
        <w:t>–</w:t>
      </w:r>
      <w:r>
        <w:t>2</w:t>
      </w:r>
      <w:r w:rsidRPr="00C30B51">
        <w:t xml:space="preserve">1 </w:t>
      </w:r>
      <w:r>
        <w:t xml:space="preserve">surplus of $1.1 million in unrestricted funds </w:t>
      </w:r>
      <w:r w:rsidRPr="00C30B51">
        <w:t xml:space="preserve">and the </w:t>
      </w:r>
      <w:r>
        <w:t>remaining portion of Mt. Diablo</w:t>
      </w:r>
      <w:r w:rsidRPr="00C30B51">
        <w:t xml:space="preserve"> USD would have had a </w:t>
      </w:r>
      <w:r w:rsidRPr="00A70E15">
        <w:t>surplus of $</w:t>
      </w:r>
      <w:r>
        <w:t>36.8</w:t>
      </w:r>
      <w:r w:rsidRPr="00A70E15">
        <w:t xml:space="preserve"> million</w:t>
      </w:r>
      <w:r>
        <w:t xml:space="preserve"> in unrestricted funds</w:t>
      </w:r>
      <w:r w:rsidRPr="00A70E15">
        <w:t>.</w:t>
      </w:r>
      <w:r w:rsidRPr="00C30B51">
        <w:t xml:space="preserve"> These amounts do not take into consideration the additional administrative costs that would have been incurred.</w:t>
      </w:r>
      <w:r>
        <w:t xml:space="preserve"> </w:t>
      </w:r>
    </w:p>
    <w:p w14:paraId="09691C70" w14:textId="77777777" w:rsidR="001C19A4" w:rsidRPr="00C30B51" w:rsidRDefault="001C19A4" w:rsidP="005F27A6">
      <w:r w:rsidRPr="00C30B51">
        <w:t xml:space="preserve">LCFF funding requirements for reorganizing districts provides that the 2012–13 categorical program entitlements (categorical funding) subsumed into LCFF remain with the </w:t>
      </w:r>
      <w:r>
        <w:t>Mt. Diablo</w:t>
      </w:r>
      <w:r w:rsidRPr="00C30B51">
        <w:t xml:space="preserve"> USD rather than be divided between the two districts. Pursuant to </w:t>
      </w:r>
      <w:r w:rsidRPr="007401A2">
        <w:rPr>
          <w:i/>
        </w:rPr>
        <w:t>EC</w:t>
      </w:r>
      <w:r w:rsidRPr="00C30B51">
        <w:t xml:space="preserve"> Section 35735.2, the district that </w:t>
      </w:r>
      <w:r>
        <w:t>loses</w:t>
      </w:r>
      <w:r w:rsidRPr="00C30B51">
        <w:t xml:space="preserve"> territory maintains its categorical funding. Districts involved in the reorganization may work out local arrangements related to the categorical funding, but the </w:t>
      </w:r>
      <w:r>
        <w:t>CDE</w:t>
      </w:r>
      <w:r w:rsidRPr="00C30B51">
        <w:t xml:space="preserve"> will not make any adjustments for these situations. For the purposes of this analysis, </w:t>
      </w:r>
      <w:r>
        <w:t>the CDE</w:t>
      </w:r>
      <w:r w:rsidRPr="00C30B51">
        <w:t xml:space="preserve"> assumed that no local arrangements to allocate any of the categorical funding to </w:t>
      </w:r>
      <w:r>
        <w:t>Northgate</w:t>
      </w:r>
      <w:r w:rsidRPr="00C30B51">
        <w:t xml:space="preserve"> USD will be made.</w:t>
      </w:r>
      <w:r>
        <w:t xml:space="preserve"> </w:t>
      </w:r>
    </w:p>
    <w:p w14:paraId="207498E1" w14:textId="77777777" w:rsidR="001C19A4" w:rsidRPr="00C30B51" w:rsidRDefault="001C19A4" w:rsidP="005F27A6">
      <w:r w:rsidRPr="00E9151D">
        <w:t>The LCFF revenue</w:t>
      </w:r>
      <w:r>
        <w:t xml:space="preserve"> (state aid and local revenue)</w:t>
      </w:r>
      <w:r w:rsidRPr="00E9151D">
        <w:t xml:space="preserve"> split resulted in 12 percent of the combined LCFF revenue going to Northgate USD, while we assumed 13.5 percent of expenditures for Northgate USD based on expenditures following the pupils. </w:t>
      </w:r>
    </w:p>
    <w:p w14:paraId="13980AFC" w14:textId="31E8DCA9" w:rsidR="004F4871" w:rsidRDefault="004F4871" w:rsidP="004F4871">
      <w:r w:rsidRPr="00C30B51">
        <w:t>The 20</w:t>
      </w:r>
      <w:r>
        <w:t>2</w:t>
      </w:r>
      <w:r w:rsidRPr="00C30B51">
        <w:t>1–</w:t>
      </w:r>
      <w:r>
        <w:t>22</w:t>
      </w:r>
      <w:r w:rsidRPr="00C30B51">
        <w:t xml:space="preserve"> </w:t>
      </w:r>
      <w:r>
        <w:t>First</w:t>
      </w:r>
      <w:r w:rsidRPr="00C30B51">
        <w:t xml:space="preserve"> Interim </w:t>
      </w:r>
      <w:r>
        <w:t>f</w:t>
      </w:r>
      <w:r w:rsidRPr="00C30B51">
        <w:t xml:space="preserve">inancial </w:t>
      </w:r>
      <w:r>
        <w:t>r</w:t>
      </w:r>
      <w:r w:rsidRPr="00C30B51">
        <w:t xml:space="preserve">eport for </w:t>
      </w:r>
      <w:r>
        <w:t>Mt. Diablo USD</w:t>
      </w:r>
      <w:r w:rsidRPr="00C30B51">
        <w:t xml:space="preserve"> projects </w:t>
      </w:r>
      <w:r>
        <w:t xml:space="preserve">an </w:t>
      </w:r>
      <w:r w:rsidRPr="00C30B51">
        <w:t xml:space="preserve">unrestricted </w:t>
      </w:r>
      <w:r>
        <w:t>surplus</w:t>
      </w:r>
      <w:r w:rsidRPr="00C30B51">
        <w:t xml:space="preserve"> of $</w:t>
      </w:r>
      <w:r>
        <w:t xml:space="preserve">8.3 </w:t>
      </w:r>
      <w:r w:rsidRPr="00C30B51">
        <w:t>million</w:t>
      </w:r>
      <w:r w:rsidR="004E6CA5">
        <w:t>; the district would have sufficient resources to fund its recommended reserve for economic uncertainties</w:t>
      </w:r>
      <w:r w:rsidRPr="00C30B51">
        <w:t>. Based on distributing the average daily attendance for 20</w:t>
      </w:r>
      <w:r>
        <w:t>21</w:t>
      </w:r>
      <w:r w:rsidRPr="00C30B51">
        <w:t>–</w:t>
      </w:r>
      <w:r>
        <w:t>22</w:t>
      </w:r>
      <w:r w:rsidRPr="00C30B51">
        <w:t xml:space="preserve"> in the same proportion that was used in the hypothetical scenario for </w:t>
      </w:r>
      <w:r>
        <w:t xml:space="preserve">FY </w:t>
      </w:r>
      <w:r w:rsidRPr="00C30B51">
        <w:t>20</w:t>
      </w:r>
      <w:r>
        <w:t>20</w:t>
      </w:r>
      <w:r w:rsidRPr="00C30B51">
        <w:t>–</w:t>
      </w:r>
      <w:r>
        <w:t>21</w:t>
      </w:r>
      <w:r w:rsidRPr="00C30B51">
        <w:t xml:space="preserve"> (see </w:t>
      </w:r>
      <w:r>
        <w:t>t</w:t>
      </w:r>
      <w:r w:rsidRPr="00C30B51">
        <w:t>able</w:t>
      </w:r>
      <w:r>
        <w:t>s</w:t>
      </w:r>
      <w:r w:rsidRPr="00C30B51">
        <w:t xml:space="preserve"> </w:t>
      </w:r>
      <w:r>
        <w:t>1 through 3</w:t>
      </w:r>
      <w:r w:rsidRPr="00C30B51">
        <w:t xml:space="preserve">), </w:t>
      </w:r>
      <w:r>
        <w:t>Northgate</w:t>
      </w:r>
      <w:r w:rsidRPr="00C30B51">
        <w:t xml:space="preserve"> USD would have unrestricted </w:t>
      </w:r>
      <w:r>
        <w:t>deficit</w:t>
      </w:r>
      <w:r w:rsidRPr="00C30B51">
        <w:t xml:space="preserve"> of $</w:t>
      </w:r>
      <w:r>
        <w:t>3.5</w:t>
      </w:r>
      <w:r w:rsidRPr="00C30B51">
        <w:t xml:space="preserve"> million (</w:t>
      </w:r>
      <w:r>
        <w:t>8.8</w:t>
      </w:r>
      <w:r w:rsidRPr="00C30B51">
        <w:t xml:space="preserve"> percent of expenditures) and </w:t>
      </w:r>
      <w:r>
        <w:t>the remaining portion of Mt. Diablo</w:t>
      </w:r>
      <w:r w:rsidRPr="00C30B51">
        <w:t xml:space="preserve"> USD would have unrestricted </w:t>
      </w:r>
      <w:r>
        <w:t>surplus</w:t>
      </w:r>
      <w:r w:rsidRPr="00C30B51">
        <w:t xml:space="preserve"> of $</w:t>
      </w:r>
      <w:r>
        <w:t>10.4</w:t>
      </w:r>
      <w:r w:rsidRPr="00C30B51">
        <w:t xml:space="preserve"> million (</w:t>
      </w:r>
      <w:r>
        <w:t>4.1</w:t>
      </w:r>
      <w:r w:rsidRPr="00C30B51">
        <w:t xml:space="preserve"> percent of expenditures) for </w:t>
      </w:r>
      <w:r>
        <w:t xml:space="preserve">FY </w:t>
      </w:r>
      <w:r w:rsidRPr="00C30B51">
        <w:t>20</w:t>
      </w:r>
      <w:r>
        <w:t>21</w:t>
      </w:r>
      <w:r w:rsidRPr="00C30B51">
        <w:t>–</w:t>
      </w:r>
      <w:r>
        <w:t>22</w:t>
      </w:r>
      <w:r w:rsidRPr="00A0017C">
        <w:t xml:space="preserve"> </w:t>
      </w:r>
      <w:r w:rsidRPr="00717109">
        <w:t xml:space="preserve">(see table </w:t>
      </w:r>
      <w:r>
        <w:t>5</w:t>
      </w:r>
      <w:r w:rsidRPr="00717109">
        <w:t>).</w:t>
      </w:r>
      <w:r w:rsidRPr="00C30B51">
        <w:t xml:space="preserve"> </w:t>
      </w:r>
    </w:p>
    <w:p w14:paraId="5ACD3627" w14:textId="77777777" w:rsidR="001C19A4" w:rsidRDefault="001C19A4" w:rsidP="005F27A6">
      <w:r w:rsidRPr="00C30B51">
        <w:t xml:space="preserve">We note that the </w:t>
      </w:r>
      <w:r>
        <w:t xml:space="preserve">remaining portion of Mt. Diablo </w:t>
      </w:r>
      <w:r w:rsidRPr="00C30B51">
        <w:t>USD would receive a larger share of the pupils who are English learners, youth in foster care, or students from low income families, with the 20</w:t>
      </w:r>
      <w:r>
        <w:t xml:space="preserve">20–21 </w:t>
      </w:r>
      <w:r w:rsidRPr="00C30B51">
        <w:t xml:space="preserve">unduplicated pupil percentage of </w:t>
      </w:r>
      <w:r>
        <w:t>52</w:t>
      </w:r>
      <w:r w:rsidRPr="00C30B51">
        <w:t xml:space="preserve"> percent compared to the </w:t>
      </w:r>
      <w:r>
        <w:t>proposed Northgate</w:t>
      </w:r>
      <w:r w:rsidRPr="00C30B51">
        <w:t xml:space="preserve"> USD unduplicated pupil percentage of </w:t>
      </w:r>
      <w:r>
        <w:t>10.8</w:t>
      </w:r>
      <w:r w:rsidRPr="00C30B51">
        <w:t xml:space="preserve"> percent</w:t>
      </w:r>
      <w:r>
        <w:t>.</w:t>
      </w:r>
    </w:p>
    <w:p w14:paraId="0DA36B0F" w14:textId="77777777" w:rsidR="001C19A4" w:rsidRDefault="001C19A4" w:rsidP="005F27A6">
      <w:r>
        <w:t xml:space="preserve">We also note that LCFF funding for fiscal years </w:t>
      </w:r>
      <w:r w:rsidRPr="00C30B51">
        <w:t>20</w:t>
      </w:r>
      <w:r>
        <w:t>20</w:t>
      </w:r>
      <w:r w:rsidRPr="00C30B51">
        <w:t>–</w:t>
      </w:r>
      <w:r>
        <w:t xml:space="preserve">21 and </w:t>
      </w:r>
      <w:r w:rsidRPr="00C30B51">
        <w:t>20</w:t>
      </w:r>
      <w:r>
        <w:t>21</w:t>
      </w:r>
      <w:r w:rsidRPr="00C30B51">
        <w:t>–</w:t>
      </w:r>
      <w:r>
        <w:t xml:space="preserve">22 is based on the </w:t>
      </w:r>
      <w:r w:rsidRPr="00C30B51">
        <w:t>20</w:t>
      </w:r>
      <w:r>
        <w:t>19</w:t>
      </w:r>
      <w:r w:rsidRPr="00C30B51">
        <w:t>–</w:t>
      </w:r>
      <w:r>
        <w:t xml:space="preserve">20 reported ADA, as a result of the declining enrollment projection provided to school districts pursuant to </w:t>
      </w:r>
      <w:r w:rsidRPr="00D81618">
        <w:rPr>
          <w:i/>
        </w:rPr>
        <w:t>EC</w:t>
      </w:r>
      <w:r>
        <w:t xml:space="preserve"> sections 42238.05(a)(1) and 43502. In </w:t>
      </w:r>
      <w:r w:rsidRPr="00C30B51">
        <w:t>20</w:t>
      </w:r>
      <w:r>
        <w:t>22</w:t>
      </w:r>
      <w:r w:rsidRPr="00C30B51">
        <w:t>–</w:t>
      </w:r>
      <w:r>
        <w:t xml:space="preserve">23, LCFF </w:t>
      </w:r>
      <w:r>
        <w:lastRenderedPageBreak/>
        <w:t>funding for school districts will be based on the greater of either the current year (</w:t>
      </w:r>
      <w:r w:rsidRPr="00C30B51">
        <w:t>20</w:t>
      </w:r>
      <w:r>
        <w:t>22</w:t>
      </w:r>
      <w:r w:rsidRPr="00C30B51">
        <w:t>–</w:t>
      </w:r>
      <w:r>
        <w:t>23) or prior year (</w:t>
      </w:r>
      <w:r w:rsidRPr="00C30B51">
        <w:t>20</w:t>
      </w:r>
      <w:r>
        <w:t>21</w:t>
      </w:r>
      <w:r w:rsidRPr="00C30B51">
        <w:t>–</w:t>
      </w:r>
      <w:r>
        <w:t xml:space="preserve">22) ADA. The Mt. Diablo USD ADA for FY </w:t>
      </w:r>
      <w:r w:rsidRPr="00C30B51">
        <w:t>20</w:t>
      </w:r>
      <w:r>
        <w:t>21</w:t>
      </w:r>
      <w:r w:rsidRPr="00C30B51">
        <w:t>–</w:t>
      </w:r>
      <w:r>
        <w:t xml:space="preserve">22 is estimated to be 26,157, which is a 10 percent decrease from the ADA used for the estimates in this report. As a result of the projected declining LCFF funding and other factors, the Mt. Diablo USD anticipates it will be deficit spending in </w:t>
      </w:r>
      <w:r w:rsidRPr="00C30B51">
        <w:t>20</w:t>
      </w:r>
      <w:r>
        <w:t>22</w:t>
      </w:r>
      <w:r w:rsidRPr="00C30B51">
        <w:t>–</w:t>
      </w:r>
      <w:r>
        <w:t xml:space="preserve">23. </w:t>
      </w:r>
      <w:r w:rsidRPr="00C30B51">
        <w:t>The</w:t>
      </w:r>
      <w:r>
        <w:t xml:space="preserve"> reductions needed to address the deficit spending that would be absorbed by the proposed Northgate district w</w:t>
      </w:r>
      <w:r w:rsidRPr="00C30B51">
        <w:t>ould be exacerbated by the need to incur additional expenses for the creation of the new administrative structure of the district.</w:t>
      </w:r>
    </w:p>
    <w:p w14:paraId="514EDFB6" w14:textId="77777777" w:rsidR="001C19A4" w:rsidRPr="00C30B51" w:rsidRDefault="001C19A4" w:rsidP="005F27A6">
      <w:r w:rsidRPr="00C30B51">
        <w:t xml:space="preserve">It is not certain to what extent the needed reductions would impact the instructional program. </w:t>
      </w:r>
      <w:r w:rsidRPr="00DD047C">
        <w:t xml:space="preserve">If the Mt. Diablo USD is unable to achieve the spending reductions, the district could become qualified or negative in certification. A share of </w:t>
      </w:r>
      <w:r>
        <w:t xml:space="preserve">any deficit </w:t>
      </w:r>
      <w:r w:rsidRPr="00DD047C">
        <w:t>would be incurred by the new Northgate USD</w:t>
      </w:r>
      <w:r>
        <w:t>,</w:t>
      </w:r>
      <w:r w:rsidRPr="00DD047C">
        <w:t xml:space="preserve"> resulting in deficit spending before </w:t>
      </w:r>
      <w:r>
        <w:t xml:space="preserve">even considering </w:t>
      </w:r>
      <w:r w:rsidRPr="00DD047C">
        <w:t xml:space="preserve">administrative cost increases resulting from the reorganization. </w:t>
      </w:r>
    </w:p>
    <w:p w14:paraId="59E92AF9" w14:textId="28D58284" w:rsidR="001C19A4" w:rsidRDefault="004F4871" w:rsidP="005F27A6">
      <w:r w:rsidRPr="004F4871">
        <w:t>Based on the information shown in table 5 and this analysis, CDE finds that the changes that would result from the proposed reorganization itself would not have a substantial negative effect on the fiscal management or fiscal status of the proposed Northgate USD or the existing Mt. Diablo USD if prudent measures are employed by both school district governing boards</w:t>
      </w:r>
      <w:r w:rsidR="001C19A4">
        <w:t xml:space="preserve">. </w:t>
      </w:r>
    </w:p>
    <w:p w14:paraId="612274D6" w14:textId="77777777" w:rsidR="001C19A4" w:rsidRPr="00BE6C4F" w:rsidRDefault="001C19A4" w:rsidP="007F1E2D">
      <w:pPr>
        <w:pStyle w:val="Heading2"/>
        <w:rPr>
          <w:rStyle w:val="Strong"/>
          <w:b/>
          <w:bCs w:val="0"/>
          <w:sz w:val="32"/>
        </w:rPr>
      </w:pPr>
      <w:r w:rsidRPr="00BE6C4F">
        <w:rPr>
          <w:rStyle w:val="Strong"/>
          <w:b/>
          <w:sz w:val="32"/>
        </w:rPr>
        <w:t>Conclusion</w:t>
      </w:r>
    </w:p>
    <w:p w14:paraId="01E9228B" w14:textId="77777777" w:rsidR="001C19A4" w:rsidRDefault="001C19A4" w:rsidP="005F27A6">
      <w:r>
        <w:t>The CDE finds that:</w:t>
      </w:r>
    </w:p>
    <w:p w14:paraId="67DED814" w14:textId="77777777" w:rsidR="001C19A4" w:rsidRDefault="001C19A4" w:rsidP="000A33F9">
      <w:pPr>
        <w:pStyle w:val="ListParagraph"/>
        <w:numPr>
          <w:ilvl w:val="0"/>
          <w:numId w:val="25"/>
        </w:numPr>
        <w:spacing w:after="240" w:line="259" w:lineRule="auto"/>
        <w:contextualSpacing w:val="0"/>
      </w:pPr>
      <w:r w:rsidRPr="006637BA">
        <w:t xml:space="preserve">The proposed reorganization </w:t>
      </w:r>
      <w:r>
        <w:t xml:space="preserve">does </w:t>
      </w:r>
      <w:r w:rsidRPr="006637BA">
        <w:t xml:space="preserve">not result in </w:t>
      </w:r>
      <w:r>
        <w:t>a</w:t>
      </w:r>
      <w:r w:rsidRPr="006637BA">
        <w:t xml:space="preserve"> significant increase in costs to the State.</w:t>
      </w:r>
    </w:p>
    <w:p w14:paraId="6B147033" w14:textId="77777777" w:rsidR="001C19A4" w:rsidRDefault="001C19A4" w:rsidP="000A33F9">
      <w:pPr>
        <w:pStyle w:val="ListParagraph"/>
        <w:numPr>
          <w:ilvl w:val="0"/>
          <w:numId w:val="25"/>
        </w:numPr>
        <w:spacing w:after="240" w:line="259" w:lineRule="auto"/>
        <w:contextualSpacing w:val="0"/>
      </w:pPr>
      <w:r w:rsidRPr="006637BA">
        <w:t xml:space="preserve">The proposed reorganization </w:t>
      </w:r>
      <w:r>
        <w:t xml:space="preserve">would </w:t>
      </w:r>
      <w:r w:rsidRPr="006637BA">
        <w:t>not cause a substantial negative effect on the fiscal management or fiscal status of the proposed district or any existing district affected by the proposed reorganization.</w:t>
      </w:r>
    </w:p>
    <w:p w14:paraId="0A214BD1" w14:textId="653C0D93" w:rsidR="001C19A4" w:rsidRDefault="001C19A4" w:rsidP="005F27A6">
      <w:pPr>
        <w:rPr>
          <w:rStyle w:val="Strong"/>
          <w:b w:val="0"/>
        </w:rPr>
      </w:pPr>
      <w:r>
        <w:t xml:space="preserve">Therefore, </w:t>
      </w:r>
      <w:r w:rsidR="00E257FD">
        <w:t xml:space="preserve">the </w:t>
      </w:r>
      <w:r>
        <w:t xml:space="preserve">CDE recommends that the proposal to form a new Northgate USD from a portion of the Mt. Diablo USD </w:t>
      </w:r>
      <w:r w:rsidRPr="002B2D6F">
        <w:t>substantially complies</w:t>
      </w:r>
      <w:r>
        <w:t xml:space="preserve"> with conditions set forth in paragraphs (5) and (9) of subdivision (a) of </w:t>
      </w:r>
      <w:r w:rsidRPr="00CD6BCC">
        <w:rPr>
          <w:i/>
        </w:rPr>
        <w:t>EC</w:t>
      </w:r>
      <w:r>
        <w:t xml:space="preserve"> Section 35753</w:t>
      </w:r>
      <w:r w:rsidRPr="001C4584">
        <w:t>.</w:t>
      </w:r>
      <w:r>
        <w:t xml:space="preserve"> </w:t>
      </w:r>
    </w:p>
    <w:p w14:paraId="3A664AFF" w14:textId="77777777" w:rsidR="001C19A4" w:rsidRPr="0059652C" w:rsidRDefault="001C19A4" w:rsidP="005F27A6">
      <w:pPr>
        <w:rPr>
          <w:rFonts w:cs="Arial"/>
          <w:bCs/>
          <w:color w:val="000000"/>
        </w:rPr>
        <w:sectPr w:rsidR="001C19A4" w:rsidRPr="0059652C" w:rsidSect="00AB6213">
          <w:headerReference w:type="default" r:id="rId19"/>
          <w:footnotePr>
            <w:numRestart w:val="eachSect"/>
          </w:footnotePr>
          <w:pgSz w:w="12240" w:h="15840"/>
          <w:pgMar w:top="1440" w:right="1440" w:bottom="1440" w:left="1440" w:header="720" w:footer="720" w:gutter="0"/>
          <w:pgNumType w:start="1"/>
          <w:cols w:space="720"/>
          <w:docGrid w:linePitch="360"/>
        </w:sectPr>
      </w:pPr>
    </w:p>
    <w:p w14:paraId="0157E9B7" w14:textId="77777777" w:rsidR="001C19A4" w:rsidRPr="00C71B6D" w:rsidRDefault="001C19A4" w:rsidP="00C71B6D">
      <w:pPr>
        <w:pStyle w:val="Heading3"/>
        <w:numPr>
          <w:ilvl w:val="0"/>
          <w:numId w:val="0"/>
        </w:numPr>
        <w:rPr>
          <w:i/>
        </w:rPr>
      </w:pPr>
      <w:r w:rsidRPr="00C71B6D">
        <w:rPr>
          <w:i/>
        </w:rPr>
        <w:lastRenderedPageBreak/>
        <w:t>Table 5. Unrestricted General Fund Funding Estimate for Fiscal Years 2020–21 and 2021–22</w:t>
      </w:r>
    </w:p>
    <w:tbl>
      <w:tblPr>
        <w:tblStyle w:val="TableGrid"/>
        <w:tblW w:w="0" w:type="auto"/>
        <w:tblCellMar>
          <w:top w:w="115" w:type="dxa"/>
          <w:left w:w="115" w:type="dxa"/>
          <w:bottom w:w="115" w:type="dxa"/>
          <w:right w:w="115" w:type="dxa"/>
        </w:tblCellMar>
        <w:tblLook w:val="04A0" w:firstRow="1" w:lastRow="0" w:firstColumn="1" w:lastColumn="0" w:noHBand="0" w:noVBand="1"/>
        <w:tblDescription w:val="Table 5. Unrestricted General Fund Funding Estimate for Fiscal Years 2020–21 and 2021–22 for the existing Mt. Diablo USD, the proposed Northgate USD, and the remaining portion of the Mt. Diablo USD."/>
      </w:tblPr>
      <w:tblGrid>
        <w:gridCol w:w="2008"/>
        <w:gridCol w:w="1894"/>
        <w:gridCol w:w="1746"/>
        <w:gridCol w:w="1829"/>
        <w:gridCol w:w="1920"/>
        <w:gridCol w:w="1724"/>
        <w:gridCol w:w="1829"/>
      </w:tblGrid>
      <w:tr w:rsidR="001C19A4" w14:paraId="5787CDA1" w14:textId="77777777" w:rsidTr="00801F62">
        <w:trPr>
          <w:trHeight w:val="901"/>
          <w:tblHeader/>
        </w:trPr>
        <w:tc>
          <w:tcPr>
            <w:tcW w:w="1850" w:type="dxa"/>
            <w:shd w:val="clear" w:color="auto" w:fill="E7E6E6" w:themeFill="background2"/>
            <w:vAlign w:val="center"/>
          </w:tcPr>
          <w:p w14:paraId="24ADB320" w14:textId="77777777" w:rsidR="001C19A4" w:rsidRPr="005E26E5" w:rsidRDefault="001C19A4" w:rsidP="005F27A6">
            <w:pPr>
              <w:spacing w:after="0"/>
              <w:jc w:val="center"/>
              <w:rPr>
                <w:rFonts w:eastAsiaTheme="minorHAnsi"/>
                <w:b/>
              </w:rPr>
            </w:pPr>
            <w:r w:rsidRPr="005E26E5">
              <w:rPr>
                <w:b/>
              </w:rPr>
              <w:t>Description</w:t>
            </w:r>
          </w:p>
        </w:tc>
        <w:tc>
          <w:tcPr>
            <w:tcW w:w="1925" w:type="dxa"/>
            <w:shd w:val="clear" w:color="auto" w:fill="E7E6E6" w:themeFill="background2"/>
            <w:vAlign w:val="center"/>
          </w:tcPr>
          <w:p w14:paraId="36BD9B75" w14:textId="77777777" w:rsidR="001C19A4" w:rsidRPr="005E26E5" w:rsidRDefault="001C19A4" w:rsidP="005F27A6">
            <w:pPr>
              <w:spacing w:after="0"/>
              <w:jc w:val="center"/>
              <w:rPr>
                <w:rFonts w:eastAsiaTheme="minorHAnsi"/>
                <w:b/>
              </w:rPr>
            </w:pPr>
            <w:r w:rsidRPr="005E26E5">
              <w:rPr>
                <w:b/>
              </w:rPr>
              <w:t xml:space="preserve">FY 2020–21 Mt. Diablo USD </w:t>
            </w:r>
            <w:r w:rsidRPr="005E26E5">
              <w:rPr>
                <w:b/>
              </w:rPr>
              <w:br/>
              <w:t>(Before Reorg)</w:t>
            </w:r>
          </w:p>
        </w:tc>
        <w:tc>
          <w:tcPr>
            <w:tcW w:w="1775" w:type="dxa"/>
            <w:shd w:val="clear" w:color="auto" w:fill="E7E6E6" w:themeFill="background2"/>
            <w:vAlign w:val="center"/>
          </w:tcPr>
          <w:p w14:paraId="2301ABC3" w14:textId="77777777" w:rsidR="001C19A4" w:rsidRPr="005E26E5" w:rsidRDefault="001C19A4" w:rsidP="005F27A6">
            <w:pPr>
              <w:spacing w:after="0"/>
              <w:jc w:val="center"/>
              <w:rPr>
                <w:rFonts w:eastAsiaTheme="minorHAnsi"/>
                <w:b/>
              </w:rPr>
            </w:pPr>
            <w:r w:rsidRPr="005E26E5">
              <w:rPr>
                <w:b/>
              </w:rPr>
              <w:t>FY 2020–21 Proposed Northgate USD</w:t>
            </w:r>
          </w:p>
        </w:tc>
        <w:tc>
          <w:tcPr>
            <w:tcW w:w="1850" w:type="dxa"/>
            <w:shd w:val="clear" w:color="auto" w:fill="E7E6E6" w:themeFill="background2"/>
            <w:vAlign w:val="center"/>
          </w:tcPr>
          <w:p w14:paraId="12272851" w14:textId="77777777" w:rsidR="001C19A4" w:rsidRPr="005E26E5" w:rsidRDefault="001C19A4" w:rsidP="005F27A6">
            <w:pPr>
              <w:spacing w:after="0"/>
              <w:jc w:val="center"/>
              <w:rPr>
                <w:rFonts w:eastAsiaTheme="minorHAnsi"/>
                <w:b/>
              </w:rPr>
            </w:pPr>
            <w:r w:rsidRPr="005E26E5">
              <w:rPr>
                <w:b/>
              </w:rPr>
              <w:t>FY 2020–21 Remaining Portion of Mt. Diablo USD</w:t>
            </w:r>
          </w:p>
        </w:tc>
        <w:tc>
          <w:tcPr>
            <w:tcW w:w="1955" w:type="dxa"/>
            <w:shd w:val="clear" w:color="auto" w:fill="E7E6E6" w:themeFill="background2"/>
            <w:vAlign w:val="center"/>
          </w:tcPr>
          <w:p w14:paraId="0342620D" w14:textId="77777777" w:rsidR="001C19A4" w:rsidRPr="005E26E5" w:rsidRDefault="001C19A4" w:rsidP="005F27A6">
            <w:pPr>
              <w:spacing w:after="0"/>
              <w:jc w:val="center"/>
              <w:rPr>
                <w:rFonts w:eastAsiaTheme="minorHAnsi"/>
                <w:b/>
              </w:rPr>
            </w:pPr>
            <w:r w:rsidRPr="005E26E5">
              <w:rPr>
                <w:b/>
              </w:rPr>
              <w:t xml:space="preserve">FY 2021–22 </w:t>
            </w:r>
            <w:r>
              <w:rPr>
                <w:b/>
              </w:rPr>
              <w:br/>
            </w:r>
            <w:r w:rsidRPr="005E26E5">
              <w:rPr>
                <w:b/>
              </w:rPr>
              <w:t xml:space="preserve">Mt. Diablo USD </w:t>
            </w:r>
            <w:r w:rsidRPr="005E26E5">
              <w:rPr>
                <w:b/>
              </w:rPr>
              <w:br/>
              <w:t>(Before Reorg)</w:t>
            </w:r>
          </w:p>
        </w:tc>
        <w:tc>
          <w:tcPr>
            <w:tcW w:w="1745" w:type="dxa"/>
            <w:shd w:val="clear" w:color="auto" w:fill="E7E6E6" w:themeFill="background2"/>
            <w:vAlign w:val="center"/>
          </w:tcPr>
          <w:p w14:paraId="24B85029" w14:textId="77777777" w:rsidR="001C19A4" w:rsidRPr="005E26E5" w:rsidRDefault="001C19A4" w:rsidP="005F27A6">
            <w:pPr>
              <w:spacing w:after="0"/>
              <w:jc w:val="center"/>
              <w:rPr>
                <w:rFonts w:eastAsiaTheme="minorHAnsi"/>
                <w:b/>
              </w:rPr>
            </w:pPr>
            <w:r w:rsidRPr="005E26E5">
              <w:rPr>
                <w:b/>
              </w:rPr>
              <w:t>FY 2021–22 Proposed Northgate USD</w:t>
            </w:r>
          </w:p>
        </w:tc>
        <w:tc>
          <w:tcPr>
            <w:tcW w:w="1850" w:type="dxa"/>
            <w:shd w:val="clear" w:color="auto" w:fill="E7E6E6" w:themeFill="background2"/>
            <w:vAlign w:val="center"/>
          </w:tcPr>
          <w:p w14:paraId="4DE7FAA8" w14:textId="77777777" w:rsidR="001C19A4" w:rsidRPr="005E26E5" w:rsidRDefault="001C19A4" w:rsidP="005F27A6">
            <w:pPr>
              <w:spacing w:after="0"/>
              <w:jc w:val="center"/>
              <w:rPr>
                <w:rFonts w:eastAsiaTheme="minorHAnsi"/>
                <w:b/>
              </w:rPr>
            </w:pPr>
            <w:r w:rsidRPr="005E26E5">
              <w:rPr>
                <w:b/>
              </w:rPr>
              <w:t>FY 2021–22 Remaining Portion of Mt. Diablo USD</w:t>
            </w:r>
          </w:p>
        </w:tc>
      </w:tr>
      <w:tr w:rsidR="001C19A4" w14:paraId="3CDAFB33" w14:textId="77777777" w:rsidTr="00DC1F4C">
        <w:trPr>
          <w:trHeight w:val="424"/>
        </w:trPr>
        <w:tc>
          <w:tcPr>
            <w:tcW w:w="1850" w:type="dxa"/>
            <w:vAlign w:val="center"/>
          </w:tcPr>
          <w:p w14:paraId="0FE88816" w14:textId="77777777" w:rsidR="001C19A4" w:rsidRDefault="001C19A4" w:rsidP="005F27A6">
            <w:pPr>
              <w:spacing w:after="0"/>
              <w:rPr>
                <w:rFonts w:eastAsiaTheme="minorHAnsi"/>
                <w:b/>
              </w:rPr>
            </w:pPr>
            <w:r w:rsidRPr="00E608AD">
              <w:t>LCFF Revenue</w:t>
            </w:r>
          </w:p>
        </w:tc>
        <w:tc>
          <w:tcPr>
            <w:tcW w:w="1925" w:type="dxa"/>
            <w:vAlign w:val="center"/>
          </w:tcPr>
          <w:p w14:paraId="66B96B5D" w14:textId="264CF2F7" w:rsidR="001C19A4" w:rsidRDefault="001C19A4" w:rsidP="005F27A6">
            <w:pPr>
              <w:spacing w:after="0"/>
              <w:jc w:val="right"/>
              <w:rPr>
                <w:rFonts w:eastAsiaTheme="minorHAnsi"/>
                <w:b/>
              </w:rPr>
            </w:pPr>
            <w:r w:rsidRPr="00E608AD">
              <w:t xml:space="preserve"> $273,739,161 </w:t>
            </w:r>
          </w:p>
        </w:tc>
        <w:tc>
          <w:tcPr>
            <w:tcW w:w="1775" w:type="dxa"/>
            <w:vAlign w:val="center"/>
          </w:tcPr>
          <w:p w14:paraId="7258B18A" w14:textId="6E05EDB7" w:rsidR="001C19A4" w:rsidRDefault="001C19A4" w:rsidP="005F27A6">
            <w:pPr>
              <w:spacing w:after="0"/>
              <w:jc w:val="right"/>
              <w:rPr>
                <w:rFonts w:eastAsiaTheme="minorHAnsi"/>
                <w:b/>
              </w:rPr>
            </w:pPr>
            <w:r w:rsidRPr="00E608AD">
              <w:t xml:space="preserve"> $33,310,422 </w:t>
            </w:r>
          </w:p>
        </w:tc>
        <w:tc>
          <w:tcPr>
            <w:tcW w:w="1850" w:type="dxa"/>
            <w:vAlign w:val="center"/>
          </w:tcPr>
          <w:p w14:paraId="4F9FE468" w14:textId="61BCD18D" w:rsidR="001C19A4" w:rsidRDefault="001C19A4" w:rsidP="005F27A6">
            <w:pPr>
              <w:spacing w:after="0"/>
              <w:jc w:val="right"/>
              <w:rPr>
                <w:rFonts w:eastAsiaTheme="minorHAnsi"/>
                <w:b/>
              </w:rPr>
            </w:pPr>
            <w:r w:rsidRPr="00E608AD">
              <w:t xml:space="preserve"> $242,062,701 </w:t>
            </w:r>
          </w:p>
        </w:tc>
        <w:tc>
          <w:tcPr>
            <w:tcW w:w="1955" w:type="dxa"/>
            <w:vAlign w:val="center"/>
          </w:tcPr>
          <w:p w14:paraId="440A4B90" w14:textId="6A045098" w:rsidR="001C19A4" w:rsidRDefault="001C19A4" w:rsidP="005F27A6">
            <w:pPr>
              <w:spacing w:after="0"/>
              <w:jc w:val="right"/>
              <w:rPr>
                <w:rFonts w:eastAsiaTheme="minorHAnsi"/>
                <w:b/>
              </w:rPr>
            </w:pPr>
            <w:r w:rsidRPr="00E608AD">
              <w:t xml:space="preserve"> $291,875,979 </w:t>
            </w:r>
          </w:p>
        </w:tc>
        <w:tc>
          <w:tcPr>
            <w:tcW w:w="1745" w:type="dxa"/>
            <w:vAlign w:val="center"/>
          </w:tcPr>
          <w:p w14:paraId="5A01AEB9" w14:textId="057E77A3" w:rsidR="001C19A4" w:rsidRDefault="001C19A4" w:rsidP="005F27A6">
            <w:pPr>
              <w:spacing w:after="0"/>
              <w:jc w:val="right"/>
              <w:rPr>
                <w:rFonts w:eastAsiaTheme="minorHAnsi"/>
                <w:b/>
              </w:rPr>
            </w:pPr>
            <w:r w:rsidRPr="00E608AD">
              <w:t xml:space="preserve"> $35,000,460 </w:t>
            </w:r>
          </w:p>
        </w:tc>
        <w:tc>
          <w:tcPr>
            <w:tcW w:w="1850" w:type="dxa"/>
            <w:vAlign w:val="center"/>
          </w:tcPr>
          <w:p w14:paraId="0D98E021" w14:textId="2B2297F8" w:rsidR="001C19A4" w:rsidRDefault="001C19A4" w:rsidP="005F27A6">
            <w:pPr>
              <w:spacing w:after="0"/>
              <w:jc w:val="right"/>
              <w:rPr>
                <w:rFonts w:eastAsiaTheme="minorHAnsi"/>
                <w:b/>
              </w:rPr>
            </w:pPr>
            <w:r w:rsidRPr="00E608AD">
              <w:t xml:space="preserve"> $</w:t>
            </w:r>
            <w:r>
              <w:t>255,486,648</w:t>
            </w:r>
            <w:r w:rsidRPr="00E608AD">
              <w:t xml:space="preserve"> </w:t>
            </w:r>
          </w:p>
        </w:tc>
      </w:tr>
      <w:tr w:rsidR="001C19A4" w14:paraId="3AECAC42" w14:textId="77777777" w:rsidTr="00DC1F4C">
        <w:trPr>
          <w:trHeight w:val="325"/>
        </w:trPr>
        <w:tc>
          <w:tcPr>
            <w:tcW w:w="1850" w:type="dxa"/>
            <w:vAlign w:val="center"/>
          </w:tcPr>
          <w:p w14:paraId="37E3A99F" w14:textId="77777777" w:rsidR="001C19A4" w:rsidRDefault="001C19A4" w:rsidP="005F27A6">
            <w:pPr>
              <w:spacing w:after="0"/>
              <w:rPr>
                <w:rFonts w:eastAsiaTheme="minorHAnsi"/>
                <w:b/>
              </w:rPr>
            </w:pPr>
            <w:r w:rsidRPr="00E608AD">
              <w:t>Federal Revenue</w:t>
            </w:r>
          </w:p>
        </w:tc>
        <w:tc>
          <w:tcPr>
            <w:tcW w:w="1925" w:type="dxa"/>
            <w:vAlign w:val="center"/>
          </w:tcPr>
          <w:p w14:paraId="33EF074A" w14:textId="02735A0A" w:rsidR="001C19A4" w:rsidRDefault="001C19A4" w:rsidP="005F27A6">
            <w:pPr>
              <w:spacing w:after="0"/>
              <w:jc w:val="right"/>
              <w:rPr>
                <w:rFonts w:eastAsiaTheme="minorHAnsi"/>
                <w:b/>
              </w:rPr>
            </w:pPr>
            <w:r w:rsidRPr="00E608AD">
              <w:t xml:space="preserve"> </w:t>
            </w:r>
            <w:r w:rsidR="00E2289D">
              <w:t>$</w:t>
            </w:r>
            <w:r w:rsidRPr="00E608AD">
              <w:t xml:space="preserve">464,773 </w:t>
            </w:r>
          </w:p>
        </w:tc>
        <w:tc>
          <w:tcPr>
            <w:tcW w:w="1775" w:type="dxa"/>
            <w:vAlign w:val="center"/>
          </w:tcPr>
          <w:p w14:paraId="73F76324" w14:textId="59E112A7" w:rsidR="001C19A4" w:rsidRDefault="001C19A4" w:rsidP="005F27A6">
            <w:pPr>
              <w:spacing w:after="0"/>
              <w:jc w:val="right"/>
              <w:rPr>
                <w:rFonts w:eastAsiaTheme="minorHAnsi"/>
                <w:b/>
              </w:rPr>
            </w:pPr>
            <w:r w:rsidRPr="00E608AD">
              <w:t xml:space="preserve"> </w:t>
            </w:r>
            <w:r w:rsidR="00E2289D">
              <w:t>$</w:t>
            </w:r>
            <w:r w:rsidRPr="00E608AD">
              <w:t xml:space="preserve">63,116 </w:t>
            </w:r>
          </w:p>
        </w:tc>
        <w:tc>
          <w:tcPr>
            <w:tcW w:w="1850" w:type="dxa"/>
            <w:vAlign w:val="center"/>
          </w:tcPr>
          <w:p w14:paraId="74A3644B" w14:textId="63BF93FA" w:rsidR="001C19A4" w:rsidRDefault="001C19A4" w:rsidP="005F27A6">
            <w:pPr>
              <w:spacing w:after="0"/>
              <w:jc w:val="right"/>
              <w:rPr>
                <w:rFonts w:eastAsiaTheme="minorHAnsi"/>
                <w:b/>
              </w:rPr>
            </w:pPr>
            <w:r w:rsidRPr="00E608AD">
              <w:t xml:space="preserve"> </w:t>
            </w:r>
            <w:r w:rsidR="00E2289D">
              <w:t>$</w:t>
            </w:r>
            <w:r w:rsidRPr="00E608AD">
              <w:t xml:space="preserve">401,657 </w:t>
            </w:r>
          </w:p>
        </w:tc>
        <w:tc>
          <w:tcPr>
            <w:tcW w:w="1955" w:type="dxa"/>
            <w:vAlign w:val="center"/>
          </w:tcPr>
          <w:p w14:paraId="3B4B9A24" w14:textId="282FA99B" w:rsidR="001C19A4" w:rsidRDefault="00E2289D" w:rsidP="005F27A6">
            <w:pPr>
              <w:spacing w:after="0"/>
              <w:jc w:val="right"/>
              <w:rPr>
                <w:rFonts w:eastAsiaTheme="minorHAnsi"/>
                <w:b/>
              </w:rPr>
            </w:pPr>
            <w:r>
              <w:t>$</w:t>
            </w:r>
            <w:r w:rsidR="001C19A4">
              <w:t>0</w:t>
            </w:r>
            <w:r w:rsidR="0024655D">
              <w:t xml:space="preserve"> </w:t>
            </w:r>
          </w:p>
        </w:tc>
        <w:tc>
          <w:tcPr>
            <w:tcW w:w="1745" w:type="dxa"/>
            <w:vAlign w:val="center"/>
          </w:tcPr>
          <w:p w14:paraId="5E652B85" w14:textId="6E2A4684" w:rsidR="001C19A4" w:rsidRPr="009569D5" w:rsidRDefault="00E2289D" w:rsidP="005F27A6">
            <w:pPr>
              <w:spacing w:after="0"/>
              <w:jc w:val="right"/>
              <w:rPr>
                <w:rFonts w:eastAsiaTheme="minorHAnsi"/>
              </w:rPr>
            </w:pPr>
            <w:r>
              <w:t>$</w:t>
            </w:r>
            <w:r w:rsidR="001C19A4">
              <w:t>0</w:t>
            </w:r>
            <w:r w:rsidR="001C19A4" w:rsidRPr="00E777F3">
              <w:t xml:space="preserve"> </w:t>
            </w:r>
          </w:p>
        </w:tc>
        <w:tc>
          <w:tcPr>
            <w:tcW w:w="1850" w:type="dxa"/>
            <w:vAlign w:val="center"/>
          </w:tcPr>
          <w:p w14:paraId="6A43825A" w14:textId="02709A10" w:rsidR="001C19A4" w:rsidRDefault="00E2289D" w:rsidP="005F27A6">
            <w:pPr>
              <w:spacing w:after="0"/>
              <w:jc w:val="right"/>
              <w:rPr>
                <w:rFonts w:eastAsiaTheme="minorHAnsi"/>
                <w:b/>
              </w:rPr>
            </w:pPr>
            <w:r>
              <w:t>$</w:t>
            </w:r>
            <w:r w:rsidR="001C19A4">
              <w:t>0</w:t>
            </w:r>
          </w:p>
        </w:tc>
      </w:tr>
      <w:tr w:rsidR="001C19A4" w14:paraId="23AA63C8" w14:textId="77777777" w:rsidTr="00DC1F4C">
        <w:trPr>
          <w:trHeight w:val="226"/>
        </w:trPr>
        <w:tc>
          <w:tcPr>
            <w:tcW w:w="1850" w:type="dxa"/>
            <w:vAlign w:val="center"/>
          </w:tcPr>
          <w:p w14:paraId="24993998" w14:textId="77777777" w:rsidR="001C19A4" w:rsidRDefault="001C19A4" w:rsidP="005F27A6">
            <w:pPr>
              <w:spacing w:after="0"/>
              <w:rPr>
                <w:rFonts w:eastAsiaTheme="minorHAnsi"/>
                <w:b/>
              </w:rPr>
            </w:pPr>
            <w:r w:rsidRPr="00E608AD">
              <w:t>Other State Revenue</w:t>
            </w:r>
          </w:p>
        </w:tc>
        <w:tc>
          <w:tcPr>
            <w:tcW w:w="1925" w:type="dxa"/>
            <w:vAlign w:val="center"/>
          </w:tcPr>
          <w:p w14:paraId="254338FD" w14:textId="45220B02" w:rsidR="001C19A4" w:rsidRDefault="001C19A4" w:rsidP="005F27A6">
            <w:pPr>
              <w:spacing w:after="0"/>
              <w:jc w:val="right"/>
              <w:rPr>
                <w:rFonts w:eastAsiaTheme="minorHAnsi"/>
                <w:b/>
              </w:rPr>
            </w:pPr>
            <w:r w:rsidRPr="00E608AD">
              <w:t xml:space="preserve"> </w:t>
            </w:r>
            <w:r w:rsidR="00E2289D">
              <w:t>$</w:t>
            </w:r>
            <w:r w:rsidRPr="00E608AD">
              <w:t xml:space="preserve">6,313,639 </w:t>
            </w:r>
          </w:p>
        </w:tc>
        <w:tc>
          <w:tcPr>
            <w:tcW w:w="1775" w:type="dxa"/>
            <w:vAlign w:val="center"/>
          </w:tcPr>
          <w:p w14:paraId="1EEE014D" w14:textId="01BE0DC2" w:rsidR="001C19A4" w:rsidRDefault="001C19A4" w:rsidP="005F27A6">
            <w:pPr>
              <w:spacing w:after="0"/>
              <w:jc w:val="right"/>
              <w:rPr>
                <w:rFonts w:eastAsiaTheme="minorHAnsi"/>
                <w:b/>
              </w:rPr>
            </w:pPr>
            <w:r w:rsidRPr="00E608AD">
              <w:t xml:space="preserve"> </w:t>
            </w:r>
            <w:r w:rsidR="00E2289D">
              <w:t>$</w:t>
            </w:r>
            <w:r w:rsidRPr="00E608AD">
              <w:t xml:space="preserve">857,392 </w:t>
            </w:r>
          </w:p>
        </w:tc>
        <w:tc>
          <w:tcPr>
            <w:tcW w:w="1850" w:type="dxa"/>
            <w:vAlign w:val="center"/>
          </w:tcPr>
          <w:p w14:paraId="2BB4B413" w14:textId="2AD2EDDB" w:rsidR="001C19A4" w:rsidRDefault="001C19A4" w:rsidP="005F27A6">
            <w:pPr>
              <w:spacing w:after="0"/>
              <w:jc w:val="right"/>
              <w:rPr>
                <w:rFonts w:eastAsiaTheme="minorHAnsi"/>
                <w:b/>
              </w:rPr>
            </w:pPr>
            <w:r w:rsidRPr="00E608AD">
              <w:t xml:space="preserve"> </w:t>
            </w:r>
            <w:r w:rsidR="00E2289D">
              <w:t>$</w:t>
            </w:r>
            <w:r w:rsidRPr="00E608AD">
              <w:t xml:space="preserve">5,456,247 </w:t>
            </w:r>
          </w:p>
        </w:tc>
        <w:tc>
          <w:tcPr>
            <w:tcW w:w="1955" w:type="dxa"/>
            <w:vAlign w:val="center"/>
          </w:tcPr>
          <w:p w14:paraId="4E6D1338" w14:textId="1B903A11" w:rsidR="001C19A4" w:rsidRDefault="001C19A4" w:rsidP="005F27A6">
            <w:pPr>
              <w:spacing w:after="0"/>
              <w:jc w:val="right"/>
              <w:rPr>
                <w:rFonts w:eastAsiaTheme="minorHAnsi"/>
                <w:b/>
              </w:rPr>
            </w:pPr>
            <w:r w:rsidRPr="00E608AD">
              <w:t xml:space="preserve"> </w:t>
            </w:r>
            <w:r w:rsidR="00E2289D">
              <w:t>$</w:t>
            </w:r>
            <w:r w:rsidRPr="00E608AD">
              <w:t xml:space="preserve">6,202,334 </w:t>
            </w:r>
          </w:p>
        </w:tc>
        <w:tc>
          <w:tcPr>
            <w:tcW w:w="1745" w:type="dxa"/>
            <w:vAlign w:val="center"/>
          </w:tcPr>
          <w:p w14:paraId="49872EC6" w14:textId="6E0F1496" w:rsidR="001C19A4" w:rsidRDefault="001C19A4" w:rsidP="005F27A6">
            <w:pPr>
              <w:spacing w:after="0"/>
              <w:jc w:val="right"/>
              <w:rPr>
                <w:rFonts w:eastAsiaTheme="minorHAnsi"/>
                <w:b/>
              </w:rPr>
            </w:pPr>
            <w:r w:rsidRPr="00E777F3">
              <w:t xml:space="preserve"> </w:t>
            </w:r>
            <w:r w:rsidR="00E2289D">
              <w:t>$</w:t>
            </w:r>
            <w:r w:rsidRPr="00E777F3">
              <w:t xml:space="preserve">842,277 </w:t>
            </w:r>
          </w:p>
        </w:tc>
        <w:tc>
          <w:tcPr>
            <w:tcW w:w="1850" w:type="dxa"/>
            <w:vAlign w:val="center"/>
          </w:tcPr>
          <w:p w14:paraId="621A3D31" w14:textId="390B2919" w:rsidR="001C19A4" w:rsidRDefault="001C19A4" w:rsidP="005F27A6">
            <w:pPr>
              <w:spacing w:after="0"/>
              <w:jc w:val="right"/>
              <w:rPr>
                <w:rFonts w:eastAsiaTheme="minorHAnsi"/>
                <w:b/>
              </w:rPr>
            </w:pPr>
            <w:r w:rsidRPr="00E777F3">
              <w:t xml:space="preserve"> </w:t>
            </w:r>
            <w:r w:rsidR="00E2289D">
              <w:t>$</w:t>
            </w:r>
            <w:r w:rsidRPr="00E777F3">
              <w:t xml:space="preserve">5,360,057 </w:t>
            </w:r>
          </w:p>
        </w:tc>
      </w:tr>
      <w:tr w:rsidR="001C19A4" w14:paraId="7DC02B6A" w14:textId="77777777" w:rsidTr="00DC1F4C">
        <w:trPr>
          <w:trHeight w:val="19"/>
        </w:trPr>
        <w:tc>
          <w:tcPr>
            <w:tcW w:w="1850" w:type="dxa"/>
            <w:vAlign w:val="center"/>
          </w:tcPr>
          <w:p w14:paraId="5AC2C779" w14:textId="77777777" w:rsidR="001C19A4" w:rsidRDefault="001C19A4" w:rsidP="005F27A6">
            <w:pPr>
              <w:spacing w:after="0"/>
              <w:rPr>
                <w:rFonts w:eastAsiaTheme="minorHAnsi"/>
                <w:b/>
              </w:rPr>
            </w:pPr>
            <w:r w:rsidRPr="00E608AD">
              <w:t>Other Local Revenue</w:t>
            </w:r>
          </w:p>
        </w:tc>
        <w:tc>
          <w:tcPr>
            <w:tcW w:w="1925" w:type="dxa"/>
            <w:vAlign w:val="center"/>
          </w:tcPr>
          <w:p w14:paraId="7D6B424C" w14:textId="55636E8F" w:rsidR="001C19A4" w:rsidRDefault="001C19A4" w:rsidP="005F27A6">
            <w:pPr>
              <w:spacing w:after="0"/>
              <w:jc w:val="right"/>
              <w:rPr>
                <w:rFonts w:eastAsiaTheme="minorHAnsi"/>
                <w:b/>
              </w:rPr>
            </w:pPr>
            <w:r w:rsidRPr="00E608AD">
              <w:t xml:space="preserve"> </w:t>
            </w:r>
            <w:r w:rsidR="00E2289D">
              <w:t>$</w:t>
            </w:r>
            <w:r w:rsidRPr="00E608AD">
              <w:t xml:space="preserve">2,945,381 </w:t>
            </w:r>
          </w:p>
        </w:tc>
        <w:tc>
          <w:tcPr>
            <w:tcW w:w="1775" w:type="dxa"/>
            <w:vAlign w:val="center"/>
          </w:tcPr>
          <w:p w14:paraId="16DB598B" w14:textId="46F9ACC6" w:rsidR="001C19A4" w:rsidRDefault="001C19A4" w:rsidP="005F27A6">
            <w:pPr>
              <w:spacing w:after="0"/>
              <w:jc w:val="right"/>
              <w:rPr>
                <w:rFonts w:eastAsiaTheme="minorHAnsi"/>
                <w:b/>
              </w:rPr>
            </w:pPr>
            <w:r w:rsidRPr="00E608AD">
              <w:t xml:space="preserve"> </w:t>
            </w:r>
            <w:r w:rsidR="00E2289D">
              <w:t>$</w:t>
            </w:r>
            <w:r w:rsidRPr="00E608AD">
              <w:t xml:space="preserve">399,983 </w:t>
            </w:r>
          </w:p>
        </w:tc>
        <w:tc>
          <w:tcPr>
            <w:tcW w:w="1850" w:type="dxa"/>
            <w:vAlign w:val="center"/>
          </w:tcPr>
          <w:p w14:paraId="7806EDC1" w14:textId="0AD35B7A" w:rsidR="001C19A4" w:rsidRDefault="001C19A4" w:rsidP="005F27A6">
            <w:pPr>
              <w:spacing w:after="0"/>
              <w:jc w:val="right"/>
              <w:rPr>
                <w:rFonts w:eastAsiaTheme="minorHAnsi"/>
                <w:b/>
              </w:rPr>
            </w:pPr>
            <w:r w:rsidRPr="00E608AD">
              <w:t xml:space="preserve"> </w:t>
            </w:r>
            <w:r w:rsidR="00E2289D">
              <w:t>$</w:t>
            </w:r>
            <w:r w:rsidRPr="00E608AD">
              <w:t xml:space="preserve">2,545,398 </w:t>
            </w:r>
          </w:p>
        </w:tc>
        <w:tc>
          <w:tcPr>
            <w:tcW w:w="1955" w:type="dxa"/>
            <w:vAlign w:val="center"/>
          </w:tcPr>
          <w:p w14:paraId="3CDBF129" w14:textId="35247F35" w:rsidR="001C19A4" w:rsidRDefault="001C19A4" w:rsidP="005F27A6">
            <w:pPr>
              <w:spacing w:after="0"/>
              <w:jc w:val="right"/>
              <w:rPr>
                <w:rFonts w:eastAsiaTheme="minorHAnsi"/>
                <w:b/>
              </w:rPr>
            </w:pPr>
            <w:r w:rsidRPr="00E608AD">
              <w:t xml:space="preserve"> </w:t>
            </w:r>
            <w:r w:rsidR="00E2289D">
              <w:t>$</w:t>
            </w:r>
            <w:r w:rsidRPr="00E608AD">
              <w:t xml:space="preserve">3,008,781 </w:t>
            </w:r>
          </w:p>
        </w:tc>
        <w:tc>
          <w:tcPr>
            <w:tcW w:w="1745" w:type="dxa"/>
            <w:vAlign w:val="center"/>
          </w:tcPr>
          <w:p w14:paraId="5CBF8909" w14:textId="70BC2580" w:rsidR="001C19A4" w:rsidRDefault="001C19A4" w:rsidP="005F27A6">
            <w:pPr>
              <w:spacing w:after="0"/>
              <w:jc w:val="right"/>
              <w:rPr>
                <w:rFonts w:eastAsiaTheme="minorHAnsi"/>
                <w:b/>
              </w:rPr>
            </w:pPr>
            <w:r w:rsidRPr="00E777F3">
              <w:t xml:space="preserve"> </w:t>
            </w:r>
            <w:r w:rsidR="00E2289D">
              <w:t>$</w:t>
            </w:r>
            <w:r w:rsidRPr="00E777F3">
              <w:t xml:space="preserve">408,592 </w:t>
            </w:r>
          </w:p>
        </w:tc>
        <w:tc>
          <w:tcPr>
            <w:tcW w:w="1850" w:type="dxa"/>
            <w:vAlign w:val="center"/>
          </w:tcPr>
          <w:p w14:paraId="3AF901A0" w14:textId="5A232915" w:rsidR="001C19A4" w:rsidRDefault="001C19A4" w:rsidP="005F27A6">
            <w:pPr>
              <w:spacing w:after="0"/>
              <w:jc w:val="right"/>
              <w:rPr>
                <w:rFonts w:eastAsiaTheme="minorHAnsi"/>
                <w:b/>
              </w:rPr>
            </w:pPr>
            <w:r w:rsidRPr="00E777F3">
              <w:t xml:space="preserve"> </w:t>
            </w:r>
            <w:r w:rsidR="00E2289D">
              <w:t>$</w:t>
            </w:r>
            <w:r w:rsidRPr="00E777F3">
              <w:t xml:space="preserve">2,600,189 </w:t>
            </w:r>
          </w:p>
        </w:tc>
      </w:tr>
      <w:tr w:rsidR="001C19A4" w14:paraId="1015D36E" w14:textId="77777777" w:rsidTr="00DC1F4C">
        <w:tc>
          <w:tcPr>
            <w:tcW w:w="1850" w:type="dxa"/>
            <w:vAlign w:val="center"/>
          </w:tcPr>
          <w:p w14:paraId="504E8EF9" w14:textId="77777777" w:rsidR="001C19A4" w:rsidRPr="00245A02" w:rsidRDefault="001C19A4" w:rsidP="005F27A6">
            <w:pPr>
              <w:spacing w:after="0"/>
              <w:jc w:val="right"/>
              <w:rPr>
                <w:rFonts w:eastAsiaTheme="minorHAnsi"/>
                <w:b/>
              </w:rPr>
            </w:pPr>
            <w:r w:rsidRPr="00245A02">
              <w:rPr>
                <w:b/>
              </w:rPr>
              <w:t xml:space="preserve"> Total Revenue</w:t>
            </w:r>
          </w:p>
        </w:tc>
        <w:tc>
          <w:tcPr>
            <w:tcW w:w="1925" w:type="dxa"/>
            <w:vAlign w:val="center"/>
          </w:tcPr>
          <w:p w14:paraId="70CFBDE5" w14:textId="104AD79C" w:rsidR="001C19A4" w:rsidRPr="00245A02" w:rsidRDefault="001C19A4" w:rsidP="005F27A6">
            <w:pPr>
              <w:spacing w:after="0"/>
              <w:jc w:val="right"/>
              <w:rPr>
                <w:rFonts w:eastAsiaTheme="minorHAnsi"/>
                <w:b/>
              </w:rPr>
            </w:pPr>
            <w:r w:rsidRPr="00245A02">
              <w:rPr>
                <w:b/>
              </w:rPr>
              <w:t xml:space="preserve"> </w:t>
            </w:r>
            <w:r w:rsidR="00E2289D">
              <w:rPr>
                <w:b/>
              </w:rPr>
              <w:t>$</w:t>
            </w:r>
            <w:r w:rsidRPr="00245A02">
              <w:rPr>
                <w:b/>
              </w:rPr>
              <w:t xml:space="preserve">283,462,954 </w:t>
            </w:r>
          </w:p>
        </w:tc>
        <w:tc>
          <w:tcPr>
            <w:tcW w:w="1775" w:type="dxa"/>
            <w:vAlign w:val="center"/>
          </w:tcPr>
          <w:p w14:paraId="6CB4F96B" w14:textId="3E2B12CE" w:rsidR="001C19A4" w:rsidRPr="00245A02" w:rsidRDefault="00E2289D" w:rsidP="005F27A6">
            <w:pPr>
              <w:spacing w:after="0"/>
              <w:jc w:val="right"/>
              <w:rPr>
                <w:rFonts w:eastAsiaTheme="minorHAnsi"/>
                <w:b/>
              </w:rPr>
            </w:pPr>
            <w:r>
              <w:rPr>
                <w:b/>
              </w:rPr>
              <w:t>$</w:t>
            </w:r>
            <w:r w:rsidR="001C19A4" w:rsidRPr="00245A02">
              <w:rPr>
                <w:b/>
              </w:rPr>
              <w:t xml:space="preserve">34,630,913 </w:t>
            </w:r>
          </w:p>
        </w:tc>
        <w:tc>
          <w:tcPr>
            <w:tcW w:w="1850" w:type="dxa"/>
            <w:vAlign w:val="center"/>
          </w:tcPr>
          <w:p w14:paraId="75D16831" w14:textId="1BE557F7" w:rsidR="001C19A4" w:rsidRPr="00245A02" w:rsidRDefault="00E2289D" w:rsidP="005F27A6">
            <w:pPr>
              <w:spacing w:after="0"/>
              <w:jc w:val="right"/>
              <w:rPr>
                <w:rFonts w:eastAsiaTheme="minorHAnsi"/>
                <w:b/>
              </w:rPr>
            </w:pPr>
            <w:r>
              <w:rPr>
                <w:b/>
              </w:rPr>
              <w:t>$</w:t>
            </w:r>
            <w:r w:rsidR="001C19A4" w:rsidRPr="00245A02">
              <w:rPr>
                <w:b/>
              </w:rPr>
              <w:t xml:space="preserve">250,466,003 </w:t>
            </w:r>
          </w:p>
        </w:tc>
        <w:tc>
          <w:tcPr>
            <w:tcW w:w="1955" w:type="dxa"/>
            <w:vAlign w:val="center"/>
          </w:tcPr>
          <w:p w14:paraId="7D971669" w14:textId="32823FE7" w:rsidR="001C19A4" w:rsidRPr="00245A02" w:rsidRDefault="00E2289D" w:rsidP="005F27A6">
            <w:pPr>
              <w:spacing w:after="0"/>
              <w:jc w:val="right"/>
              <w:rPr>
                <w:rFonts w:eastAsiaTheme="minorHAnsi"/>
                <w:b/>
              </w:rPr>
            </w:pPr>
            <w:r>
              <w:rPr>
                <w:b/>
              </w:rPr>
              <w:t>$</w:t>
            </w:r>
            <w:r w:rsidR="001C19A4" w:rsidRPr="00245A02">
              <w:rPr>
                <w:b/>
              </w:rPr>
              <w:t xml:space="preserve">301,087,095 </w:t>
            </w:r>
          </w:p>
        </w:tc>
        <w:tc>
          <w:tcPr>
            <w:tcW w:w="1745" w:type="dxa"/>
            <w:vAlign w:val="center"/>
          </w:tcPr>
          <w:p w14:paraId="2843A8AA" w14:textId="74FE7675" w:rsidR="001C19A4" w:rsidRPr="00245A02" w:rsidRDefault="00E2289D" w:rsidP="005F27A6">
            <w:pPr>
              <w:spacing w:after="0"/>
              <w:jc w:val="right"/>
              <w:rPr>
                <w:rFonts w:eastAsiaTheme="minorHAnsi"/>
                <w:b/>
              </w:rPr>
            </w:pPr>
            <w:r>
              <w:rPr>
                <w:b/>
              </w:rPr>
              <w:t>$</w:t>
            </w:r>
            <w:r w:rsidR="001C19A4" w:rsidRPr="00245A02">
              <w:rPr>
                <w:b/>
              </w:rPr>
              <w:t>36,</w:t>
            </w:r>
            <w:r w:rsidR="001C19A4">
              <w:rPr>
                <w:b/>
              </w:rPr>
              <w:t>2</w:t>
            </w:r>
            <w:r w:rsidR="001C19A4" w:rsidRPr="00245A02">
              <w:rPr>
                <w:b/>
              </w:rPr>
              <w:t>51</w:t>
            </w:r>
            <w:r w:rsidR="001C19A4">
              <w:rPr>
                <w:b/>
              </w:rPr>
              <w:t>,329</w:t>
            </w:r>
            <w:r w:rsidR="001C19A4" w:rsidRPr="00245A02">
              <w:rPr>
                <w:b/>
              </w:rPr>
              <w:t xml:space="preserve"> </w:t>
            </w:r>
          </w:p>
        </w:tc>
        <w:tc>
          <w:tcPr>
            <w:tcW w:w="1850" w:type="dxa"/>
            <w:vAlign w:val="center"/>
          </w:tcPr>
          <w:p w14:paraId="46AA589A" w14:textId="47CC9890" w:rsidR="001C19A4" w:rsidRPr="00245A02" w:rsidRDefault="00E2289D" w:rsidP="005F27A6">
            <w:pPr>
              <w:spacing w:after="0"/>
              <w:jc w:val="right"/>
              <w:rPr>
                <w:rFonts w:eastAsiaTheme="minorHAnsi"/>
                <w:b/>
              </w:rPr>
            </w:pPr>
            <w:r>
              <w:rPr>
                <w:b/>
              </w:rPr>
              <w:t>$</w:t>
            </w:r>
            <w:r w:rsidR="001C19A4" w:rsidRPr="00245A02">
              <w:rPr>
                <w:b/>
              </w:rPr>
              <w:t>2</w:t>
            </w:r>
            <w:r w:rsidR="001C19A4">
              <w:rPr>
                <w:b/>
              </w:rPr>
              <w:t>63,446,4</w:t>
            </w:r>
            <w:r w:rsidR="001C19A4" w:rsidRPr="00245A02">
              <w:rPr>
                <w:b/>
              </w:rPr>
              <w:t>9</w:t>
            </w:r>
            <w:r w:rsidR="001C19A4">
              <w:rPr>
                <w:b/>
              </w:rPr>
              <w:t>4</w:t>
            </w:r>
            <w:r w:rsidR="001C19A4" w:rsidRPr="00245A02">
              <w:rPr>
                <w:b/>
              </w:rPr>
              <w:t xml:space="preserve"> </w:t>
            </w:r>
          </w:p>
        </w:tc>
      </w:tr>
      <w:tr w:rsidR="001C19A4" w14:paraId="754BCABC" w14:textId="77777777" w:rsidTr="00DC1F4C">
        <w:trPr>
          <w:trHeight w:val="460"/>
        </w:trPr>
        <w:tc>
          <w:tcPr>
            <w:tcW w:w="1850" w:type="dxa"/>
            <w:vAlign w:val="center"/>
          </w:tcPr>
          <w:p w14:paraId="305CE161" w14:textId="77777777" w:rsidR="001C19A4" w:rsidRDefault="001C19A4" w:rsidP="005F27A6">
            <w:pPr>
              <w:spacing w:after="0"/>
              <w:rPr>
                <w:rFonts w:eastAsiaTheme="minorHAnsi"/>
                <w:b/>
              </w:rPr>
            </w:pPr>
            <w:r w:rsidRPr="00E608AD">
              <w:t>Certificated Salaries</w:t>
            </w:r>
          </w:p>
        </w:tc>
        <w:tc>
          <w:tcPr>
            <w:tcW w:w="1925" w:type="dxa"/>
            <w:vAlign w:val="center"/>
          </w:tcPr>
          <w:p w14:paraId="763F057A" w14:textId="377CAFC4" w:rsidR="001C19A4" w:rsidRDefault="001C19A4" w:rsidP="005F27A6">
            <w:pPr>
              <w:spacing w:after="0"/>
              <w:jc w:val="right"/>
              <w:rPr>
                <w:rFonts w:eastAsiaTheme="minorHAnsi"/>
                <w:b/>
              </w:rPr>
            </w:pPr>
            <w:r w:rsidRPr="00AB6ACA">
              <w:t xml:space="preserve"> </w:t>
            </w:r>
            <w:r w:rsidR="00E2289D">
              <w:t>$</w:t>
            </w:r>
            <w:r w:rsidRPr="00E608AD">
              <w:t xml:space="preserve">101,448,928 </w:t>
            </w:r>
          </w:p>
        </w:tc>
        <w:tc>
          <w:tcPr>
            <w:tcW w:w="1775" w:type="dxa"/>
            <w:vAlign w:val="center"/>
          </w:tcPr>
          <w:p w14:paraId="6AC1FED9" w14:textId="5E9B0FFC" w:rsidR="001C19A4" w:rsidRDefault="001C19A4" w:rsidP="005F27A6">
            <w:pPr>
              <w:spacing w:after="0"/>
              <w:jc w:val="right"/>
              <w:rPr>
                <w:rFonts w:eastAsiaTheme="minorHAnsi"/>
                <w:b/>
              </w:rPr>
            </w:pPr>
            <w:r w:rsidRPr="00E608AD">
              <w:t xml:space="preserve"> </w:t>
            </w:r>
            <w:r w:rsidR="00E2289D">
              <w:t>$</w:t>
            </w:r>
            <w:r w:rsidRPr="00E608AD">
              <w:t xml:space="preserve">13,776,764 </w:t>
            </w:r>
          </w:p>
        </w:tc>
        <w:tc>
          <w:tcPr>
            <w:tcW w:w="1850" w:type="dxa"/>
            <w:vAlign w:val="center"/>
          </w:tcPr>
          <w:p w14:paraId="2F5AA978" w14:textId="74FCB4B8" w:rsidR="001C19A4" w:rsidRDefault="001C19A4" w:rsidP="005F27A6">
            <w:pPr>
              <w:spacing w:after="0"/>
              <w:jc w:val="right"/>
              <w:rPr>
                <w:rFonts w:eastAsiaTheme="minorHAnsi"/>
                <w:b/>
              </w:rPr>
            </w:pPr>
            <w:r w:rsidRPr="00E608AD">
              <w:t xml:space="preserve"> </w:t>
            </w:r>
            <w:r w:rsidR="00E2289D">
              <w:t>$</w:t>
            </w:r>
            <w:r w:rsidRPr="00E608AD">
              <w:t xml:space="preserve">87,672,164 </w:t>
            </w:r>
          </w:p>
        </w:tc>
        <w:tc>
          <w:tcPr>
            <w:tcW w:w="1955" w:type="dxa"/>
            <w:vAlign w:val="center"/>
          </w:tcPr>
          <w:p w14:paraId="442423E1" w14:textId="4A386A96" w:rsidR="001C19A4" w:rsidRDefault="001C19A4" w:rsidP="005F27A6">
            <w:pPr>
              <w:spacing w:after="0"/>
              <w:jc w:val="right"/>
              <w:rPr>
                <w:rFonts w:eastAsiaTheme="minorHAnsi"/>
                <w:b/>
              </w:rPr>
            </w:pPr>
            <w:r w:rsidRPr="009E0F2C">
              <w:t xml:space="preserve"> </w:t>
            </w:r>
            <w:r w:rsidR="00E2289D">
              <w:t>$</w:t>
            </w:r>
            <w:r w:rsidRPr="009E0F2C">
              <w:t xml:space="preserve">112,641,177 </w:t>
            </w:r>
          </w:p>
        </w:tc>
        <w:tc>
          <w:tcPr>
            <w:tcW w:w="1745" w:type="dxa"/>
            <w:vAlign w:val="center"/>
          </w:tcPr>
          <w:p w14:paraId="39814CED" w14:textId="5D5676B1" w:rsidR="001C19A4" w:rsidRDefault="001C19A4" w:rsidP="005F27A6">
            <w:pPr>
              <w:spacing w:after="0"/>
              <w:jc w:val="right"/>
              <w:rPr>
                <w:rFonts w:eastAsiaTheme="minorHAnsi"/>
                <w:b/>
              </w:rPr>
            </w:pPr>
            <w:r w:rsidRPr="009E0F2C">
              <w:t xml:space="preserve"> </w:t>
            </w:r>
            <w:r w:rsidR="00E2289D">
              <w:t>$</w:t>
            </w:r>
            <w:r w:rsidRPr="009E0F2C">
              <w:t xml:space="preserve">15,296,672 </w:t>
            </w:r>
          </w:p>
        </w:tc>
        <w:tc>
          <w:tcPr>
            <w:tcW w:w="1850" w:type="dxa"/>
            <w:vAlign w:val="center"/>
          </w:tcPr>
          <w:p w14:paraId="3070DFF0" w14:textId="74BB7D92" w:rsidR="001C19A4" w:rsidRDefault="001C19A4" w:rsidP="005F27A6">
            <w:pPr>
              <w:spacing w:after="0"/>
              <w:jc w:val="right"/>
              <w:rPr>
                <w:rFonts w:eastAsiaTheme="minorHAnsi"/>
                <w:b/>
              </w:rPr>
            </w:pPr>
            <w:r w:rsidRPr="009E0F2C">
              <w:t xml:space="preserve"> </w:t>
            </w:r>
            <w:r w:rsidR="00E2289D">
              <w:t>$</w:t>
            </w:r>
            <w:r w:rsidRPr="009E0F2C">
              <w:t xml:space="preserve">97,344,505 </w:t>
            </w:r>
          </w:p>
        </w:tc>
      </w:tr>
      <w:tr w:rsidR="001C19A4" w14:paraId="2EA0791D" w14:textId="77777777" w:rsidTr="00DC1F4C">
        <w:tc>
          <w:tcPr>
            <w:tcW w:w="1850" w:type="dxa"/>
            <w:vAlign w:val="center"/>
          </w:tcPr>
          <w:p w14:paraId="77AD7240" w14:textId="77777777" w:rsidR="001C19A4" w:rsidRDefault="001C19A4" w:rsidP="005F27A6">
            <w:pPr>
              <w:spacing w:after="0"/>
              <w:rPr>
                <w:rFonts w:eastAsiaTheme="minorHAnsi"/>
                <w:b/>
              </w:rPr>
            </w:pPr>
            <w:r w:rsidRPr="00E608AD">
              <w:t>Classified Salaries</w:t>
            </w:r>
          </w:p>
        </w:tc>
        <w:tc>
          <w:tcPr>
            <w:tcW w:w="1925" w:type="dxa"/>
            <w:vAlign w:val="center"/>
          </w:tcPr>
          <w:p w14:paraId="5404E714" w14:textId="32230CC8" w:rsidR="001C19A4" w:rsidRDefault="001C19A4" w:rsidP="005F27A6">
            <w:pPr>
              <w:spacing w:after="0"/>
              <w:jc w:val="right"/>
              <w:rPr>
                <w:rFonts w:eastAsiaTheme="minorHAnsi"/>
                <w:b/>
              </w:rPr>
            </w:pPr>
            <w:r w:rsidRPr="00E608AD">
              <w:t xml:space="preserve"> </w:t>
            </w:r>
            <w:r w:rsidR="00E2289D">
              <w:t>$</w:t>
            </w:r>
            <w:r w:rsidRPr="00E608AD">
              <w:t xml:space="preserve">22,810,940 </w:t>
            </w:r>
          </w:p>
        </w:tc>
        <w:tc>
          <w:tcPr>
            <w:tcW w:w="1775" w:type="dxa"/>
            <w:vAlign w:val="center"/>
          </w:tcPr>
          <w:p w14:paraId="5B21BE69" w14:textId="07960C53" w:rsidR="001C19A4" w:rsidRDefault="001C19A4" w:rsidP="005F27A6">
            <w:pPr>
              <w:spacing w:after="0"/>
              <w:jc w:val="right"/>
              <w:rPr>
                <w:rFonts w:eastAsiaTheme="minorHAnsi"/>
                <w:b/>
              </w:rPr>
            </w:pPr>
            <w:r w:rsidRPr="00E608AD">
              <w:t xml:space="preserve"> </w:t>
            </w:r>
            <w:r w:rsidR="00E2289D">
              <w:t>$</w:t>
            </w:r>
            <w:r w:rsidRPr="00E608AD">
              <w:t xml:space="preserve">3,097,726 </w:t>
            </w:r>
          </w:p>
        </w:tc>
        <w:tc>
          <w:tcPr>
            <w:tcW w:w="1850" w:type="dxa"/>
            <w:vAlign w:val="center"/>
          </w:tcPr>
          <w:p w14:paraId="38929B4F" w14:textId="4FCA4C29" w:rsidR="001C19A4" w:rsidRDefault="001C19A4" w:rsidP="005F27A6">
            <w:pPr>
              <w:spacing w:after="0"/>
              <w:jc w:val="right"/>
              <w:rPr>
                <w:rFonts w:eastAsiaTheme="minorHAnsi"/>
                <w:b/>
              </w:rPr>
            </w:pPr>
            <w:r w:rsidRPr="00E608AD">
              <w:t xml:space="preserve"> </w:t>
            </w:r>
            <w:r w:rsidR="00E2289D">
              <w:t>$</w:t>
            </w:r>
            <w:r w:rsidRPr="00E608AD">
              <w:t xml:space="preserve">19,713,214 </w:t>
            </w:r>
          </w:p>
        </w:tc>
        <w:tc>
          <w:tcPr>
            <w:tcW w:w="1955" w:type="dxa"/>
            <w:vAlign w:val="center"/>
          </w:tcPr>
          <w:p w14:paraId="6B5D0561" w14:textId="3D42E506" w:rsidR="001C19A4" w:rsidRDefault="001C19A4" w:rsidP="005F27A6">
            <w:pPr>
              <w:spacing w:after="0"/>
              <w:jc w:val="right"/>
              <w:rPr>
                <w:rFonts w:eastAsiaTheme="minorHAnsi"/>
                <w:b/>
              </w:rPr>
            </w:pPr>
            <w:r w:rsidRPr="009E0F2C">
              <w:t xml:space="preserve"> </w:t>
            </w:r>
            <w:r w:rsidR="00E2289D">
              <w:t>$</w:t>
            </w:r>
            <w:r w:rsidRPr="009E0F2C">
              <w:t xml:space="preserve">30,379,217 </w:t>
            </w:r>
          </w:p>
        </w:tc>
        <w:tc>
          <w:tcPr>
            <w:tcW w:w="1745" w:type="dxa"/>
            <w:vAlign w:val="center"/>
          </w:tcPr>
          <w:p w14:paraId="6AA458B7" w14:textId="1DBB20AE" w:rsidR="001C19A4" w:rsidRDefault="001C19A4" w:rsidP="005F27A6">
            <w:pPr>
              <w:spacing w:after="0"/>
              <w:jc w:val="right"/>
              <w:rPr>
                <w:rFonts w:eastAsiaTheme="minorHAnsi"/>
                <w:b/>
              </w:rPr>
            </w:pPr>
            <w:r w:rsidRPr="009E0F2C">
              <w:t xml:space="preserve"> </w:t>
            </w:r>
            <w:r w:rsidR="00E2289D">
              <w:t>$</w:t>
            </w:r>
            <w:r w:rsidRPr="009E0F2C">
              <w:t xml:space="preserve">4,125,498 </w:t>
            </w:r>
          </w:p>
        </w:tc>
        <w:tc>
          <w:tcPr>
            <w:tcW w:w="1850" w:type="dxa"/>
            <w:vAlign w:val="center"/>
          </w:tcPr>
          <w:p w14:paraId="3DEC55B3" w14:textId="43926077" w:rsidR="001C19A4" w:rsidRDefault="001C19A4" w:rsidP="005F27A6">
            <w:pPr>
              <w:spacing w:after="0"/>
              <w:jc w:val="right"/>
              <w:rPr>
                <w:rFonts w:eastAsiaTheme="minorHAnsi"/>
                <w:b/>
              </w:rPr>
            </w:pPr>
            <w:r w:rsidRPr="009E0F2C">
              <w:t xml:space="preserve"> </w:t>
            </w:r>
            <w:r w:rsidR="00E2289D">
              <w:t>$</w:t>
            </w:r>
            <w:r w:rsidRPr="009E0F2C">
              <w:t xml:space="preserve">26,253,719 </w:t>
            </w:r>
          </w:p>
        </w:tc>
      </w:tr>
      <w:tr w:rsidR="001C19A4" w14:paraId="16F94774" w14:textId="77777777" w:rsidTr="00DC1F4C">
        <w:trPr>
          <w:trHeight w:val="19"/>
        </w:trPr>
        <w:tc>
          <w:tcPr>
            <w:tcW w:w="1850" w:type="dxa"/>
            <w:vAlign w:val="center"/>
          </w:tcPr>
          <w:p w14:paraId="5D531324" w14:textId="77777777" w:rsidR="001C19A4" w:rsidRDefault="001C19A4" w:rsidP="005F27A6">
            <w:pPr>
              <w:spacing w:after="0"/>
              <w:rPr>
                <w:rFonts w:eastAsiaTheme="minorHAnsi"/>
                <w:b/>
              </w:rPr>
            </w:pPr>
            <w:r w:rsidRPr="00E608AD">
              <w:t>Employee Benefits</w:t>
            </w:r>
          </w:p>
        </w:tc>
        <w:tc>
          <w:tcPr>
            <w:tcW w:w="1925" w:type="dxa"/>
            <w:vAlign w:val="center"/>
          </w:tcPr>
          <w:p w14:paraId="57124277" w14:textId="15000CD3" w:rsidR="001C19A4" w:rsidRDefault="001C19A4" w:rsidP="005F27A6">
            <w:pPr>
              <w:spacing w:after="0"/>
              <w:jc w:val="right"/>
              <w:rPr>
                <w:rFonts w:eastAsiaTheme="minorHAnsi"/>
                <w:b/>
              </w:rPr>
            </w:pPr>
            <w:r w:rsidRPr="00E608AD">
              <w:t xml:space="preserve"> </w:t>
            </w:r>
            <w:r w:rsidR="00E2289D">
              <w:t>$</w:t>
            </w:r>
            <w:r w:rsidRPr="00E608AD">
              <w:t xml:space="preserve">52,402,259 </w:t>
            </w:r>
          </w:p>
        </w:tc>
        <w:tc>
          <w:tcPr>
            <w:tcW w:w="1775" w:type="dxa"/>
            <w:vAlign w:val="center"/>
          </w:tcPr>
          <w:p w14:paraId="728CA8C4" w14:textId="76E1DAC7" w:rsidR="001C19A4" w:rsidRDefault="001C19A4" w:rsidP="005F27A6">
            <w:pPr>
              <w:spacing w:after="0"/>
              <w:jc w:val="right"/>
              <w:rPr>
                <w:rFonts w:eastAsiaTheme="minorHAnsi"/>
                <w:b/>
              </w:rPr>
            </w:pPr>
            <w:r w:rsidRPr="00E608AD">
              <w:t xml:space="preserve"> </w:t>
            </w:r>
            <w:r w:rsidR="00E2289D">
              <w:t>$</w:t>
            </w:r>
            <w:r w:rsidRPr="00E608AD">
              <w:t xml:space="preserve">7,116,227 </w:t>
            </w:r>
          </w:p>
        </w:tc>
        <w:tc>
          <w:tcPr>
            <w:tcW w:w="1850" w:type="dxa"/>
            <w:vAlign w:val="center"/>
          </w:tcPr>
          <w:p w14:paraId="193369BB" w14:textId="3E4FB784" w:rsidR="001C19A4" w:rsidRDefault="001C19A4" w:rsidP="005F27A6">
            <w:pPr>
              <w:spacing w:after="0"/>
              <w:jc w:val="right"/>
              <w:rPr>
                <w:rFonts w:eastAsiaTheme="minorHAnsi"/>
                <w:b/>
              </w:rPr>
            </w:pPr>
            <w:r w:rsidRPr="00E608AD">
              <w:t xml:space="preserve"> </w:t>
            </w:r>
            <w:r w:rsidR="00E2289D">
              <w:t>$</w:t>
            </w:r>
            <w:r w:rsidRPr="00E608AD">
              <w:t xml:space="preserve">45,286,032 </w:t>
            </w:r>
          </w:p>
        </w:tc>
        <w:tc>
          <w:tcPr>
            <w:tcW w:w="1955" w:type="dxa"/>
            <w:vAlign w:val="center"/>
          </w:tcPr>
          <w:p w14:paraId="646BEE98" w14:textId="781900EE" w:rsidR="001C19A4" w:rsidRDefault="001C19A4" w:rsidP="005F27A6">
            <w:pPr>
              <w:spacing w:after="0"/>
              <w:jc w:val="right"/>
              <w:rPr>
                <w:rFonts w:eastAsiaTheme="minorHAnsi"/>
                <w:b/>
              </w:rPr>
            </w:pPr>
            <w:r w:rsidRPr="009E0F2C">
              <w:t xml:space="preserve"> </w:t>
            </w:r>
            <w:r w:rsidR="00E2289D">
              <w:t>$</w:t>
            </w:r>
            <w:r w:rsidRPr="009E0F2C">
              <w:t xml:space="preserve">62,009,661 </w:t>
            </w:r>
          </w:p>
        </w:tc>
        <w:tc>
          <w:tcPr>
            <w:tcW w:w="1745" w:type="dxa"/>
            <w:vAlign w:val="center"/>
          </w:tcPr>
          <w:p w14:paraId="1BAD17E2" w14:textId="5E5A0892" w:rsidR="001C19A4" w:rsidRDefault="001C19A4" w:rsidP="005F27A6">
            <w:pPr>
              <w:spacing w:after="0"/>
              <w:jc w:val="right"/>
              <w:rPr>
                <w:rFonts w:eastAsiaTheme="minorHAnsi"/>
                <w:b/>
              </w:rPr>
            </w:pPr>
            <w:r w:rsidRPr="009E0F2C">
              <w:t xml:space="preserve"> </w:t>
            </w:r>
            <w:r w:rsidR="00E2289D">
              <w:t>$</w:t>
            </w:r>
            <w:r w:rsidRPr="009E0F2C">
              <w:t xml:space="preserve">8,420,912 </w:t>
            </w:r>
          </w:p>
        </w:tc>
        <w:tc>
          <w:tcPr>
            <w:tcW w:w="1850" w:type="dxa"/>
            <w:vAlign w:val="center"/>
          </w:tcPr>
          <w:p w14:paraId="5A7A0AB2" w14:textId="61136272" w:rsidR="001C19A4" w:rsidRDefault="001C19A4" w:rsidP="005F27A6">
            <w:pPr>
              <w:spacing w:after="0"/>
              <w:jc w:val="right"/>
              <w:rPr>
                <w:rFonts w:eastAsiaTheme="minorHAnsi"/>
                <w:b/>
              </w:rPr>
            </w:pPr>
            <w:r w:rsidRPr="009E0F2C">
              <w:t xml:space="preserve"> </w:t>
            </w:r>
            <w:r w:rsidR="00E2289D">
              <w:t>$</w:t>
            </w:r>
            <w:r w:rsidRPr="009E0F2C">
              <w:t xml:space="preserve">53,588,749 </w:t>
            </w:r>
          </w:p>
        </w:tc>
      </w:tr>
      <w:tr w:rsidR="001C19A4" w14:paraId="340F2D3D" w14:textId="77777777" w:rsidTr="00DC1F4C">
        <w:trPr>
          <w:trHeight w:val="19"/>
        </w:trPr>
        <w:tc>
          <w:tcPr>
            <w:tcW w:w="1850" w:type="dxa"/>
            <w:vAlign w:val="center"/>
          </w:tcPr>
          <w:p w14:paraId="7436D91F" w14:textId="77777777" w:rsidR="001C19A4" w:rsidRDefault="001C19A4" w:rsidP="005F27A6">
            <w:pPr>
              <w:spacing w:after="0"/>
              <w:rPr>
                <w:rFonts w:eastAsiaTheme="minorHAnsi"/>
                <w:b/>
              </w:rPr>
            </w:pPr>
            <w:r w:rsidRPr="00E608AD">
              <w:t>Books and Supplies</w:t>
            </w:r>
          </w:p>
        </w:tc>
        <w:tc>
          <w:tcPr>
            <w:tcW w:w="1925" w:type="dxa"/>
            <w:vAlign w:val="center"/>
          </w:tcPr>
          <w:p w14:paraId="77346C00" w14:textId="068712F9" w:rsidR="001C19A4" w:rsidRDefault="001C19A4" w:rsidP="005F27A6">
            <w:pPr>
              <w:spacing w:after="0"/>
              <w:jc w:val="right"/>
              <w:rPr>
                <w:rFonts w:eastAsiaTheme="minorHAnsi"/>
                <w:b/>
              </w:rPr>
            </w:pPr>
            <w:r w:rsidRPr="00E608AD">
              <w:t xml:space="preserve"> </w:t>
            </w:r>
            <w:r w:rsidR="00E2289D">
              <w:t>$</w:t>
            </w:r>
            <w:r w:rsidRPr="00E608AD">
              <w:t xml:space="preserve">3,040,154 </w:t>
            </w:r>
          </w:p>
        </w:tc>
        <w:tc>
          <w:tcPr>
            <w:tcW w:w="1775" w:type="dxa"/>
            <w:vAlign w:val="center"/>
          </w:tcPr>
          <w:p w14:paraId="31203203" w14:textId="746ABF3A" w:rsidR="001C19A4" w:rsidRDefault="001C19A4" w:rsidP="005F27A6">
            <w:pPr>
              <w:spacing w:after="0"/>
              <w:jc w:val="right"/>
              <w:rPr>
                <w:rFonts w:eastAsiaTheme="minorHAnsi"/>
                <w:b/>
              </w:rPr>
            </w:pPr>
            <w:r w:rsidRPr="00E608AD">
              <w:t xml:space="preserve"> </w:t>
            </w:r>
            <w:r w:rsidR="00E2289D">
              <w:t>$</w:t>
            </w:r>
            <w:r w:rsidRPr="00E608AD">
              <w:t xml:space="preserve">412,853 </w:t>
            </w:r>
          </w:p>
        </w:tc>
        <w:tc>
          <w:tcPr>
            <w:tcW w:w="1850" w:type="dxa"/>
            <w:vAlign w:val="center"/>
          </w:tcPr>
          <w:p w14:paraId="3B2B7A3A" w14:textId="3063CE7B" w:rsidR="001C19A4" w:rsidRDefault="001C19A4" w:rsidP="005F27A6">
            <w:pPr>
              <w:spacing w:after="0"/>
              <w:jc w:val="right"/>
              <w:rPr>
                <w:rFonts w:eastAsiaTheme="minorHAnsi"/>
                <w:b/>
              </w:rPr>
            </w:pPr>
            <w:r w:rsidRPr="00E608AD">
              <w:t xml:space="preserve"> </w:t>
            </w:r>
            <w:r w:rsidR="00E2289D">
              <w:t>$</w:t>
            </w:r>
            <w:r w:rsidRPr="00E608AD">
              <w:t xml:space="preserve">2,627,301 </w:t>
            </w:r>
          </w:p>
        </w:tc>
        <w:tc>
          <w:tcPr>
            <w:tcW w:w="1955" w:type="dxa"/>
            <w:vAlign w:val="center"/>
          </w:tcPr>
          <w:p w14:paraId="0DFCD472" w14:textId="74A14738" w:rsidR="001C19A4" w:rsidRDefault="001C19A4" w:rsidP="005F27A6">
            <w:pPr>
              <w:spacing w:after="0"/>
              <w:jc w:val="right"/>
              <w:rPr>
                <w:rFonts w:eastAsiaTheme="minorHAnsi"/>
                <w:b/>
              </w:rPr>
            </w:pPr>
            <w:r w:rsidRPr="009E0F2C">
              <w:t xml:space="preserve"> </w:t>
            </w:r>
            <w:r w:rsidR="00E2289D">
              <w:t>$</w:t>
            </w:r>
            <w:r w:rsidRPr="009E0F2C">
              <w:t xml:space="preserve">8,135,860 </w:t>
            </w:r>
          </w:p>
        </w:tc>
        <w:tc>
          <w:tcPr>
            <w:tcW w:w="1745" w:type="dxa"/>
            <w:vAlign w:val="center"/>
          </w:tcPr>
          <w:p w14:paraId="376ED6EE" w14:textId="62B9B333" w:rsidR="001C19A4" w:rsidRDefault="001C19A4" w:rsidP="005F27A6">
            <w:pPr>
              <w:spacing w:after="0"/>
              <w:jc w:val="right"/>
              <w:rPr>
                <w:rFonts w:eastAsiaTheme="minorHAnsi"/>
                <w:b/>
              </w:rPr>
            </w:pPr>
            <w:r w:rsidRPr="009E0F2C">
              <w:t xml:space="preserve"> </w:t>
            </w:r>
            <w:r w:rsidR="00E2289D">
              <w:t>$</w:t>
            </w:r>
            <w:r w:rsidRPr="009E0F2C">
              <w:t xml:space="preserve">1,104,850 </w:t>
            </w:r>
          </w:p>
        </w:tc>
        <w:tc>
          <w:tcPr>
            <w:tcW w:w="1850" w:type="dxa"/>
            <w:vAlign w:val="center"/>
          </w:tcPr>
          <w:p w14:paraId="3238472C" w14:textId="2673E40C" w:rsidR="001C19A4" w:rsidRDefault="001C19A4" w:rsidP="005F27A6">
            <w:pPr>
              <w:spacing w:after="0"/>
              <w:jc w:val="right"/>
              <w:rPr>
                <w:rFonts w:eastAsiaTheme="minorHAnsi"/>
                <w:b/>
              </w:rPr>
            </w:pPr>
            <w:r w:rsidRPr="009E0F2C">
              <w:t xml:space="preserve"> </w:t>
            </w:r>
            <w:r w:rsidR="00E2289D">
              <w:t>$</w:t>
            </w:r>
            <w:r w:rsidRPr="009E0F2C">
              <w:t xml:space="preserve">7,031,010 </w:t>
            </w:r>
          </w:p>
        </w:tc>
      </w:tr>
      <w:tr w:rsidR="001C19A4" w14:paraId="6DD2572C" w14:textId="77777777" w:rsidTr="00DC1F4C">
        <w:trPr>
          <w:trHeight w:val="532"/>
        </w:trPr>
        <w:tc>
          <w:tcPr>
            <w:tcW w:w="1850" w:type="dxa"/>
            <w:vAlign w:val="center"/>
          </w:tcPr>
          <w:p w14:paraId="45475739" w14:textId="77777777" w:rsidR="001C19A4" w:rsidRDefault="001C19A4" w:rsidP="005F27A6">
            <w:pPr>
              <w:spacing w:after="0"/>
              <w:rPr>
                <w:rFonts w:eastAsiaTheme="minorHAnsi"/>
                <w:b/>
              </w:rPr>
            </w:pPr>
            <w:r w:rsidRPr="00E608AD">
              <w:lastRenderedPageBreak/>
              <w:t>Services and Other Operating</w:t>
            </w:r>
          </w:p>
        </w:tc>
        <w:tc>
          <w:tcPr>
            <w:tcW w:w="1925" w:type="dxa"/>
            <w:vAlign w:val="center"/>
          </w:tcPr>
          <w:p w14:paraId="5CEA0C48" w14:textId="22ABC294" w:rsidR="001C19A4" w:rsidRDefault="001C19A4" w:rsidP="005F27A6">
            <w:pPr>
              <w:spacing w:after="0"/>
              <w:jc w:val="right"/>
              <w:rPr>
                <w:rFonts w:eastAsiaTheme="minorHAnsi"/>
                <w:b/>
              </w:rPr>
            </w:pPr>
            <w:r w:rsidRPr="00E608AD">
              <w:t xml:space="preserve"> </w:t>
            </w:r>
            <w:r w:rsidR="001D4647">
              <w:t>$</w:t>
            </w:r>
            <w:r w:rsidRPr="00E608AD">
              <w:t xml:space="preserve">11,635,730 </w:t>
            </w:r>
          </w:p>
        </w:tc>
        <w:tc>
          <w:tcPr>
            <w:tcW w:w="1775" w:type="dxa"/>
            <w:vAlign w:val="center"/>
          </w:tcPr>
          <w:p w14:paraId="19E6198C" w14:textId="1219A00B" w:rsidR="001C19A4" w:rsidRDefault="001C19A4" w:rsidP="005F27A6">
            <w:pPr>
              <w:spacing w:after="0"/>
              <w:jc w:val="right"/>
              <w:rPr>
                <w:rFonts w:eastAsiaTheme="minorHAnsi"/>
                <w:b/>
              </w:rPr>
            </w:pPr>
            <w:r w:rsidRPr="00E608AD">
              <w:t xml:space="preserve"> </w:t>
            </w:r>
            <w:r w:rsidR="001D4647">
              <w:t>$</w:t>
            </w:r>
            <w:r w:rsidRPr="00E608AD">
              <w:t xml:space="preserve">1,580,132 </w:t>
            </w:r>
          </w:p>
        </w:tc>
        <w:tc>
          <w:tcPr>
            <w:tcW w:w="1850" w:type="dxa"/>
            <w:vAlign w:val="center"/>
          </w:tcPr>
          <w:p w14:paraId="2B6EDF36" w14:textId="15532357" w:rsidR="001C19A4" w:rsidRDefault="001C19A4" w:rsidP="005F27A6">
            <w:pPr>
              <w:spacing w:after="0"/>
              <w:jc w:val="right"/>
              <w:rPr>
                <w:rFonts w:eastAsiaTheme="minorHAnsi"/>
                <w:b/>
              </w:rPr>
            </w:pPr>
            <w:r w:rsidRPr="00E608AD">
              <w:t xml:space="preserve"> </w:t>
            </w:r>
            <w:r w:rsidR="001D4647">
              <w:t>$</w:t>
            </w:r>
            <w:r w:rsidRPr="00E608AD">
              <w:t xml:space="preserve">10,055,598 </w:t>
            </w:r>
          </w:p>
        </w:tc>
        <w:tc>
          <w:tcPr>
            <w:tcW w:w="1955" w:type="dxa"/>
            <w:vAlign w:val="center"/>
          </w:tcPr>
          <w:p w14:paraId="5775DBCE" w14:textId="70D056D6" w:rsidR="001C19A4" w:rsidRDefault="001C19A4" w:rsidP="005F27A6">
            <w:pPr>
              <w:spacing w:after="0"/>
              <w:jc w:val="right"/>
              <w:rPr>
                <w:rFonts w:eastAsiaTheme="minorHAnsi"/>
                <w:b/>
              </w:rPr>
            </w:pPr>
            <w:r w:rsidRPr="009E0F2C">
              <w:t xml:space="preserve"> </w:t>
            </w:r>
            <w:r w:rsidR="001D4647">
              <w:t>$</w:t>
            </w:r>
            <w:r w:rsidRPr="009E0F2C">
              <w:t xml:space="preserve">17,466,329 </w:t>
            </w:r>
          </w:p>
        </w:tc>
        <w:tc>
          <w:tcPr>
            <w:tcW w:w="1745" w:type="dxa"/>
            <w:vAlign w:val="center"/>
          </w:tcPr>
          <w:p w14:paraId="5F7E48B9" w14:textId="11828E22" w:rsidR="001C19A4" w:rsidRDefault="001C19A4" w:rsidP="005F27A6">
            <w:pPr>
              <w:spacing w:after="0"/>
              <w:jc w:val="right"/>
              <w:rPr>
                <w:rFonts w:eastAsiaTheme="minorHAnsi"/>
                <w:b/>
              </w:rPr>
            </w:pPr>
            <w:r w:rsidRPr="009E0F2C">
              <w:t xml:space="preserve"> </w:t>
            </w:r>
            <w:r w:rsidR="001D4647">
              <w:t>$</w:t>
            </w:r>
            <w:r w:rsidRPr="009E0F2C">
              <w:t xml:space="preserve">2,371,927 </w:t>
            </w:r>
          </w:p>
        </w:tc>
        <w:tc>
          <w:tcPr>
            <w:tcW w:w="1850" w:type="dxa"/>
            <w:vAlign w:val="center"/>
          </w:tcPr>
          <w:p w14:paraId="0AB8C7B6" w14:textId="00DC4254" w:rsidR="001C19A4" w:rsidRDefault="001C19A4" w:rsidP="005F27A6">
            <w:pPr>
              <w:spacing w:after="0"/>
              <w:jc w:val="right"/>
              <w:rPr>
                <w:rFonts w:eastAsiaTheme="minorHAnsi"/>
                <w:b/>
              </w:rPr>
            </w:pPr>
            <w:r w:rsidRPr="009E0F2C">
              <w:t xml:space="preserve"> </w:t>
            </w:r>
            <w:r w:rsidR="001D4647">
              <w:t>$</w:t>
            </w:r>
            <w:r w:rsidRPr="009E0F2C">
              <w:t xml:space="preserve">15,094,402 </w:t>
            </w:r>
          </w:p>
        </w:tc>
      </w:tr>
      <w:tr w:rsidR="001C19A4" w14:paraId="3A284630" w14:textId="77777777" w:rsidTr="00DC1F4C">
        <w:tc>
          <w:tcPr>
            <w:tcW w:w="1850" w:type="dxa"/>
            <w:vAlign w:val="center"/>
          </w:tcPr>
          <w:p w14:paraId="39672CD2" w14:textId="77777777" w:rsidR="001C19A4" w:rsidRDefault="001C19A4" w:rsidP="005F27A6">
            <w:pPr>
              <w:spacing w:after="0"/>
              <w:rPr>
                <w:rFonts w:eastAsiaTheme="minorHAnsi"/>
                <w:b/>
              </w:rPr>
            </w:pPr>
            <w:r w:rsidRPr="00E608AD">
              <w:t>Capital Outlay</w:t>
            </w:r>
            <w:r w:rsidRPr="00FB1ECA">
              <w:rPr>
                <w:rStyle w:val="FootnoteReference"/>
                <w:vertAlign w:val="superscript"/>
              </w:rPr>
              <w:footnoteReference w:id="21"/>
            </w:r>
          </w:p>
        </w:tc>
        <w:tc>
          <w:tcPr>
            <w:tcW w:w="1925" w:type="dxa"/>
            <w:vAlign w:val="center"/>
          </w:tcPr>
          <w:p w14:paraId="462F3540" w14:textId="583DAF3A" w:rsidR="001C19A4" w:rsidRDefault="001C19A4" w:rsidP="005F27A6">
            <w:pPr>
              <w:spacing w:after="0"/>
              <w:jc w:val="right"/>
              <w:rPr>
                <w:rFonts w:eastAsiaTheme="minorHAnsi"/>
                <w:b/>
              </w:rPr>
            </w:pPr>
            <w:r w:rsidRPr="00E608AD">
              <w:t xml:space="preserve"> </w:t>
            </w:r>
            <w:r w:rsidR="00E2289D">
              <w:t>$</w:t>
            </w:r>
            <w:r w:rsidRPr="00E608AD">
              <w:t xml:space="preserve">43,966 </w:t>
            </w:r>
          </w:p>
        </w:tc>
        <w:tc>
          <w:tcPr>
            <w:tcW w:w="1775" w:type="dxa"/>
            <w:vAlign w:val="center"/>
          </w:tcPr>
          <w:p w14:paraId="1C1AC499" w14:textId="4DFA1FE6" w:rsidR="001C19A4" w:rsidRDefault="001C19A4" w:rsidP="005F27A6">
            <w:pPr>
              <w:spacing w:after="0"/>
              <w:jc w:val="right"/>
              <w:rPr>
                <w:rFonts w:eastAsiaTheme="minorHAnsi"/>
                <w:b/>
              </w:rPr>
            </w:pPr>
            <w:r w:rsidRPr="00E608AD">
              <w:t xml:space="preserve"> </w:t>
            </w:r>
            <w:r w:rsidR="00E2289D">
              <w:t>$</w:t>
            </w:r>
            <w:r w:rsidRPr="00E608AD">
              <w:t xml:space="preserve">5,971 </w:t>
            </w:r>
          </w:p>
        </w:tc>
        <w:tc>
          <w:tcPr>
            <w:tcW w:w="1850" w:type="dxa"/>
            <w:vAlign w:val="center"/>
          </w:tcPr>
          <w:p w14:paraId="49F4EE15" w14:textId="26DC328A" w:rsidR="001C19A4" w:rsidRDefault="001C19A4" w:rsidP="005F27A6">
            <w:pPr>
              <w:spacing w:after="0"/>
              <w:jc w:val="right"/>
              <w:rPr>
                <w:rFonts w:eastAsiaTheme="minorHAnsi"/>
                <w:b/>
              </w:rPr>
            </w:pPr>
            <w:r w:rsidRPr="00E608AD">
              <w:t xml:space="preserve"> </w:t>
            </w:r>
            <w:r w:rsidR="00E2289D">
              <w:t>$</w:t>
            </w:r>
            <w:r w:rsidRPr="00E608AD">
              <w:t xml:space="preserve">37,995 </w:t>
            </w:r>
          </w:p>
        </w:tc>
        <w:tc>
          <w:tcPr>
            <w:tcW w:w="1955" w:type="dxa"/>
            <w:vAlign w:val="center"/>
          </w:tcPr>
          <w:p w14:paraId="545E86ED" w14:textId="5EEA465E" w:rsidR="001C19A4" w:rsidRDefault="001C19A4" w:rsidP="005F27A6">
            <w:pPr>
              <w:spacing w:after="0"/>
              <w:jc w:val="right"/>
              <w:rPr>
                <w:rFonts w:eastAsiaTheme="minorHAnsi"/>
                <w:b/>
              </w:rPr>
            </w:pPr>
            <w:r w:rsidRPr="009E0F2C">
              <w:t xml:space="preserve"> </w:t>
            </w:r>
            <w:r w:rsidR="00E2289D">
              <w:t>$</w:t>
            </w:r>
            <w:r w:rsidRPr="009E0F2C">
              <w:t xml:space="preserve">373,500 </w:t>
            </w:r>
          </w:p>
        </w:tc>
        <w:tc>
          <w:tcPr>
            <w:tcW w:w="1745" w:type="dxa"/>
            <w:vAlign w:val="center"/>
          </w:tcPr>
          <w:p w14:paraId="496B1022" w14:textId="55EC57B5" w:rsidR="001C19A4" w:rsidRDefault="001C19A4" w:rsidP="005F27A6">
            <w:pPr>
              <w:spacing w:after="0"/>
              <w:jc w:val="right"/>
              <w:rPr>
                <w:rFonts w:eastAsiaTheme="minorHAnsi"/>
                <w:b/>
              </w:rPr>
            </w:pPr>
            <w:r w:rsidRPr="009E0F2C">
              <w:t xml:space="preserve"> </w:t>
            </w:r>
            <w:r w:rsidR="00E2289D">
              <w:t>$</w:t>
            </w:r>
            <w:r w:rsidRPr="009E0F2C">
              <w:t xml:space="preserve">50,721 </w:t>
            </w:r>
          </w:p>
        </w:tc>
        <w:tc>
          <w:tcPr>
            <w:tcW w:w="1850" w:type="dxa"/>
            <w:vAlign w:val="center"/>
          </w:tcPr>
          <w:p w14:paraId="2B56C09E" w14:textId="0D0B08D3" w:rsidR="001C19A4" w:rsidRDefault="001C19A4" w:rsidP="005F27A6">
            <w:pPr>
              <w:spacing w:after="0"/>
              <w:jc w:val="right"/>
              <w:rPr>
                <w:rFonts w:eastAsiaTheme="minorHAnsi"/>
                <w:b/>
              </w:rPr>
            </w:pPr>
            <w:r w:rsidRPr="009E0F2C">
              <w:t xml:space="preserve"> </w:t>
            </w:r>
            <w:r w:rsidR="00E2289D">
              <w:t>$</w:t>
            </w:r>
            <w:r w:rsidRPr="009E0F2C">
              <w:t xml:space="preserve">322,779 </w:t>
            </w:r>
          </w:p>
        </w:tc>
      </w:tr>
      <w:tr w:rsidR="001C19A4" w14:paraId="4F9B78C4" w14:textId="77777777" w:rsidTr="00DC1F4C">
        <w:tc>
          <w:tcPr>
            <w:tcW w:w="1850" w:type="dxa"/>
            <w:vAlign w:val="center"/>
          </w:tcPr>
          <w:p w14:paraId="361982A5" w14:textId="77777777" w:rsidR="001C19A4" w:rsidRDefault="001C19A4" w:rsidP="005F27A6">
            <w:pPr>
              <w:spacing w:after="0"/>
              <w:rPr>
                <w:rFonts w:eastAsiaTheme="minorHAnsi"/>
                <w:b/>
              </w:rPr>
            </w:pPr>
            <w:proofErr w:type="gramStart"/>
            <w:r w:rsidRPr="00E608AD">
              <w:t>Other</w:t>
            </w:r>
            <w:proofErr w:type="gramEnd"/>
            <w:r w:rsidRPr="00E608AD">
              <w:t xml:space="preserve"> Outgo</w:t>
            </w:r>
            <w:r w:rsidRPr="00FB1ECA">
              <w:rPr>
                <w:rStyle w:val="FootnoteReference"/>
                <w:vertAlign w:val="superscript"/>
              </w:rPr>
              <w:footnoteReference w:id="22"/>
            </w:r>
          </w:p>
        </w:tc>
        <w:tc>
          <w:tcPr>
            <w:tcW w:w="1925" w:type="dxa"/>
            <w:vAlign w:val="center"/>
          </w:tcPr>
          <w:p w14:paraId="0BB5BA4D" w14:textId="0A7DA94C" w:rsidR="001C19A4" w:rsidRDefault="001C19A4" w:rsidP="005F27A6">
            <w:pPr>
              <w:spacing w:after="0"/>
              <w:jc w:val="right"/>
              <w:rPr>
                <w:rFonts w:eastAsiaTheme="minorHAnsi"/>
                <w:b/>
              </w:rPr>
            </w:pPr>
            <w:r w:rsidRPr="00E608AD">
              <w:t xml:space="preserve"> </w:t>
            </w:r>
            <w:r w:rsidR="00E2289D">
              <w:t>$</w:t>
            </w:r>
            <w:r w:rsidRPr="00E608AD">
              <w:t xml:space="preserve">308,436 </w:t>
            </w:r>
          </w:p>
        </w:tc>
        <w:tc>
          <w:tcPr>
            <w:tcW w:w="1775" w:type="dxa"/>
            <w:vAlign w:val="center"/>
          </w:tcPr>
          <w:p w14:paraId="55B8E4F4" w14:textId="25B57FB9" w:rsidR="001C19A4" w:rsidRDefault="00E2289D" w:rsidP="005F27A6">
            <w:pPr>
              <w:spacing w:after="0"/>
              <w:jc w:val="right"/>
              <w:rPr>
                <w:rFonts w:eastAsiaTheme="minorHAnsi"/>
                <w:b/>
              </w:rPr>
            </w:pPr>
            <w:r>
              <w:t>$</w:t>
            </w:r>
            <w:r w:rsidR="001C19A4">
              <w:t>0</w:t>
            </w:r>
            <w:r w:rsidR="0024655D">
              <w:t xml:space="preserve"> </w:t>
            </w:r>
            <w:r w:rsidR="001C19A4" w:rsidRPr="00E608AD">
              <w:t xml:space="preserve"> </w:t>
            </w:r>
          </w:p>
        </w:tc>
        <w:tc>
          <w:tcPr>
            <w:tcW w:w="1850" w:type="dxa"/>
            <w:vAlign w:val="center"/>
          </w:tcPr>
          <w:p w14:paraId="31343B55" w14:textId="62C99525" w:rsidR="001C19A4" w:rsidRDefault="001C19A4" w:rsidP="005F27A6">
            <w:pPr>
              <w:spacing w:after="0"/>
              <w:jc w:val="right"/>
              <w:rPr>
                <w:rFonts w:eastAsiaTheme="minorHAnsi"/>
                <w:b/>
              </w:rPr>
            </w:pPr>
            <w:r w:rsidRPr="00E608AD">
              <w:t xml:space="preserve"> </w:t>
            </w:r>
            <w:r w:rsidR="00E2289D">
              <w:t>$</w:t>
            </w:r>
            <w:r w:rsidRPr="00E608AD">
              <w:t xml:space="preserve">308,436 </w:t>
            </w:r>
          </w:p>
        </w:tc>
        <w:tc>
          <w:tcPr>
            <w:tcW w:w="1955" w:type="dxa"/>
            <w:vAlign w:val="center"/>
          </w:tcPr>
          <w:p w14:paraId="3BD50BCA" w14:textId="0D76F855" w:rsidR="001C19A4" w:rsidRDefault="001C19A4" w:rsidP="005F27A6">
            <w:pPr>
              <w:spacing w:after="0"/>
              <w:jc w:val="right"/>
              <w:rPr>
                <w:rFonts w:eastAsiaTheme="minorHAnsi"/>
                <w:b/>
              </w:rPr>
            </w:pPr>
            <w:r w:rsidRPr="009E0F2C">
              <w:t xml:space="preserve"> </w:t>
            </w:r>
            <w:r w:rsidR="00E2289D">
              <w:t>$</w:t>
            </w:r>
            <w:r>
              <w:t>0</w:t>
            </w:r>
            <w:r w:rsidRPr="009E0F2C">
              <w:t xml:space="preserve"> </w:t>
            </w:r>
          </w:p>
        </w:tc>
        <w:tc>
          <w:tcPr>
            <w:tcW w:w="1745" w:type="dxa"/>
            <w:vAlign w:val="center"/>
          </w:tcPr>
          <w:p w14:paraId="77320B0A" w14:textId="4B55AB32" w:rsidR="001C19A4" w:rsidRDefault="00E2289D" w:rsidP="005F27A6">
            <w:pPr>
              <w:spacing w:after="0"/>
              <w:jc w:val="right"/>
              <w:rPr>
                <w:rFonts w:eastAsiaTheme="minorHAnsi"/>
                <w:b/>
              </w:rPr>
            </w:pPr>
            <w:r>
              <w:t>$</w:t>
            </w:r>
            <w:r w:rsidR="001C19A4">
              <w:t>0</w:t>
            </w:r>
          </w:p>
        </w:tc>
        <w:tc>
          <w:tcPr>
            <w:tcW w:w="1850" w:type="dxa"/>
            <w:vAlign w:val="center"/>
          </w:tcPr>
          <w:p w14:paraId="55DE637C" w14:textId="038CF782" w:rsidR="001C19A4" w:rsidRDefault="00E2289D" w:rsidP="005F27A6">
            <w:pPr>
              <w:spacing w:after="0"/>
              <w:jc w:val="right"/>
              <w:rPr>
                <w:rFonts w:eastAsiaTheme="minorHAnsi"/>
                <w:b/>
              </w:rPr>
            </w:pPr>
            <w:r>
              <w:t>$</w:t>
            </w:r>
            <w:r w:rsidR="001C19A4">
              <w:t>0</w:t>
            </w:r>
          </w:p>
        </w:tc>
      </w:tr>
      <w:tr w:rsidR="001C19A4" w14:paraId="011A953E" w14:textId="77777777" w:rsidTr="00DC1F4C">
        <w:trPr>
          <w:trHeight w:val="19"/>
        </w:trPr>
        <w:tc>
          <w:tcPr>
            <w:tcW w:w="1850" w:type="dxa"/>
            <w:vAlign w:val="center"/>
          </w:tcPr>
          <w:p w14:paraId="1A74E68D" w14:textId="77777777" w:rsidR="001C19A4" w:rsidRDefault="001C19A4" w:rsidP="005F27A6">
            <w:pPr>
              <w:spacing w:after="0"/>
              <w:rPr>
                <w:rFonts w:eastAsiaTheme="minorHAnsi"/>
                <w:b/>
              </w:rPr>
            </w:pPr>
            <w:r w:rsidRPr="00E608AD">
              <w:t>Transfers Out/Other Uses</w:t>
            </w:r>
          </w:p>
        </w:tc>
        <w:tc>
          <w:tcPr>
            <w:tcW w:w="1925" w:type="dxa"/>
            <w:vAlign w:val="center"/>
          </w:tcPr>
          <w:p w14:paraId="11BD5F8E" w14:textId="075EF14A" w:rsidR="001C19A4" w:rsidRDefault="001C19A4" w:rsidP="005F27A6">
            <w:pPr>
              <w:spacing w:after="0"/>
              <w:jc w:val="right"/>
              <w:rPr>
                <w:rFonts w:eastAsiaTheme="minorHAnsi"/>
                <w:b/>
              </w:rPr>
            </w:pPr>
            <w:r w:rsidRPr="00E608AD">
              <w:t xml:space="preserve"> </w:t>
            </w:r>
            <w:r w:rsidR="00E2289D">
              <w:t>$</w:t>
            </w:r>
            <w:r w:rsidRPr="00E608AD">
              <w:t>(1,616,191)</w:t>
            </w:r>
          </w:p>
        </w:tc>
        <w:tc>
          <w:tcPr>
            <w:tcW w:w="1775" w:type="dxa"/>
            <w:vAlign w:val="center"/>
          </w:tcPr>
          <w:p w14:paraId="29078422" w14:textId="47DB7857" w:rsidR="001C19A4" w:rsidRDefault="001C19A4" w:rsidP="005F27A6">
            <w:pPr>
              <w:spacing w:after="0"/>
              <w:jc w:val="right"/>
              <w:rPr>
                <w:rFonts w:eastAsiaTheme="minorHAnsi"/>
                <w:b/>
              </w:rPr>
            </w:pPr>
            <w:r w:rsidRPr="00E608AD">
              <w:t xml:space="preserve"> </w:t>
            </w:r>
            <w:r w:rsidR="00E2289D">
              <w:t>$</w:t>
            </w:r>
            <w:r w:rsidRPr="00E608AD">
              <w:t>(219,479)</w:t>
            </w:r>
          </w:p>
        </w:tc>
        <w:tc>
          <w:tcPr>
            <w:tcW w:w="1850" w:type="dxa"/>
            <w:vAlign w:val="center"/>
          </w:tcPr>
          <w:p w14:paraId="2064D303" w14:textId="637BCB59" w:rsidR="001C19A4" w:rsidRDefault="001C19A4" w:rsidP="005F27A6">
            <w:pPr>
              <w:spacing w:after="0"/>
              <w:jc w:val="right"/>
              <w:rPr>
                <w:rFonts w:eastAsiaTheme="minorHAnsi"/>
                <w:b/>
              </w:rPr>
            </w:pPr>
            <w:r w:rsidRPr="00E608AD">
              <w:t xml:space="preserve"> </w:t>
            </w:r>
            <w:r w:rsidR="00E2289D">
              <w:t>$</w:t>
            </w:r>
            <w:r w:rsidRPr="00E608AD">
              <w:t>(1,396,712)</w:t>
            </w:r>
          </w:p>
        </w:tc>
        <w:tc>
          <w:tcPr>
            <w:tcW w:w="1955" w:type="dxa"/>
            <w:vAlign w:val="center"/>
          </w:tcPr>
          <w:p w14:paraId="56FFD894" w14:textId="37081105" w:rsidR="001C19A4" w:rsidRDefault="001C19A4" w:rsidP="005F27A6">
            <w:pPr>
              <w:spacing w:after="0"/>
              <w:jc w:val="right"/>
              <w:rPr>
                <w:rFonts w:eastAsiaTheme="minorHAnsi"/>
                <w:b/>
              </w:rPr>
            </w:pPr>
            <w:r w:rsidRPr="009E0F2C">
              <w:t xml:space="preserve"> </w:t>
            </w:r>
            <w:r w:rsidR="00E2289D">
              <w:t>$</w:t>
            </w:r>
            <w:r w:rsidRPr="009E0F2C">
              <w:t>(5,190,707)</w:t>
            </w:r>
          </w:p>
        </w:tc>
        <w:tc>
          <w:tcPr>
            <w:tcW w:w="1745" w:type="dxa"/>
            <w:vAlign w:val="center"/>
          </w:tcPr>
          <w:p w14:paraId="30249257" w14:textId="1C9D7945" w:rsidR="001C19A4" w:rsidRDefault="001C19A4" w:rsidP="005F27A6">
            <w:pPr>
              <w:spacing w:after="0"/>
              <w:jc w:val="right"/>
              <w:rPr>
                <w:rFonts w:eastAsiaTheme="minorHAnsi"/>
                <w:b/>
              </w:rPr>
            </w:pPr>
            <w:r w:rsidRPr="009E0F2C">
              <w:t xml:space="preserve"> </w:t>
            </w:r>
            <w:r w:rsidR="00E2289D">
              <w:t>$</w:t>
            </w:r>
            <w:r w:rsidRPr="009E0F2C">
              <w:t>(704,898)</w:t>
            </w:r>
          </w:p>
        </w:tc>
        <w:tc>
          <w:tcPr>
            <w:tcW w:w="1850" w:type="dxa"/>
            <w:vAlign w:val="center"/>
          </w:tcPr>
          <w:p w14:paraId="060ECEA7" w14:textId="1E9E6AEB" w:rsidR="001C19A4" w:rsidRDefault="001C19A4" w:rsidP="005F27A6">
            <w:pPr>
              <w:spacing w:after="0"/>
              <w:jc w:val="right"/>
              <w:rPr>
                <w:rFonts w:eastAsiaTheme="minorHAnsi"/>
                <w:b/>
              </w:rPr>
            </w:pPr>
            <w:r w:rsidRPr="009E0F2C">
              <w:t xml:space="preserve"> </w:t>
            </w:r>
            <w:r w:rsidR="00E2289D">
              <w:t>$</w:t>
            </w:r>
            <w:r w:rsidRPr="009E0F2C">
              <w:t>(4,485,809)</w:t>
            </w:r>
          </w:p>
        </w:tc>
      </w:tr>
      <w:tr w:rsidR="001C19A4" w14:paraId="6FD33084" w14:textId="77777777" w:rsidTr="00DC1F4C">
        <w:tc>
          <w:tcPr>
            <w:tcW w:w="1850" w:type="dxa"/>
            <w:vAlign w:val="center"/>
          </w:tcPr>
          <w:p w14:paraId="73DC2451" w14:textId="77777777" w:rsidR="001C19A4" w:rsidRDefault="001C19A4" w:rsidP="005F27A6">
            <w:pPr>
              <w:spacing w:after="0"/>
              <w:rPr>
                <w:rFonts w:eastAsiaTheme="minorHAnsi"/>
                <w:b/>
              </w:rPr>
            </w:pPr>
            <w:r w:rsidRPr="00E608AD">
              <w:t>Contributions</w:t>
            </w:r>
          </w:p>
        </w:tc>
        <w:tc>
          <w:tcPr>
            <w:tcW w:w="1925" w:type="dxa"/>
            <w:vAlign w:val="center"/>
          </w:tcPr>
          <w:p w14:paraId="5F6A2B7D" w14:textId="35DFFD9E" w:rsidR="001C19A4" w:rsidRDefault="001C19A4" w:rsidP="005F27A6">
            <w:pPr>
              <w:spacing w:after="0"/>
              <w:jc w:val="right"/>
              <w:rPr>
                <w:rFonts w:eastAsiaTheme="minorHAnsi"/>
                <w:b/>
              </w:rPr>
            </w:pPr>
            <w:r w:rsidRPr="00E608AD">
              <w:t xml:space="preserve"> </w:t>
            </w:r>
            <w:r w:rsidR="00E2289D">
              <w:t>$</w:t>
            </w:r>
            <w:r w:rsidRPr="00E608AD">
              <w:t xml:space="preserve">57,039,492 </w:t>
            </w:r>
          </w:p>
        </w:tc>
        <w:tc>
          <w:tcPr>
            <w:tcW w:w="1775" w:type="dxa"/>
            <w:vAlign w:val="center"/>
          </w:tcPr>
          <w:p w14:paraId="07134DBB" w14:textId="2B8463C6" w:rsidR="001C19A4" w:rsidRDefault="001C19A4" w:rsidP="005F27A6">
            <w:pPr>
              <w:spacing w:after="0"/>
              <w:jc w:val="right"/>
              <w:rPr>
                <w:rFonts w:eastAsiaTheme="minorHAnsi"/>
                <w:b/>
              </w:rPr>
            </w:pPr>
            <w:r w:rsidRPr="00E608AD">
              <w:t xml:space="preserve"> </w:t>
            </w:r>
            <w:r w:rsidR="00E2289D">
              <w:t>$</w:t>
            </w:r>
            <w:r w:rsidRPr="00E608AD">
              <w:t xml:space="preserve">7,745,963 </w:t>
            </w:r>
          </w:p>
        </w:tc>
        <w:tc>
          <w:tcPr>
            <w:tcW w:w="1850" w:type="dxa"/>
            <w:vAlign w:val="center"/>
          </w:tcPr>
          <w:p w14:paraId="0A99A0F4" w14:textId="4FBCD534" w:rsidR="001C19A4" w:rsidRDefault="001C19A4" w:rsidP="005F27A6">
            <w:pPr>
              <w:spacing w:after="0"/>
              <w:jc w:val="right"/>
              <w:rPr>
                <w:rFonts w:eastAsiaTheme="minorHAnsi"/>
                <w:b/>
              </w:rPr>
            </w:pPr>
            <w:r w:rsidRPr="00E608AD">
              <w:t xml:space="preserve"> </w:t>
            </w:r>
            <w:r w:rsidR="00E2289D">
              <w:t>$</w:t>
            </w:r>
            <w:r w:rsidRPr="00E608AD">
              <w:t xml:space="preserve">49,293,529 </w:t>
            </w:r>
          </w:p>
        </w:tc>
        <w:tc>
          <w:tcPr>
            <w:tcW w:w="1955" w:type="dxa"/>
          </w:tcPr>
          <w:p w14:paraId="42C075F3" w14:textId="1A61C07C" w:rsidR="001C19A4" w:rsidRDefault="001C19A4" w:rsidP="005F27A6">
            <w:pPr>
              <w:spacing w:after="0"/>
              <w:jc w:val="right"/>
              <w:rPr>
                <w:rFonts w:eastAsiaTheme="minorHAnsi"/>
                <w:b/>
              </w:rPr>
            </w:pPr>
            <w:r w:rsidRPr="00BA6736">
              <w:t xml:space="preserve"> </w:t>
            </w:r>
            <w:r w:rsidR="00E2289D">
              <w:t>$</w:t>
            </w:r>
            <w:r w:rsidRPr="00BA6736">
              <w:t>66,963,800</w:t>
            </w:r>
          </w:p>
        </w:tc>
        <w:tc>
          <w:tcPr>
            <w:tcW w:w="1745" w:type="dxa"/>
          </w:tcPr>
          <w:p w14:paraId="6C79C5CA" w14:textId="4353D3D8" w:rsidR="001C19A4" w:rsidRDefault="001C19A4" w:rsidP="005F27A6">
            <w:pPr>
              <w:spacing w:after="0"/>
              <w:jc w:val="right"/>
              <w:rPr>
                <w:rFonts w:eastAsiaTheme="minorHAnsi"/>
                <w:b/>
              </w:rPr>
            </w:pPr>
            <w:r w:rsidRPr="00BA6736">
              <w:t xml:space="preserve"> </w:t>
            </w:r>
            <w:r w:rsidR="00E2289D">
              <w:t>$</w:t>
            </w:r>
            <w:r w:rsidRPr="00BA6736">
              <w:t>9,093,684</w:t>
            </w:r>
          </w:p>
        </w:tc>
        <w:tc>
          <w:tcPr>
            <w:tcW w:w="1850" w:type="dxa"/>
          </w:tcPr>
          <w:p w14:paraId="16A5C069" w14:textId="574B2979" w:rsidR="001C19A4" w:rsidRDefault="001C19A4" w:rsidP="005F27A6">
            <w:pPr>
              <w:spacing w:after="0"/>
              <w:jc w:val="right"/>
              <w:rPr>
                <w:rFonts w:eastAsiaTheme="minorHAnsi"/>
                <w:b/>
              </w:rPr>
            </w:pPr>
            <w:r w:rsidRPr="00BA6736">
              <w:t xml:space="preserve"> </w:t>
            </w:r>
            <w:r w:rsidR="00E2289D">
              <w:t>$</w:t>
            </w:r>
            <w:r w:rsidRPr="00BA6736">
              <w:t>57,870,116</w:t>
            </w:r>
          </w:p>
        </w:tc>
      </w:tr>
      <w:tr w:rsidR="001C19A4" w14:paraId="5BD52574" w14:textId="77777777" w:rsidTr="00DC1F4C">
        <w:tc>
          <w:tcPr>
            <w:tcW w:w="1850" w:type="dxa"/>
            <w:vAlign w:val="center"/>
          </w:tcPr>
          <w:p w14:paraId="13F936E2" w14:textId="77777777" w:rsidR="001C19A4" w:rsidRPr="00C4647F" w:rsidRDefault="001C19A4" w:rsidP="005F27A6">
            <w:pPr>
              <w:spacing w:after="0"/>
              <w:jc w:val="right"/>
              <w:rPr>
                <w:rFonts w:eastAsiaTheme="minorHAnsi"/>
                <w:b/>
              </w:rPr>
            </w:pPr>
            <w:r w:rsidRPr="00C4647F">
              <w:rPr>
                <w:b/>
              </w:rPr>
              <w:t>Total Expenditures</w:t>
            </w:r>
          </w:p>
        </w:tc>
        <w:tc>
          <w:tcPr>
            <w:tcW w:w="1925" w:type="dxa"/>
            <w:vAlign w:val="center"/>
          </w:tcPr>
          <w:p w14:paraId="5ABB4A8D" w14:textId="06BC9C6F" w:rsidR="001C19A4" w:rsidRPr="00C4647F" w:rsidRDefault="001C19A4" w:rsidP="005F27A6">
            <w:pPr>
              <w:spacing w:after="0"/>
              <w:jc w:val="right"/>
              <w:rPr>
                <w:rFonts w:eastAsiaTheme="minorHAnsi"/>
                <w:b/>
              </w:rPr>
            </w:pPr>
            <w:r w:rsidRPr="00C4647F">
              <w:rPr>
                <w:b/>
              </w:rPr>
              <w:t xml:space="preserve"> </w:t>
            </w:r>
            <w:r w:rsidR="00E2289D">
              <w:rPr>
                <w:b/>
              </w:rPr>
              <w:t>$</w:t>
            </w:r>
            <w:r w:rsidRPr="00C4647F">
              <w:rPr>
                <w:b/>
              </w:rPr>
              <w:t xml:space="preserve">247,113,714 </w:t>
            </w:r>
          </w:p>
        </w:tc>
        <w:tc>
          <w:tcPr>
            <w:tcW w:w="1775" w:type="dxa"/>
            <w:vAlign w:val="center"/>
          </w:tcPr>
          <w:p w14:paraId="5E27E3E1" w14:textId="665DF4BA" w:rsidR="001C19A4" w:rsidRPr="00C4647F" w:rsidRDefault="001C19A4" w:rsidP="005F27A6">
            <w:pPr>
              <w:spacing w:after="0"/>
              <w:jc w:val="right"/>
              <w:rPr>
                <w:rFonts w:eastAsiaTheme="minorHAnsi"/>
                <w:b/>
              </w:rPr>
            </w:pPr>
            <w:r w:rsidRPr="00C4647F">
              <w:rPr>
                <w:b/>
              </w:rPr>
              <w:t xml:space="preserve"> </w:t>
            </w:r>
            <w:r w:rsidR="00E2289D">
              <w:rPr>
                <w:b/>
              </w:rPr>
              <w:t>$</w:t>
            </w:r>
            <w:r w:rsidRPr="00C4647F">
              <w:rPr>
                <w:b/>
              </w:rPr>
              <w:t xml:space="preserve">33,516,157 </w:t>
            </w:r>
          </w:p>
        </w:tc>
        <w:tc>
          <w:tcPr>
            <w:tcW w:w="1850" w:type="dxa"/>
            <w:vAlign w:val="center"/>
          </w:tcPr>
          <w:p w14:paraId="3B5E14B7" w14:textId="1EA99C21" w:rsidR="001C19A4" w:rsidRPr="00C4647F" w:rsidRDefault="001C19A4" w:rsidP="005F27A6">
            <w:pPr>
              <w:spacing w:after="0"/>
              <w:jc w:val="right"/>
              <w:rPr>
                <w:rFonts w:eastAsiaTheme="minorHAnsi"/>
                <w:b/>
              </w:rPr>
            </w:pPr>
            <w:r w:rsidRPr="00C4647F">
              <w:rPr>
                <w:b/>
              </w:rPr>
              <w:t xml:space="preserve"> </w:t>
            </w:r>
            <w:r w:rsidR="00E2289D">
              <w:rPr>
                <w:b/>
              </w:rPr>
              <w:t>$</w:t>
            </w:r>
            <w:r w:rsidRPr="00C4647F">
              <w:rPr>
                <w:b/>
              </w:rPr>
              <w:t xml:space="preserve">213,597,557 </w:t>
            </w:r>
          </w:p>
        </w:tc>
        <w:tc>
          <w:tcPr>
            <w:tcW w:w="1955" w:type="dxa"/>
            <w:vAlign w:val="center"/>
          </w:tcPr>
          <w:p w14:paraId="234D927D" w14:textId="546991EC" w:rsidR="001C19A4" w:rsidRPr="00C4647F" w:rsidRDefault="001C19A4" w:rsidP="005F27A6">
            <w:pPr>
              <w:spacing w:after="0"/>
              <w:jc w:val="right"/>
              <w:rPr>
                <w:rFonts w:eastAsiaTheme="minorHAnsi"/>
                <w:b/>
              </w:rPr>
            </w:pPr>
            <w:r w:rsidRPr="00C4647F">
              <w:rPr>
                <w:b/>
              </w:rPr>
              <w:t xml:space="preserve"> </w:t>
            </w:r>
            <w:r w:rsidR="00E2289D">
              <w:rPr>
                <w:b/>
              </w:rPr>
              <w:t>$</w:t>
            </w:r>
            <w:r w:rsidRPr="00C4647F">
              <w:rPr>
                <w:b/>
              </w:rPr>
              <w:t xml:space="preserve">292,778,837 </w:t>
            </w:r>
          </w:p>
        </w:tc>
        <w:tc>
          <w:tcPr>
            <w:tcW w:w="1745" w:type="dxa"/>
            <w:vAlign w:val="center"/>
          </w:tcPr>
          <w:p w14:paraId="71F98F5D" w14:textId="4FE3C8EA" w:rsidR="001C19A4" w:rsidRPr="00C4647F" w:rsidRDefault="001C19A4" w:rsidP="005F27A6">
            <w:pPr>
              <w:spacing w:after="0"/>
              <w:jc w:val="right"/>
              <w:rPr>
                <w:rFonts w:eastAsiaTheme="minorHAnsi"/>
                <w:b/>
              </w:rPr>
            </w:pPr>
            <w:r w:rsidRPr="00C4647F">
              <w:rPr>
                <w:b/>
              </w:rPr>
              <w:t xml:space="preserve"> </w:t>
            </w:r>
            <w:r w:rsidR="00E2289D">
              <w:rPr>
                <w:b/>
              </w:rPr>
              <w:t>$</w:t>
            </w:r>
            <w:r w:rsidRPr="00C4647F">
              <w:rPr>
                <w:b/>
              </w:rPr>
              <w:t>3</w:t>
            </w:r>
            <w:r>
              <w:rPr>
                <w:b/>
              </w:rPr>
              <w:t>9,759,366</w:t>
            </w:r>
            <w:r w:rsidRPr="00C4647F">
              <w:rPr>
                <w:b/>
              </w:rPr>
              <w:t xml:space="preserve"> </w:t>
            </w:r>
          </w:p>
        </w:tc>
        <w:tc>
          <w:tcPr>
            <w:tcW w:w="1850" w:type="dxa"/>
            <w:vAlign w:val="center"/>
          </w:tcPr>
          <w:p w14:paraId="0DFDC758" w14:textId="69DE5BF3" w:rsidR="001C19A4" w:rsidRPr="00C4647F" w:rsidRDefault="001C19A4" w:rsidP="005F27A6">
            <w:pPr>
              <w:spacing w:after="0"/>
              <w:jc w:val="right"/>
              <w:rPr>
                <w:rFonts w:eastAsiaTheme="minorHAnsi"/>
                <w:b/>
              </w:rPr>
            </w:pPr>
            <w:r w:rsidRPr="00C4647F">
              <w:rPr>
                <w:b/>
              </w:rPr>
              <w:t xml:space="preserve"> </w:t>
            </w:r>
            <w:r w:rsidR="00E2289D">
              <w:rPr>
                <w:b/>
              </w:rPr>
              <w:t>$</w:t>
            </w:r>
            <w:r w:rsidRPr="00C4647F">
              <w:rPr>
                <w:b/>
              </w:rPr>
              <w:t>2</w:t>
            </w:r>
            <w:r>
              <w:rPr>
                <w:b/>
              </w:rPr>
              <w:t>5</w:t>
            </w:r>
            <w:r w:rsidRPr="00C4647F">
              <w:rPr>
                <w:b/>
              </w:rPr>
              <w:t>3,</w:t>
            </w:r>
            <w:r>
              <w:rPr>
                <w:b/>
              </w:rPr>
              <w:t>019</w:t>
            </w:r>
            <w:r w:rsidRPr="00C4647F">
              <w:rPr>
                <w:b/>
              </w:rPr>
              <w:t>,</w:t>
            </w:r>
            <w:r>
              <w:rPr>
                <w:b/>
              </w:rPr>
              <w:t>471</w:t>
            </w:r>
            <w:r w:rsidRPr="00C4647F">
              <w:rPr>
                <w:b/>
              </w:rPr>
              <w:t xml:space="preserve"> </w:t>
            </w:r>
          </w:p>
        </w:tc>
      </w:tr>
      <w:tr w:rsidR="001C19A4" w14:paraId="72F04629" w14:textId="77777777" w:rsidTr="00DC1F4C">
        <w:tc>
          <w:tcPr>
            <w:tcW w:w="1850" w:type="dxa"/>
            <w:vAlign w:val="center"/>
          </w:tcPr>
          <w:p w14:paraId="1B0AAC9C" w14:textId="77777777" w:rsidR="001C19A4" w:rsidRDefault="001C19A4" w:rsidP="005F27A6">
            <w:pPr>
              <w:spacing w:after="0"/>
              <w:rPr>
                <w:rFonts w:eastAsiaTheme="minorHAnsi"/>
                <w:b/>
              </w:rPr>
            </w:pPr>
            <w:r w:rsidRPr="00E608AD">
              <w:t>Net Increase (Decrease) in Fund Balance</w:t>
            </w:r>
          </w:p>
        </w:tc>
        <w:tc>
          <w:tcPr>
            <w:tcW w:w="1925" w:type="dxa"/>
            <w:vAlign w:val="center"/>
          </w:tcPr>
          <w:p w14:paraId="038C8B82" w14:textId="6134AEF5" w:rsidR="001C19A4" w:rsidRDefault="001C19A4" w:rsidP="005F27A6">
            <w:pPr>
              <w:spacing w:after="0"/>
              <w:jc w:val="right"/>
              <w:rPr>
                <w:rFonts w:eastAsiaTheme="minorHAnsi"/>
                <w:b/>
              </w:rPr>
            </w:pPr>
            <w:r w:rsidRPr="00E608AD">
              <w:t xml:space="preserve"> </w:t>
            </w:r>
            <w:r w:rsidR="00E2289D">
              <w:t>$</w:t>
            </w:r>
            <w:r w:rsidRPr="00E608AD">
              <w:t xml:space="preserve">36,349,240 </w:t>
            </w:r>
          </w:p>
        </w:tc>
        <w:tc>
          <w:tcPr>
            <w:tcW w:w="1775" w:type="dxa"/>
            <w:vAlign w:val="center"/>
          </w:tcPr>
          <w:p w14:paraId="41D09B7F" w14:textId="1B5BB4F7" w:rsidR="001C19A4" w:rsidRDefault="001C19A4" w:rsidP="005F27A6">
            <w:pPr>
              <w:spacing w:after="0"/>
              <w:jc w:val="right"/>
              <w:rPr>
                <w:rFonts w:eastAsiaTheme="minorHAnsi"/>
                <w:b/>
              </w:rPr>
            </w:pPr>
            <w:r w:rsidRPr="00E608AD">
              <w:t xml:space="preserve"> </w:t>
            </w:r>
            <w:r w:rsidR="00E2289D">
              <w:t>$</w:t>
            </w:r>
            <w:r w:rsidRPr="00E608AD">
              <w:t xml:space="preserve">1,114,756 </w:t>
            </w:r>
          </w:p>
        </w:tc>
        <w:tc>
          <w:tcPr>
            <w:tcW w:w="1850" w:type="dxa"/>
            <w:vAlign w:val="center"/>
          </w:tcPr>
          <w:p w14:paraId="7AEA237C" w14:textId="0C34DE29" w:rsidR="001C19A4" w:rsidRDefault="001C19A4" w:rsidP="005F27A6">
            <w:pPr>
              <w:spacing w:after="0"/>
              <w:jc w:val="right"/>
              <w:rPr>
                <w:rFonts w:eastAsiaTheme="minorHAnsi"/>
                <w:b/>
              </w:rPr>
            </w:pPr>
            <w:r w:rsidRPr="00E608AD">
              <w:t xml:space="preserve"> </w:t>
            </w:r>
            <w:r w:rsidR="00E2289D">
              <w:t>$</w:t>
            </w:r>
            <w:r w:rsidRPr="00E608AD">
              <w:t xml:space="preserve">36,868,445 </w:t>
            </w:r>
          </w:p>
        </w:tc>
        <w:tc>
          <w:tcPr>
            <w:tcW w:w="1955" w:type="dxa"/>
            <w:vAlign w:val="center"/>
          </w:tcPr>
          <w:p w14:paraId="03604FC6" w14:textId="6BB3FEAD" w:rsidR="001C19A4" w:rsidRDefault="001C19A4" w:rsidP="005F27A6">
            <w:pPr>
              <w:spacing w:after="0"/>
              <w:jc w:val="right"/>
              <w:rPr>
                <w:rFonts w:eastAsiaTheme="minorHAnsi"/>
                <w:b/>
              </w:rPr>
            </w:pPr>
            <w:r w:rsidRPr="00E608AD">
              <w:t xml:space="preserve"> </w:t>
            </w:r>
            <w:r w:rsidR="00E2289D">
              <w:t>$</w:t>
            </w:r>
            <w:r w:rsidRPr="00E608AD">
              <w:t xml:space="preserve">8,308,258 </w:t>
            </w:r>
          </w:p>
        </w:tc>
        <w:tc>
          <w:tcPr>
            <w:tcW w:w="1745" w:type="dxa"/>
            <w:vAlign w:val="center"/>
          </w:tcPr>
          <w:p w14:paraId="20E11EFF" w14:textId="2326805E" w:rsidR="001C19A4" w:rsidRDefault="00E2289D" w:rsidP="005F27A6">
            <w:pPr>
              <w:spacing w:after="0"/>
              <w:jc w:val="right"/>
              <w:rPr>
                <w:rFonts w:eastAsiaTheme="minorHAnsi"/>
                <w:b/>
              </w:rPr>
            </w:pPr>
            <w:r>
              <w:t>$</w:t>
            </w:r>
            <w:r w:rsidR="001C19A4">
              <w:t>(3,508,037)</w:t>
            </w:r>
            <w:r w:rsidR="001C19A4" w:rsidRPr="00E608AD">
              <w:t xml:space="preserve"> </w:t>
            </w:r>
          </w:p>
        </w:tc>
        <w:tc>
          <w:tcPr>
            <w:tcW w:w="1850" w:type="dxa"/>
            <w:vAlign w:val="center"/>
          </w:tcPr>
          <w:p w14:paraId="776EDBB9" w14:textId="72C945DD" w:rsidR="001C19A4" w:rsidRDefault="001C19A4" w:rsidP="005F27A6">
            <w:pPr>
              <w:spacing w:after="0"/>
              <w:jc w:val="right"/>
              <w:rPr>
                <w:rFonts w:eastAsiaTheme="minorHAnsi"/>
                <w:b/>
              </w:rPr>
            </w:pPr>
            <w:r w:rsidRPr="00E608AD">
              <w:t xml:space="preserve"> </w:t>
            </w:r>
            <w:r w:rsidR="00E2289D">
              <w:t>$</w:t>
            </w:r>
            <w:r>
              <w:t>10,427,423</w:t>
            </w:r>
            <w:r w:rsidRPr="00E608AD">
              <w:t xml:space="preserve"> </w:t>
            </w:r>
          </w:p>
        </w:tc>
      </w:tr>
      <w:tr w:rsidR="001C19A4" w14:paraId="464FB5CE" w14:textId="77777777" w:rsidTr="00DC1F4C">
        <w:tc>
          <w:tcPr>
            <w:tcW w:w="1850" w:type="dxa"/>
            <w:vAlign w:val="center"/>
          </w:tcPr>
          <w:p w14:paraId="06C079C6" w14:textId="77777777" w:rsidR="001C19A4" w:rsidRDefault="001C19A4" w:rsidP="005F27A6">
            <w:pPr>
              <w:spacing w:after="0"/>
              <w:rPr>
                <w:rFonts w:eastAsiaTheme="minorHAnsi"/>
                <w:b/>
              </w:rPr>
            </w:pPr>
            <w:r w:rsidRPr="00E608AD">
              <w:lastRenderedPageBreak/>
              <w:t>Beginning Fund Balance</w:t>
            </w:r>
          </w:p>
        </w:tc>
        <w:tc>
          <w:tcPr>
            <w:tcW w:w="1925" w:type="dxa"/>
            <w:vAlign w:val="center"/>
          </w:tcPr>
          <w:p w14:paraId="210C638B" w14:textId="1303C00C" w:rsidR="001C19A4" w:rsidRDefault="001D4647" w:rsidP="005F27A6">
            <w:pPr>
              <w:spacing w:after="0"/>
              <w:jc w:val="right"/>
              <w:rPr>
                <w:rFonts w:eastAsiaTheme="minorHAnsi"/>
                <w:b/>
              </w:rPr>
            </w:pPr>
            <w:r>
              <w:t>$</w:t>
            </w:r>
            <w:r w:rsidR="001C19A4" w:rsidRPr="00E608AD">
              <w:t xml:space="preserve">29,784,253 </w:t>
            </w:r>
          </w:p>
        </w:tc>
        <w:tc>
          <w:tcPr>
            <w:tcW w:w="1775" w:type="dxa"/>
            <w:vAlign w:val="center"/>
          </w:tcPr>
          <w:p w14:paraId="73539154" w14:textId="07431492" w:rsidR="001C19A4" w:rsidRDefault="001C19A4" w:rsidP="005F27A6">
            <w:pPr>
              <w:spacing w:after="0"/>
              <w:jc w:val="right"/>
              <w:rPr>
                <w:rFonts w:eastAsiaTheme="minorHAnsi"/>
                <w:b/>
              </w:rPr>
            </w:pPr>
            <w:r w:rsidRPr="00E608AD">
              <w:t xml:space="preserve"> </w:t>
            </w:r>
            <w:r w:rsidR="001D4647">
              <w:t>$</w:t>
            </w:r>
            <w:r w:rsidRPr="00E608AD">
              <w:t xml:space="preserve">4,044,702 </w:t>
            </w:r>
          </w:p>
        </w:tc>
        <w:tc>
          <w:tcPr>
            <w:tcW w:w="1850" w:type="dxa"/>
            <w:vAlign w:val="center"/>
          </w:tcPr>
          <w:p w14:paraId="67FB2871" w14:textId="4726329C" w:rsidR="001C19A4" w:rsidRDefault="001C19A4" w:rsidP="005F27A6">
            <w:pPr>
              <w:spacing w:after="0"/>
              <w:jc w:val="right"/>
              <w:rPr>
                <w:rFonts w:eastAsiaTheme="minorHAnsi"/>
                <w:b/>
              </w:rPr>
            </w:pPr>
            <w:r w:rsidRPr="00E608AD">
              <w:t xml:space="preserve"> </w:t>
            </w:r>
            <w:r w:rsidR="001D4647">
              <w:t>$</w:t>
            </w:r>
            <w:r w:rsidRPr="00E608AD">
              <w:t xml:space="preserve">25,739,551 </w:t>
            </w:r>
          </w:p>
        </w:tc>
        <w:tc>
          <w:tcPr>
            <w:tcW w:w="1955" w:type="dxa"/>
            <w:vAlign w:val="center"/>
          </w:tcPr>
          <w:p w14:paraId="294B6AAB" w14:textId="6A676CA2" w:rsidR="001C19A4" w:rsidRDefault="001C19A4" w:rsidP="005F27A6">
            <w:pPr>
              <w:spacing w:after="0"/>
              <w:jc w:val="right"/>
              <w:rPr>
                <w:rFonts w:eastAsiaTheme="minorHAnsi"/>
                <w:b/>
              </w:rPr>
            </w:pPr>
            <w:r w:rsidRPr="002E10D5">
              <w:t xml:space="preserve"> </w:t>
            </w:r>
            <w:r w:rsidR="001D4647">
              <w:t>$</w:t>
            </w:r>
            <w:r w:rsidRPr="002E10D5">
              <w:t>66,133,49</w:t>
            </w:r>
            <w:r>
              <w:t>3</w:t>
            </w:r>
            <w:r w:rsidRPr="002E10D5">
              <w:t xml:space="preserve"> </w:t>
            </w:r>
          </w:p>
        </w:tc>
        <w:tc>
          <w:tcPr>
            <w:tcW w:w="1745" w:type="dxa"/>
            <w:vAlign w:val="center"/>
          </w:tcPr>
          <w:p w14:paraId="4D47E003" w14:textId="6B8B0719" w:rsidR="001C19A4" w:rsidRDefault="001C19A4" w:rsidP="005F27A6">
            <w:pPr>
              <w:spacing w:after="0"/>
              <w:jc w:val="right"/>
              <w:rPr>
                <w:rFonts w:eastAsiaTheme="minorHAnsi"/>
                <w:b/>
              </w:rPr>
            </w:pPr>
            <w:r w:rsidRPr="002E10D5">
              <w:t xml:space="preserve"> </w:t>
            </w:r>
            <w:r w:rsidR="001D4647">
              <w:t>$</w:t>
            </w:r>
            <w:r w:rsidRPr="002E10D5">
              <w:t xml:space="preserve">5,159,458 </w:t>
            </w:r>
          </w:p>
        </w:tc>
        <w:tc>
          <w:tcPr>
            <w:tcW w:w="1850" w:type="dxa"/>
            <w:vAlign w:val="center"/>
          </w:tcPr>
          <w:p w14:paraId="5969AE47" w14:textId="5443DFFB" w:rsidR="001C19A4" w:rsidRDefault="001C19A4" w:rsidP="005F27A6">
            <w:pPr>
              <w:spacing w:after="0"/>
              <w:jc w:val="right"/>
              <w:rPr>
                <w:rFonts w:eastAsiaTheme="minorHAnsi"/>
                <w:b/>
              </w:rPr>
            </w:pPr>
            <w:r w:rsidRPr="002E10D5">
              <w:t xml:space="preserve"> </w:t>
            </w:r>
            <w:r w:rsidR="001D4647">
              <w:t>$</w:t>
            </w:r>
            <w:r w:rsidRPr="002E10D5">
              <w:t xml:space="preserve">62,607,996 </w:t>
            </w:r>
          </w:p>
        </w:tc>
      </w:tr>
      <w:tr w:rsidR="001C19A4" w14:paraId="7F2F6643" w14:textId="77777777" w:rsidTr="00DC1F4C">
        <w:tc>
          <w:tcPr>
            <w:tcW w:w="1850" w:type="dxa"/>
            <w:vAlign w:val="center"/>
          </w:tcPr>
          <w:p w14:paraId="7AFE7BC5" w14:textId="77777777" w:rsidR="001C19A4" w:rsidRDefault="001C19A4" w:rsidP="005F27A6">
            <w:pPr>
              <w:spacing w:after="0"/>
              <w:rPr>
                <w:rFonts w:eastAsiaTheme="minorHAnsi"/>
                <w:b/>
              </w:rPr>
            </w:pPr>
            <w:r w:rsidRPr="00E608AD">
              <w:t>Ending Fund Balance</w:t>
            </w:r>
          </w:p>
        </w:tc>
        <w:tc>
          <w:tcPr>
            <w:tcW w:w="1925" w:type="dxa"/>
            <w:vAlign w:val="center"/>
          </w:tcPr>
          <w:p w14:paraId="0FDF2FE7" w14:textId="0DFE3B60" w:rsidR="001C19A4" w:rsidRDefault="001C19A4" w:rsidP="005F27A6">
            <w:pPr>
              <w:spacing w:after="0"/>
              <w:jc w:val="right"/>
              <w:rPr>
                <w:rFonts w:eastAsiaTheme="minorHAnsi"/>
                <w:b/>
              </w:rPr>
            </w:pPr>
            <w:r w:rsidRPr="00E608AD">
              <w:t xml:space="preserve"> </w:t>
            </w:r>
            <w:r w:rsidR="001D4647">
              <w:t>$</w:t>
            </w:r>
            <w:r w:rsidRPr="00E608AD">
              <w:t>66,133,49</w:t>
            </w:r>
            <w:r>
              <w:t>3</w:t>
            </w:r>
            <w:r w:rsidRPr="00E608AD">
              <w:t xml:space="preserve"> </w:t>
            </w:r>
          </w:p>
        </w:tc>
        <w:tc>
          <w:tcPr>
            <w:tcW w:w="1775" w:type="dxa"/>
            <w:vAlign w:val="center"/>
          </w:tcPr>
          <w:p w14:paraId="003D63CC" w14:textId="2948E723" w:rsidR="001C19A4" w:rsidRDefault="001C19A4" w:rsidP="005F27A6">
            <w:pPr>
              <w:spacing w:after="0"/>
              <w:jc w:val="right"/>
              <w:rPr>
                <w:rFonts w:eastAsiaTheme="minorHAnsi"/>
                <w:b/>
              </w:rPr>
            </w:pPr>
            <w:r w:rsidRPr="00E608AD">
              <w:t xml:space="preserve"> </w:t>
            </w:r>
            <w:r w:rsidR="001D4647">
              <w:t>$</w:t>
            </w:r>
            <w:r w:rsidRPr="00E608AD">
              <w:t xml:space="preserve">5,159,458 </w:t>
            </w:r>
          </w:p>
        </w:tc>
        <w:tc>
          <w:tcPr>
            <w:tcW w:w="1850" w:type="dxa"/>
            <w:vAlign w:val="center"/>
          </w:tcPr>
          <w:p w14:paraId="4E2A4966" w14:textId="598ECA47" w:rsidR="001C19A4" w:rsidRDefault="001C19A4" w:rsidP="005F27A6">
            <w:pPr>
              <w:spacing w:after="0"/>
              <w:jc w:val="right"/>
              <w:rPr>
                <w:rFonts w:eastAsiaTheme="minorHAnsi"/>
                <w:b/>
              </w:rPr>
            </w:pPr>
            <w:r w:rsidRPr="00E608AD">
              <w:t xml:space="preserve"> </w:t>
            </w:r>
            <w:r w:rsidR="001D4647">
              <w:t>$</w:t>
            </w:r>
            <w:r w:rsidRPr="00E608AD">
              <w:t xml:space="preserve">62,607,996 </w:t>
            </w:r>
          </w:p>
        </w:tc>
        <w:tc>
          <w:tcPr>
            <w:tcW w:w="1955" w:type="dxa"/>
            <w:vAlign w:val="center"/>
          </w:tcPr>
          <w:p w14:paraId="474EA20D" w14:textId="7B899E32" w:rsidR="001C19A4" w:rsidRDefault="001C19A4" w:rsidP="005F27A6">
            <w:pPr>
              <w:spacing w:after="0"/>
              <w:jc w:val="right"/>
              <w:rPr>
                <w:rFonts w:eastAsiaTheme="minorHAnsi"/>
                <w:b/>
              </w:rPr>
            </w:pPr>
            <w:r w:rsidRPr="002E10D5">
              <w:t xml:space="preserve"> </w:t>
            </w:r>
            <w:r w:rsidR="001D4647">
              <w:t>$</w:t>
            </w:r>
            <w:r w:rsidRPr="002E10D5">
              <w:t>74,441,75</w:t>
            </w:r>
            <w:r>
              <w:t>1</w:t>
            </w:r>
            <w:r w:rsidRPr="002E10D5">
              <w:t xml:space="preserve"> </w:t>
            </w:r>
          </w:p>
        </w:tc>
        <w:tc>
          <w:tcPr>
            <w:tcW w:w="1745" w:type="dxa"/>
            <w:vAlign w:val="center"/>
          </w:tcPr>
          <w:p w14:paraId="2EABA657" w14:textId="6C8EF6A9" w:rsidR="001C19A4" w:rsidRDefault="001C19A4" w:rsidP="005F27A6">
            <w:pPr>
              <w:spacing w:after="0"/>
              <w:jc w:val="right"/>
              <w:rPr>
                <w:rFonts w:eastAsiaTheme="minorHAnsi"/>
                <w:b/>
              </w:rPr>
            </w:pPr>
            <w:r w:rsidRPr="002E10D5">
              <w:t xml:space="preserve"> </w:t>
            </w:r>
            <w:r w:rsidR="001D4647">
              <w:t>$</w:t>
            </w:r>
            <w:r w:rsidRPr="002E10D5">
              <w:t xml:space="preserve">1,651,421 </w:t>
            </w:r>
          </w:p>
        </w:tc>
        <w:tc>
          <w:tcPr>
            <w:tcW w:w="1850" w:type="dxa"/>
            <w:vAlign w:val="center"/>
          </w:tcPr>
          <w:p w14:paraId="0A191460" w14:textId="557C8B30" w:rsidR="001C19A4" w:rsidRDefault="001C19A4" w:rsidP="005F27A6">
            <w:pPr>
              <w:spacing w:after="0"/>
              <w:jc w:val="right"/>
              <w:rPr>
                <w:rFonts w:eastAsiaTheme="minorHAnsi"/>
                <w:b/>
              </w:rPr>
            </w:pPr>
            <w:r w:rsidRPr="002E10D5">
              <w:t xml:space="preserve"> </w:t>
            </w:r>
            <w:r w:rsidR="001D4647">
              <w:t>$</w:t>
            </w:r>
            <w:r w:rsidRPr="002E10D5">
              <w:t xml:space="preserve">73,035,419 </w:t>
            </w:r>
          </w:p>
        </w:tc>
      </w:tr>
      <w:tr w:rsidR="00DC1F4C" w14:paraId="37A98E59" w14:textId="77777777" w:rsidTr="00DC1F4C">
        <w:tc>
          <w:tcPr>
            <w:tcW w:w="1850" w:type="dxa"/>
          </w:tcPr>
          <w:p w14:paraId="18DBC4E1" w14:textId="4FEA13EF" w:rsidR="00DC1F4C" w:rsidRDefault="00DC1F4C" w:rsidP="00DC1F4C">
            <w:pPr>
              <w:spacing w:after="0"/>
              <w:ind w:left="150"/>
              <w:rPr>
                <w:rFonts w:eastAsiaTheme="minorHAnsi"/>
                <w:b/>
              </w:rPr>
            </w:pPr>
            <w:r w:rsidRPr="009476CD">
              <w:t>Reserve for Economic Uncertainties</w:t>
            </w:r>
          </w:p>
        </w:tc>
        <w:tc>
          <w:tcPr>
            <w:tcW w:w="1925" w:type="dxa"/>
          </w:tcPr>
          <w:p w14:paraId="421CA3EF" w14:textId="34718A08" w:rsidR="00DC1F4C" w:rsidRDefault="001D4647" w:rsidP="00DC1F4C">
            <w:pPr>
              <w:spacing w:after="0"/>
              <w:jc w:val="right"/>
              <w:rPr>
                <w:rFonts w:eastAsiaTheme="minorHAnsi"/>
                <w:b/>
              </w:rPr>
            </w:pPr>
            <w:r>
              <w:t>$</w:t>
            </w:r>
            <w:r w:rsidR="00DC1F4C" w:rsidRPr="009476CD">
              <w:t xml:space="preserve">10,590,483 </w:t>
            </w:r>
          </w:p>
        </w:tc>
        <w:tc>
          <w:tcPr>
            <w:tcW w:w="1775" w:type="dxa"/>
          </w:tcPr>
          <w:p w14:paraId="5FC9EA81" w14:textId="529253CF" w:rsidR="00DC1F4C" w:rsidRDefault="00DC1F4C" w:rsidP="00DC1F4C">
            <w:pPr>
              <w:spacing w:after="0"/>
              <w:jc w:val="right"/>
              <w:rPr>
                <w:rFonts w:eastAsiaTheme="minorHAnsi"/>
                <w:b/>
              </w:rPr>
            </w:pPr>
            <w:r w:rsidRPr="009476CD">
              <w:t xml:space="preserve">N/A </w:t>
            </w:r>
          </w:p>
        </w:tc>
        <w:tc>
          <w:tcPr>
            <w:tcW w:w="1850" w:type="dxa"/>
          </w:tcPr>
          <w:p w14:paraId="6036392B" w14:textId="4A0853DA" w:rsidR="00DC1F4C" w:rsidRDefault="00DC1F4C" w:rsidP="00DC1F4C">
            <w:pPr>
              <w:spacing w:after="0"/>
              <w:jc w:val="right"/>
              <w:rPr>
                <w:rFonts w:eastAsiaTheme="minorHAnsi"/>
                <w:b/>
              </w:rPr>
            </w:pPr>
            <w:r w:rsidRPr="009476CD">
              <w:t>N/A</w:t>
            </w:r>
          </w:p>
        </w:tc>
        <w:tc>
          <w:tcPr>
            <w:tcW w:w="1955" w:type="dxa"/>
          </w:tcPr>
          <w:p w14:paraId="1B3C0C74" w14:textId="1E3F6622" w:rsidR="00DC1F4C" w:rsidRDefault="001D4647" w:rsidP="00DC1F4C">
            <w:pPr>
              <w:spacing w:after="0"/>
              <w:jc w:val="right"/>
              <w:rPr>
                <w:rFonts w:eastAsiaTheme="minorHAnsi"/>
                <w:b/>
              </w:rPr>
            </w:pPr>
            <w:r>
              <w:t>$</w:t>
            </w:r>
            <w:r w:rsidR="00DC1F4C" w:rsidRPr="009476CD">
              <w:t xml:space="preserve">12,473,452 </w:t>
            </w:r>
          </w:p>
        </w:tc>
        <w:tc>
          <w:tcPr>
            <w:tcW w:w="1745" w:type="dxa"/>
          </w:tcPr>
          <w:p w14:paraId="69B66BD8" w14:textId="7882B4E6" w:rsidR="00DC1F4C" w:rsidRDefault="00DC1F4C" w:rsidP="00DC1F4C">
            <w:pPr>
              <w:spacing w:after="0"/>
              <w:jc w:val="right"/>
              <w:rPr>
                <w:rFonts w:eastAsiaTheme="minorHAnsi"/>
                <w:b/>
              </w:rPr>
            </w:pPr>
            <w:r w:rsidRPr="009476CD">
              <w:t xml:space="preserve">N/A </w:t>
            </w:r>
          </w:p>
        </w:tc>
        <w:tc>
          <w:tcPr>
            <w:tcW w:w="1850" w:type="dxa"/>
          </w:tcPr>
          <w:p w14:paraId="16543608" w14:textId="6F45226D" w:rsidR="00DC1F4C" w:rsidRDefault="00DC1F4C" w:rsidP="00DC1F4C">
            <w:pPr>
              <w:spacing w:after="0"/>
              <w:jc w:val="right"/>
              <w:rPr>
                <w:rFonts w:eastAsiaTheme="minorHAnsi"/>
                <w:b/>
              </w:rPr>
            </w:pPr>
            <w:r w:rsidRPr="009476CD">
              <w:t>N/A</w:t>
            </w:r>
          </w:p>
        </w:tc>
      </w:tr>
      <w:tr w:rsidR="00DC1F4C" w14:paraId="07120692" w14:textId="77777777" w:rsidTr="004F40B9">
        <w:tc>
          <w:tcPr>
            <w:tcW w:w="1850" w:type="dxa"/>
          </w:tcPr>
          <w:p w14:paraId="1226570D" w14:textId="4A46ACBA" w:rsidR="00DC1F4C" w:rsidRPr="00E608AD" w:rsidRDefault="00DC1F4C" w:rsidP="00DC1F4C">
            <w:pPr>
              <w:spacing w:after="0"/>
              <w:ind w:left="150"/>
            </w:pPr>
            <w:r w:rsidRPr="009476CD">
              <w:t xml:space="preserve">Reserve Standard Percentage Level </w:t>
            </w:r>
          </w:p>
        </w:tc>
        <w:tc>
          <w:tcPr>
            <w:tcW w:w="1925" w:type="dxa"/>
          </w:tcPr>
          <w:p w14:paraId="63E65893" w14:textId="145D429A" w:rsidR="00DC1F4C" w:rsidRPr="00E608AD" w:rsidRDefault="00DC1F4C" w:rsidP="00DC1F4C">
            <w:pPr>
              <w:spacing w:after="0"/>
              <w:jc w:val="right"/>
            </w:pPr>
            <w:r w:rsidRPr="009476CD">
              <w:t>3%</w:t>
            </w:r>
          </w:p>
        </w:tc>
        <w:tc>
          <w:tcPr>
            <w:tcW w:w="1775" w:type="dxa"/>
          </w:tcPr>
          <w:p w14:paraId="16E0EADA" w14:textId="58D0B80E" w:rsidR="00DC1F4C" w:rsidRDefault="00DC1F4C" w:rsidP="00DC1F4C">
            <w:pPr>
              <w:spacing w:after="0"/>
              <w:jc w:val="right"/>
            </w:pPr>
            <w:r w:rsidRPr="009476CD">
              <w:t>3%</w:t>
            </w:r>
          </w:p>
        </w:tc>
        <w:tc>
          <w:tcPr>
            <w:tcW w:w="1850" w:type="dxa"/>
          </w:tcPr>
          <w:p w14:paraId="4D9E72CE" w14:textId="5A31CE12" w:rsidR="00DC1F4C" w:rsidRPr="00E608AD" w:rsidRDefault="00DC1F4C" w:rsidP="00DC1F4C">
            <w:pPr>
              <w:spacing w:after="0"/>
              <w:jc w:val="right"/>
            </w:pPr>
            <w:r w:rsidRPr="009476CD">
              <w:t>3%</w:t>
            </w:r>
          </w:p>
        </w:tc>
        <w:tc>
          <w:tcPr>
            <w:tcW w:w="1955" w:type="dxa"/>
          </w:tcPr>
          <w:p w14:paraId="52A718DC" w14:textId="43BB7257" w:rsidR="00DC1F4C" w:rsidRPr="002E10D5" w:rsidRDefault="00DC1F4C" w:rsidP="00DC1F4C">
            <w:pPr>
              <w:spacing w:after="0"/>
              <w:jc w:val="right"/>
            </w:pPr>
            <w:r w:rsidRPr="009476CD">
              <w:t>3%</w:t>
            </w:r>
          </w:p>
        </w:tc>
        <w:tc>
          <w:tcPr>
            <w:tcW w:w="1745" w:type="dxa"/>
          </w:tcPr>
          <w:p w14:paraId="6F718975" w14:textId="091E395E" w:rsidR="00DC1F4C" w:rsidRPr="002E10D5" w:rsidRDefault="00DC1F4C" w:rsidP="00DC1F4C">
            <w:pPr>
              <w:spacing w:after="0"/>
              <w:jc w:val="right"/>
            </w:pPr>
            <w:r w:rsidRPr="009476CD">
              <w:t>3%</w:t>
            </w:r>
          </w:p>
        </w:tc>
        <w:tc>
          <w:tcPr>
            <w:tcW w:w="1850" w:type="dxa"/>
          </w:tcPr>
          <w:p w14:paraId="71B35007" w14:textId="678B82BE" w:rsidR="00DC1F4C" w:rsidRPr="002E10D5" w:rsidRDefault="00DC1F4C" w:rsidP="00DC1F4C">
            <w:pPr>
              <w:spacing w:after="0"/>
              <w:jc w:val="right"/>
            </w:pPr>
            <w:r w:rsidRPr="009476CD">
              <w:t>3%</w:t>
            </w:r>
          </w:p>
        </w:tc>
      </w:tr>
      <w:tr w:rsidR="00DC1F4C" w14:paraId="63C9E4E5" w14:textId="77777777" w:rsidTr="004F40B9">
        <w:tc>
          <w:tcPr>
            <w:tcW w:w="1850" w:type="dxa"/>
          </w:tcPr>
          <w:p w14:paraId="037E3A35" w14:textId="70FF860C" w:rsidR="00DC1F4C" w:rsidRPr="00E608AD" w:rsidRDefault="00DC1F4C" w:rsidP="00DC1F4C">
            <w:pPr>
              <w:spacing w:after="0"/>
              <w:ind w:left="150"/>
            </w:pPr>
            <w:r w:rsidRPr="009476CD">
              <w:t xml:space="preserve">Recommended Reserve for Economic Uncertainties </w:t>
            </w:r>
            <w:r w:rsidRPr="00DC1F4C">
              <w:rPr>
                <w:rStyle w:val="FootnoteReference"/>
                <w:vertAlign w:val="superscript"/>
              </w:rPr>
              <w:footnoteReference w:id="23"/>
            </w:r>
          </w:p>
        </w:tc>
        <w:tc>
          <w:tcPr>
            <w:tcW w:w="1925" w:type="dxa"/>
          </w:tcPr>
          <w:p w14:paraId="1C8BC09F" w14:textId="22C43751" w:rsidR="00DC1F4C" w:rsidRPr="00E608AD" w:rsidRDefault="001D4647" w:rsidP="00DC1F4C">
            <w:pPr>
              <w:spacing w:after="0"/>
              <w:jc w:val="right"/>
            </w:pPr>
            <w:r>
              <w:t>$</w:t>
            </w:r>
            <w:r w:rsidR="00DC1F4C" w:rsidRPr="009476CD">
              <w:t xml:space="preserve">10,590,483 </w:t>
            </w:r>
          </w:p>
        </w:tc>
        <w:tc>
          <w:tcPr>
            <w:tcW w:w="1775" w:type="dxa"/>
          </w:tcPr>
          <w:p w14:paraId="38696489" w14:textId="7ADBCF28" w:rsidR="00DC1F4C" w:rsidRDefault="001D4647" w:rsidP="00DC1F4C">
            <w:pPr>
              <w:spacing w:after="0"/>
              <w:jc w:val="right"/>
            </w:pPr>
            <w:r>
              <w:t>$</w:t>
            </w:r>
            <w:r w:rsidR="00DC1F4C" w:rsidRPr="009476CD">
              <w:t xml:space="preserve">1,438,187 </w:t>
            </w:r>
          </w:p>
        </w:tc>
        <w:tc>
          <w:tcPr>
            <w:tcW w:w="1850" w:type="dxa"/>
          </w:tcPr>
          <w:p w14:paraId="3E42AE44" w14:textId="0BC35B2A" w:rsidR="00DC1F4C" w:rsidRPr="00E608AD" w:rsidRDefault="001D4647" w:rsidP="00DC1F4C">
            <w:pPr>
              <w:spacing w:after="0"/>
              <w:jc w:val="right"/>
            </w:pPr>
            <w:r>
              <w:t>$</w:t>
            </w:r>
            <w:r w:rsidR="00DC1F4C" w:rsidRPr="009476CD">
              <w:t xml:space="preserve">9,152,021 </w:t>
            </w:r>
          </w:p>
        </w:tc>
        <w:tc>
          <w:tcPr>
            <w:tcW w:w="1955" w:type="dxa"/>
          </w:tcPr>
          <w:p w14:paraId="1F244005" w14:textId="0F44F859" w:rsidR="00DC1F4C" w:rsidRPr="002E10D5" w:rsidRDefault="001D4647" w:rsidP="00DC1F4C">
            <w:pPr>
              <w:spacing w:after="0"/>
              <w:jc w:val="right"/>
            </w:pPr>
            <w:r>
              <w:t>$</w:t>
            </w:r>
            <w:r w:rsidR="00DC1F4C" w:rsidRPr="009476CD">
              <w:t xml:space="preserve">12,473,451 </w:t>
            </w:r>
          </w:p>
        </w:tc>
        <w:tc>
          <w:tcPr>
            <w:tcW w:w="1745" w:type="dxa"/>
          </w:tcPr>
          <w:p w14:paraId="4CB8C713" w14:textId="1AE99468" w:rsidR="00DC1F4C" w:rsidRPr="002E10D5" w:rsidRDefault="001D4647" w:rsidP="00DC1F4C">
            <w:pPr>
              <w:spacing w:after="0"/>
              <w:jc w:val="right"/>
            </w:pPr>
            <w:r>
              <w:t>$</w:t>
            </w:r>
            <w:r w:rsidR="00DC1F4C" w:rsidRPr="009476CD">
              <w:t xml:space="preserve">1,693,895 </w:t>
            </w:r>
          </w:p>
        </w:tc>
        <w:tc>
          <w:tcPr>
            <w:tcW w:w="1850" w:type="dxa"/>
          </w:tcPr>
          <w:p w14:paraId="67B9F3C6" w14:textId="16BD8277" w:rsidR="00DC1F4C" w:rsidRPr="002E10D5" w:rsidRDefault="001D4647" w:rsidP="00DC1F4C">
            <w:pPr>
              <w:spacing w:after="0"/>
              <w:jc w:val="right"/>
            </w:pPr>
            <w:r>
              <w:t>$</w:t>
            </w:r>
            <w:r w:rsidR="00DC1F4C" w:rsidRPr="009476CD">
              <w:t xml:space="preserve">10,779,234 </w:t>
            </w:r>
          </w:p>
        </w:tc>
      </w:tr>
    </w:tbl>
    <w:p w14:paraId="51F0C5F5" w14:textId="6C418303" w:rsidR="00C7570E" w:rsidRPr="00C306C8" w:rsidRDefault="001C19A4" w:rsidP="00C306C8">
      <w:pPr>
        <w:spacing w:before="120" w:after="120"/>
        <w:rPr>
          <w:rStyle w:val="Emphasis"/>
        </w:rPr>
      </w:pPr>
      <w:r w:rsidRPr="00C306C8">
        <w:rPr>
          <w:rStyle w:val="Emphasis"/>
        </w:rPr>
        <w:t>Sources: Mt. Diablo Unified School District Unaudited Actuals FY 2020–21; Mt. Diablo Unified School District First Interim FY 2021–22</w:t>
      </w:r>
    </w:p>
    <w:sectPr w:rsidR="00C7570E" w:rsidRPr="00C306C8" w:rsidSect="00AB6213">
      <w:footnotePr>
        <w:numRestart w:val="eachSect"/>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A7C7" w14:textId="77777777" w:rsidR="0048735D" w:rsidRDefault="0048735D" w:rsidP="001C19A4">
      <w:pPr>
        <w:spacing w:after="0" w:line="240" w:lineRule="auto"/>
      </w:pPr>
      <w:r>
        <w:separator/>
      </w:r>
    </w:p>
  </w:endnote>
  <w:endnote w:type="continuationSeparator" w:id="0">
    <w:p w14:paraId="4F328D30" w14:textId="77777777" w:rsidR="0048735D" w:rsidRDefault="0048735D" w:rsidP="001C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F7C8" w14:textId="77777777" w:rsidR="0048735D" w:rsidRDefault="0048735D" w:rsidP="001C19A4">
      <w:pPr>
        <w:spacing w:after="0" w:line="240" w:lineRule="auto"/>
      </w:pPr>
      <w:r>
        <w:separator/>
      </w:r>
    </w:p>
  </w:footnote>
  <w:footnote w:type="continuationSeparator" w:id="0">
    <w:p w14:paraId="2991FA0E" w14:textId="77777777" w:rsidR="0048735D" w:rsidRDefault="0048735D" w:rsidP="001C19A4">
      <w:pPr>
        <w:spacing w:after="0" w:line="240" w:lineRule="auto"/>
      </w:pPr>
      <w:r>
        <w:continuationSeparator/>
      </w:r>
    </w:p>
  </w:footnote>
  <w:footnote w:id="1">
    <w:p w14:paraId="25AF8568" w14:textId="5360FA27" w:rsidR="00213CD1" w:rsidRPr="0072486F" w:rsidRDefault="00213CD1" w:rsidP="005F27A6">
      <w:r w:rsidRPr="00EB27F2">
        <w:rPr>
          <w:rStyle w:val="FootnoteReference"/>
          <w:vertAlign w:val="superscript"/>
        </w:rPr>
        <w:footnoteRef/>
      </w:r>
      <w:r w:rsidRPr="00615ABD">
        <w:t xml:space="preserve"> </w:t>
      </w:r>
      <w:proofErr w:type="spellStart"/>
      <w:r>
        <w:t>Nazaryn</w:t>
      </w:r>
      <w:proofErr w:type="spellEnd"/>
      <w:r>
        <w:t>, Alexander. 2017. “</w:t>
      </w:r>
      <w:r w:rsidRPr="00D049A2">
        <w:t>Whites Only: School Segregation Is Back, From Birmingham to San Francisco</w:t>
      </w:r>
      <w:r>
        <w:t xml:space="preserve">.” </w:t>
      </w:r>
      <w:r w:rsidRPr="00D049A2">
        <w:rPr>
          <w:i/>
        </w:rPr>
        <w:t>Newsweek</w:t>
      </w:r>
      <w:r>
        <w:rPr>
          <w:i/>
        </w:rPr>
        <w:t xml:space="preserve"> </w:t>
      </w:r>
      <w:r>
        <w:t xml:space="preserve">May 2, 2017. </w:t>
      </w:r>
      <w:hyperlink r:id="rId1" w:history="1">
        <w:r w:rsidRPr="00264088">
          <w:rPr>
            <w:rStyle w:val="Hyperlink"/>
          </w:rPr>
          <w:t>http://www.newsweek.com/race-schools-592637</w:t>
        </w:r>
      </w:hyperlink>
      <w:r>
        <w:rPr>
          <w:rStyle w:val="Hyperlink"/>
        </w:rPr>
        <w:t>.</w:t>
      </w:r>
    </w:p>
  </w:footnote>
  <w:footnote w:id="2">
    <w:p w14:paraId="599DAC8A" w14:textId="0EB2B1CA" w:rsidR="00213CD1" w:rsidRDefault="00213CD1">
      <w:pPr>
        <w:pStyle w:val="FootnoteText"/>
      </w:pPr>
      <w:r w:rsidRPr="0090488A">
        <w:rPr>
          <w:rStyle w:val="FootnoteReference"/>
          <w:sz w:val="24"/>
          <w:vertAlign w:val="superscript"/>
        </w:rPr>
        <w:footnoteRef/>
      </w:r>
      <w:r>
        <w:t xml:space="preserve"> </w:t>
      </w:r>
      <w:r>
        <w:rPr>
          <w:sz w:val="24"/>
          <w:szCs w:val="24"/>
        </w:rPr>
        <w:t>NBC News. 2014. “</w:t>
      </w:r>
      <w:r w:rsidRPr="00D049A2">
        <w:rPr>
          <w:rFonts w:cs="Arial"/>
          <w:sz w:val="24"/>
          <w:szCs w:val="24"/>
        </w:rPr>
        <w:t xml:space="preserve">Malibu Wants Out: Wealthy Seek Secession </w:t>
      </w:r>
      <w:proofErr w:type="gramStart"/>
      <w:r w:rsidRPr="00D049A2">
        <w:rPr>
          <w:rFonts w:cs="Arial"/>
          <w:sz w:val="24"/>
          <w:szCs w:val="24"/>
        </w:rPr>
        <w:t>From</w:t>
      </w:r>
      <w:proofErr w:type="gramEnd"/>
      <w:r w:rsidRPr="00D049A2">
        <w:rPr>
          <w:rFonts w:cs="Arial"/>
          <w:sz w:val="24"/>
          <w:szCs w:val="24"/>
        </w:rPr>
        <w:t xml:space="preserve"> School District</w:t>
      </w:r>
      <w:r>
        <w:rPr>
          <w:rFonts w:cs="Arial"/>
          <w:sz w:val="24"/>
          <w:szCs w:val="24"/>
        </w:rPr>
        <w:t>.”</w:t>
      </w:r>
      <w:r w:rsidRPr="00D049A2">
        <w:rPr>
          <w:rFonts w:ascii="Courier" w:hAnsi="Courier"/>
          <w:spacing w:val="-7"/>
          <w:sz w:val="18"/>
          <w:szCs w:val="18"/>
          <w:shd w:val="clear" w:color="auto" w:fill="FFFFFF"/>
        </w:rPr>
        <w:t xml:space="preserve"> </w:t>
      </w:r>
      <w:hyperlink r:id="rId2" w:history="1">
        <w:r w:rsidRPr="008C195F">
          <w:rPr>
            <w:rStyle w:val="Hyperlink"/>
            <w:sz w:val="24"/>
          </w:rPr>
          <w:t>https://www.nbcnews.com/feature/in-plain-sight/malibu-wants-out-wealthy-seek-secession-school-district-n238471</w:t>
        </w:r>
      </w:hyperlink>
      <w:r>
        <w:rPr>
          <w:sz w:val="24"/>
        </w:rPr>
        <w:t>.</w:t>
      </w:r>
    </w:p>
  </w:footnote>
  <w:footnote w:id="3">
    <w:p w14:paraId="406B66B0" w14:textId="77777777" w:rsidR="00213CD1" w:rsidRPr="00D41228" w:rsidRDefault="00213CD1" w:rsidP="005F27A6">
      <w:pPr>
        <w:ind w:left="180" w:hanging="180"/>
      </w:pPr>
      <w:r w:rsidRPr="00D41228">
        <w:rPr>
          <w:rStyle w:val="FootnoteReference"/>
        </w:rPr>
        <w:footnoteRef/>
      </w:r>
      <w:r w:rsidRPr="00D41228">
        <w:t xml:space="preserve"> </w:t>
      </w:r>
      <w:r>
        <w:t xml:space="preserve">“Other” </w:t>
      </w:r>
      <w:r w:rsidRPr="00D41228">
        <w:t>includes “American Indian or Alaska Native</w:t>
      </w:r>
      <w:r>
        <w:t>,</w:t>
      </w:r>
      <w:r w:rsidRPr="00D41228">
        <w:t>” “Filipino</w:t>
      </w:r>
      <w:r>
        <w:t>,</w:t>
      </w:r>
      <w:r w:rsidRPr="00D41228">
        <w:t>” “Pacific Islander</w:t>
      </w:r>
      <w:r>
        <w:t>,</w:t>
      </w:r>
      <w:r w:rsidRPr="00D41228">
        <w:t>” and “Two or More Races.” This will be the case for the entire report.</w:t>
      </w:r>
    </w:p>
  </w:footnote>
  <w:footnote w:id="4">
    <w:p w14:paraId="734F3DCF" w14:textId="3557E572" w:rsidR="00213CD1" w:rsidRPr="00D41228" w:rsidRDefault="00213CD1" w:rsidP="005F27A6">
      <w:pPr>
        <w:spacing w:after="0"/>
        <w:ind w:left="187" w:hanging="187"/>
      </w:pPr>
      <w:r w:rsidRPr="00D41228">
        <w:rPr>
          <w:rStyle w:val="FootnoteReference"/>
        </w:rPr>
        <w:footnoteRef/>
      </w:r>
      <w:r w:rsidRPr="00D41228">
        <w:t xml:space="preserve"> Enrollment</w:t>
      </w:r>
      <w:r>
        <w:t xml:space="preserve"> data</w:t>
      </w:r>
      <w:r w:rsidRPr="00D41228">
        <w:t xml:space="preserve"> </w:t>
      </w:r>
      <w:r>
        <w:t xml:space="preserve">in this report </w:t>
      </w:r>
      <w:r w:rsidRPr="00D41228">
        <w:t>excludes student enroll</w:t>
      </w:r>
      <w:r>
        <w:t>ment reported for charter schools</w:t>
      </w:r>
      <w:r w:rsidRPr="00D41228">
        <w:t xml:space="preserve">, nonpublic nonsectarian schools, and those making no response for ethnicity or race. </w:t>
      </w:r>
    </w:p>
  </w:footnote>
  <w:footnote w:id="5">
    <w:p w14:paraId="4203202A" w14:textId="77777777" w:rsidR="00213CD1" w:rsidRPr="00936103" w:rsidRDefault="00213CD1" w:rsidP="005F27A6">
      <w:pPr>
        <w:pStyle w:val="FootnoteText"/>
        <w:rPr>
          <w:sz w:val="24"/>
        </w:rPr>
      </w:pPr>
      <w:r w:rsidRPr="001F0B7E">
        <w:rPr>
          <w:rStyle w:val="FootnoteReference"/>
          <w:sz w:val="24"/>
          <w:vertAlign w:val="superscript"/>
        </w:rPr>
        <w:footnoteRef/>
      </w:r>
      <w:r w:rsidRPr="001F0B7E">
        <w:rPr>
          <w:sz w:val="32"/>
        </w:rPr>
        <w:t xml:space="preserve"> </w:t>
      </w:r>
      <w:r w:rsidRPr="00936103">
        <w:rPr>
          <w:sz w:val="24"/>
        </w:rPr>
        <w:t xml:space="preserve">As noted in the introductory section, the proposed </w:t>
      </w:r>
      <w:r>
        <w:rPr>
          <w:sz w:val="24"/>
        </w:rPr>
        <w:t>territory</w:t>
      </w:r>
      <w:r w:rsidRPr="00936103">
        <w:rPr>
          <w:sz w:val="24"/>
        </w:rPr>
        <w:t xml:space="preserve"> for Northgate USD includes </w:t>
      </w:r>
      <w:r>
        <w:rPr>
          <w:sz w:val="24"/>
        </w:rPr>
        <w:t xml:space="preserve">the area within the </w:t>
      </w:r>
      <w:r w:rsidRPr="00936103">
        <w:rPr>
          <w:sz w:val="24"/>
        </w:rPr>
        <w:t xml:space="preserve">attendance </w:t>
      </w:r>
      <w:r>
        <w:rPr>
          <w:sz w:val="24"/>
        </w:rPr>
        <w:t>boundaries</w:t>
      </w:r>
      <w:r w:rsidRPr="00936103">
        <w:rPr>
          <w:sz w:val="24"/>
        </w:rPr>
        <w:t xml:space="preserve"> of Bancroft Elementary, Walnut Acres Elementary, Valle Verde Elementary, Foothill Middle, and Northgate High. </w:t>
      </w:r>
      <w:r>
        <w:rPr>
          <w:sz w:val="24"/>
        </w:rPr>
        <w:t>In addition to the five named schools, t</w:t>
      </w:r>
      <w:r w:rsidRPr="00936103">
        <w:rPr>
          <w:sz w:val="24"/>
        </w:rPr>
        <w:t>his territory includes the school sites but not the attendance areas of Oak Grove Middle School and Ygnacio Valley High and a portion of the attendance area of Highlands Elementary but not the school site.</w:t>
      </w:r>
    </w:p>
    <w:p w14:paraId="0CF5CFBD" w14:textId="77777777" w:rsidR="00213CD1" w:rsidRDefault="00213CD1">
      <w:pPr>
        <w:pStyle w:val="FootnoteText"/>
      </w:pPr>
    </w:p>
  </w:footnote>
  <w:footnote w:id="6">
    <w:p w14:paraId="4D2F4F64" w14:textId="77777777" w:rsidR="00213CD1" w:rsidRPr="00276E97" w:rsidRDefault="00213CD1" w:rsidP="005F27A6">
      <w:pPr>
        <w:pStyle w:val="FootnoteText"/>
        <w:rPr>
          <w:sz w:val="24"/>
          <w:szCs w:val="24"/>
        </w:rPr>
      </w:pPr>
      <w:r w:rsidRPr="00C70024">
        <w:rPr>
          <w:rStyle w:val="FootnoteReference"/>
          <w:sz w:val="24"/>
          <w:szCs w:val="24"/>
          <w:vertAlign w:val="superscript"/>
        </w:rPr>
        <w:footnoteRef/>
      </w:r>
      <w:r w:rsidRPr="00C70024">
        <w:rPr>
          <w:sz w:val="32"/>
          <w:szCs w:val="24"/>
        </w:rPr>
        <w:t xml:space="preserve"> </w:t>
      </w:r>
      <w:r w:rsidRPr="00276E97">
        <w:rPr>
          <w:sz w:val="24"/>
          <w:szCs w:val="24"/>
        </w:rPr>
        <w:t>Fiscal years 2021–22 through 2025–26 are estimated.</w:t>
      </w:r>
    </w:p>
  </w:footnote>
  <w:footnote w:id="7">
    <w:p w14:paraId="2B057EFA" w14:textId="77777777" w:rsidR="00213CD1" w:rsidRPr="00276E97" w:rsidRDefault="00213CD1" w:rsidP="005F27A6">
      <w:pPr>
        <w:pStyle w:val="FootnoteText"/>
        <w:rPr>
          <w:sz w:val="24"/>
          <w:szCs w:val="24"/>
        </w:rPr>
      </w:pPr>
      <w:r w:rsidRPr="00C70024">
        <w:rPr>
          <w:rStyle w:val="FootnoteReference"/>
          <w:sz w:val="24"/>
          <w:szCs w:val="24"/>
          <w:vertAlign w:val="superscript"/>
        </w:rPr>
        <w:footnoteRef/>
      </w:r>
      <w:r w:rsidRPr="00276E97">
        <w:rPr>
          <w:sz w:val="24"/>
          <w:szCs w:val="24"/>
        </w:rPr>
        <w:t xml:space="preserve"> Fiscal years 2021–22 through 2025–26 are estimated.</w:t>
      </w:r>
    </w:p>
  </w:footnote>
  <w:footnote w:id="8">
    <w:p w14:paraId="44D6CC2F" w14:textId="77777777" w:rsidR="00213CD1" w:rsidRDefault="00213CD1">
      <w:pPr>
        <w:pStyle w:val="FootnoteText"/>
      </w:pPr>
      <w:r w:rsidRPr="00F76924">
        <w:rPr>
          <w:rStyle w:val="FootnoteReference"/>
          <w:sz w:val="24"/>
          <w:vertAlign w:val="superscript"/>
        </w:rPr>
        <w:footnoteRef/>
      </w:r>
      <w:r w:rsidRPr="00F76924">
        <w:rPr>
          <w:sz w:val="24"/>
          <w:vertAlign w:val="superscript"/>
        </w:rPr>
        <w:t xml:space="preserve"> </w:t>
      </w:r>
      <w:r w:rsidRPr="00846485">
        <w:rPr>
          <w:sz w:val="24"/>
        </w:rPr>
        <w:t>The petitioners have indicated the Oak Grove Middle and Ygnacio Valley High schools were inadvertently included in the proposed territory</w:t>
      </w:r>
      <w:r>
        <w:rPr>
          <w:sz w:val="24"/>
        </w:rPr>
        <w:t>.</w:t>
      </w:r>
    </w:p>
  </w:footnote>
  <w:footnote w:id="9">
    <w:p w14:paraId="7F64064E" w14:textId="77777777" w:rsidR="00213CD1" w:rsidRDefault="00213CD1" w:rsidP="005F27A6">
      <w:pPr>
        <w:pStyle w:val="FootnoteText"/>
      </w:pPr>
      <w:r w:rsidRPr="00F76924">
        <w:rPr>
          <w:rStyle w:val="FootnoteReference"/>
          <w:sz w:val="24"/>
          <w:vertAlign w:val="superscript"/>
        </w:rPr>
        <w:footnoteRef/>
      </w:r>
      <w:r w:rsidRPr="00F76924">
        <w:rPr>
          <w:sz w:val="32"/>
          <w:vertAlign w:val="superscript"/>
        </w:rPr>
        <w:t xml:space="preserve"> </w:t>
      </w:r>
      <w:r w:rsidRPr="00766B84">
        <w:rPr>
          <w:sz w:val="24"/>
        </w:rPr>
        <w:t xml:space="preserve">The </w:t>
      </w:r>
      <w:r>
        <w:rPr>
          <w:sz w:val="24"/>
        </w:rPr>
        <w:t>unduplicated pupil percent</w:t>
      </w:r>
      <w:r w:rsidRPr="00766B84">
        <w:rPr>
          <w:sz w:val="24"/>
        </w:rPr>
        <w:t xml:space="preserve"> is calculated at the district level </w:t>
      </w:r>
      <w:r>
        <w:rPr>
          <w:sz w:val="24"/>
        </w:rPr>
        <w:t>using</w:t>
      </w:r>
      <w:r w:rsidRPr="00766B84">
        <w:rPr>
          <w:sz w:val="24"/>
        </w:rPr>
        <w:t xml:space="preserve"> </w:t>
      </w:r>
      <w:r>
        <w:rPr>
          <w:sz w:val="24"/>
        </w:rPr>
        <w:t xml:space="preserve">the sum of the </w:t>
      </w:r>
      <w:r w:rsidRPr="00766B84">
        <w:rPr>
          <w:sz w:val="24"/>
        </w:rPr>
        <w:t xml:space="preserve">current and prior two years of the unduplicated pupil count of </w:t>
      </w:r>
      <w:r>
        <w:rPr>
          <w:sz w:val="24"/>
        </w:rPr>
        <w:t>targeted disadvantaged pupils</w:t>
      </w:r>
      <w:r w:rsidRPr="00766B84">
        <w:rPr>
          <w:sz w:val="24"/>
        </w:rPr>
        <w:t xml:space="preserve"> divided by the sum of total enrollment for the same period.</w:t>
      </w:r>
    </w:p>
  </w:footnote>
  <w:footnote w:id="10">
    <w:p w14:paraId="3B52D95E" w14:textId="77777777" w:rsidR="00213CD1" w:rsidRPr="008F39DD" w:rsidRDefault="00213CD1" w:rsidP="005F27A6">
      <w:pPr>
        <w:pStyle w:val="FootnoteText"/>
        <w:spacing w:after="240"/>
        <w:rPr>
          <w:sz w:val="24"/>
        </w:rPr>
      </w:pPr>
      <w:r w:rsidRPr="00C25A5B">
        <w:rPr>
          <w:rStyle w:val="FootnoteReference"/>
          <w:sz w:val="24"/>
          <w:vertAlign w:val="superscript"/>
        </w:rPr>
        <w:footnoteRef/>
      </w:r>
      <w:r w:rsidRPr="00C25A5B">
        <w:rPr>
          <w:sz w:val="32"/>
          <w:vertAlign w:val="superscript"/>
        </w:rPr>
        <w:t xml:space="preserve"> </w:t>
      </w:r>
      <w:r w:rsidRPr="008F39DD">
        <w:rPr>
          <w:sz w:val="24"/>
        </w:rPr>
        <w:t xml:space="preserve">The </w:t>
      </w:r>
      <w:r>
        <w:rPr>
          <w:sz w:val="24"/>
        </w:rPr>
        <w:t xml:space="preserve">California School Dashboard indicator for </w:t>
      </w:r>
      <w:r w:rsidRPr="008F39DD">
        <w:rPr>
          <w:sz w:val="24"/>
        </w:rPr>
        <w:t>ELP changed between 2017, whe</w:t>
      </w:r>
      <w:r>
        <w:rPr>
          <w:sz w:val="24"/>
        </w:rPr>
        <w:t>n</w:t>
      </w:r>
      <w:r w:rsidRPr="008F39DD">
        <w:rPr>
          <w:sz w:val="24"/>
        </w:rPr>
        <w:t xml:space="preserve"> it was assigned a color-coded performance level like the other indicators</w:t>
      </w:r>
      <w:r>
        <w:rPr>
          <w:sz w:val="24"/>
        </w:rPr>
        <w:t>,</w:t>
      </w:r>
      <w:r w:rsidRPr="008F39DD">
        <w:rPr>
          <w:sz w:val="24"/>
        </w:rPr>
        <w:t xml:space="preserve"> and 2019</w:t>
      </w:r>
      <w:r>
        <w:rPr>
          <w:sz w:val="24"/>
        </w:rPr>
        <w:t>,</w:t>
      </w:r>
      <w:r w:rsidRPr="008F39DD">
        <w:rPr>
          <w:sz w:val="24"/>
        </w:rPr>
        <w:t xml:space="preserve"> whe</w:t>
      </w:r>
      <w:r>
        <w:rPr>
          <w:sz w:val="24"/>
        </w:rPr>
        <w:t>n</w:t>
      </w:r>
      <w:r w:rsidRPr="008F39DD">
        <w:rPr>
          <w:sz w:val="24"/>
        </w:rPr>
        <w:t xml:space="preserve"> the indicator is expressed as the percentage of current EL students making progress toward English language proficiency or maintaining the high level. A district</w:t>
      </w:r>
      <w:r>
        <w:rPr>
          <w:sz w:val="24"/>
        </w:rPr>
        <w:t>-</w:t>
      </w:r>
      <w:r w:rsidRPr="008F39DD">
        <w:rPr>
          <w:sz w:val="24"/>
        </w:rPr>
        <w:t xml:space="preserve">level indicator is not available for the 2018–19 academic year. </w:t>
      </w:r>
    </w:p>
  </w:footnote>
  <w:footnote w:id="11">
    <w:p w14:paraId="7469CEE0" w14:textId="77777777" w:rsidR="00213CD1" w:rsidRDefault="00213CD1" w:rsidP="005F27A6">
      <w:pPr>
        <w:pStyle w:val="FootnoteText"/>
      </w:pPr>
      <w:r w:rsidRPr="00C25A5B">
        <w:rPr>
          <w:rStyle w:val="FootnoteReference"/>
          <w:sz w:val="24"/>
          <w:vertAlign w:val="superscript"/>
        </w:rPr>
        <w:footnoteRef/>
      </w:r>
      <w:r w:rsidRPr="00C25A5B">
        <w:rPr>
          <w:sz w:val="32"/>
          <w:vertAlign w:val="superscript"/>
        </w:rPr>
        <w:t xml:space="preserve"> </w:t>
      </w:r>
      <w:r w:rsidRPr="008F39DD">
        <w:rPr>
          <w:sz w:val="24"/>
        </w:rPr>
        <w:t>The College/Career Indicator was not available for the 2017–18 academic year.</w:t>
      </w:r>
    </w:p>
  </w:footnote>
  <w:footnote w:id="12">
    <w:p w14:paraId="1A325E83" w14:textId="77777777" w:rsidR="00213CD1" w:rsidRPr="00847D6A" w:rsidRDefault="00213CD1">
      <w:pPr>
        <w:pStyle w:val="FootnoteText"/>
        <w:rPr>
          <w:sz w:val="24"/>
        </w:rPr>
      </w:pPr>
      <w:r w:rsidRPr="000869C7">
        <w:rPr>
          <w:rStyle w:val="FootnoteReference"/>
          <w:sz w:val="24"/>
          <w:vertAlign w:val="superscript"/>
        </w:rPr>
        <w:footnoteRef/>
      </w:r>
      <w:r w:rsidRPr="00E4273A">
        <w:rPr>
          <w:sz w:val="24"/>
        </w:rPr>
        <w:t xml:space="preserve"> </w:t>
      </w:r>
      <w:r>
        <w:rPr>
          <w:sz w:val="24"/>
        </w:rPr>
        <w:t xml:space="preserve">Certificated employees will have the option to be part of the new district or remain as employees of the Mt. Diablo USD pursuant to </w:t>
      </w:r>
      <w:r w:rsidRPr="00570106">
        <w:rPr>
          <w:i/>
          <w:sz w:val="24"/>
        </w:rPr>
        <w:t>EC</w:t>
      </w:r>
      <w:r>
        <w:rPr>
          <w:sz w:val="24"/>
        </w:rPr>
        <w:t xml:space="preserve"> Section 35555.</w:t>
      </w:r>
    </w:p>
  </w:footnote>
  <w:footnote w:id="13">
    <w:p w14:paraId="19609A3D" w14:textId="77777777" w:rsidR="00213CD1" w:rsidRPr="00E96878" w:rsidRDefault="00213CD1">
      <w:pPr>
        <w:pStyle w:val="FootnoteText"/>
        <w:rPr>
          <w:sz w:val="24"/>
          <w:szCs w:val="24"/>
        </w:rPr>
      </w:pPr>
      <w:r w:rsidRPr="000869C7">
        <w:rPr>
          <w:rStyle w:val="FootnoteReference"/>
          <w:sz w:val="24"/>
          <w:vertAlign w:val="superscript"/>
        </w:rPr>
        <w:footnoteRef/>
      </w:r>
      <w:r w:rsidRPr="00E96878">
        <w:rPr>
          <w:sz w:val="24"/>
          <w:szCs w:val="24"/>
        </w:rPr>
        <w:t xml:space="preserve"> Offerings are included only if there was at least one student enrolled.</w:t>
      </w:r>
    </w:p>
  </w:footnote>
  <w:footnote w:id="14">
    <w:p w14:paraId="6F6CF87A" w14:textId="229F47E1" w:rsidR="00213CD1" w:rsidRPr="00BF126B" w:rsidRDefault="00213CD1" w:rsidP="005F27A6">
      <w:pPr>
        <w:pStyle w:val="FootnoteText"/>
        <w:rPr>
          <w:sz w:val="24"/>
          <w:szCs w:val="24"/>
        </w:rPr>
      </w:pPr>
      <w:r w:rsidRPr="00BF126B">
        <w:rPr>
          <w:rStyle w:val="FootnoteReference"/>
          <w:sz w:val="24"/>
          <w:szCs w:val="24"/>
          <w:vertAlign w:val="superscript"/>
        </w:rPr>
        <w:footnoteRef/>
      </w:r>
      <w:r w:rsidRPr="00BF126B">
        <w:rPr>
          <w:sz w:val="24"/>
          <w:szCs w:val="24"/>
          <w:vertAlign w:val="superscript"/>
        </w:rPr>
        <w:t xml:space="preserve"> </w:t>
      </w:r>
      <w:r w:rsidRPr="00BF126B">
        <w:rPr>
          <w:sz w:val="24"/>
          <w:szCs w:val="24"/>
        </w:rPr>
        <w:t xml:space="preserve">Eagle Peak </w:t>
      </w:r>
      <w:r>
        <w:rPr>
          <w:sz w:val="24"/>
          <w:szCs w:val="24"/>
        </w:rPr>
        <w:t>Montessori c</w:t>
      </w:r>
      <w:r w:rsidRPr="00BF126B">
        <w:rPr>
          <w:sz w:val="24"/>
          <w:szCs w:val="24"/>
        </w:rPr>
        <w:t xml:space="preserve">harter </w:t>
      </w:r>
      <w:r>
        <w:rPr>
          <w:sz w:val="24"/>
          <w:szCs w:val="24"/>
        </w:rPr>
        <w:t>s</w:t>
      </w:r>
      <w:r w:rsidRPr="00BF126B">
        <w:rPr>
          <w:sz w:val="24"/>
          <w:szCs w:val="24"/>
        </w:rPr>
        <w:t xml:space="preserve">chool uses the campus of </w:t>
      </w:r>
      <w:r w:rsidRPr="00947D42">
        <w:rPr>
          <w:sz w:val="24"/>
        </w:rPr>
        <w:t>Mt. Diablo USD</w:t>
      </w:r>
      <w:r w:rsidRPr="00BF126B">
        <w:rPr>
          <w:sz w:val="24"/>
          <w:szCs w:val="24"/>
        </w:rPr>
        <w:t xml:space="preserve">'s former Castle Rock </w:t>
      </w:r>
      <w:r>
        <w:rPr>
          <w:sz w:val="24"/>
          <w:szCs w:val="24"/>
        </w:rPr>
        <w:t>Elementary</w:t>
      </w:r>
      <w:r w:rsidRPr="00BF126B">
        <w:rPr>
          <w:sz w:val="24"/>
          <w:szCs w:val="24"/>
        </w:rPr>
        <w:t>.</w:t>
      </w:r>
    </w:p>
  </w:footnote>
  <w:footnote w:id="15">
    <w:p w14:paraId="42854B65" w14:textId="77777777" w:rsidR="00213CD1" w:rsidRPr="005D57E9" w:rsidRDefault="00213CD1" w:rsidP="005F27A6">
      <w:pPr>
        <w:pStyle w:val="FootnoteText"/>
      </w:pPr>
      <w:r w:rsidRPr="00D049A2">
        <w:rPr>
          <w:rStyle w:val="FootnoteReference"/>
          <w:sz w:val="24"/>
          <w:szCs w:val="24"/>
          <w:vertAlign w:val="superscript"/>
        </w:rPr>
        <w:footnoteRef/>
      </w:r>
      <w:r w:rsidRPr="00E4719D">
        <w:rPr>
          <w:sz w:val="24"/>
          <w:szCs w:val="24"/>
          <w:vertAlign w:val="superscript"/>
        </w:rPr>
        <w:t xml:space="preserve"> </w:t>
      </w:r>
      <w:r w:rsidRPr="00BF126B">
        <w:rPr>
          <w:sz w:val="24"/>
        </w:rPr>
        <w:t xml:space="preserve">See </w:t>
      </w:r>
      <w:r w:rsidRPr="00BF126B">
        <w:rPr>
          <w:i/>
          <w:sz w:val="24"/>
        </w:rPr>
        <w:t>Education Code</w:t>
      </w:r>
      <w:r w:rsidRPr="00BF126B">
        <w:rPr>
          <w:sz w:val="24"/>
        </w:rPr>
        <w:t xml:space="preserve"> Section 35560(a)(1): "The real property and personal property and fixtures normally situated thereat shall be the property of the district in which the real property is located."</w:t>
      </w:r>
    </w:p>
  </w:footnote>
  <w:footnote w:id="16">
    <w:p w14:paraId="0EAA2AE6" w14:textId="77777777" w:rsidR="00213CD1" w:rsidRDefault="00213CD1" w:rsidP="005F27A6">
      <w:pPr>
        <w:pStyle w:val="FootnoteText"/>
      </w:pPr>
      <w:r w:rsidRPr="00BF126B">
        <w:rPr>
          <w:rStyle w:val="FootnoteReference"/>
          <w:sz w:val="24"/>
          <w:vertAlign w:val="superscript"/>
        </w:rPr>
        <w:footnoteRef/>
      </w:r>
      <w:r w:rsidRPr="00BF126B">
        <w:rPr>
          <w:sz w:val="24"/>
          <w:vertAlign w:val="superscript"/>
        </w:rPr>
        <w:t xml:space="preserve"> </w:t>
      </w:r>
      <w:r w:rsidRPr="00BF126B">
        <w:rPr>
          <w:sz w:val="24"/>
        </w:rPr>
        <w:t>Combined, O</w:t>
      </w:r>
      <w:r>
        <w:rPr>
          <w:sz w:val="24"/>
        </w:rPr>
        <w:t xml:space="preserve">ak Grove Middle </w:t>
      </w:r>
      <w:r w:rsidRPr="00BF126B">
        <w:rPr>
          <w:sz w:val="24"/>
        </w:rPr>
        <w:t>and Y</w:t>
      </w:r>
      <w:r>
        <w:rPr>
          <w:sz w:val="24"/>
        </w:rPr>
        <w:t xml:space="preserve">gnacio </w:t>
      </w:r>
      <w:r w:rsidRPr="00BF126B">
        <w:rPr>
          <w:sz w:val="24"/>
        </w:rPr>
        <w:t>V</w:t>
      </w:r>
      <w:r>
        <w:rPr>
          <w:sz w:val="24"/>
        </w:rPr>
        <w:t xml:space="preserve">alley High </w:t>
      </w:r>
      <w:r w:rsidRPr="00BF126B">
        <w:rPr>
          <w:sz w:val="24"/>
        </w:rPr>
        <w:t>have 2,972 seats and 2,013 pupils, leaving 959 seats unused.</w:t>
      </w:r>
    </w:p>
  </w:footnote>
  <w:footnote w:id="17">
    <w:p w14:paraId="1E8A6F11" w14:textId="77777777" w:rsidR="00213CD1" w:rsidRPr="00B3556B" w:rsidRDefault="00213CD1" w:rsidP="00D049A2">
      <w:pPr>
        <w:pStyle w:val="FootnoteText"/>
        <w:spacing w:after="120"/>
        <w:rPr>
          <w:sz w:val="24"/>
          <w:szCs w:val="24"/>
        </w:rPr>
      </w:pPr>
      <w:r w:rsidRPr="009D0D7F">
        <w:rPr>
          <w:rStyle w:val="FootnoteReference"/>
          <w:sz w:val="24"/>
          <w:vertAlign w:val="superscript"/>
        </w:rPr>
        <w:footnoteRef/>
      </w:r>
      <w:r w:rsidRPr="009D0D7F">
        <w:rPr>
          <w:sz w:val="32"/>
          <w:szCs w:val="24"/>
          <w:vertAlign w:val="superscript"/>
        </w:rPr>
        <w:t xml:space="preserve"> </w:t>
      </w:r>
      <w:r w:rsidRPr="00B3556B">
        <w:rPr>
          <w:sz w:val="24"/>
          <w:szCs w:val="24"/>
        </w:rPr>
        <w:t xml:space="preserve">Unduplicated Pupil Percentage (UPP) is the sum of the current and prior two years unduplicated pupil count divided by the sum of total enrollment for the same three years. The unduplicated pupil count is the unduplicated count of students identified as low-income, English learner, and/or foster youth. </w:t>
      </w:r>
    </w:p>
  </w:footnote>
  <w:footnote w:id="18">
    <w:p w14:paraId="3FD3A190" w14:textId="77777777" w:rsidR="00213CD1" w:rsidRPr="00B3556B" w:rsidRDefault="00213CD1" w:rsidP="00D049A2">
      <w:pPr>
        <w:pStyle w:val="FootnoteText"/>
        <w:spacing w:after="120"/>
        <w:rPr>
          <w:sz w:val="24"/>
          <w:szCs w:val="24"/>
        </w:rPr>
      </w:pPr>
      <w:r w:rsidRPr="004F40B9">
        <w:rPr>
          <w:rStyle w:val="FootnoteReference"/>
          <w:sz w:val="24"/>
          <w:vertAlign w:val="superscript"/>
        </w:rPr>
        <w:footnoteRef/>
      </w:r>
      <w:r w:rsidRPr="004F40B9">
        <w:rPr>
          <w:sz w:val="32"/>
          <w:szCs w:val="24"/>
          <w:vertAlign w:val="superscript"/>
        </w:rPr>
        <w:t xml:space="preserve"> </w:t>
      </w:r>
      <w:r w:rsidRPr="00B3556B">
        <w:rPr>
          <w:sz w:val="24"/>
          <w:szCs w:val="24"/>
        </w:rPr>
        <w:t>For Fiscal Year 2020–21, due to issues related to the COVID-19 pandemic, school districts were funded on their 2019–20 reported ADA unless they could demonstrate growth as prescribed in statute. Mt. Diablo USD is experiencing declining enrollment.</w:t>
      </w:r>
    </w:p>
  </w:footnote>
  <w:footnote w:id="19">
    <w:p w14:paraId="34E9E89B" w14:textId="77777777" w:rsidR="00213CD1" w:rsidRDefault="00213CD1" w:rsidP="004F40B9">
      <w:pPr>
        <w:pStyle w:val="FootnoteText"/>
        <w:spacing w:after="240"/>
      </w:pPr>
      <w:r w:rsidRPr="004F40B9">
        <w:rPr>
          <w:rStyle w:val="FootnoteReference"/>
          <w:sz w:val="24"/>
          <w:vertAlign w:val="superscript"/>
        </w:rPr>
        <w:footnoteRef/>
      </w:r>
      <w:r w:rsidRPr="004F40B9">
        <w:rPr>
          <w:sz w:val="32"/>
          <w:szCs w:val="24"/>
          <w:vertAlign w:val="superscript"/>
        </w:rPr>
        <w:t xml:space="preserve"> </w:t>
      </w:r>
      <w:r w:rsidRPr="00B3556B">
        <w:rPr>
          <w:sz w:val="24"/>
          <w:szCs w:val="24"/>
        </w:rPr>
        <w:t xml:space="preserve">The Fiscal Year 2021–22 LCFF funding reflects the one-year funding protection afforded to school districts with declining enrollment pursuant to </w:t>
      </w:r>
      <w:r w:rsidRPr="00B3556B">
        <w:rPr>
          <w:i/>
          <w:sz w:val="24"/>
          <w:szCs w:val="24"/>
        </w:rPr>
        <w:t>EC</w:t>
      </w:r>
      <w:r w:rsidRPr="00B3556B">
        <w:rPr>
          <w:sz w:val="24"/>
          <w:szCs w:val="24"/>
        </w:rPr>
        <w:t xml:space="preserve"> Section 42238.05(a)(1).</w:t>
      </w:r>
    </w:p>
  </w:footnote>
  <w:footnote w:id="20">
    <w:p w14:paraId="0C8D4D3E" w14:textId="04EFB023" w:rsidR="00213CD1" w:rsidRDefault="00213CD1">
      <w:pPr>
        <w:pStyle w:val="FootnoteText"/>
      </w:pPr>
      <w:r w:rsidRPr="00C83197">
        <w:rPr>
          <w:rStyle w:val="FootnoteReference"/>
          <w:sz w:val="24"/>
          <w:vertAlign w:val="superscript"/>
        </w:rPr>
        <w:footnoteRef/>
      </w:r>
      <w:r w:rsidRPr="00C83197">
        <w:rPr>
          <w:sz w:val="32"/>
          <w:vertAlign w:val="superscript"/>
        </w:rPr>
        <w:t xml:space="preserve"> </w:t>
      </w:r>
      <w:r w:rsidRPr="002A23DC">
        <w:rPr>
          <w:sz w:val="24"/>
        </w:rPr>
        <w:t xml:space="preserve">A school district that does not receive an apportionment of state funds pursuant to </w:t>
      </w:r>
      <w:r w:rsidRPr="00D049A2">
        <w:rPr>
          <w:i/>
          <w:sz w:val="24"/>
        </w:rPr>
        <w:t>EC</w:t>
      </w:r>
      <w:r>
        <w:rPr>
          <w:sz w:val="24"/>
        </w:rPr>
        <w:t xml:space="preserve"> Section 42238.02</w:t>
      </w:r>
      <w:r w:rsidRPr="002A23DC">
        <w:rPr>
          <w:sz w:val="24"/>
        </w:rPr>
        <w:t>, as implemented pursuant to Section 42238.03, excluding funds apportioned pursuant to the requirements of subparagraph (A) of paragraph (2) of subdivision (e) of Section 42238.03, shall be considered a “basic aid school district</w:t>
      </w:r>
      <w:r>
        <w:rPr>
          <w:sz w:val="24"/>
        </w:rPr>
        <w:t>.</w:t>
      </w:r>
      <w:r w:rsidRPr="002A23DC">
        <w:rPr>
          <w:sz w:val="24"/>
        </w:rPr>
        <w:t xml:space="preserve">” </w:t>
      </w:r>
      <w:r>
        <w:rPr>
          <w:sz w:val="24"/>
        </w:rPr>
        <w:t>(</w:t>
      </w:r>
      <w:r w:rsidRPr="00750918">
        <w:rPr>
          <w:i/>
          <w:sz w:val="24"/>
        </w:rPr>
        <w:t>EC</w:t>
      </w:r>
      <w:r>
        <w:rPr>
          <w:sz w:val="24"/>
        </w:rPr>
        <w:t xml:space="preserve"> Section 42238.02[o])</w:t>
      </w:r>
    </w:p>
  </w:footnote>
  <w:footnote w:id="21">
    <w:p w14:paraId="23D8E937" w14:textId="77777777" w:rsidR="00213CD1" w:rsidRPr="002A23DC" w:rsidRDefault="00213CD1" w:rsidP="00DC1F4C">
      <w:pPr>
        <w:pStyle w:val="FootnoteText"/>
        <w:spacing w:after="240"/>
        <w:rPr>
          <w:sz w:val="24"/>
        </w:rPr>
      </w:pPr>
      <w:r w:rsidRPr="00C83197">
        <w:rPr>
          <w:rStyle w:val="FootnoteReference"/>
          <w:sz w:val="24"/>
          <w:vertAlign w:val="superscript"/>
        </w:rPr>
        <w:footnoteRef/>
      </w:r>
      <w:r w:rsidRPr="002A23DC">
        <w:rPr>
          <w:sz w:val="24"/>
        </w:rPr>
        <w:t xml:space="preserve"> The amount budgeted by the district is low compared to recent trends. The average over the current and past two years was $1,180,758 annually.</w:t>
      </w:r>
    </w:p>
  </w:footnote>
  <w:footnote w:id="22">
    <w:p w14:paraId="5377A478" w14:textId="72875580" w:rsidR="00213CD1" w:rsidRDefault="00213CD1" w:rsidP="00DC1F4C">
      <w:pPr>
        <w:pStyle w:val="FootnoteText"/>
        <w:spacing w:after="240"/>
      </w:pPr>
      <w:r w:rsidRPr="00C83197">
        <w:rPr>
          <w:rStyle w:val="FootnoteReference"/>
          <w:sz w:val="24"/>
          <w:vertAlign w:val="superscript"/>
        </w:rPr>
        <w:footnoteRef/>
      </w:r>
      <w:r w:rsidRPr="00C83197">
        <w:rPr>
          <w:sz w:val="32"/>
          <w:vertAlign w:val="superscript"/>
        </w:rPr>
        <w:t xml:space="preserve"> </w:t>
      </w:r>
      <w:r w:rsidRPr="002A23DC">
        <w:rPr>
          <w:sz w:val="24"/>
        </w:rPr>
        <w:t xml:space="preserve">Amount is for debt service (interest and principal); </w:t>
      </w:r>
      <w:r>
        <w:rPr>
          <w:sz w:val="24"/>
        </w:rPr>
        <w:t>e</w:t>
      </w:r>
      <w:r w:rsidRPr="002A23DC">
        <w:rPr>
          <w:sz w:val="24"/>
        </w:rPr>
        <w:t>stimate assumes responsibility for repayment will remain with the Mt. Diablo USD.</w:t>
      </w:r>
    </w:p>
  </w:footnote>
  <w:footnote w:id="23">
    <w:p w14:paraId="15C66CB4" w14:textId="77777777" w:rsidR="00213CD1" w:rsidRPr="009F02AA" w:rsidRDefault="00213CD1" w:rsidP="00DC1F4C">
      <w:pPr>
        <w:pStyle w:val="FootnoteText"/>
        <w:rPr>
          <w:sz w:val="24"/>
        </w:rPr>
      </w:pPr>
      <w:r w:rsidRPr="00980521">
        <w:rPr>
          <w:rStyle w:val="FootnoteReference"/>
          <w:sz w:val="24"/>
          <w:vertAlign w:val="superscript"/>
        </w:rPr>
        <w:footnoteRef/>
      </w:r>
      <w:r w:rsidRPr="00980521">
        <w:rPr>
          <w:sz w:val="32"/>
          <w:vertAlign w:val="superscript"/>
        </w:rPr>
        <w:t xml:space="preserve"> </w:t>
      </w:r>
      <w:r>
        <w:rPr>
          <w:sz w:val="24"/>
        </w:rPr>
        <w:t xml:space="preserve">This calculation is the reserve standard percentage level multiplied by </w:t>
      </w:r>
      <w:r w:rsidRPr="009F02AA">
        <w:rPr>
          <w:sz w:val="24"/>
        </w:rPr>
        <w:t>total unrestricted and restricted general fund expenditures and other financing uses</w:t>
      </w:r>
      <w:r>
        <w:rPr>
          <w:sz w:val="24"/>
        </w:rPr>
        <w:t xml:space="preserve"> as shown in the budget documents for Mt. Diablo USD</w:t>
      </w:r>
      <w:r w:rsidRPr="009F02AA">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E18D" w14:textId="77777777" w:rsidR="00213CD1" w:rsidRPr="000E09DC" w:rsidRDefault="00213CD1" w:rsidP="00296999">
    <w:pPr>
      <w:tabs>
        <w:tab w:val="center" w:pos="4680"/>
        <w:tab w:val="right" w:pos="9360"/>
      </w:tabs>
      <w:autoSpaceDE w:val="0"/>
      <w:autoSpaceDN w:val="0"/>
      <w:adjustRightInd w:val="0"/>
      <w:jc w:val="right"/>
      <w:rPr>
        <w:rFonts w:eastAsia="Calibri" w:cs="Arial"/>
      </w:rPr>
    </w:pPr>
    <w:r>
      <w:rPr>
        <w:rFonts w:eastAsia="Calibri" w:cs="Arial"/>
      </w:rPr>
      <w:t>General Waiver</w:t>
    </w:r>
  </w:p>
  <w:p w14:paraId="5096919F" w14:textId="77777777" w:rsidR="00213CD1" w:rsidRDefault="00213CD1" w:rsidP="00296999">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B5D71D4" w14:textId="77777777" w:rsidR="00213CD1" w:rsidRPr="00527B0E" w:rsidRDefault="00213CD1" w:rsidP="00296999">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5983" w14:textId="5988933B" w:rsidR="00213CD1" w:rsidRDefault="00213CD1" w:rsidP="00296999">
    <w:pPr>
      <w:pStyle w:val="Footer"/>
      <w:spacing w:after="240"/>
      <w:jc w:val="right"/>
    </w:pPr>
    <w:r>
      <w:t>oab-sftsd-jul22</w:t>
    </w:r>
    <w:r w:rsidRPr="00400178">
      <w:t>item</w:t>
    </w:r>
    <w:r w:rsidR="00762347">
      <w:t>01</w:t>
    </w:r>
    <w:r>
      <w:rPr>
        <w:rFonts w:cs="Arial"/>
      </w:rPr>
      <w:br/>
    </w:r>
    <w:r>
      <w:t xml:space="preserve">Page </w:t>
    </w:r>
    <w:r>
      <w:fldChar w:fldCharType="begin"/>
    </w:r>
    <w:r>
      <w:instrText xml:space="preserve"> PAGE   \* MERGEFORMAT </w:instrText>
    </w:r>
    <w:r>
      <w:fldChar w:fldCharType="separate"/>
    </w:r>
    <w:r>
      <w:rPr>
        <w:noProof/>
      </w:rPr>
      <w:t>2</w:t>
    </w:r>
    <w:r>
      <w:fldChar w:fldCharType="end"/>
    </w:r>
    <w:r>
      <w:t xml:space="preserve"> of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8580" w14:textId="46D318F0" w:rsidR="00213CD1" w:rsidRDefault="00213CD1" w:rsidP="001D312D">
    <w:pPr>
      <w:pStyle w:val="Footer"/>
      <w:jc w:val="right"/>
    </w:pPr>
    <w:r>
      <w:t>oab-sftsd-jul22</w:t>
    </w:r>
    <w:r w:rsidRPr="00400178">
      <w:t>item</w:t>
    </w:r>
    <w:r w:rsidR="00762347">
      <w:t>01</w:t>
    </w:r>
    <w:r>
      <w:rPr>
        <w:rFonts w:cs="Arial"/>
      </w:rPr>
      <w:br/>
    </w:r>
    <w:r>
      <w:t>Attachment 1</w:t>
    </w:r>
  </w:p>
  <w:p w14:paraId="1A76CE89" w14:textId="6D729029" w:rsidR="00213CD1" w:rsidRDefault="00213CD1" w:rsidP="001D312D">
    <w:pPr>
      <w:pStyle w:val="Foot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SECTIONPAGES  \* Arabic  \* MERGEFORMAT </w:instrText>
    </w:r>
    <w:r>
      <w:rPr>
        <w:noProof/>
      </w:rPr>
      <w:fldChar w:fldCharType="separate"/>
    </w:r>
    <w:r w:rsidR="00801F62">
      <w:rPr>
        <w:noProof/>
      </w:rPr>
      <w:t>32</w:t>
    </w:r>
    <w:r>
      <w:rPr>
        <w:noProof/>
      </w:rPr>
      <w:fldChar w:fldCharType="end"/>
    </w:r>
  </w:p>
  <w:p w14:paraId="5ADE15BD" w14:textId="77777777" w:rsidR="00213CD1" w:rsidRPr="00062652" w:rsidRDefault="00213CD1" w:rsidP="005F27A6">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9814" w14:textId="77777777" w:rsidR="00213CD1" w:rsidRPr="00CC2A01" w:rsidRDefault="00213CD1" w:rsidP="005F27A6">
    <w:pPr>
      <w:pStyle w:val="Footer"/>
      <w:jc w:val="right"/>
      <w:rPr>
        <w:noProof/>
      </w:rPr>
    </w:pPr>
    <w:r>
      <w:t>oab-sftsd-May22</w:t>
    </w:r>
    <w:r w:rsidRPr="00400178">
      <w:t>item</w:t>
    </w:r>
    <w:r>
      <w:t>XX</w:t>
    </w:r>
    <w:r>
      <w:br/>
      <w:t>Attachment 3</w:t>
    </w:r>
    <w:r>
      <w:br/>
    </w:r>
    <w:r w:rsidRPr="00354E4F">
      <w:t xml:space="preserve">Page </w:t>
    </w:r>
    <w:r w:rsidRPr="00354E4F">
      <w:fldChar w:fldCharType="begin"/>
    </w:r>
    <w:r w:rsidRPr="00354E4F">
      <w:instrText xml:space="preserve"> PAGE   \* MERGEFORMAT </w:instrText>
    </w:r>
    <w:r w:rsidRPr="00354E4F">
      <w:fldChar w:fldCharType="separate"/>
    </w:r>
    <w:r>
      <w:t>1</w:t>
    </w:r>
    <w:r w:rsidRPr="00354E4F">
      <w:fldChar w:fldCharType="end"/>
    </w:r>
    <w:r w:rsidRPr="00354E4F">
      <w:t xml:space="preserve"> of </w:t>
    </w:r>
    <w:r w:rsidRPr="00354E4F">
      <w:rPr>
        <w:noProof/>
      </w:rPr>
      <w:fldChar w:fldCharType="begin"/>
    </w:r>
    <w:r w:rsidRPr="00354E4F">
      <w:rPr>
        <w:noProof/>
      </w:rPr>
      <w:instrText xml:space="preserve"> NUMPAGES   \* MERGEFORMAT </w:instrText>
    </w:r>
    <w:r w:rsidRPr="00354E4F">
      <w:rPr>
        <w:noProof/>
      </w:rPr>
      <w:fldChar w:fldCharType="separate"/>
    </w:r>
    <w:r>
      <w:rPr>
        <w:noProof/>
      </w:rPr>
      <w:t>22</w:t>
    </w:r>
    <w:r w:rsidRPr="00354E4F">
      <w:rPr>
        <w:noProof/>
      </w:rPr>
      <w:fldChar w:fldCharType="end"/>
    </w:r>
  </w:p>
  <w:p w14:paraId="52C918D2" w14:textId="77777777" w:rsidR="00213CD1" w:rsidRDefault="00213C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9E8D" w14:textId="57F5EBFF" w:rsidR="00213CD1" w:rsidRDefault="00213CD1" w:rsidP="005F27A6">
    <w:pPr>
      <w:pStyle w:val="Footer"/>
      <w:jc w:val="right"/>
      <w:rPr>
        <w:noProof/>
      </w:rPr>
    </w:pPr>
    <w:r w:rsidRPr="00762347">
      <w:t>oab-sftsd-jul22item</w:t>
    </w:r>
    <w:r w:rsidR="00762347" w:rsidRPr="00762347">
      <w:t>01</w:t>
    </w:r>
    <w:r>
      <w:br/>
      <w:t>Attachment 2</w:t>
    </w:r>
    <w:r>
      <w:rPr>
        <w:rFonts w:cs="Arial"/>
      </w:rPr>
      <w:br/>
    </w:r>
    <w:r w:rsidRPr="00354E4F">
      <w:t>Page</w:t>
    </w:r>
    <w:r>
      <w:t xml:space="preserve"> </w:t>
    </w:r>
    <w:r>
      <w:fldChar w:fldCharType="begin"/>
    </w:r>
    <w:r>
      <w:instrText xml:space="preserve"> PAGE   \* MERGEFORMAT </w:instrText>
    </w:r>
    <w:r>
      <w:fldChar w:fldCharType="separate"/>
    </w:r>
    <w:r>
      <w:rPr>
        <w:noProof/>
      </w:rPr>
      <w:t>1</w:t>
    </w:r>
    <w:r>
      <w:fldChar w:fldCharType="end"/>
    </w:r>
    <w:r>
      <w:t xml:space="preserve"> of 23</w:t>
    </w:r>
  </w:p>
  <w:p w14:paraId="48E36508" w14:textId="77777777" w:rsidR="00213CD1" w:rsidRDefault="00213CD1" w:rsidP="005F27A6">
    <w:pPr>
      <w:pStyle w:val="Footer"/>
      <w:jc w:val="right"/>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B1DF" w14:textId="19CA7671" w:rsidR="00213CD1" w:rsidRDefault="00213CD1" w:rsidP="005F27A6">
    <w:pPr>
      <w:pStyle w:val="Footer"/>
      <w:jc w:val="right"/>
      <w:rPr>
        <w:noProof/>
      </w:rPr>
    </w:pPr>
    <w:r w:rsidRPr="00762347">
      <w:t>oab-sftsd-jul22item</w:t>
    </w:r>
    <w:r w:rsidR="00762347" w:rsidRPr="00762347">
      <w:t>01</w:t>
    </w:r>
    <w:r>
      <w:br/>
      <w:t>Attachment 3</w:t>
    </w:r>
    <w:r>
      <w:rPr>
        <w:rFonts w:cs="Arial"/>
      </w:rPr>
      <w:br/>
    </w:r>
    <w:r w:rsidRPr="00354E4F">
      <w:t>Page</w:t>
    </w:r>
    <w:r>
      <w:t xml:space="preserve"> </w:t>
    </w:r>
    <w:r>
      <w:fldChar w:fldCharType="begin"/>
    </w:r>
    <w:r>
      <w:instrText xml:space="preserve"> PAGE   \* MERGEFORMAT </w:instrText>
    </w:r>
    <w:r>
      <w:fldChar w:fldCharType="separate"/>
    </w:r>
    <w:r>
      <w:rPr>
        <w:noProof/>
      </w:rPr>
      <w:t>1</w:t>
    </w:r>
    <w:r>
      <w:fldChar w:fldCharType="end"/>
    </w:r>
    <w:r>
      <w:t xml:space="preserve"> of </w:t>
    </w:r>
    <w:r>
      <w:rPr>
        <w:noProof/>
      </w:rPr>
      <w:t>29</w:t>
    </w:r>
  </w:p>
  <w:p w14:paraId="148A5A7B" w14:textId="77777777" w:rsidR="00213CD1" w:rsidRDefault="00213CD1" w:rsidP="005F27A6">
    <w:pPr>
      <w:pStyle w:val="Footer"/>
      <w:jc w:val="right"/>
      <w:rPr>
        <w:noProo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8938" w14:textId="77777777" w:rsidR="00213CD1" w:rsidRPr="00CC2A01" w:rsidRDefault="00213CD1" w:rsidP="005F27A6">
    <w:pPr>
      <w:pStyle w:val="Footer"/>
      <w:jc w:val="right"/>
      <w:rPr>
        <w:noProof/>
      </w:rPr>
    </w:pPr>
    <w:r>
      <w:t>oab-sftsd-jul22</w:t>
    </w:r>
    <w:r w:rsidRPr="00400178">
      <w:t>item</w:t>
    </w:r>
    <w:r>
      <w:t>XX</w:t>
    </w:r>
    <w:r>
      <w:br/>
      <w:t>Attachment 5</w:t>
    </w:r>
    <w:r>
      <w:br/>
    </w:r>
    <w:r w:rsidRPr="00354E4F">
      <w:t xml:space="preserve">Page </w:t>
    </w:r>
    <w:r w:rsidRPr="00354E4F">
      <w:fldChar w:fldCharType="begin"/>
    </w:r>
    <w:r w:rsidRPr="00354E4F">
      <w:instrText xml:space="preserve"> PAGE   \* MERGEFORMAT </w:instrText>
    </w:r>
    <w:r w:rsidRPr="00354E4F">
      <w:fldChar w:fldCharType="separate"/>
    </w:r>
    <w:r>
      <w:t>1</w:t>
    </w:r>
    <w:r w:rsidRPr="00354E4F">
      <w:fldChar w:fldCharType="end"/>
    </w:r>
    <w:r w:rsidRPr="00354E4F">
      <w:t xml:space="preserve"> of </w:t>
    </w:r>
    <w:r w:rsidRPr="00354E4F">
      <w:rPr>
        <w:noProof/>
      </w:rPr>
      <w:fldChar w:fldCharType="begin"/>
    </w:r>
    <w:r w:rsidRPr="00354E4F">
      <w:rPr>
        <w:noProof/>
      </w:rPr>
      <w:instrText xml:space="preserve"> NUMPAGES   \* MERGEFORMAT </w:instrText>
    </w:r>
    <w:r w:rsidRPr="00354E4F">
      <w:rPr>
        <w:noProof/>
      </w:rPr>
      <w:fldChar w:fldCharType="separate"/>
    </w:r>
    <w:r>
      <w:rPr>
        <w:noProof/>
      </w:rPr>
      <w:t>22</w:t>
    </w:r>
    <w:r w:rsidRPr="00354E4F">
      <w:rPr>
        <w:noProof/>
      </w:rPr>
      <w:fldChar w:fldCharType="end"/>
    </w:r>
  </w:p>
  <w:p w14:paraId="50C90AD3" w14:textId="77777777" w:rsidR="00213CD1" w:rsidRDefault="00213C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EF44" w14:textId="4328C36F" w:rsidR="00213CD1" w:rsidRDefault="00213CD1" w:rsidP="005F27A6">
    <w:pPr>
      <w:pStyle w:val="Footer"/>
      <w:jc w:val="right"/>
      <w:rPr>
        <w:noProof/>
      </w:rPr>
    </w:pPr>
    <w:r w:rsidRPr="00762347">
      <w:t>oab-sftsd-jul22item</w:t>
    </w:r>
    <w:r w:rsidR="00762347" w:rsidRPr="00762347">
      <w:t>01</w:t>
    </w:r>
    <w:r>
      <w:br/>
      <w:t>Attachment 4</w:t>
    </w:r>
    <w:r>
      <w:rPr>
        <w:rFonts w:cs="Arial"/>
      </w:rPr>
      <w:br/>
    </w:r>
    <w:r w:rsidRPr="00354E4F">
      <w:t xml:space="preserve">Page </w:t>
    </w:r>
    <w:r w:rsidRPr="00354E4F">
      <w:fldChar w:fldCharType="begin"/>
    </w:r>
    <w:r w:rsidRPr="00354E4F">
      <w:instrText xml:space="preserve"> PAGE   \* MERGEFORMAT </w:instrText>
    </w:r>
    <w:r w:rsidRPr="00354E4F">
      <w:fldChar w:fldCharType="separate"/>
    </w:r>
    <w:r>
      <w:t>2</w:t>
    </w:r>
    <w:r w:rsidRPr="00354E4F">
      <w:fldChar w:fldCharType="end"/>
    </w:r>
    <w:r w:rsidRPr="00354E4F">
      <w:t xml:space="preserve"> of </w:t>
    </w:r>
    <w:r>
      <w:rPr>
        <w:noProof/>
      </w:rPr>
      <w:fldChar w:fldCharType="begin"/>
    </w:r>
    <w:r>
      <w:rPr>
        <w:noProof/>
      </w:rPr>
      <w:instrText xml:space="preserve"> SECTIONPAGES  \* Arabic  \* MERGEFORMAT </w:instrText>
    </w:r>
    <w:r>
      <w:rPr>
        <w:noProof/>
      </w:rPr>
      <w:fldChar w:fldCharType="separate"/>
    </w:r>
    <w:r w:rsidR="00801F62">
      <w:rPr>
        <w:noProof/>
      </w:rPr>
      <w:t>6</w:t>
    </w:r>
    <w:r>
      <w:rPr>
        <w:noProof/>
      </w:rPr>
      <w:fldChar w:fldCharType="end"/>
    </w:r>
  </w:p>
  <w:p w14:paraId="5E01CE8E" w14:textId="77777777" w:rsidR="00213CD1" w:rsidRDefault="00213CD1" w:rsidP="005F27A6">
    <w:pPr>
      <w:pStyle w:val="Footer"/>
      <w:jc w:val="right"/>
      <w:rPr>
        <w:noProo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CFF2" w14:textId="3AD32857" w:rsidR="00213CD1" w:rsidRDefault="00213CD1" w:rsidP="005F27A6">
    <w:pPr>
      <w:pStyle w:val="Footer"/>
      <w:jc w:val="right"/>
      <w:rPr>
        <w:noProof/>
      </w:rPr>
    </w:pPr>
    <w:r w:rsidRPr="00762347">
      <w:t>oab-sftsd-jul22item</w:t>
    </w:r>
    <w:r w:rsidR="00762347" w:rsidRPr="00762347">
      <w:t>01</w:t>
    </w:r>
    <w:r>
      <w:br/>
      <w:t>Attachment 5</w:t>
    </w:r>
    <w:r>
      <w:rPr>
        <w:rFonts w:cs="Arial"/>
      </w:rPr>
      <w:br/>
    </w:r>
    <w:r w:rsidRPr="00354E4F">
      <w:t xml:space="preserve">Page </w:t>
    </w:r>
    <w:r w:rsidRPr="00354E4F">
      <w:fldChar w:fldCharType="begin"/>
    </w:r>
    <w:r w:rsidRPr="00354E4F">
      <w:instrText xml:space="preserve"> PAGE   \* MERGEFORMAT </w:instrText>
    </w:r>
    <w:r w:rsidRPr="00354E4F">
      <w:fldChar w:fldCharType="separate"/>
    </w:r>
    <w:r>
      <w:t>2</w:t>
    </w:r>
    <w:r w:rsidRPr="00354E4F">
      <w:fldChar w:fldCharType="end"/>
    </w:r>
    <w:r w:rsidRPr="00354E4F">
      <w:t xml:space="preserve"> of </w:t>
    </w:r>
    <w:r>
      <w:t>11</w:t>
    </w:r>
  </w:p>
  <w:p w14:paraId="04DB54F4" w14:textId="77777777" w:rsidR="00213CD1" w:rsidRDefault="00213CD1" w:rsidP="005F27A6">
    <w:pPr>
      <w:pStyle w:val="Foot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809"/>
    <w:multiLevelType w:val="hybridMultilevel"/>
    <w:tmpl w:val="5702619A"/>
    <w:lvl w:ilvl="0" w:tplc="98581474">
      <w:start w:val="8"/>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652A"/>
    <w:multiLevelType w:val="multilevel"/>
    <w:tmpl w:val="733E93D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F23ACD"/>
    <w:multiLevelType w:val="hybridMultilevel"/>
    <w:tmpl w:val="F2A673F8"/>
    <w:lvl w:ilvl="0" w:tplc="E95E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03C42"/>
    <w:multiLevelType w:val="hybridMultilevel"/>
    <w:tmpl w:val="029A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4406B"/>
    <w:multiLevelType w:val="hybridMultilevel"/>
    <w:tmpl w:val="162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F06FF"/>
    <w:multiLevelType w:val="hybridMultilevel"/>
    <w:tmpl w:val="29C8452E"/>
    <w:lvl w:ilvl="0" w:tplc="9D3A667C">
      <w:start w:val="7"/>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01A9"/>
    <w:multiLevelType w:val="hybridMultilevel"/>
    <w:tmpl w:val="D80828EE"/>
    <w:lvl w:ilvl="0" w:tplc="7BCCC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E5345"/>
    <w:multiLevelType w:val="multilevel"/>
    <w:tmpl w:val="853E08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430C7"/>
    <w:multiLevelType w:val="multilevel"/>
    <w:tmpl w:val="0E8EB8C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E20BD7"/>
    <w:multiLevelType w:val="hybridMultilevel"/>
    <w:tmpl w:val="E938C0A0"/>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387F16"/>
    <w:multiLevelType w:val="multilevel"/>
    <w:tmpl w:val="E35CC48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upperLetter"/>
      <w:lvlText w:val="%3)"/>
      <w:lvlJc w:val="left"/>
      <w:pPr>
        <w:ind w:left="360" w:hanging="360"/>
      </w:pPr>
      <w:rPr>
        <w:rFonts w:hint="default"/>
      </w:rPr>
    </w:lvl>
    <w:lvl w:ilvl="3">
      <w:start w:val="1"/>
      <w:numFmt w:val="lowerRoman"/>
      <w:lvlText w:val="(%4)"/>
      <w:lvlJc w:val="left"/>
      <w:pPr>
        <w:ind w:left="360" w:hanging="360"/>
      </w:pPr>
      <w:rPr>
        <w:rFonts w:hint="default"/>
      </w:rPr>
    </w:lvl>
    <w:lvl w:ilvl="4">
      <w:start w:val="1"/>
      <w:numFmt w:val="upperRoman"/>
      <w:lvlText w:val="(%5)"/>
      <w:lvlJc w:val="left"/>
      <w:pPr>
        <w:ind w:left="360" w:hanging="360"/>
      </w:pPr>
      <w:rPr>
        <w:rFonts w:hint="default"/>
      </w:rPr>
    </w:lvl>
    <w:lvl w:ilvl="5">
      <w:start w:val="1"/>
      <w:numFmt w:val="lowerLetter"/>
      <w:pStyle w:val="StatutoryReference"/>
      <w:lvlText w:val="(%6)"/>
      <w:lvlJc w:val="left"/>
      <w:pPr>
        <w:ind w:left="360" w:hanging="360"/>
      </w:pPr>
      <w:rPr>
        <w:rFonts w:ascii="Calibri" w:eastAsiaTheme="minorHAnsi" w:hAnsi="Calibri" w:cs="Calibri"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42E3207"/>
    <w:multiLevelType w:val="hybridMultilevel"/>
    <w:tmpl w:val="E004A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580B90"/>
    <w:multiLevelType w:val="hybridMultilevel"/>
    <w:tmpl w:val="6DC8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AA587A"/>
    <w:multiLevelType w:val="hybridMultilevel"/>
    <w:tmpl w:val="2976008A"/>
    <w:lvl w:ilvl="0" w:tplc="FD2C40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B63124"/>
    <w:multiLevelType w:val="hybridMultilevel"/>
    <w:tmpl w:val="DEEE0C28"/>
    <w:lvl w:ilvl="0" w:tplc="C5001F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56A6C"/>
    <w:multiLevelType w:val="hybridMultilevel"/>
    <w:tmpl w:val="1D5EDFEE"/>
    <w:lvl w:ilvl="0" w:tplc="D1927F84">
      <w:start w:val="6"/>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CE3EDA"/>
    <w:multiLevelType w:val="hybridMultilevel"/>
    <w:tmpl w:val="782A8384"/>
    <w:lvl w:ilvl="0" w:tplc="67E40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323A6"/>
    <w:multiLevelType w:val="hybridMultilevel"/>
    <w:tmpl w:val="A3FC887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8E15DE"/>
    <w:multiLevelType w:val="hybridMultilevel"/>
    <w:tmpl w:val="39CC9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0A3BBD"/>
    <w:multiLevelType w:val="hybridMultilevel"/>
    <w:tmpl w:val="E2E889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071384"/>
    <w:multiLevelType w:val="hybridMultilevel"/>
    <w:tmpl w:val="CB422892"/>
    <w:lvl w:ilvl="0" w:tplc="50D4584A">
      <w:start w:val="5"/>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D004B"/>
    <w:multiLevelType w:val="multilevel"/>
    <w:tmpl w:val="C2189ABE"/>
    <w:lvl w:ilvl="0">
      <w:start w:val="1"/>
      <w:numFmt w:val="decimal"/>
      <w:lvlText w:val="%1.0"/>
      <w:lvlJc w:val="left"/>
      <w:pPr>
        <w:ind w:left="720" w:hanging="720"/>
      </w:pPr>
      <w:rPr>
        <w:rFonts w:hint="default"/>
      </w:rPr>
    </w:lvl>
    <w:lvl w:ilvl="1">
      <w:start w:val="1"/>
      <w:numFmt w:val="decimal"/>
      <w:pStyle w:val="Heading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43106D4E"/>
    <w:multiLevelType w:val="hybridMultilevel"/>
    <w:tmpl w:val="19FE8E22"/>
    <w:lvl w:ilvl="0" w:tplc="6B2AC8E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822741"/>
    <w:multiLevelType w:val="hybridMultilevel"/>
    <w:tmpl w:val="2B1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F100A"/>
    <w:multiLevelType w:val="hybridMultilevel"/>
    <w:tmpl w:val="AB0A2350"/>
    <w:lvl w:ilvl="0" w:tplc="C01C6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6028CA"/>
    <w:multiLevelType w:val="multilevel"/>
    <w:tmpl w:val="A5C28AA8"/>
    <w:lvl w:ilvl="0">
      <w:start w:val="5"/>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91900CF"/>
    <w:multiLevelType w:val="hybridMultilevel"/>
    <w:tmpl w:val="6908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8167BA"/>
    <w:multiLevelType w:val="hybridMultilevel"/>
    <w:tmpl w:val="509C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B23AD"/>
    <w:multiLevelType w:val="multilevel"/>
    <w:tmpl w:val="BEEAB8C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1F27655"/>
    <w:multiLevelType w:val="hybridMultilevel"/>
    <w:tmpl w:val="FF4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B02B9"/>
    <w:multiLevelType w:val="hybridMultilevel"/>
    <w:tmpl w:val="3F8E819A"/>
    <w:lvl w:ilvl="0" w:tplc="D9564CFA">
      <w:start w:val="9"/>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279CC"/>
    <w:multiLevelType w:val="hybridMultilevel"/>
    <w:tmpl w:val="C7464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BE1173A"/>
    <w:multiLevelType w:val="multilevel"/>
    <w:tmpl w:val="C2FA7D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047928"/>
    <w:multiLevelType w:val="hybridMultilevel"/>
    <w:tmpl w:val="A284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B16A9"/>
    <w:multiLevelType w:val="hybridMultilevel"/>
    <w:tmpl w:val="2D8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908F0"/>
    <w:multiLevelType w:val="hybridMultilevel"/>
    <w:tmpl w:val="0A56F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8B18DF"/>
    <w:multiLevelType w:val="hybridMultilevel"/>
    <w:tmpl w:val="B2FC1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71899"/>
    <w:multiLevelType w:val="hybridMultilevel"/>
    <w:tmpl w:val="B3B60500"/>
    <w:lvl w:ilvl="0" w:tplc="C9B01AA0">
      <w:start w:val="4"/>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D3C9E"/>
    <w:multiLevelType w:val="multilevel"/>
    <w:tmpl w:val="5A9A3A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B70C5C"/>
    <w:multiLevelType w:val="multilevel"/>
    <w:tmpl w:val="977045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274025"/>
    <w:multiLevelType w:val="hybridMultilevel"/>
    <w:tmpl w:val="0EEA9C9E"/>
    <w:lvl w:ilvl="0" w:tplc="04090001">
      <w:start w:val="1"/>
      <w:numFmt w:val="bullet"/>
      <w:lvlText w:val=""/>
      <w:lvlJc w:val="left"/>
      <w:pPr>
        <w:ind w:left="1080" w:hanging="360"/>
      </w:pPr>
      <w:rPr>
        <w:rFonts w:ascii="Symbol" w:hAnsi="Symbol" w:hint="default"/>
      </w:rPr>
    </w:lvl>
    <w:lvl w:ilvl="1" w:tplc="070C9B7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00049"/>
    <w:multiLevelType w:val="hybridMultilevel"/>
    <w:tmpl w:val="F13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36592"/>
    <w:multiLevelType w:val="hybridMultilevel"/>
    <w:tmpl w:val="D660B62A"/>
    <w:lvl w:ilvl="0" w:tplc="35F8F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05D8F"/>
    <w:multiLevelType w:val="hybridMultilevel"/>
    <w:tmpl w:val="0B3E9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672A7E"/>
    <w:multiLevelType w:val="hybridMultilevel"/>
    <w:tmpl w:val="5D96CDB2"/>
    <w:lvl w:ilvl="0" w:tplc="C480020E">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1D7BFD"/>
    <w:multiLevelType w:val="hybridMultilevel"/>
    <w:tmpl w:val="E2705FF8"/>
    <w:lvl w:ilvl="0" w:tplc="842E6130">
      <w:start w:val="3"/>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0816"/>
    <w:multiLevelType w:val="hybridMultilevel"/>
    <w:tmpl w:val="63E6E80A"/>
    <w:lvl w:ilvl="0" w:tplc="C480020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25E8B"/>
    <w:multiLevelType w:val="hybridMultilevel"/>
    <w:tmpl w:val="949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5"/>
  </w:num>
  <w:num w:numId="3">
    <w:abstractNumId w:val="29"/>
  </w:num>
  <w:num w:numId="4">
    <w:abstractNumId w:val="21"/>
  </w:num>
  <w:num w:numId="5">
    <w:abstractNumId w:val="11"/>
  </w:num>
  <w:num w:numId="6">
    <w:abstractNumId w:val="40"/>
  </w:num>
  <w:num w:numId="7">
    <w:abstractNumId w:val="31"/>
  </w:num>
  <w:num w:numId="8">
    <w:abstractNumId w:val="12"/>
  </w:num>
  <w:num w:numId="9">
    <w:abstractNumId w:val="6"/>
  </w:num>
  <w:num w:numId="10">
    <w:abstractNumId w:val="9"/>
  </w:num>
  <w:num w:numId="11">
    <w:abstractNumId w:val="23"/>
  </w:num>
  <w:num w:numId="12">
    <w:abstractNumId w:val="19"/>
  </w:num>
  <w:num w:numId="13">
    <w:abstractNumId w:val="43"/>
  </w:num>
  <w:num w:numId="14">
    <w:abstractNumId w:val="13"/>
  </w:num>
  <w:num w:numId="15">
    <w:abstractNumId w:val="3"/>
  </w:num>
  <w:num w:numId="16">
    <w:abstractNumId w:val="36"/>
  </w:num>
  <w:num w:numId="17">
    <w:abstractNumId w:val="33"/>
  </w:num>
  <w:num w:numId="18">
    <w:abstractNumId w:val="18"/>
  </w:num>
  <w:num w:numId="19">
    <w:abstractNumId w:val="27"/>
  </w:num>
  <w:num w:numId="20">
    <w:abstractNumId w:val="42"/>
    <w:lvlOverride w:ilvl="0">
      <w:startOverride w:val="1"/>
    </w:lvlOverride>
  </w:num>
  <w:num w:numId="21">
    <w:abstractNumId w:val="4"/>
  </w:num>
  <w:num w:numId="22">
    <w:abstractNumId w:val="41"/>
  </w:num>
  <w:num w:numId="23">
    <w:abstractNumId w:val="26"/>
  </w:num>
  <w:num w:numId="24">
    <w:abstractNumId w:val="14"/>
  </w:num>
  <w:num w:numId="25">
    <w:abstractNumId w:val="34"/>
  </w:num>
  <w:num w:numId="26">
    <w:abstractNumId w:val="46"/>
  </w:num>
  <w:num w:numId="27">
    <w:abstractNumId w:val="28"/>
  </w:num>
  <w:num w:numId="28">
    <w:abstractNumId w:val="45"/>
  </w:num>
  <w:num w:numId="29">
    <w:abstractNumId w:val="37"/>
  </w:num>
  <w:num w:numId="30">
    <w:abstractNumId w:val="20"/>
  </w:num>
  <w:num w:numId="31">
    <w:abstractNumId w:val="25"/>
  </w:num>
  <w:num w:numId="32">
    <w:abstractNumId w:val="15"/>
  </w:num>
  <w:num w:numId="33">
    <w:abstractNumId w:val="5"/>
  </w:num>
  <w:num w:numId="34">
    <w:abstractNumId w:val="7"/>
  </w:num>
  <w:num w:numId="35">
    <w:abstractNumId w:val="0"/>
  </w:num>
  <w:num w:numId="36">
    <w:abstractNumId w:val="8"/>
  </w:num>
  <w:num w:numId="37">
    <w:abstractNumId w:val="30"/>
  </w:num>
  <w:num w:numId="38">
    <w:abstractNumId w:val="1"/>
  </w:num>
  <w:num w:numId="39">
    <w:abstractNumId w:val="39"/>
  </w:num>
  <w:num w:numId="40">
    <w:abstractNumId w:val="38"/>
  </w:num>
  <w:num w:numId="41">
    <w:abstractNumId w:val="32"/>
  </w:num>
  <w:num w:numId="42">
    <w:abstractNumId w:val="44"/>
  </w:num>
  <w:num w:numId="43">
    <w:abstractNumId w:val="47"/>
  </w:num>
  <w:num w:numId="44">
    <w:abstractNumId w:val="16"/>
  </w:num>
  <w:num w:numId="45">
    <w:abstractNumId w:val="2"/>
  </w:num>
  <w:num w:numId="46">
    <w:abstractNumId w:val="24"/>
  </w:num>
  <w:num w:numId="47">
    <w:abstractNumId w:val="22"/>
  </w:num>
  <w:num w:numId="48">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A4"/>
    <w:rsid w:val="000023B9"/>
    <w:rsid w:val="00003C2E"/>
    <w:rsid w:val="00004B5B"/>
    <w:rsid w:val="00005379"/>
    <w:rsid w:val="0000615B"/>
    <w:rsid w:val="00006833"/>
    <w:rsid w:val="0000775C"/>
    <w:rsid w:val="00007CB5"/>
    <w:rsid w:val="00007FA1"/>
    <w:rsid w:val="000110E0"/>
    <w:rsid w:val="000236EE"/>
    <w:rsid w:val="0002372B"/>
    <w:rsid w:val="000314AB"/>
    <w:rsid w:val="0003378A"/>
    <w:rsid w:val="000462E5"/>
    <w:rsid w:val="0006773E"/>
    <w:rsid w:val="000719CB"/>
    <w:rsid w:val="000738D5"/>
    <w:rsid w:val="000869C7"/>
    <w:rsid w:val="000878C3"/>
    <w:rsid w:val="000A33F9"/>
    <w:rsid w:val="000A6EA2"/>
    <w:rsid w:val="000A7E5A"/>
    <w:rsid w:val="000B6327"/>
    <w:rsid w:val="000C4D20"/>
    <w:rsid w:val="000D10AE"/>
    <w:rsid w:val="000E4443"/>
    <w:rsid w:val="000E7A68"/>
    <w:rsid w:val="000F6FE0"/>
    <w:rsid w:val="001010AD"/>
    <w:rsid w:val="00115483"/>
    <w:rsid w:val="001217D3"/>
    <w:rsid w:val="00131B0A"/>
    <w:rsid w:val="001343AA"/>
    <w:rsid w:val="00141F09"/>
    <w:rsid w:val="001670F4"/>
    <w:rsid w:val="00180FEF"/>
    <w:rsid w:val="00197A44"/>
    <w:rsid w:val="001A18E7"/>
    <w:rsid w:val="001A49DB"/>
    <w:rsid w:val="001B0C23"/>
    <w:rsid w:val="001B10A1"/>
    <w:rsid w:val="001B3344"/>
    <w:rsid w:val="001C10AC"/>
    <w:rsid w:val="001C19A4"/>
    <w:rsid w:val="001D312D"/>
    <w:rsid w:val="001D4647"/>
    <w:rsid w:val="001D53D2"/>
    <w:rsid w:val="001E00F7"/>
    <w:rsid w:val="001F0B7E"/>
    <w:rsid w:val="00210BDF"/>
    <w:rsid w:val="00213CD1"/>
    <w:rsid w:val="00216E89"/>
    <w:rsid w:val="00226EBB"/>
    <w:rsid w:val="0022733E"/>
    <w:rsid w:val="002316D6"/>
    <w:rsid w:val="00243332"/>
    <w:rsid w:val="0024655D"/>
    <w:rsid w:val="00264388"/>
    <w:rsid w:val="00270E01"/>
    <w:rsid w:val="002765BA"/>
    <w:rsid w:val="00296999"/>
    <w:rsid w:val="00297B90"/>
    <w:rsid w:val="002A0825"/>
    <w:rsid w:val="002A0BF7"/>
    <w:rsid w:val="002A5893"/>
    <w:rsid w:val="002A68B1"/>
    <w:rsid w:val="002B6D85"/>
    <w:rsid w:val="002C1821"/>
    <w:rsid w:val="002C5CC6"/>
    <w:rsid w:val="002F00C9"/>
    <w:rsid w:val="002F2872"/>
    <w:rsid w:val="002F7493"/>
    <w:rsid w:val="00303107"/>
    <w:rsid w:val="00315751"/>
    <w:rsid w:val="0032766D"/>
    <w:rsid w:val="003344F4"/>
    <w:rsid w:val="00343237"/>
    <w:rsid w:val="003521D7"/>
    <w:rsid w:val="00362CBA"/>
    <w:rsid w:val="00371BAD"/>
    <w:rsid w:val="00375610"/>
    <w:rsid w:val="00376A6A"/>
    <w:rsid w:val="00385C46"/>
    <w:rsid w:val="003A2081"/>
    <w:rsid w:val="003B097C"/>
    <w:rsid w:val="003C35F4"/>
    <w:rsid w:val="003C5D1A"/>
    <w:rsid w:val="003C61EC"/>
    <w:rsid w:val="003C6EE8"/>
    <w:rsid w:val="003D61EF"/>
    <w:rsid w:val="003D767E"/>
    <w:rsid w:val="003E48CC"/>
    <w:rsid w:val="003E6A6C"/>
    <w:rsid w:val="003E742B"/>
    <w:rsid w:val="004029D7"/>
    <w:rsid w:val="00407237"/>
    <w:rsid w:val="00414AAE"/>
    <w:rsid w:val="00417777"/>
    <w:rsid w:val="004215AA"/>
    <w:rsid w:val="0042784D"/>
    <w:rsid w:val="0043029A"/>
    <w:rsid w:val="00437540"/>
    <w:rsid w:val="004438E6"/>
    <w:rsid w:val="00450755"/>
    <w:rsid w:val="004533D8"/>
    <w:rsid w:val="00466D76"/>
    <w:rsid w:val="00470726"/>
    <w:rsid w:val="004742A1"/>
    <w:rsid w:val="0047518A"/>
    <w:rsid w:val="00476AA3"/>
    <w:rsid w:val="0048735D"/>
    <w:rsid w:val="00487FBE"/>
    <w:rsid w:val="004900C2"/>
    <w:rsid w:val="00493819"/>
    <w:rsid w:val="00493D0B"/>
    <w:rsid w:val="004C3589"/>
    <w:rsid w:val="004C4A82"/>
    <w:rsid w:val="004C5504"/>
    <w:rsid w:val="004D4335"/>
    <w:rsid w:val="004D60AB"/>
    <w:rsid w:val="004E29DE"/>
    <w:rsid w:val="004E6CA5"/>
    <w:rsid w:val="004F099A"/>
    <w:rsid w:val="004F40B9"/>
    <w:rsid w:val="004F4871"/>
    <w:rsid w:val="004F7173"/>
    <w:rsid w:val="00506600"/>
    <w:rsid w:val="00510CA1"/>
    <w:rsid w:val="0051121A"/>
    <w:rsid w:val="005176B0"/>
    <w:rsid w:val="0053150A"/>
    <w:rsid w:val="00532186"/>
    <w:rsid w:val="005350FA"/>
    <w:rsid w:val="005444BA"/>
    <w:rsid w:val="00550495"/>
    <w:rsid w:val="00555EE8"/>
    <w:rsid w:val="00571E1D"/>
    <w:rsid w:val="00587FEC"/>
    <w:rsid w:val="005920DA"/>
    <w:rsid w:val="005956FE"/>
    <w:rsid w:val="005C4A35"/>
    <w:rsid w:val="005D4B48"/>
    <w:rsid w:val="005D6D41"/>
    <w:rsid w:val="005E292C"/>
    <w:rsid w:val="005F27A6"/>
    <w:rsid w:val="00602637"/>
    <w:rsid w:val="00604650"/>
    <w:rsid w:val="00615AC4"/>
    <w:rsid w:val="00625D33"/>
    <w:rsid w:val="00632BC5"/>
    <w:rsid w:val="006334A7"/>
    <w:rsid w:val="0064013D"/>
    <w:rsid w:val="0064584F"/>
    <w:rsid w:val="00651F21"/>
    <w:rsid w:val="00660C37"/>
    <w:rsid w:val="00665386"/>
    <w:rsid w:val="0066564D"/>
    <w:rsid w:val="006873A0"/>
    <w:rsid w:val="006947B2"/>
    <w:rsid w:val="00696C5C"/>
    <w:rsid w:val="006C0B8E"/>
    <w:rsid w:val="006C1A3D"/>
    <w:rsid w:val="006D58FC"/>
    <w:rsid w:val="006D60EF"/>
    <w:rsid w:val="006E2750"/>
    <w:rsid w:val="006F3D5A"/>
    <w:rsid w:val="006F4908"/>
    <w:rsid w:val="00717C4F"/>
    <w:rsid w:val="0072384E"/>
    <w:rsid w:val="00723E01"/>
    <w:rsid w:val="00735429"/>
    <w:rsid w:val="00737871"/>
    <w:rsid w:val="007421CE"/>
    <w:rsid w:val="0075063C"/>
    <w:rsid w:val="00762347"/>
    <w:rsid w:val="00763FB2"/>
    <w:rsid w:val="00764419"/>
    <w:rsid w:val="00773329"/>
    <w:rsid w:val="0077501E"/>
    <w:rsid w:val="007A132E"/>
    <w:rsid w:val="007A4C99"/>
    <w:rsid w:val="007A7AB4"/>
    <w:rsid w:val="007B75E5"/>
    <w:rsid w:val="007C3412"/>
    <w:rsid w:val="007E2B63"/>
    <w:rsid w:val="007E3859"/>
    <w:rsid w:val="007F05A2"/>
    <w:rsid w:val="007F1E2D"/>
    <w:rsid w:val="007F2CFE"/>
    <w:rsid w:val="007F3D2B"/>
    <w:rsid w:val="00801F62"/>
    <w:rsid w:val="00823970"/>
    <w:rsid w:val="008271FB"/>
    <w:rsid w:val="008362BD"/>
    <w:rsid w:val="00844048"/>
    <w:rsid w:val="008457F5"/>
    <w:rsid w:val="00852316"/>
    <w:rsid w:val="008619C6"/>
    <w:rsid w:val="008637F5"/>
    <w:rsid w:val="00863ED1"/>
    <w:rsid w:val="00874EC4"/>
    <w:rsid w:val="008755D3"/>
    <w:rsid w:val="00885140"/>
    <w:rsid w:val="00893E93"/>
    <w:rsid w:val="008A0D22"/>
    <w:rsid w:val="008A2844"/>
    <w:rsid w:val="008A5BED"/>
    <w:rsid w:val="008A76E5"/>
    <w:rsid w:val="008A7CF8"/>
    <w:rsid w:val="008B1D97"/>
    <w:rsid w:val="008C0E40"/>
    <w:rsid w:val="008D3D4C"/>
    <w:rsid w:val="008D491E"/>
    <w:rsid w:val="008F54D1"/>
    <w:rsid w:val="00903BB4"/>
    <w:rsid w:val="00904851"/>
    <w:rsid w:val="0090642A"/>
    <w:rsid w:val="0091463E"/>
    <w:rsid w:val="0091643F"/>
    <w:rsid w:val="00922849"/>
    <w:rsid w:val="00923660"/>
    <w:rsid w:val="00932EC7"/>
    <w:rsid w:val="0093490E"/>
    <w:rsid w:val="009375B1"/>
    <w:rsid w:val="0094687A"/>
    <w:rsid w:val="009471A5"/>
    <w:rsid w:val="00947D42"/>
    <w:rsid w:val="009515A7"/>
    <w:rsid w:val="00953B96"/>
    <w:rsid w:val="00953BFE"/>
    <w:rsid w:val="009653B2"/>
    <w:rsid w:val="00966C80"/>
    <w:rsid w:val="00974100"/>
    <w:rsid w:val="009758B2"/>
    <w:rsid w:val="00980521"/>
    <w:rsid w:val="00980B53"/>
    <w:rsid w:val="00985FAF"/>
    <w:rsid w:val="00990A53"/>
    <w:rsid w:val="00991A3C"/>
    <w:rsid w:val="009A057A"/>
    <w:rsid w:val="009A075C"/>
    <w:rsid w:val="009A07CF"/>
    <w:rsid w:val="009C098D"/>
    <w:rsid w:val="009C4C72"/>
    <w:rsid w:val="009C6E70"/>
    <w:rsid w:val="009D0D7F"/>
    <w:rsid w:val="009D1EAF"/>
    <w:rsid w:val="009E29CF"/>
    <w:rsid w:val="009E6792"/>
    <w:rsid w:val="009F043D"/>
    <w:rsid w:val="009F6280"/>
    <w:rsid w:val="009F6B67"/>
    <w:rsid w:val="00A06B62"/>
    <w:rsid w:val="00A07978"/>
    <w:rsid w:val="00A245EF"/>
    <w:rsid w:val="00A26121"/>
    <w:rsid w:val="00A32D95"/>
    <w:rsid w:val="00A73A6F"/>
    <w:rsid w:val="00A74B07"/>
    <w:rsid w:val="00A954F2"/>
    <w:rsid w:val="00A9630E"/>
    <w:rsid w:val="00AA2DDA"/>
    <w:rsid w:val="00AB48CB"/>
    <w:rsid w:val="00AB6213"/>
    <w:rsid w:val="00AC1253"/>
    <w:rsid w:val="00AC16B5"/>
    <w:rsid w:val="00AD2666"/>
    <w:rsid w:val="00AD2D43"/>
    <w:rsid w:val="00AD2DE2"/>
    <w:rsid w:val="00AD3D6E"/>
    <w:rsid w:val="00AF27C6"/>
    <w:rsid w:val="00AF3DCD"/>
    <w:rsid w:val="00AF5368"/>
    <w:rsid w:val="00AF63A7"/>
    <w:rsid w:val="00AF653A"/>
    <w:rsid w:val="00B06DA3"/>
    <w:rsid w:val="00B10B4A"/>
    <w:rsid w:val="00B32FCF"/>
    <w:rsid w:val="00B4422D"/>
    <w:rsid w:val="00B47BC2"/>
    <w:rsid w:val="00B63A4D"/>
    <w:rsid w:val="00B649EE"/>
    <w:rsid w:val="00B67D1F"/>
    <w:rsid w:val="00B72F24"/>
    <w:rsid w:val="00B77BE5"/>
    <w:rsid w:val="00B83A3B"/>
    <w:rsid w:val="00B90D91"/>
    <w:rsid w:val="00B94007"/>
    <w:rsid w:val="00BA166E"/>
    <w:rsid w:val="00BA1B7F"/>
    <w:rsid w:val="00BB1BF9"/>
    <w:rsid w:val="00BD6393"/>
    <w:rsid w:val="00BE384A"/>
    <w:rsid w:val="00BE39C8"/>
    <w:rsid w:val="00BE57D4"/>
    <w:rsid w:val="00C003BF"/>
    <w:rsid w:val="00C06342"/>
    <w:rsid w:val="00C220CA"/>
    <w:rsid w:val="00C2453F"/>
    <w:rsid w:val="00C24D45"/>
    <w:rsid w:val="00C25A5B"/>
    <w:rsid w:val="00C306C8"/>
    <w:rsid w:val="00C3291D"/>
    <w:rsid w:val="00C37B1B"/>
    <w:rsid w:val="00C608C0"/>
    <w:rsid w:val="00C67EF1"/>
    <w:rsid w:val="00C70024"/>
    <w:rsid w:val="00C71B6D"/>
    <w:rsid w:val="00C7570E"/>
    <w:rsid w:val="00C83197"/>
    <w:rsid w:val="00C914AD"/>
    <w:rsid w:val="00C95226"/>
    <w:rsid w:val="00CA4E91"/>
    <w:rsid w:val="00CA5036"/>
    <w:rsid w:val="00CB25F2"/>
    <w:rsid w:val="00CC4A71"/>
    <w:rsid w:val="00CD4E48"/>
    <w:rsid w:val="00CE5D33"/>
    <w:rsid w:val="00CF60D3"/>
    <w:rsid w:val="00CF7852"/>
    <w:rsid w:val="00D019FB"/>
    <w:rsid w:val="00D03F26"/>
    <w:rsid w:val="00D049A2"/>
    <w:rsid w:val="00D13566"/>
    <w:rsid w:val="00D316F1"/>
    <w:rsid w:val="00D371A1"/>
    <w:rsid w:val="00D43356"/>
    <w:rsid w:val="00D45560"/>
    <w:rsid w:val="00D64B69"/>
    <w:rsid w:val="00D67BD9"/>
    <w:rsid w:val="00D72E48"/>
    <w:rsid w:val="00D74D7C"/>
    <w:rsid w:val="00D75C42"/>
    <w:rsid w:val="00D77BD1"/>
    <w:rsid w:val="00D91B9F"/>
    <w:rsid w:val="00D96FB6"/>
    <w:rsid w:val="00DA09B3"/>
    <w:rsid w:val="00DA3285"/>
    <w:rsid w:val="00DA46D7"/>
    <w:rsid w:val="00DB2D07"/>
    <w:rsid w:val="00DC1F4C"/>
    <w:rsid w:val="00DF01FD"/>
    <w:rsid w:val="00DF3963"/>
    <w:rsid w:val="00E061FC"/>
    <w:rsid w:val="00E11B67"/>
    <w:rsid w:val="00E126FE"/>
    <w:rsid w:val="00E201D0"/>
    <w:rsid w:val="00E2289D"/>
    <w:rsid w:val="00E24F24"/>
    <w:rsid w:val="00E257FD"/>
    <w:rsid w:val="00E266DC"/>
    <w:rsid w:val="00E30F0E"/>
    <w:rsid w:val="00E33DC5"/>
    <w:rsid w:val="00E3531D"/>
    <w:rsid w:val="00E36E07"/>
    <w:rsid w:val="00E440B4"/>
    <w:rsid w:val="00E4423B"/>
    <w:rsid w:val="00E45815"/>
    <w:rsid w:val="00E4719D"/>
    <w:rsid w:val="00E50558"/>
    <w:rsid w:val="00E522A8"/>
    <w:rsid w:val="00E540A6"/>
    <w:rsid w:val="00E545D6"/>
    <w:rsid w:val="00E55E8C"/>
    <w:rsid w:val="00E57CC5"/>
    <w:rsid w:val="00E75367"/>
    <w:rsid w:val="00E80766"/>
    <w:rsid w:val="00EA4BAD"/>
    <w:rsid w:val="00EA6E15"/>
    <w:rsid w:val="00EB1B97"/>
    <w:rsid w:val="00EB7054"/>
    <w:rsid w:val="00EB7201"/>
    <w:rsid w:val="00EC33F3"/>
    <w:rsid w:val="00ED4370"/>
    <w:rsid w:val="00EE194E"/>
    <w:rsid w:val="00F11226"/>
    <w:rsid w:val="00F1290D"/>
    <w:rsid w:val="00F14E54"/>
    <w:rsid w:val="00F3002D"/>
    <w:rsid w:val="00F44C93"/>
    <w:rsid w:val="00F5322D"/>
    <w:rsid w:val="00F617CC"/>
    <w:rsid w:val="00F61A55"/>
    <w:rsid w:val="00F63C6E"/>
    <w:rsid w:val="00F70073"/>
    <w:rsid w:val="00F727AF"/>
    <w:rsid w:val="00F72FC1"/>
    <w:rsid w:val="00F76924"/>
    <w:rsid w:val="00F80EB7"/>
    <w:rsid w:val="00F81D7D"/>
    <w:rsid w:val="00F91B0D"/>
    <w:rsid w:val="00F92EC4"/>
    <w:rsid w:val="00F95A5C"/>
    <w:rsid w:val="00FA0426"/>
    <w:rsid w:val="00FA6F14"/>
    <w:rsid w:val="00FB1ECA"/>
    <w:rsid w:val="00FB2076"/>
    <w:rsid w:val="00FC4AEF"/>
    <w:rsid w:val="00FD1465"/>
    <w:rsid w:val="00FD39B4"/>
    <w:rsid w:val="00FE4F33"/>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F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AEF"/>
    <w:pPr>
      <w:spacing w:after="240"/>
    </w:pPr>
    <w:rPr>
      <w:rFonts w:ascii="Arial" w:hAnsi="Arial"/>
      <w:sz w:val="24"/>
    </w:rPr>
  </w:style>
  <w:style w:type="paragraph" w:styleId="Heading1">
    <w:name w:val="heading 1"/>
    <w:basedOn w:val="Normal"/>
    <w:next w:val="Normal"/>
    <w:link w:val="Heading1Char"/>
    <w:uiPriority w:val="9"/>
    <w:qFormat/>
    <w:rsid w:val="00EC33F3"/>
    <w:pPr>
      <w:keepNext/>
      <w:keepLines/>
      <w:spacing w:before="240" w:line="240" w:lineRule="auto"/>
      <w:jc w:val="center"/>
      <w:outlineLvl w:val="0"/>
    </w:pPr>
    <w:rPr>
      <w:rFonts w:eastAsiaTheme="majorEastAsia" w:cstheme="majorBidi"/>
      <w:b/>
      <w:sz w:val="36"/>
      <w:szCs w:val="40"/>
    </w:rPr>
  </w:style>
  <w:style w:type="paragraph" w:styleId="Heading2">
    <w:name w:val="heading 2"/>
    <w:basedOn w:val="Normal"/>
    <w:next w:val="Normal"/>
    <w:link w:val="Heading2Char"/>
    <w:uiPriority w:val="9"/>
    <w:unhideWhenUsed/>
    <w:qFormat/>
    <w:rsid w:val="009E6792"/>
    <w:pPr>
      <w:keepNext/>
      <w:spacing w:line="240" w:lineRule="auto"/>
      <w:ind w:left="720" w:hanging="720"/>
      <w:outlineLvl w:val="1"/>
    </w:pPr>
    <w:rPr>
      <w:rFonts w:eastAsiaTheme="majorEastAsia" w:cstheme="majorBidi"/>
      <w:b/>
      <w:sz w:val="28"/>
      <w:szCs w:val="36"/>
    </w:rPr>
  </w:style>
  <w:style w:type="paragraph" w:styleId="Heading3">
    <w:name w:val="heading 3"/>
    <w:basedOn w:val="Normal"/>
    <w:next w:val="Normal"/>
    <w:link w:val="Heading3Char"/>
    <w:uiPriority w:val="9"/>
    <w:unhideWhenUsed/>
    <w:qFormat/>
    <w:rsid w:val="009E6792"/>
    <w:pPr>
      <w:keepNext/>
      <w:keepLines/>
      <w:numPr>
        <w:ilvl w:val="1"/>
        <w:numId w:val="4"/>
      </w:numPr>
      <w:spacing w:before="240" w:line="240" w:lineRule="auto"/>
      <w:outlineLvl w:val="2"/>
    </w:pPr>
    <w:rPr>
      <w:rFonts w:eastAsiaTheme="majorEastAsia" w:cstheme="majorBidi"/>
      <w:b/>
      <w:szCs w:val="32"/>
    </w:rPr>
  </w:style>
  <w:style w:type="paragraph" w:styleId="Heading4">
    <w:name w:val="heading 4"/>
    <w:basedOn w:val="Heading3"/>
    <w:next w:val="Normal"/>
    <w:link w:val="Heading4Char"/>
    <w:uiPriority w:val="9"/>
    <w:qFormat/>
    <w:rsid w:val="001F0B7E"/>
    <w:pPr>
      <w:keepLines w:val="0"/>
      <w:numPr>
        <w:ilvl w:val="0"/>
        <w:numId w:val="0"/>
      </w:numPr>
      <w:spacing w:before="0" w:after="120" w:line="259" w:lineRule="auto"/>
      <w:ind w:left="360"/>
      <w:outlineLvl w:val="3"/>
    </w:pPr>
    <w:rPr>
      <w:rFonts w:eastAsia="Times New Roman" w:cs="Arial"/>
      <w:i/>
      <w:szCs w:val="20"/>
    </w:rPr>
  </w:style>
  <w:style w:type="paragraph" w:styleId="Heading5">
    <w:name w:val="heading 5"/>
    <w:basedOn w:val="Heading4"/>
    <w:next w:val="Normal"/>
    <w:link w:val="Heading5Char"/>
    <w:uiPriority w:val="9"/>
    <w:unhideWhenUsed/>
    <w:qFormat/>
    <w:rsid w:val="00CA4E91"/>
    <w:pPr>
      <w:spacing w:after="240"/>
      <w:ind w:left="720" w:firstLine="360"/>
      <w:outlineLvl w:val="4"/>
    </w:pPr>
  </w:style>
  <w:style w:type="paragraph" w:styleId="Heading6">
    <w:name w:val="heading 6"/>
    <w:basedOn w:val="Normal"/>
    <w:next w:val="Normal"/>
    <w:link w:val="Heading6Char"/>
    <w:qFormat/>
    <w:rsid w:val="001C19A4"/>
    <w:pPr>
      <w:spacing w:before="240" w:after="60" w:line="240" w:lineRule="auto"/>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1C19A4"/>
    <w:p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1C19A4"/>
    <w:pPr>
      <w:spacing w:before="240" w:after="60" w:line="240" w:lineRule="auto"/>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oryReference">
    <w:name w:val="Statutory Reference"/>
    <w:qFormat/>
    <w:rsid w:val="00717C4F"/>
    <w:pPr>
      <w:numPr>
        <w:ilvl w:val="5"/>
        <w:numId w:val="1"/>
      </w:numPr>
      <w:contextualSpacing/>
    </w:pPr>
    <w:rPr>
      <w:rFonts w:ascii="Calibri" w:hAnsi="Calibri" w:cs="Calibri"/>
    </w:rPr>
  </w:style>
  <w:style w:type="paragraph" w:customStyle="1" w:styleId="Tables">
    <w:name w:val="Tables"/>
    <w:basedOn w:val="NoSpacing"/>
    <w:qFormat/>
    <w:rsid w:val="00FE4F33"/>
    <w:pPr>
      <w:jc w:val="center"/>
    </w:pPr>
    <w:rPr>
      <w:rFonts w:eastAsia="Times New Roman" w:cs="Arial"/>
      <w:szCs w:val="24"/>
    </w:rPr>
  </w:style>
  <w:style w:type="paragraph" w:styleId="NoSpacing">
    <w:name w:val="No Spacing"/>
    <w:uiPriority w:val="1"/>
    <w:qFormat/>
    <w:rsid w:val="00FE4F33"/>
    <w:pPr>
      <w:spacing w:after="0" w:line="240" w:lineRule="auto"/>
    </w:pPr>
    <w:rPr>
      <w:rFonts w:ascii="Arial" w:hAnsi="Arial"/>
      <w:sz w:val="24"/>
    </w:rPr>
  </w:style>
  <w:style w:type="character" w:customStyle="1" w:styleId="Heading1Char">
    <w:name w:val="Heading 1 Char"/>
    <w:basedOn w:val="DefaultParagraphFont"/>
    <w:link w:val="Heading1"/>
    <w:uiPriority w:val="9"/>
    <w:rsid w:val="00EC33F3"/>
    <w:rPr>
      <w:rFonts w:ascii="Arial" w:eastAsiaTheme="majorEastAsia" w:hAnsi="Arial" w:cstheme="majorBidi"/>
      <w:b/>
      <w:sz w:val="36"/>
      <w:szCs w:val="40"/>
    </w:rPr>
  </w:style>
  <w:style w:type="character" w:customStyle="1" w:styleId="Heading2Char">
    <w:name w:val="Heading 2 Char"/>
    <w:basedOn w:val="DefaultParagraphFont"/>
    <w:link w:val="Heading2"/>
    <w:uiPriority w:val="9"/>
    <w:rsid w:val="009E6792"/>
    <w:rPr>
      <w:rFonts w:ascii="Arial" w:eastAsiaTheme="majorEastAsia" w:hAnsi="Arial" w:cstheme="majorBidi"/>
      <w:b/>
      <w:sz w:val="28"/>
      <w:szCs w:val="36"/>
    </w:rPr>
  </w:style>
  <w:style w:type="character" w:customStyle="1" w:styleId="Heading3Char">
    <w:name w:val="Heading 3 Char"/>
    <w:basedOn w:val="DefaultParagraphFont"/>
    <w:link w:val="Heading3"/>
    <w:uiPriority w:val="9"/>
    <w:rsid w:val="009E6792"/>
    <w:rPr>
      <w:rFonts w:ascii="Arial" w:eastAsiaTheme="majorEastAsia" w:hAnsi="Arial" w:cstheme="majorBidi"/>
      <w:b/>
      <w:sz w:val="24"/>
      <w:szCs w:val="32"/>
    </w:rPr>
  </w:style>
  <w:style w:type="paragraph" w:styleId="ListParagraph">
    <w:name w:val="List Paragraph"/>
    <w:basedOn w:val="Normal"/>
    <w:uiPriority w:val="34"/>
    <w:qFormat/>
    <w:rsid w:val="001C19A4"/>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1C19A4"/>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1C19A4"/>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1F0B7E"/>
    <w:rPr>
      <w:rFonts w:ascii="Arial" w:eastAsia="Times New Roman" w:hAnsi="Arial" w:cs="Arial"/>
      <w:b/>
      <w:i/>
      <w:sz w:val="24"/>
      <w:szCs w:val="20"/>
    </w:rPr>
  </w:style>
  <w:style w:type="character" w:customStyle="1" w:styleId="Heading6Char">
    <w:name w:val="Heading 6 Char"/>
    <w:basedOn w:val="DefaultParagraphFont"/>
    <w:link w:val="Heading6"/>
    <w:rsid w:val="001C19A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C19A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19A4"/>
    <w:rPr>
      <w:rFonts w:ascii="Times New Roman" w:eastAsia="Times New Roman" w:hAnsi="Times New Roman" w:cs="Times New Roman"/>
      <w:i/>
      <w:iCs/>
      <w:sz w:val="24"/>
      <w:szCs w:val="24"/>
    </w:rPr>
  </w:style>
  <w:style w:type="numbering" w:customStyle="1" w:styleId="NoList1">
    <w:name w:val="No List1"/>
    <w:next w:val="NoList"/>
    <w:semiHidden/>
    <w:rsid w:val="001C19A4"/>
  </w:style>
  <w:style w:type="paragraph" w:styleId="BalloonText">
    <w:name w:val="Balloon Text"/>
    <w:basedOn w:val="Normal"/>
    <w:link w:val="BalloonTextChar"/>
    <w:uiPriority w:val="99"/>
    <w:semiHidden/>
    <w:rsid w:val="001C19A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19A4"/>
    <w:rPr>
      <w:rFonts w:ascii="Tahoma" w:eastAsia="Times New Roman" w:hAnsi="Tahoma" w:cs="Tahoma"/>
      <w:sz w:val="16"/>
      <w:szCs w:val="16"/>
    </w:rPr>
  </w:style>
  <w:style w:type="paragraph" w:styleId="Footer">
    <w:name w:val="footer"/>
    <w:basedOn w:val="Normal"/>
    <w:link w:val="FooterChar"/>
    <w:uiPriority w:val="99"/>
    <w:rsid w:val="001C19A4"/>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1C19A4"/>
    <w:rPr>
      <w:rFonts w:ascii="Arial" w:eastAsia="Times New Roman" w:hAnsi="Arial" w:cs="Times New Roman"/>
      <w:sz w:val="24"/>
      <w:szCs w:val="24"/>
    </w:rPr>
  </w:style>
  <w:style w:type="table" w:styleId="TableGrid">
    <w:name w:val="Table Grid"/>
    <w:basedOn w:val="TableNormal"/>
    <w:uiPriority w:val="39"/>
    <w:rsid w:val="001C19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19A4"/>
    <w:rPr>
      <w:color w:val="0000FF"/>
      <w:u w:val="single"/>
    </w:rPr>
  </w:style>
  <w:style w:type="paragraph" w:styleId="FootnoteText">
    <w:name w:val="footnote text"/>
    <w:basedOn w:val="Normal"/>
    <w:link w:val="FootnoteTextChar"/>
    <w:uiPriority w:val="99"/>
    <w:rsid w:val="001C19A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1C19A4"/>
    <w:rPr>
      <w:rFonts w:ascii="Arial" w:eastAsia="Times New Roman" w:hAnsi="Arial" w:cs="Times New Roman"/>
      <w:sz w:val="20"/>
      <w:szCs w:val="20"/>
    </w:rPr>
  </w:style>
  <w:style w:type="paragraph" w:styleId="PlainText">
    <w:name w:val="Plain Text"/>
    <w:basedOn w:val="Normal"/>
    <w:link w:val="PlainTextChar"/>
    <w:rsid w:val="001C19A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C19A4"/>
    <w:rPr>
      <w:rFonts w:ascii="Courier New" w:eastAsia="Times New Roman" w:hAnsi="Courier New" w:cs="Times New Roman"/>
      <w:sz w:val="20"/>
      <w:szCs w:val="20"/>
    </w:rPr>
  </w:style>
  <w:style w:type="character" w:styleId="PageNumber">
    <w:name w:val="page number"/>
    <w:rsid w:val="001C19A4"/>
  </w:style>
  <w:style w:type="paragraph" w:styleId="BodyText">
    <w:name w:val="Body Text"/>
    <w:basedOn w:val="Normal"/>
    <w:link w:val="BodyTextChar"/>
    <w:rsid w:val="001C19A4"/>
    <w:pPr>
      <w:spacing w:after="0" w:line="240" w:lineRule="auto"/>
      <w:ind w:right="-360"/>
    </w:pPr>
    <w:rPr>
      <w:rFonts w:eastAsia="Times New Roman" w:cs="Arial"/>
      <w:szCs w:val="24"/>
    </w:rPr>
  </w:style>
  <w:style w:type="character" w:customStyle="1" w:styleId="BodyTextChar">
    <w:name w:val="Body Text Char"/>
    <w:basedOn w:val="DefaultParagraphFont"/>
    <w:link w:val="BodyText"/>
    <w:rsid w:val="001C19A4"/>
    <w:rPr>
      <w:rFonts w:ascii="Arial" w:eastAsia="Times New Roman" w:hAnsi="Arial" w:cs="Arial"/>
      <w:sz w:val="24"/>
      <w:szCs w:val="24"/>
    </w:rPr>
  </w:style>
  <w:style w:type="paragraph" w:styleId="BodyText2">
    <w:name w:val="Body Text 2"/>
    <w:basedOn w:val="Normal"/>
    <w:link w:val="BodyText2Char"/>
    <w:rsid w:val="001C19A4"/>
    <w:pPr>
      <w:tabs>
        <w:tab w:val="left" w:pos="-720"/>
      </w:tabs>
      <w:spacing w:after="0" w:line="240" w:lineRule="auto"/>
    </w:pPr>
    <w:rPr>
      <w:rFonts w:ascii="Times New Roman" w:eastAsia="Times New Roman" w:hAnsi="Times New Roman" w:cs="Times New Roman"/>
      <w:strike/>
      <w:szCs w:val="20"/>
    </w:rPr>
  </w:style>
  <w:style w:type="character" w:customStyle="1" w:styleId="BodyText2Char">
    <w:name w:val="Body Text 2 Char"/>
    <w:basedOn w:val="DefaultParagraphFont"/>
    <w:link w:val="BodyText2"/>
    <w:rsid w:val="001C19A4"/>
    <w:rPr>
      <w:rFonts w:ascii="Times New Roman" w:eastAsia="Times New Roman" w:hAnsi="Times New Roman" w:cs="Times New Roman"/>
      <w:strike/>
      <w:sz w:val="24"/>
      <w:szCs w:val="20"/>
    </w:rPr>
  </w:style>
  <w:style w:type="paragraph" w:styleId="HTMLPreformatted">
    <w:name w:val="HTML Preformatted"/>
    <w:basedOn w:val="Normal"/>
    <w:link w:val="HTMLPreformattedChar"/>
    <w:rsid w:val="001C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19A4"/>
    <w:rPr>
      <w:rFonts w:ascii="Courier New" w:eastAsia="Times New Roman" w:hAnsi="Courier New" w:cs="Courier New"/>
      <w:sz w:val="20"/>
      <w:szCs w:val="20"/>
    </w:rPr>
  </w:style>
  <w:style w:type="character" w:styleId="Strong">
    <w:name w:val="Strong"/>
    <w:uiPriority w:val="22"/>
    <w:qFormat/>
    <w:rsid w:val="001C19A4"/>
    <w:rPr>
      <w:b/>
      <w:bCs/>
    </w:rPr>
  </w:style>
  <w:style w:type="paragraph" w:styleId="CommentText">
    <w:name w:val="annotation text"/>
    <w:basedOn w:val="Normal"/>
    <w:link w:val="CommentTextChar"/>
    <w:uiPriority w:val="99"/>
    <w:rsid w:val="001C19A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1C19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1C19A4"/>
    <w:rPr>
      <w:b/>
      <w:bCs/>
    </w:rPr>
  </w:style>
  <w:style w:type="character" w:customStyle="1" w:styleId="CommentSubjectChar">
    <w:name w:val="Comment Subject Char"/>
    <w:basedOn w:val="CommentTextChar"/>
    <w:link w:val="CommentSubject"/>
    <w:uiPriority w:val="99"/>
    <w:rsid w:val="001C19A4"/>
    <w:rPr>
      <w:rFonts w:ascii="Arial" w:eastAsia="Times New Roman" w:hAnsi="Arial" w:cs="Times New Roman"/>
      <w:b/>
      <w:bCs/>
      <w:sz w:val="20"/>
      <w:szCs w:val="20"/>
    </w:rPr>
  </w:style>
  <w:style w:type="paragraph" w:customStyle="1" w:styleId="italics">
    <w:name w:val="italics"/>
    <w:basedOn w:val="Normal"/>
    <w:rsid w:val="001C19A4"/>
    <w:pPr>
      <w:spacing w:before="180" w:after="0" w:line="240" w:lineRule="auto"/>
      <w:ind w:left="440" w:right="460"/>
    </w:pPr>
    <w:rPr>
      <w:rFonts w:ascii="Times" w:eastAsia="Calibri" w:hAnsi="Times" w:cs="Times"/>
      <w:i/>
      <w:iCs/>
      <w:szCs w:val="24"/>
    </w:rPr>
  </w:style>
  <w:style w:type="paragraph" w:customStyle="1" w:styleId="text">
    <w:name w:val="text"/>
    <w:basedOn w:val="Normal"/>
    <w:rsid w:val="001C19A4"/>
    <w:pPr>
      <w:spacing w:before="160" w:after="0" w:line="240" w:lineRule="auto"/>
      <w:jc w:val="both"/>
    </w:pPr>
    <w:rPr>
      <w:rFonts w:ascii="Palatino" w:eastAsia="Calibri" w:hAnsi="Palatino" w:cs="Times New Roman"/>
      <w:szCs w:val="24"/>
    </w:rPr>
  </w:style>
  <w:style w:type="paragraph" w:styleId="BodyTextIndent">
    <w:name w:val="Body Text Indent"/>
    <w:basedOn w:val="Normal"/>
    <w:link w:val="BodyTextIndentChar"/>
    <w:rsid w:val="001C19A4"/>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1C19A4"/>
    <w:rPr>
      <w:rFonts w:ascii="Arial" w:eastAsia="Times New Roman" w:hAnsi="Arial" w:cs="Times New Roman"/>
      <w:sz w:val="24"/>
      <w:szCs w:val="24"/>
    </w:rPr>
  </w:style>
  <w:style w:type="paragraph" w:styleId="BodyTextIndent2">
    <w:name w:val="Body Text Indent 2"/>
    <w:basedOn w:val="Normal"/>
    <w:link w:val="BodyTextIndent2Char"/>
    <w:rsid w:val="001C19A4"/>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1C19A4"/>
    <w:rPr>
      <w:rFonts w:ascii="Arial" w:eastAsia="Times New Roman" w:hAnsi="Arial" w:cs="Times New Roman"/>
      <w:sz w:val="24"/>
      <w:szCs w:val="24"/>
    </w:rPr>
  </w:style>
  <w:style w:type="paragraph" w:styleId="BodyText3">
    <w:name w:val="Body Text 3"/>
    <w:basedOn w:val="Normal"/>
    <w:link w:val="BodyText3Char"/>
    <w:rsid w:val="001C19A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1C19A4"/>
    <w:rPr>
      <w:rFonts w:ascii="Arial" w:eastAsia="Times New Roman" w:hAnsi="Arial" w:cs="Times New Roman"/>
      <w:sz w:val="16"/>
      <w:szCs w:val="16"/>
    </w:rPr>
  </w:style>
  <w:style w:type="character" w:styleId="FootnoteReference">
    <w:name w:val="footnote reference"/>
    <w:uiPriority w:val="99"/>
    <w:rsid w:val="001C19A4"/>
  </w:style>
  <w:style w:type="paragraph" w:customStyle="1" w:styleId="Style">
    <w:name w:val="Style"/>
    <w:rsid w:val="001C19A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1">
    <w:name w:val="style1"/>
    <w:rsid w:val="001C19A4"/>
  </w:style>
  <w:style w:type="character" w:styleId="FollowedHyperlink">
    <w:name w:val="FollowedHyperlink"/>
    <w:uiPriority w:val="99"/>
    <w:rsid w:val="001C19A4"/>
    <w:rPr>
      <w:color w:val="800080"/>
      <w:u w:val="single"/>
    </w:rPr>
  </w:style>
  <w:style w:type="paragraph" w:styleId="z-TopofForm">
    <w:name w:val="HTML Top of Form"/>
    <w:basedOn w:val="Normal"/>
    <w:next w:val="Normal"/>
    <w:link w:val="z-TopofFormChar"/>
    <w:hidden/>
    <w:uiPriority w:val="99"/>
    <w:unhideWhenUsed/>
    <w:rsid w:val="001C19A4"/>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rsid w:val="001C19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C19A4"/>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rsid w:val="001C19A4"/>
    <w:rPr>
      <w:rFonts w:ascii="Arial" w:eastAsia="Times New Roman" w:hAnsi="Arial" w:cs="Arial"/>
      <w:vanish/>
      <w:sz w:val="16"/>
      <w:szCs w:val="16"/>
    </w:rPr>
  </w:style>
  <w:style w:type="paragraph" w:customStyle="1" w:styleId="Default">
    <w:name w:val="Default"/>
    <w:rsid w:val="001C19A4"/>
    <w:pPr>
      <w:autoSpaceDE w:val="0"/>
      <w:autoSpaceDN w:val="0"/>
      <w:adjustRightInd w:val="0"/>
      <w:spacing w:after="0" w:line="240" w:lineRule="auto"/>
    </w:pPr>
    <w:rPr>
      <w:rFonts w:ascii="Calibri" w:hAnsi="Calibri" w:cs="Calibri"/>
      <w:color w:val="000000"/>
      <w:sz w:val="24"/>
      <w:szCs w:val="24"/>
    </w:rPr>
  </w:style>
  <w:style w:type="paragraph" w:customStyle="1" w:styleId="TableSource">
    <w:name w:val="Table Source"/>
    <w:basedOn w:val="ListParagraph"/>
    <w:qFormat/>
    <w:rsid w:val="001C19A4"/>
    <w:pPr>
      <w:spacing w:before="120" w:after="240"/>
      <w:ind w:left="360"/>
      <w:contextualSpacing w:val="0"/>
    </w:pPr>
    <w:rPr>
      <w:rFonts w:cs="Arial"/>
      <w:i/>
    </w:rPr>
  </w:style>
  <w:style w:type="table" w:styleId="GridTable4-Accent1">
    <w:name w:val="Grid Table 4 Accent 1"/>
    <w:basedOn w:val="TableNormal"/>
    <w:uiPriority w:val="49"/>
    <w:rsid w:val="001C19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C19A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
    <w:name w:val="List Table 3"/>
    <w:basedOn w:val="TableNormal"/>
    <w:uiPriority w:val="48"/>
    <w:rsid w:val="001C19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unhideWhenUsed/>
    <w:rsid w:val="001C19A4"/>
    <w:rPr>
      <w:sz w:val="16"/>
      <w:szCs w:val="16"/>
    </w:rPr>
  </w:style>
  <w:style w:type="table" w:customStyle="1" w:styleId="TableGrid1">
    <w:name w:val="Table Grid1"/>
    <w:basedOn w:val="TableNormal"/>
    <w:next w:val="TableGrid"/>
    <w:uiPriority w:val="39"/>
    <w:rsid w:val="001C19A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19A4"/>
    <w:rPr>
      <w:color w:val="605E5C"/>
      <w:shd w:val="clear" w:color="auto" w:fill="E1DFDD"/>
    </w:rPr>
  </w:style>
  <w:style w:type="paragraph" w:styleId="Revision">
    <w:name w:val="Revision"/>
    <w:hidden/>
    <w:uiPriority w:val="99"/>
    <w:semiHidden/>
    <w:rsid w:val="001C19A4"/>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19A4"/>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C19A4"/>
    <w:rPr>
      <w:rFonts w:ascii="Arial" w:eastAsiaTheme="majorEastAsia" w:hAnsi="Arial" w:cstheme="majorBidi"/>
      <w:b/>
      <w:spacing w:val="-10"/>
      <w:kern w:val="28"/>
      <w:sz w:val="32"/>
      <w:szCs w:val="56"/>
    </w:rPr>
  </w:style>
  <w:style w:type="paragraph" w:styleId="TOCHeading">
    <w:name w:val="TOC Heading"/>
    <w:basedOn w:val="Heading1"/>
    <w:next w:val="Normal"/>
    <w:uiPriority w:val="39"/>
    <w:unhideWhenUsed/>
    <w:qFormat/>
    <w:rsid w:val="001C19A4"/>
    <w:pPr>
      <w:tabs>
        <w:tab w:val="left" w:pos="360"/>
      </w:tabs>
      <w:spacing w:after="360" w:line="259" w:lineRule="auto"/>
      <w:jc w:val="left"/>
      <w:outlineLvl w:val="9"/>
    </w:pPr>
    <w:rPr>
      <w:rFonts w:asciiTheme="majorHAnsi" w:hAnsiTheme="majorHAnsi"/>
      <w:b w:val="0"/>
      <w:color w:val="2F5496" w:themeColor="accent1" w:themeShade="BF"/>
      <w:szCs w:val="32"/>
    </w:rPr>
  </w:style>
  <w:style w:type="paragraph" w:styleId="TOC1">
    <w:name w:val="toc 1"/>
    <w:basedOn w:val="Normal"/>
    <w:next w:val="Normal"/>
    <w:autoRedefine/>
    <w:uiPriority w:val="39"/>
    <w:rsid w:val="001C19A4"/>
    <w:pPr>
      <w:tabs>
        <w:tab w:val="right" w:leader="dot" w:pos="9350"/>
      </w:tabs>
      <w:spacing w:after="100" w:line="240" w:lineRule="auto"/>
    </w:pPr>
    <w:rPr>
      <w:rFonts w:eastAsia="Times New Roman" w:cs="Arial"/>
      <w:noProof/>
      <w:szCs w:val="24"/>
    </w:rPr>
  </w:style>
  <w:style w:type="paragraph" w:styleId="TOC2">
    <w:name w:val="toc 2"/>
    <w:basedOn w:val="Normal"/>
    <w:next w:val="Normal"/>
    <w:autoRedefine/>
    <w:uiPriority w:val="39"/>
    <w:rsid w:val="001C19A4"/>
    <w:pPr>
      <w:spacing w:after="100" w:line="240" w:lineRule="auto"/>
      <w:ind w:left="240"/>
    </w:pPr>
    <w:rPr>
      <w:rFonts w:eastAsia="Times New Roman" w:cs="Arial"/>
      <w:szCs w:val="24"/>
    </w:rPr>
  </w:style>
  <w:style w:type="table" w:styleId="TableGridLight">
    <w:name w:val="Grid Table Light"/>
    <w:basedOn w:val="TableNormal"/>
    <w:uiPriority w:val="40"/>
    <w:rsid w:val="001C19A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1C19A4"/>
    <w:pPr>
      <w:spacing w:after="100" w:line="240" w:lineRule="auto"/>
      <w:ind w:left="480"/>
    </w:pPr>
    <w:rPr>
      <w:rFonts w:eastAsia="Times New Roman" w:cs="Arial"/>
      <w:szCs w:val="24"/>
    </w:rPr>
  </w:style>
  <w:style w:type="paragraph" w:styleId="Caption">
    <w:name w:val="caption"/>
    <w:aliases w:val="Table Title"/>
    <w:basedOn w:val="Normal"/>
    <w:next w:val="Heading4"/>
    <w:link w:val="CaptionChar"/>
    <w:uiPriority w:val="35"/>
    <w:unhideWhenUsed/>
    <w:qFormat/>
    <w:rsid w:val="001C19A4"/>
    <w:pPr>
      <w:keepNext/>
      <w:spacing w:after="120" w:line="240" w:lineRule="auto"/>
      <w:ind w:left="360"/>
    </w:pPr>
    <w:rPr>
      <w:rFonts w:cs="Arial"/>
      <w:b/>
      <w:iCs/>
      <w:szCs w:val="18"/>
    </w:rPr>
  </w:style>
  <w:style w:type="paragraph" w:customStyle="1" w:styleId="Style10">
    <w:name w:val="Style1"/>
    <w:basedOn w:val="Caption"/>
    <w:next w:val="Heading4"/>
    <w:link w:val="Style1Char"/>
    <w:rsid w:val="001C19A4"/>
  </w:style>
  <w:style w:type="character" w:customStyle="1" w:styleId="CaptionChar">
    <w:name w:val="Caption Char"/>
    <w:aliases w:val="Table Title Char"/>
    <w:basedOn w:val="DefaultParagraphFont"/>
    <w:link w:val="Caption"/>
    <w:uiPriority w:val="35"/>
    <w:rsid w:val="001C19A4"/>
    <w:rPr>
      <w:rFonts w:ascii="Arial" w:hAnsi="Arial" w:cs="Arial"/>
      <w:b/>
      <w:iCs/>
      <w:sz w:val="24"/>
      <w:szCs w:val="18"/>
    </w:rPr>
  </w:style>
  <w:style w:type="character" w:customStyle="1" w:styleId="Style1Char">
    <w:name w:val="Style1 Char"/>
    <w:basedOn w:val="CaptionChar"/>
    <w:link w:val="Style10"/>
    <w:rsid w:val="001C19A4"/>
    <w:rPr>
      <w:rFonts w:ascii="Arial" w:hAnsi="Arial" w:cs="Arial"/>
      <w:b/>
      <w:iCs/>
      <w:sz w:val="24"/>
      <w:szCs w:val="18"/>
    </w:rPr>
  </w:style>
  <w:style w:type="paragraph" w:styleId="NormalWeb">
    <w:name w:val="Normal (Web)"/>
    <w:basedOn w:val="Normal"/>
    <w:uiPriority w:val="99"/>
    <w:unhideWhenUsed/>
    <w:rsid w:val="001C19A4"/>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1C19A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1C19A4"/>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C19A4"/>
    <w:rPr>
      <w:vertAlign w:val="superscript"/>
    </w:rPr>
  </w:style>
  <w:style w:type="character" w:customStyle="1" w:styleId="Heading5Char">
    <w:name w:val="Heading 5 Char"/>
    <w:basedOn w:val="DefaultParagraphFont"/>
    <w:link w:val="Heading5"/>
    <w:uiPriority w:val="9"/>
    <w:rsid w:val="00CA4E91"/>
    <w:rPr>
      <w:rFonts w:ascii="Arial" w:eastAsia="Times New Roman" w:hAnsi="Arial" w:cs="Arial"/>
      <w:b/>
      <w:i/>
      <w:sz w:val="24"/>
      <w:szCs w:val="20"/>
    </w:rPr>
  </w:style>
  <w:style w:type="character" w:styleId="SubtleEmphasis">
    <w:name w:val="Subtle Emphasis"/>
    <w:basedOn w:val="DefaultParagraphFont"/>
    <w:uiPriority w:val="19"/>
    <w:qFormat/>
    <w:rsid w:val="00B47BC2"/>
    <w:rPr>
      <w:i/>
      <w:iCs/>
      <w:color w:val="404040" w:themeColor="text1" w:themeTint="BF"/>
    </w:rPr>
  </w:style>
  <w:style w:type="character" w:styleId="Emphasis">
    <w:name w:val="Emphasis"/>
    <w:basedOn w:val="DefaultParagraphFont"/>
    <w:uiPriority w:val="20"/>
    <w:qFormat/>
    <w:rsid w:val="00B47BC2"/>
    <w:rPr>
      <w:b/>
      <w:i/>
      <w:iCs/>
    </w:rPr>
  </w:style>
  <w:style w:type="table" w:styleId="ListTable3-Accent3">
    <w:name w:val="List Table 3 Accent 3"/>
    <w:basedOn w:val="TableNormal"/>
    <w:uiPriority w:val="48"/>
    <w:rsid w:val="00AB6213"/>
    <w:pPr>
      <w:spacing w:after="0" w:line="240" w:lineRule="auto"/>
    </w:pPr>
    <w:rPr>
      <w:rFonts w:ascii="Arial" w:hAnsi="Arial"/>
      <w:sz w:val="24"/>
    </w:rPr>
    <w:tblPr>
      <w:tblStyleRowBandSize w:val="1"/>
      <w:tblStyleColBandSize w:val="1"/>
    </w:tblPr>
    <w:tcPr>
      <w:shd w:val="clear" w:color="auto" w:fill="auto"/>
    </w:tc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5">
    <w:name w:val="List Table 3 Accent 5"/>
    <w:basedOn w:val="TableNormal"/>
    <w:uiPriority w:val="48"/>
    <w:rsid w:val="00D75C42"/>
    <w:pPr>
      <w:spacing w:after="0" w:line="240" w:lineRule="auto"/>
    </w:pPr>
    <w:rPr>
      <w:rFonts w:ascii="Arial" w:hAnsi="Arial"/>
      <w:sz w:val="24"/>
    </w:rPr>
    <w:tblPr>
      <w:tblStyleRowBandSize w:val="1"/>
      <w:tblStyleColBandSize w:val="1"/>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4567">
      <w:bodyDiv w:val="1"/>
      <w:marLeft w:val="0"/>
      <w:marRight w:val="0"/>
      <w:marTop w:val="0"/>
      <w:marBottom w:val="0"/>
      <w:divBdr>
        <w:top w:val="none" w:sz="0" w:space="0" w:color="auto"/>
        <w:left w:val="none" w:sz="0" w:space="0" w:color="auto"/>
        <w:bottom w:val="none" w:sz="0" w:space="0" w:color="auto"/>
        <w:right w:val="none" w:sz="0" w:space="0" w:color="auto"/>
      </w:divBdr>
    </w:div>
    <w:div w:id="18778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png@01D8653F.DC0E01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nbcnews.com/feature/in-plain-sight/malibu-wants-out-wealthy-seek-secession-school-district-n238471" TargetMode="External"/><Relationship Id="rId1" Type="http://schemas.openxmlformats.org/officeDocument/2006/relationships/hyperlink" Target="http://www.newsweek.com/race-schools-59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1D25-C5D9-41BA-8B7A-B176FF8D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25746</Words>
  <Characters>146757</Characters>
  <DocSecurity>0</DocSecurity>
  <Lines>1222</Lines>
  <Paragraphs>344</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172159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05 - Meeting Agendas (CA State Board of Education)</dc:title>
  <dc:subject>Proposed Formation of a New Unified School District from the Northgate Portion of the Mt. Diablo Unified School District in Contra Costa County.</dc:subject>
  <dc:creator/>
  <cp:keywords/>
  <dc:description/>
  <cp:lastModifiedBy/>
  <dcterms:created xsi:type="dcterms:W3CDTF">2022-06-28T23:46:00Z</dcterms:created>
  <dcterms:modified xsi:type="dcterms:W3CDTF">2022-06-29T20:12:00Z</dcterms:modified>
  <cp:category/>
</cp:coreProperties>
</file>