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E99CA01" w:rsidR="006E06C6" w:rsidRPr="006C52F8" w:rsidRDefault="00D5115F" w:rsidP="00B723BE">
      <w:bookmarkStart w:id="0" w:name="_GoBack"/>
      <w:bookmarkEnd w:id="0"/>
      <w:r w:rsidRPr="006C52F8">
        <w:rPr>
          <w:noProof/>
        </w:rPr>
        <w:drawing>
          <wp:inline distT="0" distB="0" distL="0" distR="0" wp14:anchorId="36EB24EC" wp14:editId="49AF72E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6C52F8" w:rsidRDefault="00FC1FCE" w:rsidP="00B723BE">
      <w:pPr>
        <w:jc w:val="right"/>
        <w:rPr>
          <w:rFonts w:ascii="Arial" w:hAnsi="Arial" w:cs="Arial"/>
        </w:rPr>
      </w:pPr>
      <w:r w:rsidRPr="006C52F8">
        <w:rPr>
          <w:rFonts w:ascii="Arial" w:hAnsi="Arial" w:cs="Arial"/>
        </w:rPr>
        <w:t>California Department of Education</w:t>
      </w:r>
    </w:p>
    <w:p w14:paraId="1CAF1CB7" w14:textId="77777777" w:rsidR="00B723BE" w:rsidRPr="006C52F8" w:rsidRDefault="00FC1FCE" w:rsidP="00B723BE">
      <w:pPr>
        <w:jc w:val="right"/>
        <w:rPr>
          <w:rFonts w:ascii="Arial" w:hAnsi="Arial" w:cs="Arial"/>
        </w:rPr>
      </w:pPr>
      <w:r w:rsidRPr="006C52F8">
        <w:rPr>
          <w:rFonts w:ascii="Arial" w:hAnsi="Arial" w:cs="Arial"/>
        </w:rPr>
        <w:t>Executive Office</w:t>
      </w:r>
    </w:p>
    <w:p w14:paraId="18A2FE91" w14:textId="77777777" w:rsidR="002B4B14" w:rsidRPr="006C52F8" w:rsidRDefault="00692300" w:rsidP="00B723BE">
      <w:pPr>
        <w:jc w:val="right"/>
        <w:rPr>
          <w:rFonts w:ascii="Arial" w:hAnsi="Arial" w:cs="Arial"/>
        </w:rPr>
      </w:pPr>
      <w:r w:rsidRPr="006C52F8">
        <w:rPr>
          <w:rFonts w:ascii="Arial" w:hAnsi="Arial" w:cs="Arial"/>
        </w:rPr>
        <w:t>SBE-00</w:t>
      </w:r>
      <w:r w:rsidR="000324AD" w:rsidRPr="006C52F8">
        <w:rPr>
          <w:rFonts w:ascii="Arial" w:hAnsi="Arial" w:cs="Arial"/>
        </w:rPr>
        <w:t>3</w:t>
      </w:r>
      <w:r w:rsidRPr="006C52F8">
        <w:rPr>
          <w:rFonts w:ascii="Arial" w:hAnsi="Arial" w:cs="Arial"/>
        </w:rPr>
        <w:t xml:space="preserve"> (REV. 1</w:t>
      </w:r>
      <w:r w:rsidR="00C27D57" w:rsidRPr="006C52F8">
        <w:rPr>
          <w:rFonts w:ascii="Arial" w:hAnsi="Arial" w:cs="Arial"/>
        </w:rPr>
        <w:t>1</w:t>
      </w:r>
      <w:r w:rsidRPr="006C52F8">
        <w:rPr>
          <w:rFonts w:ascii="Arial" w:hAnsi="Arial" w:cs="Arial"/>
        </w:rPr>
        <w:t>/2017</w:t>
      </w:r>
      <w:r w:rsidR="00FC1FCE" w:rsidRPr="006C52F8">
        <w:rPr>
          <w:rFonts w:ascii="Arial" w:hAnsi="Arial" w:cs="Arial"/>
        </w:rPr>
        <w:t>)</w:t>
      </w:r>
    </w:p>
    <w:p w14:paraId="0A37501D" w14:textId="3161954C" w:rsidR="00B723BE" w:rsidRPr="006C52F8" w:rsidRDefault="0034235E" w:rsidP="0034235E">
      <w:pPr>
        <w:jc w:val="right"/>
        <w:rPr>
          <w:rFonts w:ascii="Arial" w:hAnsi="Arial" w:cs="Arial"/>
        </w:rPr>
        <w:sectPr w:rsidR="00B723BE" w:rsidRPr="006C52F8" w:rsidSect="00C82CBA">
          <w:headerReference w:type="default" r:id="rId12"/>
          <w:type w:val="continuous"/>
          <w:pgSz w:w="12240" w:h="15840"/>
          <w:pgMar w:top="720" w:right="1440" w:bottom="1440" w:left="1440" w:header="720" w:footer="720" w:gutter="0"/>
          <w:cols w:num="2" w:space="720"/>
          <w:titlePg/>
          <w:docGrid w:linePitch="360"/>
        </w:sectPr>
      </w:pPr>
      <w:r w:rsidRPr="006C52F8">
        <w:rPr>
          <w:rFonts w:ascii="Arial" w:hAnsi="Arial" w:cs="Arial"/>
        </w:rPr>
        <w:t>imab-adad-jul22item02</w:t>
      </w:r>
    </w:p>
    <w:p w14:paraId="5DAB6C7B" w14:textId="77777777" w:rsidR="006E06C6" w:rsidRPr="006C52F8" w:rsidRDefault="006E06C6" w:rsidP="00FC1FCE">
      <w:pPr>
        <w:pStyle w:val="Heading1"/>
        <w:jc w:val="center"/>
        <w:rPr>
          <w:sz w:val="40"/>
          <w:szCs w:val="40"/>
        </w:rPr>
        <w:sectPr w:rsidR="006E06C6" w:rsidRPr="006C52F8" w:rsidSect="0091117B">
          <w:type w:val="continuous"/>
          <w:pgSz w:w="12240" w:h="15840"/>
          <w:pgMar w:top="720" w:right="1440" w:bottom="1440" w:left="1440" w:header="720" w:footer="720" w:gutter="0"/>
          <w:cols w:space="720"/>
          <w:docGrid w:linePitch="360"/>
        </w:sectPr>
      </w:pPr>
    </w:p>
    <w:p w14:paraId="3855EBBD" w14:textId="64A085AB" w:rsidR="00FC1FCE" w:rsidRPr="006C52F8" w:rsidRDefault="0091117B" w:rsidP="002B4B14">
      <w:pPr>
        <w:pStyle w:val="Heading1"/>
        <w:spacing w:before="240" w:after="240"/>
        <w:jc w:val="center"/>
        <w:rPr>
          <w:sz w:val="40"/>
          <w:szCs w:val="40"/>
        </w:rPr>
      </w:pPr>
      <w:r w:rsidRPr="006C52F8">
        <w:rPr>
          <w:sz w:val="40"/>
          <w:szCs w:val="40"/>
        </w:rPr>
        <w:t>Californ</w:t>
      </w:r>
      <w:r w:rsidR="00693951" w:rsidRPr="006C52F8">
        <w:rPr>
          <w:sz w:val="40"/>
          <w:szCs w:val="40"/>
        </w:rPr>
        <w:t>ia State Board of Education</w:t>
      </w:r>
      <w:r w:rsidRPr="006C52F8">
        <w:br/>
      </w:r>
      <w:r w:rsidR="0034235E" w:rsidRPr="006C52F8">
        <w:rPr>
          <w:sz w:val="40"/>
          <w:szCs w:val="40"/>
        </w:rPr>
        <w:t>July 2022 Agenda</w:t>
      </w:r>
      <w:r w:rsidRPr="006C52F8">
        <w:br/>
      </w:r>
      <w:r w:rsidR="00FC1FCE" w:rsidRPr="006C52F8">
        <w:rPr>
          <w:sz w:val="40"/>
          <w:szCs w:val="40"/>
        </w:rPr>
        <w:t>Item</w:t>
      </w:r>
      <w:r w:rsidR="00692300" w:rsidRPr="006C52F8">
        <w:rPr>
          <w:sz w:val="40"/>
          <w:szCs w:val="40"/>
        </w:rPr>
        <w:t xml:space="preserve"> #</w:t>
      </w:r>
      <w:r w:rsidR="00130059" w:rsidRPr="006C52F8">
        <w:rPr>
          <w:sz w:val="40"/>
          <w:szCs w:val="40"/>
        </w:rPr>
        <w:t>0</w:t>
      </w:r>
      <w:r w:rsidR="008F1BC5">
        <w:rPr>
          <w:sz w:val="40"/>
          <w:szCs w:val="40"/>
        </w:rPr>
        <w:t>6</w:t>
      </w:r>
    </w:p>
    <w:p w14:paraId="27B6226E" w14:textId="7BF551C5" w:rsidR="00FC1FCE" w:rsidRPr="006C52F8" w:rsidRDefault="00FC1FCE" w:rsidP="002B4B14">
      <w:pPr>
        <w:pStyle w:val="Heading2"/>
        <w:spacing w:before="240" w:after="240"/>
        <w:rPr>
          <w:sz w:val="36"/>
          <w:szCs w:val="36"/>
        </w:rPr>
      </w:pPr>
      <w:r w:rsidRPr="006C52F8">
        <w:rPr>
          <w:sz w:val="36"/>
          <w:szCs w:val="36"/>
        </w:rPr>
        <w:t>Subject</w:t>
      </w:r>
    </w:p>
    <w:p w14:paraId="0C9A59C7" w14:textId="77777777" w:rsidR="0034203C" w:rsidRPr="006C52F8" w:rsidRDefault="0034203C" w:rsidP="00840614">
      <w:pPr>
        <w:spacing w:after="480"/>
        <w:rPr>
          <w:rFonts w:eastAsia="Arial"/>
        </w:rPr>
      </w:pPr>
      <w:r w:rsidRPr="006C52F8">
        <w:rPr>
          <w:rFonts w:ascii="Arial" w:eastAsia="Arial" w:hAnsi="Arial" w:cs="Arial"/>
        </w:rPr>
        <w:t>The Federal Every Student Succeeds Act: Authorization to Pursue a Waiver for the 2022–23 School Year of the 1.0 Percent Cap on the Percentage of Eligible Students with the Most Significant Cognitive Disabilities Who May Be Assessed with an Alternate Assessment Aligned with Alternate Academic Achievement Standards for English Language Arts/Literacy, Mathematics, and Science.</w:t>
      </w:r>
    </w:p>
    <w:p w14:paraId="19FA46C3" w14:textId="77777777" w:rsidR="00FC1FCE" w:rsidRPr="006C52F8" w:rsidRDefault="00FC1FCE" w:rsidP="002B4B14">
      <w:pPr>
        <w:pStyle w:val="Heading2"/>
        <w:spacing w:before="240" w:after="240"/>
        <w:rPr>
          <w:sz w:val="36"/>
          <w:szCs w:val="36"/>
        </w:rPr>
      </w:pPr>
      <w:r w:rsidRPr="006C52F8">
        <w:rPr>
          <w:sz w:val="36"/>
          <w:szCs w:val="36"/>
        </w:rPr>
        <w:t>Type of Action</w:t>
      </w:r>
    </w:p>
    <w:p w14:paraId="7B947926" w14:textId="2327FA57" w:rsidR="00186CAF" w:rsidRPr="006C52F8" w:rsidRDefault="00186CAF" w:rsidP="00BF4D4B">
      <w:pPr>
        <w:spacing w:after="480"/>
        <w:rPr>
          <w:rFonts w:ascii="Arial" w:hAnsi="Arial" w:cs="Arial"/>
        </w:rPr>
      </w:pPr>
      <w:r w:rsidRPr="006C52F8">
        <w:rPr>
          <w:rFonts w:ascii="Arial" w:hAnsi="Arial" w:cs="Arial"/>
          <w:shd w:val="clear" w:color="auto" w:fill="FFFFFF"/>
        </w:rPr>
        <w:t>Action, Information</w:t>
      </w:r>
      <w:r w:rsidR="008F1BC5">
        <w:rPr>
          <w:rFonts w:ascii="Arial" w:hAnsi="Arial" w:cs="Arial"/>
          <w:shd w:val="clear" w:color="auto" w:fill="FFFFFF"/>
        </w:rPr>
        <w:t>, Consent</w:t>
      </w:r>
    </w:p>
    <w:p w14:paraId="2F54E36F" w14:textId="0533FF4D" w:rsidR="00FC1FCE" w:rsidRPr="006C52F8" w:rsidRDefault="00FC1FCE" w:rsidP="002B4B14">
      <w:pPr>
        <w:pStyle w:val="Heading2"/>
        <w:spacing w:before="240" w:after="240"/>
        <w:rPr>
          <w:sz w:val="36"/>
          <w:szCs w:val="36"/>
        </w:rPr>
      </w:pPr>
      <w:r w:rsidRPr="006C52F8">
        <w:rPr>
          <w:sz w:val="36"/>
          <w:szCs w:val="36"/>
        </w:rPr>
        <w:t>Summary of the Issue(s)</w:t>
      </w:r>
    </w:p>
    <w:p w14:paraId="0CF562F6" w14:textId="56EA7054" w:rsidR="00102807" w:rsidRPr="006C52F8" w:rsidRDefault="00102807" w:rsidP="00F20F18">
      <w:pPr>
        <w:spacing w:after="240"/>
        <w:rPr>
          <w:rFonts w:ascii="Arial" w:hAnsi="Arial" w:cs="Arial"/>
          <w:shd w:val="clear" w:color="auto" w:fill="FFFFFF"/>
        </w:rPr>
      </w:pPr>
      <w:r w:rsidRPr="006C52F8">
        <w:rPr>
          <w:rFonts w:ascii="Arial" w:hAnsi="Arial" w:cs="Arial"/>
          <w:shd w:val="clear" w:color="auto" w:fill="FFFFFF"/>
        </w:rPr>
        <w:t>Pursuant to</w:t>
      </w:r>
      <w:r w:rsidR="00742BD9" w:rsidRPr="006C52F8">
        <w:rPr>
          <w:rFonts w:ascii="Arial" w:hAnsi="Arial" w:cs="Arial"/>
          <w:shd w:val="clear" w:color="auto" w:fill="FFFFFF"/>
        </w:rPr>
        <w:t xml:space="preserve"> the</w:t>
      </w:r>
      <w:r w:rsidRPr="006C52F8">
        <w:rPr>
          <w:rFonts w:ascii="Arial" w:hAnsi="Arial" w:cs="Arial"/>
          <w:shd w:val="clear" w:color="auto" w:fill="FFFFFF"/>
        </w:rPr>
        <w:t xml:space="preserve"> </w:t>
      </w:r>
      <w:r w:rsidRPr="006C52F8">
        <w:rPr>
          <w:rFonts w:ascii="Arial" w:hAnsi="Arial" w:cs="Arial"/>
          <w:i/>
          <w:iCs/>
          <w:shd w:val="clear" w:color="auto" w:fill="FFFFFF"/>
        </w:rPr>
        <w:t>Code of Federal Regulations</w:t>
      </w:r>
      <w:r w:rsidRPr="006C52F8">
        <w:rPr>
          <w:rFonts w:ascii="Arial" w:hAnsi="Arial" w:cs="Arial"/>
          <w:shd w:val="clear" w:color="auto" w:fill="FFFFFF"/>
        </w:rPr>
        <w:t xml:space="preserve">, Title 34 (34 </w:t>
      </w:r>
      <w:r w:rsidRPr="006C52F8">
        <w:rPr>
          <w:rFonts w:ascii="Arial" w:hAnsi="Arial" w:cs="Arial"/>
          <w:i/>
          <w:iCs/>
          <w:shd w:val="clear" w:color="auto" w:fill="FFFFFF"/>
        </w:rPr>
        <w:t>CFR</w:t>
      </w:r>
      <w:r w:rsidRPr="006C52F8">
        <w:rPr>
          <w:rFonts w:ascii="Arial" w:hAnsi="Arial" w:cs="Arial"/>
          <w:shd w:val="clear" w:color="auto" w:fill="FFFFFF"/>
        </w:rPr>
        <w:t xml:space="preserve">), Section 200.6(c)(4), a state may request a waiver of the 1.0 percent cap on the percentage of eligible students with the most significant cognitive disabilities who may be assessed with an alternate assessment </w:t>
      </w:r>
      <w:r w:rsidR="00742BD9" w:rsidRPr="006C52F8">
        <w:rPr>
          <w:rFonts w:ascii="Arial" w:hAnsi="Arial" w:cs="Arial"/>
          <w:shd w:val="clear" w:color="auto" w:fill="FFFFFF"/>
        </w:rPr>
        <w:t xml:space="preserve">that is </w:t>
      </w:r>
      <w:r w:rsidRPr="006C52F8">
        <w:rPr>
          <w:rFonts w:ascii="Arial" w:hAnsi="Arial" w:cs="Arial"/>
          <w:shd w:val="clear" w:color="auto" w:fill="FFFFFF"/>
        </w:rPr>
        <w:t xml:space="preserve">aligned with alternate academic achievement standards for English language arts/literacy (ELA), mathematics, and science, hereafter referred to as alternate assessments. </w:t>
      </w:r>
      <w:r w:rsidR="00742BD9" w:rsidRPr="006C52F8">
        <w:rPr>
          <w:rFonts w:ascii="Arial" w:hAnsi="Arial" w:cs="Arial"/>
          <w:shd w:val="clear" w:color="auto" w:fill="FFFFFF"/>
        </w:rPr>
        <w:t>For California, t</w:t>
      </w:r>
      <w:r w:rsidRPr="006C52F8">
        <w:rPr>
          <w:rFonts w:ascii="Arial" w:hAnsi="Arial" w:cs="Arial"/>
          <w:shd w:val="clear" w:color="auto" w:fill="FFFFFF"/>
        </w:rPr>
        <w:t>he alternate assessments are the California Alternate Assessments (CAAs) for ELA, mathematics, and science.</w:t>
      </w:r>
    </w:p>
    <w:p w14:paraId="7611F36B" w14:textId="2EA3BF1E" w:rsidR="00A53C0F" w:rsidRPr="006C52F8" w:rsidRDefault="00102807" w:rsidP="0086461C">
      <w:pPr>
        <w:spacing w:after="240"/>
        <w:rPr>
          <w:rFonts w:ascii="Arial" w:hAnsi="Arial" w:cs="Arial"/>
        </w:rPr>
      </w:pPr>
      <w:r w:rsidRPr="006C52F8">
        <w:rPr>
          <w:rFonts w:ascii="Arial" w:hAnsi="Arial" w:cs="Arial"/>
          <w:shd w:val="clear" w:color="auto" w:fill="FFFFFF"/>
        </w:rPr>
        <w:t>Based on the California Department of Education’s (CDE’s) preliminary data analysis</w:t>
      </w:r>
      <w:r w:rsidR="00EC5EB8" w:rsidRPr="006C52F8">
        <w:rPr>
          <w:rFonts w:ascii="Arial" w:hAnsi="Arial" w:cs="Arial"/>
          <w:shd w:val="clear" w:color="auto" w:fill="FFFFFF"/>
        </w:rPr>
        <w:t xml:space="preserve"> using 2021–22 test </w:t>
      </w:r>
      <w:r w:rsidR="00B31EAD" w:rsidRPr="006C52F8">
        <w:rPr>
          <w:rFonts w:ascii="Arial" w:hAnsi="Arial" w:cs="Arial"/>
          <w:shd w:val="clear" w:color="auto" w:fill="FFFFFF"/>
        </w:rPr>
        <w:t>participation</w:t>
      </w:r>
      <w:r w:rsidR="00EC5EB8" w:rsidRPr="006C52F8">
        <w:rPr>
          <w:rFonts w:ascii="Arial" w:hAnsi="Arial" w:cs="Arial"/>
          <w:shd w:val="clear" w:color="auto" w:fill="FFFFFF"/>
        </w:rPr>
        <w:t xml:space="preserve"> data</w:t>
      </w:r>
      <w:r w:rsidRPr="006C52F8">
        <w:rPr>
          <w:rFonts w:ascii="Arial" w:hAnsi="Arial" w:cs="Arial"/>
          <w:shd w:val="clear" w:color="auto" w:fill="FFFFFF"/>
        </w:rPr>
        <w:t xml:space="preserve">, the CDE anticipates that California will exceed the 1.0 percent cap for the 2022–23 school year. </w:t>
      </w:r>
      <w:r w:rsidR="00FE0D68" w:rsidRPr="006C52F8">
        <w:rPr>
          <w:rFonts w:ascii="Arial" w:hAnsi="Arial" w:cs="Arial"/>
          <w:shd w:val="clear" w:color="auto" w:fill="FFFFFF"/>
        </w:rPr>
        <w:t xml:space="preserve">The 2021–22 test </w:t>
      </w:r>
      <w:r w:rsidR="00B31EAD" w:rsidRPr="006C52F8">
        <w:rPr>
          <w:rFonts w:ascii="Arial" w:hAnsi="Arial" w:cs="Arial"/>
          <w:shd w:val="clear" w:color="auto" w:fill="FFFFFF"/>
        </w:rPr>
        <w:t xml:space="preserve">participation </w:t>
      </w:r>
      <w:r w:rsidR="00FE0D68" w:rsidRPr="006C52F8">
        <w:rPr>
          <w:rFonts w:ascii="Arial" w:hAnsi="Arial" w:cs="Arial"/>
          <w:shd w:val="clear" w:color="auto" w:fill="FFFFFF"/>
        </w:rPr>
        <w:t>data i</w:t>
      </w:r>
      <w:r w:rsidR="00195D01" w:rsidRPr="006C52F8">
        <w:rPr>
          <w:rFonts w:ascii="Arial" w:hAnsi="Arial" w:cs="Arial"/>
          <w:shd w:val="clear" w:color="auto" w:fill="FFFFFF"/>
        </w:rPr>
        <w:t xml:space="preserve">n </w:t>
      </w:r>
      <w:r w:rsidR="004720CD" w:rsidRPr="006C52F8">
        <w:rPr>
          <w:rFonts w:ascii="Arial" w:hAnsi="Arial" w:cs="Arial"/>
          <w:shd w:val="clear" w:color="auto" w:fill="FFFFFF"/>
        </w:rPr>
        <w:t>A</w:t>
      </w:r>
      <w:r w:rsidR="00E406FD" w:rsidRPr="006C52F8">
        <w:rPr>
          <w:rFonts w:ascii="Arial" w:hAnsi="Arial" w:cs="Arial"/>
          <w:shd w:val="clear" w:color="auto" w:fill="FFFFFF"/>
        </w:rPr>
        <w:t>ttachment 1</w:t>
      </w:r>
      <w:r w:rsidR="00663CFD" w:rsidRPr="006C52F8">
        <w:rPr>
          <w:rFonts w:ascii="Arial" w:hAnsi="Arial" w:cs="Arial"/>
          <w:shd w:val="clear" w:color="auto" w:fill="FFFFFF"/>
        </w:rPr>
        <w:t xml:space="preserve"> reflects </w:t>
      </w:r>
      <w:r w:rsidR="001A0BF0" w:rsidRPr="006C52F8">
        <w:rPr>
          <w:rFonts w:ascii="Arial" w:hAnsi="Arial" w:cs="Arial"/>
          <w:shd w:val="clear" w:color="auto" w:fill="FFFFFF"/>
        </w:rPr>
        <w:t xml:space="preserve">participation </w:t>
      </w:r>
      <w:r w:rsidR="00663CFD" w:rsidRPr="006C52F8">
        <w:rPr>
          <w:rFonts w:ascii="Arial" w:hAnsi="Arial" w:cs="Arial"/>
          <w:shd w:val="clear" w:color="auto" w:fill="FFFFFF"/>
        </w:rPr>
        <w:t xml:space="preserve">rates as of June </w:t>
      </w:r>
      <w:r w:rsidR="00226CA1" w:rsidRPr="006C52F8">
        <w:rPr>
          <w:rFonts w:ascii="Arial" w:hAnsi="Arial" w:cs="Arial"/>
          <w:shd w:val="clear" w:color="auto" w:fill="FFFFFF"/>
        </w:rPr>
        <w:t>27</w:t>
      </w:r>
      <w:r w:rsidR="00E56799" w:rsidRPr="006C52F8">
        <w:rPr>
          <w:rFonts w:ascii="Arial" w:hAnsi="Arial" w:cs="Arial"/>
          <w:shd w:val="clear" w:color="auto" w:fill="FFFFFF"/>
        </w:rPr>
        <w:t>, 2022.</w:t>
      </w:r>
      <w:r w:rsidRPr="006C52F8">
        <w:rPr>
          <w:rFonts w:ascii="Arial" w:hAnsi="Arial" w:cs="Arial"/>
          <w:shd w:val="clear" w:color="auto" w:fill="FFFFFF"/>
        </w:rPr>
        <w:t xml:space="preserve"> </w:t>
      </w:r>
      <w:r w:rsidR="002A4126" w:rsidRPr="006C52F8">
        <w:rPr>
          <w:rFonts w:ascii="Arial" w:hAnsi="Arial" w:cs="Arial"/>
          <w:shd w:val="clear" w:color="auto" w:fill="FFFFFF"/>
        </w:rPr>
        <w:t>When available, t</w:t>
      </w:r>
      <w:r w:rsidRPr="006C52F8">
        <w:rPr>
          <w:rFonts w:ascii="Arial" w:hAnsi="Arial" w:cs="Arial"/>
          <w:shd w:val="clear" w:color="auto" w:fill="FFFFFF"/>
        </w:rPr>
        <w:t>he CDE will provide the</w:t>
      </w:r>
      <w:r w:rsidR="00EC5EB8" w:rsidRPr="006C52F8">
        <w:rPr>
          <w:rFonts w:ascii="Arial" w:hAnsi="Arial" w:cs="Arial"/>
          <w:shd w:val="clear" w:color="auto" w:fill="FFFFFF"/>
        </w:rPr>
        <w:t xml:space="preserve"> U.S. Department of Education</w:t>
      </w:r>
      <w:r w:rsidRPr="006C52F8">
        <w:rPr>
          <w:rFonts w:ascii="Arial" w:hAnsi="Arial" w:cs="Arial"/>
          <w:shd w:val="clear" w:color="auto" w:fill="FFFFFF"/>
        </w:rPr>
        <w:t xml:space="preserve"> </w:t>
      </w:r>
      <w:r w:rsidR="00EC5EB8" w:rsidRPr="006C52F8">
        <w:rPr>
          <w:rFonts w:ascii="Arial" w:hAnsi="Arial" w:cs="Arial"/>
          <w:shd w:val="clear" w:color="auto" w:fill="FFFFFF"/>
        </w:rPr>
        <w:t>(</w:t>
      </w:r>
      <w:r w:rsidRPr="006C52F8">
        <w:rPr>
          <w:rFonts w:ascii="Arial" w:hAnsi="Arial" w:cs="Arial"/>
          <w:shd w:val="clear" w:color="auto" w:fill="FFFFFF"/>
        </w:rPr>
        <w:t>ED</w:t>
      </w:r>
      <w:r w:rsidR="00EC5EB8" w:rsidRPr="006C52F8">
        <w:rPr>
          <w:rFonts w:ascii="Arial" w:hAnsi="Arial" w:cs="Arial"/>
          <w:shd w:val="clear" w:color="auto" w:fill="FFFFFF"/>
        </w:rPr>
        <w:t>)</w:t>
      </w:r>
      <w:r w:rsidR="21F76038" w:rsidRPr="006C52F8">
        <w:rPr>
          <w:rFonts w:ascii="Arial" w:hAnsi="Arial" w:cs="Arial"/>
        </w:rPr>
        <w:t xml:space="preserve"> with </w:t>
      </w:r>
      <w:r w:rsidR="002A4126" w:rsidRPr="006C52F8">
        <w:rPr>
          <w:rFonts w:ascii="Arial" w:hAnsi="Arial" w:cs="Arial"/>
        </w:rPr>
        <w:t xml:space="preserve">final </w:t>
      </w:r>
      <w:r w:rsidR="21F76038" w:rsidRPr="006C52F8">
        <w:rPr>
          <w:rFonts w:ascii="Arial" w:hAnsi="Arial" w:cs="Arial"/>
        </w:rPr>
        <w:t xml:space="preserve">2021–22 </w:t>
      </w:r>
      <w:r w:rsidR="00EC5EB8" w:rsidRPr="006C52F8">
        <w:rPr>
          <w:rFonts w:ascii="Arial" w:hAnsi="Arial" w:cs="Arial"/>
        </w:rPr>
        <w:t xml:space="preserve">test </w:t>
      </w:r>
      <w:r w:rsidR="001A0BF0" w:rsidRPr="006C52F8">
        <w:rPr>
          <w:rFonts w:ascii="Arial" w:hAnsi="Arial" w:cs="Arial"/>
        </w:rPr>
        <w:t>participation</w:t>
      </w:r>
      <w:r w:rsidR="00EC5EB8" w:rsidRPr="006C52F8">
        <w:rPr>
          <w:rFonts w:ascii="Arial" w:hAnsi="Arial" w:cs="Arial"/>
        </w:rPr>
        <w:t xml:space="preserve"> </w:t>
      </w:r>
      <w:r w:rsidR="21F76038" w:rsidRPr="006C52F8">
        <w:rPr>
          <w:rFonts w:ascii="Arial" w:hAnsi="Arial" w:cs="Arial"/>
        </w:rPr>
        <w:t xml:space="preserve">data </w:t>
      </w:r>
      <w:r w:rsidR="00B355C5" w:rsidRPr="006C52F8">
        <w:rPr>
          <w:rFonts w:ascii="Arial" w:eastAsia="Arial" w:hAnsi="Arial" w:cs="Arial"/>
        </w:rPr>
        <w:t>and test registration</w:t>
      </w:r>
      <w:r w:rsidR="002A4126" w:rsidRPr="006C52F8">
        <w:rPr>
          <w:rFonts w:ascii="Arial" w:eastAsia="Arial" w:hAnsi="Arial" w:cs="Arial"/>
        </w:rPr>
        <w:t xml:space="preserve"> data for</w:t>
      </w:r>
      <w:r w:rsidR="00B355C5" w:rsidRPr="006C52F8">
        <w:rPr>
          <w:rFonts w:ascii="Arial" w:eastAsia="Arial" w:hAnsi="Arial" w:cs="Arial"/>
        </w:rPr>
        <w:t xml:space="preserve"> </w:t>
      </w:r>
      <w:r w:rsidR="002A4126" w:rsidRPr="006C52F8">
        <w:rPr>
          <w:rFonts w:ascii="Arial" w:eastAsia="Arial" w:hAnsi="Arial" w:cs="Arial"/>
        </w:rPr>
        <w:t>the 2022–23 administration.</w:t>
      </w:r>
    </w:p>
    <w:p w14:paraId="2E394FD0" w14:textId="6285A09E" w:rsidR="00102807" w:rsidRPr="006C52F8" w:rsidRDefault="00987FC4" w:rsidP="0086461C">
      <w:pPr>
        <w:spacing w:after="240"/>
        <w:rPr>
          <w:rFonts w:ascii="Arial" w:hAnsi="Arial" w:cs="Arial"/>
        </w:rPr>
      </w:pPr>
      <w:r w:rsidRPr="006C52F8">
        <w:rPr>
          <w:rFonts w:ascii="Arial" w:hAnsi="Arial" w:cs="Arial"/>
        </w:rPr>
        <w:t>The CDE is submitting this request now to ensure</w:t>
      </w:r>
      <w:r w:rsidR="003C7652" w:rsidRPr="006C52F8">
        <w:rPr>
          <w:rFonts w:ascii="Arial" w:hAnsi="Arial" w:cs="Arial"/>
        </w:rPr>
        <w:t xml:space="preserve"> that</w:t>
      </w:r>
      <w:r w:rsidRPr="006C52F8">
        <w:rPr>
          <w:rFonts w:ascii="Arial" w:hAnsi="Arial" w:cs="Arial"/>
        </w:rPr>
        <w:t xml:space="preserve"> it is submitted in </w:t>
      </w:r>
      <w:r w:rsidR="003C7652" w:rsidRPr="006C52F8">
        <w:rPr>
          <w:rFonts w:ascii="Arial" w:hAnsi="Arial" w:cs="Arial"/>
        </w:rPr>
        <w:t xml:space="preserve">accordance with </w:t>
      </w:r>
      <w:r w:rsidRPr="006C52F8">
        <w:rPr>
          <w:rFonts w:ascii="Arial" w:hAnsi="Arial" w:cs="Arial"/>
        </w:rPr>
        <w:t xml:space="preserve">the timeline required by </w:t>
      </w:r>
      <w:r w:rsidR="21F76038" w:rsidRPr="006C52F8">
        <w:rPr>
          <w:rFonts w:ascii="Arial" w:hAnsi="Arial" w:cs="Arial"/>
        </w:rPr>
        <w:t xml:space="preserve">34 </w:t>
      </w:r>
      <w:r w:rsidR="21F76038" w:rsidRPr="006C52F8">
        <w:rPr>
          <w:rFonts w:ascii="Arial" w:hAnsi="Arial" w:cs="Arial"/>
          <w:i/>
          <w:iCs/>
        </w:rPr>
        <w:t>CFR</w:t>
      </w:r>
      <w:r w:rsidR="21F76038" w:rsidRPr="006C52F8">
        <w:rPr>
          <w:rFonts w:ascii="Arial" w:hAnsi="Arial" w:cs="Arial"/>
        </w:rPr>
        <w:t xml:space="preserve"> Section 200.6(c)(4)(</w:t>
      </w:r>
      <w:proofErr w:type="spellStart"/>
      <w:r w:rsidR="21F76038" w:rsidRPr="006C52F8">
        <w:rPr>
          <w:rFonts w:ascii="Arial" w:hAnsi="Arial" w:cs="Arial"/>
        </w:rPr>
        <w:t>i</w:t>
      </w:r>
      <w:proofErr w:type="spellEnd"/>
      <w:r w:rsidR="21F76038" w:rsidRPr="006C52F8">
        <w:rPr>
          <w:rFonts w:ascii="Arial" w:hAnsi="Arial" w:cs="Arial"/>
        </w:rPr>
        <w:t>)</w:t>
      </w:r>
      <w:r w:rsidR="003C7652" w:rsidRPr="006C52F8">
        <w:rPr>
          <w:rFonts w:ascii="Arial" w:hAnsi="Arial" w:cs="Arial"/>
        </w:rPr>
        <w:t>,</w:t>
      </w:r>
      <w:r w:rsidR="21F76038" w:rsidRPr="006C52F8">
        <w:rPr>
          <w:rFonts w:ascii="Arial" w:hAnsi="Arial" w:cs="Arial"/>
        </w:rPr>
        <w:t xml:space="preserve"> which states that the waiver request must be submitted at least 90 days before the testing window for the relevant subject</w:t>
      </w:r>
      <w:r w:rsidR="007D2C12" w:rsidRPr="006C52F8">
        <w:rPr>
          <w:rFonts w:ascii="Arial" w:hAnsi="Arial" w:cs="Arial"/>
        </w:rPr>
        <w:t xml:space="preserve"> opens</w:t>
      </w:r>
      <w:r w:rsidR="21F76038" w:rsidRPr="006C52F8">
        <w:rPr>
          <w:rFonts w:ascii="Arial" w:hAnsi="Arial" w:cs="Arial"/>
        </w:rPr>
        <w:t>.</w:t>
      </w:r>
    </w:p>
    <w:p w14:paraId="0AB52366" w14:textId="2A42EF2B" w:rsidR="00102807" w:rsidRPr="006C52F8" w:rsidRDefault="21F76038" w:rsidP="0086461C">
      <w:pPr>
        <w:spacing w:after="240"/>
        <w:rPr>
          <w:rFonts w:ascii="Arial" w:hAnsi="Arial" w:cs="Arial"/>
        </w:rPr>
      </w:pPr>
      <w:r w:rsidRPr="006C52F8">
        <w:rPr>
          <w:rFonts w:ascii="Arial" w:hAnsi="Arial" w:cs="Arial"/>
        </w:rPr>
        <w:lastRenderedPageBreak/>
        <w:t>The state testing window for reading/language arts</w:t>
      </w:r>
      <w:r w:rsidR="001E3D7B" w:rsidRPr="006C52F8">
        <w:rPr>
          <w:rFonts w:ascii="Arial" w:hAnsi="Arial" w:cs="Arial"/>
        </w:rPr>
        <w:t xml:space="preserve"> and </w:t>
      </w:r>
      <w:r w:rsidRPr="006C52F8">
        <w:rPr>
          <w:rFonts w:ascii="Arial" w:hAnsi="Arial" w:cs="Arial"/>
        </w:rPr>
        <w:t xml:space="preserve">mathematics </w:t>
      </w:r>
      <w:r w:rsidR="001F7A6B" w:rsidRPr="006C52F8">
        <w:rPr>
          <w:rFonts w:ascii="Arial" w:hAnsi="Arial" w:cs="Arial"/>
        </w:rPr>
        <w:t xml:space="preserve">alternate </w:t>
      </w:r>
      <w:r w:rsidRPr="006C52F8">
        <w:rPr>
          <w:rFonts w:ascii="Arial" w:hAnsi="Arial" w:cs="Arial"/>
        </w:rPr>
        <w:t>assessments opens on January 10, 2023. Ninety days prior to January 10, 2023, will be October 12, 2022; therefore, this waiver request will meet the 90-day requirement.</w:t>
      </w:r>
    </w:p>
    <w:p w14:paraId="2C3B9723" w14:textId="3D89FBCA" w:rsidR="00102807" w:rsidRPr="006C52F8" w:rsidRDefault="21F76038" w:rsidP="003372E3">
      <w:pPr>
        <w:spacing w:after="480"/>
        <w:rPr>
          <w:rFonts w:ascii="Arial" w:hAnsi="Arial" w:cs="Arial"/>
          <w:color w:val="000000" w:themeColor="text1"/>
        </w:rPr>
      </w:pPr>
      <w:r w:rsidRPr="006C52F8">
        <w:rPr>
          <w:rFonts w:ascii="Arial" w:hAnsi="Arial" w:cs="Arial"/>
          <w:color w:val="000000" w:themeColor="text1"/>
        </w:rPr>
        <w:t xml:space="preserve">The CAA for </w:t>
      </w:r>
      <w:r w:rsidR="000311E9" w:rsidRPr="006C52F8">
        <w:rPr>
          <w:rFonts w:ascii="Arial" w:hAnsi="Arial" w:cs="Arial"/>
          <w:color w:val="000000" w:themeColor="text1"/>
        </w:rPr>
        <w:t xml:space="preserve">Science </w:t>
      </w:r>
      <w:r w:rsidRPr="006C52F8">
        <w:rPr>
          <w:rFonts w:ascii="Arial" w:hAnsi="Arial" w:cs="Arial"/>
          <w:color w:val="000000" w:themeColor="text1"/>
        </w:rPr>
        <w:t>testing window opens on September 6, 2022, per</w:t>
      </w:r>
      <w:r w:rsidR="007D2C12" w:rsidRPr="006C52F8">
        <w:rPr>
          <w:rFonts w:ascii="Arial" w:hAnsi="Arial" w:cs="Arial"/>
          <w:color w:val="000000" w:themeColor="text1"/>
        </w:rPr>
        <w:t xml:space="preserve"> California</w:t>
      </w:r>
      <w:r w:rsidRPr="006C52F8">
        <w:rPr>
          <w:rFonts w:ascii="Arial" w:hAnsi="Arial" w:cs="Arial"/>
          <w:color w:val="000000" w:themeColor="text1"/>
        </w:rPr>
        <w:t xml:space="preserve"> </w:t>
      </w:r>
      <w:r w:rsidRPr="006C52F8">
        <w:rPr>
          <w:rFonts w:ascii="Arial" w:hAnsi="Arial" w:cs="Arial"/>
          <w:i/>
          <w:iCs/>
          <w:color w:val="000000" w:themeColor="text1"/>
        </w:rPr>
        <w:t>Education Code</w:t>
      </w:r>
      <w:r w:rsidRPr="006C52F8">
        <w:rPr>
          <w:rFonts w:ascii="Arial" w:hAnsi="Arial" w:cs="Arial"/>
          <w:color w:val="000000" w:themeColor="text1"/>
        </w:rPr>
        <w:t xml:space="preserve"> (</w:t>
      </w:r>
      <w:r w:rsidRPr="006C52F8">
        <w:rPr>
          <w:rFonts w:ascii="Arial" w:hAnsi="Arial" w:cs="Arial"/>
          <w:i/>
          <w:iCs/>
          <w:color w:val="000000" w:themeColor="text1"/>
        </w:rPr>
        <w:t>EC</w:t>
      </w:r>
      <w:r w:rsidRPr="006C52F8">
        <w:rPr>
          <w:rFonts w:ascii="Arial" w:hAnsi="Arial" w:cs="Arial"/>
          <w:color w:val="000000" w:themeColor="text1"/>
        </w:rPr>
        <w:t>) Section 855(a)(2). Ninety days prior to September 6, 2022, would be</w:t>
      </w:r>
      <w:r w:rsidR="0023109A" w:rsidRPr="006C52F8">
        <w:rPr>
          <w:rFonts w:ascii="Arial" w:hAnsi="Arial" w:cs="Arial"/>
          <w:color w:val="000000" w:themeColor="text1"/>
        </w:rPr>
        <w:t xml:space="preserve"> </w:t>
      </w:r>
      <w:r w:rsidRPr="006C52F8">
        <w:rPr>
          <w:rFonts w:ascii="Arial" w:hAnsi="Arial" w:cs="Arial"/>
          <w:color w:val="000000" w:themeColor="text1"/>
        </w:rPr>
        <w:t>June 8, 2022; therefore, this waiver request does not meet the 90-day requirement.</w:t>
      </w:r>
    </w:p>
    <w:p w14:paraId="08BF9F4B" w14:textId="7330DD23" w:rsidR="003E4DF7" w:rsidRPr="006C52F8" w:rsidRDefault="003E4DF7" w:rsidP="002B4B14">
      <w:pPr>
        <w:pStyle w:val="Heading2"/>
        <w:spacing w:before="240" w:after="240"/>
        <w:rPr>
          <w:sz w:val="36"/>
          <w:szCs w:val="36"/>
        </w:rPr>
      </w:pPr>
      <w:r w:rsidRPr="006C52F8">
        <w:rPr>
          <w:sz w:val="36"/>
          <w:szCs w:val="36"/>
        </w:rPr>
        <w:t>Recommendation</w:t>
      </w:r>
    </w:p>
    <w:p w14:paraId="47F8A7BB" w14:textId="7B2CFFA3" w:rsidR="00A340DE" w:rsidRPr="006C52F8" w:rsidRDefault="00A340DE" w:rsidP="23AE35DD">
      <w:pPr>
        <w:spacing w:after="240"/>
        <w:rPr>
          <w:rFonts w:ascii="Arial" w:hAnsi="Arial" w:cs="Arial"/>
          <w:color w:val="000000" w:themeColor="text1"/>
        </w:rPr>
      </w:pPr>
      <w:r w:rsidRPr="006C52F8">
        <w:rPr>
          <w:rFonts w:ascii="Arial" w:hAnsi="Arial" w:cs="Arial"/>
          <w:color w:val="000000"/>
          <w:shd w:val="clear" w:color="auto" w:fill="FFFFFF"/>
        </w:rPr>
        <w:t xml:space="preserve">The CDE recommends that the </w:t>
      </w:r>
      <w:r w:rsidR="00D8422D" w:rsidRPr="006C52F8">
        <w:rPr>
          <w:rFonts w:ascii="Arial" w:hAnsi="Arial" w:cs="Arial"/>
          <w:color w:val="000000"/>
          <w:shd w:val="clear" w:color="auto" w:fill="FFFFFF"/>
        </w:rPr>
        <w:t>California State Board of Education (</w:t>
      </w:r>
      <w:r w:rsidRPr="006C52F8">
        <w:rPr>
          <w:rFonts w:ascii="Arial" w:hAnsi="Arial" w:cs="Arial"/>
          <w:color w:val="000000"/>
          <w:shd w:val="clear" w:color="auto" w:fill="FFFFFF"/>
        </w:rPr>
        <w:t>SBE</w:t>
      </w:r>
      <w:r w:rsidR="00D8422D" w:rsidRPr="006C52F8">
        <w:rPr>
          <w:rFonts w:ascii="Arial" w:hAnsi="Arial" w:cs="Arial"/>
          <w:color w:val="000000"/>
          <w:shd w:val="clear" w:color="auto" w:fill="FFFFFF"/>
        </w:rPr>
        <w:t>)</w:t>
      </w:r>
      <w:r w:rsidRPr="006C52F8">
        <w:rPr>
          <w:rFonts w:ascii="Arial" w:hAnsi="Arial" w:cs="Arial"/>
          <w:color w:val="000000"/>
          <w:shd w:val="clear" w:color="auto" w:fill="FFFFFF"/>
        </w:rPr>
        <w:t xml:space="preserve"> authorize the CDE to submit to the ED a request for </w:t>
      </w:r>
      <w:r w:rsidR="007D2C12" w:rsidRPr="006C52F8">
        <w:rPr>
          <w:rFonts w:ascii="Arial" w:hAnsi="Arial" w:cs="Arial"/>
          <w:color w:val="000000"/>
          <w:shd w:val="clear" w:color="auto" w:fill="FFFFFF"/>
        </w:rPr>
        <w:t xml:space="preserve">the </w:t>
      </w:r>
      <w:r w:rsidRPr="006C52F8">
        <w:rPr>
          <w:rFonts w:ascii="Arial" w:hAnsi="Arial" w:cs="Arial"/>
          <w:color w:val="000000"/>
          <w:shd w:val="clear" w:color="auto" w:fill="FFFFFF"/>
        </w:rPr>
        <w:t>waiver of the requirement to assess less than 1</w:t>
      </w:r>
      <w:r w:rsidR="00CD0D0E" w:rsidRPr="006C52F8">
        <w:rPr>
          <w:rFonts w:ascii="Arial" w:hAnsi="Arial" w:cs="Arial"/>
          <w:color w:val="000000"/>
          <w:shd w:val="clear" w:color="auto" w:fill="FFFFFF"/>
        </w:rPr>
        <w:t>.0</w:t>
      </w:r>
      <w:r w:rsidRPr="006C52F8">
        <w:rPr>
          <w:rFonts w:ascii="Arial" w:hAnsi="Arial" w:cs="Arial"/>
          <w:color w:val="000000"/>
          <w:shd w:val="clear" w:color="auto" w:fill="FFFFFF"/>
        </w:rPr>
        <w:t xml:space="preserve"> percent of eligible students with an alternate assessment for ELA, mathematics, and science for the 2022–23 administration</w:t>
      </w:r>
      <w:r w:rsidR="0056601C" w:rsidRPr="006C52F8">
        <w:rPr>
          <w:rFonts w:ascii="Arial" w:hAnsi="Arial" w:cs="Arial"/>
          <w:color w:val="000000"/>
          <w:shd w:val="clear" w:color="auto" w:fill="FFFFFF"/>
        </w:rPr>
        <w:t xml:space="preserve"> </w:t>
      </w:r>
      <w:r w:rsidR="00272E47" w:rsidRPr="006C52F8">
        <w:rPr>
          <w:rFonts w:ascii="Arial" w:hAnsi="Arial" w:cs="Arial"/>
          <w:color w:val="000000"/>
          <w:shd w:val="clear" w:color="auto" w:fill="FFFFFF"/>
        </w:rPr>
        <w:t>a</w:t>
      </w:r>
      <w:r w:rsidR="007D2C12" w:rsidRPr="006C52F8">
        <w:rPr>
          <w:rFonts w:ascii="Arial" w:hAnsi="Arial" w:cs="Arial"/>
          <w:color w:val="000000"/>
          <w:shd w:val="clear" w:color="auto" w:fill="FFFFFF"/>
        </w:rPr>
        <w:t>s</w:t>
      </w:r>
      <w:r w:rsidRPr="006C52F8">
        <w:rPr>
          <w:rFonts w:ascii="Arial" w:hAnsi="Arial" w:cs="Arial"/>
          <w:color w:val="000000"/>
          <w:shd w:val="clear" w:color="auto" w:fill="FFFFFF"/>
        </w:rPr>
        <w:t xml:space="preserve"> found in Attachment</w:t>
      </w:r>
      <w:r w:rsidR="00F45D1B" w:rsidRPr="006C52F8">
        <w:rPr>
          <w:rFonts w:ascii="Arial" w:hAnsi="Arial" w:cs="Arial"/>
          <w:color w:val="000000"/>
          <w:shd w:val="clear" w:color="auto" w:fill="FFFFFF"/>
        </w:rPr>
        <w:t xml:space="preserve"> </w:t>
      </w:r>
      <w:r w:rsidRPr="006C52F8">
        <w:rPr>
          <w:rFonts w:ascii="Arial" w:hAnsi="Arial" w:cs="Arial"/>
          <w:color w:val="000000"/>
          <w:shd w:val="clear" w:color="auto" w:fill="FFFFFF"/>
        </w:rPr>
        <w:t xml:space="preserve">1. </w:t>
      </w:r>
    </w:p>
    <w:p w14:paraId="0D7976C4" w14:textId="41A17655" w:rsidR="23AE35DD" w:rsidRPr="006C52F8" w:rsidRDefault="23AE35DD" w:rsidP="008D7926">
      <w:pPr>
        <w:spacing w:after="480"/>
        <w:rPr>
          <w:rFonts w:ascii="Arial" w:hAnsi="Arial" w:cs="Arial"/>
          <w:color w:val="000000" w:themeColor="text1"/>
        </w:rPr>
      </w:pPr>
      <w:r w:rsidRPr="006C52F8">
        <w:rPr>
          <w:rFonts w:ascii="Arial" w:hAnsi="Arial" w:cs="Arial"/>
          <w:color w:val="000000" w:themeColor="text1"/>
        </w:rPr>
        <w:t xml:space="preserve">The CDE also recommends that the SBE authorize the CDE to submit to the ED a request for a waiver of the requirement that a request for a waiver of the 1.0 percent </w:t>
      </w:r>
      <w:r w:rsidR="007D2C12" w:rsidRPr="006C52F8">
        <w:rPr>
          <w:rFonts w:ascii="Arial" w:hAnsi="Arial" w:cs="Arial"/>
          <w:color w:val="000000" w:themeColor="text1"/>
        </w:rPr>
        <w:t>cap</w:t>
      </w:r>
      <w:r w:rsidRPr="006C52F8">
        <w:rPr>
          <w:rFonts w:ascii="Arial" w:hAnsi="Arial" w:cs="Arial"/>
          <w:color w:val="000000" w:themeColor="text1"/>
        </w:rPr>
        <w:t xml:space="preserve"> be submitted at least 90 days before the beginning of the annual testing window for the CAA for Science.</w:t>
      </w:r>
    </w:p>
    <w:p w14:paraId="28788C28" w14:textId="77777777" w:rsidR="00F40510" w:rsidRPr="006C52F8" w:rsidRDefault="003E4DF7" w:rsidP="002B4B14">
      <w:pPr>
        <w:pStyle w:val="Heading2"/>
        <w:spacing w:before="240" w:after="240"/>
        <w:rPr>
          <w:sz w:val="36"/>
          <w:szCs w:val="36"/>
        </w:rPr>
      </w:pPr>
      <w:r w:rsidRPr="006C52F8">
        <w:rPr>
          <w:sz w:val="36"/>
          <w:szCs w:val="36"/>
        </w:rPr>
        <w:t>Brief History of Key Issues</w:t>
      </w:r>
    </w:p>
    <w:p w14:paraId="15373534" w14:textId="77777777" w:rsidR="003950E5" w:rsidRPr="006C52F8" w:rsidRDefault="00987FC4" w:rsidP="00271D54">
      <w:pPr>
        <w:spacing w:after="240"/>
        <w:rPr>
          <w:rFonts w:ascii="Arial" w:hAnsi="Arial" w:cs="Arial"/>
          <w:color w:val="000000" w:themeColor="text1"/>
        </w:rPr>
      </w:pPr>
      <w:r w:rsidRPr="006C52F8">
        <w:rPr>
          <w:rFonts w:ascii="Arial" w:hAnsi="Arial" w:cs="Arial"/>
          <w:color w:val="000000"/>
          <w:shd w:val="clear" w:color="auto" w:fill="FFFFFF"/>
        </w:rPr>
        <w:t xml:space="preserve">Per 34 </w:t>
      </w:r>
      <w:r w:rsidRPr="006C52F8">
        <w:rPr>
          <w:rFonts w:ascii="Arial" w:hAnsi="Arial" w:cs="Arial"/>
          <w:i/>
          <w:iCs/>
          <w:color w:val="000000"/>
          <w:shd w:val="clear" w:color="auto" w:fill="FFFFFF"/>
        </w:rPr>
        <w:t xml:space="preserve">CFR </w:t>
      </w:r>
      <w:r w:rsidRPr="006C52F8">
        <w:rPr>
          <w:rFonts w:ascii="Arial" w:hAnsi="Arial" w:cs="Arial"/>
          <w:color w:val="000000"/>
          <w:shd w:val="clear" w:color="auto" w:fill="FFFFFF"/>
        </w:rPr>
        <w:t xml:space="preserve">Section 200.6(c)(2), the total number of students assessed using an alternate assessment aligned with alternate academic achievement standards may not exceed 1.0 percent of the total number of students assessed in the state. The CDE has reviewed alternate assessment participation data </w:t>
      </w:r>
      <w:r w:rsidR="000C3922" w:rsidRPr="006C52F8">
        <w:rPr>
          <w:rFonts w:ascii="Arial" w:hAnsi="Arial" w:cs="Arial"/>
          <w:color w:val="000000"/>
          <w:shd w:val="clear" w:color="auto" w:fill="FFFFFF"/>
        </w:rPr>
        <w:t xml:space="preserve">from </w:t>
      </w:r>
      <w:r w:rsidR="00C66BB4" w:rsidRPr="006C52F8">
        <w:rPr>
          <w:rFonts w:ascii="Arial" w:hAnsi="Arial" w:cs="Arial"/>
          <w:color w:val="000000"/>
          <w:shd w:val="clear" w:color="auto" w:fill="FFFFFF"/>
        </w:rPr>
        <w:t xml:space="preserve">the </w:t>
      </w:r>
      <w:r w:rsidRPr="006C52F8">
        <w:rPr>
          <w:rFonts w:ascii="Arial" w:hAnsi="Arial" w:cs="Arial"/>
          <w:color w:val="000000"/>
          <w:shd w:val="clear" w:color="auto" w:fill="FFFFFF"/>
        </w:rPr>
        <w:t>2021–22</w:t>
      </w:r>
      <w:r w:rsidR="00C66BB4" w:rsidRPr="006C52F8">
        <w:rPr>
          <w:rFonts w:ascii="Arial" w:hAnsi="Arial" w:cs="Arial"/>
          <w:color w:val="000000"/>
          <w:shd w:val="clear" w:color="auto" w:fill="FFFFFF"/>
        </w:rPr>
        <w:t xml:space="preserve"> school year</w:t>
      </w:r>
      <w:r w:rsidRPr="006C52F8">
        <w:rPr>
          <w:rFonts w:ascii="Arial" w:hAnsi="Arial" w:cs="Arial"/>
          <w:color w:val="000000"/>
          <w:shd w:val="clear" w:color="auto" w:fill="FFFFFF"/>
        </w:rPr>
        <w:t xml:space="preserve">. After reviewing this data, the CDE expects that the state will exceed the 1.0 percent cap on the percentage of eligible students with the most significant cognitive disabilities who may be assessed with an alternate assessment. For this reason, the CDE </w:t>
      </w:r>
      <w:r w:rsidR="00E406FD" w:rsidRPr="006C52F8">
        <w:rPr>
          <w:rFonts w:ascii="Arial" w:hAnsi="Arial" w:cs="Arial"/>
          <w:color w:val="000000" w:themeColor="text1"/>
        </w:rPr>
        <w:t xml:space="preserve">recommends </w:t>
      </w:r>
      <w:r w:rsidRPr="006C52F8">
        <w:rPr>
          <w:rFonts w:ascii="Arial" w:hAnsi="Arial" w:cs="Arial"/>
          <w:color w:val="000000"/>
          <w:shd w:val="clear" w:color="auto" w:fill="FFFFFF"/>
        </w:rPr>
        <w:t>the SBE authoriz</w:t>
      </w:r>
      <w:r w:rsidR="00E406FD" w:rsidRPr="006C52F8">
        <w:rPr>
          <w:rFonts w:ascii="Arial" w:hAnsi="Arial" w:cs="Arial"/>
          <w:color w:val="000000" w:themeColor="text1"/>
        </w:rPr>
        <w:t>e the CDE</w:t>
      </w:r>
      <w:r w:rsidRPr="006C52F8">
        <w:rPr>
          <w:rFonts w:ascii="Arial" w:hAnsi="Arial" w:cs="Arial"/>
          <w:color w:val="000000"/>
          <w:shd w:val="clear" w:color="auto" w:fill="FFFFFF"/>
        </w:rPr>
        <w:t xml:space="preserve"> to submit a waiver request for exceeding the 1.0 percent cap in the 2022–23 school year.</w:t>
      </w:r>
      <w:r w:rsidR="00271D54" w:rsidRPr="006C52F8">
        <w:rPr>
          <w:rFonts w:ascii="Arial" w:hAnsi="Arial" w:cs="Arial"/>
          <w:color w:val="000000" w:themeColor="text1"/>
        </w:rPr>
        <w:t xml:space="preserve"> </w:t>
      </w:r>
    </w:p>
    <w:p w14:paraId="0CDD9488" w14:textId="7548F3A4" w:rsidR="00271D54" w:rsidRPr="006C52F8" w:rsidRDefault="00271D54" w:rsidP="00271D54">
      <w:pPr>
        <w:spacing w:after="240"/>
        <w:rPr>
          <w:rFonts w:ascii="Arial" w:hAnsi="Arial" w:cs="Arial"/>
          <w:color w:val="000000" w:themeColor="text1"/>
        </w:rPr>
      </w:pPr>
      <w:r w:rsidRPr="006C52F8">
        <w:rPr>
          <w:rFonts w:ascii="Arial" w:hAnsi="Arial" w:cs="Arial"/>
          <w:color w:val="000000" w:themeColor="text1"/>
        </w:rPr>
        <w:t xml:space="preserve">Attachment 1 </w:t>
      </w:r>
      <w:r w:rsidR="006D19D4" w:rsidRPr="006C52F8">
        <w:rPr>
          <w:rFonts w:ascii="Arial" w:hAnsi="Arial" w:cs="Arial"/>
          <w:color w:val="000000" w:themeColor="text1"/>
        </w:rPr>
        <w:t xml:space="preserve">contains </w:t>
      </w:r>
      <w:r w:rsidRPr="006C52F8">
        <w:rPr>
          <w:rFonts w:ascii="Arial" w:hAnsi="Arial" w:cs="Arial"/>
          <w:color w:val="000000" w:themeColor="text1"/>
        </w:rPr>
        <w:t>estimated numbers</w:t>
      </w:r>
      <w:r w:rsidR="00620D90" w:rsidRPr="006C52F8">
        <w:rPr>
          <w:rFonts w:ascii="Arial" w:hAnsi="Arial" w:cs="Arial"/>
          <w:color w:val="000000" w:themeColor="text1"/>
        </w:rPr>
        <w:t>—and TBD for numbers yet to be determined—</w:t>
      </w:r>
      <w:r w:rsidR="000769A9" w:rsidRPr="006C52F8">
        <w:rPr>
          <w:rFonts w:ascii="Arial" w:hAnsi="Arial" w:cs="Arial"/>
          <w:color w:val="000000" w:themeColor="text1"/>
        </w:rPr>
        <w:t>that</w:t>
      </w:r>
      <w:r w:rsidR="006D19D4" w:rsidRPr="006C52F8">
        <w:rPr>
          <w:rFonts w:ascii="Arial" w:hAnsi="Arial" w:cs="Arial"/>
          <w:color w:val="000000" w:themeColor="text1"/>
        </w:rPr>
        <w:t xml:space="preserve"> </w:t>
      </w:r>
      <w:r w:rsidRPr="006C52F8">
        <w:rPr>
          <w:rFonts w:ascii="Arial" w:hAnsi="Arial" w:cs="Arial"/>
          <w:color w:val="000000" w:themeColor="text1"/>
        </w:rPr>
        <w:t xml:space="preserve">will be </w:t>
      </w:r>
      <w:r w:rsidR="006D19D4" w:rsidRPr="006C52F8">
        <w:rPr>
          <w:rFonts w:ascii="Arial" w:hAnsi="Arial" w:cs="Arial"/>
          <w:color w:val="000000" w:themeColor="text1"/>
        </w:rPr>
        <w:t xml:space="preserve">updated after the CDE has confirmed the final number of students participating in the 2021–22 administration </w:t>
      </w:r>
      <w:r w:rsidR="000769A9" w:rsidRPr="006C52F8">
        <w:rPr>
          <w:rFonts w:ascii="Arial" w:hAnsi="Arial" w:cs="Arial"/>
          <w:color w:val="000000" w:themeColor="text1"/>
        </w:rPr>
        <w:t>as well as</w:t>
      </w:r>
      <w:r w:rsidR="006D19D4" w:rsidRPr="006C52F8">
        <w:rPr>
          <w:rFonts w:ascii="Arial" w:hAnsi="Arial" w:cs="Arial"/>
          <w:color w:val="000000" w:themeColor="text1"/>
        </w:rPr>
        <w:t xml:space="preserve"> test registration for 2022–23 administration</w:t>
      </w:r>
      <w:r w:rsidR="002F2831" w:rsidRPr="006C52F8">
        <w:rPr>
          <w:rFonts w:ascii="Arial" w:hAnsi="Arial" w:cs="Arial"/>
          <w:color w:val="000000" w:themeColor="text1"/>
        </w:rPr>
        <w:t xml:space="preserve">. The waiver request with final </w:t>
      </w:r>
      <w:r w:rsidR="00C536DB" w:rsidRPr="006C52F8">
        <w:rPr>
          <w:rFonts w:ascii="Arial" w:hAnsi="Arial" w:cs="Arial"/>
          <w:color w:val="000000" w:themeColor="text1"/>
        </w:rPr>
        <w:t xml:space="preserve">participation and registration numbers will be </w:t>
      </w:r>
      <w:r w:rsidRPr="006C52F8">
        <w:rPr>
          <w:rFonts w:ascii="Arial" w:hAnsi="Arial" w:cs="Arial"/>
          <w:color w:val="000000" w:themeColor="text1"/>
        </w:rPr>
        <w:t xml:space="preserve">submitted to the ED </w:t>
      </w:r>
      <w:r w:rsidR="00DA7EAC" w:rsidRPr="006C52F8">
        <w:rPr>
          <w:rFonts w:ascii="Arial" w:hAnsi="Arial" w:cs="Arial"/>
          <w:color w:val="000000" w:themeColor="text1"/>
        </w:rPr>
        <w:t xml:space="preserve">in </w:t>
      </w:r>
      <w:r w:rsidR="005743B7" w:rsidRPr="006C52F8">
        <w:rPr>
          <w:rFonts w:ascii="Arial" w:hAnsi="Arial" w:cs="Arial"/>
          <w:color w:val="000000" w:themeColor="text1"/>
        </w:rPr>
        <w:t xml:space="preserve">fall </w:t>
      </w:r>
      <w:r w:rsidR="00DA7EAC" w:rsidRPr="006C52F8">
        <w:rPr>
          <w:rFonts w:ascii="Arial" w:hAnsi="Arial" w:cs="Arial"/>
          <w:color w:val="000000" w:themeColor="text1"/>
        </w:rPr>
        <w:t xml:space="preserve">2022 </w:t>
      </w:r>
      <w:r w:rsidRPr="006C52F8">
        <w:rPr>
          <w:rFonts w:ascii="Arial" w:hAnsi="Arial" w:cs="Arial"/>
          <w:color w:val="000000" w:themeColor="text1"/>
        </w:rPr>
        <w:t xml:space="preserve">once it is signed by the State Board President and the State Superintendent of Public Instruction. </w:t>
      </w:r>
    </w:p>
    <w:p w14:paraId="129A9330" w14:textId="41590D45" w:rsidR="00987FC4" w:rsidRPr="006C52F8" w:rsidRDefault="00B47178" w:rsidP="00F20F18">
      <w:pPr>
        <w:spacing w:after="240"/>
        <w:rPr>
          <w:rFonts w:ascii="Arial" w:hAnsi="Arial" w:cs="Arial"/>
        </w:rPr>
      </w:pPr>
      <w:r w:rsidRPr="006C52F8">
        <w:rPr>
          <w:rFonts w:ascii="Arial" w:hAnsi="Arial" w:cs="Arial"/>
          <w:color w:val="000000"/>
          <w:shd w:val="clear" w:color="auto" w:fill="FFFFFF"/>
        </w:rPr>
        <w:t xml:space="preserve">Per 34 </w:t>
      </w:r>
      <w:r w:rsidRPr="006C52F8">
        <w:rPr>
          <w:rFonts w:ascii="Arial" w:hAnsi="Arial" w:cs="Arial"/>
          <w:i/>
          <w:iCs/>
          <w:color w:val="000000"/>
          <w:shd w:val="clear" w:color="auto" w:fill="FFFFFF"/>
        </w:rPr>
        <w:t>CFR</w:t>
      </w:r>
      <w:r w:rsidRPr="006C52F8">
        <w:rPr>
          <w:rFonts w:ascii="Arial" w:hAnsi="Arial" w:cs="Arial"/>
          <w:color w:val="000000"/>
          <w:shd w:val="clear" w:color="auto" w:fill="FFFFFF"/>
        </w:rPr>
        <w:t xml:space="preserve"> Section 200.6(c)(</w:t>
      </w:r>
      <w:r w:rsidR="003C32D0" w:rsidRPr="006C52F8">
        <w:rPr>
          <w:rFonts w:ascii="Arial" w:hAnsi="Arial" w:cs="Arial"/>
          <w:color w:val="000000"/>
          <w:shd w:val="clear" w:color="auto" w:fill="FFFFFF"/>
        </w:rPr>
        <w:t>3</w:t>
      </w:r>
      <w:r w:rsidRPr="006C52F8">
        <w:rPr>
          <w:rFonts w:ascii="Arial" w:hAnsi="Arial" w:cs="Arial"/>
          <w:color w:val="000000"/>
          <w:shd w:val="clear" w:color="auto" w:fill="FFFFFF"/>
        </w:rPr>
        <w:t xml:space="preserve">), </w:t>
      </w:r>
      <w:r w:rsidR="003C32D0" w:rsidRPr="006C52F8">
        <w:rPr>
          <w:rFonts w:ascii="Arial" w:hAnsi="Arial" w:cs="Arial"/>
          <w:color w:val="000000"/>
          <w:shd w:val="clear" w:color="auto" w:fill="FFFFFF"/>
        </w:rPr>
        <w:t xml:space="preserve">a state must </w:t>
      </w:r>
      <w:r w:rsidR="007B7CCF" w:rsidRPr="006C52F8">
        <w:rPr>
          <w:rFonts w:ascii="Arial" w:hAnsi="Arial" w:cs="Arial"/>
          <w:color w:val="000000"/>
          <w:shd w:val="clear" w:color="auto" w:fill="FFFFFF"/>
        </w:rPr>
        <w:t>r</w:t>
      </w:r>
      <w:r w:rsidR="00AD10A5" w:rsidRPr="006C52F8">
        <w:rPr>
          <w:rFonts w:ascii="Arial" w:hAnsi="Arial" w:cs="Arial"/>
          <w:color w:val="000000"/>
          <w:shd w:val="clear" w:color="auto" w:fill="FFFFFF"/>
        </w:rPr>
        <w:t xml:space="preserve">equire that a </w:t>
      </w:r>
      <w:r w:rsidR="00F45D1B" w:rsidRPr="006C52F8">
        <w:rPr>
          <w:rFonts w:ascii="Arial" w:hAnsi="Arial" w:cs="Arial"/>
          <w:color w:val="000000"/>
          <w:shd w:val="clear" w:color="auto" w:fill="FFFFFF"/>
        </w:rPr>
        <w:t>local educational agency (</w:t>
      </w:r>
      <w:r w:rsidR="00AD10A5" w:rsidRPr="006C52F8">
        <w:rPr>
          <w:rFonts w:ascii="Arial" w:hAnsi="Arial" w:cs="Arial"/>
          <w:color w:val="000000"/>
          <w:shd w:val="clear" w:color="auto" w:fill="FFFFFF"/>
        </w:rPr>
        <w:t>LEA</w:t>
      </w:r>
      <w:r w:rsidR="00F45D1B" w:rsidRPr="006C52F8">
        <w:rPr>
          <w:rFonts w:ascii="Arial" w:hAnsi="Arial" w:cs="Arial"/>
          <w:color w:val="000000"/>
          <w:shd w:val="clear" w:color="auto" w:fill="FFFFFF"/>
        </w:rPr>
        <w:t>)</w:t>
      </w:r>
      <w:r w:rsidR="00AD10A5" w:rsidRPr="006C52F8">
        <w:rPr>
          <w:rFonts w:ascii="Arial" w:hAnsi="Arial" w:cs="Arial"/>
          <w:color w:val="000000"/>
          <w:shd w:val="clear" w:color="auto" w:fill="FFFFFF"/>
        </w:rPr>
        <w:t xml:space="preserve"> submit information justifying the need of the LEA to assess more than 1.0 percent of its </w:t>
      </w:r>
      <w:r w:rsidR="00C66BB4" w:rsidRPr="006C52F8">
        <w:rPr>
          <w:rFonts w:ascii="Arial" w:hAnsi="Arial" w:cs="Arial"/>
          <w:color w:val="000000" w:themeColor="text1"/>
        </w:rPr>
        <w:t xml:space="preserve">eligible </w:t>
      </w:r>
      <w:r w:rsidR="00AD10A5" w:rsidRPr="006C52F8">
        <w:rPr>
          <w:rFonts w:ascii="Arial" w:hAnsi="Arial" w:cs="Arial"/>
          <w:color w:val="000000"/>
          <w:shd w:val="clear" w:color="auto" w:fill="FFFFFF"/>
        </w:rPr>
        <w:t xml:space="preserve">students </w:t>
      </w:r>
      <w:r w:rsidR="00663520" w:rsidRPr="006C52F8">
        <w:rPr>
          <w:rFonts w:ascii="Arial" w:hAnsi="Arial" w:cs="Arial"/>
          <w:color w:val="000000"/>
          <w:shd w:val="clear" w:color="auto" w:fill="FFFFFF"/>
        </w:rPr>
        <w:t xml:space="preserve">with </w:t>
      </w:r>
      <w:r w:rsidR="00AD10A5" w:rsidRPr="006C52F8">
        <w:rPr>
          <w:rFonts w:ascii="Arial" w:hAnsi="Arial" w:cs="Arial"/>
          <w:color w:val="000000"/>
          <w:shd w:val="clear" w:color="auto" w:fill="FFFFFF"/>
        </w:rPr>
        <w:t>an alternate assessment</w:t>
      </w:r>
      <w:r w:rsidR="007B7CCF" w:rsidRPr="006C52F8">
        <w:rPr>
          <w:rFonts w:ascii="Arial" w:hAnsi="Arial" w:cs="Arial"/>
          <w:color w:val="000000"/>
          <w:shd w:val="clear" w:color="auto" w:fill="FFFFFF"/>
        </w:rPr>
        <w:t>. The state must also m</w:t>
      </w:r>
      <w:r w:rsidR="00AD10A5" w:rsidRPr="006C52F8">
        <w:rPr>
          <w:rFonts w:ascii="Arial" w:hAnsi="Arial" w:cs="Arial"/>
          <w:color w:val="000000"/>
          <w:shd w:val="clear" w:color="auto" w:fill="FFFFFF"/>
        </w:rPr>
        <w:t>ake th</w:t>
      </w:r>
      <w:r w:rsidR="007B7CCF" w:rsidRPr="006C52F8">
        <w:rPr>
          <w:rFonts w:ascii="Arial" w:hAnsi="Arial" w:cs="Arial"/>
          <w:color w:val="000000"/>
          <w:shd w:val="clear" w:color="auto" w:fill="FFFFFF"/>
        </w:rPr>
        <w:t>e</w:t>
      </w:r>
      <w:r w:rsidR="00AD10A5" w:rsidRPr="006C52F8">
        <w:rPr>
          <w:rFonts w:ascii="Arial" w:hAnsi="Arial" w:cs="Arial"/>
          <w:color w:val="000000"/>
          <w:shd w:val="clear" w:color="auto" w:fill="FFFFFF"/>
        </w:rPr>
        <w:t xml:space="preserve"> information submitted by an LEA publicly available, provided that such information does not reveal personally identifiable information about an individual student.</w:t>
      </w:r>
      <w:r w:rsidR="00E62236" w:rsidRPr="006C52F8">
        <w:rPr>
          <w:rFonts w:ascii="Arial" w:hAnsi="Arial" w:cs="Arial"/>
          <w:color w:val="000000"/>
          <w:shd w:val="clear" w:color="auto" w:fill="FFFFFF"/>
        </w:rPr>
        <w:t xml:space="preserve"> </w:t>
      </w:r>
      <w:r w:rsidR="005D025F" w:rsidRPr="006C52F8">
        <w:rPr>
          <w:rFonts w:ascii="Arial" w:hAnsi="Arial" w:cs="Arial"/>
          <w:color w:val="000000"/>
          <w:shd w:val="clear" w:color="auto" w:fill="FFFFFF"/>
        </w:rPr>
        <w:t>I</w:t>
      </w:r>
      <w:r w:rsidR="00B54796" w:rsidRPr="006C52F8">
        <w:rPr>
          <w:rFonts w:ascii="Arial" w:hAnsi="Arial" w:cs="Arial"/>
          <w:color w:val="000000"/>
          <w:shd w:val="clear" w:color="auto" w:fill="FFFFFF"/>
        </w:rPr>
        <w:t>n</w:t>
      </w:r>
      <w:r w:rsidR="005D025F" w:rsidRPr="006C52F8">
        <w:rPr>
          <w:rFonts w:ascii="Arial" w:hAnsi="Arial" w:cs="Arial"/>
          <w:color w:val="000000"/>
          <w:shd w:val="clear" w:color="auto" w:fill="FFFFFF"/>
        </w:rPr>
        <w:t xml:space="preserve"> an annual </w:t>
      </w:r>
      <w:r w:rsidR="005D025F" w:rsidRPr="006C52F8">
        <w:rPr>
          <w:rFonts w:ascii="Arial" w:hAnsi="Arial" w:cs="Arial"/>
          <w:color w:val="000000"/>
          <w:shd w:val="clear" w:color="auto" w:fill="FFFFFF"/>
        </w:rPr>
        <w:lastRenderedPageBreak/>
        <w:t xml:space="preserve">survey </w:t>
      </w:r>
      <w:r w:rsidR="00B54796" w:rsidRPr="006C52F8">
        <w:rPr>
          <w:rFonts w:ascii="Arial" w:hAnsi="Arial" w:cs="Arial"/>
          <w:color w:val="000000"/>
          <w:shd w:val="clear" w:color="auto" w:fill="FFFFFF"/>
        </w:rPr>
        <w:t>sent to all LEAs</w:t>
      </w:r>
      <w:r w:rsidR="00B9709F" w:rsidRPr="006C52F8">
        <w:rPr>
          <w:rFonts w:ascii="Arial" w:hAnsi="Arial" w:cs="Arial"/>
          <w:color w:val="000000"/>
          <w:shd w:val="clear" w:color="auto" w:fill="FFFFFF"/>
        </w:rPr>
        <w:t xml:space="preserve"> in the fall of each </w:t>
      </w:r>
      <w:r w:rsidR="00663520" w:rsidRPr="006C52F8">
        <w:rPr>
          <w:rFonts w:ascii="Arial" w:hAnsi="Arial" w:cs="Arial"/>
          <w:color w:val="000000"/>
          <w:shd w:val="clear" w:color="auto" w:fill="FFFFFF"/>
        </w:rPr>
        <w:t>school year</w:t>
      </w:r>
      <w:r w:rsidR="00B54796" w:rsidRPr="006C52F8">
        <w:rPr>
          <w:rFonts w:ascii="Arial" w:hAnsi="Arial" w:cs="Arial"/>
          <w:color w:val="000000"/>
          <w:shd w:val="clear" w:color="auto" w:fill="FFFFFF"/>
        </w:rPr>
        <w:t>, t</w:t>
      </w:r>
      <w:r w:rsidR="00964912" w:rsidRPr="006C52F8">
        <w:rPr>
          <w:rFonts w:ascii="Arial" w:hAnsi="Arial" w:cs="Arial"/>
          <w:color w:val="000000"/>
          <w:shd w:val="clear" w:color="auto" w:fill="FFFFFF"/>
        </w:rPr>
        <w:t xml:space="preserve">he </w:t>
      </w:r>
      <w:r w:rsidR="005D025F" w:rsidRPr="006C52F8">
        <w:rPr>
          <w:rFonts w:ascii="Arial" w:hAnsi="Arial" w:cs="Arial"/>
          <w:color w:val="000000"/>
          <w:shd w:val="clear" w:color="auto" w:fill="FFFFFF"/>
        </w:rPr>
        <w:t xml:space="preserve">CDE collects responses from </w:t>
      </w:r>
      <w:r w:rsidR="00704C18" w:rsidRPr="006C52F8">
        <w:rPr>
          <w:rFonts w:ascii="Arial" w:hAnsi="Arial" w:cs="Arial"/>
          <w:color w:val="000000"/>
          <w:shd w:val="clear" w:color="auto" w:fill="FFFFFF"/>
        </w:rPr>
        <w:t xml:space="preserve">all </w:t>
      </w:r>
      <w:r w:rsidR="005D025F" w:rsidRPr="006C52F8">
        <w:rPr>
          <w:rFonts w:ascii="Arial" w:hAnsi="Arial" w:cs="Arial"/>
          <w:color w:val="000000"/>
          <w:shd w:val="clear" w:color="auto" w:fill="FFFFFF"/>
        </w:rPr>
        <w:t>LEAs</w:t>
      </w:r>
      <w:r w:rsidR="00704C18" w:rsidRPr="006C52F8">
        <w:rPr>
          <w:rFonts w:ascii="Arial" w:hAnsi="Arial" w:cs="Arial"/>
          <w:color w:val="000000"/>
          <w:shd w:val="clear" w:color="auto" w:fill="FFFFFF"/>
        </w:rPr>
        <w:t xml:space="preserve"> in the state</w:t>
      </w:r>
      <w:r w:rsidR="005D025F" w:rsidRPr="006C52F8">
        <w:rPr>
          <w:rFonts w:ascii="Arial" w:hAnsi="Arial" w:cs="Arial"/>
          <w:color w:val="000000"/>
          <w:shd w:val="clear" w:color="auto" w:fill="FFFFFF"/>
        </w:rPr>
        <w:t xml:space="preserve"> regarding their expected alternate assessment participation</w:t>
      </w:r>
      <w:r w:rsidR="00E62236" w:rsidRPr="006C52F8">
        <w:rPr>
          <w:rFonts w:ascii="Arial" w:hAnsi="Arial" w:cs="Arial"/>
          <w:color w:val="000000"/>
          <w:shd w:val="clear" w:color="auto" w:fill="FFFFFF"/>
        </w:rPr>
        <w:t xml:space="preserve"> as well as</w:t>
      </w:r>
      <w:r w:rsidR="00B453E3" w:rsidRPr="006C52F8">
        <w:rPr>
          <w:rFonts w:ascii="Arial" w:hAnsi="Arial" w:cs="Arial"/>
          <w:color w:val="000000"/>
          <w:shd w:val="clear" w:color="auto" w:fill="FFFFFF"/>
        </w:rPr>
        <w:t>, when applicable,</w:t>
      </w:r>
      <w:r w:rsidR="00E62236" w:rsidRPr="006C52F8">
        <w:rPr>
          <w:rFonts w:ascii="Arial" w:hAnsi="Arial" w:cs="Arial"/>
          <w:color w:val="000000"/>
          <w:shd w:val="clear" w:color="auto" w:fill="FFFFFF"/>
        </w:rPr>
        <w:t xml:space="preserve"> information justifying </w:t>
      </w:r>
      <w:r w:rsidR="00E40985" w:rsidRPr="006C52F8">
        <w:rPr>
          <w:rFonts w:ascii="Arial" w:hAnsi="Arial" w:cs="Arial"/>
          <w:color w:val="000000"/>
          <w:shd w:val="clear" w:color="auto" w:fill="FFFFFF"/>
        </w:rPr>
        <w:t>an</w:t>
      </w:r>
      <w:r w:rsidR="00B453E3" w:rsidRPr="006C52F8">
        <w:rPr>
          <w:rFonts w:ascii="Arial" w:hAnsi="Arial" w:cs="Arial"/>
          <w:color w:val="000000"/>
          <w:shd w:val="clear" w:color="auto" w:fill="FFFFFF"/>
        </w:rPr>
        <w:t xml:space="preserve"> LEA’s</w:t>
      </w:r>
      <w:r w:rsidR="00E62236" w:rsidRPr="006C52F8">
        <w:rPr>
          <w:rFonts w:ascii="Arial" w:hAnsi="Arial" w:cs="Arial"/>
          <w:color w:val="000000"/>
          <w:shd w:val="clear" w:color="auto" w:fill="FFFFFF"/>
        </w:rPr>
        <w:t xml:space="preserve"> </w:t>
      </w:r>
      <w:r w:rsidR="00B9709F" w:rsidRPr="006C52F8">
        <w:rPr>
          <w:rFonts w:ascii="Arial" w:hAnsi="Arial" w:cs="Arial"/>
          <w:color w:val="000000"/>
          <w:shd w:val="clear" w:color="auto" w:fill="FFFFFF"/>
        </w:rPr>
        <w:t xml:space="preserve">need to assess more than 1.0 percent of its </w:t>
      </w:r>
      <w:r w:rsidR="00C66BB4" w:rsidRPr="006C52F8">
        <w:rPr>
          <w:rFonts w:ascii="Arial" w:hAnsi="Arial" w:cs="Arial"/>
          <w:color w:val="000000" w:themeColor="text1"/>
        </w:rPr>
        <w:t xml:space="preserve">eligible </w:t>
      </w:r>
      <w:r w:rsidR="00B9709F" w:rsidRPr="006C52F8">
        <w:rPr>
          <w:rFonts w:ascii="Arial" w:hAnsi="Arial" w:cs="Arial"/>
          <w:color w:val="000000"/>
          <w:shd w:val="clear" w:color="auto" w:fill="FFFFFF"/>
        </w:rPr>
        <w:t xml:space="preserve">students </w:t>
      </w:r>
      <w:r w:rsidR="00B453E3" w:rsidRPr="006C52F8">
        <w:rPr>
          <w:rFonts w:ascii="Arial" w:hAnsi="Arial" w:cs="Arial"/>
          <w:color w:val="000000"/>
          <w:shd w:val="clear" w:color="auto" w:fill="FFFFFF"/>
        </w:rPr>
        <w:t>with</w:t>
      </w:r>
      <w:r w:rsidR="00B9709F" w:rsidRPr="006C52F8">
        <w:rPr>
          <w:rFonts w:ascii="Arial" w:hAnsi="Arial" w:cs="Arial"/>
          <w:color w:val="000000"/>
          <w:shd w:val="clear" w:color="auto" w:fill="FFFFFF"/>
        </w:rPr>
        <w:t xml:space="preserve"> an alternate assessment</w:t>
      </w:r>
      <w:r w:rsidR="005D025F" w:rsidRPr="006C52F8">
        <w:rPr>
          <w:rFonts w:ascii="Arial" w:hAnsi="Arial" w:cs="Arial"/>
          <w:color w:val="000000"/>
          <w:shd w:val="clear" w:color="auto" w:fill="FFFFFF"/>
        </w:rPr>
        <w:t>.</w:t>
      </w:r>
      <w:r w:rsidR="00B54796" w:rsidRPr="006C52F8">
        <w:rPr>
          <w:rFonts w:ascii="Arial" w:hAnsi="Arial" w:cs="Arial"/>
          <w:color w:val="000000"/>
          <w:shd w:val="clear" w:color="auto" w:fill="FFFFFF"/>
        </w:rPr>
        <w:t xml:space="preserve"> The CDE </w:t>
      </w:r>
      <w:r w:rsidR="00B9709F" w:rsidRPr="006C52F8">
        <w:rPr>
          <w:rFonts w:ascii="Arial" w:hAnsi="Arial" w:cs="Arial"/>
          <w:color w:val="000000"/>
          <w:shd w:val="clear" w:color="auto" w:fill="FFFFFF"/>
        </w:rPr>
        <w:t>will administer the</w:t>
      </w:r>
      <w:r w:rsidR="00761971" w:rsidRPr="006C52F8">
        <w:rPr>
          <w:rFonts w:ascii="Arial" w:hAnsi="Arial" w:cs="Arial"/>
          <w:color w:val="000000"/>
          <w:shd w:val="clear" w:color="auto" w:fill="FFFFFF"/>
        </w:rPr>
        <w:t xml:space="preserve"> 2022–23 survey </w:t>
      </w:r>
      <w:r w:rsidR="00B9709F" w:rsidRPr="006C52F8">
        <w:rPr>
          <w:rFonts w:ascii="Arial" w:hAnsi="Arial" w:cs="Arial"/>
          <w:color w:val="000000"/>
          <w:shd w:val="clear" w:color="auto" w:fill="FFFFFF"/>
        </w:rPr>
        <w:t xml:space="preserve">and the information from this survey will be made available </w:t>
      </w:r>
      <w:r w:rsidR="000D1F08" w:rsidRPr="006C52F8">
        <w:rPr>
          <w:rFonts w:ascii="Arial" w:hAnsi="Arial" w:cs="Arial"/>
          <w:color w:val="000000"/>
          <w:shd w:val="clear" w:color="auto" w:fill="FFFFFF"/>
        </w:rPr>
        <w:t xml:space="preserve">in </w:t>
      </w:r>
      <w:r w:rsidR="003B480C" w:rsidRPr="006C52F8">
        <w:rPr>
          <w:rFonts w:ascii="Arial" w:hAnsi="Arial" w:cs="Arial"/>
          <w:color w:val="000000"/>
          <w:shd w:val="clear" w:color="auto" w:fill="FFFFFF"/>
        </w:rPr>
        <w:t>fall</w:t>
      </w:r>
      <w:r w:rsidR="000D1F08" w:rsidRPr="006C52F8">
        <w:rPr>
          <w:rFonts w:ascii="Arial" w:hAnsi="Arial" w:cs="Arial"/>
          <w:color w:val="000000"/>
          <w:shd w:val="clear" w:color="auto" w:fill="FFFFFF"/>
        </w:rPr>
        <w:t xml:space="preserve"> 2022 </w:t>
      </w:r>
      <w:r w:rsidR="4CB18FA8" w:rsidRPr="006C52F8">
        <w:rPr>
          <w:rFonts w:ascii="Arial" w:hAnsi="Arial" w:cs="Arial"/>
          <w:color w:val="000000"/>
          <w:shd w:val="clear" w:color="auto" w:fill="FFFFFF"/>
        </w:rPr>
        <w:t>on the CDE</w:t>
      </w:r>
      <w:r w:rsidR="4F91C720" w:rsidRPr="006C52F8">
        <w:rPr>
          <w:rFonts w:ascii="Arial" w:hAnsi="Arial" w:cs="Arial"/>
          <w:color w:val="000000"/>
          <w:shd w:val="clear" w:color="auto" w:fill="FFFFFF"/>
        </w:rPr>
        <w:t>’s</w:t>
      </w:r>
      <w:r w:rsidR="4CB18FA8" w:rsidRPr="006C52F8">
        <w:rPr>
          <w:rFonts w:ascii="Arial" w:hAnsi="Arial" w:cs="Arial"/>
          <w:color w:val="000000"/>
          <w:shd w:val="clear" w:color="auto" w:fill="FFFFFF"/>
        </w:rPr>
        <w:t xml:space="preserve"> </w:t>
      </w:r>
      <w:r w:rsidR="4F91C720" w:rsidRPr="006C52F8">
        <w:rPr>
          <w:rFonts w:ascii="Arial" w:hAnsi="Arial" w:cs="Arial"/>
          <w:color w:val="000000"/>
          <w:shd w:val="clear" w:color="auto" w:fill="FFFFFF"/>
        </w:rPr>
        <w:t xml:space="preserve">One Percent Threshold for Alternate Assessment </w:t>
      </w:r>
      <w:r w:rsidR="0D8DC32D" w:rsidRPr="006C52F8">
        <w:rPr>
          <w:rFonts w:ascii="Arial" w:hAnsi="Arial" w:cs="Arial"/>
          <w:color w:val="000000"/>
          <w:shd w:val="clear" w:color="auto" w:fill="FFFFFF"/>
        </w:rPr>
        <w:t>W</w:t>
      </w:r>
      <w:r w:rsidR="4CB18FA8" w:rsidRPr="006C52F8">
        <w:rPr>
          <w:rFonts w:ascii="Arial" w:hAnsi="Arial" w:cs="Arial"/>
          <w:color w:val="000000"/>
          <w:shd w:val="clear" w:color="auto" w:fill="FFFFFF"/>
        </w:rPr>
        <w:t>eb</w:t>
      </w:r>
      <w:r w:rsidR="0D8DC32D" w:rsidRPr="006C52F8">
        <w:rPr>
          <w:rFonts w:ascii="Arial" w:hAnsi="Arial" w:cs="Arial"/>
          <w:color w:val="000000"/>
          <w:shd w:val="clear" w:color="auto" w:fill="FFFFFF"/>
        </w:rPr>
        <w:t xml:space="preserve"> </w:t>
      </w:r>
      <w:r w:rsidR="1B5E833F" w:rsidRPr="006C52F8">
        <w:rPr>
          <w:rFonts w:ascii="Arial" w:hAnsi="Arial" w:cs="Arial"/>
          <w:color w:val="000000"/>
          <w:shd w:val="clear" w:color="auto" w:fill="FFFFFF"/>
        </w:rPr>
        <w:t>page</w:t>
      </w:r>
      <w:r w:rsidR="4CB18FA8" w:rsidRPr="006C52F8">
        <w:rPr>
          <w:rFonts w:ascii="Arial" w:hAnsi="Arial" w:cs="Arial"/>
          <w:color w:val="000000"/>
          <w:shd w:val="clear" w:color="auto" w:fill="FFFFFF"/>
        </w:rPr>
        <w:t xml:space="preserve"> at </w:t>
      </w:r>
      <w:hyperlink r:id="rId13" w:tooltip="This link opens the One Percent Threshold for Alternate Assessment webpage on the CDE website." w:history="1">
        <w:r w:rsidR="4CB18FA8" w:rsidRPr="006C52F8">
          <w:rPr>
            <w:rStyle w:val="Hyperlink"/>
            <w:rFonts w:ascii="Arial" w:hAnsi="Arial" w:cs="Arial"/>
            <w:shd w:val="clear" w:color="auto" w:fill="FFFFFF"/>
          </w:rPr>
          <w:t>https://www.cde.ca.gov/ta/tg/ca/caaonepercent.asp</w:t>
        </w:r>
      </w:hyperlink>
      <w:r w:rsidR="788BF4B9" w:rsidRPr="006C52F8">
        <w:rPr>
          <w:rFonts w:ascii="Arial" w:hAnsi="Arial" w:cs="Arial"/>
          <w:color w:val="000000"/>
          <w:shd w:val="clear" w:color="auto" w:fill="FFFFFF"/>
        </w:rPr>
        <w:t>.</w:t>
      </w:r>
    </w:p>
    <w:p w14:paraId="55856F1B" w14:textId="5B763788" w:rsidR="003E4DF7" w:rsidRPr="006C52F8" w:rsidRDefault="004C61BA" w:rsidP="09E00622">
      <w:pPr>
        <w:spacing w:after="240"/>
        <w:rPr>
          <w:rFonts w:eastAsia="Arial" w:cs="Arial"/>
          <w:sz w:val="32"/>
          <w:szCs w:val="32"/>
        </w:rPr>
      </w:pPr>
      <w:r w:rsidRPr="006C52F8">
        <w:rPr>
          <w:rFonts w:ascii="Arial" w:hAnsi="Arial" w:cs="Arial"/>
          <w:color w:val="000000" w:themeColor="text1"/>
        </w:rPr>
        <w:t xml:space="preserve">In September 2020, the SBE authorized CDE to submit to </w:t>
      </w:r>
      <w:r w:rsidR="00166E91" w:rsidRPr="006C52F8">
        <w:rPr>
          <w:rFonts w:ascii="Arial" w:hAnsi="Arial" w:cs="Arial"/>
          <w:color w:val="000000" w:themeColor="text1"/>
        </w:rPr>
        <w:t xml:space="preserve">the </w:t>
      </w:r>
      <w:r w:rsidRPr="006C52F8">
        <w:rPr>
          <w:rFonts w:ascii="Arial" w:hAnsi="Arial" w:cs="Arial"/>
          <w:color w:val="000000" w:themeColor="text1"/>
        </w:rPr>
        <w:t xml:space="preserve">ED a waiver </w:t>
      </w:r>
      <w:r w:rsidRPr="006C52F8">
        <w:rPr>
          <w:rFonts w:ascii="Arial" w:hAnsi="Arial" w:cs="Arial"/>
        </w:rPr>
        <w:t>of the requirement to assess less than 1.0 percent of eligible students with an alternate assessment for ELA, mathematics, and science for the 2020–21 administration. The waiver was submitted in November 2020. In January 2021, the ED denied this waiver request</w:t>
      </w:r>
      <w:r w:rsidRPr="006C52F8">
        <w:rPr>
          <w:rFonts w:ascii="Arial" w:hAnsi="Arial" w:cs="Arial"/>
          <w:color w:val="000000" w:themeColor="text1"/>
        </w:rPr>
        <w:t xml:space="preserve"> due to California’s not having demonstrated that it </w:t>
      </w:r>
      <w:r w:rsidR="00643982" w:rsidRPr="006C52F8">
        <w:rPr>
          <w:rFonts w:ascii="Arial" w:hAnsi="Arial" w:cs="Arial"/>
          <w:color w:val="000000" w:themeColor="text1"/>
        </w:rPr>
        <w:t xml:space="preserve">had </w:t>
      </w:r>
      <w:r w:rsidRPr="006C52F8">
        <w:rPr>
          <w:rFonts w:ascii="Arial" w:hAnsi="Arial" w:cs="Arial"/>
          <w:color w:val="000000" w:themeColor="text1"/>
        </w:rPr>
        <w:t>assessed 95 percent of all students in science and 95 percent of students with disabilities in ELA, mathematics, and science in 2018–19.</w:t>
      </w:r>
      <w:r w:rsidR="00240606" w:rsidRPr="006C52F8">
        <w:rPr>
          <w:rFonts w:ascii="Arial" w:hAnsi="Arial" w:cs="Arial"/>
          <w:color w:val="000000" w:themeColor="text1"/>
        </w:rPr>
        <w:t xml:space="preserve"> In March 2022, the SBE authorized </w:t>
      </w:r>
      <w:r w:rsidR="00166E91" w:rsidRPr="006C52F8">
        <w:rPr>
          <w:rFonts w:ascii="Arial" w:hAnsi="Arial" w:cs="Arial"/>
          <w:color w:val="000000" w:themeColor="text1"/>
        </w:rPr>
        <w:t xml:space="preserve">the </w:t>
      </w:r>
      <w:r w:rsidR="00240606" w:rsidRPr="006C52F8">
        <w:rPr>
          <w:rFonts w:ascii="Arial" w:hAnsi="Arial" w:cs="Arial"/>
          <w:color w:val="000000" w:themeColor="text1"/>
        </w:rPr>
        <w:t>CDE to submit to</w:t>
      </w:r>
      <w:r w:rsidR="00166E91" w:rsidRPr="006C52F8">
        <w:rPr>
          <w:rFonts w:ascii="Arial" w:hAnsi="Arial" w:cs="Arial"/>
          <w:color w:val="000000" w:themeColor="text1"/>
        </w:rPr>
        <w:t xml:space="preserve"> the</w:t>
      </w:r>
      <w:r w:rsidR="00240606" w:rsidRPr="006C52F8">
        <w:rPr>
          <w:rFonts w:ascii="Arial" w:hAnsi="Arial" w:cs="Arial"/>
          <w:color w:val="000000" w:themeColor="text1"/>
        </w:rPr>
        <w:t xml:space="preserve"> ED a waiver </w:t>
      </w:r>
      <w:r w:rsidR="00240606" w:rsidRPr="006C52F8">
        <w:rPr>
          <w:rFonts w:ascii="Arial" w:hAnsi="Arial" w:cs="Arial"/>
        </w:rPr>
        <w:t xml:space="preserve">of the 1.0 percent </w:t>
      </w:r>
      <w:r w:rsidR="00D31FEA" w:rsidRPr="006C52F8">
        <w:rPr>
          <w:rFonts w:ascii="Arial" w:hAnsi="Arial" w:cs="Arial"/>
        </w:rPr>
        <w:t xml:space="preserve">cap </w:t>
      </w:r>
      <w:r w:rsidR="00240606" w:rsidRPr="006C52F8">
        <w:rPr>
          <w:rFonts w:ascii="Arial" w:hAnsi="Arial" w:cs="Arial"/>
        </w:rPr>
        <w:t xml:space="preserve">of eligible students </w:t>
      </w:r>
      <w:r w:rsidR="00271D54" w:rsidRPr="006C52F8">
        <w:rPr>
          <w:rFonts w:ascii="Arial" w:hAnsi="Arial" w:cs="Arial"/>
        </w:rPr>
        <w:t xml:space="preserve">being assessed </w:t>
      </w:r>
      <w:r w:rsidR="00240606" w:rsidRPr="006C52F8">
        <w:rPr>
          <w:rFonts w:ascii="Arial" w:hAnsi="Arial" w:cs="Arial"/>
        </w:rPr>
        <w:t xml:space="preserve">with an alternate assessment for ELA, mathematics, and science for the 2021–22 administration. </w:t>
      </w:r>
      <w:r w:rsidR="00EF2C50" w:rsidRPr="006C52F8">
        <w:rPr>
          <w:rFonts w:ascii="Arial" w:hAnsi="Arial" w:cs="Arial"/>
        </w:rPr>
        <w:t xml:space="preserve">The waiver request was submitted to </w:t>
      </w:r>
      <w:r w:rsidR="00166E91" w:rsidRPr="006C52F8">
        <w:rPr>
          <w:rFonts w:ascii="Arial" w:hAnsi="Arial" w:cs="Arial"/>
        </w:rPr>
        <w:t xml:space="preserve">the </w:t>
      </w:r>
      <w:r w:rsidR="00EF2C50" w:rsidRPr="006C52F8">
        <w:rPr>
          <w:rFonts w:ascii="Arial" w:hAnsi="Arial" w:cs="Arial"/>
        </w:rPr>
        <w:t xml:space="preserve">ED on </w:t>
      </w:r>
      <w:r w:rsidR="0056601C" w:rsidRPr="006C52F8">
        <w:rPr>
          <w:rFonts w:ascii="Arial" w:hAnsi="Arial" w:cs="Arial"/>
        </w:rPr>
        <w:t xml:space="preserve">May </w:t>
      </w:r>
      <w:r w:rsidR="004F6CAD" w:rsidRPr="006C52F8">
        <w:rPr>
          <w:rFonts w:ascii="Arial" w:hAnsi="Arial" w:cs="Arial"/>
        </w:rPr>
        <w:t>3</w:t>
      </w:r>
      <w:r w:rsidR="00EF2C50" w:rsidRPr="006C52F8">
        <w:rPr>
          <w:rFonts w:ascii="Arial" w:hAnsi="Arial" w:cs="Arial"/>
        </w:rPr>
        <w:t>, 2022</w:t>
      </w:r>
      <w:r w:rsidR="001F6EF1" w:rsidRPr="006C52F8">
        <w:rPr>
          <w:rFonts w:ascii="Arial" w:hAnsi="Arial" w:cs="Arial"/>
        </w:rPr>
        <w:t xml:space="preserve">. </w:t>
      </w:r>
      <w:r w:rsidR="000E2305" w:rsidRPr="006C52F8">
        <w:rPr>
          <w:rFonts w:ascii="Arial" w:hAnsi="Arial" w:cs="Arial"/>
        </w:rPr>
        <w:t>On June 22</w:t>
      </w:r>
      <w:r w:rsidR="00503CCF" w:rsidRPr="006C52F8">
        <w:rPr>
          <w:rFonts w:ascii="Arial" w:hAnsi="Arial" w:cs="Arial"/>
        </w:rPr>
        <w:t>,</w:t>
      </w:r>
      <w:r w:rsidR="000E2305" w:rsidRPr="006C52F8">
        <w:rPr>
          <w:rFonts w:ascii="Arial" w:hAnsi="Arial" w:cs="Arial"/>
        </w:rPr>
        <w:t xml:space="preserve"> 2022, the ED responded with a denial of California’s request because California has not met the requirement in 34 CFR § 200.6(c)(4), </w:t>
      </w:r>
      <w:bookmarkStart w:id="1" w:name="_Hlk107344029"/>
      <w:r w:rsidR="000E2305" w:rsidRPr="006C52F8">
        <w:rPr>
          <w:rFonts w:ascii="Arial" w:hAnsi="Arial" w:cs="Arial"/>
        </w:rPr>
        <w:t>demonstrating that it has assessed 95 percent of all students and 95 percent of students with disabilities in reading/language arts, mathematics, and science</w:t>
      </w:r>
      <w:r w:rsidR="00503CCF" w:rsidRPr="006C52F8">
        <w:rPr>
          <w:rFonts w:ascii="Arial" w:hAnsi="Arial" w:cs="Arial"/>
        </w:rPr>
        <w:t xml:space="preserve"> in </w:t>
      </w:r>
      <w:r w:rsidR="00BA56C1" w:rsidRPr="006C52F8">
        <w:rPr>
          <w:rFonts w:ascii="Arial" w:hAnsi="Arial" w:cs="Arial"/>
        </w:rPr>
        <w:t>2020–21</w:t>
      </w:r>
      <w:r w:rsidR="000E2305" w:rsidRPr="006C52F8">
        <w:rPr>
          <w:rFonts w:ascii="Arial" w:hAnsi="Arial" w:cs="Arial"/>
        </w:rPr>
        <w:t xml:space="preserve">. </w:t>
      </w:r>
      <w:bookmarkEnd w:id="1"/>
      <w:r w:rsidR="000E2305" w:rsidRPr="006C52F8">
        <w:rPr>
          <w:rFonts w:ascii="Arial" w:hAnsi="Arial" w:cs="Arial"/>
        </w:rPr>
        <w:t>The State’s plan and high-level timeline that shows the progress in reducing the percentage of students taking an alternate assessment is included in the section on California’s Waiver Plan for 2022–23 in Attachment 1.</w:t>
      </w:r>
    </w:p>
    <w:p w14:paraId="0A98D912" w14:textId="2B973D3D" w:rsidR="003E4DF7" w:rsidRPr="006C52F8" w:rsidRDefault="23AE35DD" w:rsidP="09E00622">
      <w:pPr>
        <w:pStyle w:val="Heading2"/>
        <w:spacing w:before="240" w:after="240"/>
        <w:rPr>
          <w:sz w:val="32"/>
          <w:szCs w:val="32"/>
        </w:rPr>
      </w:pPr>
      <w:r w:rsidRPr="006C52F8">
        <w:rPr>
          <w:sz w:val="32"/>
          <w:szCs w:val="32"/>
        </w:rPr>
        <w:t>Ninety-Day Timeline for Request of the 1.0 Percent Waiver for the CAA for Science</w:t>
      </w:r>
    </w:p>
    <w:p w14:paraId="0A11E93F" w14:textId="0B84E06A" w:rsidR="002D7C2B" w:rsidRPr="006C52F8" w:rsidRDefault="23AE35DD" w:rsidP="23AE35DD">
      <w:pPr>
        <w:spacing w:after="240"/>
        <w:rPr>
          <w:rFonts w:ascii="Arial" w:eastAsia="Arial" w:hAnsi="Arial" w:cs="Arial"/>
        </w:rPr>
      </w:pPr>
      <w:r w:rsidRPr="006C52F8">
        <w:rPr>
          <w:rFonts w:ascii="Arial" w:eastAsia="Arial" w:hAnsi="Arial" w:cs="Arial"/>
        </w:rPr>
        <w:t xml:space="preserve">Per 34 </w:t>
      </w:r>
      <w:r w:rsidRPr="006C52F8">
        <w:rPr>
          <w:rFonts w:ascii="Arial" w:eastAsia="Arial" w:hAnsi="Arial" w:cs="Arial"/>
          <w:i/>
          <w:iCs/>
        </w:rPr>
        <w:t>CFR</w:t>
      </w:r>
      <w:r w:rsidRPr="006C52F8">
        <w:rPr>
          <w:rFonts w:ascii="Arial" w:eastAsia="Arial" w:hAnsi="Arial" w:cs="Arial"/>
        </w:rPr>
        <w:t xml:space="preserve"> Section 200.6(c)(4)(</w:t>
      </w:r>
      <w:proofErr w:type="spellStart"/>
      <w:r w:rsidRPr="006C52F8">
        <w:rPr>
          <w:rFonts w:ascii="Arial" w:eastAsia="Arial" w:hAnsi="Arial" w:cs="Arial"/>
        </w:rPr>
        <w:t>i</w:t>
      </w:r>
      <w:proofErr w:type="spellEnd"/>
      <w:r w:rsidRPr="006C52F8">
        <w:rPr>
          <w:rFonts w:ascii="Arial" w:eastAsia="Arial" w:hAnsi="Arial" w:cs="Arial"/>
        </w:rPr>
        <w:t xml:space="preserve">), the deadline from the ED for requesting a waiver of the requirement to assess less than 1.0 percent of students with an alternate assessment is 90 days prior to beginning </w:t>
      </w:r>
      <w:r w:rsidR="00C66BB4" w:rsidRPr="006C52F8">
        <w:rPr>
          <w:rFonts w:ascii="Arial" w:eastAsia="Arial" w:hAnsi="Arial" w:cs="Arial"/>
        </w:rPr>
        <w:t>the annual test administration for each assessment program</w:t>
      </w:r>
      <w:r w:rsidRPr="006C52F8">
        <w:rPr>
          <w:rFonts w:ascii="Arial" w:eastAsia="Arial" w:hAnsi="Arial" w:cs="Arial"/>
        </w:rPr>
        <w:t xml:space="preserve">. </w:t>
      </w:r>
      <w:r w:rsidR="006803EE" w:rsidRPr="006C52F8">
        <w:rPr>
          <w:rFonts w:ascii="Arial" w:eastAsia="Arial" w:hAnsi="Arial" w:cs="Arial"/>
        </w:rPr>
        <w:t>Th</w:t>
      </w:r>
      <w:r w:rsidR="002D7C2B" w:rsidRPr="006C52F8">
        <w:rPr>
          <w:rFonts w:ascii="Arial" w:eastAsia="Arial" w:hAnsi="Arial" w:cs="Arial"/>
        </w:rPr>
        <w:t xml:space="preserve">e testing window for the CAA for Science is different from the window for the CAAs for ELA and mathematics. </w:t>
      </w:r>
    </w:p>
    <w:p w14:paraId="78FABCEE" w14:textId="7C98C055" w:rsidR="003E4DF7" w:rsidRPr="006C52F8" w:rsidRDefault="23AE35DD" w:rsidP="23AE35DD">
      <w:pPr>
        <w:spacing w:after="240"/>
        <w:rPr>
          <w:rFonts w:ascii="Arial" w:hAnsi="Arial" w:cs="Arial"/>
          <w:color w:val="000000" w:themeColor="text1"/>
        </w:rPr>
      </w:pPr>
      <w:r w:rsidRPr="006C52F8">
        <w:rPr>
          <w:rFonts w:ascii="Arial" w:eastAsia="Arial" w:hAnsi="Arial" w:cs="Arial"/>
        </w:rPr>
        <w:t xml:space="preserve">The </w:t>
      </w:r>
      <w:r w:rsidR="00C66BB4" w:rsidRPr="006C52F8">
        <w:rPr>
          <w:rFonts w:ascii="Arial" w:eastAsia="Arial" w:hAnsi="Arial" w:cs="Arial"/>
        </w:rPr>
        <w:t xml:space="preserve">annual testing </w:t>
      </w:r>
      <w:r w:rsidRPr="006C52F8">
        <w:rPr>
          <w:rFonts w:ascii="Arial" w:eastAsia="Arial" w:hAnsi="Arial" w:cs="Arial"/>
        </w:rPr>
        <w:t>window for the CAAs for ELA and mathematics begins on January</w:t>
      </w:r>
      <w:r w:rsidR="00014AA6" w:rsidRPr="006C52F8">
        <w:rPr>
          <w:rFonts w:ascii="Arial" w:eastAsia="Arial" w:hAnsi="Arial" w:cs="Arial"/>
        </w:rPr>
        <w:t> </w:t>
      </w:r>
      <w:r w:rsidRPr="006C52F8">
        <w:rPr>
          <w:rFonts w:ascii="Arial" w:eastAsia="Arial" w:hAnsi="Arial" w:cs="Arial"/>
        </w:rPr>
        <w:t>10, 2023</w:t>
      </w:r>
      <w:r w:rsidR="00C66BB4" w:rsidRPr="006C52F8">
        <w:rPr>
          <w:rFonts w:ascii="Arial" w:eastAsia="Arial" w:hAnsi="Arial" w:cs="Arial"/>
        </w:rPr>
        <w:t xml:space="preserve"> for the 2022</w:t>
      </w:r>
      <w:r w:rsidR="00213436" w:rsidRPr="006C52F8">
        <w:rPr>
          <w:rFonts w:ascii="Arial" w:eastAsia="Arial" w:hAnsi="Arial" w:cs="Arial"/>
        </w:rPr>
        <w:t>–</w:t>
      </w:r>
      <w:r w:rsidR="00C66BB4" w:rsidRPr="006C52F8">
        <w:rPr>
          <w:rFonts w:ascii="Arial" w:eastAsia="Arial" w:hAnsi="Arial" w:cs="Arial"/>
        </w:rPr>
        <w:t>23 school year</w:t>
      </w:r>
      <w:r w:rsidRPr="006C52F8">
        <w:rPr>
          <w:rFonts w:ascii="Arial" w:eastAsia="Arial" w:hAnsi="Arial" w:cs="Arial"/>
        </w:rPr>
        <w:t>, and 90 days prior to the opening of this test</w:t>
      </w:r>
      <w:r w:rsidR="00643982" w:rsidRPr="006C52F8">
        <w:rPr>
          <w:rFonts w:ascii="Arial" w:eastAsia="Arial" w:hAnsi="Arial" w:cs="Arial"/>
        </w:rPr>
        <w:t>ing</w:t>
      </w:r>
      <w:r w:rsidRPr="006C52F8">
        <w:rPr>
          <w:rFonts w:ascii="Arial" w:hAnsi="Arial" w:cs="Arial"/>
          <w:color w:val="000000" w:themeColor="text1"/>
        </w:rPr>
        <w:t xml:space="preserve"> window is October 12, 2022. The CDE expects to meet the 90-day timeline in applying for a waiver of the 1.0 percent cap for the CAAs for ELA and mathematics</w:t>
      </w:r>
      <w:r w:rsidR="00C66BB4" w:rsidRPr="006C52F8">
        <w:rPr>
          <w:rFonts w:ascii="Arial" w:hAnsi="Arial" w:cs="Arial"/>
          <w:color w:val="000000" w:themeColor="text1"/>
        </w:rPr>
        <w:t xml:space="preserve">; therefore, no waiver of the </w:t>
      </w:r>
      <w:r w:rsidR="00F042F3" w:rsidRPr="006C52F8">
        <w:rPr>
          <w:rFonts w:ascii="Arial" w:hAnsi="Arial" w:cs="Arial"/>
          <w:color w:val="000000" w:themeColor="text1"/>
        </w:rPr>
        <w:t>90</w:t>
      </w:r>
      <w:r w:rsidR="00C66BB4" w:rsidRPr="006C52F8">
        <w:rPr>
          <w:rFonts w:ascii="Arial" w:hAnsi="Arial" w:cs="Arial"/>
          <w:color w:val="000000" w:themeColor="text1"/>
        </w:rPr>
        <w:t>-day timeline is needed for ELA and mathematics</w:t>
      </w:r>
      <w:r w:rsidRPr="006C52F8">
        <w:rPr>
          <w:rFonts w:ascii="Arial" w:hAnsi="Arial" w:cs="Arial"/>
          <w:color w:val="000000" w:themeColor="text1"/>
        </w:rPr>
        <w:t xml:space="preserve">. </w:t>
      </w:r>
    </w:p>
    <w:p w14:paraId="67F0C5B1" w14:textId="664B1F1E" w:rsidR="003E4DF7" w:rsidRPr="006C52F8" w:rsidRDefault="002D7C2B" w:rsidP="00930F10">
      <w:pPr>
        <w:spacing w:after="480"/>
      </w:pPr>
      <w:r w:rsidRPr="006C52F8">
        <w:rPr>
          <w:rFonts w:ascii="Arial" w:hAnsi="Arial" w:cs="Arial"/>
          <w:color w:val="000000" w:themeColor="text1"/>
        </w:rPr>
        <w:t>T</w:t>
      </w:r>
      <w:r w:rsidR="23AE35DD" w:rsidRPr="006C52F8">
        <w:rPr>
          <w:rFonts w:ascii="Arial" w:hAnsi="Arial" w:cs="Arial"/>
          <w:color w:val="000000" w:themeColor="text1"/>
        </w:rPr>
        <w:t xml:space="preserve">he </w:t>
      </w:r>
      <w:r w:rsidR="00C66BB4" w:rsidRPr="006C52F8">
        <w:rPr>
          <w:rFonts w:ascii="Arial" w:hAnsi="Arial" w:cs="Arial"/>
          <w:color w:val="000000" w:themeColor="text1"/>
        </w:rPr>
        <w:t xml:space="preserve">annual </w:t>
      </w:r>
      <w:r w:rsidR="23AE35DD" w:rsidRPr="006C52F8">
        <w:rPr>
          <w:rFonts w:ascii="Arial" w:hAnsi="Arial" w:cs="Arial"/>
          <w:color w:val="000000" w:themeColor="text1"/>
        </w:rPr>
        <w:t>testing window for the CAA for Science</w:t>
      </w:r>
      <w:r w:rsidRPr="006C52F8">
        <w:rPr>
          <w:rFonts w:ascii="Arial" w:hAnsi="Arial" w:cs="Arial"/>
          <w:color w:val="000000" w:themeColor="text1"/>
        </w:rPr>
        <w:t>, however,</w:t>
      </w:r>
      <w:r w:rsidR="23AE35DD" w:rsidRPr="006C52F8">
        <w:rPr>
          <w:rFonts w:ascii="Arial" w:hAnsi="Arial" w:cs="Arial"/>
          <w:color w:val="000000" w:themeColor="text1"/>
        </w:rPr>
        <w:t xml:space="preserve"> begins on September 6, 2022</w:t>
      </w:r>
      <w:r w:rsidR="00C66BB4" w:rsidRPr="006C52F8">
        <w:rPr>
          <w:rFonts w:ascii="Arial" w:hAnsi="Arial" w:cs="Arial"/>
          <w:color w:val="000000" w:themeColor="text1"/>
        </w:rPr>
        <w:t xml:space="preserve"> for the 2022</w:t>
      </w:r>
      <w:r w:rsidR="00213436" w:rsidRPr="006C52F8">
        <w:rPr>
          <w:rFonts w:ascii="Arial" w:hAnsi="Arial" w:cs="Arial"/>
          <w:color w:val="000000" w:themeColor="text1"/>
        </w:rPr>
        <w:t>–</w:t>
      </w:r>
      <w:r w:rsidR="00C66BB4" w:rsidRPr="006C52F8">
        <w:rPr>
          <w:rFonts w:ascii="Arial" w:hAnsi="Arial" w:cs="Arial"/>
          <w:color w:val="000000" w:themeColor="text1"/>
        </w:rPr>
        <w:t>23 school year</w:t>
      </w:r>
      <w:r w:rsidR="23AE35DD" w:rsidRPr="006C52F8">
        <w:rPr>
          <w:rFonts w:ascii="Arial" w:hAnsi="Arial" w:cs="Arial"/>
          <w:color w:val="000000" w:themeColor="text1"/>
        </w:rPr>
        <w:t>, and 90 days prior to September 6, 2022</w:t>
      </w:r>
      <w:r w:rsidRPr="006C52F8">
        <w:rPr>
          <w:rFonts w:ascii="Arial" w:hAnsi="Arial" w:cs="Arial"/>
          <w:color w:val="000000" w:themeColor="text1"/>
        </w:rPr>
        <w:t>,</w:t>
      </w:r>
      <w:r w:rsidR="23AE35DD" w:rsidRPr="006C52F8">
        <w:rPr>
          <w:rFonts w:ascii="Arial" w:hAnsi="Arial" w:cs="Arial"/>
          <w:color w:val="000000" w:themeColor="text1"/>
        </w:rPr>
        <w:t xml:space="preserve"> </w:t>
      </w:r>
      <w:r w:rsidRPr="006C52F8">
        <w:rPr>
          <w:rFonts w:ascii="Arial" w:hAnsi="Arial" w:cs="Arial"/>
          <w:color w:val="000000" w:themeColor="text1"/>
        </w:rPr>
        <w:t>would have been</w:t>
      </w:r>
      <w:r w:rsidR="23AE35DD" w:rsidRPr="006C52F8">
        <w:rPr>
          <w:rFonts w:ascii="Arial" w:hAnsi="Arial" w:cs="Arial"/>
          <w:color w:val="000000" w:themeColor="text1"/>
        </w:rPr>
        <w:t xml:space="preserve"> June 8, 2022. The CDE</w:t>
      </w:r>
      <w:r w:rsidRPr="006C52F8">
        <w:rPr>
          <w:rFonts w:ascii="Arial" w:hAnsi="Arial" w:cs="Arial"/>
          <w:color w:val="000000" w:themeColor="text1"/>
        </w:rPr>
        <w:t>, therefore,</w:t>
      </w:r>
      <w:r w:rsidR="23AE35DD" w:rsidRPr="006C52F8">
        <w:rPr>
          <w:rFonts w:ascii="Arial" w:hAnsi="Arial" w:cs="Arial"/>
          <w:color w:val="000000" w:themeColor="text1"/>
        </w:rPr>
        <w:t xml:space="preserve"> cannot m</w:t>
      </w:r>
      <w:r w:rsidR="23AE35DD" w:rsidRPr="006C52F8">
        <w:rPr>
          <w:rFonts w:ascii="Arial" w:eastAsia="Arial" w:hAnsi="Arial" w:cs="Arial"/>
        </w:rPr>
        <w:t xml:space="preserve">eet the notification timeline for a waiver of the 1.0 percent cap for the CAA for Science. For this reason, the CDE </w:t>
      </w:r>
      <w:r w:rsidR="23AE35DD" w:rsidRPr="006C52F8">
        <w:rPr>
          <w:rFonts w:ascii="Arial" w:eastAsia="Arial" w:hAnsi="Arial" w:cs="Arial"/>
        </w:rPr>
        <w:lastRenderedPageBreak/>
        <w:t>recommends that the SBE authorize the submission of a waiver request of the 90-day timeline</w:t>
      </w:r>
      <w:r w:rsidR="00C9307E" w:rsidRPr="006C52F8">
        <w:rPr>
          <w:rFonts w:ascii="Arial" w:eastAsia="Arial" w:hAnsi="Arial" w:cs="Arial"/>
        </w:rPr>
        <w:t xml:space="preserve"> for science</w:t>
      </w:r>
      <w:r w:rsidR="23AE35DD" w:rsidRPr="006C52F8">
        <w:rPr>
          <w:rFonts w:ascii="Arial" w:eastAsia="Arial" w:hAnsi="Arial" w:cs="Arial"/>
        </w:rPr>
        <w:t>.</w:t>
      </w:r>
    </w:p>
    <w:p w14:paraId="3D47E909" w14:textId="6933968F" w:rsidR="003E4DF7" w:rsidRPr="006C52F8" w:rsidRDefault="003E4DF7" w:rsidP="002B4B14">
      <w:pPr>
        <w:pStyle w:val="Heading2"/>
        <w:spacing w:before="240" w:after="240"/>
        <w:rPr>
          <w:sz w:val="36"/>
          <w:szCs w:val="36"/>
        </w:rPr>
      </w:pPr>
      <w:r w:rsidRPr="006C52F8">
        <w:rPr>
          <w:sz w:val="36"/>
          <w:szCs w:val="36"/>
        </w:rPr>
        <w:t>Summary of Previous State Board of Education Discussion and Action</w:t>
      </w:r>
    </w:p>
    <w:p w14:paraId="03CC8DF7" w14:textId="00AA870D" w:rsidR="006C5E14" w:rsidRPr="006C52F8" w:rsidRDefault="006C5E14" w:rsidP="00F20F18">
      <w:pPr>
        <w:spacing w:after="240"/>
        <w:rPr>
          <w:rFonts w:ascii="Arial" w:hAnsi="Arial" w:cs="Arial"/>
        </w:rPr>
      </w:pPr>
      <w:r w:rsidRPr="006C52F8">
        <w:rPr>
          <w:rFonts w:ascii="Arial" w:hAnsi="Arial" w:cs="Arial"/>
          <w:color w:val="000000"/>
        </w:rPr>
        <w:t xml:space="preserve">In March 2022, the SBE authorized the CDE to </w:t>
      </w:r>
      <w:r w:rsidR="00C23ABA" w:rsidRPr="006C52F8">
        <w:rPr>
          <w:rFonts w:ascii="Arial" w:hAnsi="Arial" w:cs="Arial"/>
          <w:color w:val="000000"/>
        </w:rPr>
        <w:t>p</w:t>
      </w:r>
      <w:r w:rsidR="00C23ABA" w:rsidRPr="006C52F8">
        <w:rPr>
          <w:rFonts w:ascii="Arial" w:hAnsi="Arial" w:cs="Arial"/>
          <w:color w:val="000000"/>
          <w:shd w:val="clear" w:color="auto" w:fill="FFFFFF"/>
        </w:rPr>
        <w:t xml:space="preserve">ursue a waiver of the 1.0 percent cap on the percentage of eligible students with the most significant cognitive disabilities who may be assessed with an alternate assessment aligned with alternate academic achievement standards for ELA, </w:t>
      </w:r>
      <w:r w:rsidR="00C072C3" w:rsidRPr="006C52F8">
        <w:rPr>
          <w:rFonts w:ascii="Arial" w:hAnsi="Arial" w:cs="Arial"/>
          <w:color w:val="000000"/>
          <w:shd w:val="clear" w:color="auto" w:fill="FFFFFF"/>
        </w:rPr>
        <w:t>m</w:t>
      </w:r>
      <w:r w:rsidR="00C23ABA" w:rsidRPr="006C52F8">
        <w:rPr>
          <w:rFonts w:ascii="Arial" w:hAnsi="Arial" w:cs="Arial"/>
          <w:color w:val="000000"/>
          <w:shd w:val="clear" w:color="auto" w:fill="FFFFFF"/>
        </w:rPr>
        <w:t xml:space="preserve">athematics, and </w:t>
      </w:r>
      <w:r w:rsidR="00C072C3" w:rsidRPr="006C52F8">
        <w:rPr>
          <w:rFonts w:ascii="Arial" w:hAnsi="Arial" w:cs="Arial"/>
          <w:color w:val="000000"/>
          <w:shd w:val="clear" w:color="auto" w:fill="FFFFFF"/>
        </w:rPr>
        <w:t>s</w:t>
      </w:r>
      <w:r w:rsidR="00C23ABA" w:rsidRPr="006C52F8">
        <w:rPr>
          <w:rFonts w:ascii="Arial" w:hAnsi="Arial" w:cs="Arial"/>
          <w:color w:val="000000"/>
          <w:shd w:val="clear" w:color="auto" w:fill="FFFFFF"/>
        </w:rPr>
        <w:t xml:space="preserve">cience and </w:t>
      </w:r>
      <w:r w:rsidR="00C072C3" w:rsidRPr="006C52F8">
        <w:rPr>
          <w:rFonts w:ascii="Arial" w:hAnsi="Arial" w:cs="Arial"/>
          <w:color w:val="000000"/>
          <w:shd w:val="clear" w:color="auto" w:fill="FFFFFF"/>
        </w:rPr>
        <w:t>o</w:t>
      </w:r>
      <w:r w:rsidR="00C23ABA" w:rsidRPr="006C52F8">
        <w:rPr>
          <w:rFonts w:ascii="Arial" w:hAnsi="Arial" w:cs="Arial"/>
          <w:color w:val="000000"/>
          <w:shd w:val="clear" w:color="auto" w:fill="FFFFFF"/>
        </w:rPr>
        <w:t xml:space="preserve">ther </w:t>
      </w:r>
      <w:r w:rsidR="00C072C3" w:rsidRPr="006C52F8">
        <w:rPr>
          <w:rFonts w:ascii="Arial" w:hAnsi="Arial" w:cs="Arial"/>
          <w:color w:val="000000"/>
          <w:shd w:val="clear" w:color="auto" w:fill="FFFFFF"/>
        </w:rPr>
        <w:t>r</w:t>
      </w:r>
      <w:r w:rsidR="00C23ABA" w:rsidRPr="006C52F8">
        <w:rPr>
          <w:rFonts w:ascii="Arial" w:hAnsi="Arial" w:cs="Arial"/>
          <w:color w:val="000000"/>
          <w:shd w:val="clear" w:color="auto" w:fill="FFFFFF"/>
        </w:rPr>
        <w:t xml:space="preserve">elated </w:t>
      </w:r>
      <w:r w:rsidR="00C072C3" w:rsidRPr="006C52F8">
        <w:rPr>
          <w:rFonts w:ascii="Arial" w:hAnsi="Arial" w:cs="Arial"/>
          <w:color w:val="000000"/>
          <w:shd w:val="clear" w:color="auto" w:fill="FFFFFF"/>
        </w:rPr>
        <w:t>w</w:t>
      </w:r>
      <w:r w:rsidR="00C23ABA" w:rsidRPr="006C52F8">
        <w:rPr>
          <w:rFonts w:ascii="Arial" w:hAnsi="Arial" w:cs="Arial"/>
          <w:color w:val="000000"/>
          <w:shd w:val="clear" w:color="auto" w:fill="FFFFFF"/>
        </w:rPr>
        <w:t>aivers</w:t>
      </w:r>
      <w:r w:rsidR="001F7A6B" w:rsidRPr="006C52F8">
        <w:rPr>
          <w:rFonts w:ascii="Arial" w:hAnsi="Arial" w:cs="Arial"/>
          <w:color w:val="000000" w:themeColor="text1"/>
        </w:rPr>
        <w:t xml:space="preserve"> </w:t>
      </w:r>
      <w:r w:rsidR="002D7C2B" w:rsidRPr="006C52F8">
        <w:rPr>
          <w:rFonts w:ascii="Arial" w:hAnsi="Arial" w:cs="Arial"/>
          <w:color w:val="000000"/>
          <w:shd w:val="clear" w:color="auto" w:fill="FFFFFF"/>
        </w:rPr>
        <w:t xml:space="preserve">for the 2021–22 school year </w:t>
      </w:r>
      <w:r w:rsidR="00B739E7" w:rsidRPr="006C52F8">
        <w:rPr>
          <w:rFonts w:ascii="Arial" w:hAnsi="Arial" w:cs="Arial"/>
          <w:color w:val="000000"/>
          <w:shd w:val="clear" w:color="auto" w:fill="FFFFFF"/>
        </w:rPr>
        <w:t>(</w:t>
      </w:r>
      <w:hyperlink r:id="rId14" w:tooltip="This link opens the March 2022 SBE Agenda Item." w:history="1">
        <w:r w:rsidR="00B739E7" w:rsidRPr="006C52F8">
          <w:rPr>
            <w:rStyle w:val="Hyperlink"/>
            <w:rFonts w:ascii="Arial" w:hAnsi="Arial" w:cs="Arial"/>
            <w:shd w:val="clear" w:color="auto" w:fill="FFFFFF"/>
          </w:rPr>
          <w:t>https://www.cde.ca.gov/be/ag/ag/yr22/documents/mar22item03rev.docx</w:t>
        </w:r>
      </w:hyperlink>
      <w:r w:rsidR="00B739E7" w:rsidRPr="006C52F8">
        <w:rPr>
          <w:rFonts w:ascii="Arial" w:hAnsi="Arial" w:cs="Arial"/>
          <w:color w:val="000000"/>
          <w:shd w:val="clear" w:color="auto" w:fill="FFFFFF"/>
        </w:rPr>
        <w:t>)</w:t>
      </w:r>
      <w:r w:rsidR="00F20F18" w:rsidRPr="006C52F8">
        <w:rPr>
          <w:rFonts w:ascii="Arial" w:hAnsi="Arial" w:cs="Arial"/>
        </w:rPr>
        <w:t>.</w:t>
      </w:r>
    </w:p>
    <w:p w14:paraId="1EB00542" w14:textId="279C9CA4" w:rsidR="002865B8" w:rsidRPr="006C52F8" w:rsidRDefault="00B70962" w:rsidP="00F20F18">
      <w:pPr>
        <w:spacing w:after="240"/>
        <w:textAlignment w:val="baseline"/>
        <w:rPr>
          <w:rFonts w:ascii="Arial" w:hAnsi="Arial" w:cs="Arial"/>
        </w:rPr>
      </w:pPr>
      <w:r w:rsidRPr="006C52F8">
        <w:rPr>
          <w:rFonts w:ascii="Arial" w:hAnsi="Arial" w:cs="Arial"/>
          <w:color w:val="000000"/>
        </w:rPr>
        <w:t>In February 2021, the CDE provided the SBE with updates on the guidance released by the ED on assessing student learning during the pandemic. The SBE directed the CDE to provide next steps on applying for additional flexibility from the ED (</w:t>
      </w:r>
      <w:hyperlink r:id="rId15" w:tgtFrame="_blank" w:tooltip="This link opens the February 2021 SBE Information Memorandum." w:history="1">
        <w:r w:rsidRPr="006C52F8">
          <w:rPr>
            <w:rFonts w:ascii="Arial" w:hAnsi="Arial" w:cs="Arial"/>
            <w:color w:val="0000FF"/>
            <w:u w:val="single"/>
          </w:rPr>
          <w:t>https://www.cde.ca.gov/be/ag/ag/yr21/documents/feb2124item02.docx</w:t>
        </w:r>
      </w:hyperlink>
      <w:r w:rsidRPr="006C52F8">
        <w:rPr>
          <w:rFonts w:ascii="Arial" w:hAnsi="Arial" w:cs="Arial"/>
          <w:color w:val="000000"/>
        </w:rPr>
        <w:t>).</w:t>
      </w:r>
    </w:p>
    <w:p w14:paraId="14F52C8E" w14:textId="39FF3BEF" w:rsidR="002865B8" w:rsidRPr="006C52F8" w:rsidRDefault="00B70962" w:rsidP="00F20F18">
      <w:pPr>
        <w:spacing w:after="240"/>
        <w:textAlignment w:val="baseline"/>
        <w:rPr>
          <w:rFonts w:ascii="Arial" w:hAnsi="Arial" w:cs="Arial"/>
        </w:rPr>
      </w:pPr>
      <w:r w:rsidRPr="006C52F8">
        <w:rPr>
          <w:rFonts w:ascii="Arial" w:hAnsi="Arial" w:cs="Arial"/>
        </w:rPr>
        <w:t xml:space="preserve">In January 2021, the CDE provided the SBE with a summary of updates related to the </w:t>
      </w:r>
      <w:r w:rsidR="0076081F" w:rsidRPr="006C52F8">
        <w:rPr>
          <w:rFonts w:ascii="Arial" w:hAnsi="Arial" w:cs="Arial"/>
        </w:rPr>
        <w:t>California Assessment of Student Performance and Progress (</w:t>
      </w:r>
      <w:r w:rsidRPr="006C52F8">
        <w:rPr>
          <w:rFonts w:ascii="Arial" w:hAnsi="Arial" w:cs="Arial"/>
        </w:rPr>
        <w:t>CAASPP</w:t>
      </w:r>
      <w:r w:rsidR="0076081F" w:rsidRPr="006C52F8">
        <w:rPr>
          <w:rFonts w:ascii="Arial" w:hAnsi="Arial" w:cs="Arial"/>
        </w:rPr>
        <w:t>)</w:t>
      </w:r>
      <w:r w:rsidRPr="006C52F8">
        <w:rPr>
          <w:rFonts w:ascii="Arial" w:hAnsi="Arial" w:cs="Arial"/>
        </w:rPr>
        <w:t>; the SBE engaged in preliminary discussions about testing flexibilities (</w:t>
      </w:r>
      <w:hyperlink r:id="rId16" w:tgtFrame="_blank" w:tooltip="This link opens the January 2021 SBE Agenda Item." w:history="1">
        <w:r w:rsidRPr="006C52F8">
          <w:rPr>
            <w:rFonts w:ascii="Arial" w:hAnsi="Arial" w:cs="Arial"/>
            <w:color w:val="0000FF"/>
            <w:u w:val="single"/>
          </w:rPr>
          <w:t>https://www.cde.ca.gov/be/ag/ag/yr21/documents/jan21item03.docx</w:t>
        </w:r>
      </w:hyperlink>
      <w:r w:rsidRPr="006C52F8">
        <w:rPr>
          <w:rFonts w:ascii="Arial" w:hAnsi="Arial" w:cs="Arial"/>
        </w:rPr>
        <w:t>).</w:t>
      </w:r>
    </w:p>
    <w:p w14:paraId="4D70DDCB" w14:textId="227BE884" w:rsidR="002865B8" w:rsidRPr="006C52F8" w:rsidRDefault="00B70962" w:rsidP="00F20F18">
      <w:pPr>
        <w:spacing w:after="240"/>
        <w:textAlignment w:val="baseline"/>
        <w:rPr>
          <w:rFonts w:ascii="Arial" w:hAnsi="Arial" w:cs="Arial"/>
        </w:rPr>
      </w:pPr>
      <w:r w:rsidRPr="006C52F8">
        <w:rPr>
          <w:rFonts w:ascii="Arial" w:hAnsi="Arial" w:cs="Arial"/>
          <w:color w:val="000000"/>
        </w:rPr>
        <w:t>In November 2020, the CDE provided the SBE with updates related to the CAASPP, including the approval of the proposed Smarter Balanced summative assessments for ELA and mathematics blueprints (</w:t>
      </w:r>
      <w:hyperlink r:id="rId17" w:tgtFrame="_blank" w:tooltip="This link opens the November 2020 SBE Agenda Item." w:history="1">
        <w:r w:rsidRPr="006C52F8">
          <w:rPr>
            <w:rFonts w:ascii="Arial" w:hAnsi="Arial" w:cs="Arial"/>
            <w:color w:val="0000FF"/>
            <w:u w:val="single"/>
          </w:rPr>
          <w:t>https://www.cde.ca.gov/be/ag/ag/yr20/documents/nov20item04.docx</w:t>
        </w:r>
      </w:hyperlink>
      <w:r w:rsidRPr="006C52F8">
        <w:rPr>
          <w:rFonts w:ascii="Arial" w:hAnsi="Arial" w:cs="Arial"/>
          <w:color w:val="000000"/>
        </w:rPr>
        <w:t>).</w:t>
      </w:r>
    </w:p>
    <w:p w14:paraId="68BAAF5A" w14:textId="5535A66F" w:rsidR="002865B8" w:rsidRPr="006C52F8" w:rsidRDefault="00B70962" w:rsidP="00F20F18">
      <w:pPr>
        <w:spacing w:after="240"/>
        <w:textAlignment w:val="baseline"/>
        <w:rPr>
          <w:rFonts w:ascii="Arial" w:hAnsi="Arial" w:cs="Arial"/>
        </w:rPr>
      </w:pPr>
      <w:r w:rsidRPr="006C52F8">
        <w:rPr>
          <w:rFonts w:ascii="Arial" w:hAnsi="Arial" w:cs="Arial"/>
        </w:rPr>
        <w:t>In September 2020, the SBE provided approval for the CDE to r</w:t>
      </w:r>
      <w:r w:rsidRPr="006C52F8">
        <w:rPr>
          <w:rFonts w:ascii="Arial" w:hAnsi="Arial" w:cs="Arial"/>
          <w:color w:val="000000" w:themeColor="text1"/>
        </w:rPr>
        <w:t xml:space="preserve">equest a waiver under </w:t>
      </w:r>
      <w:r w:rsidR="00B41AF0" w:rsidRPr="006C52F8">
        <w:rPr>
          <w:rFonts w:ascii="Arial" w:hAnsi="Arial" w:cs="Arial"/>
          <w:color w:val="000000" w:themeColor="text1"/>
        </w:rPr>
        <w:t xml:space="preserve">the </w:t>
      </w:r>
      <w:r w:rsidRPr="006C52F8">
        <w:rPr>
          <w:rFonts w:ascii="Arial" w:hAnsi="Arial" w:cs="Arial"/>
          <w:color w:val="000000" w:themeColor="text1"/>
        </w:rPr>
        <w:t xml:space="preserve">Every Student Succeeds Act, </w:t>
      </w:r>
      <w:r w:rsidRPr="006C52F8">
        <w:rPr>
          <w:rFonts w:ascii="Arial" w:hAnsi="Arial" w:cs="Arial"/>
          <w:i/>
          <w:iCs/>
          <w:color w:val="000000" w:themeColor="text1"/>
        </w:rPr>
        <w:t>CFR</w:t>
      </w:r>
      <w:r w:rsidRPr="006C52F8">
        <w:rPr>
          <w:rFonts w:ascii="Arial" w:hAnsi="Arial" w:cs="Arial"/>
          <w:color w:val="000000" w:themeColor="text1"/>
        </w:rPr>
        <w:t xml:space="preserve"> Section 200.6(c)(4)</w:t>
      </w:r>
      <w:r w:rsidR="00B41AF0" w:rsidRPr="006C52F8">
        <w:rPr>
          <w:rFonts w:ascii="Arial" w:hAnsi="Arial" w:cs="Arial"/>
          <w:color w:val="000000" w:themeColor="text1"/>
        </w:rPr>
        <w:t>,</w:t>
      </w:r>
      <w:r w:rsidRPr="006C52F8">
        <w:rPr>
          <w:rFonts w:ascii="Arial" w:hAnsi="Arial" w:cs="Arial"/>
          <w:color w:val="000000" w:themeColor="text1"/>
        </w:rPr>
        <w:t xml:space="preserve"> to waive the 1.0 percent threshold for the 2020–21 CAAs for ELA, mathematics, and science (</w:t>
      </w:r>
      <w:hyperlink r:id="rId18" w:tooltip="This link opens the September 2020 SBE Agenda Item.">
        <w:r w:rsidRPr="006C52F8">
          <w:rPr>
            <w:rFonts w:ascii="Arial" w:hAnsi="Arial" w:cs="Arial"/>
            <w:color w:val="0000FF"/>
            <w:u w:val="single"/>
          </w:rPr>
          <w:t>https://www.cde.ca.gov/be/ag/ag/yr20/documents/sep20item07.docx</w:t>
        </w:r>
      </w:hyperlink>
      <w:r w:rsidRPr="006C52F8">
        <w:rPr>
          <w:rFonts w:ascii="Arial" w:hAnsi="Arial" w:cs="Arial"/>
          <w:color w:val="000000" w:themeColor="text1"/>
        </w:rPr>
        <w:t>).</w:t>
      </w:r>
    </w:p>
    <w:p w14:paraId="00AC3FDA" w14:textId="11719CCA" w:rsidR="002865B8" w:rsidRPr="006C52F8" w:rsidRDefault="00B70962" w:rsidP="00F20F18">
      <w:pPr>
        <w:spacing w:after="240"/>
        <w:textAlignment w:val="baseline"/>
        <w:rPr>
          <w:rFonts w:ascii="Arial" w:hAnsi="Arial" w:cs="Arial"/>
        </w:rPr>
      </w:pPr>
      <w:r w:rsidRPr="006C52F8">
        <w:rPr>
          <w:rFonts w:ascii="Arial" w:hAnsi="Arial" w:cs="Arial"/>
        </w:rPr>
        <w:t>In August 2020, the CDE provided the SBE with information and updates regarding the first operational administration of the CAA for Science and the release of the 2019–20 science assessment results (</w:t>
      </w:r>
      <w:hyperlink r:id="rId19" w:tgtFrame="_blank" w:tooltip="This link opens the August 2020 SBE Information Memorandum." w:history="1">
        <w:r w:rsidRPr="006C52F8">
          <w:rPr>
            <w:rFonts w:ascii="Arial" w:hAnsi="Arial" w:cs="Arial"/>
            <w:color w:val="0000FF"/>
            <w:u w:val="single"/>
          </w:rPr>
          <w:t>https://www.cde.ca.gov/be/pn/im/documents/aug20adad01.docx</w:t>
        </w:r>
      </w:hyperlink>
      <w:r w:rsidRPr="006C52F8">
        <w:rPr>
          <w:rFonts w:ascii="Arial" w:hAnsi="Arial" w:cs="Arial"/>
        </w:rPr>
        <w:t>).</w:t>
      </w:r>
    </w:p>
    <w:p w14:paraId="6950756A" w14:textId="1CD4D836" w:rsidR="002865B8" w:rsidRPr="006C52F8" w:rsidRDefault="00B70962" w:rsidP="00F20F18">
      <w:pPr>
        <w:spacing w:after="240"/>
        <w:textAlignment w:val="baseline"/>
        <w:rPr>
          <w:rFonts w:ascii="Arial" w:hAnsi="Arial" w:cs="Arial"/>
        </w:rPr>
      </w:pPr>
      <w:r w:rsidRPr="006C52F8">
        <w:rPr>
          <w:rFonts w:ascii="Arial" w:hAnsi="Arial" w:cs="Arial"/>
          <w:color w:val="000000"/>
        </w:rPr>
        <w:t>In July 2020, the CDE provided the SBE with a summary of developments and updates related to the CAASPP, including summary data for the 2019–20 test administration year (</w:t>
      </w:r>
      <w:hyperlink r:id="rId20" w:tgtFrame="_blank" w:tooltip="This link opens the July 2020 SBE Agenda Item." w:history="1">
        <w:r w:rsidRPr="006C52F8">
          <w:rPr>
            <w:rFonts w:ascii="Arial" w:hAnsi="Arial" w:cs="Arial"/>
            <w:color w:val="0000FF"/>
            <w:u w:val="single"/>
          </w:rPr>
          <w:t>https://www.cde.ca.gov/be/ag/ag/yr20/documents/jul20item05.docx</w:t>
        </w:r>
      </w:hyperlink>
      <w:r w:rsidRPr="006C52F8">
        <w:rPr>
          <w:rFonts w:ascii="Arial" w:hAnsi="Arial" w:cs="Arial"/>
          <w:color w:val="000000"/>
        </w:rPr>
        <w:t>).</w:t>
      </w:r>
    </w:p>
    <w:p w14:paraId="1CE4EFA4" w14:textId="7518714B" w:rsidR="002865B8" w:rsidRPr="006C52F8" w:rsidRDefault="00B70962" w:rsidP="00F20F18">
      <w:pPr>
        <w:spacing w:after="240"/>
        <w:textAlignment w:val="baseline"/>
        <w:rPr>
          <w:rFonts w:ascii="Arial" w:hAnsi="Arial" w:cs="Arial"/>
        </w:rPr>
      </w:pPr>
      <w:r w:rsidRPr="006C52F8">
        <w:rPr>
          <w:rFonts w:ascii="Arial" w:hAnsi="Arial" w:cs="Arial"/>
        </w:rPr>
        <w:t xml:space="preserve">In April 2020, the CDE provided the SBE with the notification from the ED’s Office of Elementary and Secondary Education, which indicated that the state had exceeded the 1.0 percent threshold of students taking alternate assessments. In addition, the CDE </w:t>
      </w:r>
      <w:r w:rsidRPr="006C52F8">
        <w:rPr>
          <w:rFonts w:ascii="Arial" w:hAnsi="Arial" w:cs="Arial"/>
        </w:rPr>
        <w:lastRenderedPageBreak/>
        <w:t>provided the SBE with the CDE’s response, which included an update to the plan to come into compliance (</w:t>
      </w:r>
      <w:hyperlink r:id="rId21" w:tgtFrame="_blank" w:tooltip="This link opens the April 2020 SBE Information Memorandum." w:history="1">
        <w:r w:rsidRPr="006C52F8">
          <w:rPr>
            <w:rFonts w:ascii="Arial" w:hAnsi="Arial" w:cs="Arial"/>
            <w:color w:val="0000FF"/>
            <w:u w:val="single"/>
          </w:rPr>
          <w:t>https://www.cde.ca.gov/be/pn/im/documents/apr20memoadad02.docx</w:t>
        </w:r>
      </w:hyperlink>
      <w:r w:rsidRPr="006C52F8">
        <w:rPr>
          <w:rFonts w:ascii="Arial" w:hAnsi="Arial" w:cs="Arial"/>
        </w:rPr>
        <w:t>).</w:t>
      </w:r>
    </w:p>
    <w:p w14:paraId="06E8CAA8" w14:textId="1FA5095B" w:rsidR="002865B8" w:rsidRPr="006C52F8" w:rsidRDefault="00B70962" w:rsidP="00F20F18">
      <w:pPr>
        <w:spacing w:after="240"/>
        <w:textAlignment w:val="baseline"/>
        <w:rPr>
          <w:rFonts w:ascii="Arial" w:hAnsi="Arial" w:cs="Arial"/>
        </w:rPr>
      </w:pPr>
      <w:r w:rsidRPr="006C52F8">
        <w:rPr>
          <w:rFonts w:ascii="Arial" w:hAnsi="Arial" w:cs="Arial"/>
        </w:rPr>
        <w:t>In January 2018, the SBE approved the CAA for Science test blueprint, general achievement level descriptors, and score reporting structure (</w:t>
      </w:r>
      <w:hyperlink r:id="rId22" w:tgtFrame="_blank" w:tooltip="This link opens the January 2018 SBE Agenda Item." w:history="1">
        <w:r w:rsidRPr="006C52F8">
          <w:rPr>
            <w:rFonts w:ascii="Arial" w:hAnsi="Arial" w:cs="Arial"/>
            <w:color w:val="0000FF"/>
            <w:u w:val="single"/>
          </w:rPr>
          <w:t>https://www.cde.ca.gov/be/ag/ag/yr18/documents/jan18item06.docx</w:t>
        </w:r>
      </w:hyperlink>
      <w:r w:rsidRPr="006C52F8">
        <w:rPr>
          <w:rFonts w:ascii="Arial" w:hAnsi="Arial" w:cs="Arial"/>
        </w:rPr>
        <w:t>).</w:t>
      </w:r>
    </w:p>
    <w:p w14:paraId="16C08A44" w14:textId="0EFF2C15" w:rsidR="002865B8" w:rsidRPr="006C52F8" w:rsidRDefault="00B70962" w:rsidP="00F20F18">
      <w:pPr>
        <w:spacing w:after="240"/>
        <w:textAlignment w:val="baseline"/>
        <w:rPr>
          <w:rFonts w:ascii="Arial" w:hAnsi="Arial" w:cs="Arial"/>
        </w:rPr>
      </w:pPr>
      <w:r w:rsidRPr="006C52F8">
        <w:rPr>
          <w:rFonts w:ascii="Arial" w:hAnsi="Arial" w:cs="Arial"/>
        </w:rPr>
        <w:t xml:space="preserve">In December 2017, the CDE updated the SBE with a summary of recent developments related to the science waiver for the field test of the </w:t>
      </w:r>
      <w:r w:rsidR="001D3160" w:rsidRPr="006C52F8">
        <w:rPr>
          <w:rFonts w:ascii="Arial" w:hAnsi="Arial" w:cs="Arial"/>
        </w:rPr>
        <w:t>California Science Test</w:t>
      </w:r>
      <w:r w:rsidRPr="006C52F8">
        <w:rPr>
          <w:rFonts w:ascii="Arial" w:hAnsi="Arial" w:cs="Arial"/>
        </w:rPr>
        <w:t>, the second-year pilot test of the CAA for Science (</w:t>
      </w:r>
      <w:hyperlink r:id="rId23" w:tooltip="This link opens the December 2017 SBE Information Memorandum.">
        <w:r w:rsidRPr="006C52F8">
          <w:rPr>
            <w:rFonts w:ascii="Arial" w:hAnsi="Arial" w:cs="Arial"/>
            <w:color w:val="0000FF"/>
            <w:u w:val="single"/>
          </w:rPr>
          <w:t>https://www.cde.ca.gov/be/pn/im/documents/memo-pptb-adad-dec17item01.doc</w:t>
        </w:r>
      </w:hyperlink>
      <w:r w:rsidRPr="006C52F8">
        <w:rPr>
          <w:rFonts w:ascii="Arial" w:hAnsi="Arial" w:cs="Arial"/>
        </w:rPr>
        <w:t>), and a letter to the ED outlining the plan to provide preliminary indicators for students taking the science assessments (</w:t>
      </w:r>
      <w:hyperlink r:id="rId24" w:tooltip="This link opens the December 2017 SBE Information Memorandum, Attachment 1.">
        <w:r w:rsidRPr="006C52F8">
          <w:rPr>
            <w:rFonts w:ascii="Arial" w:hAnsi="Arial" w:cs="Arial"/>
            <w:color w:val="0000FF"/>
            <w:u w:val="single"/>
          </w:rPr>
          <w:t>https://www.cde.ca.gov/be/pn/im/memo-pptb-adad-dec17item01a01.asp</w:t>
        </w:r>
      </w:hyperlink>
      <w:r w:rsidRPr="006C52F8">
        <w:rPr>
          <w:rFonts w:ascii="Arial" w:hAnsi="Arial" w:cs="Arial"/>
        </w:rPr>
        <w:t>).</w:t>
      </w:r>
    </w:p>
    <w:p w14:paraId="51E02DD8" w14:textId="69E98613" w:rsidR="00B70962" w:rsidRPr="006C52F8" w:rsidRDefault="00B70962" w:rsidP="00523FA3">
      <w:pPr>
        <w:spacing w:after="480"/>
        <w:textAlignment w:val="baseline"/>
        <w:rPr>
          <w:rFonts w:ascii="Arial" w:hAnsi="Arial" w:cs="Arial"/>
        </w:rPr>
      </w:pPr>
      <w:r w:rsidRPr="006C52F8">
        <w:rPr>
          <w:rFonts w:ascii="Arial" w:hAnsi="Arial" w:cs="Arial"/>
        </w:rPr>
        <w:t>In May 2016, the SBE approved the CDE recommendation to eliminate the California Standards Tests, California Modified Assessment, and California Alternate Performance Assessment and to submit a letter to the ED requesting a waiver of double testing while conducting pilot and field testing (</w:t>
      </w:r>
      <w:hyperlink r:id="rId25" w:tgtFrame="_blank" w:tooltip="This link opens the May 2016 SBE Agenda Item." w:history="1">
        <w:r w:rsidRPr="006C52F8">
          <w:rPr>
            <w:rFonts w:ascii="Arial" w:hAnsi="Arial" w:cs="Arial"/>
            <w:color w:val="0000FF"/>
            <w:u w:val="single"/>
          </w:rPr>
          <w:t>https://www.cde.ca.gov/be/ag/ag/yr16/documents/may16item08.doc</w:t>
        </w:r>
      </w:hyperlink>
      <w:r w:rsidRPr="006C52F8">
        <w:rPr>
          <w:rFonts w:ascii="Arial" w:hAnsi="Arial" w:cs="Arial"/>
        </w:rPr>
        <w:t>).</w:t>
      </w:r>
    </w:p>
    <w:p w14:paraId="5E6B385F" w14:textId="77777777" w:rsidR="003E4DF7" w:rsidRPr="006C52F8" w:rsidRDefault="003E4DF7" w:rsidP="002B4B14">
      <w:pPr>
        <w:pStyle w:val="Heading2"/>
        <w:spacing w:before="240" w:after="240"/>
        <w:rPr>
          <w:sz w:val="36"/>
          <w:szCs w:val="36"/>
        </w:rPr>
      </w:pPr>
      <w:r w:rsidRPr="006C52F8">
        <w:rPr>
          <w:sz w:val="36"/>
          <w:szCs w:val="36"/>
        </w:rPr>
        <w:t>Fiscal Analysis (as appropriate)</w:t>
      </w:r>
    </w:p>
    <w:p w14:paraId="564010FF" w14:textId="28D1EC25" w:rsidR="004E085C" w:rsidRPr="006C52F8" w:rsidRDefault="00293E80" w:rsidP="00523FA3">
      <w:pPr>
        <w:spacing w:after="480"/>
        <w:rPr>
          <w:rFonts w:ascii="Arial" w:hAnsi="Arial" w:cs="Arial"/>
        </w:rPr>
      </w:pPr>
      <w:r w:rsidRPr="006C52F8">
        <w:rPr>
          <w:rFonts w:ascii="Arial" w:hAnsi="Arial" w:cs="Arial"/>
          <w:color w:val="000000"/>
          <w:bdr w:val="none" w:sz="0" w:space="0" w:color="auto" w:frame="1"/>
        </w:rPr>
        <w:t>Not applicable</w:t>
      </w:r>
      <w:r w:rsidR="00065C16" w:rsidRPr="006C52F8">
        <w:rPr>
          <w:rFonts w:ascii="Arial" w:hAnsi="Arial" w:cs="Arial"/>
          <w:color w:val="000000"/>
          <w:bdr w:val="none" w:sz="0" w:space="0" w:color="auto" w:frame="1"/>
        </w:rPr>
        <w:t>.</w:t>
      </w:r>
    </w:p>
    <w:p w14:paraId="679B1EC2" w14:textId="1C0F72C5" w:rsidR="00406F50" w:rsidRPr="006C52F8" w:rsidRDefault="00406F50" w:rsidP="002B4B14">
      <w:pPr>
        <w:pStyle w:val="Heading2"/>
        <w:spacing w:before="240" w:after="240"/>
        <w:rPr>
          <w:sz w:val="36"/>
          <w:szCs w:val="36"/>
        </w:rPr>
      </w:pPr>
      <w:r w:rsidRPr="006C52F8">
        <w:rPr>
          <w:sz w:val="36"/>
          <w:szCs w:val="36"/>
        </w:rPr>
        <w:t>Attachment(s)</w:t>
      </w:r>
    </w:p>
    <w:p w14:paraId="17B2ACEF" w14:textId="7EA88E0C" w:rsidR="00BD1ED6" w:rsidRPr="006C52F8" w:rsidRDefault="370325CA" w:rsidP="00B355C5">
      <w:pPr>
        <w:pStyle w:val="ListParagraph"/>
        <w:numPr>
          <w:ilvl w:val="0"/>
          <w:numId w:val="1"/>
        </w:numPr>
        <w:spacing w:after="480"/>
      </w:pPr>
      <w:bookmarkStart w:id="2" w:name="_Hlk107344177"/>
      <w:r w:rsidRPr="006C52F8">
        <w:rPr>
          <w:rStyle w:val="normaltextrun"/>
          <w:rFonts w:eastAsiaTheme="majorEastAsia" w:cs="Arial"/>
          <w:color w:val="000000"/>
          <w:shd w:val="clear" w:color="auto" w:fill="FFFFFF"/>
        </w:rPr>
        <w:t xml:space="preserve">Attachment 1: DRAFT Letter from State Superintendent of Public Instruction Thurmond and State Board President Darling-Hammond to ED Regarding Waiver </w:t>
      </w:r>
      <w:r w:rsidR="64C02933" w:rsidRPr="006C52F8">
        <w:rPr>
          <w:rStyle w:val="normaltextrun"/>
          <w:rFonts w:eastAsiaTheme="majorEastAsia" w:cs="Arial"/>
          <w:color w:val="000000"/>
          <w:shd w:val="clear" w:color="auto" w:fill="FFFFFF"/>
        </w:rPr>
        <w:t xml:space="preserve">Requests </w:t>
      </w:r>
      <w:r w:rsidR="76FBFE38" w:rsidRPr="006C52F8">
        <w:t>(</w:t>
      </w:r>
      <w:r w:rsidR="697C3437" w:rsidRPr="006C52F8">
        <w:t>1</w:t>
      </w:r>
      <w:r w:rsidR="29D0218F" w:rsidRPr="006C52F8">
        <w:t>3</w:t>
      </w:r>
      <w:r w:rsidR="001C10EB" w:rsidRPr="006C52F8">
        <w:t xml:space="preserve"> </w:t>
      </w:r>
      <w:r w:rsidR="76FBFE38" w:rsidRPr="006C52F8">
        <w:t>Pages)</w:t>
      </w:r>
    </w:p>
    <w:bookmarkEnd w:id="2"/>
    <w:p w14:paraId="6586E746" w14:textId="77777777" w:rsidR="00B355C5" w:rsidRPr="006C52F8" w:rsidRDefault="00B355C5" w:rsidP="00B355C5">
      <w:pPr>
        <w:spacing w:after="480"/>
        <w:sectPr w:rsidR="00B355C5" w:rsidRPr="006C52F8" w:rsidSect="0034235E">
          <w:headerReference w:type="default" r:id="rId26"/>
          <w:headerReference w:type="first" r:id="rId27"/>
          <w:type w:val="continuous"/>
          <w:pgSz w:w="12240" w:h="15840"/>
          <w:pgMar w:top="720" w:right="1440" w:bottom="1440" w:left="1440" w:header="720" w:footer="720" w:gutter="0"/>
          <w:cols w:space="720"/>
          <w:titlePg/>
          <w:docGrid w:linePitch="360"/>
        </w:sectPr>
      </w:pPr>
    </w:p>
    <w:p w14:paraId="721F7691" w14:textId="30C3DD85" w:rsidR="00061EEA" w:rsidRPr="0020639F" w:rsidRDefault="00061EEA" w:rsidP="0020639F">
      <w:pPr>
        <w:rPr>
          <w:rFonts w:eastAsiaTheme="majorEastAsia"/>
        </w:rPr>
      </w:pPr>
    </w:p>
    <w:p w14:paraId="4730444A" w14:textId="77777777" w:rsidR="00005C4D" w:rsidRPr="0020639F" w:rsidRDefault="00005C4D" w:rsidP="0020639F">
      <w:pPr>
        <w:rPr>
          <w:rFonts w:eastAsiaTheme="majorEastAsia"/>
        </w:rPr>
        <w:sectPr w:rsidR="00005C4D" w:rsidRPr="0020639F" w:rsidSect="00D2434F">
          <w:headerReference w:type="default" r:id="rId28"/>
          <w:headerReference w:type="first" r:id="rId29"/>
          <w:pgSz w:w="12240" w:h="15840" w:code="1"/>
          <w:pgMar w:top="1440" w:right="1440" w:bottom="1440" w:left="1440" w:header="720" w:footer="720" w:gutter="0"/>
          <w:pgNumType w:start="1"/>
          <w:cols w:space="720"/>
          <w:docGrid w:linePitch="360"/>
        </w:sectPr>
      </w:pPr>
    </w:p>
    <w:p w14:paraId="7CDDC59F" w14:textId="4E77060F" w:rsidR="00061EEA" w:rsidRPr="00061EEA" w:rsidRDefault="00061EEA" w:rsidP="00D47D4A">
      <w:pPr>
        <w:pBdr>
          <w:bottom w:val="single" w:sz="4" w:space="1" w:color="BFBFBF" w:themeColor="background1" w:themeShade="BF"/>
        </w:pBdr>
        <w:ind w:left="-720" w:right="-720"/>
        <w:rPr>
          <w:rFonts w:ascii="Arial" w:eastAsiaTheme="majorEastAsia" w:hAnsi="Arial" w:cs="Arial"/>
        </w:rPr>
      </w:pPr>
      <w:r>
        <w:rPr>
          <w:noProof/>
        </w:rPr>
        <w:drawing>
          <wp:inline distT="0" distB="0" distL="0" distR="0" wp14:anchorId="5B513F5D" wp14:editId="587C1924">
            <wp:extent cx="990434" cy="990434"/>
            <wp:effectExtent l="0" t="0" r="635" b="635"/>
            <wp:docPr id="1" name="Picture 1" descr="Th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99597" cy="999597"/>
                    </a:xfrm>
                    <a:prstGeom prst="rect">
                      <a:avLst/>
                    </a:prstGeom>
                  </pic:spPr>
                </pic:pic>
              </a:graphicData>
            </a:graphic>
          </wp:inline>
        </w:drawing>
      </w:r>
    </w:p>
    <w:p w14:paraId="1C3DFCAA" w14:textId="77777777" w:rsidR="00061EEA" w:rsidRPr="00005C4D" w:rsidRDefault="00061EEA" w:rsidP="00D47D4A">
      <w:pPr>
        <w:ind w:left="-720" w:right="-720"/>
        <w:rPr>
          <w:rFonts w:ascii="Arial" w:eastAsiaTheme="majorEastAsia" w:hAnsi="Arial" w:cs="Arial"/>
          <w:b/>
          <w:sz w:val="22"/>
          <w:szCs w:val="22"/>
        </w:rPr>
      </w:pPr>
      <w:r w:rsidRPr="00005C4D">
        <w:rPr>
          <w:rFonts w:ascii="Arial" w:eastAsiaTheme="majorEastAsia" w:hAnsi="Arial" w:cs="Arial"/>
          <w:b/>
          <w:sz w:val="22"/>
          <w:szCs w:val="22"/>
        </w:rPr>
        <w:t>California Department of Education</w:t>
      </w:r>
    </w:p>
    <w:p w14:paraId="1112C00E" w14:textId="77777777" w:rsidR="00061EEA" w:rsidRPr="00005C4D" w:rsidRDefault="00061EEA" w:rsidP="00D47D4A">
      <w:pPr>
        <w:ind w:left="-720" w:right="-720"/>
        <w:rPr>
          <w:rFonts w:ascii="Arial" w:eastAsiaTheme="majorEastAsia" w:hAnsi="Arial" w:cs="Arial"/>
          <w:szCs w:val="22"/>
        </w:rPr>
      </w:pPr>
      <w:r w:rsidRPr="00005C4D">
        <w:rPr>
          <w:rFonts w:ascii="Arial" w:eastAsiaTheme="majorEastAsia" w:hAnsi="Arial" w:cs="Arial"/>
          <w:b/>
          <w:sz w:val="22"/>
          <w:szCs w:val="22"/>
        </w:rPr>
        <w:t>Tony Thurmond</w:t>
      </w:r>
      <w:r w:rsidRPr="00005C4D">
        <w:rPr>
          <w:rFonts w:ascii="Arial" w:eastAsiaTheme="majorEastAsia" w:hAnsi="Arial" w:cs="Arial"/>
          <w:sz w:val="22"/>
          <w:szCs w:val="22"/>
        </w:rPr>
        <w:t xml:space="preserve">, </w:t>
      </w:r>
      <w:r w:rsidRPr="00005C4D">
        <w:rPr>
          <w:rFonts w:ascii="Arial" w:eastAsiaTheme="majorEastAsia" w:hAnsi="Arial" w:cs="Arial"/>
          <w:i/>
          <w:sz w:val="20"/>
          <w:szCs w:val="22"/>
        </w:rPr>
        <w:t>State Superintendent of Public Instruction</w:t>
      </w:r>
    </w:p>
    <w:p w14:paraId="175E98B4" w14:textId="77777777" w:rsidR="00061EEA" w:rsidRPr="00005C4D" w:rsidRDefault="00061EEA" w:rsidP="00D47D4A">
      <w:pPr>
        <w:ind w:left="-720" w:right="-720"/>
        <w:rPr>
          <w:rFonts w:ascii="Arial" w:eastAsiaTheme="majorEastAsia" w:hAnsi="Arial" w:cs="Arial"/>
          <w:sz w:val="22"/>
          <w:szCs w:val="22"/>
        </w:rPr>
      </w:pPr>
      <w:r w:rsidRPr="00005C4D">
        <w:rPr>
          <w:rFonts w:ascii="Arial" w:eastAsiaTheme="majorEastAsia" w:hAnsi="Arial" w:cs="Arial"/>
          <w:sz w:val="22"/>
          <w:szCs w:val="22"/>
        </w:rPr>
        <w:t>1430 N Street, Sacramento, CA 95814-5901</w:t>
      </w:r>
    </w:p>
    <w:p w14:paraId="2314ED09" w14:textId="77777777" w:rsidR="00061EEA" w:rsidRPr="00005C4D" w:rsidRDefault="00061EEA" w:rsidP="00D47D4A">
      <w:pPr>
        <w:ind w:left="-720" w:right="-720"/>
        <w:rPr>
          <w:rFonts w:ascii="Arial" w:eastAsiaTheme="majorEastAsia" w:hAnsi="Arial" w:cs="Arial"/>
          <w:sz w:val="22"/>
          <w:szCs w:val="22"/>
        </w:rPr>
      </w:pPr>
      <w:r w:rsidRPr="00005C4D">
        <w:rPr>
          <w:rFonts w:ascii="Arial" w:eastAsiaTheme="majorEastAsia" w:hAnsi="Arial" w:cs="Arial"/>
          <w:sz w:val="22"/>
          <w:szCs w:val="22"/>
        </w:rPr>
        <w:t>916-319-0800</w:t>
      </w:r>
    </w:p>
    <w:p w14:paraId="74D63C39" w14:textId="4EEB52A3" w:rsidR="00061EEA" w:rsidRPr="00061EEA" w:rsidRDefault="00061EEA" w:rsidP="00D47D4A">
      <w:pPr>
        <w:pBdr>
          <w:bottom w:val="single" w:sz="4" w:space="1" w:color="BFBFBF" w:themeColor="background1" w:themeShade="BF"/>
        </w:pBdr>
        <w:ind w:left="-720" w:right="-720"/>
        <w:jc w:val="right"/>
        <w:rPr>
          <w:rFonts w:ascii="Arial" w:eastAsiaTheme="majorEastAsia" w:hAnsi="Arial" w:cs="Arial"/>
        </w:rPr>
      </w:pPr>
      <w:r>
        <w:rPr>
          <w:noProof/>
        </w:rPr>
        <w:drawing>
          <wp:inline distT="0" distB="0" distL="0" distR="0" wp14:anchorId="34CE0BF6" wp14:editId="2CE6D9E5">
            <wp:extent cx="981746" cy="990434"/>
            <wp:effectExtent l="0" t="0" r="8890" b="635"/>
            <wp:docPr id="4" name="Picture 4" descr="The 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86214" cy="994941"/>
                    </a:xfrm>
                    <a:prstGeom prst="rect">
                      <a:avLst/>
                    </a:prstGeom>
                  </pic:spPr>
                </pic:pic>
              </a:graphicData>
            </a:graphic>
          </wp:inline>
        </w:drawing>
      </w:r>
    </w:p>
    <w:p w14:paraId="59D13B42" w14:textId="77777777" w:rsidR="00061EEA" w:rsidRPr="00005C4D" w:rsidRDefault="00061EEA" w:rsidP="00D47D4A">
      <w:pPr>
        <w:ind w:left="-720" w:right="-720"/>
        <w:jc w:val="right"/>
        <w:rPr>
          <w:rFonts w:ascii="Arial" w:eastAsiaTheme="majorEastAsia" w:hAnsi="Arial" w:cs="Arial"/>
          <w:b/>
          <w:sz w:val="22"/>
          <w:szCs w:val="22"/>
        </w:rPr>
      </w:pPr>
      <w:r w:rsidRPr="00005C4D">
        <w:rPr>
          <w:rFonts w:ascii="Arial" w:eastAsiaTheme="majorEastAsia" w:hAnsi="Arial" w:cs="Arial"/>
          <w:b/>
          <w:sz w:val="22"/>
          <w:szCs w:val="22"/>
        </w:rPr>
        <w:t>California State Board of Education</w:t>
      </w:r>
    </w:p>
    <w:p w14:paraId="4ADB4A30" w14:textId="77777777" w:rsidR="00061EEA" w:rsidRPr="00005C4D" w:rsidRDefault="00061EEA" w:rsidP="00D47D4A">
      <w:pPr>
        <w:ind w:left="-720" w:right="-720"/>
        <w:jc w:val="right"/>
        <w:rPr>
          <w:rFonts w:ascii="Arial" w:eastAsiaTheme="majorEastAsia" w:hAnsi="Arial" w:cs="Arial"/>
          <w:sz w:val="20"/>
          <w:szCs w:val="22"/>
        </w:rPr>
      </w:pPr>
      <w:r w:rsidRPr="00005C4D">
        <w:rPr>
          <w:rFonts w:ascii="Arial" w:eastAsiaTheme="majorEastAsia" w:hAnsi="Arial" w:cs="Arial"/>
          <w:b/>
          <w:sz w:val="22"/>
          <w:szCs w:val="22"/>
        </w:rPr>
        <w:t>Linda Darling-Hammond</w:t>
      </w:r>
      <w:r w:rsidRPr="00005C4D">
        <w:rPr>
          <w:rFonts w:ascii="Arial" w:eastAsiaTheme="majorEastAsia" w:hAnsi="Arial" w:cs="Arial"/>
          <w:sz w:val="22"/>
          <w:szCs w:val="22"/>
        </w:rPr>
        <w:t xml:space="preserve">, </w:t>
      </w:r>
      <w:r w:rsidRPr="00005C4D">
        <w:rPr>
          <w:rFonts w:ascii="Arial" w:eastAsiaTheme="majorEastAsia" w:hAnsi="Arial" w:cs="Arial"/>
          <w:i/>
          <w:sz w:val="20"/>
          <w:szCs w:val="22"/>
        </w:rPr>
        <w:t>State Board President</w:t>
      </w:r>
    </w:p>
    <w:p w14:paraId="59B9ECE7" w14:textId="77777777" w:rsidR="00061EEA" w:rsidRPr="00005C4D" w:rsidRDefault="00061EEA" w:rsidP="00D47D4A">
      <w:pPr>
        <w:ind w:left="-720" w:right="-720"/>
        <w:jc w:val="right"/>
        <w:rPr>
          <w:rFonts w:ascii="Arial" w:eastAsiaTheme="majorEastAsia" w:hAnsi="Arial" w:cs="Arial"/>
          <w:sz w:val="22"/>
          <w:szCs w:val="22"/>
        </w:rPr>
      </w:pPr>
      <w:r w:rsidRPr="00005C4D">
        <w:rPr>
          <w:rFonts w:ascii="Arial" w:eastAsiaTheme="majorEastAsia" w:hAnsi="Arial" w:cs="Arial"/>
          <w:sz w:val="22"/>
          <w:szCs w:val="22"/>
        </w:rPr>
        <w:t>1430 N Street, Room 5111, Sacramento, CA 95814</w:t>
      </w:r>
    </w:p>
    <w:p w14:paraId="05FDB73C" w14:textId="4CC22F1C" w:rsidR="00061EEA" w:rsidRPr="00005C4D" w:rsidRDefault="00061EEA" w:rsidP="00D47D4A">
      <w:pPr>
        <w:ind w:left="-720" w:right="-720"/>
        <w:jc w:val="right"/>
        <w:rPr>
          <w:rFonts w:ascii="Arial" w:eastAsiaTheme="majorEastAsia" w:hAnsi="Arial" w:cs="Arial"/>
          <w:sz w:val="22"/>
          <w:szCs w:val="22"/>
        </w:rPr>
      </w:pPr>
      <w:r w:rsidRPr="00005C4D">
        <w:rPr>
          <w:rFonts w:ascii="Arial" w:eastAsiaTheme="majorEastAsia" w:hAnsi="Arial" w:cs="Arial"/>
          <w:sz w:val="22"/>
          <w:szCs w:val="22"/>
        </w:rPr>
        <w:t>916-319-0827</w:t>
      </w:r>
    </w:p>
    <w:p w14:paraId="46939C59" w14:textId="77777777" w:rsidR="00005C4D" w:rsidRDefault="00005C4D" w:rsidP="00B9767E">
      <w:pPr>
        <w:ind w:right="-720"/>
        <w:rPr>
          <w:rFonts w:ascii="Arial" w:eastAsiaTheme="majorEastAsia" w:hAnsi="Arial" w:cs="Arial"/>
        </w:rPr>
        <w:sectPr w:rsidR="00005C4D" w:rsidSect="00005C4D">
          <w:type w:val="continuous"/>
          <w:pgSz w:w="12240" w:h="15840" w:code="1"/>
          <w:pgMar w:top="1440" w:right="1440" w:bottom="1440" w:left="1440" w:header="720" w:footer="720" w:gutter="0"/>
          <w:pgNumType w:start="1"/>
          <w:cols w:num="2" w:space="0" w:equalWidth="0">
            <w:col w:w="4752" w:space="0"/>
            <w:col w:w="4608"/>
          </w:cols>
          <w:docGrid w:linePitch="360"/>
        </w:sectPr>
      </w:pPr>
    </w:p>
    <w:p w14:paraId="30C6EA4F" w14:textId="3C14967B" w:rsidR="00B355C5" w:rsidRPr="0020639F" w:rsidRDefault="00B355C5" w:rsidP="0020639F">
      <w:pPr>
        <w:pStyle w:val="Heading1"/>
        <w:spacing w:before="720" w:after="720"/>
        <w:jc w:val="center"/>
        <w:rPr>
          <w:b w:val="0"/>
          <w:sz w:val="24"/>
        </w:rPr>
      </w:pPr>
      <w:r w:rsidRPr="0020639F">
        <w:rPr>
          <w:b w:val="0"/>
          <w:sz w:val="24"/>
        </w:rPr>
        <w:t>DRAFT</w:t>
      </w:r>
      <w:r w:rsidR="006C52F8" w:rsidRPr="0020639F">
        <w:rPr>
          <w:b w:val="0"/>
          <w:sz w:val="24"/>
        </w:rPr>
        <w:t xml:space="preserve"> </w:t>
      </w:r>
      <w:r w:rsidRPr="0020639F">
        <w:rPr>
          <w:b w:val="0"/>
          <w:sz w:val="24"/>
        </w:rPr>
        <w:t>September XX, 2022</w:t>
      </w:r>
    </w:p>
    <w:p w14:paraId="5A179996" w14:textId="77777777" w:rsidR="00B355C5" w:rsidRPr="006C52F8" w:rsidRDefault="00B355C5" w:rsidP="000F763A">
      <w:pPr>
        <w:spacing w:after="240"/>
        <w:contextualSpacing/>
        <w:rPr>
          <w:rFonts w:ascii="Arial" w:eastAsia="Arial" w:hAnsi="Arial" w:cs="Arial"/>
        </w:rPr>
      </w:pPr>
      <w:r w:rsidRPr="006C52F8">
        <w:rPr>
          <w:rFonts w:ascii="Arial" w:eastAsia="Arial" w:hAnsi="Arial" w:cs="Arial"/>
        </w:rPr>
        <w:t>Patrick Rooney, Director</w:t>
      </w:r>
    </w:p>
    <w:p w14:paraId="566BF4DE" w14:textId="77777777" w:rsidR="00B355C5" w:rsidRPr="006C52F8" w:rsidRDefault="00B355C5" w:rsidP="000F763A">
      <w:pPr>
        <w:spacing w:after="240"/>
        <w:contextualSpacing/>
        <w:rPr>
          <w:rFonts w:ascii="Arial" w:eastAsia="Arial" w:hAnsi="Arial" w:cs="Arial"/>
        </w:rPr>
      </w:pPr>
      <w:r w:rsidRPr="006C52F8">
        <w:rPr>
          <w:rFonts w:ascii="Arial" w:eastAsia="Arial" w:hAnsi="Arial" w:cs="Arial"/>
        </w:rPr>
        <w:t xml:space="preserve">School Support and Accountability </w:t>
      </w:r>
    </w:p>
    <w:p w14:paraId="069DDFA3" w14:textId="77777777" w:rsidR="00B355C5" w:rsidRPr="006C52F8" w:rsidRDefault="00B355C5" w:rsidP="000F763A">
      <w:pPr>
        <w:spacing w:after="240"/>
        <w:contextualSpacing/>
        <w:rPr>
          <w:rFonts w:ascii="Arial" w:hAnsi="Arial"/>
        </w:rPr>
      </w:pPr>
      <w:r w:rsidRPr="006C52F8">
        <w:rPr>
          <w:rFonts w:ascii="Arial" w:eastAsia="Arial" w:hAnsi="Arial" w:cs="Arial"/>
        </w:rPr>
        <w:t>Office of Elementary and Secondary Education</w:t>
      </w:r>
    </w:p>
    <w:p w14:paraId="719934C6" w14:textId="77777777" w:rsidR="00B355C5" w:rsidRPr="006C52F8" w:rsidRDefault="00B355C5" w:rsidP="000F763A">
      <w:pPr>
        <w:spacing w:after="240"/>
        <w:contextualSpacing/>
        <w:rPr>
          <w:rFonts w:ascii="Arial" w:eastAsia="Calibri" w:hAnsi="Arial" w:cs="Arial"/>
        </w:rPr>
      </w:pPr>
      <w:r w:rsidRPr="006C52F8">
        <w:rPr>
          <w:rFonts w:ascii="Arial" w:eastAsia="Calibri" w:hAnsi="Arial" w:cs="Arial"/>
        </w:rPr>
        <w:t>U.S. Department of Education</w:t>
      </w:r>
    </w:p>
    <w:p w14:paraId="1D8A717D" w14:textId="77777777" w:rsidR="00B355C5" w:rsidRPr="006C52F8" w:rsidRDefault="00B355C5" w:rsidP="000F763A">
      <w:pPr>
        <w:spacing w:after="240"/>
        <w:contextualSpacing/>
        <w:rPr>
          <w:rFonts w:ascii="Arial" w:eastAsia="Calibri" w:hAnsi="Arial" w:cs="Arial"/>
        </w:rPr>
      </w:pPr>
      <w:r w:rsidRPr="006C52F8">
        <w:rPr>
          <w:rFonts w:ascii="Arial" w:eastAsia="Calibri" w:hAnsi="Arial" w:cs="Arial"/>
        </w:rPr>
        <w:t>400 Maryland Avenue SW</w:t>
      </w:r>
    </w:p>
    <w:p w14:paraId="63308F11" w14:textId="77777777" w:rsidR="00B355C5" w:rsidRPr="006C52F8" w:rsidRDefault="00B355C5" w:rsidP="000F763A">
      <w:pPr>
        <w:spacing w:after="240"/>
        <w:rPr>
          <w:rFonts w:ascii="Arial" w:eastAsia="Calibri" w:hAnsi="Arial" w:cs="Arial"/>
        </w:rPr>
      </w:pPr>
      <w:r w:rsidRPr="006C52F8">
        <w:rPr>
          <w:rFonts w:ascii="Arial" w:eastAsia="Calibri" w:hAnsi="Arial" w:cs="Arial"/>
        </w:rPr>
        <w:t>Washington, DC 20202</w:t>
      </w:r>
    </w:p>
    <w:p w14:paraId="26234D1E" w14:textId="77777777" w:rsidR="00B355C5" w:rsidRPr="006C52F8" w:rsidRDefault="00B355C5" w:rsidP="000F763A">
      <w:pPr>
        <w:spacing w:after="240"/>
        <w:contextualSpacing/>
        <w:rPr>
          <w:rFonts w:ascii="Arial" w:eastAsia="Calibri" w:hAnsi="Arial" w:cs="Arial"/>
        </w:rPr>
      </w:pPr>
      <w:r w:rsidRPr="006C52F8">
        <w:rPr>
          <w:rFonts w:ascii="Arial" w:eastAsia="Calibri" w:hAnsi="Arial" w:cs="Arial"/>
        </w:rPr>
        <w:t xml:space="preserve">David Cantrell, Ph.D., Acting Director </w:t>
      </w:r>
    </w:p>
    <w:p w14:paraId="335232F1" w14:textId="77777777" w:rsidR="00B355C5" w:rsidRPr="006C52F8" w:rsidRDefault="00B355C5" w:rsidP="000F763A">
      <w:pPr>
        <w:spacing w:after="240"/>
        <w:contextualSpacing/>
        <w:rPr>
          <w:rFonts w:ascii="Arial" w:eastAsia="Calibri" w:hAnsi="Arial" w:cs="Arial"/>
        </w:rPr>
      </w:pPr>
      <w:r w:rsidRPr="006C52F8">
        <w:rPr>
          <w:rFonts w:ascii="Arial" w:eastAsia="Calibri" w:hAnsi="Arial" w:cs="Arial"/>
        </w:rPr>
        <w:t>Office of Special Education Programs</w:t>
      </w:r>
    </w:p>
    <w:p w14:paraId="7379267B" w14:textId="77777777" w:rsidR="00B355C5" w:rsidRPr="006C52F8" w:rsidRDefault="00B355C5" w:rsidP="000F763A">
      <w:pPr>
        <w:spacing w:after="240"/>
        <w:contextualSpacing/>
        <w:rPr>
          <w:rFonts w:ascii="Arial" w:eastAsia="Calibri" w:hAnsi="Arial" w:cs="Arial"/>
        </w:rPr>
      </w:pPr>
      <w:r w:rsidRPr="006C52F8">
        <w:rPr>
          <w:rFonts w:ascii="Arial" w:eastAsia="Calibri" w:hAnsi="Arial" w:cs="Arial"/>
        </w:rPr>
        <w:t xml:space="preserve">Office of Special Education and Rehabilitative Services </w:t>
      </w:r>
    </w:p>
    <w:p w14:paraId="09C64236" w14:textId="77777777" w:rsidR="00B355C5" w:rsidRPr="006C52F8" w:rsidRDefault="00B355C5" w:rsidP="000F763A">
      <w:pPr>
        <w:spacing w:after="240"/>
        <w:contextualSpacing/>
        <w:rPr>
          <w:rFonts w:ascii="Arial" w:eastAsia="Calibri" w:hAnsi="Arial" w:cs="Arial"/>
        </w:rPr>
      </w:pPr>
      <w:r w:rsidRPr="006C52F8">
        <w:rPr>
          <w:rFonts w:ascii="Arial" w:eastAsia="Calibri" w:hAnsi="Arial" w:cs="Arial"/>
        </w:rPr>
        <w:t>U.S. Department of Education</w:t>
      </w:r>
    </w:p>
    <w:p w14:paraId="15E6B91B" w14:textId="77777777" w:rsidR="00B355C5" w:rsidRPr="006C52F8" w:rsidRDefault="00B355C5" w:rsidP="000F763A">
      <w:pPr>
        <w:spacing w:after="240"/>
        <w:contextualSpacing/>
        <w:rPr>
          <w:rFonts w:ascii="Arial" w:eastAsia="Calibri" w:hAnsi="Arial" w:cs="Arial"/>
        </w:rPr>
      </w:pPr>
      <w:r w:rsidRPr="006C52F8">
        <w:rPr>
          <w:rFonts w:ascii="Arial" w:eastAsia="Calibri" w:hAnsi="Arial" w:cs="Arial"/>
        </w:rPr>
        <w:t>400 Maryland Avenue SW</w:t>
      </w:r>
    </w:p>
    <w:p w14:paraId="4F581015" w14:textId="77777777" w:rsidR="00B355C5" w:rsidRPr="006C52F8" w:rsidRDefault="00B355C5" w:rsidP="000F763A">
      <w:pPr>
        <w:spacing w:after="240"/>
        <w:rPr>
          <w:rFonts w:ascii="Arial" w:eastAsia="Calibri" w:hAnsi="Arial" w:cs="Arial"/>
        </w:rPr>
      </w:pPr>
      <w:r w:rsidRPr="006C52F8">
        <w:rPr>
          <w:rFonts w:ascii="Arial" w:eastAsia="Calibri" w:hAnsi="Arial" w:cs="Arial"/>
        </w:rPr>
        <w:t>Washington, DC 20202</w:t>
      </w:r>
    </w:p>
    <w:p w14:paraId="10BFB4A1" w14:textId="77777777" w:rsidR="00B355C5" w:rsidRPr="006C52F8" w:rsidRDefault="00B355C5" w:rsidP="000F763A">
      <w:pPr>
        <w:spacing w:after="240"/>
        <w:rPr>
          <w:rFonts w:ascii="Arial" w:eastAsia="Calibri" w:hAnsi="Arial" w:cs="Arial"/>
        </w:rPr>
      </w:pPr>
      <w:r w:rsidRPr="006C52F8">
        <w:rPr>
          <w:rFonts w:ascii="Arial" w:eastAsia="Calibri" w:hAnsi="Arial" w:cs="Arial"/>
        </w:rPr>
        <w:t>Dear Director Rooney and Dr. Cantrell:</w:t>
      </w:r>
    </w:p>
    <w:p w14:paraId="6B2446B1" w14:textId="0C8E9039" w:rsidR="00B355C5" w:rsidRPr="006C52F8" w:rsidRDefault="00B355C5" w:rsidP="000F763A">
      <w:pPr>
        <w:spacing w:after="240"/>
        <w:rPr>
          <w:rFonts w:ascii="Arial" w:eastAsia="Arial" w:hAnsi="Arial" w:cs="Arial"/>
          <w:color w:val="000000" w:themeColor="text1"/>
        </w:rPr>
      </w:pPr>
      <w:r w:rsidRPr="006C52F8">
        <w:rPr>
          <w:rFonts w:ascii="Arial" w:eastAsia="Arial" w:hAnsi="Arial" w:cs="Arial"/>
          <w:color w:val="000000" w:themeColor="text1"/>
        </w:rPr>
        <w:t xml:space="preserve">Please find attached California’s waiver request pursuant to </w:t>
      </w:r>
      <w:r w:rsidRPr="006C52F8">
        <w:rPr>
          <w:rFonts w:ascii="Arial" w:eastAsia="Arial" w:hAnsi="Arial" w:cs="Arial"/>
          <w:i/>
          <w:iCs/>
          <w:color w:val="000000" w:themeColor="text1"/>
        </w:rPr>
        <w:t>Code of Federal Regulations</w:t>
      </w:r>
      <w:r w:rsidRPr="006C52F8">
        <w:rPr>
          <w:rFonts w:ascii="Arial" w:eastAsia="Arial" w:hAnsi="Arial" w:cs="Arial"/>
          <w:color w:val="000000" w:themeColor="text1"/>
        </w:rPr>
        <w:t xml:space="preserve">, Title 34 (34 </w:t>
      </w:r>
      <w:r w:rsidRPr="006C52F8">
        <w:rPr>
          <w:rFonts w:ascii="Arial" w:eastAsia="Arial" w:hAnsi="Arial" w:cs="Arial"/>
          <w:i/>
          <w:iCs/>
          <w:color w:val="000000" w:themeColor="text1"/>
        </w:rPr>
        <w:t>CFR</w:t>
      </w:r>
      <w:r w:rsidRPr="006C52F8">
        <w:rPr>
          <w:rFonts w:ascii="Arial" w:eastAsia="Arial" w:hAnsi="Arial" w:cs="Arial"/>
          <w:color w:val="000000" w:themeColor="text1"/>
        </w:rPr>
        <w:t xml:space="preserve">), Section 200.6(c)(4), which requires that, for each subject for which assessments are administered, the total number of eligible students assessed in that subject using an alternate assessment aligned with alternate academic achievement standards (AA-AAAS) may not exceed 1.0 percent of the total number of students in California who are assessed in that subject. Data analysis indicates that the submission of a waiver is warranted for English language arts (ELA), mathematics, and science for the 2022–23 school year (page </w:t>
      </w:r>
      <w:r w:rsidR="008327EB" w:rsidRPr="006C52F8">
        <w:rPr>
          <w:rFonts w:ascii="Arial" w:eastAsia="Arial" w:hAnsi="Arial" w:cs="Arial"/>
          <w:color w:val="000000" w:themeColor="text1"/>
        </w:rPr>
        <w:t>3</w:t>
      </w:r>
      <w:r w:rsidRPr="006C52F8">
        <w:rPr>
          <w:rFonts w:ascii="Arial" w:eastAsia="Arial" w:hAnsi="Arial" w:cs="Arial"/>
          <w:color w:val="000000" w:themeColor="text1"/>
        </w:rPr>
        <w:t xml:space="preserve">). </w:t>
      </w:r>
    </w:p>
    <w:p w14:paraId="761D2B01" w14:textId="7550350C" w:rsidR="00653433" w:rsidRPr="0020639F" w:rsidRDefault="00653433" w:rsidP="0020639F">
      <w:pPr>
        <w:rPr>
          <w:rFonts w:eastAsia="Arial"/>
        </w:rPr>
      </w:pPr>
      <w:r w:rsidRPr="0020639F">
        <w:rPr>
          <w:rFonts w:eastAsia="Arial"/>
        </w:rPr>
        <w:br w:type="page"/>
      </w:r>
    </w:p>
    <w:p w14:paraId="3C55C775" w14:textId="55A2D29C" w:rsidR="00B355C5" w:rsidRPr="006C52F8" w:rsidRDefault="00B355C5" w:rsidP="000F763A">
      <w:pPr>
        <w:spacing w:after="240"/>
        <w:rPr>
          <w:rFonts w:ascii="Arial" w:eastAsia="Arial" w:hAnsi="Arial" w:cs="Arial"/>
          <w:color w:val="000000" w:themeColor="text1"/>
        </w:rPr>
      </w:pPr>
      <w:r w:rsidRPr="006C52F8">
        <w:rPr>
          <w:rFonts w:ascii="Arial" w:eastAsia="Arial" w:hAnsi="Arial" w:cs="Arial"/>
          <w:color w:val="000000" w:themeColor="text1"/>
        </w:rPr>
        <w:lastRenderedPageBreak/>
        <w:t xml:space="preserve">For more information or questions about the attached waiver requests for the 2022–23 school year, please contact Cheryl Cotton, Deputy Superintendent, by email at </w:t>
      </w:r>
      <w:hyperlink r:id="rId32" w:history="1">
        <w:r w:rsidRPr="006C52F8">
          <w:rPr>
            <w:rFonts w:ascii="Arial" w:eastAsia="Calibri" w:hAnsi="Arial" w:cs="Arial"/>
            <w:color w:val="0000FF"/>
            <w:u w:val="single"/>
          </w:rPr>
          <w:t>CCotton@cde.ca.gov</w:t>
        </w:r>
      </w:hyperlink>
      <w:r w:rsidRPr="006C52F8">
        <w:rPr>
          <w:rFonts w:ascii="Arial" w:eastAsia="Calibri" w:hAnsi="Arial" w:cs="Arial"/>
        </w:rPr>
        <w:t xml:space="preserve"> </w:t>
      </w:r>
      <w:r w:rsidRPr="006C52F8">
        <w:rPr>
          <w:rFonts w:ascii="Arial" w:eastAsia="Arial" w:hAnsi="Arial" w:cs="Arial"/>
          <w:color w:val="000000" w:themeColor="text1"/>
        </w:rPr>
        <w:t>or by phone at 916-323-6398.</w:t>
      </w:r>
    </w:p>
    <w:p w14:paraId="21C9139A" w14:textId="77777777" w:rsidR="00B355C5" w:rsidRPr="006C52F8" w:rsidRDefault="00B355C5" w:rsidP="00B355C5">
      <w:pPr>
        <w:tabs>
          <w:tab w:val="left" w:pos="0"/>
        </w:tabs>
        <w:spacing w:after="240"/>
        <w:ind w:right="1440"/>
        <w:rPr>
          <w:rFonts w:ascii="Arial" w:hAnsi="Arial"/>
          <w:noProof/>
        </w:rPr>
      </w:pPr>
      <w:r w:rsidRPr="006C52F8">
        <w:rPr>
          <w:rFonts w:ascii="Arial" w:eastAsia="Calibri" w:hAnsi="Arial" w:cs="Arial"/>
        </w:rPr>
        <w:t>Sincerely,</w:t>
      </w:r>
      <w:r w:rsidRPr="006C52F8">
        <w:rPr>
          <w:rFonts w:ascii="Arial" w:hAnsi="Arial"/>
          <w:noProof/>
        </w:rPr>
        <w:t xml:space="preserve"> </w:t>
      </w:r>
    </w:p>
    <w:tbl>
      <w:tblPr>
        <w:tblStyle w:val="TableGrid1"/>
        <w:tblW w:w="1001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4860"/>
      </w:tblGrid>
      <w:tr w:rsidR="00042EA8" w:rsidRPr="006C52F8" w14:paraId="1B26FE40" w14:textId="77777777" w:rsidTr="00D2434F">
        <w:trPr>
          <w:trHeight w:val="1169"/>
        </w:trPr>
        <w:tc>
          <w:tcPr>
            <w:tcW w:w="5151" w:type="dxa"/>
          </w:tcPr>
          <w:p w14:paraId="3A284EDA" w14:textId="77777777" w:rsidR="000F763A" w:rsidRPr="006C52F8" w:rsidRDefault="00B355C5" w:rsidP="000F763A">
            <w:pPr>
              <w:tabs>
                <w:tab w:val="left" w:pos="0"/>
              </w:tabs>
              <w:spacing w:after="240"/>
              <w:rPr>
                <w:rFonts w:ascii="Arial" w:eastAsia="Calibri" w:hAnsi="Arial" w:cs="Arial"/>
              </w:rPr>
            </w:pPr>
            <w:r w:rsidRPr="006C52F8">
              <w:rPr>
                <w:rFonts w:ascii="Arial" w:eastAsia="Calibri" w:hAnsi="Arial" w:cs="Arial"/>
              </w:rPr>
              <w:t>[</w:t>
            </w:r>
            <w:r w:rsidRPr="006C52F8">
              <w:rPr>
                <w:rFonts w:ascii="Arial" w:eastAsia="Calibri" w:hAnsi="Arial" w:cs="Arial"/>
                <w:b/>
                <w:color w:val="CC0000"/>
              </w:rPr>
              <w:t>Signature</w:t>
            </w:r>
            <w:r w:rsidRPr="006C52F8">
              <w:rPr>
                <w:rFonts w:ascii="Arial" w:eastAsia="Calibri" w:hAnsi="Arial" w:cs="Arial"/>
              </w:rPr>
              <w:t>]</w:t>
            </w:r>
          </w:p>
          <w:p w14:paraId="71B1E72F" w14:textId="77777777" w:rsidR="00B355C5" w:rsidRPr="006C52F8" w:rsidRDefault="00B355C5" w:rsidP="000F763A">
            <w:pPr>
              <w:tabs>
                <w:tab w:val="left" w:pos="0"/>
              </w:tabs>
              <w:spacing w:after="240"/>
              <w:contextualSpacing/>
              <w:rPr>
                <w:rFonts w:ascii="Arial" w:hAnsi="Arial"/>
              </w:rPr>
            </w:pPr>
            <w:r w:rsidRPr="006C52F8">
              <w:rPr>
                <w:rFonts w:ascii="Arial" w:eastAsia="Calibri" w:hAnsi="Arial" w:cs="Arial"/>
              </w:rPr>
              <w:t>Tony Thurmond</w:t>
            </w:r>
          </w:p>
          <w:p w14:paraId="50FEDD53" w14:textId="77777777" w:rsidR="00B355C5" w:rsidRPr="006C52F8" w:rsidRDefault="00B355C5" w:rsidP="000F763A">
            <w:pPr>
              <w:tabs>
                <w:tab w:val="left" w:pos="0"/>
              </w:tabs>
              <w:spacing w:after="240"/>
              <w:contextualSpacing/>
              <w:rPr>
                <w:rFonts w:ascii="Arial" w:eastAsia="Calibri" w:hAnsi="Arial" w:cs="Arial"/>
              </w:rPr>
            </w:pPr>
            <w:r w:rsidRPr="006C52F8">
              <w:rPr>
                <w:rFonts w:ascii="Arial" w:eastAsia="Calibri" w:hAnsi="Arial" w:cs="Arial"/>
              </w:rPr>
              <w:t>State Superintendent of Public Instruction</w:t>
            </w:r>
          </w:p>
          <w:p w14:paraId="5C7D9EAE" w14:textId="77777777" w:rsidR="00B355C5" w:rsidRPr="006C52F8" w:rsidRDefault="00B355C5" w:rsidP="000F763A">
            <w:pPr>
              <w:tabs>
                <w:tab w:val="left" w:pos="0"/>
              </w:tabs>
              <w:spacing w:after="240"/>
              <w:contextualSpacing/>
              <w:rPr>
                <w:rFonts w:ascii="Arial" w:hAnsi="Arial"/>
              </w:rPr>
            </w:pPr>
            <w:r w:rsidRPr="006C52F8">
              <w:rPr>
                <w:rFonts w:ascii="Arial" w:eastAsia="Calibri" w:hAnsi="Arial" w:cs="Arial"/>
              </w:rPr>
              <w:t>California Department of Education</w:t>
            </w:r>
            <w:r w:rsidRPr="006C52F8">
              <w:rPr>
                <w:rFonts w:ascii="Arial" w:hAnsi="Arial"/>
              </w:rPr>
              <w:t xml:space="preserve"> </w:t>
            </w:r>
          </w:p>
          <w:p w14:paraId="5A3D57C5" w14:textId="77777777" w:rsidR="00B355C5" w:rsidRPr="006C52F8" w:rsidRDefault="00B355C5" w:rsidP="000F763A">
            <w:pPr>
              <w:tabs>
                <w:tab w:val="left" w:pos="0"/>
              </w:tabs>
              <w:spacing w:after="240"/>
              <w:rPr>
                <w:rFonts w:ascii="Arial" w:hAnsi="Arial"/>
              </w:rPr>
            </w:pPr>
          </w:p>
        </w:tc>
        <w:tc>
          <w:tcPr>
            <w:tcW w:w="4860" w:type="dxa"/>
          </w:tcPr>
          <w:p w14:paraId="7E5D033E" w14:textId="77777777" w:rsidR="00B355C5" w:rsidRPr="006C52F8" w:rsidRDefault="00B355C5" w:rsidP="000F763A">
            <w:pPr>
              <w:tabs>
                <w:tab w:val="left" w:pos="0"/>
              </w:tabs>
              <w:spacing w:after="240"/>
              <w:rPr>
                <w:rFonts w:ascii="Arial" w:eastAsia="Calibri" w:hAnsi="Arial" w:cs="Arial"/>
              </w:rPr>
            </w:pPr>
            <w:r w:rsidRPr="006C52F8">
              <w:rPr>
                <w:rFonts w:ascii="Arial" w:eastAsia="Calibri" w:hAnsi="Arial" w:cs="Arial"/>
              </w:rPr>
              <w:t>[</w:t>
            </w:r>
            <w:r w:rsidRPr="006C52F8">
              <w:rPr>
                <w:rFonts w:ascii="Arial" w:eastAsia="Calibri" w:hAnsi="Arial" w:cs="Arial"/>
                <w:b/>
                <w:color w:val="CC0000"/>
              </w:rPr>
              <w:t>Signature</w:t>
            </w:r>
            <w:r w:rsidRPr="006C52F8">
              <w:rPr>
                <w:rFonts w:ascii="Arial" w:eastAsia="Calibri" w:hAnsi="Arial" w:cs="Arial"/>
              </w:rPr>
              <w:t>]</w:t>
            </w:r>
          </w:p>
          <w:p w14:paraId="51526A31" w14:textId="68AEA1CA" w:rsidR="00B355C5" w:rsidRPr="006C52F8" w:rsidRDefault="00B355C5" w:rsidP="000F763A">
            <w:pPr>
              <w:tabs>
                <w:tab w:val="left" w:pos="0"/>
              </w:tabs>
              <w:spacing w:after="240"/>
              <w:contextualSpacing/>
              <w:rPr>
                <w:rFonts w:ascii="Arial" w:hAnsi="Arial"/>
              </w:rPr>
            </w:pPr>
            <w:r w:rsidRPr="006C52F8">
              <w:rPr>
                <w:rFonts w:ascii="Arial" w:hAnsi="Arial"/>
              </w:rPr>
              <w:t>Linda Darling-Hammond</w:t>
            </w:r>
          </w:p>
          <w:p w14:paraId="61C0BFA0" w14:textId="77777777" w:rsidR="00B355C5" w:rsidRPr="006C52F8" w:rsidRDefault="00B355C5" w:rsidP="000F763A">
            <w:pPr>
              <w:tabs>
                <w:tab w:val="left" w:pos="0"/>
              </w:tabs>
              <w:spacing w:after="240"/>
              <w:contextualSpacing/>
              <w:rPr>
                <w:rFonts w:ascii="Arial" w:hAnsi="Arial"/>
              </w:rPr>
            </w:pPr>
            <w:r w:rsidRPr="006C52F8">
              <w:rPr>
                <w:rFonts w:ascii="Arial" w:eastAsia="Calibri" w:hAnsi="Arial" w:cs="Arial"/>
              </w:rPr>
              <w:t>President</w:t>
            </w:r>
          </w:p>
          <w:p w14:paraId="3A84578F" w14:textId="43A89D44" w:rsidR="00B355C5" w:rsidRPr="006C52F8" w:rsidRDefault="00F07B40" w:rsidP="000F763A">
            <w:pPr>
              <w:tabs>
                <w:tab w:val="left" w:pos="0"/>
              </w:tabs>
              <w:spacing w:after="240"/>
              <w:contextualSpacing/>
              <w:rPr>
                <w:rFonts w:ascii="Arial" w:eastAsia="Calibri" w:hAnsi="Arial" w:cs="Arial"/>
              </w:rPr>
            </w:pPr>
            <w:r w:rsidRPr="006C52F8">
              <w:rPr>
                <w:rFonts w:ascii="Arial" w:eastAsia="Calibri" w:hAnsi="Arial" w:cs="Arial"/>
              </w:rPr>
              <w:t xml:space="preserve">California </w:t>
            </w:r>
            <w:r w:rsidR="00B355C5" w:rsidRPr="006C52F8">
              <w:rPr>
                <w:rFonts w:ascii="Arial" w:eastAsia="Calibri" w:hAnsi="Arial" w:cs="Arial"/>
              </w:rPr>
              <w:t>State Board of Education</w:t>
            </w:r>
          </w:p>
          <w:p w14:paraId="021FDB26" w14:textId="77777777" w:rsidR="00B355C5" w:rsidRPr="006C52F8" w:rsidRDefault="00B355C5" w:rsidP="000F763A">
            <w:pPr>
              <w:tabs>
                <w:tab w:val="left" w:pos="0"/>
              </w:tabs>
              <w:spacing w:after="240"/>
              <w:rPr>
                <w:rFonts w:ascii="Arial" w:hAnsi="Arial"/>
              </w:rPr>
            </w:pPr>
          </w:p>
        </w:tc>
      </w:tr>
    </w:tbl>
    <w:p w14:paraId="41F48EA1" w14:textId="77777777" w:rsidR="00B355C5" w:rsidRPr="006C52F8" w:rsidRDefault="00B355C5" w:rsidP="00B355C5">
      <w:pPr>
        <w:tabs>
          <w:tab w:val="left" w:pos="0"/>
        </w:tabs>
        <w:spacing w:after="240"/>
        <w:ind w:right="1440"/>
        <w:rPr>
          <w:rFonts w:ascii="Arial" w:eastAsia="Calibri" w:hAnsi="Arial" w:cs="Arial"/>
        </w:rPr>
      </w:pPr>
      <w:r w:rsidRPr="006C52F8">
        <w:rPr>
          <w:rFonts w:ascii="Arial" w:eastAsia="Calibri" w:hAnsi="Arial" w:cs="Arial"/>
        </w:rPr>
        <w:t>TT/</w:t>
      </w:r>
      <w:proofErr w:type="spellStart"/>
      <w:r w:rsidRPr="006C52F8">
        <w:rPr>
          <w:rFonts w:ascii="Arial" w:eastAsia="Calibri" w:hAnsi="Arial" w:cs="Arial"/>
        </w:rPr>
        <w:t>LDH:tdb</w:t>
      </w:r>
      <w:proofErr w:type="spellEnd"/>
    </w:p>
    <w:p w14:paraId="5E109BDD" w14:textId="77777777" w:rsidR="00B355C5" w:rsidRPr="006C52F8" w:rsidRDefault="00B355C5" w:rsidP="00B355C5">
      <w:pPr>
        <w:tabs>
          <w:tab w:val="left" w:pos="0"/>
        </w:tabs>
        <w:spacing w:after="240"/>
        <w:ind w:right="1440"/>
        <w:rPr>
          <w:rFonts w:ascii="Arial" w:eastAsia="Calibri" w:hAnsi="Arial" w:cs="Arial"/>
        </w:rPr>
      </w:pPr>
      <w:r w:rsidRPr="006C52F8">
        <w:rPr>
          <w:rFonts w:ascii="Arial" w:eastAsia="Calibri" w:hAnsi="Arial" w:cs="Arial"/>
        </w:rPr>
        <w:t>Attachment</w:t>
      </w:r>
    </w:p>
    <w:p w14:paraId="3E386446" w14:textId="77777777" w:rsidR="00B355C5" w:rsidRPr="0020639F" w:rsidRDefault="00B355C5" w:rsidP="0020639F">
      <w:pPr>
        <w:rPr>
          <w:rFonts w:eastAsia="Arial"/>
        </w:rPr>
      </w:pPr>
      <w:r w:rsidRPr="0020639F">
        <w:rPr>
          <w:rFonts w:eastAsia="Arial"/>
        </w:rPr>
        <w:br w:type="page"/>
      </w:r>
    </w:p>
    <w:p w14:paraId="7E65EC77" w14:textId="77777777" w:rsidR="00B355C5" w:rsidRPr="006C52F8" w:rsidRDefault="00B355C5" w:rsidP="00B355C5">
      <w:pPr>
        <w:keepNext/>
        <w:keepLines/>
        <w:spacing w:before="240" w:after="240"/>
        <w:jc w:val="center"/>
        <w:outlineLvl w:val="1"/>
        <w:rPr>
          <w:rFonts w:ascii="Arial" w:eastAsia="Arial" w:hAnsi="Arial" w:cs="Arial"/>
          <w:b/>
          <w:sz w:val="32"/>
          <w:szCs w:val="36"/>
        </w:rPr>
      </w:pPr>
      <w:r w:rsidRPr="006C52F8">
        <w:rPr>
          <w:rFonts w:ascii="Arial" w:eastAsia="Arial" w:hAnsi="Arial" w:cs="Arial"/>
          <w:b/>
          <w:sz w:val="32"/>
          <w:szCs w:val="36"/>
        </w:rPr>
        <w:lastRenderedPageBreak/>
        <w:t>Waiver Requests</w:t>
      </w:r>
    </w:p>
    <w:p w14:paraId="272D7E1A" w14:textId="77777777" w:rsidR="00B355C5" w:rsidRPr="006C52F8" w:rsidRDefault="00B355C5" w:rsidP="00B355C5">
      <w:pPr>
        <w:spacing w:after="240"/>
        <w:contextualSpacing/>
        <w:jc w:val="center"/>
        <w:rPr>
          <w:rFonts w:ascii="Arial" w:eastAsia="Arial" w:hAnsi="Arial" w:cs="Arial"/>
          <w:color w:val="000000" w:themeColor="text1"/>
        </w:rPr>
      </w:pPr>
      <w:r w:rsidRPr="006C52F8">
        <w:rPr>
          <w:rFonts w:ascii="Arial" w:eastAsia="Arial" w:hAnsi="Arial" w:cs="Arial"/>
          <w:color w:val="000000" w:themeColor="text1"/>
        </w:rPr>
        <w:t>California Department of Education</w:t>
      </w:r>
    </w:p>
    <w:p w14:paraId="174B8271" w14:textId="77777777" w:rsidR="00B355C5" w:rsidRPr="006C52F8" w:rsidRDefault="00B355C5" w:rsidP="00B355C5">
      <w:pPr>
        <w:spacing w:after="240"/>
        <w:contextualSpacing/>
        <w:jc w:val="center"/>
        <w:rPr>
          <w:rFonts w:ascii="Arial" w:eastAsia="Arial" w:hAnsi="Arial" w:cs="Arial"/>
          <w:color w:val="000000" w:themeColor="text1"/>
        </w:rPr>
      </w:pPr>
      <w:r w:rsidRPr="006C52F8">
        <w:rPr>
          <w:rFonts w:ascii="Arial" w:eastAsia="Arial" w:hAnsi="Arial" w:cs="Arial"/>
          <w:color w:val="000000" w:themeColor="text1"/>
        </w:rPr>
        <w:t>Alternate Assessment Aligned with Alternate Academic Achievement Standards</w:t>
      </w:r>
    </w:p>
    <w:p w14:paraId="46D7D81B" w14:textId="77777777" w:rsidR="00B355C5" w:rsidRPr="006C52F8" w:rsidRDefault="00B355C5" w:rsidP="00B355C5">
      <w:pPr>
        <w:spacing w:after="240"/>
        <w:jc w:val="center"/>
        <w:rPr>
          <w:rFonts w:ascii="Arial" w:eastAsia="Arial" w:hAnsi="Arial" w:cs="Arial"/>
          <w:color w:val="000000" w:themeColor="text1"/>
        </w:rPr>
      </w:pPr>
      <w:r w:rsidRPr="006C52F8">
        <w:rPr>
          <w:rFonts w:ascii="Arial" w:eastAsia="Arial" w:hAnsi="Arial" w:cs="Arial"/>
          <w:color w:val="000000" w:themeColor="text1"/>
        </w:rPr>
        <w:t xml:space="preserve">Pursuant to </w:t>
      </w:r>
      <w:r w:rsidRPr="006C52F8">
        <w:rPr>
          <w:rFonts w:ascii="Arial" w:eastAsia="Arial" w:hAnsi="Arial" w:cs="Arial"/>
          <w:i/>
          <w:iCs/>
          <w:color w:val="000000" w:themeColor="text1"/>
        </w:rPr>
        <w:t>Code of Federal Regulations</w:t>
      </w:r>
      <w:r w:rsidRPr="006C52F8">
        <w:rPr>
          <w:rFonts w:ascii="Arial" w:eastAsia="Arial" w:hAnsi="Arial" w:cs="Arial"/>
          <w:color w:val="000000" w:themeColor="text1"/>
        </w:rPr>
        <w:t>, Title 34, Section 200.6 (c)(4)</w:t>
      </w:r>
    </w:p>
    <w:p w14:paraId="618A6058" w14:textId="00AEAEF7" w:rsidR="00B355C5" w:rsidRPr="006C52F8" w:rsidRDefault="003C0DB0" w:rsidP="000F763A">
      <w:pPr>
        <w:spacing w:after="160"/>
        <w:jc w:val="center"/>
        <w:rPr>
          <w:rFonts w:ascii="Arial" w:eastAsia="Arial" w:hAnsi="Arial" w:cs="Arial"/>
          <w:color w:val="000000" w:themeColor="text1"/>
        </w:rPr>
      </w:pPr>
      <w:r w:rsidRPr="006C52F8">
        <w:rPr>
          <w:rFonts w:ascii="Arial" w:eastAsia="Arial" w:hAnsi="Arial" w:cs="Arial"/>
          <w:color w:val="000000" w:themeColor="text1"/>
        </w:rPr>
        <w:t>DRAFT</w:t>
      </w:r>
      <w:r w:rsidR="006C52F8" w:rsidRPr="006C52F8">
        <w:rPr>
          <w:rFonts w:ascii="Arial" w:eastAsia="Arial" w:hAnsi="Arial" w:cs="Arial"/>
          <w:color w:val="000000" w:themeColor="text1"/>
        </w:rPr>
        <w:t xml:space="preserve"> </w:t>
      </w:r>
      <w:r w:rsidR="004B1D31" w:rsidRPr="006C52F8">
        <w:rPr>
          <w:rFonts w:ascii="Arial" w:eastAsia="Arial" w:hAnsi="Arial" w:cs="Arial"/>
          <w:color w:val="000000" w:themeColor="text1"/>
        </w:rPr>
        <w:t>September</w:t>
      </w:r>
      <w:r w:rsidRPr="006C52F8">
        <w:rPr>
          <w:rFonts w:ascii="Arial" w:eastAsia="Arial" w:hAnsi="Arial" w:cs="Arial"/>
          <w:color w:val="000000" w:themeColor="text1"/>
        </w:rPr>
        <w:t xml:space="preserve"> </w:t>
      </w:r>
      <w:r w:rsidR="00B355C5" w:rsidRPr="006C52F8">
        <w:rPr>
          <w:rFonts w:ascii="Arial" w:eastAsia="Arial" w:hAnsi="Arial" w:cs="Arial"/>
          <w:color w:val="000000" w:themeColor="text1"/>
        </w:rPr>
        <w:t>XX, 2022</w:t>
      </w:r>
    </w:p>
    <w:p w14:paraId="149EF653" w14:textId="4F6928DD"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 xml:space="preserve">Title 1 of the Elementary and Secondary Education Act of 1965 (ESEA), as amended by the Every Student Succeeds Act of 2015 (ESSA) (ESEA Section111[b][2][D] and </w:t>
      </w:r>
      <w:r w:rsidRPr="006C52F8">
        <w:rPr>
          <w:rFonts w:ascii="Arial" w:eastAsia="Arial" w:hAnsi="Arial" w:cs="Arial"/>
          <w:i/>
          <w:iCs/>
          <w:color w:val="000000" w:themeColor="text1"/>
        </w:rPr>
        <w:t>Code of Federal Regulations</w:t>
      </w:r>
      <w:r w:rsidRPr="006C52F8">
        <w:rPr>
          <w:rFonts w:ascii="Arial" w:eastAsia="Arial" w:hAnsi="Arial" w:cs="Arial"/>
          <w:color w:val="000000" w:themeColor="text1"/>
        </w:rPr>
        <w:t xml:space="preserve">, Title 34 [34 </w:t>
      </w:r>
      <w:r w:rsidRPr="006C52F8">
        <w:rPr>
          <w:rFonts w:ascii="Arial" w:eastAsia="Arial" w:hAnsi="Arial" w:cs="Arial"/>
          <w:i/>
          <w:iCs/>
          <w:color w:val="000000" w:themeColor="text1"/>
        </w:rPr>
        <w:t>CFR</w:t>
      </w:r>
      <w:r w:rsidRPr="006C52F8">
        <w:rPr>
          <w:rFonts w:ascii="Arial" w:eastAsia="Arial" w:hAnsi="Arial" w:cs="Arial"/>
          <w:color w:val="000000" w:themeColor="text1"/>
        </w:rPr>
        <w:t>] Section 200.6[c] and [d]), modifies the provision that eligible students with the most significant cognitive disabilities may participate in alternate assessments based on alternate academic achievement standards (AA-AAAS). ESSA places a 1.0 percent cap on the number of eligible students who may participate in alternate assessments. States that anticipate exceeding the 1.0 percent cap must submit a waiver request to the U.S. Department of Education (ED).</w:t>
      </w:r>
    </w:p>
    <w:p w14:paraId="315C8646" w14:textId="184FB185"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 xml:space="preserve">The California Alternate Assessments (CAAs) are California’s AA-AAAS. On behalf of the California State Board of Education (SBE), the California Department of Education (CDE) is submitting the required waiver request for the anticipated greater than 1.0 percent participation </w:t>
      </w:r>
      <w:r w:rsidR="00C66BB4" w:rsidRPr="006C52F8">
        <w:rPr>
          <w:rFonts w:ascii="Arial" w:eastAsia="Arial" w:hAnsi="Arial" w:cs="Arial"/>
          <w:color w:val="000000" w:themeColor="text1"/>
        </w:rPr>
        <w:t xml:space="preserve">rate </w:t>
      </w:r>
      <w:r w:rsidRPr="006C52F8">
        <w:rPr>
          <w:rFonts w:ascii="Arial" w:eastAsia="Arial" w:hAnsi="Arial" w:cs="Arial"/>
          <w:color w:val="000000" w:themeColor="text1"/>
        </w:rPr>
        <w:t xml:space="preserve">in the CAAs for English language arts/literacy (ELA), mathematics, and science for the 2022–23 school year. The CDE anticipates that participation rates for the CAAs for </w:t>
      </w:r>
      <w:r w:rsidR="00EC5EB8" w:rsidRPr="006C52F8">
        <w:rPr>
          <w:rFonts w:ascii="Arial" w:eastAsia="Arial" w:hAnsi="Arial" w:cs="Arial"/>
          <w:color w:val="000000" w:themeColor="text1"/>
        </w:rPr>
        <w:t xml:space="preserve">the </w:t>
      </w:r>
      <w:r w:rsidRPr="006C52F8">
        <w:rPr>
          <w:rFonts w:ascii="Arial" w:eastAsia="Arial" w:hAnsi="Arial" w:cs="Arial"/>
          <w:color w:val="000000" w:themeColor="text1"/>
        </w:rPr>
        <w:t xml:space="preserve">2022–23 </w:t>
      </w:r>
      <w:r w:rsidR="00EC5EB8" w:rsidRPr="006C52F8">
        <w:rPr>
          <w:rFonts w:ascii="Arial" w:eastAsia="Arial" w:hAnsi="Arial" w:cs="Arial"/>
          <w:color w:val="000000" w:themeColor="text1"/>
        </w:rPr>
        <w:t xml:space="preserve">school year </w:t>
      </w:r>
      <w:r w:rsidRPr="006C52F8">
        <w:rPr>
          <w:rFonts w:ascii="Arial" w:eastAsia="Arial" w:hAnsi="Arial" w:cs="Arial"/>
          <w:color w:val="000000" w:themeColor="text1"/>
        </w:rPr>
        <w:t>will exceed 1.0 percent for ELA, mathematics, and science.</w:t>
      </w:r>
    </w:p>
    <w:p w14:paraId="45980724" w14:textId="2FA41DA4"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 xml:space="preserve">The CDE and SBE are requesting a waiver of the requirement in 34 </w:t>
      </w:r>
      <w:r w:rsidRPr="006C52F8">
        <w:rPr>
          <w:rFonts w:ascii="Arial" w:eastAsia="Arial" w:hAnsi="Arial" w:cs="Arial"/>
          <w:i/>
          <w:iCs/>
          <w:color w:val="000000" w:themeColor="text1"/>
        </w:rPr>
        <w:t>CFR</w:t>
      </w:r>
      <w:r w:rsidRPr="006C52F8">
        <w:rPr>
          <w:rFonts w:ascii="Arial" w:eastAsia="Arial" w:hAnsi="Arial" w:cs="Arial"/>
          <w:color w:val="000000" w:themeColor="text1"/>
        </w:rPr>
        <w:t xml:space="preserve"> Section 200.6(c)(2) to assess less than 1.0 percent of eligible students with an AA-AAAS for the 20</w:t>
      </w:r>
      <w:r w:rsidR="00E92B3D" w:rsidRPr="006C52F8">
        <w:rPr>
          <w:rFonts w:ascii="Arial" w:eastAsia="Arial" w:hAnsi="Arial" w:cs="Arial"/>
          <w:color w:val="000000" w:themeColor="text1"/>
        </w:rPr>
        <w:t>22</w:t>
      </w:r>
      <w:r w:rsidRPr="006C52F8">
        <w:rPr>
          <w:rFonts w:ascii="Arial" w:eastAsia="Arial" w:hAnsi="Arial" w:cs="Arial"/>
          <w:color w:val="000000" w:themeColor="text1"/>
        </w:rPr>
        <w:t>–2</w:t>
      </w:r>
      <w:r w:rsidR="00E92B3D" w:rsidRPr="006C52F8">
        <w:rPr>
          <w:rFonts w:ascii="Arial" w:eastAsia="Arial" w:hAnsi="Arial" w:cs="Arial"/>
          <w:color w:val="000000" w:themeColor="text1"/>
        </w:rPr>
        <w:t>3</w:t>
      </w:r>
      <w:r w:rsidRPr="006C52F8">
        <w:rPr>
          <w:rFonts w:ascii="Arial" w:eastAsia="Arial" w:hAnsi="Arial" w:cs="Arial"/>
          <w:color w:val="000000" w:themeColor="text1"/>
        </w:rPr>
        <w:t xml:space="preserve"> test administration. </w:t>
      </w:r>
    </w:p>
    <w:p w14:paraId="426FF851" w14:textId="77777777" w:rsidR="00B355C5" w:rsidRPr="006C52F8" w:rsidRDefault="00B355C5" w:rsidP="00B355C5">
      <w:pPr>
        <w:keepNext/>
        <w:keepLines/>
        <w:spacing w:before="240" w:after="240"/>
        <w:outlineLvl w:val="2"/>
        <w:rPr>
          <w:rFonts w:ascii="Arial" w:eastAsia="Arial" w:hAnsi="Arial" w:cs="Arial"/>
          <w:b/>
          <w:sz w:val="32"/>
          <w:szCs w:val="32"/>
        </w:rPr>
      </w:pPr>
      <w:r w:rsidRPr="006C52F8">
        <w:rPr>
          <w:rFonts w:ascii="Arial" w:eastAsia="Arial" w:hAnsi="Arial" w:cs="Arial"/>
          <w:b/>
          <w:sz w:val="32"/>
          <w:szCs w:val="32"/>
        </w:rPr>
        <w:t>Overview</w:t>
      </w:r>
    </w:p>
    <w:p w14:paraId="6F36E7C9" w14:textId="363ADA4E" w:rsidR="00681A3C" w:rsidRPr="006C52F8" w:rsidRDefault="00EC7ACC" w:rsidP="00B355C5">
      <w:pPr>
        <w:spacing w:after="240"/>
        <w:rPr>
          <w:rFonts w:ascii="Arial" w:hAnsi="Arial" w:cs="Arial"/>
        </w:rPr>
      </w:pPr>
      <w:r w:rsidRPr="006C52F8">
        <w:rPr>
          <w:rFonts w:ascii="Arial" w:hAnsi="Arial" w:cs="Arial"/>
          <w:shd w:val="clear" w:color="auto" w:fill="FFFFFF"/>
        </w:rPr>
        <w:t xml:space="preserve">The 2021–22 test </w:t>
      </w:r>
      <w:r w:rsidR="00D71A24" w:rsidRPr="006C52F8">
        <w:rPr>
          <w:rFonts w:ascii="Arial" w:hAnsi="Arial" w:cs="Arial"/>
          <w:shd w:val="clear" w:color="auto" w:fill="FFFFFF"/>
        </w:rPr>
        <w:t>participation</w:t>
      </w:r>
      <w:r w:rsidRPr="006C52F8">
        <w:rPr>
          <w:rFonts w:ascii="Arial" w:hAnsi="Arial" w:cs="Arial"/>
          <w:shd w:val="clear" w:color="auto" w:fill="FFFFFF"/>
        </w:rPr>
        <w:t xml:space="preserve"> data in the tables 1 </w:t>
      </w:r>
      <w:r w:rsidR="00681A3C" w:rsidRPr="006C52F8">
        <w:rPr>
          <w:rFonts w:ascii="Arial" w:hAnsi="Arial" w:cs="Arial"/>
          <w:shd w:val="clear" w:color="auto" w:fill="FFFFFF"/>
        </w:rPr>
        <w:t xml:space="preserve">through 7 </w:t>
      </w:r>
      <w:r w:rsidRPr="006C52F8">
        <w:rPr>
          <w:rFonts w:ascii="Arial" w:hAnsi="Arial" w:cs="Arial"/>
          <w:shd w:val="clear" w:color="auto" w:fill="FFFFFF"/>
        </w:rPr>
        <w:t>reflect</w:t>
      </w:r>
      <w:r w:rsidR="00D71A24" w:rsidRPr="006C52F8">
        <w:rPr>
          <w:rFonts w:ascii="Arial" w:hAnsi="Arial" w:cs="Arial"/>
          <w:shd w:val="clear" w:color="auto" w:fill="FFFFFF"/>
        </w:rPr>
        <w:t xml:space="preserve"> </w:t>
      </w:r>
      <w:r w:rsidR="00D71A24" w:rsidRPr="006C52F8">
        <w:rPr>
          <w:rFonts w:ascii="Arial" w:hAnsi="Arial"/>
        </w:rPr>
        <w:t>2021</w:t>
      </w:r>
      <w:r w:rsidR="00D71A24" w:rsidRPr="006C52F8">
        <w:rPr>
          <w:rFonts w:ascii="Arial" w:eastAsia="Arial" w:hAnsi="Arial" w:cs="Arial"/>
        </w:rPr>
        <w:t>–</w:t>
      </w:r>
      <w:r w:rsidR="00D71A24" w:rsidRPr="006C52F8">
        <w:rPr>
          <w:rFonts w:ascii="Arial" w:hAnsi="Arial"/>
        </w:rPr>
        <w:t xml:space="preserve">22 </w:t>
      </w:r>
      <w:r w:rsidR="00A668D7" w:rsidRPr="006C52F8">
        <w:rPr>
          <w:rFonts w:ascii="Arial" w:hAnsi="Arial" w:cs="Arial"/>
          <w:shd w:val="clear" w:color="auto" w:fill="FFFFFF"/>
        </w:rPr>
        <w:t xml:space="preserve">overall </w:t>
      </w:r>
      <w:r w:rsidR="008D33C9" w:rsidRPr="006C52F8">
        <w:rPr>
          <w:rFonts w:ascii="Arial" w:hAnsi="Arial" w:cs="Arial"/>
          <w:shd w:val="clear" w:color="auto" w:fill="FFFFFF"/>
        </w:rPr>
        <w:t>participation</w:t>
      </w:r>
      <w:r w:rsidRPr="006C52F8">
        <w:rPr>
          <w:rFonts w:ascii="Arial" w:hAnsi="Arial" w:cs="Arial"/>
          <w:shd w:val="clear" w:color="auto" w:fill="FFFFFF"/>
        </w:rPr>
        <w:t xml:space="preserve"> rates</w:t>
      </w:r>
      <w:r w:rsidRPr="006C52F8">
        <w:rPr>
          <w:rFonts w:ascii="Arial" w:hAnsi="Arial" w:cs="Arial"/>
        </w:rPr>
        <w:t xml:space="preserve">. </w:t>
      </w:r>
    </w:p>
    <w:p w14:paraId="5C96132A" w14:textId="1CA48960" w:rsidR="00891839" w:rsidRPr="006C52F8" w:rsidRDefault="00B355C5" w:rsidP="00B355C5">
      <w:pPr>
        <w:spacing w:after="240"/>
        <w:rPr>
          <w:rFonts w:ascii="Arial" w:hAnsi="Arial"/>
        </w:rPr>
      </w:pPr>
      <w:r w:rsidRPr="006C52F8">
        <w:rPr>
          <w:rFonts w:ascii="Arial" w:hAnsi="Arial"/>
        </w:rPr>
        <w:t>Table 1 and table 2 display the 2021</w:t>
      </w:r>
      <w:r w:rsidRPr="006C52F8">
        <w:rPr>
          <w:rFonts w:ascii="Arial" w:eastAsia="Arial" w:hAnsi="Arial" w:cs="Arial"/>
        </w:rPr>
        <w:t>–</w:t>
      </w:r>
      <w:r w:rsidRPr="006C52F8">
        <w:rPr>
          <w:rFonts w:ascii="Arial" w:hAnsi="Arial"/>
        </w:rPr>
        <w:t>22 overall participation rates for all students and overall participation rates for students with disabilities by content area</w:t>
      </w:r>
      <w:r w:rsidR="00035E97" w:rsidRPr="006C52F8">
        <w:rPr>
          <w:rFonts w:ascii="Arial" w:hAnsi="Arial"/>
        </w:rPr>
        <w:t>.</w:t>
      </w:r>
    </w:p>
    <w:p w14:paraId="0A5278E3" w14:textId="1D5E5A16" w:rsidR="00B355C5" w:rsidRPr="006C52F8" w:rsidRDefault="00B355C5" w:rsidP="0053607E">
      <w:pPr>
        <w:keepNext/>
        <w:spacing w:after="60"/>
        <w:rPr>
          <w:rFonts w:ascii="Arial" w:hAnsi="Arial" w:cs="Arial"/>
          <w:color w:val="000000" w:themeColor="text1"/>
        </w:rPr>
      </w:pPr>
      <w:r w:rsidRPr="006C52F8">
        <w:rPr>
          <w:rFonts w:ascii="Arial" w:hAnsi="Arial" w:cs="Arial"/>
          <w:color w:val="000000" w:themeColor="text1"/>
        </w:rPr>
        <w:t>Table 1. Overall Participation Rates for All Students by Content Area, 2021</w:t>
      </w:r>
      <w:r w:rsidRPr="006C52F8">
        <w:rPr>
          <w:rFonts w:ascii="Arial" w:eastAsia="Arial" w:hAnsi="Arial" w:cs="Arial"/>
        </w:rPr>
        <w:t>–</w:t>
      </w:r>
      <w:r w:rsidRPr="006C52F8">
        <w:rPr>
          <w:rFonts w:ascii="Arial" w:hAnsi="Arial" w:cs="Arial"/>
          <w:color w:val="000000" w:themeColor="text1"/>
        </w:rPr>
        <w:t>22</w:t>
      </w:r>
    </w:p>
    <w:tbl>
      <w:tblPr>
        <w:tblStyle w:val="TableGrid11"/>
        <w:tblW w:w="0" w:type="auto"/>
        <w:tblLook w:val="04A0" w:firstRow="1" w:lastRow="0" w:firstColumn="1" w:lastColumn="0" w:noHBand="0" w:noVBand="1"/>
        <w:tblCaption w:val="Table 1. Overall Participation Rates for All Students by Content Area, 2021–22"/>
        <w:tblDescription w:val="Table 1 display the 2021–22 overall participation rates for all students and overall participation rates for students with disabilities by content area."/>
      </w:tblPr>
      <w:tblGrid>
        <w:gridCol w:w="1593"/>
        <w:gridCol w:w="2607"/>
        <w:gridCol w:w="2610"/>
        <w:gridCol w:w="2540"/>
      </w:tblGrid>
      <w:tr w:rsidR="00B355C5" w:rsidRPr="006C52F8" w14:paraId="14E8B992" w14:textId="77777777" w:rsidTr="0B71D082">
        <w:trPr>
          <w:trHeight w:val="872"/>
          <w:tblHeader/>
        </w:trPr>
        <w:tc>
          <w:tcPr>
            <w:tcW w:w="1593" w:type="dxa"/>
            <w:shd w:val="clear" w:color="auto" w:fill="D9D9D9" w:themeFill="background1" w:themeFillShade="D9"/>
            <w:vAlign w:val="center"/>
          </w:tcPr>
          <w:p w14:paraId="18F44395" w14:textId="77777777" w:rsidR="00B355C5" w:rsidRPr="006C52F8" w:rsidRDefault="00B355C5" w:rsidP="50D9BCFB">
            <w:pPr>
              <w:keepNext/>
              <w:jc w:val="center"/>
              <w:rPr>
                <w:rFonts w:ascii="Arial" w:hAnsi="Arial" w:cs="Arial"/>
                <w:b/>
                <w:bCs/>
                <w:color w:val="000000" w:themeColor="text1"/>
              </w:rPr>
            </w:pPr>
            <w:r w:rsidRPr="006C52F8">
              <w:rPr>
                <w:rFonts w:ascii="Arial" w:hAnsi="Arial" w:cs="Arial"/>
                <w:b/>
                <w:bCs/>
                <w:color w:val="000000" w:themeColor="text1"/>
              </w:rPr>
              <w:t>Content Area</w:t>
            </w:r>
          </w:p>
        </w:tc>
        <w:tc>
          <w:tcPr>
            <w:tcW w:w="2607" w:type="dxa"/>
            <w:shd w:val="clear" w:color="auto" w:fill="D9D9D9" w:themeFill="background1" w:themeFillShade="D9"/>
            <w:vAlign w:val="center"/>
          </w:tcPr>
          <w:p w14:paraId="6DD1578F" w14:textId="77777777" w:rsidR="00B355C5" w:rsidRPr="006C52F8" w:rsidRDefault="00B355C5" w:rsidP="50D9BCFB">
            <w:pPr>
              <w:keepNext/>
              <w:jc w:val="center"/>
              <w:rPr>
                <w:rFonts w:ascii="Arial" w:hAnsi="Arial" w:cs="Arial"/>
                <w:b/>
                <w:bCs/>
                <w:color w:val="000000" w:themeColor="text1"/>
              </w:rPr>
            </w:pPr>
            <w:r w:rsidRPr="006C52F8">
              <w:rPr>
                <w:rFonts w:ascii="Arial" w:hAnsi="Arial" w:cs="Arial"/>
                <w:b/>
                <w:bCs/>
                <w:color w:val="000000" w:themeColor="text1"/>
              </w:rPr>
              <w:t>Number of Eligible Students, 2022</w:t>
            </w:r>
          </w:p>
        </w:tc>
        <w:tc>
          <w:tcPr>
            <w:tcW w:w="2610" w:type="dxa"/>
            <w:shd w:val="clear" w:color="auto" w:fill="D9D9D9" w:themeFill="background1" w:themeFillShade="D9"/>
            <w:vAlign w:val="center"/>
          </w:tcPr>
          <w:p w14:paraId="1318FE24" w14:textId="77777777" w:rsidR="00B355C5" w:rsidRPr="006C52F8" w:rsidRDefault="00B355C5" w:rsidP="50D9BCFB">
            <w:pPr>
              <w:keepNext/>
              <w:jc w:val="center"/>
              <w:rPr>
                <w:rFonts w:ascii="Arial" w:hAnsi="Arial" w:cs="Arial"/>
                <w:b/>
                <w:bCs/>
                <w:color w:val="000000" w:themeColor="text1"/>
              </w:rPr>
            </w:pPr>
            <w:r w:rsidRPr="006C52F8">
              <w:rPr>
                <w:rFonts w:ascii="Arial" w:hAnsi="Arial" w:cs="Arial"/>
                <w:b/>
                <w:bCs/>
                <w:color w:val="000000" w:themeColor="text1"/>
              </w:rPr>
              <w:t>Number of Students Assessed, 2022</w:t>
            </w:r>
          </w:p>
        </w:tc>
        <w:tc>
          <w:tcPr>
            <w:tcW w:w="2540" w:type="dxa"/>
            <w:shd w:val="clear" w:color="auto" w:fill="D9D9D9" w:themeFill="background1" w:themeFillShade="D9"/>
            <w:vAlign w:val="center"/>
          </w:tcPr>
          <w:p w14:paraId="40DA61DA" w14:textId="76DD91BC" w:rsidR="00B355C5" w:rsidRPr="006C52F8" w:rsidRDefault="00B355C5" w:rsidP="50D9BCFB">
            <w:pPr>
              <w:keepNext/>
              <w:jc w:val="center"/>
              <w:rPr>
                <w:rFonts w:ascii="Arial" w:hAnsi="Arial" w:cs="Arial"/>
                <w:b/>
                <w:bCs/>
                <w:color w:val="000000" w:themeColor="text1"/>
              </w:rPr>
            </w:pPr>
            <w:r w:rsidRPr="006C52F8">
              <w:rPr>
                <w:rFonts w:ascii="Arial" w:hAnsi="Arial" w:cs="Arial"/>
                <w:b/>
                <w:bCs/>
                <w:color w:val="000000" w:themeColor="text1"/>
              </w:rPr>
              <w:t>Participation Rate, 2022</w:t>
            </w:r>
          </w:p>
        </w:tc>
      </w:tr>
      <w:tr w:rsidR="00453C76" w:rsidRPr="006C52F8" w14:paraId="5D50AB0F" w14:textId="77777777" w:rsidTr="0B71D082">
        <w:trPr>
          <w:trHeight w:val="320"/>
        </w:trPr>
        <w:tc>
          <w:tcPr>
            <w:tcW w:w="1593" w:type="dxa"/>
            <w:vAlign w:val="center"/>
          </w:tcPr>
          <w:p w14:paraId="3F23D38E" w14:textId="5A827A74" w:rsidR="00453C76" w:rsidRPr="006C52F8" w:rsidRDefault="00453C76" w:rsidP="00453C76">
            <w:pPr>
              <w:rPr>
                <w:rFonts w:ascii="Arial" w:hAnsi="Arial" w:cs="Arial"/>
                <w:color w:val="000000" w:themeColor="text1"/>
              </w:rPr>
            </w:pPr>
            <w:r w:rsidRPr="006C52F8">
              <w:rPr>
                <w:rFonts w:ascii="Arial" w:hAnsi="Arial" w:cs="Arial"/>
                <w:color w:val="000000" w:themeColor="text1"/>
              </w:rPr>
              <w:t>ELA</w:t>
            </w:r>
          </w:p>
        </w:tc>
        <w:tc>
          <w:tcPr>
            <w:tcW w:w="2607" w:type="dxa"/>
            <w:vAlign w:val="bottom"/>
          </w:tcPr>
          <w:p w14:paraId="5C77CD4B" w14:textId="6D1F7632" w:rsidR="00453C76" w:rsidRPr="006C52F8" w:rsidRDefault="00453C76" w:rsidP="00453C76">
            <w:pPr>
              <w:jc w:val="right"/>
              <w:rPr>
                <w:rFonts w:ascii="Arial" w:hAnsi="Arial" w:cs="Arial"/>
                <w:color w:val="000000"/>
              </w:rPr>
            </w:pPr>
            <w:r w:rsidRPr="006C52F8">
              <w:rPr>
                <w:rFonts w:ascii="Arial" w:hAnsi="Arial" w:cs="Arial"/>
                <w:color w:val="000000"/>
              </w:rPr>
              <w:t>3,133,037</w:t>
            </w:r>
          </w:p>
        </w:tc>
        <w:tc>
          <w:tcPr>
            <w:tcW w:w="2610" w:type="dxa"/>
            <w:vAlign w:val="bottom"/>
          </w:tcPr>
          <w:p w14:paraId="7B0BA6DC" w14:textId="6DFE34B9" w:rsidR="00453C76" w:rsidRPr="006C52F8" w:rsidRDefault="00453C76" w:rsidP="00453C76">
            <w:pPr>
              <w:jc w:val="right"/>
              <w:rPr>
                <w:rFonts w:ascii="Arial" w:hAnsi="Arial" w:cs="Arial"/>
                <w:color w:val="000000"/>
              </w:rPr>
            </w:pPr>
            <w:r w:rsidRPr="006C52F8">
              <w:rPr>
                <w:rFonts w:ascii="Arial" w:hAnsi="Arial" w:cs="Arial"/>
                <w:color w:val="000000"/>
              </w:rPr>
              <w:t>3,001,582</w:t>
            </w:r>
          </w:p>
        </w:tc>
        <w:tc>
          <w:tcPr>
            <w:tcW w:w="2540" w:type="dxa"/>
            <w:vAlign w:val="bottom"/>
          </w:tcPr>
          <w:p w14:paraId="090D465A" w14:textId="57DD27F6" w:rsidR="00453C76" w:rsidRPr="006C52F8" w:rsidRDefault="00453C76" w:rsidP="00453C76">
            <w:pPr>
              <w:jc w:val="right"/>
              <w:rPr>
                <w:rFonts w:ascii="Arial" w:hAnsi="Arial" w:cs="Arial"/>
                <w:color w:val="000000"/>
              </w:rPr>
            </w:pPr>
            <w:r w:rsidRPr="006C52F8">
              <w:rPr>
                <w:rFonts w:ascii="Arial" w:hAnsi="Arial" w:cs="Arial"/>
                <w:color w:val="000000"/>
              </w:rPr>
              <w:t>95.80%</w:t>
            </w:r>
          </w:p>
        </w:tc>
      </w:tr>
      <w:tr w:rsidR="00453C76" w:rsidRPr="006C52F8" w14:paraId="360A118A" w14:textId="77777777" w:rsidTr="0B71D082">
        <w:trPr>
          <w:trHeight w:val="320"/>
        </w:trPr>
        <w:tc>
          <w:tcPr>
            <w:tcW w:w="1593" w:type="dxa"/>
            <w:vAlign w:val="center"/>
          </w:tcPr>
          <w:p w14:paraId="7ABF3969" w14:textId="5AA08C1B" w:rsidR="00453C76" w:rsidRPr="006C52F8" w:rsidRDefault="00453C76" w:rsidP="00453C76">
            <w:pPr>
              <w:rPr>
                <w:rFonts w:ascii="Arial" w:hAnsi="Arial" w:cs="Arial"/>
                <w:color w:val="000000" w:themeColor="text1"/>
              </w:rPr>
            </w:pPr>
            <w:r w:rsidRPr="006C52F8">
              <w:rPr>
                <w:rFonts w:ascii="Arial" w:hAnsi="Arial" w:cs="Arial"/>
                <w:color w:val="000000" w:themeColor="text1"/>
              </w:rPr>
              <w:t>Math</w:t>
            </w:r>
          </w:p>
        </w:tc>
        <w:tc>
          <w:tcPr>
            <w:tcW w:w="2607" w:type="dxa"/>
            <w:vAlign w:val="bottom"/>
          </w:tcPr>
          <w:p w14:paraId="150A5E9E" w14:textId="3ABF65C7" w:rsidR="00453C76" w:rsidRPr="006C52F8" w:rsidRDefault="00453C76" w:rsidP="00453C76">
            <w:pPr>
              <w:jc w:val="right"/>
              <w:rPr>
                <w:rFonts w:ascii="Arial" w:hAnsi="Arial" w:cs="Arial"/>
                <w:color w:val="000000"/>
              </w:rPr>
            </w:pPr>
            <w:r w:rsidRPr="006C52F8">
              <w:rPr>
                <w:rFonts w:ascii="Arial" w:hAnsi="Arial" w:cs="Arial"/>
                <w:color w:val="000000"/>
              </w:rPr>
              <w:t>3,133,037</w:t>
            </w:r>
          </w:p>
        </w:tc>
        <w:tc>
          <w:tcPr>
            <w:tcW w:w="2610" w:type="dxa"/>
            <w:vAlign w:val="bottom"/>
          </w:tcPr>
          <w:p w14:paraId="49DC9569" w14:textId="169022EF" w:rsidR="00453C76" w:rsidRPr="006C52F8" w:rsidRDefault="00453C76" w:rsidP="00453C76">
            <w:pPr>
              <w:jc w:val="right"/>
              <w:rPr>
                <w:rFonts w:ascii="Arial" w:hAnsi="Arial" w:cs="Arial"/>
                <w:color w:val="000000"/>
              </w:rPr>
            </w:pPr>
            <w:r w:rsidRPr="006C52F8">
              <w:rPr>
                <w:rFonts w:ascii="Arial" w:hAnsi="Arial" w:cs="Arial"/>
                <w:color w:val="000000"/>
              </w:rPr>
              <w:t>3,004,608</w:t>
            </w:r>
          </w:p>
        </w:tc>
        <w:tc>
          <w:tcPr>
            <w:tcW w:w="2540" w:type="dxa"/>
            <w:vAlign w:val="bottom"/>
          </w:tcPr>
          <w:p w14:paraId="2E5CB7F6" w14:textId="2EBD1453" w:rsidR="00453C76" w:rsidRPr="006C52F8" w:rsidRDefault="00453C76" w:rsidP="00453C76">
            <w:pPr>
              <w:jc w:val="right"/>
              <w:rPr>
                <w:rFonts w:ascii="Arial" w:hAnsi="Arial" w:cs="Arial"/>
                <w:color w:val="000000"/>
              </w:rPr>
            </w:pPr>
            <w:r w:rsidRPr="006C52F8">
              <w:rPr>
                <w:rFonts w:ascii="Arial" w:hAnsi="Arial" w:cs="Arial"/>
                <w:color w:val="000000"/>
              </w:rPr>
              <w:t>95.90%</w:t>
            </w:r>
          </w:p>
        </w:tc>
      </w:tr>
      <w:tr w:rsidR="00453C76" w:rsidRPr="006C52F8" w14:paraId="288768DD" w14:textId="77777777" w:rsidTr="0B71D082">
        <w:trPr>
          <w:trHeight w:val="320"/>
        </w:trPr>
        <w:tc>
          <w:tcPr>
            <w:tcW w:w="1593" w:type="dxa"/>
            <w:vAlign w:val="center"/>
          </w:tcPr>
          <w:p w14:paraId="3B4FA550" w14:textId="171AFEAF" w:rsidR="00453C76" w:rsidRPr="006C52F8" w:rsidRDefault="00453C76" w:rsidP="00453C76">
            <w:pPr>
              <w:rPr>
                <w:rFonts w:ascii="Arial" w:hAnsi="Arial" w:cs="Arial"/>
                <w:color w:val="000000" w:themeColor="text1"/>
              </w:rPr>
            </w:pPr>
            <w:r w:rsidRPr="006C52F8">
              <w:rPr>
                <w:rFonts w:ascii="Arial" w:hAnsi="Arial" w:cs="Arial"/>
                <w:color w:val="000000" w:themeColor="text1"/>
              </w:rPr>
              <w:t>Science</w:t>
            </w:r>
          </w:p>
        </w:tc>
        <w:tc>
          <w:tcPr>
            <w:tcW w:w="2607" w:type="dxa"/>
            <w:vAlign w:val="bottom"/>
          </w:tcPr>
          <w:p w14:paraId="7985C128" w14:textId="6A00FFFD" w:rsidR="00453C76" w:rsidRPr="006C52F8" w:rsidRDefault="00453C76" w:rsidP="00453C76">
            <w:pPr>
              <w:jc w:val="right"/>
              <w:rPr>
                <w:rFonts w:ascii="Arial" w:hAnsi="Arial" w:cs="Arial"/>
                <w:color w:val="000000"/>
              </w:rPr>
            </w:pPr>
            <w:r w:rsidRPr="006C52F8">
              <w:rPr>
                <w:rFonts w:ascii="Arial" w:hAnsi="Arial" w:cs="Arial"/>
                <w:color w:val="000000"/>
              </w:rPr>
              <w:t>1,661,113</w:t>
            </w:r>
          </w:p>
        </w:tc>
        <w:tc>
          <w:tcPr>
            <w:tcW w:w="2610" w:type="dxa"/>
            <w:vAlign w:val="bottom"/>
          </w:tcPr>
          <w:p w14:paraId="1B50063B" w14:textId="3E9D39A7" w:rsidR="00453C76" w:rsidRPr="006C52F8" w:rsidRDefault="00453C76" w:rsidP="00453C76">
            <w:pPr>
              <w:jc w:val="right"/>
              <w:rPr>
                <w:rFonts w:ascii="Arial" w:hAnsi="Arial" w:cs="Arial"/>
                <w:color w:val="000000"/>
              </w:rPr>
            </w:pPr>
            <w:r w:rsidRPr="006C52F8">
              <w:rPr>
                <w:rFonts w:ascii="Arial" w:hAnsi="Arial" w:cs="Arial"/>
                <w:color w:val="000000"/>
              </w:rPr>
              <w:t>1,515,503</w:t>
            </w:r>
          </w:p>
        </w:tc>
        <w:tc>
          <w:tcPr>
            <w:tcW w:w="2540" w:type="dxa"/>
            <w:vAlign w:val="bottom"/>
          </w:tcPr>
          <w:p w14:paraId="680BD215" w14:textId="5BE2BFCD" w:rsidR="00453C76" w:rsidRPr="006C52F8" w:rsidRDefault="00453C76" w:rsidP="00453C76">
            <w:pPr>
              <w:jc w:val="right"/>
              <w:rPr>
                <w:rFonts w:ascii="Arial" w:hAnsi="Arial" w:cs="Arial"/>
                <w:color w:val="000000"/>
              </w:rPr>
            </w:pPr>
            <w:r w:rsidRPr="006C52F8">
              <w:rPr>
                <w:rFonts w:ascii="Arial" w:hAnsi="Arial" w:cs="Arial"/>
                <w:color w:val="000000"/>
              </w:rPr>
              <w:t>91.23%</w:t>
            </w:r>
          </w:p>
        </w:tc>
      </w:tr>
    </w:tbl>
    <w:p w14:paraId="2F122448" w14:textId="47B2C5A0" w:rsidR="00B355C5" w:rsidRPr="006C52F8" w:rsidRDefault="00B355C5" w:rsidP="0053607E">
      <w:pPr>
        <w:keepNext/>
        <w:spacing w:before="240" w:after="60"/>
        <w:rPr>
          <w:rFonts w:ascii="Arial" w:hAnsi="Arial" w:cs="Arial"/>
          <w:color w:val="000000" w:themeColor="text1"/>
        </w:rPr>
      </w:pPr>
      <w:r w:rsidRPr="006C52F8">
        <w:rPr>
          <w:rFonts w:ascii="Arial" w:eastAsia="Calibri" w:hAnsi="Arial" w:cs="Arial"/>
        </w:rPr>
        <w:lastRenderedPageBreak/>
        <w:t xml:space="preserve">Table 2. Overall </w:t>
      </w:r>
      <w:r w:rsidRPr="006C52F8">
        <w:rPr>
          <w:rFonts w:ascii="Arial" w:hAnsi="Arial" w:cs="Arial"/>
          <w:color w:val="000000" w:themeColor="text1"/>
        </w:rPr>
        <w:t xml:space="preserve">Participation Rates of Students with Disabilities by Content Area, 2021–22 </w:t>
      </w:r>
    </w:p>
    <w:tbl>
      <w:tblPr>
        <w:tblStyle w:val="TableGrid11"/>
        <w:tblW w:w="0" w:type="auto"/>
        <w:tblLook w:val="04A0" w:firstRow="1" w:lastRow="0" w:firstColumn="1" w:lastColumn="0" w:noHBand="0" w:noVBand="1"/>
        <w:tblCaption w:val="Table 2. Overall Participation Rates of Students with Disabilities by Content Area, 2021–22 "/>
        <w:tblDescription w:val="Table 2 display the 2021–22 overall participation rates for all students and overall participation rates for students with disabilities by content area."/>
      </w:tblPr>
      <w:tblGrid>
        <w:gridCol w:w="1487"/>
        <w:gridCol w:w="2640"/>
        <w:gridCol w:w="2643"/>
        <w:gridCol w:w="2580"/>
      </w:tblGrid>
      <w:tr w:rsidR="00B355C5" w:rsidRPr="006C52F8" w14:paraId="3B5D4308" w14:textId="77777777" w:rsidTr="00495C51">
        <w:trPr>
          <w:trHeight w:val="1020"/>
          <w:tblHeader/>
        </w:trPr>
        <w:tc>
          <w:tcPr>
            <w:tcW w:w="1487" w:type="dxa"/>
            <w:shd w:val="clear" w:color="auto" w:fill="D9D9D9" w:themeFill="background1" w:themeFillShade="D9"/>
            <w:vAlign w:val="center"/>
          </w:tcPr>
          <w:p w14:paraId="6606AFE7" w14:textId="77777777"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Content Area</w:t>
            </w:r>
          </w:p>
        </w:tc>
        <w:tc>
          <w:tcPr>
            <w:tcW w:w="2640" w:type="dxa"/>
            <w:shd w:val="clear" w:color="auto" w:fill="D9D9D9" w:themeFill="background1" w:themeFillShade="D9"/>
            <w:vAlign w:val="center"/>
          </w:tcPr>
          <w:p w14:paraId="29971147" w14:textId="77777777"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Number of Students with Disabilities, 2022</w:t>
            </w:r>
            <w:r w:rsidRPr="006C52F8">
              <w:rPr>
                <w:rFonts w:ascii="Arial" w:hAnsi="Arial" w:cs="Arial"/>
                <w:b/>
                <w:bCs/>
                <w:color w:val="000000" w:themeColor="text1"/>
                <w:vertAlign w:val="superscript"/>
              </w:rPr>
              <w:t>*</w:t>
            </w:r>
          </w:p>
        </w:tc>
        <w:tc>
          <w:tcPr>
            <w:tcW w:w="2643" w:type="dxa"/>
            <w:shd w:val="clear" w:color="auto" w:fill="D9D9D9" w:themeFill="background1" w:themeFillShade="D9"/>
            <w:vAlign w:val="center"/>
          </w:tcPr>
          <w:p w14:paraId="237E9AE6" w14:textId="77777777"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Number of Students with Disabilities Assessed, 2022</w:t>
            </w:r>
            <w:r w:rsidRPr="006C52F8">
              <w:rPr>
                <w:rFonts w:ascii="Arial" w:hAnsi="Arial" w:cs="Arial"/>
                <w:b/>
                <w:bCs/>
                <w:color w:val="000000" w:themeColor="text1"/>
                <w:vertAlign w:val="superscript"/>
              </w:rPr>
              <w:t>†</w:t>
            </w:r>
          </w:p>
        </w:tc>
        <w:tc>
          <w:tcPr>
            <w:tcW w:w="2580" w:type="dxa"/>
            <w:shd w:val="clear" w:color="auto" w:fill="D9D9D9" w:themeFill="background1" w:themeFillShade="D9"/>
            <w:vAlign w:val="center"/>
          </w:tcPr>
          <w:p w14:paraId="4B0935AE" w14:textId="77777777"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Participation Rate, 2022</w:t>
            </w:r>
          </w:p>
        </w:tc>
      </w:tr>
      <w:tr w:rsidR="00453C76" w:rsidRPr="006C52F8" w14:paraId="0A2050EC" w14:textId="77777777" w:rsidTr="50D9BCFB">
        <w:trPr>
          <w:trHeight w:val="320"/>
        </w:trPr>
        <w:tc>
          <w:tcPr>
            <w:tcW w:w="1487" w:type="dxa"/>
            <w:vAlign w:val="center"/>
          </w:tcPr>
          <w:p w14:paraId="03E15630" w14:textId="77777777" w:rsidR="00453C76" w:rsidRPr="006C52F8" w:rsidRDefault="00453C76" w:rsidP="00453C76">
            <w:pPr>
              <w:rPr>
                <w:rFonts w:ascii="Arial" w:hAnsi="Arial" w:cs="Arial"/>
                <w:color w:val="000000" w:themeColor="text1"/>
              </w:rPr>
            </w:pPr>
            <w:r w:rsidRPr="006C52F8">
              <w:rPr>
                <w:rFonts w:ascii="Arial" w:hAnsi="Arial" w:cs="Arial"/>
                <w:color w:val="000000" w:themeColor="text1"/>
              </w:rPr>
              <w:t>ELA</w:t>
            </w:r>
          </w:p>
        </w:tc>
        <w:tc>
          <w:tcPr>
            <w:tcW w:w="2640" w:type="dxa"/>
            <w:vAlign w:val="bottom"/>
          </w:tcPr>
          <w:p w14:paraId="76B41F77" w14:textId="5C9A8B55" w:rsidR="00453C76" w:rsidRPr="006C52F8" w:rsidRDefault="00453C76" w:rsidP="00453C76">
            <w:pPr>
              <w:jc w:val="right"/>
              <w:rPr>
                <w:rFonts w:ascii="Arial" w:hAnsi="Arial" w:cs="Arial"/>
                <w:color w:val="000000"/>
              </w:rPr>
            </w:pPr>
            <w:r w:rsidRPr="006C52F8">
              <w:rPr>
                <w:rFonts w:ascii="Arial" w:hAnsi="Arial" w:cs="Arial"/>
                <w:color w:val="000000"/>
              </w:rPr>
              <w:t>417,199</w:t>
            </w:r>
          </w:p>
        </w:tc>
        <w:tc>
          <w:tcPr>
            <w:tcW w:w="2643" w:type="dxa"/>
            <w:vAlign w:val="bottom"/>
          </w:tcPr>
          <w:p w14:paraId="772802A0" w14:textId="42B98500" w:rsidR="00453C76" w:rsidRPr="006C52F8" w:rsidRDefault="00453C76" w:rsidP="00453C76">
            <w:pPr>
              <w:jc w:val="right"/>
              <w:rPr>
                <w:rFonts w:ascii="Arial" w:hAnsi="Arial" w:cs="Arial"/>
                <w:color w:val="000000"/>
              </w:rPr>
            </w:pPr>
            <w:r w:rsidRPr="006C52F8">
              <w:rPr>
                <w:rFonts w:ascii="Arial" w:hAnsi="Arial" w:cs="Arial"/>
                <w:color w:val="000000"/>
              </w:rPr>
              <w:t>383,038</w:t>
            </w:r>
          </w:p>
        </w:tc>
        <w:tc>
          <w:tcPr>
            <w:tcW w:w="2580" w:type="dxa"/>
            <w:vAlign w:val="bottom"/>
          </w:tcPr>
          <w:p w14:paraId="54F9B1A1" w14:textId="6A5EA901" w:rsidR="00453C76" w:rsidRPr="006C52F8" w:rsidRDefault="00453C76" w:rsidP="00453C76">
            <w:pPr>
              <w:jc w:val="right"/>
              <w:rPr>
                <w:rFonts w:ascii="Arial" w:hAnsi="Arial" w:cs="Arial"/>
                <w:color w:val="000000"/>
              </w:rPr>
            </w:pPr>
            <w:r w:rsidRPr="006C52F8">
              <w:rPr>
                <w:rFonts w:ascii="Arial" w:hAnsi="Arial" w:cs="Arial"/>
                <w:color w:val="000000"/>
              </w:rPr>
              <w:t>91.81%</w:t>
            </w:r>
          </w:p>
        </w:tc>
      </w:tr>
      <w:tr w:rsidR="00453C76" w:rsidRPr="006C52F8" w14:paraId="73D921CB" w14:textId="77777777" w:rsidTr="50D9BCFB">
        <w:trPr>
          <w:trHeight w:val="320"/>
        </w:trPr>
        <w:tc>
          <w:tcPr>
            <w:tcW w:w="1487" w:type="dxa"/>
            <w:vAlign w:val="center"/>
          </w:tcPr>
          <w:p w14:paraId="14CD22A3" w14:textId="77777777" w:rsidR="00453C76" w:rsidRPr="006C52F8" w:rsidRDefault="00453C76" w:rsidP="00453C76">
            <w:pPr>
              <w:rPr>
                <w:rFonts w:ascii="Arial" w:hAnsi="Arial" w:cs="Arial"/>
                <w:color w:val="000000" w:themeColor="text1"/>
              </w:rPr>
            </w:pPr>
            <w:r w:rsidRPr="006C52F8">
              <w:rPr>
                <w:rFonts w:ascii="Arial" w:hAnsi="Arial" w:cs="Arial"/>
                <w:color w:val="000000" w:themeColor="text1"/>
              </w:rPr>
              <w:t>Math</w:t>
            </w:r>
          </w:p>
        </w:tc>
        <w:tc>
          <w:tcPr>
            <w:tcW w:w="2640" w:type="dxa"/>
            <w:vAlign w:val="bottom"/>
          </w:tcPr>
          <w:p w14:paraId="1CB683D6" w14:textId="5C6C3BF9" w:rsidR="00453C76" w:rsidRPr="006C52F8" w:rsidRDefault="00453C76" w:rsidP="00453C76">
            <w:pPr>
              <w:jc w:val="right"/>
              <w:rPr>
                <w:rFonts w:ascii="Arial" w:hAnsi="Arial" w:cs="Arial"/>
                <w:color w:val="000000"/>
              </w:rPr>
            </w:pPr>
            <w:r w:rsidRPr="006C52F8">
              <w:rPr>
                <w:rFonts w:ascii="Arial" w:hAnsi="Arial" w:cs="Arial"/>
                <w:color w:val="000000"/>
              </w:rPr>
              <w:t>417,199</w:t>
            </w:r>
          </w:p>
        </w:tc>
        <w:tc>
          <w:tcPr>
            <w:tcW w:w="2643" w:type="dxa"/>
            <w:vAlign w:val="bottom"/>
          </w:tcPr>
          <w:p w14:paraId="20EC5A32" w14:textId="6E447131" w:rsidR="00453C76" w:rsidRPr="006C52F8" w:rsidRDefault="00453C76" w:rsidP="00453C76">
            <w:pPr>
              <w:jc w:val="right"/>
              <w:rPr>
                <w:rFonts w:ascii="Arial" w:hAnsi="Arial" w:cs="Arial"/>
                <w:color w:val="000000"/>
              </w:rPr>
            </w:pPr>
            <w:r w:rsidRPr="006C52F8">
              <w:rPr>
                <w:rFonts w:ascii="Arial" w:hAnsi="Arial" w:cs="Arial"/>
                <w:color w:val="000000"/>
              </w:rPr>
              <w:t>381,234</w:t>
            </w:r>
          </w:p>
        </w:tc>
        <w:tc>
          <w:tcPr>
            <w:tcW w:w="2580" w:type="dxa"/>
            <w:vAlign w:val="bottom"/>
          </w:tcPr>
          <w:p w14:paraId="264D0582" w14:textId="5BC5617F" w:rsidR="00453C76" w:rsidRPr="006C52F8" w:rsidRDefault="00453C76" w:rsidP="00453C76">
            <w:pPr>
              <w:jc w:val="right"/>
              <w:rPr>
                <w:rFonts w:ascii="Arial" w:hAnsi="Arial" w:cs="Arial"/>
                <w:color w:val="000000"/>
              </w:rPr>
            </w:pPr>
            <w:r w:rsidRPr="006C52F8">
              <w:rPr>
                <w:rFonts w:ascii="Arial" w:hAnsi="Arial" w:cs="Arial"/>
                <w:color w:val="000000"/>
              </w:rPr>
              <w:t>91.38%</w:t>
            </w:r>
          </w:p>
        </w:tc>
      </w:tr>
      <w:tr w:rsidR="00453C76" w:rsidRPr="006C52F8" w14:paraId="18B4832C" w14:textId="77777777" w:rsidTr="50D9BCFB">
        <w:trPr>
          <w:trHeight w:val="296"/>
        </w:trPr>
        <w:tc>
          <w:tcPr>
            <w:tcW w:w="1487" w:type="dxa"/>
            <w:vAlign w:val="center"/>
          </w:tcPr>
          <w:p w14:paraId="6BF25338" w14:textId="77777777" w:rsidR="00453C76" w:rsidRPr="006C52F8" w:rsidRDefault="00453C76" w:rsidP="00453C76">
            <w:pPr>
              <w:rPr>
                <w:rFonts w:ascii="Arial" w:hAnsi="Arial" w:cs="Arial"/>
                <w:color w:val="000000" w:themeColor="text1"/>
              </w:rPr>
            </w:pPr>
            <w:r w:rsidRPr="006C52F8">
              <w:rPr>
                <w:rFonts w:ascii="Arial" w:hAnsi="Arial" w:cs="Arial"/>
                <w:color w:val="000000" w:themeColor="text1"/>
              </w:rPr>
              <w:t>Science</w:t>
            </w:r>
          </w:p>
        </w:tc>
        <w:tc>
          <w:tcPr>
            <w:tcW w:w="2640" w:type="dxa"/>
            <w:vAlign w:val="bottom"/>
          </w:tcPr>
          <w:p w14:paraId="4A6F6987" w14:textId="56CBCE1A" w:rsidR="00453C76" w:rsidRPr="006C52F8" w:rsidRDefault="00453C76" w:rsidP="00453C76">
            <w:pPr>
              <w:jc w:val="right"/>
              <w:rPr>
                <w:rFonts w:ascii="Arial" w:hAnsi="Arial" w:cs="Arial"/>
                <w:color w:val="000000"/>
              </w:rPr>
            </w:pPr>
            <w:r w:rsidRPr="006C52F8">
              <w:rPr>
                <w:rFonts w:ascii="Arial" w:hAnsi="Arial" w:cs="Arial"/>
                <w:color w:val="000000"/>
              </w:rPr>
              <w:t>214,016</w:t>
            </w:r>
          </w:p>
        </w:tc>
        <w:tc>
          <w:tcPr>
            <w:tcW w:w="2643" w:type="dxa"/>
            <w:vAlign w:val="bottom"/>
          </w:tcPr>
          <w:p w14:paraId="2F304652" w14:textId="3F761717" w:rsidR="00453C76" w:rsidRPr="006C52F8" w:rsidRDefault="00453C76" w:rsidP="00453C76">
            <w:pPr>
              <w:jc w:val="right"/>
              <w:rPr>
                <w:rFonts w:ascii="Arial" w:hAnsi="Arial" w:cs="Arial"/>
                <w:color w:val="000000"/>
              </w:rPr>
            </w:pPr>
            <w:r w:rsidRPr="006C52F8">
              <w:rPr>
                <w:rFonts w:ascii="Arial" w:hAnsi="Arial" w:cs="Arial"/>
                <w:color w:val="000000"/>
              </w:rPr>
              <w:t>182,374</w:t>
            </w:r>
          </w:p>
        </w:tc>
        <w:tc>
          <w:tcPr>
            <w:tcW w:w="2580" w:type="dxa"/>
            <w:vAlign w:val="bottom"/>
          </w:tcPr>
          <w:p w14:paraId="6A068F4E" w14:textId="0909032C" w:rsidR="00453C76" w:rsidRPr="006C52F8" w:rsidRDefault="00453C76" w:rsidP="00453C76">
            <w:pPr>
              <w:jc w:val="right"/>
              <w:rPr>
                <w:rFonts w:ascii="Arial" w:hAnsi="Arial" w:cs="Arial"/>
                <w:color w:val="000000"/>
              </w:rPr>
            </w:pPr>
            <w:r w:rsidRPr="006C52F8">
              <w:rPr>
                <w:rFonts w:ascii="Arial" w:hAnsi="Arial" w:cs="Arial"/>
                <w:color w:val="000000"/>
              </w:rPr>
              <w:t>85.22%</w:t>
            </w:r>
          </w:p>
        </w:tc>
      </w:tr>
    </w:tbl>
    <w:p w14:paraId="6018EEAC" w14:textId="4F65486D" w:rsidR="00B355C5" w:rsidRPr="006C52F8" w:rsidRDefault="00B355C5" w:rsidP="000E20C5">
      <w:pPr>
        <w:tabs>
          <w:tab w:val="left" w:pos="180"/>
        </w:tabs>
        <w:spacing w:before="60" w:after="40"/>
        <w:ind w:left="180" w:hanging="180"/>
        <w:rPr>
          <w:rFonts w:ascii="Arial" w:hAnsi="Arial" w:cs="Arial"/>
          <w:color w:val="000000" w:themeColor="text1"/>
        </w:rPr>
      </w:pPr>
      <w:r w:rsidRPr="006C52F8">
        <w:rPr>
          <w:rFonts w:ascii="Arial" w:hAnsi="Arial" w:cs="Arial"/>
          <w:color w:val="000000" w:themeColor="text1"/>
          <w:vertAlign w:val="superscript"/>
        </w:rPr>
        <w:t>*</w:t>
      </w:r>
      <w:r w:rsidR="000E20C5" w:rsidRPr="006C52F8">
        <w:rPr>
          <w:rFonts w:ascii="Arial" w:hAnsi="Arial" w:cs="Arial"/>
          <w:color w:val="000000" w:themeColor="text1"/>
          <w:vertAlign w:val="superscript"/>
        </w:rPr>
        <w:tab/>
      </w:r>
      <w:r w:rsidRPr="006C52F8">
        <w:rPr>
          <w:rFonts w:ascii="Arial" w:hAnsi="Arial" w:cs="Arial"/>
          <w:color w:val="000000" w:themeColor="text1"/>
        </w:rPr>
        <w:t xml:space="preserve">Includes students with an Individuals with Disabilities Education Act (IDEA) indicator who are eligible for general and alternate assessments. </w:t>
      </w:r>
    </w:p>
    <w:p w14:paraId="37892576" w14:textId="22D23472" w:rsidR="00B355C5" w:rsidRPr="006C52F8" w:rsidRDefault="00B355C5" w:rsidP="000E20C5">
      <w:pPr>
        <w:tabs>
          <w:tab w:val="left" w:pos="180"/>
        </w:tabs>
        <w:rPr>
          <w:rFonts w:ascii="Arial" w:hAnsi="Arial" w:cs="Arial"/>
          <w:color w:val="000000" w:themeColor="text1"/>
        </w:rPr>
      </w:pPr>
      <w:r w:rsidRPr="006C52F8">
        <w:rPr>
          <w:rFonts w:ascii="Arial" w:hAnsi="Arial" w:cs="Arial"/>
          <w:color w:val="000000" w:themeColor="text1"/>
          <w:vertAlign w:val="superscript"/>
        </w:rPr>
        <w:t>†</w:t>
      </w:r>
      <w:r w:rsidR="000E20C5" w:rsidRPr="006C52F8">
        <w:rPr>
          <w:rFonts w:ascii="Arial" w:hAnsi="Arial" w:cs="Arial"/>
          <w:color w:val="000000" w:themeColor="text1"/>
          <w:vertAlign w:val="superscript"/>
        </w:rPr>
        <w:tab/>
      </w:r>
      <w:r w:rsidRPr="006C52F8">
        <w:rPr>
          <w:rFonts w:ascii="Arial" w:hAnsi="Arial" w:cs="Arial"/>
          <w:color w:val="000000" w:themeColor="text1"/>
        </w:rPr>
        <w:t>Includes both general and alternate assessments.</w:t>
      </w:r>
    </w:p>
    <w:p w14:paraId="706EE8F4" w14:textId="77777777" w:rsidR="00B355C5" w:rsidRPr="006C52F8" w:rsidRDefault="00B355C5" w:rsidP="00B355C5">
      <w:pPr>
        <w:spacing w:before="240" w:after="240"/>
        <w:outlineLvl w:val="3"/>
        <w:rPr>
          <w:rFonts w:ascii="Arial" w:hAnsi="Arial"/>
          <w:b/>
          <w:color w:val="000000" w:themeColor="text1"/>
        </w:rPr>
      </w:pPr>
      <w:r w:rsidRPr="006C52F8">
        <w:rPr>
          <w:rFonts w:ascii="Arial" w:hAnsi="Arial"/>
          <w:b/>
          <w:color w:val="000000" w:themeColor="text1"/>
        </w:rPr>
        <w:t xml:space="preserve">Estimated Participation Rates for 2022–23 </w:t>
      </w:r>
    </w:p>
    <w:p w14:paraId="69EBCC2E" w14:textId="3C99CFBB" w:rsidR="00B355C5" w:rsidRPr="006C52F8" w:rsidRDefault="00B355C5" w:rsidP="000E20C5">
      <w:pPr>
        <w:spacing w:before="120" w:after="240"/>
        <w:rPr>
          <w:rFonts w:ascii="Arial" w:eastAsia="Arial" w:hAnsi="Arial" w:cs="Arial"/>
        </w:rPr>
      </w:pPr>
      <w:r w:rsidRPr="006C52F8">
        <w:rPr>
          <w:rFonts w:ascii="Arial" w:eastAsia="Arial" w:hAnsi="Arial" w:cs="Arial"/>
        </w:rPr>
        <w:t xml:space="preserve">The CDE has reviewed alternate assessment registration </w:t>
      </w:r>
      <w:r w:rsidR="008D33C9" w:rsidRPr="006C52F8">
        <w:rPr>
          <w:rFonts w:ascii="Arial" w:eastAsia="Arial" w:hAnsi="Arial" w:cs="Arial"/>
        </w:rPr>
        <w:t xml:space="preserve">and participation </w:t>
      </w:r>
      <w:r w:rsidRPr="006C52F8">
        <w:rPr>
          <w:rFonts w:ascii="Arial" w:eastAsia="Arial" w:hAnsi="Arial" w:cs="Arial"/>
        </w:rPr>
        <w:t xml:space="preserve">data from 2021–22. After reviewing that and other relevant data, the CDE estimates that the state will exceed the 1.0 percent cap on the percentage of eligible students with the most significant cognitive disabilities who may be assessed with an AA-AAAS. </w:t>
      </w:r>
    </w:p>
    <w:p w14:paraId="1604DE26" w14:textId="5D04A2AC" w:rsidR="00B355C5" w:rsidRPr="006C52F8" w:rsidRDefault="00B355C5" w:rsidP="00B355C5">
      <w:pPr>
        <w:spacing w:after="240"/>
        <w:rPr>
          <w:rFonts w:ascii="Arial" w:eastAsia="Arial" w:hAnsi="Arial" w:cs="Arial"/>
          <w:color w:val="000000" w:themeColor="text1"/>
        </w:rPr>
      </w:pPr>
      <w:r w:rsidRPr="006C52F8">
        <w:rPr>
          <w:rFonts w:ascii="Arial" w:eastAsia="Calibri" w:hAnsi="Arial" w:cs="Arial"/>
        </w:rPr>
        <w:t xml:space="preserve">Table 3 </w:t>
      </w:r>
      <w:r w:rsidRPr="006C52F8">
        <w:rPr>
          <w:rFonts w:ascii="Arial" w:eastAsia="Arial" w:hAnsi="Arial" w:cs="Arial"/>
          <w:color w:val="000000" w:themeColor="text1"/>
        </w:rPr>
        <w:t xml:space="preserve">shows the CAA participation rate estimates for all </w:t>
      </w:r>
      <w:r w:rsidR="00C66BB4" w:rsidRPr="006C52F8">
        <w:rPr>
          <w:rFonts w:ascii="Arial" w:eastAsia="Arial" w:hAnsi="Arial" w:cs="Arial"/>
          <w:color w:val="000000" w:themeColor="text1"/>
        </w:rPr>
        <w:t xml:space="preserve">eligible </w:t>
      </w:r>
      <w:r w:rsidRPr="006C52F8">
        <w:rPr>
          <w:rFonts w:ascii="Arial" w:eastAsia="Arial" w:hAnsi="Arial" w:cs="Arial"/>
          <w:color w:val="000000" w:themeColor="text1"/>
        </w:rPr>
        <w:t>students in 2022–23.</w:t>
      </w:r>
    </w:p>
    <w:p w14:paraId="53CB1EB0" w14:textId="28FC8237" w:rsidR="00B355C5" w:rsidRPr="006C52F8" w:rsidRDefault="00B355C5" w:rsidP="001C5149">
      <w:pPr>
        <w:spacing w:after="60"/>
        <w:rPr>
          <w:rFonts w:ascii="Arial" w:eastAsia="Calibri" w:hAnsi="Arial" w:cs="Arial"/>
        </w:rPr>
      </w:pPr>
      <w:r w:rsidRPr="006C52F8">
        <w:rPr>
          <w:rFonts w:ascii="Arial" w:eastAsia="Calibri" w:hAnsi="Arial" w:cs="Arial"/>
        </w:rPr>
        <w:t>Table 3. Estimated CAA Participation Rates of Eligible Students by Content Area, 2023</w:t>
      </w:r>
    </w:p>
    <w:tbl>
      <w:tblPr>
        <w:tblStyle w:val="TableGrid11"/>
        <w:tblW w:w="0" w:type="auto"/>
        <w:tblLook w:val="04A0" w:firstRow="1" w:lastRow="0" w:firstColumn="1" w:lastColumn="0" w:noHBand="0" w:noVBand="1"/>
        <w:tblCaption w:val="Table 3. Estimated CAA Participation Rates of Eligible Students by Content Area, 2023"/>
        <w:tblDescription w:val="Table 3 shows the CAA participation rate estimates for all students in 2022–23."/>
      </w:tblPr>
      <w:tblGrid>
        <w:gridCol w:w="1311"/>
        <w:gridCol w:w="2910"/>
        <w:gridCol w:w="2704"/>
        <w:gridCol w:w="2425"/>
      </w:tblGrid>
      <w:tr w:rsidR="00B355C5" w:rsidRPr="006C52F8" w14:paraId="3F06D74D" w14:textId="77777777" w:rsidTr="00495C51">
        <w:trPr>
          <w:trHeight w:val="1952"/>
          <w:tblHeader/>
        </w:trPr>
        <w:tc>
          <w:tcPr>
            <w:tcW w:w="1311" w:type="dxa"/>
            <w:shd w:val="clear" w:color="auto" w:fill="D9D9D9" w:themeFill="background1" w:themeFillShade="D9"/>
            <w:vAlign w:val="center"/>
          </w:tcPr>
          <w:p w14:paraId="32651955" w14:textId="77777777" w:rsidR="00B355C5" w:rsidRPr="006C52F8" w:rsidRDefault="00B355C5" w:rsidP="001C5149">
            <w:pPr>
              <w:jc w:val="center"/>
              <w:rPr>
                <w:rFonts w:ascii="Arial" w:hAnsi="Arial" w:cs="Arial"/>
                <w:b/>
                <w:bCs/>
                <w:color w:val="000000" w:themeColor="text1"/>
              </w:rPr>
            </w:pPr>
            <w:r w:rsidRPr="006C52F8">
              <w:rPr>
                <w:rFonts w:ascii="Arial" w:hAnsi="Arial" w:cs="Arial"/>
                <w:b/>
                <w:bCs/>
                <w:color w:val="000000" w:themeColor="text1"/>
              </w:rPr>
              <w:t>Content Area</w:t>
            </w:r>
          </w:p>
        </w:tc>
        <w:tc>
          <w:tcPr>
            <w:tcW w:w="2910" w:type="dxa"/>
            <w:shd w:val="clear" w:color="auto" w:fill="D9D9D9" w:themeFill="background1" w:themeFillShade="D9"/>
            <w:vAlign w:val="center"/>
          </w:tcPr>
          <w:p w14:paraId="6B89B216" w14:textId="77777777" w:rsidR="00B355C5" w:rsidRPr="006C52F8" w:rsidRDefault="00B355C5" w:rsidP="001C5149">
            <w:pPr>
              <w:jc w:val="center"/>
              <w:rPr>
                <w:rFonts w:ascii="Arial" w:hAnsi="Arial" w:cs="Arial"/>
                <w:b/>
                <w:bCs/>
                <w:color w:val="000000" w:themeColor="text1"/>
              </w:rPr>
            </w:pPr>
            <w:r w:rsidRPr="006C52F8">
              <w:rPr>
                <w:rFonts w:ascii="Arial" w:hAnsi="Arial" w:cs="Arial"/>
                <w:b/>
                <w:bCs/>
                <w:color w:val="000000" w:themeColor="text1"/>
              </w:rPr>
              <w:t>Estimated Number of Students Eligible for CAA, 2023 (based on enrollment/registration)</w:t>
            </w:r>
          </w:p>
        </w:tc>
        <w:tc>
          <w:tcPr>
            <w:tcW w:w="2704" w:type="dxa"/>
            <w:shd w:val="clear" w:color="auto" w:fill="D9D9D9" w:themeFill="background1" w:themeFillShade="D9"/>
            <w:vAlign w:val="center"/>
          </w:tcPr>
          <w:p w14:paraId="1C81D886" w14:textId="77777777" w:rsidR="00B355C5" w:rsidRPr="006C52F8" w:rsidRDefault="00B355C5" w:rsidP="001C5149">
            <w:pPr>
              <w:jc w:val="center"/>
              <w:rPr>
                <w:rFonts w:ascii="Arial" w:hAnsi="Arial" w:cs="Arial"/>
                <w:b/>
                <w:bCs/>
                <w:color w:val="000000" w:themeColor="text1"/>
              </w:rPr>
            </w:pPr>
            <w:r w:rsidRPr="006C52F8">
              <w:rPr>
                <w:rFonts w:ascii="Arial" w:hAnsi="Arial" w:cs="Arial"/>
                <w:b/>
                <w:bCs/>
                <w:color w:val="000000" w:themeColor="text1"/>
              </w:rPr>
              <w:t>Estimated Number of Students Assessed with CAA, 2023 (estimate based on 95% participation)</w:t>
            </w:r>
          </w:p>
        </w:tc>
        <w:tc>
          <w:tcPr>
            <w:tcW w:w="2425" w:type="dxa"/>
            <w:shd w:val="clear" w:color="auto" w:fill="D9D9D9" w:themeFill="background1" w:themeFillShade="D9"/>
            <w:vAlign w:val="center"/>
          </w:tcPr>
          <w:p w14:paraId="3C5C6120" w14:textId="77777777" w:rsidR="00B355C5" w:rsidRPr="006C52F8" w:rsidRDefault="00B355C5" w:rsidP="001C5149">
            <w:pPr>
              <w:jc w:val="center"/>
              <w:rPr>
                <w:rFonts w:ascii="Arial" w:hAnsi="Arial" w:cs="Arial"/>
                <w:b/>
                <w:bCs/>
                <w:color w:val="000000" w:themeColor="text1"/>
              </w:rPr>
            </w:pPr>
            <w:r w:rsidRPr="006C52F8">
              <w:rPr>
                <w:rFonts w:ascii="Arial" w:hAnsi="Arial" w:cs="Arial"/>
                <w:b/>
                <w:bCs/>
                <w:color w:val="000000" w:themeColor="text1"/>
              </w:rPr>
              <w:t>Participation Rate, 2023 (estimate)</w:t>
            </w:r>
          </w:p>
        </w:tc>
      </w:tr>
      <w:tr w:rsidR="00B355C5" w:rsidRPr="006C52F8" w14:paraId="4568271E" w14:textId="77777777" w:rsidTr="0028761B">
        <w:trPr>
          <w:trHeight w:val="320"/>
        </w:trPr>
        <w:tc>
          <w:tcPr>
            <w:tcW w:w="1311" w:type="dxa"/>
            <w:vAlign w:val="center"/>
          </w:tcPr>
          <w:p w14:paraId="047E742D" w14:textId="77777777" w:rsidR="00B355C5" w:rsidRPr="006C52F8" w:rsidRDefault="00B355C5" w:rsidP="001C5149">
            <w:pPr>
              <w:rPr>
                <w:rFonts w:ascii="Arial" w:hAnsi="Arial" w:cs="Arial"/>
                <w:color w:val="000000" w:themeColor="text1"/>
              </w:rPr>
            </w:pPr>
            <w:r w:rsidRPr="006C52F8">
              <w:rPr>
                <w:rFonts w:ascii="Arial" w:hAnsi="Arial" w:cs="Arial"/>
                <w:color w:val="000000" w:themeColor="text1"/>
              </w:rPr>
              <w:t>ELA</w:t>
            </w:r>
          </w:p>
        </w:tc>
        <w:tc>
          <w:tcPr>
            <w:tcW w:w="2910" w:type="dxa"/>
            <w:vAlign w:val="center"/>
          </w:tcPr>
          <w:p w14:paraId="023B959A" w14:textId="7A1C45AE" w:rsidR="00B355C5" w:rsidRPr="006C52F8" w:rsidRDefault="00834F57" w:rsidP="001C5149">
            <w:pPr>
              <w:jc w:val="right"/>
              <w:rPr>
                <w:rFonts w:ascii="Arial" w:hAnsi="Arial" w:cs="Arial"/>
                <w:color w:val="000000" w:themeColor="text1"/>
              </w:rPr>
            </w:pPr>
            <w:r w:rsidRPr="006C52F8">
              <w:rPr>
                <w:rFonts w:ascii="Arial" w:hAnsi="Arial" w:cs="Arial"/>
                <w:color w:val="000000" w:themeColor="text1"/>
              </w:rPr>
              <w:t>TBD</w:t>
            </w:r>
          </w:p>
        </w:tc>
        <w:tc>
          <w:tcPr>
            <w:tcW w:w="2704" w:type="dxa"/>
            <w:vAlign w:val="center"/>
          </w:tcPr>
          <w:p w14:paraId="42E6F1B6" w14:textId="29AA0BEA" w:rsidR="00B355C5" w:rsidRPr="006C52F8" w:rsidRDefault="00834F57" w:rsidP="001C5149">
            <w:pPr>
              <w:jc w:val="right"/>
              <w:rPr>
                <w:rFonts w:ascii="Arial" w:hAnsi="Arial" w:cs="Arial"/>
                <w:color w:val="000000" w:themeColor="text1"/>
              </w:rPr>
            </w:pPr>
            <w:r w:rsidRPr="006C52F8">
              <w:rPr>
                <w:rFonts w:ascii="Arial" w:hAnsi="Arial" w:cs="Arial"/>
                <w:color w:val="000000" w:themeColor="text1"/>
              </w:rPr>
              <w:t>TBD</w:t>
            </w:r>
          </w:p>
        </w:tc>
        <w:tc>
          <w:tcPr>
            <w:tcW w:w="2425" w:type="dxa"/>
            <w:vAlign w:val="center"/>
          </w:tcPr>
          <w:p w14:paraId="30D3B8E0" w14:textId="77777777" w:rsidR="00B355C5" w:rsidRPr="006C52F8" w:rsidRDefault="00B355C5" w:rsidP="00F36A9F">
            <w:pPr>
              <w:jc w:val="right"/>
              <w:rPr>
                <w:rFonts w:ascii="Arial" w:hAnsi="Arial" w:cs="Arial"/>
                <w:color w:val="000000" w:themeColor="text1"/>
              </w:rPr>
            </w:pPr>
            <w:r w:rsidRPr="006C52F8">
              <w:rPr>
                <w:rFonts w:ascii="Arial" w:hAnsi="Arial" w:cs="Arial"/>
                <w:color w:val="000000" w:themeColor="text1"/>
              </w:rPr>
              <w:t>95.00%</w:t>
            </w:r>
          </w:p>
        </w:tc>
      </w:tr>
      <w:tr w:rsidR="00B355C5" w:rsidRPr="006C52F8" w14:paraId="48D770E1" w14:textId="77777777" w:rsidTr="0028761B">
        <w:trPr>
          <w:trHeight w:val="320"/>
        </w:trPr>
        <w:tc>
          <w:tcPr>
            <w:tcW w:w="1311" w:type="dxa"/>
            <w:vAlign w:val="center"/>
          </w:tcPr>
          <w:p w14:paraId="47B17726" w14:textId="77777777" w:rsidR="00B355C5" w:rsidRPr="006C52F8" w:rsidRDefault="00B355C5" w:rsidP="001C5149">
            <w:pPr>
              <w:rPr>
                <w:rFonts w:ascii="Arial" w:hAnsi="Arial" w:cs="Arial"/>
                <w:color w:val="000000" w:themeColor="text1"/>
              </w:rPr>
            </w:pPr>
            <w:r w:rsidRPr="006C52F8">
              <w:rPr>
                <w:rFonts w:ascii="Arial" w:hAnsi="Arial" w:cs="Arial"/>
                <w:color w:val="000000" w:themeColor="text1"/>
              </w:rPr>
              <w:t>Math</w:t>
            </w:r>
          </w:p>
        </w:tc>
        <w:tc>
          <w:tcPr>
            <w:tcW w:w="2910" w:type="dxa"/>
            <w:vAlign w:val="center"/>
          </w:tcPr>
          <w:p w14:paraId="7E34D10E" w14:textId="7B97D277" w:rsidR="00B355C5" w:rsidRPr="006C52F8" w:rsidRDefault="00834F57" w:rsidP="001C5149">
            <w:pPr>
              <w:jc w:val="right"/>
              <w:rPr>
                <w:rFonts w:ascii="Arial" w:hAnsi="Arial" w:cs="Arial"/>
                <w:color w:val="000000" w:themeColor="text1"/>
              </w:rPr>
            </w:pPr>
            <w:r w:rsidRPr="006C52F8">
              <w:rPr>
                <w:rFonts w:ascii="Arial" w:hAnsi="Arial" w:cs="Arial"/>
                <w:color w:val="000000" w:themeColor="text1"/>
              </w:rPr>
              <w:t>TBD</w:t>
            </w:r>
          </w:p>
        </w:tc>
        <w:tc>
          <w:tcPr>
            <w:tcW w:w="2704" w:type="dxa"/>
            <w:vAlign w:val="center"/>
          </w:tcPr>
          <w:p w14:paraId="4B4507A3" w14:textId="0A7223DB" w:rsidR="00B355C5" w:rsidRPr="006C52F8" w:rsidRDefault="00834F57" w:rsidP="001C5149">
            <w:pPr>
              <w:jc w:val="right"/>
              <w:rPr>
                <w:rFonts w:ascii="Arial" w:hAnsi="Arial" w:cs="Arial"/>
                <w:color w:val="000000" w:themeColor="text1"/>
              </w:rPr>
            </w:pPr>
            <w:r w:rsidRPr="006C52F8">
              <w:rPr>
                <w:rFonts w:ascii="Arial" w:hAnsi="Arial" w:cs="Arial"/>
                <w:color w:val="000000" w:themeColor="text1"/>
              </w:rPr>
              <w:t>TBD</w:t>
            </w:r>
          </w:p>
        </w:tc>
        <w:tc>
          <w:tcPr>
            <w:tcW w:w="2425" w:type="dxa"/>
            <w:vAlign w:val="center"/>
          </w:tcPr>
          <w:p w14:paraId="3242D44E" w14:textId="77777777" w:rsidR="00B355C5" w:rsidRPr="006C52F8" w:rsidRDefault="00B355C5" w:rsidP="00F36A9F">
            <w:pPr>
              <w:jc w:val="right"/>
              <w:rPr>
                <w:rFonts w:ascii="Arial" w:hAnsi="Arial" w:cs="Arial"/>
                <w:color w:val="000000" w:themeColor="text1"/>
              </w:rPr>
            </w:pPr>
            <w:r w:rsidRPr="006C52F8">
              <w:rPr>
                <w:rFonts w:ascii="Arial" w:hAnsi="Arial" w:cs="Arial"/>
                <w:color w:val="000000" w:themeColor="text1"/>
              </w:rPr>
              <w:t>95.00%</w:t>
            </w:r>
          </w:p>
        </w:tc>
      </w:tr>
      <w:tr w:rsidR="00B355C5" w:rsidRPr="006C52F8" w14:paraId="14B97040" w14:textId="77777777" w:rsidTr="0028761B">
        <w:trPr>
          <w:trHeight w:val="320"/>
        </w:trPr>
        <w:tc>
          <w:tcPr>
            <w:tcW w:w="1311" w:type="dxa"/>
            <w:vAlign w:val="center"/>
          </w:tcPr>
          <w:p w14:paraId="0C123897" w14:textId="77777777" w:rsidR="00B355C5" w:rsidRPr="006C52F8" w:rsidRDefault="00B355C5" w:rsidP="001C5149">
            <w:pPr>
              <w:rPr>
                <w:rFonts w:ascii="Arial" w:hAnsi="Arial" w:cs="Arial"/>
                <w:color w:val="000000" w:themeColor="text1"/>
              </w:rPr>
            </w:pPr>
            <w:r w:rsidRPr="006C52F8">
              <w:rPr>
                <w:rFonts w:ascii="Arial" w:hAnsi="Arial" w:cs="Arial"/>
                <w:color w:val="000000" w:themeColor="text1"/>
              </w:rPr>
              <w:t>Science</w:t>
            </w:r>
          </w:p>
        </w:tc>
        <w:tc>
          <w:tcPr>
            <w:tcW w:w="2910" w:type="dxa"/>
            <w:vAlign w:val="center"/>
          </w:tcPr>
          <w:p w14:paraId="3211ABF5" w14:textId="57D64F84" w:rsidR="00B355C5" w:rsidRPr="006C52F8" w:rsidRDefault="00834F57" w:rsidP="001C5149">
            <w:pPr>
              <w:jc w:val="right"/>
              <w:rPr>
                <w:rFonts w:ascii="Arial" w:hAnsi="Arial" w:cs="Arial"/>
                <w:color w:val="000000" w:themeColor="text1"/>
              </w:rPr>
            </w:pPr>
            <w:r w:rsidRPr="006C52F8">
              <w:rPr>
                <w:rFonts w:ascii="Arial" w:hAnsi="Arial" w:cs="Arial"/>
                <w:color w:val="000000" w:themeColor="text1"/>
              </w:rPr>
              <w:t>TBD</w:t>
            </w:r>
          </w:p>
        </w:tc>
        <w:tc>
          <w:tcPr>
            <w:tcW w:w="2704" w:type="dxa"/>
            <w:vAlign w:val="center"/>
          </w:tcPr>
          <w:p w14:paraId="6AFEAB32" w14:textId="53B55551" w:rsidR="00B355C5" w:rsidRPr="006C52F8" w:rsidRDefault="00834F57" w:rsidP="001C5149">
            <w:pPr>
              <w:jc w:val="right"/>
              <w:rPr>
                <w:rFonts w:ascii="Arial" w:hAnsi="Arial" w:cs="Arial"/>
                <w:color w:val="000000" w:themeColor="text1"/>
              </w:rPr>
            </w:pPr>
            <w:r w:rsidRPr="006C52F8">
              <w:rPr>
                <w:rFonts w:ascii="Arial" w:hAnsi="Arial" w:cs="Arial"/>
                <w:color w:val="000000" w:themeColor="text1"/>
              </w:rPr>
              <w:t>TBD</w:t>
            </w:r>
          </w:p>
        </w:tc>
        <w:tc>
          <w:tcPr>
            <w:tcW w:w="2425" w:type="dxa"/>
            <w:vAlign w:val="center"/>
          </w:tcPr>
          <w:p w14:paraId="46FA8B29" w14:textId="77777777" w:rsidR="00B355C5" w:rsidRPr="006C52F8" w:rsidRDefault="00B355C5" w:rsidP="00F36A9F">
            <w:pPr>
              <w:jc w:val="right"/>
              <w:rPr>
                <w:rFonts w:ascii="Arial" w:hAnsi="Arial" w:cs="Arial"/>
                <w:color w:val="000000" w:themeColor="text1"/>
              </w:rPr>
            </w:pPr>
            <w:r w:rsidRPr="006C52F8">
              <w:rPr>
                <w:rFonts w:ascii="Arial" w:hAnsi="Arial" w:cs="Arial"/>
                <w:color w:val="000000" w:themeColor="text1"/>
              </w:rPr>
              <w:t>95.00%</w:t>
            </w:r>
          </w:p>
        </w:tc>
      </w:tr>
    </w:tbl>
    <w:p w14:paraId="7F0D9D29" w14:textId="77777777" w:rsidR="00B355C5" w:rsidRPr="006C52F8" w:rsidRDefault="00B355C5" w:rsidP="001C5149">
      <w:pPr>
        <w:keepNext/>
        <w:spacing w:before="240" w:after="240"/>
        <w:rPr>
          <w:rFonts w:ascii="Arial" w:eastAsia="Arial" w:hAnsi="Arial" w:cs="Arial"/>
          <w:color w:val="000000" w:themeColor="text1"/>
        </w:rPr>
      </w:pPr>
      <w:r w:rsidRPr="006C52F8">
        <w:rPr>
          <w:rFonts w:ascii="Arial" w:eastAsia="Calibri" w:hAnsi="Arial" w:cs="Arial"/>
        </w:rPr>
        <w:lastRenderedPageBreak/>
        <w:t xml:space="preserve">Table 4 </w:t>
      </w:r>
      <w:r w:rsidRPr="006C52F8">
        <w:rPr>
          <w:rFonts w:ascii="Arial" w:eastAsia="Arial" w:hAnsi="Arial" w:cs="Arial"/>
          <w:color w:val="000000" w:themeColor="text1"/>
        </w:rPr>
        <w:t>shows the overall participation rate estimates for all students in 2022–23.</w:t>
      </w:r>
    </w:p>
    <w:p w14:paraId="48532BC6" w14:textId="345CE9E5" w:rsidR="00B355C5" w:rsidRPr="006C52F8" w:rsidRDefault="00B355C5" w:rsidP="001C5149">
      <w:pPr>
        <w:keepNext/>
        <w:spacing w:after="60"/>
        <w:rPr>
          <w:rFonts w:ascii="Arial" w:eastAsia="Calibri" w:hAnsi="Arial" w:cs="Arial"/>
        </w:rPr>
      </w:pPr>
      <w:r w:rsidRPr="006C52F8">
        <w:rPr>
          <w:rFonts w:ascii="Arial" w:eastAsia="Calibri" w:hAnsi="Arial" w:cs="Arial"/>
        </w:rPr>
        <w:t>Table 4. Estimated Overall Participation Rates for All Students, 2023</w:t>
      </w:r>
    </w:p>
    <w:tbl>
      <w:tblPr>
        <w:tblStyle w:val="TableGrid11"/>
        <w:tblW w:w="0" w:type="auto"/>
        <w:tblLook w:val="04A0" w:firstRow="1" w:lastRow="0" w:firstColumn="1" w:lastColumn="0" w:noHBand="0" w:noVBand="1"/>
        <w:tblCaption w:val="Table 4. Estimated Overall Participation Rates for All Students, 2023"/>
        <w:tblDescription w:val="Table 4 shows the overall participation rate estimates for all students in 2022–23."/>
      </w:tblPr>
      <w:tblGrid>
        <w:gridCol w:w="1255"/>
        <w:gridCol w:w="2970"/>
        <w:gridCol w:w="2686"/>
        <w:gridCol w:w="2439"/>
      </w:tblGrid>
      <w:tr w:rsidR="00B355C5" w:rsidRPr="006C52F8" w14:paraId="51D3E40D" w14:textId="77777777" w:rsidTr="00495C51">
        <w:trPr>
          <w:trHeight w:val="1655"/>
          <w:tblHeader/>
        </w:trPr>
        <w:tc>
          <w:tcPr>
            <w:tcW w:w="1255" w:type="dxa"/>
            <w:shd w:val="clear" w:color="auto" w:fill="D9D9D9" w:themeFill="background1" w:themeFillShade="D9"/>
            <w:vAlign w:val="center"/>
          </w:tcPr>
          <w:p w14:paraId="39C32AC4" w14:textId="77777777"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Content Area</w:t>
            </w:r>
          </w:p>
        </w:tc>
        <w:tc>
          <w:tcPr>
            <w:tcW w:w="2970" w:type="dxa"/>
            <w:shd w:val="clear" w:color="auto" w:fill="D9D9D9" w:themeFill="background1" w:themeFillShade="D9"/>
            <w:vAlign w:val="center"/>
          </w:tcPr>
          <w:p w14:paraId="0F4C60E5" w14:textId="477B7596"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Estimated Number of Eligible Students, 2023 (based on enrollment/</w:t>
            </w:r>
            <w:r w:rsidR="00D8422D" w:rsidRPr="006C52F8">
              <w:rPr>
                <w:rFonts w:ascii="Arial" w:hAnsi="Arial" w:cs="Arial"/>
                <w:b/>
                <w:bCs/>
                <w:color w:val="000000" w:themeColor="text1"/>
              </w:rPr>
              <w:br/>
            </w:r>
            <w:r w:rsidRPr="006C52F8">
              <w:rPr>
                <w:rFonts w:ascii="Arial" w:hAnsi="Arial" w:cs="Arial"/>
                <w:b/>
                <w:bCs/>
                <w:color w:val="000000" w:themeColor="text1"/>
              </w:rPr>
              <w:t>registration)</w:t>
            </w:r>
          </w:p>
        </w:tc>
        <w:tc>
          <w:tcPr>
            <w:tcW w:w="2686" w:type="dxa"/>
            <w:shd w:val="clear" w:color="auto" w:fill="D9D9D9" w:themeFill="background1" w:themeFillShade="D9"/>
            <w:vAlign w:val="center"/>
          </w:tcPr>
          <w:p w14:paraId="002DF3CF" w14:textId="2F11AFE5"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Number of Students Assessed, 2023 (estimate based on 95% participation)</w:t>
            </w:r>
          </w:p>
        </w:tc>
        <w:tc>
          <w:tcPr>
            <w:tcW w:w="2439" w:type="dxa"/>
            <w:shd w:val="clear" w:color="auto" w:fill="D9D9D9" w:themeFill="background1" w:themeFillShade="D9"/>
            <w:vAlign w:val="center"/>
          </w:tcPr>
          <w:p w14:paraId="7DEEEBAA" w14:textId="77777777" w:rsidR="00B355C5" w:rsidRPr="006C52F8" w:rsidRDefault="00B355C5" w:rsidP="50D9BCFB">
            <w:pPr>
              <w:jc w:val="center"/>
              <w:rPr>
                <w:rFonts w:ascii="Arial" w:hAnsi="Arial" w:cs="Arial"/>
                <w:b/>
                <w:bCs/>
                <w:color w:val="000000" w:themeColor="text1"/>
              </w:rPr>
            </w:pPr>
            <w:r w:rsidRPr="006C52F8">
              <w:rPr>
                <w:rFonts w:ascii="Arial" w:hAnsi="Arial" w:cs="Arial"/>
                <w:b/>
                <w:bCs/>
                <w:color w:val="000000" w:themeColor="text1"/>
              </w:rPr>
              <w:t>Participation Rate, 2023 (estimate)</w:t>
            </w:r>
          </w:p>
        </w:tc>
      </w:tr>
      <w:tr w:rsidR="00834F57" w:rsidRPr="006C52F8" w14:paraId="796864FC" w14:textId="77777777" w:rsidTr="002C0F68">
        <w:trPr>
          <w:trHeight w:val="320"/>
        </w:trPr>
        <w:tc>
          <w:tcPr>
            <w:tcW w:w="1255" w:type="dxa"/>
            <w:vAlign w:val="center"/>
          </w:tcPr>
          <w:p w14:paraId="48E0A25C" w14:textId="55E131B7" w:rsidR="00834F57" w:rsidRPr="006C52F8" w:rsidRDefault="00834F57" w:rsidP="00834F57">
            <w:pPr>
              <w:rPr>
                <w:rFonts w:ascii="Arial" w:hAnsi="Arial" w:cs="Arial"/>
                <w:color w:val="000000" w:themeColor="text1"/>
              </w:rPr>
            </w:pPr>
            <w:r w:rsidRPr="006C52F8">
              <w:rPr>
                <w:rFonts w:ascii="Arial" w:hAnsi="Arial" w:cs="Arial"/>
                <w:color w:val="000000" w:themeColor="text1"/>
              </w:rPr>
              <w:t>ELA</w:t>
            </w:r>
          </w:p>
        </w:tc>
        <w:tc>
          <w:tcPr>
            <w:tcW w:w="2970" w:type="dxa"/>
          </w:tcPr>
          <w:p w14:paraId="6CC182E1" w14:textId="21C21903" w:rsidR="00834F57" w:rsidRPr="006C52F8" w:rsidRDefault="00834F57" w:rsidP="00834F57">
            <w:pPr>
              <w:jc w:val="right"/>
              <w:rPr>
                <w:rFonts w:ascii="Arial" w:hAnsi="Arial" w:cs="Arial"/>
                <w:color w:val="000000" w:themeColor="text1"/>
              </w:rPr>
            </w:pPr>
            <w:r w:rsidRPr="006C52F8">
              <w:rPr>
                <w:rFonts w:ascii="Arial" w:hAnsi="Arial" w:cs="Arial"/>
                <w:color w:val="000000" w:themeColor="text1"/>
              </w:rPr>
              <w:t>TBD</w:t>
            </w:r>
          </w:p>
        </w:tc>
        <w:tc>
          <w:tcPr>
            <w:tcW w:w="2686" w:type="dxa"/>
          </w:tcPr>
          <w:p w14:paraId="56C6DB50" w14:textId="2E465D49" w:rsidR="00834F57" w:rsidRPr="006C52F8" w:rsidRDefault="00834F57" w:rsidP="00834F57">
            <w:pPr>
              <w:jc w:val="right"/>
              <w:rPr>
                <w:rFonts w:ascii="Arial" w:hAnsi="Arial" w:cs="Arial"/>
                <w:color w:val="000000" w:themeColor="text1"/>
              </w:rPr>
            </w:pPr>
            <w:r w:rsidRPr="006C52F8">
              <w:rPr>
                <w:rFonts w:ascii="Arial" w:hAnsi="Arial" w:cs="Arial"/>
                <w:color w:val="000000" w:themeColor="text1"/>
              </w:rPr>
              <w:t>TBD</w:t>
            </w:r>
          </w:p>
        </w:tc>
        <w:tc>
          <w:tcPr>
            <w:tcW w:w="2439" w:type="dxa"/>
            <w:vAlign w:val="center"/>
          </w:tcPr>
          <w:p w14:paraId="25D8635B" w14:textId="77777777" w:rsidR="00834F57" w:rsidRPr="006C52F8" w:rsidRDefault="00834F57" w:rsidP="00F36A9F">
            <w:pPr>
              <w:jc w:val="right"/>
              <w:rPr>
                <w:rFonts w:ascii="Arial" w:hAnsi="Arial" w:cs="Arial"/>
                <w:color w:val="000000" w:themeColor="text1"/>
              </w:rPr>
            </w:pPr>
            <w:r w:rsidRPr="006C52F8">
              <w:rPr>
                <w:rFonts w:ascii="Arial" w:hAnsi="Arial" w:cs="Arial"/>
                <w:color w:val="000000" w:themeColor="text1"/>
              </w:rPr>
              <w:t>95.00%</w:t>
            </w:r>
          </w:p>
        </w:tc>
      </w:tr>
      <w:tr w:rsidR="00834F57" w:rsidRPr="006C52F8" w14:paraId="604E76C1" w14:textId="77777777" w:rsidTr="002C0F68">
        <w:trPr>
          <w:trHeight w:val="320"/>
        </w:trPr>
        <w:tc>
          <w:tcPr>
            <w:tcW w:w="1255" w:type="dxa"/>
            <w:vAlign w:val="center"/>
          </w:tcPr>
          <w:p w14:paraId="34F709F7" w14:textId="77777777" w:rsidR="00834F57" w:rsidRPr="006C52F8" w:rsidRDefault="00834F57" w:rsidP="00834F57">
            <w:pPr>
              <w:rPr>
                <w:rFonts w:ascii="Arial" w:hAnsi="Arial" w:cs="Arial"/>
                <w:color w:val="000000" w:themeColor="text1"/>
              </w:rPr>
            </w:pPr>
            <w:r w:rsidRPr="006C52F8">
              <w:rPr>
                <w:rFonts w:ascii="Arial" w:hAnsi="Arial" w:cs="Arial"/>
                <w:color w:val="000000" w:themeColor="text1"/>
              </w:rPr>
              <w:t>Math</w:t>
            </w:r>
          </w:p>
        </w:tc>
        <w:tc>
          <w:tcPr>
            <w:tcW w:w="2970" w:type="dxa"/>
          </w:tcPr>
          <w:p w14:paraId="04460A4C" w14:textId="22FCDB20" w:rsidR="00834F57" w:rsidRPr="006C52F8" w:rsidRDefault="00834F57" w:rsidP="00834F57">
            <w:pPr>
              <w:jc w:val="right"/>
              <w:rPr>
                <w:rFonts w:ascii="Arial" w:hAnsi="Arial" w:cs="Arial"/>
                <w:color w:val="000000" w:themeColor="text1"/>
              </w:rPr>
            </w:pPr>
            <w:r w:rsidRPr="006C52F8">
              <w:rPr>
                <w:rFonts w:ascii="Arial" w:hAnsi="Arial" w:cs="Arial"/>
                <w:color w:val="000000" w:themeColor="text1"/>
              </w:rPr>
              <w:t>TBD</w:t>
            </w:r>
          </w:p>
        </w:tc>
        <w:tc>
          <w:tcPr>
            <w:tcW w:w="2686" w:type="dxa"/>
          </w:tcPr>
          <w:p w14:paraId="0E05B69E" w14:textId="596F3224" w:rsidR="00834F57" w:rsidRPr="006C52F8" w:rsidRDefault="00834F57" w:rsidP="00834F57">
            <w:pPr>
              <w:jc w:val="right"/>
              <w:rPr>
                <w:rFonts w:ascii="Arial" w:hAnsi="Arial"/>
                <w:color w:val="000000" w:themeColor="text1"/>
              </w:rPr>
            </w:pPr>
            <w:r w:rsidRPr="006C52F8">
              <w:rPr>
                <w:rFonts w:ascii="Arial" w:hAnsi="Arial" w:cs="Arial"/>
                <w:color w:val="000000" w:themeColor="text1"/>
              </w:rPr>
              <w:t>TBD</w:t>
            </w:r>
          </w:p>
        </w:tc>
        <w:tc>
          <w:tcPr>
            <w:tcW w:w="2439" w:type="dxa"/>
            <w:vAlign w:val="center"/>
          </w:tcPr>
          <w:p w14:paraId="0C3B76EF" w14:textId="77777777" w:rsidR="00834F57" w:rsidRPr="006C52F8" w:rsidRDefault="00834F57" w:rsidP="00F36A9F">
            <w:pPr>
              <w:jc w:val="right"/>
              <w:rPr>
                <w:rFonts w:ascii="Arial" w:hAnsi="Arial" w:cs="Arial"/>
                <w:color w:val="000000" w:themeColor="text1"/>
              </w:rPr>
            </w:pPr>
            <w:r w:rsidRPr="006C52F8">
              <w:rPr>
                <w:rFonts w:ascii="Arial" w:hAnsi="Arial" w:cs="Arial"/>
                <w:color w:val="000000" w:themeColor="text1"/>
              </w:rPr>
              <w:t>95.00%</w:t>
            </w:r>
          </w:p>
        </w:tc>
      </w:tr>
      <w:tr w:rsidR="00834F57" w:rsidRPr="006C52F8" w14:paraId="2880DBC0" w14:textId="77777777" w:rsidTr="002C0F68">
        <w:trPr>
          <w:trHeight w:val="320"/>
        </w:trPr>
        <w:tc>
          <w:tcPr>
            <w:tcW w:w="1255" w:type="dxa"/>
            <w:vAlign w:val="center"/>
          </w:tcPr>
          <w:p w14:paraId="3D2EB257" w14:textId="3B3D1D5C" w:rsidR="00834F57" w:rsidRPr="006C52F8" w:rsidRDefault="00834F57" w:rsidP="00834F57">
            <w:pPr>
              <w:rPr>
                <w:rFonts w:ascii="Arial" w:hAnsi="Arial" w:cs="Arial"/>
                <w:color w:val="000000" w:themeColor="text1"/>
              </w:rPr>
            </w:pPr>
            <w:r w:rsidRPr="006C52F8">
              <w:rPr>
                <w:rFonts w:ascii="Arial" w:hAnsi="Arial" w:cs="Arial"/>
                <w:color w:val="000000" w:themeColor="text1"/>
              </w:rPr>
              <w:t>Science</w:t>
            </w:r>
          </w:p>
        </w:tc>
        <w:tc>
          <w:tcPr>
            <w:tcW w:w="2970" w:type="dxa"/>
          </w:tcPr>
          <w:p w14:paraId="437C807B" w14:textId="071FF06A" w:rsidR="00834F57" w:rsidRPr="006C52F8" w:rsidRDefault="00834F57" w:rsidP="00834F57">
            <w:pPr>
              <w:jc w:val="right"/>
              <w:rPr>
                <w:rFonts w:ascii="Arial" w:hAnsi="Arial" w:cs="Arial"/>
                <w:color w:val="000000" w:themeColor="text1"/>
              </w:rPr>
            </w:pPr>
            <w:r w:rsidRPr="006C52F8">
              <w:rPr>
                <w:rFonts w:ascii="Arial" w:hAnsi="Arial" w:cs="Arial"/>
                <w:color w:val="000000" w:themeColor="text1"/>
              </w:rPr>
              <w:t>TBD</w:t>
            </w:r>
          </w:p>
        </w:tc>
        <w:tc>
          <w:tcPr>
            <w:tcW w:w="2686" w:type="dxa"/>
          </w:tcPr>
          <w:p w14:paraId="1A59D676" w14:textId="6F56D112" w:rsidR="00834F57" w:rsidRPr="006C52F8" w:rsidRDefault="00834F57" w:rsidP="00834F57">
            <w:pPr>
              <w:jc w:val="right"/>
              <w:rPr>
                <w:rFonts w:ascii="Arial" w:hAnsi="Arial" w:cs="Arial"/>
                <w:color w:val="000000" w:themeColor="text1"/>
              </w:rPr>
            </w:pPr>
            <w:r w:rsidRPr="006C52F8">
              <w:rPr>
                <w:rFonts w:ascii="Arial" w:hAnsi="Arial" w:cs="Arial"/>
                <w:color w:val="000000" w:themeColor="text1"/>
              </w:rPr>
              <w:t>TBD</w:t>
            </w:r>
          </w:p>
        </w:tc>
        <w:tc>
          <w:tcPr>
            <w:tcW w:w="2439" w:type="dxa"/>
            <w:vAlign w:val="center"/>
          </w:tcPr>
          <w:p w14:paraId="0385364D" w14:textId="77777777" w:rsidR="00834F57" w:rsidRPr="006C52F8" w:rsidRDefault="00834F57" w:rsidP="00F36A9F">
            <w:pPr>
              <w:jc w:val="right"/>
              <w:rPr>
                <w:rFonts w:ascii="Arial" w:hAnsi="Arial" w:cs="Arial"/>
                <w:color w:val="000000" w:themeColor="text1"/>
              </w:rPr>
            </w:pPr>
            <w:r w:rsidRPr="006C52F8">
              <w:rPr>
                <w:rFonts w:ascii="Arial" w:hAnsi="Arial" w:cs="Arial"/>
                <w:color w:val="000000" w:themeColor="text1"/>
              </w:rPr>
              <w:t>95.00%</w:t>
            </w:r>
          </w:p>
        </w:tc>
      </w:tr>
    </w:tbl>
    <w:p w14:paraId="77EB68BA" w14:textId="77777777" w:rsidR="00B355C5" w:rsidRPr="006C52F8" w:rsidRDefault="00B355C5" w:rsidP="00B355C5">
      <w:pPr>
        <w:spacing w:before="240" w:after="240"/>
        <w:outlineLvl w:val="3"/>
        <w:rPr>
          <w:rFonts w:ascii="Arial" w:eastAsia="Arial" w:hAnsi="Arial"/>
          <w:b/>
          <w:color w:val="000000" w:themeColor="text1"/>
        </w:rPr>
      </w:pPr>
      <w:r w:rsidRPr="006C52F8">
        <w:rPr>
          <w:rFonts w:ascii="Arial" w:eastAsia="Calibri" w:hAnsi="Arial"/>
          <w:b/>
          <w:color w:val="000000" w:themeColor="text1"/>
        </w:rPr>
        <w:t xml:space="preserve">The 1.0 </w:t>
      </w:r>
      <w:r w:rsidRPr="006C52F8">
        <w:rPr>
          <w:rFonts w:ascii="Arial" w:eastAsia="Arial" w:hAnsi="Arial"/>
          <w:b/>
          <w:color w:val="000000" w:themeColor="text1"/>
        </w:rPr>
        <w:t xml:space="preserve">Percent Waiver Request Requirements </w:t>
      </w:r>
    </w:p>
    <w:p w14:paraId="1D1D9DBC" w14:textId="77777777"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b/>
        </w:rPr>
        <w:t>Requirement 1—</w:t>
      </w:r>
      <w:r w:rsidRPr="006C52F8">
        <w:rPr>
          <w:rFonts w:ascii="Arial" w:eastAsia="Arial" w:hAnsi="Arial" w:cs="Arial"/>
          <w:b/>
          <w:bCs/>
        </w:rPr>
        <w:t xml:space="preserve">34 </w:t>
      </w:r>
      <w:r w:rsidRPr="006C52F8">
        <w:rPr>
          <w:rFonts w:ascii="Arial" w:eastAsia="Arial" w:hAnsi="Arial" w:cs="Arial"/>
          <w:b/>
          <w:bCs/>
          <w:i/>
          <w:iCs/>
        </w:rPr>
        <w:t>CFR</w:t>
      </w:r>
      <w:r w:rsidRPr="006C52F8">
        <w:rPr>
          <w:rFonts w:ascii="Arial" w:eastAsia="Arial" w:hAnsi="Arial" w:cs="Arial"/>
          <w:b/>
          <w:bCs/>
        </w:rPr>
        <w:t xml:space="preserve"> Section </w:t>
      </w:r>
      <w:r w:rsidRPr="006C52F8">
        <w:rPr>
          <w:rFonts w:ascii="Arial" w:eastAsia="Arial" w:hAnsi="Arial" w:cs="Arial"/>
          <w:b/>
          <w:bCs/>
          <w:color w:val="000000" w:themeColor="text1"/>
        </w:rPr>
        <w:t>200.6(c)(4)(</w:t>
      </w:r>
      <w:proofErr w:type="spellStart"/>
      <w:r w:rsidRPr="006C52F8">
        <w:rPr>
          <w:rFonts w:ascii="Arial" w:eastAsia="Arial" w:hAnsi="Arial" w:cs="Arial"/>
          <w:b/>
          <w:bCs/>
          <w:color w:val="000000" w:themeColor="text1"/>
        </w:rPr>
        <w:t>i</w:t>
      </w:r>
      <w:proofErr w:type="spellEnd"/>
      <w:r w:rsidRPr="006C52F8">
        <w:rPr>
          <w:rFonts w:ascii="Arial" w:eastAsia="Arial" w:hAnsi="Arial" w:cs="Arial"/>
          <w:b/>
          <w:bCs/>
          <w:color w:val="000000" w:themeColor="text1"/>
        </w:rPr>
        <w:t>)</w:t>
      </w:r>
      <w:r w:rsidRPr="006C52F8">
        <w:rPr>
          <w:rFonts w:ascii="Arial" w:eastAsia="Arial" w:hAnsi="Arial" w:cs="Arial"/>
          <w:color w:val="000000" w:themeColor="text1"/>
        </w:rPr>
        <w:t xml:space="preserve">: Submit the waiver request at least 90 days before testing window starts for the relevant subject. </w:t>
      </w:r>
    </w:p>
    <w:p w14:paraId="1438FA02" w14:textId="5EFB80BE"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The state testing window for reading/language arts and mathematics alternate assessments opens on January 10, 2023. Ninety days prior to January 10, 202</w:t>
      </w:r>
      <w:r w:rsidR="001C647E" w:rsidRPr="006C52F8">
        <w:rPr>
          <w:rFonts w:ascii="Arial" w:eastAsia="Arial" w:hAnsi="Arial" w:cs="Arial"/>
          <w:color w:val="000000" w:themeColor="text1"/>
        </w:rPr>
        <w:t>3</w:t>
      </w:r>
      <w:r w:rsidRPr="006C52F8">
        <w:rPr>
          <w:rFonts w:ascii="Arial" w:eastAsia="Arial" w:hAnsi="Arial" w:cs="Arial"/>
          <w:color w:val="000000" w:themeColor="text1"/>
        </w:rPr>
        <w:t>, will be October 12, 202</w:t>
      </w:r>
      <w:r w:rsidR="001C647E" w:rsidRPr="006C52F8">
        <w:rPr>
          <w:rFonts w:ascii="Arial" w:eastAsia="Arial" w:hAnsi="Arial" w:cs="Arial"/>
          <w:color w:val="000000" w:themeColor="text1"/>
        </w:rPr>
        <w:t>2</w:t>
      </w:r>
      <w:r w:rsidRPr="006C52F8">
        <w:rPr>
          <w:rFonts w:ascii="Arial" w:eastAsia="Arial" w:hAnsi="Arial" w:cs="Arial"/>
          <w:color w:val="000000" w:themeColor="text1"/>
        </w:rPr>
        <w:t>; therefore, th</w:t>
      </w:r>
      <w:r w:rsidR="00C66BB4" w:rsidRPr="006C52F8">
        <w:rPr>
          <w:rFonts w:ascii="Arial" w:eastAsia="Arial" w:hAnsi="Arial" w:cs="Arial"/>
          <w:color w:val="000000" w:themeColor="text1"/>
        </w:rPr>
        <w:t>e 1.0 percent</w:t>
      </w:r>
      <w:r w:rsidRPr="006C52F8">
        <w:rPr>
          <w:rFonts w:ascii="Arial" w:eastAsia="Arial" w:hAnsi="Arial" w:cs="Arial"/>
          <w:color w:val="000000" w:themeColor="text1"/>
        </w:rPr>
        <w:t xml:space="preserve"> waiver request meets the 90-day requirement for </w:t>
      </w:r>
      <w:r w:rsidR="00C66BB4" w:rsidRPr="006C52F8">
        <w:rPr>
          <w:rFonts w:ascii="Arial" w:eastAsia="Arial" w:hAnsi="Arial" w:cs="Arial"/>
          <w:color w:val="000000" w:themeColor="text1"/>
        </w:rPr>
        <w:t>reading/language arts and mathematics</w:t>
      </w:r>
      <w:r w:rsidRPr="006C52F8">
        <w:rPr>
          <w:rFonts w:ascii="Arial" w:eastAsia="Arial" w:hAnsi="Arial" w:cs="Arial"/>
          <w:color w:val="000000" w:themeColor="text1"/>
        </w:rPr>
        <w:t>. </w:t>
      </w:r>
    </w:p>
    <w:p w14:paraId="68DBE7DB" w14:textId="7557AB86"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 xml:space="preserve">The CAA for Science testing window opens on September 6, 2022, per </w:t>
      </w:r>
      <w:r w:rsidRPr="006C52F8">
        <w:rPr>
          <w:rFonts w:ascii="Arial" w:eastAsia="Arial" w:hAnsi="Arial" w:cs="Arial"/>
          <w:i/>
          <w:iCs/>
          <w:color w:val="000000" w:themeColor="text1"/>
        </w:rPr>
        <w:t>Education Code</w:t>
      </w:r>
      <w:r w:rsidRPr="006C52F8">
        <w:rPr>
          <w:rFonts w:ascii="Arial" w:eastAsia="Arial" w:hAnsi="Arial" w:cs="Arial"/>
          <w:color w:val="000000" w:themeColor="text1"/>
        </w:rPr>
        <w:t xml:space="preserve"> (</w:t>
      </w:r>
      <w:r w:rsidRPr="006C52F8">
        <w:rPr>
          <w:rFonts w:ascii="Arial" w:eastAsia="Arial" w:hAnsi="Arial" w:cs="Arial"/>
          <w:i/>
          <w:iCs/>
          <w:color w:val="000000" w:themeColor="text1"/>
        </w:rPr>
        <w:t>EC</w:t>
      </w:r>
      <w:r w:rsidRPr="006C52F8">
        <w:rPr>
          <w:rFonts w:ascii="Arial" w:eastAsia="Arial" w:hAnsi="Arial" w:cs="Arial"/>
          <w:color w:val="000000" w:themeColor="text1"/>
        </w:rPr>
        <w:t xml:space="preserve">) Section 855(a)(2). Ninety days prior to September 6, 2022, would </w:t>
      </w:r>
      <w:r w:rsidR="00577D1A" w:rsidRPr="006C52F8">
        <w:rPr>
          <w:rFonts w:ascii="Arial" w:eastAsia="Arial" w:hAnsi="Arial" w:cs="Arial"/>
          <w:color w:val="000000" w:themeColor="text1"/>
        </w:rPr>
        <w:t xml:space="preserve">have been </w:t>
      </w:r>
      <w:r w:rsidR="00D8422D" w:rsidRPr="006C52F8">
        <w:rPr>
          <w:rFonts w:ascii="Arial" w:eastAsia="Arial" w:hAnsi="Arial" w:cs="Arial"/>
          <w:color w:val="000000" w:themeColor="text1"/>
        </w:rPr>
        <w:t>June </w:t>
      </w:r>
      <w:r w:rsidRPr="006C52F8">
        <w:rPr>
          <w:rFonts w:ascii="Arial" w:eastAsia="Arial" w:hAnsi="Arial" w:cs="Arial"/>
          <w:color w:val="000000" w:themeColor="text1"/>
        </w:rPr>
        <w:t xml:space="preserve">8, 2022; therefore, California requests a waiver of 34 </w:t>
      </w:r>
      <w:r w:rsidRPr="006C52F8">
        <w:rPr>
          <w:rFonts w:ascii="Arial" w:eastAsia="Arial" w:hAnsi="Arial" w:cs="Arial"/>
          <w:i/>
          <w:iCs/>
          <w:color w:val="000000" w:themeColor="text1"/>
        </w:rPr>
        <w:t>CFR</w:t>
      </w:r>
      <w:r w:rsidRPr="006C52F8">
        <w:rPr>
          <w:rFonts w:ascii="Arial" w:eastAsia="Arial" w:hAnsi="Arial" w:cs="Arial"/>
          <w:color w:val="000000" w:themeColor="text1"/>
        </w:rPr>
        <w:t xml:space="preserve"> Section 200.6(c)(4)(</w:t>
      </w:r>
      <w:proofErr w:type="spellStart"/>
      <w:r w:rsidRPr="006C52F8">
        <w:rPr>
          <w:rFonts w:ascii="Arial" w:eastAsia="Arial" w:hAnsi="Arial" w:cs="Arial"/>
          <w:color w:val="000000" w:themeColor="text1"/>
        </w:rPr>
        <w:t>i</w:t>
      </w:r>
      <w:proofErr w:type="spellEnd"/>
      <w:r w:rsidRPr="006C52F8">
        <w:rPr>
          <w:rFonts w:ascii="Arial" w:eastAsia="Arial" w:hAnsi="Arial" w:cs="Arial"/>
          <w:color w:val="000000" w:themeColor="text1"/>
        </w:rPr>
        <w:t xml:space="preserve">) for the CAA for </w:t>
      </w:r>
      <w:r w:rsidR="00577D1A" w:rsidRPr="006C52F8">
        <w:rPr>
          <w:rFonts w:ascii="Arial" w:eastAsia="Arial" w:hAnsi="Arial" w:cs="Arial"/>
          <w:color w:val="000000" w:themeColor="text1"/>
        </w:rPr>
        <w:t>S</w:t>
      </w:r>
      <w:r w:rsidRPr="006C52F8">
        <w:rPr>
          <w:rFonts w:ascii="Arial" w:eastAsia="Arial" w:hAnsi="Arial" w:cs="Arial"/>
          <w:color w:val="000000" w:themeColor="text1"/>
        </w:rPr>
        <w:t xml:space="preserve">cience. </w:t>
      </w:r>
    </w:p>
    <w:p w14:paraId="575AA130" w14:textId="77777777" w:rsidR="00B355C5" w:rsidRPr="006C52F8" w:rsidRDefault="00B355C5" w:rsidP="0028761B">
      <w:pPr>
        <w:keepNext/>
        <w:keepLines/>
        <w:spacing w:after="240"/>
        <w:rPr>
          <w:rFonts w:ascii="Arial" w:eastAsia="Arial" w:hAnsi="Arial" w:cs="Arial"/>
          <w:color w:val="000000" w:themeColor="text1"/>
        </w:rPr>
      </w:pPr>
      <w:r w:rsidRPr="006C52F8">
        <w:rPr>
          <w:rFonts w:ascii="Arial" w:eastAsia="Arial" w:hAnsi="Arial" w:cs="Arial"/>
          <w:b/>
          <w:bCs/>
        </w:rPr>
        <w:t xml:space="preserve">Requirement 2—34 </w:t>
      </w:r>
      <w:r w:rsidRPr="006C52F8">
        <w:rPr>
          <w:rFonts w:ascii="Arial" w:eastAsia="Arial" w:hAnsi="Arial" w:cs="Arial"/>
          <w:b/>
          <w:bCs/>
          <w:i/>
          <w:iCs/>
        </w:rPr>
        <w:t>CFR</w:t>
      </w:r>
      <w:r w:rsidRPr="006C52F8">
        <w:rPr>
          <w:rFonts w:ascii="Arial" w:eastAsia="Arial" w:hAnsi="Arial" w:cs="Arial"/>
          <w:b/>
          <w:bCs/>
        </w:rPr>
        <w:t xml:space="preserve"> Section </w:t>
      </w:r>
      <w:r w:rsidRPr="006C52F8">
        <w:rPr>
          <w:rFonts w:ascii="Arial" w:eastAsia="Arial" w:hAnsi="Arial" w:cs="Arial"/>
          <w:b/>
          <w:bCs/>
          <w:color w:val="000000" w:themeColor="text1"/>
        </w:rPr>
        <w:t>200.6(c)(4)(ii)</w:t>
      </w:r>
      <w:r w:rsidRPr="006C52F8">
        <w:rPr>
          <w:rFonts w:ascii="Arial" w:eastAsia="Arial" w:hAnsi="Arial" w:cs="Arial"/>
          <w:color w:val="000000" w:themeColor="text1"/>
        </w:rPr>
        <w:t>: Provide state-level data, from the current or previous year, to show: (A) the number and percent in each student group who took the AA-AAAS in the subject area; and (B) the State has measured the achievement of at least 95 percent of all students and students with disabilities in the previous year who were enrolled in the grades for which the AA-AAAS is required.</w:t>
      </w:r>
    </w:p>
    <w:p w14:paraId="14621139" w14:textId="77777777" w:rsidR="009556B6"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Where applicable, the state will also provide a credible estimate of the number and percentage of students (including by student group, if possible) it expects to take the alternate assessment in 2022</w:t>
      </w:r>
      <w:r w:rsidRPr="006C52F8">
        <w:rPr>
          <w:rFonts w:ascii="Arial" w:eastAsia="Arial" w:hAnsi="Arial" w:cs="Arial"/>
        </w:rPr>
        <w:t>–</w:t>
      </w:r>
      <w:r w:rsidRPr="006C52F8">
        <w:rPr>
          <w:rFonts w:ascii="Arial" w:eastAsia="Arial" w:hAnsi="Arial" w:cs="Arial"/>
          <w:color w:val="000000" w:themeColor="text1"/>
        </w:rPr>
        <w:t xml:space="preserve">23. </w:t>
      </w:r>
    </w:p>
    <w:p w14:paraId="4AE6861A" w14:textId="0E594B6E" w:rsidR="00B355C5" w:rsidRPr="006C52F8" w:rsidRDefault="00B355C5" w:rsidP="00B355C5">
      <w:pPr>
        <w:spacing w:after="240"/>
        <w:rPr>
          <w:rFonts w:ascii="Arial" w:eastAsia="Arial" w:hAnsi="Arial" w:cs="Arial"/>
          <w:color w:val="000000" w:themeColor="text1"/>
        </w:rPr>
        <w:sectPr w:rsidR="00B355C5" w:rsidRPr="006C52F8" w:rsidSect="00005C4D">
          <w:type w:val="continuous"/>
          <w:pgSz w:w="12240" w:h="15840" w:code="1"/>
          <w:pgMar w:top="1440" w:right="1440" w:bottom="1440" w:left="1440" w:header="720" w:footer="720" w:gutter="0"/>
          <w:pgNumType w:start="1"/>
          <w:cols w:space="720"/>
          <w:docGrid w:linePitch="360"/>
        </w:sectPr>
      </w:pPr>
      <w:r w:rsidRPr="006C52F8">
        <w:rPr>
          <w:rFonts w:ascii="Arial" w:hAnsi="Arial"/>
        </w:rPr>
        <w:t>Tables 5 through 7 show detailed student group</w:t>
      </w:r>
      <w:r w:rsidR="0028299D" w:rsidRPr="006C52F8">
        <w:rPr>
          <w:rFonts w:ascii="Arial" w:hAnsi="Arial"/>
        </w:rPr>
        <w:t xml:space="preserve"> CAA</w:t>
      </w:r>
      <w:r w:rsidRPr="006C52F8">
        <w:rPr>
          <w:rFonts w:ascii="Arial" w:hAnsi="Arial"/>
        </w:rPr>
        <w:t xml:space="preserve"> participation rates for eligible students by content area for 2021–22 </w:t>
      </w:r>
      <w:r w:rsidR="0047282A" w:rsidRPr="006C52F8">
        <w:rPr>
          <w:rFonts w:ascii="Arial" w:hAnsi="Arial"/>
        </w:rPr>
        <w:t xml:space="preserve">as well as </w:t>
      </w:r>
      <w:r w:rsidR="003D10CB" w:rsidRPr="006C52F8">
        <w:rPr>
          <w:rFonts w:ascii="Arial" w:hAnsi="Arial"/>
        </w:rPr>
        <w:t xml:space="preserve">estimated </w:t>
      </w:r>
      <w:r w:rsidR="0047282A" w:rsidRPr="006C52F8">
        <w:rPr>
          <w:rFonts w:ascii="Arial" w:hAnsi="Arial"/>
        </w:rPr>
        <w:t xml:space="preserve">test registration numbers for the </w:t>
      </w:r>
      <w:r w:rsidR="0034769B" w:rsidRPr="006C52F8">
        <w:rPr>
          <w:rFonts w:ascii="Arial" w:hAnsi="Arial"/>
        </w:rPr>
        <w:t>2022–23 school year</w:t>
      </w:r>
      <w:r w:rsidRPr="006C52F8">
        <w:rPr>
          <w:rFonts w:ascii="Arial" w:hAnsi="Arial"/>
        </w:rPr>
        <w:t>.</w:t>
      </w:r>
      <w:r w:rsidR="00681A3C" w:rsidRPr="006C52F8">
        <w:rPr>
          <w:rFonts w:ascii="Arial" w:hAnsi="Arial"/>
        </w:rPr>
        <w:t xml:space="preserve"> </w:t>
      </w:r>
    </w:p>
    <w:p w14:paraId="08B38138" w14:textId="3FFFAB94" w:rsidR="00B355C5" w:rsidRPr="006C52F8" w:rsidRDefault="00B355C5" w:rsidP="00131D92">
      <w:pPr>
        <w:spacing w:after="60"/>
        <w:ind w:right="1440" w:hanging="810"/>
        <w:rPr>
          <w:rFonts w:ascii="Arial" w:eastAsia="Calibri" w:hAnsi="Arial" w:cs="Arial"/>
        </w:rPr>
      </w:pPr>
      <w:r w:rsidRPr="006C52F8">
        <w:rPr>
          <w:rFonts w:ascii="Arial" w:eastAsia="Calibri" w:hAnsi="Arial" w:cs="Arial"/>
        </w:rPr>
        <w:lastRenderedPageBreak/>
        <w:t xml:space="preserve">Table 5. CAA for </w:t>
      </w:r>
      <w:r w:rsidRPr="006C52F8">
        <w:rPr>
          <w:rFonts w:ascii="Arial" w:hAnsi="Arial" w:cs="Arial"/>
          <w:color w:val="000000" w:themeColor="text1"/>
        </w:rPr>
        <w:t>ELA Participation Rates by Student Group</w:t>
      </w:r>
    </w:p>
    <w:tbl>
      <w:tblPr>
        <w:tblStyle w:val="TableGrid11"/>
        <w:tblW w:w="14220" w:type="dxa"/>
        <w:tblInd w:w="-815" w:type="dxa"/>
        <w:tblLayout w:type="fixed"/>
        <w:tblLook w:val="04A0" w:firstRow="1" w:lastRow="0" w:firstColumn="1" w:lastColumn="0" w:noHBand="0" w:noVBand="1"/>
        <w:tblCaption w:val="Table 5. CAA for ELA Participation Rates by Student Group, 2022 and 2023."/>
        <w:tblDescription w:val="Table 5 displays the CAA for ELA Participation Rates by Student Group for 2021–22 and the expected rates for 2022–23."/>
      </w:tblPr>
      <w:tblGrid>
        <w:gridCol w:w="2340"/>
        <w:gridCol w:w="1635"/>
        <w:gridCol w:w="1785"/>
        <w:gridCol w:w="1710"/>
        <w:gridCol w:w="2340"/>
        <w:gridCol w:w="2430"/>
        <w:gridCol w:w="1980"/>
      </w:tblGrid>
      <w:tr w:rsidR="001F74BE" w:rsidRPr="006C52F8" w14:paraId="70FFDD8E" w14:textId="77777777" w:rsidTr="0B71D082">
        <w:trPr>
          <w:trHeight w:val="1700"/>
          <w:tblHeader/>
        </w:trPr>
        <w:tc>
          <w:tcPr>
            <w:tcW w:w="2340" w:type="dxa"/>
            <w:shd w:val="clear" w:color="auto" w:fill="D9D9D9" w:themeFill="background1" w:themeFillShade="D9"/>
            <w:tcMar>
              <w:top w:w="43" w:type="dxa"/>
              <w:left w:w="115" w:type="dxa"/>
              <w:bottom w:w="43" w:type="dxa"/>
              <w:right w:w="115" w:type="dxa"/>
            </w:tcMar>
            <w:vAlign w:val="center"/>
            <w:hideMark/>
          </w:tcPr>
          <w:p w14:paraId="6970F8CA" w14:textId="77777777"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Student Group</w:t>
            </w:r>
          </w:p>
        </w:tc>
        <w:tc>
          <w:tcPr>
            <w:tcW w:w="1635" w:type="dxa"/>
            <w:shd w:val="clear" w:color="auto" w:fill="D9D9D9" w:themeFill="background1" w:themeFillShade="D9"/>
            <w:tcMar>
              <w:top w:w="43" w:type="dxa"/>
              <w:left w:w="115" w:type="dxa"/>
              <w:bottom w:w="43" w:type="dxa"/>
              <w:right w:w="115" w:type="dxa"/>
            </w:tcMar>
            <w:vAlign w:val="center"/>
            <w:hideMark/>
          </w:tcPr>
          <w:p w14:paraId="2E05471C" w14:textId="77777777"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Number of Students Assessed, 2022</w:t>
            </w:r>
          </w:p>
        </w:tc>
        <w:tc>
          <w:tcPr>
            <w:tcW w:w="1785" w:type="dxa"/>
            <w:shd w:val="clear" w:color="auto" w:fill="D9D9D9" w:themeFill="background1" w:themeFillShade="D9"/>
            <w:tcMar>
              <w:top w:w="43" w:type="dxa"/>
              <w:left w:w="115" w:type="dxa"/>
              <w:bottom w:w="43" w:type="dxa"/>
              <w:right w:w="115" w:type="dxa"/>
            </w:tcMar>
            <w:vAlign w:val="center"/>
            <w:hideMark/>
          </w:tcPr>
          <w:p w14:paraId="1B85BBF7" w14:textId="1BC405F1"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Number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2022</w:t>
            </w:r>
          </w:p>
        </w:tc>
        <w:tc>
          <w:tcPr>
            <w:tcW w:w="1710" w:type="dxa"/>
            <w:shd w:val="clear" w:color="auto" w:fill="D9D9D9" w:themeFill="background1" w:themeFillShade="D9"/>
            <w:tcMar>
              <w:top w:w="43" w:type="dxa"/>
              <w:left w:w="115" w:type="dxa"/>
              <w:bottom w:w="43" w:type="dxa"/>
              <w:right w:w="115" w:type="dxa"/>
            </w:tcMar>
            <w:vAlign w:val="center"/>
            <w:hideMark/>
          </w:tcPr>
          <w:p w14:paraId="7488AE72" w14:textId="0583EC24"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Percentage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2022</w:t>
            </w:r>
          </w:p>
        </w:tc>
        <w:tc>
          <w:tcPr>
            <w:tcW w:w="2340" w:type="dxa"/>
            <w:shd w:val="clear" w:color="auto" w:fill="D9D9D9" w:themeFill="background1" w:themeFillShade="D9"/>
            <w:tcMar>
              <w:top w:w="43" w:type="dxa"/>
              <w:left w:w="115" w:type="dxa"/>
              <w:bottom w:w="43" w:type="dxa"/>
              <w:right w:w="115" w:type="dxa"/>
            </w:tcMar>
            <w:vAlign w:val="center"/>
            <w:hideMark/>
          </w:tcPr>
          <w:p w14:paraId="3A9942B3" w14:textId="63DAEBD5"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Number of Students Assessed, 2023 (estimate based on enrollment in grades 3–8 and </w:t>
            </w:r>
            <w:r w:rsidR="00A30C0D" w:rsidRPr="006C52F8">
              <w:rPr>
                <w:rFonts w:ascii="Arial" w:hAnsi="Arial" w:cs="Arial"/>
                <w:b/>
                <w:bCs/>
                <w:color w:val="000000" w:themeColor="text1"/>
              </w:rPr>
              <w:t xml:space="preserve">grade </w:t>
            </w:r>
            <w:r w:rsidRPr="006C52F8">
              <w:rPr>
                <w:rFonts w:ascii="Arial" w:hAnsi="Arial" w:cs="Arial"/>
                <w:b/>
                <w:bCs/>
                <w:color w:val="000000" w:themeColor="text1"/>
              </w:rPr>
              <w:t>11)</w:t>
            </w:r>
          </w:p>
        </w:tc>
        <w:tc>
          <w:tcPr>
            <w:tcW w:w="2430" w:type="dxa"/>
            <w:shd w:val="clear" w:color="auto" w:fill="D9D9D9" w:themeFill="background1" w:themeFillShade="D9"/>
            <w:tcMar>
              <w:top w:w="43" w:type="dxa"/>
              <w:left w:w="115" w:type="dxa"/>
              <w:bottom w:w="43" w:type="dxa"/>
              <w:right w:w="115" w:type="dxa"/>
            </w:tcMar>
            <w:vAlign w:val="center"/>
            <w:hideMark/>
          </w:tcPr>
          <w:p w14:paraId="24A0AD76" w14:textId="6D032DE4" w:rsidR="00B355C5" w:rsidRPr="006C52F8" w:rsidRDefault="00B355C5" w:rsidP="0B71D082">
            <w:pPr>
              <w:jc w:val="center"/>
              <w:rPr>
                <w:rFonts w:ascii="Arial" w:eastAsia="Arial" w:hAnsi="Arial" w:cs="Arial"/>
              </w:rPr>
            </w:pPr>
            <w:r w:rsidRPr="006C52F8">
              <w:rPr>
                <w:rFonts w:ascii="Arial" w:hAnsi="Arial" w:cs="Arial"/>
                <w:b/>
                <w:bCs/>
                <w:color w:val="000000" w:themeColor="text1"/>
              </w:rPr>
              <w:t xml:space="preserve">Number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2023 </w:t>
            </w:r>
            <w:r w:rsidR="0B71D082" w:rsidRPr="006C52F8">
              <w:rPr>
                <w:rFonts w:ascii="Arial" w:hAnsi="Arial" w:cs="Arial"/>
                <w:b/>
                <w:bCs/>
                <w:color w:val="000000" w:themeColor="text1"/>
              </w:rPr>
              <w:t>(estimate based on 2022 test registration)</w:t>
            </w:r>
          </w:p>
        </w:tc>
        <w:tc>
          <w:tcPr>
            <w:tcW w:w="1980" w:type="dxa"/>
            <w:shd w:val="clear" w:color="auto" w:fill="D9D9D9" w:themeFill="background1" w:themeFillShade="D9"/>
            <w:tcMar>
              <w:top w:w="43" w:type="dxa"/>
              <w:left w:w="115" w:type="dxa"/>
              <w:bottom w:w="43" w:type="dxa"/>
              <w:right w:w="115" w:type="dxa"/>
            </w:tcMar>
            <w:vAlign w:val="center"/>
            <w:hideMark/>
          </w:tcPr>
          <w:p w14:paraId="432B58F1" w14:textId="091E0D24"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Percentage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2023 (estimate)</w:t>
            </w:r>
          </w:p>
        </w:tc>
      </w:tr>
      <w:tr w:rsidR="00453C76" w:rsidRPr="006C52F8" w14:paraId="23AF5EA3" w14:textId="77777777" w:rsidTr="00CC3B38">
        <w:trPr>
          <w:trHeight w:val="320"/>
        </w:trPr>
        <w:tc>
          <w:tcPr>
            <w:tcW w:w="2340" w:type="dxa"/>
            <w:noWrap/>
            <w:tcMar>
              <w:top w:w="43" w:type="dxa"/>
              <w:left w:w="115" w:type="dxa"/>
              <w:bottom w:w="43" w:type="dxa"/>
              <w:right w:w="115" w:type="dxa"/>
            </w:tcMar>
            <w:hideMark/>
          </w:tcPr>
          <w:p w14:paraId="22E37FC8" w14:textId="77777777" w:rsidR="00453C76" w:rsidRPr="006C52F8" w:rsidRDefault="00453C76" w:rsidP="00453C76">
            <w:pPr>
              <w:rPr>
                <w:rFonts w:ascii="Arial" w:hAnsi="Arial" w:cs="Arial"/>
                <w:color w:val="000000"/>
              </w:rPr>
            </w:pPr>
            <w:r w:rsidRPr="006C52F8">
              <w:rPr>
                <w:rFonts w:ascii="Arial" w:hAnsi="Arial" w:cs="Arial"/>
                <w:color w:val="000000"/>
              </w:rPr>
              <w:t>All Students</w:t>
            </w:r>
          </w:p>
        </w:tc>
        <w:tc>
          <w:tcPr>
            <w:tcW w:w="1635" w:type="dxa"/>
            <w:noWrap/>
            <w:tcMar>
              <w:top w:w="43" w:type="dxa"/>
              <w:left w:w="115" w:type="dxa"/>
              <w:bottom w:w="43" w:type="dxa"/>
              <w:right w:w="115" w:type="dxa"/>
            </w:tcMar>
            <w:vAlign w:val="bottom"/>
            <w:hideMark/>
          </w:tcPr>
          <w:p w14:paraId="0CA9E46A" w14:textId="22AAE6B4" w:rsidR="00453C76" w:rsidRPr="006C52F8" w:rsidRDefault="00453C76" w:rsidP="00453C76">
            <w:pPr>
              <w:jc w:val="right"/>
              <w:rPr>
                <w:rFonts w:ascii="Arial" w:hAnsi="Arial" w:cs="Arial"/>
                <w:color w:val="000000"/>
              </w:rPr>
            </w:pPr>
            <w:r w:rsidRPr="006C52F8">
              <w:rPr>
                <w:rFonts w:ascii="Arial" w:hAnsi="Arial" w:cs="Arial"/>
                <w:color w:val="000000"/>
              </w:rPr>
              <w:t>3,001,582</w:t>
            </w:r>
          </w:p>
        </w:tc>
        <w:tc>
          <w:tcPr>
            <w:tcW w:w="1785" w:type="dxa"/>
            <w:noWrap/>
            <w:tcMar>
              <w:top w:w="43" w:type="dxa"/>
              <w:left w:w="115" w:type="dxa"/>
              <w:bottom w:w="43" w:type="dxa"/>
              <w:right w:w="115" w:type="dxa"/>
            </w:tcMar>
            <w:vAlign w:val="bottom"/>
            <w:hideMark/>
          </w:tcPr>
          <w:p w14:paraId="6CAC784B" w14:textId="5B8EF7A3" w:rsidR="00453C76" w:rsidRPr="006C52F8" w:rsidRDefault="00453C76" w:rsidP="00453C76">
            <w:pPr>
              <w:jc w:val="right"/>
              <w:rPr>
                <w:rFonts w:ascii="Arial" w:hAnsi="Arial" w:cs="Arial"/>
                <w:color w:val="000000"/>
              </w:rPr>
            </w:pPr>
            <w:r w:rsidRPr="006C52F8">
              <w:rPr>
                <w:rFonts w:ascii="Arial" w:hAnsi="Arial" w:cs="Arial"/>
                <w:color w:val="000000"/>
              </w:rPr>
              <w:t>33,038</w:t>
            </w:r>
          </w:p>
        </w:tc>
        <w:tc>
          <w:tcPr>
            <w:tcW w:w="1710" w:type="dxa"/>
            <w:noWrap/>
            <w:tcMar>
              <w:top w:w="43" w:type="dxa"/>
              <w:left w:w="115" w:type="dxa"/>
              <w:bottom w:w="43" w:type="dxa"/>
              <w:right w:w="115" w:type="dxa"/>
            </w:tcMar>
            <w:vAlign w:val="bottom"/>
            <w:hideMark/>
          </w:tcPr>
          <w:p w14:paraId="2F8FC185" w14:textId="397F3C18"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340" w:type="dxa"/>
            <w:noWrap/>
            <w:tcMar>
              <w:top w:w="43" w:type="dxa"/>
              <w:left w:w="115" w:type="dxa"/>
              <w:bottom w:w="43" w:type="dxa"/>
              <w:right w:w="115" w:type="dxa"/>
            </w:tcMar>
            <w:vAlign w:val="bottom"/>
            <w:hideMark/>
          </w:tcPr>
          <w:p w14:paraId="38FFD0ED" w14:textId="2D24E6F1"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48FEE41F" w14:textId="11AABD02" w:rsidR="00453C76" w:rsidRPr="006C52F8" w:rsidRDefault="00453C76" w:rsidP="00453C76">
            <w:pPr>
              <w:jc w:val="right"/>
              <w:rPr>
                <w:rFonts w:ascii="Arial" w:hAnsi="Arial" w:cs="Arial"/>
                <w:color w:val="000000"/>
              </w:rPr>
            </w:pPr>
            <w:r w:rsidRPr="006C52F8">
              <w:rPr>
                <w:rFonts w:ascii="Arial" w:hAnsi="Arial" w:cs="Arial"/>
                <w:color w:val="000000"/>
              </w:rPr>
              <w:t>39,303</w:t>
            </w:r>
          </w:p>
        </w:tc>
        <w:tc>
          <w:tcPr>
            <w:tcW w:w="1980" w:type="dxa"/>
            <w:noWrap/>
            <w:tcMar>
              <w:top w:w="43" w:type="dxa"/>
              <w:left w:w="115" w:type="dxa"/>
              <w:bottom w:w="43" w:type="dxa"/>
              <w:right w:w="115" w:type="dxa"/>
            </w:tcMar>
            <w:vAlign w:val="bottom"/>
            <w:hideMark/>
          </w:tcPr>
          <w:p w14:paraId="758252CC" w14:textId="055F982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26668051" w14:textId="77777777" w:rsidTr="00CC3B38">
        <w:trPr>
          <w:trHeight w:val="320"/>
        </w:trPr>
        <w:tc>
          <w:tcPr>
            <w:tcW w:w="2340" w:type="dxa"/>
            <w:noWrap/>
            <w:tcMar>
              <w:top w:w="43" w:type="dxa"/>
              <w:left w:w="115" w:type="dxa"/>
              <w:bottom w:w="43" w:type="dxa"/>
              <w:right w:w="115" w:type="dxa"/>
            </w:tcMar>
            <w:hideMark/>
          </w:tcPr>
          <w:p w14:paraId="19CE56E1" w14:textId="77777777" w:rsidR="00453C76" w:rsidRPr="006C52F8" w:rsidRDefault="00453C76" w:rsidP="00453C76">
            <w:pPr>
              <w:rPr>
                <w:rFonts w:ascii="Arial" w:hAnsi="Arial" w:cs="Arial"/>
                <w:color w:val="000000"/>
              </w:rPr>
            </w:pPr>
            <w:r w:rsidRPr="006C52F8">
              <w:rPr>
                <w:rFonts w:ascii="Arial" w:hAnsi="Arial" w:cs="Arial"/>
                <w:color w:val="000000"/>
              </w:rPr>
              <w:t>Females</w:t>
            </w:r>
          </w:p>
        </w:tc>
        <w:tc>
          <w:tcPr>
            <w:tcW w:w="1635" w:type="dxa"/>
            <w:noWrap/>
            <w:tcMar>
              <w:top w:w="43" w:type="dxa"/>
              <w:left w:w="115" w:type="dxa"/>
              <w:bottom w:w="43" w:type="dxa"/>
              <w:right w:w="115" w:type="dxa"/>
            </w:tcMar>
            <w:vAlign w:val="bottom"/>
            <w:hideMark/>
          </w:tcPr>
          <w:p w14:paraId="1BE7AA0A" w14:textId="38063376" w:rsidR="00453C76" w:rsidRPr="006C52F8" w:rsidRDefault="00453C76" w:rsidP="00453C76">
            <w:pPr>
              <w:jc w:val="right"/>
              <w:rPr>
                <w:rFonts w:ascii="Arial" w:hAnsi="Arial" w:cs="Arial"/>
                <w:color w:val="000000"/>
              </w:rPr>
            </w:pPr>
            <w:r w:rsidRPr="006C52F8">
              <w:rPr>
                <w:rFonts w:ascii="Arial" w:hAnsi="Arial" w:cs="Arial"/>
                <w:color w:val="000000"/>
              </w:rPr>
              <w:t>1,459,332</w:t>
            </w:r>
          </w:p>
        </w:tc>
        <w:tc>
          <w:tcPr>
            <w:tcW w:w="1785" w:type="dxa"/>
            <w:noWrap/>
            <w:tcMar>
              <w:top w:w="43" w:type="dxa"/>
              <w:left w:w="115" w:type="dxa"/>
              <w:bottom w:w="43" w:type="dxa"/>
              <w:right w:w="115" w:type="dxa"/>
            </w:tcMar>
            <w:vAlign w:val="bottom"/>
            <w:hideMark/>
          </w:tcPr>
          <w:p w14:paraId="2173133B" w14:textId="17FAA6B3" w:rsidR="00453C76" w:rsidRPr="006C52F8" w:rsidRDefault="00453C76" w:rsidP="00453C76">
            <w:pPr>
              <w:jc w:val="right"/>
              <w:rPr>
                <w:rFonts w:ascii="Arial" w:hAnsi="Arial" w:cs="Arial"/>
                <w:color w:val="000000"/>
              </w:rPr>
            </w:pPr>
            <w:r w:rsidRPr="006C52F8">
              <w:rPr>
                <w:rFonts w:ascii="Arial" w:hAnsi="Arial" w:cs="Arial"/>
                <w:color w:val="000000"/>
              </w:rPr>
              <w:t>10,333</w:t>
            </w:r>
          </w:p>
        </w:tc>
        <w:tc>
          <w:tcPr>
            <w:tcW w:w="1710" w:type="dxa"/>
            <w:noWrap/>
            <w:tcMar>
              <w:top w:w="43" w:type="dxa"/>
              <w:left w:w="115" w:type="dxa"/>
              <w:bottom w:w="43" w:type="dxa"/>
              <w:right w:w="115" w:type="dxa"/>
            </w:tcMar>
            <w:vAlign w:val="bottom"/>
            <w:hideMark/>
          </w:tcPr>
          <w:p w14:paraId="56B590DB" w14:textId="1357EC68" w:rsidR="00453C76" w:rsidRPr="006C52F8" w:rsidRDefault="00453C76" w:rsidP="00453C76">
            <w:pPr>
              <w:jc w:val="right"/>
              <w:rPr>
                <w:rFonts w:ascii="Arial" w:hAnsi="Arial" w:cs="Arial"/>
                <w:color w:val="000000"/>
              </w:rPr>
            </w:pPr>
            <w:r w:rsidRPr="006C52F8">
              <w:rPr>
                <w:rFonts w:ascii="Arial" w:hAnsi="Arial" w:cs="Arial"/>
                <w:color w:val="000000"/>
              </w:rPr>
              <w:t>0.7%</w:t>
            </w:r>
          </w:p>
        </w:tc>
        <w:tc>
          <w:tcPr>
            <w:tcW w:w="2340" w:type="dxa"/>
            <w:noWrap/>
            <w:tcMar>
              <w:top w:w="43" w:type="dxa"/>
              <w:left w:w="115" w:type="dxa"/>
              <w:bottom w:w="43" w:type="dxa"/>
              <w:right w:w="115" w:type="dxa"/>
            </w:tcMar>
            <w:vAlign w:val="bottom"/>
            <w:hideMark/>
          </w:tcPr>
          <w:p w14:paraId="0E82F3E8" w14:textId="3F5D48B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50D3D6A9" w14:textId="4C3423C3" w:rsidR="00453C76" w:rsidRPr="006C52F8" w:rsidRDefault="00453C76" w:rsidP="00453C76">
            <w:pPr>
              <w:jc w:val="right"/>
              <w:rPr>
                <w:rFonts w:ascii="Arial" w:hAnsi="Arial" w:cs="Arial"/>
                <w:color w:val="000000"/>
              </w:rPr>
            </w:pPr>
            <w:r w:rsidRPr="006C52F8">
              <w:rPr>
                <w:rFonts w:ascii="Arial" w:hAnsi="Arial" w:cs="Arial"/>
                <w:color w:val="000000"/>
              </w:rPr>
              <w:t>12,418</w:t>
            </w:r>
          </w:p>
        </w:tc>
        <w:tc>
          <w:tcPr>
            <w:tcW w:w="1980" w:type="dxa"/>
            <w:noWrap/>
            <w:tcMar>
              <w:top w:w="43" w:type="dxa"/>
              <w:left w:w="115" w:type="dxa"/>
              <w:bottom w:w="43" w:type="dxa"/>
              <w:right w:w="115" w:type="dxa"/>
            </w:tcMar>
            <w:vAlign w:val="bottom"/>
            <w:hideMark/>
          </w:tcPr>
          <w:p w14:paraId="69DEE0E4" w14:textId="4BB4983E"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525B6EBC" w14:textId="77777777" w:rsidTr="00CC3B38">
        <w:trPr>
          <w:trHeight w:val="320"/>
        </w:trPr>
        <w:tc>
          <w:tcPr>
            <w:tcW w:w="2340" w:type="dxa"/>
            <w:noWrap/>
            <w:tcMar>
              <w:top w:w="43" w:type="dxa"/>
              <w:left w:w="115" w:type="dxa"/>
              <w:bottom w:w="43" w:type="dxa"/>
              <w:right w:w="115" w:type="dxa"/>
            </w:tcMar>
            <w:hideMark/>
          </w:tcPr>
          <w:p w14:paraId="45557612" w14:textId="77777777" w:rsidR="00453C76" w:rsidRPr="006C52F8" w:rsidRDefault="00453C76" w:rsidP="00453C76">
            <w:pPr>
              <w:rPr>
                <w:rFonts w:ascii="Arial" w:hAnsi="Arial" w:cs="Arial"/>
                <w:color w:val="000000"/>
              </w:rPr>
            </w:pPr>
            <w:r w:rsidRPr="006C52F8">
              <w:rPr>
                <w:rFonts w:ascii="Arial" w:hAnsi="Arial" w:cs="Arial"/>
                <w:color w:val="000000"/>
              </w:rPr>
              <w:t>Males</w:t>
            </w:r>
          </w:p>
        </w:tc>
        <w:tc>
          <w:tcPr>
            <w:tcW w:w="1635" w:type="dxa"/>
            <w:noWrap/>
            <w:tcMar>
              <w:top w:w="43" w:type="dxa"/>
              <w:left w:w="115" w:type="dxa"/>
              <w:bottom w:w="43" w:type="dxa"/>
              <w:right w:w="115" w:type="dxa"/>
            </w:tcMar>
            <w:vAlign w:val="bottom"/>
            <w:hideMark/>
          </w:tcPr>
          <w:p w14:paraId="7A9F77C9" w14:textId="543B295D" w:rsidR="00453C76" w:rsidRPr="006C52F8" w:rsidRDefault="00453C76" w:rsidP="00453C76">
            <w:pPr>
              <w:jc w:val="right"/>
              <w:rPr>
                <w:rFonts w:ascii="Arial" w:hAnsi="Arial" w:cs="Arial"/>
                <w:color w:val="000000"/>
              </w:rPr>
            </w:pPr>
            <w:r w:rsidRPr="006C52F8">
              <w:rPr>
                <w:rFonts w:ascii="Arial" w:hAnsi="Arial" w:cs="Arial"/>
                <w:color w:val="000000"/>
              </w:rPr>
              <w:t>1,540,719</w:t>
            </w:r>
          </w:p>
        </w:tc>
        <w:tc>
          <w:tcPr>
            <w:tcW w:w="1785" w:type="dxa"/>
            <w:noWrap/>
            <w:tcMar>
              <w:top w:w="43" w:type="dxa"/>
              <w:left w:w="115" w:type="dxa"/>
              <w:bottom w:w="43" w:type="dxa"/>
              <w:right w:w="115" w:type="dxa"/>
            </w:tcMar>
            <w:vAlign w:val="bottom"/>
            <w:hideMark/>
          </w:tcPr>
          <w:p w14:paraId="52C365C3" w14:textId="55D551A1" w:rsidR="00453C76" w:rsidRPr="006C52F8" w:rsidRDefault="00453C76" w:rsidP="00453C76">
            <w:pPr>
              <w:jc w:val="right"/>
              <w:rPr>
                <w:rFonts w:ascii="Arial" w:hAnsi="Arial" w:cs="Arial"/>
                <w:color w:val="000000"/>
              </w:rPr>
            </w:pPr>
            <w:r w:rsidRPr="006C52F8">
              <w:rPr>
                <w:rFonts w:ascii="Arial" w:hAnsi="Arial" w:cs="Arial"/>
                <w:color w:val="000000"/>
              </w:rPr>
              <w:t>22,702</w:t>
            </w:r>
          </w:p>
        </w:tc>
        <w:tc>
          <w:tcPr>
            <w:tcW w:w="1710" w:type="dxa"/>
            <w:noWrap/>
            <w:tcMar>
              <w:top w:w="43" w:type="dxa"/>
              <w:left w:w="115" w:type="dxa"/>
              <w:bottom w:w="43" w:type="dxa"/>
              <w:right w:w="115" w:type="dxa"/>
            </w:tcMar>
            <w:vAlign w:val="bottom"/>
            <w:hideMark/>
          </w:tcPr>
          <w:p w14:paraId="2D23BA8A" w14:textId="4829ADF1" w:rsidR="00453C76" w:rsidRPr="006C52F8" w:rsidRDefault="00453C76" w:rsidP="00453C76">
            <w:pPr>
              <w:jc w:val="right"/>
              <w:rPr>
                <w:rFonts w:ascii="Arial" w:hAnsi="Arial" w:cs="Arial"/>
                <w:color w:val="000000"/>
              </w:rPr>
            </w:pPr>
            <w:r w:rsidRPr="006C52F8">
              <w:rPr>
                <w:rFonts w:ascii="Arial" w:hAnsi="Arial" w:cs="Arial"/>
                <w:color w:val="000000"/>
              </w:rPr>
              <w:t>1.5%</w:t>
            </w:r>
          </w:p>
        </w:tc>
        <w:tc>
          <w:tcPr>
            <w:tcW w:w="2340" w:type="dxa"/>
            <w:noWrap/>
            <w:tcMar>
              <w:top w:w="43" w:type="dxa"/>
              <w:left w:w="115" w:type="dxa"/>
              <w:bottom w:w="43" w:type="dxa"/>
              <w:right w:w="115" w:type="dxa"/>
            </w:tcMar>
            <w:vAlign w:val="bottom"/>
            <w:hideMark/>
          </w:tcPr>
          <w:p w14:paraId="4EB80BA9" w14:textId="6A415E02"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05A42FD6" w14:textId="26D0D62C" w:rsidR="00453C76" w:rsidRPr="006C52F8" w:rsidRDefault="00453C76" w:rsidP="00453C76">
            <w:pPr>
              <w:jc w:val="right"/>
              <w:rPr>
                <w:rFonts w:ascii="Arial" w:hAnsi="Arial" w:cs="Arial"/>
                <w:color w:val="000000"/>
              </w:rPr>
            </w:pPr>
            <w:r w:rsidRPr="006C52F8">
              <w:rPr>
                <w:rFonts w:ascii="Arial" w:hAnsi="Arial" w:cs="Arial"/>
                <w:color w:val="000000"/>
              </w:rPr>
              <w:t>26,880</w:t>
            </w:r>
          </w:p>
        </w:tc>
        <w:tc>
          <w:tcPr>
            <w:tcW w:w="1980" w:type="dxa"/>
            <w:noWrap/>
            <w:tcMar>
              <w:top w:w="43" w:type="dxa"/>
              <w:left w:w="115" w:type="dxa"/>
              <w:bottom w:w="43" w:type="dxa"/>
              <w:right w:w="115" w:type="dxa"/>
            </w:tcMar>
            <w:vAlign w:val="bottom"/>
            <w:hideMark/>
          </w:tcPr>
          <w:p w14:paraId="06CBC544" w14:textId="38C6D47D"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043713BF" w14:textId="77777777" w:rsidTr="00CC3B38">
        <w:trPr>
          <w:trHeight w:val="320"/>
        </w:trPr>
        <w:tc>
          <w:tcPr>
            <w:tcW w:w="2340" w:type="dxa"/>
            <w:noWrap/>
            <w:tcMar>
              <w:top w:w="43" w:type="dxa"/>
              <w:left w:w="115" w:type="dxa"/>
              <w:bottom w:w="43" w:type="dxa"/>
              <w:right w:w="115" w:type="dxa"/>
            </w:tcMar>
            <w:hideMark/>
          </w:tcPr>
          <w:p w14:paraId="18B40282" w14:textId="77777777" w:rsidR="00453C76" w:rsidRPr="006C52F8" w:rsidRDefault="00453C76" w:rsidP="00453C76">
            <w:pPr>
              <w:rPr>
                <w:rFonts w:ascii="Arial" w:hAnsi="Arial" w:cs="Arial"/>
                <w:color w:val="000000"/>
              </w:rPr>
            </w:pPr>
            <w:r w:rsidRPr="006C52F8">
              <w:rPr>
                <w:rFonts w:ascii="Arial" w:hAnsi="Arial" w:cs="Arial"/>
                <w:color w:val="000000"/>
              </w:rPr>
              <w:t>Black</w:t>
            </w:r>
          </w:p>
        </w:tc>
        <w:tc>
          <w:tcPr>
            <w:tcW w:w="1635" w:type="dxa"/>
            <w:noWrap/>
            <w:tcMar>
              <w:top w:w="43" w:type="dxa"/>
              <w:left w:w="115" w:type="dxa"/>
              <w:bottom w:w="43" w:type="dxa"/>
              <w:right w:w="115" w:type="dxa"/>
            </w:tcMar>
            <w:vAlign w:val="bottom"/>
            <w:hideMark/>
          </w:tcPr>
          <w:p w14:paraId="4CD0F165" w14:textId="4151DA61" w:rsidR="00453C76" w:rsidRPr="006C52F8" w:rsidRDefault="00453C76" w:rsidP="00453C76">
            <w:pPr>
              <w:jc w:val="right"/>
              <w:rPr>
                <w:rFonts w:ascii="Arial" w:hAnsi="Arial" w:cs="Arial"/>
                <w:color w:val="000000"/>
              </w:rPr>
            </w:pPr>
            <w:r w:rsidRPr="006C52F8">
              <w:rPr>
                <w:rFonts w:ascii="Arial" w:hAnsi="Arial" w:cs="Arial"/>
                <w:color w:val="000000"/>
              </w:rPr>
              <w:t>151,659</w:t>
            </w:r>
          </w:p>
        </w:tc>
        <w:tc>
          <w:tcPr>
            <w:tcW w:w="1785" w:type="dxa"/>
            <w:noWrap/>
            <w:tcMar>
              <w:top w:w="43" w:type="dxa"/>
              <w:left w:w="115" w:type="dxa"/>
              <w:bottom w:w="43" w:type="dxa"/>
              <w:right w:w="115" w:type="dxa"/>
            </w:tcMar>
            <w:vAlign w:val="bottom"/>
            <w:hideMark/>
          </w:tcPr>
          <w:p w14:paraId="06C98411" w14:textId="61CE4A3B" w:rsidR="00453C76" w:rsidRPr="006C52F8" w:rsidRDefault="00453C76" w:rsidP="00453C76">
            <w:pPr>
              <w:jc w:val="right"/>
              <w:rPr>
                <w:rFonts w:ascii="Arial" w:hAnsi="Arial" w:cs="Arial"/>
                <w:color w:val="000000"/>
              </w:rPr>
            </w:pPr>
            <w:r w:rsidRPr="006C52F8">
              <w:rPr>
                <w:rFonts w:ascii="Arial" w:hAnsi="Arial" w:cs="Arial"/>
                <w:color w:val="000000"/>
              </w:rPr>
              <w:t>2,490</w:t>
            </w:r>
          </w:p>
        </w:tc>
        <w:tc>
          <w:tcPr>
            <w:tcW w:w="1710" w:type="dxa"/>
            <w:noWrap/>
            <w:tcMar>
              <w:top w:w="43" w:type="dxa"/>
              <w:left w:w="115" w:type="dxa"/>
              <w:bottom w:w="43" w:type="dxa"/>
              <w:right w:w="115" w:type="dxa"/>
            </w:tcMar>
            <w:vAlign w:val="bottom"/>
            <w:hideMark/>
          </w:tcPr>
          <w:p w14:paraId="7BDC2184" w14:textId="7C9B7F44" w:rsidR="00453C76" w:rsidRPr="006C52F8" w:rsidRDefault="00453C76" w:rsidP="00453C76">
            <w:pPr>
              <w:jc w:val="right"/>
              <w:rPr>
                <w:rFonts w:ascii="Arial" w:hAnsi="Arial" w:cs="Arial"/>
                <w:color w:val="000000"/>
              </w:rPr>
            </w:pPr>
            <w:r w:rsidRPr="006C52F8">
              <w:rPr>
                <w:rFonts w:ascii="Arial" w:hAnsi="Arial" w:cs="Arial"/>
                <w:color w:val="000000"/>
              </w:rPr>
              <w:t>1.6%</w:t>
            </w:r>
          </w:p>
        </w:tc>
        <w:tc>
          <w:tcPr>
            <w:tcW w:w="2340" w:type="dxa"/>
            <w:noWrap/>
            <w:tcMar>
              <w:top w:w="43" w:type="dxa"/>
              <w:left w:w="115" w:type="dxa"/>
              <w:bottom w:w="43" w:type="dxa"/>
              <w:right w:w="115" w:type="dxa"/>
            </w:tcMar>
            <w:vAlign w:val="bottom"/>
            <w:hideMark/>
          </w:tcPr>
          <w:p w14:paraId="46FEBEA3" w14:textId="3ED295E1"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35E44C75" w14:textId="215558BD" w:rsidR="00453C76" w:rsidRPr="006C52F8" w:rsidRDefault="00453C76" w:rsidP="00453C76">
            <w:pPr>
              <w:jc w:val="right"/>
              <w:rPr>
                <w:rFonts w:ascii="Arial" w:hAnsi="Arial" w:cs="Arial"/>
                <w:color w:val="000000"/>
              </w:rPr>
            </w:pPr>
            <w:r w:rsidRPr="006C52F8">
              <w:rPr>
                <w:rFonts w:ascii="Arial" w:hAnsi="Arial" w:cs="Arial"/>
                <w:color w:val="000000"/>
              </w:rPr>
              <w:t>3,088</w:t>
            </w:r>
          </w:p>
        </w:tc>
        <w:tc>
          <w:tcPr>
            <w:tcW w:w="1980" w:type="dxa"/>
            <w:noWrap/>
            <w:tcMar>
              <w:top w:w="43" w:type="dxa"/>
              <w:left w:w="115" w:type="dxa"/>
              <w:bottom w:w="43" w:type="dxa"/>
              <w:right w:w="115" w:type="dxa"/>
            </w:tcMar>
            <w:vAlign w:val="bottom"/>
            <w:hideMark/>
          </w:tcPr>
          <w:p w14:paraId="1255E4CC" w14:textId="58B2830B"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35206788" w14:textId="77777777" w:rsidTr="00CC3B38">
        <w:trPr>
          <w:trHeight w:val="320"/>
        </w:trPr>
        <w:tc>
          <w:tcPr>
            <w:tcW w:w="2340" w:type="dxa"/>
            <w:noWrap/>
            <w:tcMar>
              <w:top w:w="43" w:type="dxa"/>
              <w:left w:w="115" w:type="dxa"/>
              <w:bottom w:w="43" w:type="dxa"/>
              <w:right w:w="115" w:type="dxa"/>
            </w:tcMar>
            <w:hideMark/>
          </w:tcPr>
          <w:p w14:paraId="4FFD2B40" w14:textId="77777777" w:rsidR="00453C76" w:rsidRPr="006C52F8" w:rsidRDefault="00453C76" w:rsidP="00453C76">
            <w:pPr>
              <w:rPr>
                <w:rFonts w:ascii="Arial" w:hAnsi="Arial" w:cs="Arial"/>
                <w:color w:val="000000"/>
              </w:rPr>
            </w:pPr>
            <w:r w:rsidRPr="006C52F8">
              <w:rPr>
                <w:rFonts w:ascii="Arial" w:hAnsi="Arial" w:cs="Arial"/>
                <w:color w:val="000000"/>
              </w:rPr>
              <w:t>Hispanic</w:t>
            </w:r>
          </w:p>
        </w:tc>
        <w:tc>
          <w:tcPr>
            <w:tcW w:w="1635" w:type="dxa"/>
            <w:noWrap/>
            <w:tcMar>
              <w:top w:w="43" w:type="dxa"/>
              <w:left w:w="115" w:type="dxa"/>
              <w:bottom w:w="43" w:type="dxa"/>
              <w:right w:w="115" w:type="dxa"/>
            </w:tcMar>
            <w:vAlign w:val="bottom"/>
            <w:hideMark/>
          </w:tcPr>
          <w:p w14:paraId="3E711E2D" w14:textId="445FA204" w:rsidR="00453C76" w:rsidRPr="006C52F8" w:rsidRDefault="00453C76" w:rsidP="00453C76">
            <w:pPr>
              <w:jc w:val="right"/>
              <w:rPr>
                <w:rFonts w:ascii="Arial" w:hAnsi="Arial" w:cs="Arial"/>
                <w:color w:val="000000"/>
              </w:rPr>
            </w:pPr>
            <w:r w:rsidRPr="006C52F8">
              <w:rPr>
                <w:rFonts w:ascii="Arial" w:hAnsi="Arial" w:cs="Arial"/>
                <w:color w:val="000000"/>
              </w:rPr>
              <w:t>1,686,526</w:t>
            </w:r>
          </w:p>
        </w:tc>
        <w:tc>
          <w:tcPr>
            <w:tcW w:w="1785" w:type="dxa"/>
            <w:noWrap/>
            <w:tcMar>
              <w:top w:w="43" w:type="dxa"/>
              <w:left w:w="115" w:type="dxa"/>
              <w:bottom w:w="43" w:type="dxa"/>
              <w:right w:w="115" w:type="dxa"/>
            </w:tcMar>
            <w:vAlign w:val="bottom"/>
            <w:hideMark/>
          </w:tcPr>
          <w:p w14:paraId="149F7BB8" w14:textId="1521CEE8" w:rsidR="00453C76" w:rsidRPr="006C52F8" w:rsidRDefault="00453C76" w:rsidP="00453C76">
            <w:pPr>
              <w:jc w:val="right"/>
              <w:rPr>
                <w:rFonts w:ascii="Arial" w:hAnsi="Arial" w:cs="Arial"/>
                <w:color w:val="000000"/>
              </w:rPr>
            </w:pPr>
            <w:r w:rsidRPr="006C52F8">
              <w:rPr>
                <w:rFonts w:ascii="Arial" w:hAnsi="Arial" w:cs="Arial"/>
                <w:color w:val="000000"/>
              </w:rPr>
              <w:t>19,256</w:t>
            </w:r>
          </w:p>
        </w:tc>
        <w:tc>
          <w:tcPr>
            <w:tcW w:w="1710" w:type="dxa"/>
            <w:noWrap/>
            <w:tcMar>
              <w:top w:w="43" w:type="dxa"/>
              <w:left w:w="115" w:type="dxa"/>
              <w:bottom w:w="43" w:type="dxa"/>
              <w:right w:w="115" w:type="dxa"/>
            </w:tcMar>
            <w:vAlign w:val="bottom"/>
            <w:hideMark/>
          </w:tcPr>
          <w:p w14:paraId="4559ED61" w14:textId="447C6B1E"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340" w:type="dxa"/>
            <w:noWrap/>
            <w:tcMar>
              <w:top w:w="43" w:type="dxa"/>
              <w:left w:w="115" w:type="dxa"/>
              <w:bottom w:w="43" w:type="dxa"/>
              <w:right w:w="115" w:type="dxa"/>
            </w:tcMar>
            <w:vAlign w:val="bottom"/>
            <w:hideMark/>
          </w:tcPr>
          <w:p w14:paraId="25F46A2C" w14:textId="535A20B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2C99DBD9" w14:textId="67DF9EFA" w:rsidR="00453C76" w:rsidRPr="006C52F8" w:rsidRDefault="00453C76" w:rsidP="00453C76">
            <w:pPr>
              <w:jc w:val="right"/>
              <w:rPr>
                <w:rFonts w:ascii="Arial" w:hAnsi="Arial" w:cs="Arial"/>
                <w:color w:val="000000"/>
              </w:rPr>
            </w:pPr>
            <w:r w:rsidRPr="006C52F8">
              <w:rPr>
                <w:rFonts w:ascii="Arial" w:hAnsi="Arial" w:cs="Arial"/>
                <w:color w:val="000000"/>
              </w:rPr>
              <w:t>22,341</w:t>
            </w:r>
          </w:p>
        </w:tc>
        <w:tc>
          <w:tcPr>
            <w:tcW w:w="1980" w:type="dxa"/>
            <w:noWrap/>
            <w:tcMar>
              <w:top w:w="43" w:type="dxa"/>
              <w:left w:w="115" w:type="dxa"/>
              <w:bottom w:w="43" w:type="dxa"/>
              <w:right w:w="115" w:type="dxa"/>
            </w:tcMar>
            <w:vAlign w:val="bottom"/>
            <w:hideMark/>
          </w:tcPr>
          <w:p w14:paraId="2593E0B6" w14:textId="5E65127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6452536A" w14:textId="77777777" w:rsidTr="00CC3B38">
        <w:trPr>
          <w:trHeight w:val="320"/>
        </w:trPr>
        <w:tc>
          <w:tcPr>
            <w:tcW w:w="2340" w:type="dxa"/>
            <w:noWrap/>
            <w:tcMar>
              <w:top w:w="43" w:type="dxa"/>
              <w:left w:w="115" w:type="dxa"/>
              <w:bottom w:w="43" w:type="dxa"/>
              <w:right w:w="115" w:type="dxa"/>
            </w:tcMar>
            <w:hideMark/>
          </w:tcPr>
          <w:p w14:paraId="373095D6" w14:textId="77777777" w:rsidR="00453C76" w:rsidRPr="006C52F8" w:rsidRDefault="00453C76" w:rsidP="00453C76">
            <w:pPr>
              <w:rPr>
                <w:rFonts w:ascii="Arial" w:hAnsi="Arial" w:cs="Arial"/>
                <w:color w:val="000000"/>
              </w:rPr>
            </w:pPr>
            <w:r w:rsidRPr="006C52F8">
              <w:rPr>
                <w:rFonts w:ascii="Arial" w:hAnsi="Arial" w:cs="Arial"/>
                <w:color w:val="000000"/>
              </w:rPr>
              <w:t>Asian</w:t>
            </w:r>
          </w:p>
        </w:tc>
        <w:tc>
          <w:tcPr>
            <w:tcW w:w="1635" w:type="dxa"/>
            <w:noWrap/>
            <w:tcMar>
              <w:top w:w="43" w:type="dxa"/>
              <w:left w:w="115" w:type="dxa"/>
              <w:bottom w:w="43" w:type="dxa"/>
              <w:right w:w="115" w:type="dxa"/>
            </w:tcMar>
            <w:vAlign w:val="bottom"/>
            <w:hideMark/>
          </w:tcPr>
          <w:p w14:paraId="5DF10CE1" w14:textId="76D97A7D" w:rsidR="00453C76" w:rsidRPr="006C52F8" w:rsidRDefault="00453C76" w:rsidP="00453C76">
            <w:pPr>
              <w:jc w:val="right"/>
              <w:rPr>
                <w:rFonts w:ascii="Arial" w:hAnsi="Arial" w:cs="Arial"/>
                <w:color w:val="000000"/>
              </w:rPr>
            </w:pPr>
            <w:r w:rsidRPr="006C52F8">
              <w:rPr>
                <w:rFonts w:ascii="Arial" w:hAnsi="Arial" w:cs="Arial"/>
                <w:color w:val="000000"/>
              </w:rPr>
              <w:t>292,580</w:t>
            </w:r>
          </w:p>
        </w:tc>
        <w:tc>
          <w:tcPr>
            <w:tcW w:w="1785" w:type="dxa"/>
            <w:noWrap/>
            <w:tcMar>
              <w:top w:w="43" w:type="dxa"/>
              <w:left w:w="115" w:type="dxa"/>
              <w:bottom w:w="43" w:type="dxa"/>
              <w:right w:w="115" w:type="dxa"/>
            </w:tcMar>
            <w:vAlign w:val="bottom"/>
            <w:hideMark/>
          </w:tcPr>
          <w:p w14:paraId="0388014A" w14:textId="0EA52FCA" w:rsidR="00453C76" w:rsidRPr="006C52F8" w:rsidRDefault="00453C76" w:rsidP="00453C76">
            <w:pPr>
              <w:jc w:val="right"/>
              <w:rPr>
                <w:rFonts w:ascii="Arial" w:hAnsi="Arial" w:cs="Arial"/>
                <w:color w:val="000000"/>
              </w:rPr>
            </w:pPr>
            <w:r w:rsidRPr="006C52F8">
              <w:rPr>
                <w:rFonts w:ascii="Arial" w:hAnsi="Arial" w:cs="Arial"/>
                <w:color w:val="000000"/>
              </w:rPr>
              <w:t>2,853</w:t>
            </w:r>
          </w:p>
        </w:tc>
        <w:tc>
          <w:tcPr>
            <w:tcW w:w="1710" w:type="dxa"/>
            <w:noWrap/>
            <w:tcMar>
              <w:top w:w="43" w:type="dxa"/>
              <w:left w:w="115" w:type="dxa"/>
              <w:bottom w:w="43" w:type="dxa"/>
              <w:right w:w="115" w:type="dxa"/>
            </w:tcMar>
            <w:vAlign w:val="bottom"/>
            <w:hideMark/>
          </w:tcPr>
          <w:p w14:paraId="13A6166E" w14:textId="5F85E284" w:rsidR="00453C76" w:rsidRPr="006C52F8" w:rsidRDefault="00453C76" w:rsidP="00453C76">
            <w:pPr>
              <w:jc w:val="right"/>
              <w:rPr>
                <w:rFonts w:ascii="Arial" w:hAnsi="Arial" w:cs="Arial"/>
                <w:color w:val="000000"/>
              </w:rPr>
            </w:pPr>
            <w:r w:rsidRPr="006C52F8">
              <w:rPr>
                <w:rFonts w:ascii="Arial" w:hAnsi="Arial" w:cs="Arial"/>
                <w:color w:val="000000"/>
              </w:rPr>
              <w:t>1.0%</w:t>
            </w:r>
          </w:p>
        </w:tc>
        <w:tc>
          <w:tcPr>
            <w:tcW w:w="2340" w:type="dxa"/>
            <w:noWrap/>
            <w:tcMar>
              <w:top w:w="43" w:type="dxa"/>
              <w:left w:w="115" w:type="dxa"/>
              <w:bottom w:w="43" w:type="dxa"/>
              <w:right w:w="115" w:type="dxa"/>
            </w:tcMar>
            <w:vAlign w:val="bottom"/>
            <w:hideMark/>
          </w:tcPr>
          <w:p w14:paraId="65B72352" w14:textId="6682388B"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3DD2E4D2" w14:textId="7FA83EFB" w:rsidR="00453C76" w:rsidRPr="006C52F8" w:rsidRDefault="00453C76" w:rsidP="00453C76">
            <w:pPr>
              <w:jc w:val="right"/>
              <w:rPr>
                <w:rFonts w:ascii="Arial" w:hAnsi="Arial" w:cs="Arial"/>
                <w:color w:val="000000"/>
              </w:rPr>
            </w:pPr>
            <w:r w:rsidRPr="006C52F8">
              <w:rPr>
                <w:rFonts w:ascii="Arial" w:hAnsi="Arial" w:cs="Arial"/>
                <w:color w:val="000000"/>
              </w:rPr>
              <w:t>3,409</w:t>
            </w:r>
          </w:p>
        </w:tc>
        <w:tc>
          <w:tcPr>
            <w:tcW w:w="1980" w:type="dxa"/>
            <w:noWrap/>
            <w:tcMar>
              <w:top w:w="43" w:type="dxa"/>
              <w:left w:w="115" w:type="dxa"/>
              <w:bottom w:w="43" w:type="dxa"/>
              <w:right w:w="115" w:type="dxa"/>
            </w:tcMar>
            <w:vAlign w:val="bottom"/>
            <w:hideMark/>
          </w:tcPr>
          <w:p w14:paraId="5EA11292" w14:textId="60B6C0C5"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1787F295" w14:textId="77777777" w:rsidTr="00CC3B38">
        <w:trPr>
          <w:trHeight w:val="320"/>
        </w:trPr>
        <w:tc>
          <w:tcPr>
            <w:tcW w:w="2340" w:type="dxa"/>
            <w:noWrap/>
            <w:tcMar>
              <w:top w:w="43" w:type="dxa"/>
              <w:left w:w="115" w:type="dxa"/>
              <w:bottom w:w="43" w:type="dxa"/>
              <w:right w:w="115" w:type="dxa"/>
            </w:tcMar>
            <w:hideMark/>
          </w:tcPr>
          <w:p w14:paraId="4556E452" w14:textId="77777777" w:rsidR="00453C76" w:rsidRPr="006C52F8" w:rsidRDefault="00453C76" w:rsidP="00453C76">
            <w:pPr>
              <w:rPr>
                <w:rFonts w:ascii="Arial" w:hAnsi="Arial" w:cs="Arial"/>
                <w:color w:val="000000"/>
              </w:rPr>
            </w:pPr>
            <w:r w:rsidRPr="006C52F8">
              <w:rPr>
                <w:rFonts w:ascii="Arial" w:hAnsi="Arial" w:cs="Arial"/>
                <w:color w:val="000000"/>
              </w:rPr>
              <w:t>White</w:t>
            </w:r>
          </w:p>
        </w:tc>
        <w:tc>
          <w:tcPr>
            <w:tcW w:w="1635" w:type="dxa"/>
            <w:noWrap/>
            <w:tcMar>
              <w:top w:w="43" w:type="dxa"/>
              <w:left w:w="115" w:type="dxa"/>
              <w:bottom w:w="43" w:type="dxa"/>
              <w:right w:w="115" w:type="dxa"/>
            </w:tcMar>
            <w:vAlign w:val="bottom"/>
            <w:hideMark/>
          </w:tcPr>
          <w:p w14:paraId="3181FD53" w14:textId="438DF04C" w:rsidR="00453C76" w:rsidRPr="006C52F8" w:rsidRDefault="00453C76" w:rsidP="00453C76">
            <w:pPr>
              <w:jc w:val="right"/>
              <w:rPr>
                <w:rFonts w:ascii="Arial" w:hAnsi="Arial" w:cs="Arial"/>
                <w:color w:val="000000"/>
              </w:rPr>
            </w:pPr>
            <w:r w:rsidRPr="006C52F8">
              <w:rPr>
                <w:rFonts w:ascii="Arial" w:hAnsi="Arial" w:cs="Arial"/>
                <w:color w:val="000000"/>
              </w:rPr>
              <w:t>618,384</w:t>
            </w:r>
          </w:p>
        </w:tc>
        <w:tc>
          <w:tcPr>
            <w:tcW w:w="1785" w:type="dxa"/>
            <w:noWrap/>
            <w:tcMar>
              <w:top w:w="43" w:type="dxa"/>
              <w:left w:w="115" w:type="dxa"/>
              <w:bottom w:w="43" w:type="dxa"/>
              <w:right w:w="115" w:type="dxa"/>
            </w:tcMar>
            <w:vAlign w:val="bottom"/>
            <w:hideMark/>
          </w:tcPr>
          <w:p w14:paraId="62E02354" w14:textId="71D2187B" w:rsidR="00453C76" w:rsidRPr="006C52F8" w:rsidRDefault="00453C76" w:rsidP="00453C76">
            <w:pPr>
              <w:jc w:val="right"/>
              <w:rPr>
                <w:rFonts w:ascii="Arial" w:hAnsi="Arial" w:cs="Arial"/>
                <w:color w:val="000000"/>
              </w:rPr>
            </w:pPr>
            <w:r w:rsidRPr="006C52F8">
              <w:rPr>
                <w:rFonts w:ascii="Arial" w:hAnsi="Arial" w:cs="Arial"/>
                <w:color w:val="000000"/>
              </w:rPr>
              <w:t>5,701</w:t>
            </w:r>
          </w:p>
        </w:tc>
        <w:tc>
          <w:tcPr>
            <w:tcW w:w="1710" w:type="dxa"/>
            <w:noWrap/>
            <w:tcMar>
              <w:top w:w="43" w:type="dxa"/>
              <w:left w:w="115" w:type="dxa"/>
              <w:bottom w:w="43" w:type="dxa"/>
              <w:right w:w="115" w:type="dxa"/>
            </w:tcMar>
            <w:vAlign w:val="bottom"/>
            <w:hideMark/>
          </w:tcPr>
          <w:p w14:paraId="4BB846F9" w14:textId="7E140CD1" w:rsidR="00453C76" w:rsidRPr="006C52F8" w:rsidRDefault="00453C76" w:rsidP="00453C76">
            <w:pPr>
              <w:jc w:val="right"/>
              <w:rPr>
                <w:rFonts w:ascii="Arial" w:hAnsi="Arial" w:cs="Arial"/>
                <w:color w:val="000000"/>
              </w:rPr>
            </w:pPr>
            <w:r w:rsidRPr="006C52F8">
              <w:rPr>
                <w:rFonts w:ascii="Arial" w:hAnsi="Arial" w:cs="Arial"/>
                <w:color w:val="000000"/>
              </w:rPr>
              <w:t>0.9%</w:t>
            </w:r>
          </w:p>
        </w:tc>
        <w:tc>
          <w:tcPr>
            <w:tcW w:w="2340" w:type="dxa"/>
            <w:noWrap/>
            <w:tcMar>
              <w:top w:w="43" w:type="dxa"/>
              <w:left w:w="115" w:type="dxa"/>
              <w:bottom w:w="43" w:type="dxa"/>
              <w:right w:w="115" w:type="dxa"/>
            </w:tcMar>
            <w:vAlign w:val="bottom"/>
            <w:hideMark/>
          </w:tcPr>
          <w:p w14:paraId="7787A927" w14:textId="5E0E3788"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2A71302F" w14:textId="32C53D79" w:rsidR="00453C76" w:rsidRPr="006C52F8" w:rsidRDefault="00453C76" w:rsidP="00453C76">
            <w:pPr>
              <w:jc w:val="right"/>
              <w:rPr>
                <w:rFonts w:ascii="Arial" w:hAnsi="Arial" w:cs="Arial"/>
                <w:color w:val="000000"/>
              </w:rPr>
            </w:pPr>
            <w:r w:rsidRPr="006C52F8">
              <w:rPr>
                <w:rFonts w:ascii="Arial" w:hAnsi="Arial" w:cs="Arial"/>
                <w:color w:val="000000"/>
              </w:rPr>
              <w:t>7,080</w:t>
            </w:r>
          </w:p>
        </w:tc>
        <w:tc>
          <w:tcPr>
            <w:tcW w:w="1980" w:type="dxa"/>
            <w:noWrap/>
            <w:tcMar>
              <w:top w:w="43" w:type="dxa"/>
              <w:left w:w="115" w:type="dxa"/>
              <w:bottom w:w="43" w:type="dxa"/>
              <w:right w:w="115" w:type="dxa"/>
            </w:tcMar>
            <w:vAlign w:val="bottom"/>
            <w:hideMark/>
          </w:tcPr>
          <w:p w14:paraId="53524E05" w14:textId="47442E53"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4C4D3F32" w14:textId="77777777" w:rsidTr="00CC3B38">
        <w:trPr>
          <w:trHeight w:val="320"/>
        </w:trPr>
        <w:tc>
          <w:tcPr>
            <w:tcW w:w="2340" w:type="dxa"/>
            <w:noWrap/>
            <w:tcMar>
              <w:top w:w="43" w:type="dxa"/>
              <w:left w:w="115" w:type="dxa"/>
              <w:bottom w:w="43" w:type="dxa"/>
              <w:right w:w="115" w:type="dxa"/>
            </w:tcMar>
            <w:hideMark/>
          </w:tcPr>
          <w:p w14:paraId="5571ECA9" w14:textId="77777777" w:rsidR="00453C76" w:rsidRPr="006C52F8" w:rsidRDefault="00453C76" w:rsidP="00453C76">
            <w:pPr>
              <w:rPr>
                <w:rFonts w:ascii="Arial" w:hAnsi="Arial" w:cs="Arial"/>
                <w:color w:val="000000"/>
              </w:rPr>
            </w:pPr>
            <w:r w:rsidRPr="006C52F8">
              <w:rPr>
                <w:rFonts w:ascii="Arial" w:hAnsi="Arial" w:cs="Arial"/>
                <w:color w:val="000000"/>
              </w:rPr>
              <w:t>American Indian or Alaska Native</w:t>
            </w:r>
          </w:p>
        </w:tc>
        <w:tc>
          <w:tcPr>
            <w:tcW w:w="1635" w:type="dxa"/>
            <w:noWrap/>
            <w:tcMar>
              <w:top w:w="43" w:type="dxa"/>
              <w:left w:w="115" w:type="dxa"/>
              <w:bottom w:w="43" w:type="dxa"/>
              <w:right w:w="115" w:type="dxa"/>
            </w:tcMar>
            <w:vAlign w:val="bottom"/>
            <w:hideMark/>
          </w:tcPr>
          <w:p w14:paraId="0E90E185" w14:textId="4C5E6041" w:rsidR="00453C76" w:rsidRPr="006C52F8" w:rsidRDefault="00453C76" w:rsidP="00453C76">
            <w:pPr>
              <w:jc w:val="right"/>
              <w:rPr>
                <w:rFonts w:ascii="Arial" w:hAnsi="Arial" w:cs="Arial"/>
                <w:color w:val="000000"/>
              </w:rPr>
            </w:pPr>
            <w:r w:rsidRPr="006C52F8">
              <w:rPr>
                <w:rFonts w:ascii="Arial" w:hAnsi="Arial" w:cs="Arial"/>
                <w:color w:val="000000"/>
              </w:rPr>
              <w:t>13,022</w:t>
            </w:r>
          </w:p>
        </w:tc>
        <w:tc>
          <w:tcPr>
            <w:tcW w:w="1785" w:type="dxa"/>
            <w:noWrap/>
            <w:tcMar>
              <w:top w:w="43" w:type="dxa"/>
              <w:left w:w="115" w:type="dxa"/>
              <w:bottom w:w="43" w:type="dxa"/>
              <w:right w:w="115" w:type="dxa"/>
            </w:tcMar>
            <w:vAlign w:val="bottom"/>
            <w:hideMark/>
          </w:tcPr>
          <w:p w14:paraId="672861CA" w14:textId="12656FE8" w:rsidR="00453C76" w:rsidRPr="006C52F8" w:rsidRDefault="00453C76" w:rsidP="00453C76">
            <w:pPr>
              <w:jc w:val="right"/>
              <w:rPr>
                <w:rFonts w:ascii="Arial" w:hAnsi="Arial" w:cs="Arial"/>
                <w:color w:val="000000"/>
              </w:rPr>
            </w:pPr>
            <w:r w:rsidRPr="006C52F8">
              <w:rPr>
                <w:rFonts w:ascii="Arial" w:hAnsi="Arial" w:cs="Arial"/>
                <w:color w:val="000000"/>
              </w:rPr>
              <w:t>179</w:t>
            </w:r>
          </w:p>
        </w:tc>
        <w:tc>
          <w:tcPr>
            <w:tcW w:w="1710" w:type="dxa"/>
            <w:noWrap/>
            <w:tcMar>
              <w:top w:w="43" w:type="dxa"/>
              <w:left w:w="115" w:type="dxa"/>
              <w:bottom w:w="43" w:type="dxa"/>
              <w:right w:w="115" w:type="dxa"/>
            </w:tcMar>
            <w:vAlign w:val="bottom"/>
            <w:hideMark/>
          </w:tcPr>
          <w:p w14:paraId="133C5E3F" w14:textId="2E781154" w:rsidR="00453C76" w:rsidRPr="006C52F8" w:rsidRDefault="00453C76" w:rsidP="00453C76">
            <w:pPr>
              <w:jc w:val="right"/>
              <w:rPr>
                <w:rFonts w:ascii="Arial" w:hAnsi="Arial" w:cs="Arial"/>
                <w:color w:val="000000"/>
              </w:rPr>
            </w:pPr>
            <w:r w:rsidRPr="006C52F8">
              <w:rPr>
                <w:rFonts w:ascii="Arial" w:hAnsi="Arial" w:cs="Arial"/>
                <w:color w:val="000000"/>
              </w:rPr>
              <w:t>1.4%</w:t>
            </w:r>
          </w:p>
        </w:tc>
        <w:tc>
          <w:tcPr>
            <w:tcW w:w="2340" w:type="dxa"/>
            <w:noWrap/>
            <w:tcMar>
              <w:top w:w="43" w:type="dxa"/>
              <w:left w:w="115" w:type="dxa"/>
              <w:bottom w:w="43" w:type="dxa"/>
              <w:right w:w="115" w:type="dxa"/>
            </w:tcMar>
            <w:vAlign w:val="bottom"/>
            <w:hideMark/>
          </w:tcPr>
          <w:p w14:paraId="0DF864E4" w14:textId="1DB1F9ED"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0D4335AE" w14:textId="0CB6F63C" w:rsidR="00453C76" w:rsidRPr="006C52F8" w:rsidRDefault="00453C76" w:rsidP="00453C76">
            <w:pPr>
              <w:jc w:val="right"/>
              <w:rPr>
                <w:rFonts w:ascii="Arial" w:hAnsi="Arial" w:cs="Arial"/>
                <w:color w:val="000000"/>
              </w:rPr>
            </w:pPr>
            <w:r w:rsidRPr="006C52F8">
              <w:rPr>
                <w:rFonts w:ascii="Arial" w:hAnsi="Arial" w:cs="Arial"/>
                <w:color w:val="000000"/>
              </w:rPr>
              <w:t>221</w:t>
            </w:r>
          </w:p>
        </w:tc>
        <w:tc>
          <w:tcPr>
            <w:tcW w:w="1980" w:type="dxa"/>
            <w:noWrap/>
            <w:tcMar>
              <w:top w:w="43" w:type="dxa"/>
              <w:left w:w="115" w:type="dxa"/>
              <w:bottom w:w="43" w:type="dxa"/>
              <w:right w:w="115" w:type="dxa"/>
            </w:tcMar>
            <w:vAlign w:val="bottom"/>
            <w:hideMark/>
          </w:tcPr>
          <w:p w14:paraId="666F0630" w14:textId="20CF9029"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08900600" w14:textId="77777777" w:rsidTr="00CC3B38">
        <w:trPr>
          <w:trHeight w:val="320"/>
        </w:trPr>
        <w:tc>
          <w:tcPr>
            <w:tcW w:w="2340" w:type="dxa"/>
            <w:noWrap/>
            <w:tcMar>
              <w:top w:w="43" w:type="dxa"/>
              <w:left w:w="115" w:type="dxa"/>
              <w:bottom w:w="43" w:type="dxa"/>
              <w:right w:w="115" w:type="dxa"/>
            </w:tcMar>
            <w:hideMark/>
          </w:tcPr>
          <w:p w14:paraId="4A7E403F" w14:textId="77777777" w:rsidR="00453C76" w:rsidRPr="006C52F8" w:rsidRDefault="00453C76" w:rsidP="00453C76">
            <w:pPr>
              <w:rPr>
                <w:rFonts w:ascii="Arial" w:hAnsi="Arial" w:cs="Arial"/>
                <w:color w:val="000000"/>
              </w:rPr>
            </w:pPr>
            <w:r w:rsidRPr="006C52F8">
              <w:rPr>
                <w:rFonts w:ascii="Arial" w:hAnsi="Arial" w:cs="Arial"/>
                <w:color w:val="000000"/>
              </w:rPr>
              <w:t>Filipino</w:t>
            </w:r>
          </w:p>
        </w:tc>
        <w:tc>
          <w:tcPr>
            <w:tcW w:w="1635" w:type="dxa"/>
            <w:noWrap/>
            <w:tcMar>
              <w:top w:w="43" w:type="dxa"/>
              <w:left w:w="115" w:type="dxa"/>
              <w:bottom w:w="43" w:type="dxa"/>
              <w:right w:w="115" w:type="dxa"/>
            </w:tcMar>
            <w:vAlign w:val="bottom"/>
            <w:hideMark/>
          </w:tcPr>
          <w:p w14:paraId="68739DFB" w14:textId="0807320A" w:rsidR="00453C76" w:rsidRPr="006C52F8" w:rsidRDefault="00453C76" w:rsidP="00453C76">
            <w:pPr>
              <w:jc w:val="right"/>
              <w:rPr>
                <w:rFonts w:ascii="Arial" w:hAnsi="Arial" w:cs="Arial"/>
                <w:color w:val="000000"/>
              </w:rPr>
            </w:pPr>
            <w:r w:rsidRPr="006C52F8">
              <w:rPr>
                <w:rFonts w:ascii="Arial" w:hAnsi="Arial" w:cs="Arial"/>
                <w:color w:val="000000"/>
              </w:rPr>
              <w:t>71,102</w:t>
            </w:r>
          </w:p>
        </w:tc>
        <w:tc>
          <w:tcPr>
            <w:tcW w:w="1785" w:type="dxa"/>
            <w:noWrap/>
            <w:tcMar>
              <w:top w:w="43" w:type="dxa"/>
              <w:left w:w="115" w:type="dxa"/>
              <w:bottom w:w="43" w:type="dxa"/>
              <w:right w:w="115" w:type="dxa"/>
            </w:tcMar>
            <w:vAlign w:val="bottom"/>
            <w:hideMark/>
          </w:tcPr>
          <w:p w14:paraId="36809202" w14:textId="7584368A" w:rsidR="00453C76" w:rsidRPr="006C52F8" w:rsidRDefault="00453C76" w:rsidP="00453C76">
            <w:pPr>
              <w:jc w:val="right"/>
              <w:rPr>
                <w:rFonts w:ascii="Arial" w:hAnsi="Arial" w:cs="Arial"/>
                <w:color w:val="000000"/>
              </w:rPr>
            </w:pPr>
            <w:r w:rsidRPr="006C52F8">
              <w:rPr>
                <w:rFonts w:ascii="Arial" w:hAnsi="Arial" w:cs="Arial"/>
                <w:color w:val="000000"/>
              </w:rPr>
              <w:t>959</w:t>
            </w:r>
          </w:p>
        </w:tc>
        <w:tc>
          <w:tcPr>
            <w:tcW w:w="1710" w:type="dxa"/>
            <w:noWrap/>
            <w:tcMar>
              <w:top w:w="43" w:type="dxa"/>
              <w:left w:w="115" w:type="dxa"/>
              <w:bottom w:w="43" w:type="dxa"/>
              <w:right w:w="115" w:type="dxa"/>
            </w:tcMar>
            <w:vAlign w:val="bottom"/>
            <w:hideMark/>
          </w:tcPr>
          <w:p w14:paraId="7D6E18CF" w14:textId="21186E17" w:rsidR="00453C76" w:rsidRPr="006C52F8" w:rsidRDefault="00453C76" w:rsidP="00453C76">
            <w:pPr>
              <w:jc w:val="right"/>
              <w:rPr>
                <w:rFonts w:ascii="Arial" w:hAnsi="Arial" w:cs="Arial"/>
                <w:color w:val="000000"/>
              </w:rPr>
            </w:pPr>
            <w:r w:rsidRPr="006C52F8">
              <w:rPr>
                <w:rFonts w:ascii="Arial" w:hAnsi="Arial" w:cs="Arial"/>
                <w:color w:val="000000"/>
              </w:rPr>
              <w:t>1.3%</w:t>
            </w:r>
          </w:p>
        </w:tc>
        <w:tc>
          <w:tcPr>
            <w:tcW w:w="2340" w:type="dxa"/>
            <w:noWrap/>
            <w:tcMar>
              <w:top w:w="43" w:type="dxa"/>
              <w:left w:w="115" w:type="dxa"/>
              <w:bottom w:w="43" w:type="dxa"/>
              <w:right w:w="115" w:type="dxa"/>
            </w:tcMar>
            <w:vAlign w:val="bottom"/>
            <w:hideMark/>
          </w:tcPr>
          <w:p w14:paraId="03BAC559" w14:textId="55DA4B23"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2F319C75" w14:textId="41C91605" w:rsidR="00453C76" w:rsidRPr="006C52F8" w:rsidRDefault="00453C76" w:rsidP="00453C76">
            <w:pPr>
              <w:jc w:val="right"/>
              <w:rPr>
                <w:rFonts w:ascii="Arial" w:hAnsi="Arial" w:cs="Arial"/>
                <w:color w:val="000000"/>
              </w:rPr>
            </w:pPr>
            <w:r w:rsidRPr="006C52F8">
              <w:rPr>
                <w:rFonts w:ascii="Arial" w:hAnsi="Arial" w:cs="Arial"/>
                <w:color w:val="000000"/>
              </w:rPr>
              <w:t>1,160</w:t>
            </w:r>
          </w:p>
        </w:tc>
        <w:tc>
          <w:tcPr>
            <w:tcW w:w="1980" w:type="dxa"/>
            <w:noWrap/>
            <w:tcMar>
              <w:top w:w="43" w:type="dxa"/>
              <w:left w:w="115" w:type="dxa"/>
              <w:bottom w:w="43" w:type="dxa"/>
              <w:right w:w="115" w:type="dxa"/>
            </w:tcMar>
            <w:vAlign w:val="bottom"/>
            <w:hideMark/>
          </w:tcPr>
          <w:p w14:paraId="1D4C0607" w14:textId="276D4FBC"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138C3D28" w14:textId="77777777" w:rsidTr="00CC3B38">
        <w:trPr>
          <w:trHeight w:val="320"/>
        </w:trPr>
        <w:tc>
          <w:tcPr>
            <w:tcW w:w="2340" w:type="dxa"/>
            <w:noWrap/>
            <w:tcMar>
              <w:top w:w="43" w:type="dxa"/>
              <w:left w:w="115" w:type="dxa"/>
              <w:bottom w:w="43" w:type="dxa"/>
              <w:right w:w="115" w:type="dxa"/>
            </w:tcMar>
            <w:hideMark/>
          </w:tcPr>
          <w:p w14:paraId="1842DE1B" w14:textId="77777777" w:rsidR="00453C76" w:rsidRPr="006C52F8" w:rsidRDefault="00453C76" w:rsidP="00453C76">
            <w:pPr>
              <w:rPr>
                <w:rFonts w:ascii="Arial" w:hAnsi="Arial" w:cs="Arial"/>
                <w:color w:val="000000"/>
              </w:rPr>
            </w:pPr>
            <w:r w:rsidRPr="006C52F8">
              <w:rPr>
                <w:rFonts w:ascii="Arial" w:hAnsi="Arial" w:cs="Arial"/>
                <w:color w:val="000000"/>
              </w:rPr>
              <w:t>Native Hawaiian or Pacific Islander</w:t>
            </w:r>
          </w:p>
        </w:tc>
        <w:tc>
          <w:tcPr>
            <w:tcW w:w="1635" w:type="dxa"/>
            <w:noWrap/>
            <w:tcMar>
              <w:top w:w="43" w:type="dxa"/>
              <w:left w:w="115" w:type="dxa"/>
              <w:bottom w:w="43" w:type="dxa"/>
              <w:right w:w="115" w:type="dxa"/>
            </w:tcMar>
            <w:vAlign w:val="bottom"/>
            <w:hideMark/>
          </w:tcPr>
          <w:p w14:paraId="584F7CD0" w14:textId="71FFD198" w:rsidR="00453C76" w:rsidRPr="006C52F8" w:rsidRDefault="00453C76" w:rsidP="00453C76">
            <w:pPr>
              <w:jc w:val="right"/>
              <w:rPr>
                <w:rFonts w:ascii="Arial" w:hAnsi="Arial" w:cs="Arial"/>
                <w:color w:val="000000"/>
              </w:rPr>
            </w:pPr>
            <w:r w:rsidRPr="006C52F8">
              <w:rPr>
                <w:rFonts w:ascii="Arial" w:hAnsi="Arial" w:cs="Arial"/>
                <w:color w:val="000000"/>
              </w:rPr>
              <w:t>12,765</w:t>
            </w:r>
          </w:p>
        </w:tc>
        <w:tc>
          <w:tcPr>
            <w:tcW w:w="1785" w:type="dxa"/>
            <w:noWrap/>
            <w:tcMar>
              <w:top w:w="43" w:type="dxa"/>
              <w:left w:w="115" w:type="dxa"/>
              <w:bottom w:w="43" w:type="dxa"/>
              <w:right w:w="115" w:type="dxa"/>
            </w:tcMar>
            <w:vAlign w:val="bottom"/>
            <w:hideMark/>
          </w:tcPr>
          <w:p w14:paraId="7C740A94" w14:textId="118CCA7D" w:rsidR="00453C76" w:rsidRPr="006C52F8" w:rsidRDefault="00453C76" w:rsidP="00453C76">
            <w:pPr>
              <w:jc w:val="right"/>
              <w:rPr>
                <w:rFonts w:ascii="Arial" w:hAnsi="Arial" w:cs="Arial"/>
                <w:color w:val="000000"/>
              </w:rPr>
            </w:pPr>
            <w:r w:rsidRPr="006C52F8">
              <w:rPr>
                <w:rFonts w:ascii="Arial" w:hAnsi="Arial" w:cs="Arial"/>
                <w:color w:val="000000"/>
              </w:rPr>
              <w:t>147</w:t>
            </w:r>
          </w:p>
        </w:tc>
        <w:tc>
          <w:tcPr>
            <w:tcW w:w="1710" w:type="dxa"/>
            <w:noWrap/>
            <w:tcMar>
              <w:top w:w="43" w:type="dxa"/>
              <w:left w:w="115" w:type="dxa"/>
              <w:bottom w:w="43" w:type="dxa"/>
              <w:right w:w="115" w:type="dxa"/>
            </w:tcMar>
            <w:vAlign w:val="bottom"/>
            <w:hideMark/>
          </w:tcPr>
          <w:p w14:paraId="0AC6D9DD" w14:textId="107790AC" w:rsidR="00453C76" w:rsidRPr="006C52F8" w:rsidRDefault="00453C76" w:rsidP="00453C76">
            <w:pPr>
              <w:jc w:val="right"/>
              <w:rPr>
                <w:rFonts w:ascii="Arial" w:hAnsi="Arial" w:cs="Arial"/>
                <w:color w:val="000000"/>
              </w:rPr>
            </w:pPr>
            <w:r w:rsidRPr="006C52F8">
              <w:rPr>
                <w:rFonts w:ascii="Arial" w:hAnsi="Arial" w:cs="Arial"/>
                <w:color w:val="000000"/>
              </w:rPr>
              <w:t>1.2%</w:t>
            </w:r>
          </w:p>
        </w:tc>
        <w:tc>
          <w:tcPr>
            <w:tcW w:w="2340" w:type="dxa"/>
            <w:noWrap/>
            <w:tcMar>
              <w:top w:w="43" w:type="dxa"/>
              <w:left w:w="115" w:type="dxa"/>
              <w:bottom w:w="43" w:type="dxa"/>
              <w:right w:w="115" w:type="dxa"/>
            </w:tcMar>
            <w:vAlign w:val="bottom"/>
            <w:hideMark/>
          </w:tcPr>
          <w:p w14:paraId="09A09DC6" w14:textId="27989B8B"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71D16807" w14:textId="773AF8BD" w:rsidR="00453C76" w:rsidRPr="006C52F8" w:rsidRDefault="00453C76" w:rsidP="00453C76">
            <w:pPr>
              <w:jc w:val="right"/>
              <w:rPr>
                <w:rFonts w:ascii="Arial" w:hAnsi="Arial" w:cs="Arial"/>
                <w:color w:val="000000"/>
              </w:rPr>
            </w:pPr>
            <w:r w:rsidRPr="006C52F8">
              <w:rPr>
                <w:rFonts w:ascii="Arial" w:hAnsi="Arial" w:cs="Arial"/>
                <w:color w:val="000000"/>
              </w:rPr>
              <w:t>178</w:t>
            </w:r>
          </w:p>
        </w:tc>
        <w:tc>
          <w:tcPr>
            <w:tcW w:w="1980" w:type="dxa"/>
            <w:noWrap/>
            <w:tcMar>
              <w:top w:w="43" w:type="dxa"/>
              <w:left w:w="115" w:type="dxa"/>
              <w:bottom w:w="43" w:type="dxa"/>
              <w:right w:w="115" w:type="dxa"/>
            </w:tcMar>
            <w:vAlign w:val="bottom"/>
            <w:hideMark/>
          </w:tcPr>
          <w:p w14:paraId="0990D01A" w14:textId="56E45D8B"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F0A4E76" w14:textId="77777777" w:rsidTr="00CC3B38">
        <w:trPr>
          <w:trHeight w:val="320"/>
        </w:trPr>
        <w:tc>
          <w:tcPr>
            <w:tcW w:w="2340" w:type="dxa"/>
            <w:noWrap/>
            <w:tcMar>
              <w:top w:w="43" w:type="dxa"/>
              <w:left w:w="115" w:type="dxa"/>
              <w:bottom w:w="43" w:type="dxa"/>
              <w:right w:w="115" w:type="dxa"/>
            </w:tcMar>
            <w:hideMark/>
          </w:tcPr>
          <w:p w14:paraId="0612D47E" w14:textId="77777777" w:rsidR="00453C76" w:rsidRPr="006C52F8" w:rsidRDefault="00453C76" w:rsidP="00453C76">
            <w:pPr>
              <w:rPr>
                <w:rFonts w:ascii="Arial" w:hAnsi="Arial" w:cs="Arial"/>
                <w:color w:val="000000"/>
              </w:rPr>
            </w:pPr>
            <w:r w:rsidRPr="006C52F8">
              <w:rPr>
                <w:rFonts w:ascii="Arial" w:hAnsi="Arial" w:cs="Arial"/>
                <w:color w:val="000000"/>
              </w:rPr>
              <w:t>Two or more races</w:t>
            </w:r>
          </w:p>
        </w:tc>
        <w:tc>
          <w:tcPr>
            <w:tcW w:w="1635" w:type="dxa"/>
            <w:noWrap/>
            <w:tcMar>
              <w:top w:w="43" w:type="dxa"/>
              <w:left w:w="115" w:type="dxa"/>
              <w:bottom w:w="43" w:type="dxa"/>
              <w:right w:w="115" w:type="dxa"/>
            </w:tcMar>
            <w:vAlign w:val="bottom"/>
            <w:hideMark/>
          </w:tcPr>
          <w:p w14:paraId="1B6E98A7" w14:textId="5237A9B1" w:rsidR="00453C76" w:rsidRPr="006C52F8" w:rsidRDefault="00453C76" w:rsidP="00453C76">
            <w:pPr>
              <w:jc w:val="right"/>
              <w:rPr>
                <w:rFonts w:ascii="Arial" w:hAnsi="Arial" w:cs="Arial"/>
                <w:color w:val="000000"/>
              </w:rPr>
            </w:pPr>
            <w:r w:rsidRPr="006C52F8">
              <w:rPr>
                <w:rFonts w:ascii="Arial" w:hAnsi="Arial" w:cs="Arial"/>
                <w:color w:val="000000"/>
              </w:rPr>
              <w:t>126,270</w:t>
            </w:r>
          </w:p>
        </w:tc>
        <w:tc>
          <w:tcPr>
            <w:tcW w:w="1785" w:type="dxa"/>
            <w:noWrap/>
            <w:tcMar>
              <w:top w:w="43" w:type="dxa"/>
              <w:left w:w="115" w:type="dxa"/>
              <w:bottom w:w="43" w:type="dxa"/>
              <w:right w:w="115" w:type="dxa"/>
            </w:tcMar>
            <w:vAlign w:val="bottom"/>
            <w:hideMark/>
          </w:tcPr>
          <w:p w14:paraId="7CE2FEF4" w14:textId="0F5D6DA1" w:rsidR="00453C76" w:rsidRPr="006C52F8" w:rsidRDefault="00453C76" w:rsidP="00453C76">
            <w:pPr>
              <w:jc w:val="right"/>
              <w:rPr>
                <w:rFonts w:ascii="Arial" w:hAnsi="Arial" w:cs="Arial"/>
                <w:color w:val="000000"/>
              </w:rPr>
            </w:pPr>
            <w:r w:rsidRPr="006C52F8">
              <w:rPr>
                <w:rFonts w:ascii="Arial" w:hAnsi="Arial" w:cs="Arial"/>
                <w:color w:val="000000"/>
              </w:rPr>
              <w:t>1,153</w:t>
            </w:r>
          </w:p>
        </w:tc>
        <w:tc>
          <w:tcPr>
            <w:tcW w:w="1710" w:type="dxa"/>
            <w:noWrap/>
            <w:tcMar>
              <w:top w:w="43" w:type="dxa"/>
              <w:left w:w="115" w:type="dxa"/>
              <w:bottom w:w="43" w:type="dxa"/>
              <w:right w:w="115" w:type="dxa"/>
            </w:tcMar>
            <w:vAlign w:val="bottom"/>
            <w:hideMark/>
          </w:tcPr>
          <w:p w14:paraId="2B5BD100" w14:textId="4D617E43" w:rsidR="00453C76" w:rsidRPr="006C52F8" w:rsidRDefault="00453C76" w:rsidP="00453C76">
            <w:pPr>
              <w:jc w:val="right"/>
              <w:rPr>
                <w:rFonts w:ascii="Arial" w:hAnsi="Arial" w:cs="Arial"/>
                <w:color w:val="000000"/>
              </w:rPr>
            </w:pPr>
            <w:r w:rsidRPr="006C52F8">
              <w:rPr>
                <w:rFonts w:ascii="Arial" w:hAnsi="Arial" w:cs="Arial"/>
                <w:color w:val="000000"/>
              </w:rPr>
              <w:t>0.9%</w:t>
            </w:r>
          </w:p>
        </w:tc>
        <w:tc>
          <w:tcPr>
            <w:tcW w:w="2340" w:type="dxa"/>
            <w:noWrap/>
            <w:tcMar>
              <w:top w:w="43" w:type="dxa"/>
              <w:left w:w="115" w:type="dxa"/>
              <w:bottom w:w="43" w:type="dxa"/>
              <w:right w:w="115" w:type="dxa"/>
            </w:tcMar>
            <w:vAlign w:val="bottom"/>
            <w:hideMark/>
          </w:tcPr>
          <w:p w14:paraId="7C6DB84D" w14:textId="11E57132"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184450DF" w14:textId="486E414B" w:rsidR="00453C76" w:rsidRPr="006C52F8" w:rsidRDefault="00453C76" w:rsidP="00453C76">
            <w:pPr>
              <w:jc w:val="right"/>
              <w:rPr>
                <w:rFonts w:ascii="Arial" w:hAnsi="Arial" w:cs="Arial"/>
                <w:color w:val="000000"/>
              </w:rPr>
            </w:pPr>
            <w:r w:rsidRPr="006C52F8">
              <w:rPr>
                <w:rFonts w:ascii="Arial" w:hAnsi="Arial" w:cs="Arial"/>
                <w:color w:val="000000"/>
              </w:rPr>
              <w:t>1,449</w:t>
            </w:r>
          </w:p>
        </w:tc>
        <w:tc>
          <w:tcPr>
            <w:tcW w:w="1980" w:type="dxa"/>
            <w:noWrap/>
            <w:tcMar>
              <w:top w:w="43" w:type="dxa"/>
              <w:left w:w="115" w:type="dxa"/>
              <w:bottom w:w="43" w:type="dxa"/>
              <w:right w:w="115" w:type="dxa"/>
            </w:tcMar>
            <w:vAlign w:val="bottom"/>
            <w:hideMark/>
          </w:tcPr>
          <w:p w14:paraId="0FDF27E6" w14:textId="30B5D25D"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4B57B608" w14:textId="77777777" w:rsidTr="00CC3B38">
        <w:trPr>
          <w:trHeight w:val="320"/>
        </w:trPr>
        <w:tc>
          <w:tcPr>
            <w:tcW w:w="2340" w:type="dxa"/>
            <w:noWrap/>
            <w:tcMar>
              <w:top w:w="43" w:type="dxa"/>
              <w:left w:w="115" w:type="dxa"/>
              <w:bottom w:w="43" w:type="dxa"/>
              <w:right w:w="115" w:type="dxa"/>
            </w:tcMar>
            <w:hideMark/>
          </w:tcPr>
          <w:p w14:paraId="4970EFA4" w14:textId="77777777" w:rsidR="00453C76" w:rsidRPr="006C52F8" w:rsidRDefault="00453C76" w:rsidP="00453C76">
            <w:pPr>
              <w:rPr>
                <w:rFonts w:ascii="Arial" w:hAnsi="Arial" w:cs="Arial"/>
                <w:color w:val="000000"/>
              </w:rPr>
            </w:pPr>
            <w:r w:rsidRPr="006C52F8">
              <w:rPr>
                <w:rFonts w:ascii="Arial" w:hAnsi="Arial" w:cs="Arial"/>
                <w:color w:val="000000"/>
              </w:rPr>
              <w:t>English learners</w:t>
            </w:r>
          </w:p>
        </w:tc>
        <w:tc>
          <w:tcPr>
            <w:tcW w:w="1635" w:type="dxa"/>
            <w:noWrap/>
            <w:tcMar>
              <w:top w:w="43" w:type="dxa"/>
              <w:left w:w="115" w:type="dxa"/>
              <w:bottom w:w="43" w:type="dxa"/>
              <w:right w:w="115" w:type="dxa"/>
            </w:tcMar>
            <w:vAlign w:val="bottom"/>
            <w:hideMark/>
          </w:tcPr>
          <w:p w14:paraId="0CA63A47" w14:textId="1652B270" w:rsidR="00453C76" w:rsidRPr="006C52F8" w:rsidRDefault="00453C76" w:rsidP="00453C76">
            <w:pPr>
              <w:jc w:val="right"/>
              <w:rPr>
                <w:rFonts w:ascii="Arial" w:hAnsi="Arial" w:cs="Arial"/>
                <w:color w:val="000000"/>
              </w:rPr>
            </w:pPr>
            <w:r w:rsidRPr="006C52F8">
              <w:rPr>
                <w:rFonts w:ascii="Arial" w:hAnsi="Arial" w:cs="Arial"/>
                <w:color w:val="000000"/>
              </w:rPr>
              <w:t>547,618</w:t>
            </w:r>
          </w:p>
        </w:tc>
        <w:tc>
          <w:tcPr>
            <w:tcW w:w="1785" w:type="dxa"/>
            <w:noWrap/>
            <w:tcMar>
              <w:top w:w="43" w:type="dxa"/>
              <w:left w:w="115" w:type="dxa"/>
              <w:bottom w:w="43" w:type="dxa"/>
              <w:right w:w="115" w:type="dxa"/>
            </w:tcMar>
            <w:vAlign w:val="bottom"/>
            <w:hideMark/>
          </w:tcPr>
          <w:p w14:paraId="60166525" w14:textId="37CDE7D4" w:rsidR="00453C76" w:rsidRPr="006C52F8" w:rsidRDefault="00453C76" w:rsidP="00453C76">
            <w:pPr>
              <w:jc w:val="right"/>
              <w:rPr>
                <w:rFonts w:ascii="Arial" w:hAnsi="Arial" w:cs="Arial"/>
                <w:color w:val="000000"/>
              </w:rPr>
            </w:pPr>
            <w:r w:rsidRPr="006C52F8">
              <w:rPr>
                <w:rFonts w:ascii="Arial" w:hAnsi="Arial" w:cs="Arial"/>
                <w:color w:val="000000"/>
              </w:rPr>
              <w:t>8,831</w:t>
            </w:r>
          </w:p>
        </w:tc>
        <w:tc>
          <w:tcPr>
            <w:tcW w:w="1710" w:type="dxa"/>
            <w:noWrap/>
            <w:tcMar>
              <w:top w:w="43" w:type="dxa"/>
              <w:left w:w="115" w:type="dxa"/>
              <w:bottom w:w="43" w:type="dxa"/>
              <w:right w:w="115" w:type="dxa"/>
            </w:tcMar>
            <w:vAlign w:val="bottom"/>
            <w:hideMark/>
          </w:tcPr>
          <w:p w14:paraId="563334DA" w14:textId="43AE0F07" w:rsidR="00453C76" w:rsidRPr="006C52F8" w:rsidRDefault="00453C76" w:rsidP="00453C76">
            <w:pPr>
              <w:jc w:val="right"/>
              <w:rPr>
                <w:rFonts w:ascii="Arial" w:hAnsi="Arial" w:cs="Arial"/>
                <w:color w:val="000000"/>
              </w:rPr>
            </w:pPr>
            <w:r w:rsidRPr="006C52F8">
              <w:rPr>
                <w:rFonts w:ascii="Arial" w:hAnsi="Arial" w:cs="Arial"/>
                <w:color w:val="000000"/>
              </w:rPr>
              <w:t>1.6%</w:t>
            </w:r>
          </w:p>
        </w:tc>
        <w:tc>
          <w:tcPr>
            <w:tcW w:w="2340" w:type="dxa"/>
            <w:noWrap/>
            <w:tcMar>
              <w:top w:w="43" w:type="dxa"/>
              <w:left w:w="115" w:type="dxa"/>
              <w:bottom w:w="43" w:type="dxa"/>
              <w:right w:w="115" w:type="dxa"/>
            </w:tcMar>
            <w:vAlign w:val="bottom"/>
            <w:hideMark/>
          </w:tcPr>
          <w:p w14:paraId="057F6511" w14:textId="4A540FA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0354F6CD" w14:textId="48E56BE1" w:rsidR="00453C76" w:rsidRPr="006C52F8" w:rsidRDefault="00453C76" w:rsidP="00453C76">
            <w:pPr>
              <w:jc w:val="right"/>
              <w:rPr>
                <w:rFonts w:ascii="Arial" w:hAnsi="Arial" w:cs="Arial"/>
                <w:color w:val="000000"/>
              </w:rPr>
            </w:pPr>
            <w:r w:rsidRPr="006C52F8">
              <w:rPr>
                <w:rFonts w:ascii="Arial" w:hAnsi="Arial" w:cs="Arial"/>
                <w:color w:val="000000"/>
              </w:rPr>
              <w:t>10,071</w:t>
            </w:r>
          </w:p>
        </w:tc>
        <w:tc>
          <w:tcPr>
            <w:tcW w:w="1980" w:type="dxa"/>
            <w:noWrap/>
            <w:tcMar>
              <w:top w:w="43" w:type="dxa"/>
              <w:left w:w="115" w:type="dxa"/>
              <w:bottom w:w="43" w:type="dxa"/>
              <w:right w:w="115" w:type="dxa"/>
            </w:tcMar>
            <w:vAlign w:val="bottom"/>
            <w:hideMark/>
          </w:tcPr>
          <w:p w14:paraId="6D8CBDBC" w14:textId="3421294B"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1F95D01F" w14:textId="77777777" w:rsidTr="00CC3B38">
        <w:trPr>
          <w:trHeight w:val="320"/>
        </w:trPr>
        <w:tc>
          <w:tcPr>
            <w:tcW w:w="2340" w:type="dxa"/>
            <w:noWrap/>
            <w:tcMar>
              <w:top w:w="43" w:type="dxa"/>
              <w:left w:w="115" w:type="dxa"/>
              <w:bottom w:w="43" w:type="dxa"/>
              <w:right w:w="115" w:type="dxa"/>
            </w:tcMar>
            <w:hideMark/>
          </w:tcPr>
          <w:p w14:paraId="7EEF2E7D" w14:textId="77777777" w:rsidR="00453C76" w:rsidRPr="006C52F8" w:rsidRDefault="00453C76" w:rsidP="00453C76">
            <w:pPr>
              <w:rPr>
                <w:rFonts w:ascii="Arial" w:hAnsi="Arial" w:cs="Arial"/>
                <w:color w:val="000000"/>
              </w:rPr>
            </w:pPr>
            <w:r w:rsidRPr="006C52F8">
              <w:rPr>
                <w:rFonts w:ascii="Arial" w:hAnsi="Arial" w:cs="Arial"/>
                <w:color w:val="000000"/>
              </w:rPr>
              <w:t>Economically disadvantaged</w:t>
            </w:r>
          </w:p>
        </w:tc>
        <w:tc>
          <w:tcPr>
            <w:tcW w:w="1635" w:type="dxa"/>
            <w:noWrap/>
            <w:tcMar>
              <w:top w:w="43" w:type="dxa"/>
              <w:left w:w="115" w:type="dxa"/>
              <w:bottom w:w="43" w:type="dxa"/>
              <w:right w:w="115" w:type="dxa"/>
            </w:tcMar>
            <w:vAlign w:val="bottom"/>
            <w:hideMark/>
          </w:tcPr>
          <w:p w14:paraId="38D76C98" w14:textId="564AC7CA" w:rsidR="00453C76" w:rsidRPr="006C52F8" w:rsidRDefault="00453C76" w:rsidP="00453C76">
            <w:pPr>
              <w:jc w:val="right"/>
              <w:rPr>
                <w:rFonts w:ascii="Arial" w:hAnsi="Arial" w:cs="Arial"/>
                <w:color w:val="000000"/>
              </w:rPr>
            </w:pPr>
            <w:r w:rsidRPr="006C52F8">
              <w:rPr>
                <w:rFonts w:ascii="Arial" w:hAnsi="Arial" w:cs="Arial"/>
                <w:color w:val="000000"/>
              </w:rPr>
              <w:t>1,798,726</w:t>
            </w:r>
          </w:p>
        </w:tc>
        <w:tc>
          <w:tcPr>
            <w:tcW w:w="1785" w:type="dxa"/>
            <w:noWrap/>
            <w:tcMar>
              <w:top w:w="43" w:type="dxa"/>
              <w:left w:w="115" w:type="dxa"/>
              <w:bottom w:w="43" w:type="dxa"/>
              <w:right w:w="115" w:type="dxa"/>
            </w:tcMar>
            <w:vAlign w:val="bottom"/>
            <w:hideMark/>
          </w:tcPr>
          <w:p w14:paraId="3B6DCE5F" w14:textId="4EBBA139" w:rsidR="00453C76" w:rsidRPr="006C52F8" w:rsidRDefault="00453C76" w:rsidP="00453C76">
            <w:pPr>
              <w:jc w:val="right"/>
              <w:rPr>
                <w:rFonts w:ascii="Arial" w:hAnsi="Arial" w:cs="Arial"/>
                <w:color w:val="000000"/>
              </w:rPr>
            </w:pPr>
            <w:r w:rsidRPr="006C52F8">
              <w:rPr>
                <w:rFonts w:ascii="Arial" w:hAnsi="Arial" w:cs="Arial"/>
                <w:color w:val="000000"/>
              </w:rPr>
              <w:t>21,304</w:t>
            </w:r>
          </w:p>
        </w:tc>
        <w:tc>
          <w:tcPr>
            <w:tcW w:w="1710" w:type="dxa"/>
            <w:noWrap/>
            <w:tcMar>
              <w:top w:w="43" w:type="dxa"/>
              <w:left w:w="115" w:type="dxa"/>
              <w:bottom w:w="43" w:type="dxa"/>
              <w:right w:w="115" w:type="dxa"/>
            </w:tcMar>
            <w:vAlign w:val="bottom"/>
            <w:hideMark/>
          </w:tcPr>
          <w:p w14:paraId="7E92F377" w14:textId="16F2F241" w:rsidR="00453C76" w:rsidRPr="006C52F8" w:rsidRDefault="00453C76" w:rsidP="00453C76">
            <w:pPr>
              <w:jc w:val="right"/>
              <w:rPr>
                <w:rFonts w:ascii="Arial" w:hAnsi="Arial" w:cs="Arial"/>
                <w:color w:val="000000"/>
              </w:rPr>
            </w:pPr>
            <w:r w:rsidRPr="006C52F8">
              <w:rPr>
                <w:rFonts w:ascii="Arial" w:hAnsi="Arial" w:cs="Arial"/>
                <w:color w:val="000000"/>
              </w:rPr>
              <w:t>1.2%</w:t>
            </w:r>
          </w:p>
        </w:tc>
        <w:tc>
          <w:tcPr>
            <w:tcW w:w="2340" w:type="dxa"/>
            <w:noWrap/>
            <w:tcMar>
              <w:top w:w="43" w:type="dxa"/>
              <w:left w:w="115" w:type="dxa"/>
              <w:bottom w:w="43" w:type="dxa"/>
              <w:right w:w="115" w:type="dxa"/>
            </w:tcMar>
            <w:vAlign w:val="bottom"/>
            <w:hideMark/>
          </w:tcPr>
          <w:p w14:paraId="66931E14" w14:textId="773A02F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34F5DD3A" w14:textId="586E3003" w:rsidR="00453C76" w:rsidRPr="006C52F8" w:rsidRDefault="00453C76" w:rsidP="00453C76">
            <w:pPr>
              <w:jc w:val="right"/>
              <w:rPr>
                <w:rFonts w:ascii="Arial" w:hAnsi="Arial" w:cs="Arial"/>
                <w:color w:val="000000"/>
              </w:rPr>
            </w:pPr>
            <w:r w:rsidRPr="006C52F8">
              <w:rPr>
                <w:rFonts w:ascii="Arial" w:hAnsi="Arial" w:cs="Arial"/>
                <w:color w:val="000000"/>
              </w:rPr>
              <w:t>22,977</w:t>
            </w:r>
          </w:p>
        </w:tc>
        <w:tc>
          <w:tcPr>
            <w:tcW w:w="1980" w:type="dxa"/>
            <w:noWrap/>
            <w:tcMar>
              <w:top w:w="43" w:type="dxa"/>
              <w:left w:w="115" w:type="dxa"/>
              <w:bottom w:w="43" w:type="dxa"/>
              <w:right w:w="115" w:type="dxa"/>
            </w:tcMar>
            <w:vAlign w:val="bottom"/>
            <w:hideMark/>
          </w:tcPr>
          <w:p w14:paraId="5734CC7E" w14:textId="652FC63C"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bl>
    <w:p w14:paraId="4D24C564" w14:textId="049DC684" w:rsidR="00B355C5" w:rsidRPr="006C52F8" w:rsidRDefault="00B355C5" w:rsidP="50D9BCFB">
      <w:pPr>
        <w:spacing w:before="240" w:after="60"/>
        <w:ind w:hanging="806"/>
        <w:rPr>
          <w:rFonts w:ascii="Arial" w:hAnsi="Arial" w:cs="Arial"/>
          <w:color w:val="000000"/>
        </w:rPr>
      </w:pPr>
      <w:r w:rsidRPr="006C52F8">
        <w:rPr>
          <w:rFonts w:ascii="Arial" w:hAnsi="Arial" w:cs="Arial"/>
          <w:color w:val="000000" w:themeColor="text1"/>
        </w:rPr>
        <w:lastRenderedPageBreak/>
        <w:t>Table 6.</w:t>
      </w:r>
      <w:r w:rsidRPr="006C52F8">
        <w:rPr>
          <w:rFonts w:ascii="Arial" w:hAnsi="Arial" w:cs="Arial"/>
          <w:b/>
          <w:bCs/>
          <w:color w:val="000000" w:themeColor="text1"/>
        </w:rPr>
        <w:t xml:space="preserve"> </w:t>
      </w:r>
      <w:r w:rsidRPr="006C52F8">
        <w:rPr>
          <w:rFonts w:ascii="Arial" w:eastAsia="Calibri" w:hAnsi="Arial" w:cs="Arial"/>
        </w:rPr>
        <w:t xml:space="preserve">CAA for </w:t>
      </w:r>
      <w:r w:rsidRPr="006C52F8">
        <w:rPr>
          <w:rFonts w:ascii="Arial" w:hAnsi="Arial" w:cs="Arial"/>
          <w:color w:val="000000" w:themeColor="text1"/>
        </w:rPr>
        <w:t>Mathematics Participation Rates by Student</w:t>
      </w:r>
      <w:r w:rsidRPr="006C52F8">
        <w:rPr>
          <w:rFonts w:ascii="Arial" w:hAnsi="Arial" w:cs="Arial"/>
          <w:b/>
          <w:bCs/>
          <w:color w:val="000000" w:themeColor="text1"/>
        </w:rPr>
        <w:t xml:space="preserve"> </w:t>
      </w:r>
      <w:r w:rsidRPr="006C52F8">
        <w:rPr>
          <w:rFonts w:ascii="Arial" w:hAnsi="Arial" w:cs="Arial"/>
          <w:color w:val="000000" w:themeColor="text1"/>
        </w:rPr>
        <w:t>Group</w:t>
      </w:r>
    </w:p>
    <w:tbl>
      <w:tblPr>
        <w:tblStyle w:val="TableGrid11"/>
        <w:tblW w:w="14220" w:type="dxa"/>
        <w:tblInd w:w="-815" w:type="dxa"/>
        <w:tblLayout w:type="fixed"/>
        <w:tblLook w:val="04A0" w:firstRow="1" w:lastRow="0" w:firstColumn="1" w:lastColumn="0" w:noHBand="0" w:noVBand="1"/>
        <w:tblCaption w:val="Table 6. CAA for Mathematics Participation Rates by Student Group, 2022 and 2023"/>
        <w:tblDescription w:val="Table 6 display the CAA for Mathematics Participation Rates by Student Group for 2021–22 and the expected rates for 2022–23."/>
      </w:tblPr>
      <w:tblGrid>
        <w:gridCol w:w="2250"/>
        <w:gridCol w:w="1710"/>
        <w:gridCol w:w="1800"/>
        <w:gridCol w:w="1710"/>
        <w:gridCol w:w="2340"/>
        <w:gridCol w:w="2430"/>
        <w:gridCol w:w="1980"/>
      </w:tblGrid>
      <w:tr w:rsidR="001F74BE" w:rsidRPr="006C52F8" w14:paraId="04471065" w14:textId="77777777" w:rsidTr="0B71D082">
        <w:trPr>
          <w:cantSplit/>
          <w:trHeight w:val="1297"/>
          <w:tblHeader/>
        </w:trPr>
        <w:tc>
          <w:tcPr>
            <w:tcW w:w="2250" w:type="dxa"/>
            <w:shd w:val="clear" w:color="auto" w:fill="D9D9D9" w:themeFill="background1" w:themeFillShade="D9"/>
            <w:tcMar>
              <w:top w:w="43" w:type="dxa"/>
              <w:left w:w="115" w:type="dxa"/>
              <w:bottom w:w="43" w:type="dxa"/>
              <w:right w:w="115" w:type="dxa"/>
            </w:tcMar>
            <w:vAlign w:val="center"/>
            <w:hideMark/>
          </w:tcPr>
          <w:p w14:paraId="16B55FFA" w14:textId="77777777" w:rsidR="00B355C5" w:rsidRPr="006C52F8" w:rsidRDefault="00B355C5" w:rsidP="50D9BCFB">
            <w:pPr>
              <w:jc w:val="center"/>
              <w:rPr>
                <w:rFonts w:ascii="Arial" w:hAnsi="Arial" w:cs="Arial"/>
                <w:b/>
                <w:bCs/>
                <w:color w:val="000000"/>
              </w:rPr>
            </w:pPr>
            <w:bookmarkStart w:id="3" w:name="_Hlk95836348"/>
            <w:r w:rsidRPr="006C52F8">
              <w:rPr>
                <w:rFonts w:ascii="Arial" w:hAnsi="Arial" w:cs="Arial"/>
                <w:b/>
                <w:bCs/>
                <w:color w:val="000000" w:themeColor="text1"/>
              </w:rPr>
              <w:t>Student Group</w:t>
            </w:r>
          </w:p>
        </w:tc>
        <w:tc>
          <w:tcPr>
            <w:tcW w:w="1710" w:type="dxa"/>
            <w:shd w:val="clear" w:color="auto" w:fill="D9D9D9" w:themeFill="background1" w:themeFillShade="D9"/>
            <w:tcMar>
              <w:top w:w="43" w:type="dxa"/>
              <w:left w:w="115" w:type="dxa"/>
              <w:bottom w:w="43" w:type="dxa"/>
              <w:right w:w="115" w:type="dxa"/>
            </w:tcMar>
            <w:vAlign w:val="center"/>
            <w:hideMark/>
          </w:tcPr>
          <w:p w14:paraId="472FBAB5" w14:textId="77777777"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Number of Students Assessed, 2022</w:t>
            </w:r>
          </w:p>
        </w:tc>
        <w:tc>
          <w:tcPr>
            <w:tcW w:w="1800" w:type="dxa"/>
            <w:shd w:val="clear" w:color="auto" w:fill="D9D9D9" w:themeFill="background1" w:themeFillShade="D9"/>
            <w:tcMar>
              <w:top w:w="43" w:type="dxa"/>
              <w:left w:w="115" w:type="dxa"/>
              <w:bottom w:w="43" w:type="dxa"/>
              <w:right w:w="115" w:type="dxa"/>
            </w:tcMar>
            <w:vAlign w:val="center"/>
            <w:hideMark/>
          </w:tcPr>
          <w:p w14:paraId="0D1A9723" w14:textId="6184AC78"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Number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2022</w:t>
            </w:r>
          </w:p>
        </w:tc>
        <w:tc>
          <w:tcPr>
            <w:tcW w:w="1710" w:type="dxa"/>
            <w:shd w:val="clear" w:color="auto" w:fill="D9D9D9" w:themeFill="background1" w:themeFillShade="D9"/>
            <w:tcMar>
              <w:top w:w="43" w:type="dxa"/>
              <w:left w:w="115" w:type="dxa"/>
              <w:bottom w:w="43" w:type="dxa"/>
              <w:right w:w="115" w:type="dxa"/>
            </w:tcMar>
            <w:vAlign w:val="center"/>
            <w:hideMark/>
          </w:tcPr>
          <w:p w14:paraId="5024C3F9" w14:textId="61A87A66"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Percentage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2022</w:t>
            </w:r>
          </w:p>
        </w:tc>
        <w:tc>
          <w:tcPr>
            <w:tcW w:w="2340" w:type="dxa"/>
            <w:shd w:val="clear" w:color="auto" w:fill="D9D9D9" w:themeFill="background1" w:themeFillShade="D9"/>
            <w:tcMar>
              <w:top w:w="43" w:type="dxa"/>
              <w:left w:w="115" w:type="dxa"/>
              <w:bottom w:w="43" w:type="dxa"/>
              <w:right w:w="115" w:type="dxa"/>
            </w:tcMar>
            <w:vAlign w:val="center"/>
            <w:hideMark/>
          </w:tcPr>
          <w:p w14:paraId="2D7F1262" w14:textId="7B200BE2"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Number of Students Assessed, 2023 (estimate based on enrollment in grades 3–8 and </w:t>
            </w:r>
            <w:r w:rsidR="00A30C0D" w:rsidRPr="006C52F8">
              <w:rPr>
                <w:rFonts w:ascii="Arial" w:hAnsi="Arial" w:cs="Arial"/>
                <w:b/>
                <w:bCs/>
                <w:color w:val="000000" w:themeColor="text1"/>
              </w:rPr>
              <w:t xml:space="preserve">grade </w:t>
            </w:r>
            <w:r w:rsidRPr="006C52F8">
              <w:rPr>
                <w:rFonts w:ascii="Arial" w:hAnsi="Arial" w:cs="Arial"/>
                <w:b/>
                <w:bCs/>
                <w:color w:val="000000" w:themeColor="text1"/>
              </w:rPr>
              <w:t>11)</w:t>
            </w:r>
          </w:p>
        </w:tc>
        <w:tc>
          <w:tcPr>
            <w:tcW w:w="2430" w:type="dxa"/>
            <w:shd w:val="clear" w:color="auto" w:fill="D9D9D9" w:themeFill="background1" w:themeFillShade="D9"/>
            <w:tcMar>
              <w:top w:w="43" w:type="dxa"/>
              <w:left w:w="115" w:type="dxa"/>
              <w:bottom w:w="43" w:type="dxa"/>
              <w:right w:w="115" w:type="dxa"/>
            </w:tcMar>
            <w:vAlign w:val="center"/>
            <w:hideMark/>
          </w:tcPr>
          <w:p w14:paraId="7EF0F4CB" w14:textId="39BB851C" w:rsidR="00B355C5" w:rsidRPr="006C52F8" w:rsidRDefault="00B355C5" w:rsidP="0B71D082">
            <w:pPr>
              <w:jc w:val="center"/>
              <w:rPr>
                <w:rFonts w:ascii="Arial" w:eastAsia="Arial" w:hAnsi="Arial" w:cs="Arial"/>
              </w:rPr>
            </w:pPr>
            <w:r w:rsidRPr="006C52F8">
              <w:rPr>
                <w:rFonts w:ascii="Arial" w:hAnsi="Arial" w:cs="Arial"/>
                <w:b/>
                <w:bCs/>
                <w:color w:val="000000" w:themeColor="text1"/>
              </w:rPr>
              <w:t xml:space="preserve">Number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2023 </w:t>
            </w:r>
            <w:r w:rsidR="0B71D082" w:rsidRPr="006C52F8">
              <w:rPr>
                <w:rFonts w:ascii="Arial" w:hAnsi="Arial" w:cs="Arial"/>
                <w:b/>
                <w:bCs/>
                <w:color w:val="000000" w:themeColor="text1"/>
              </w:rPr>
              <w:t>(estimate based on 2022 test registration)</w:t>
            </w:r>
          </w:p>
        </w:tc>
        <w:tc>
          <w:tcPr>
            <w:tcW w:w="1980" w:type="dxa"/>
            <w:shd w:val="clear" w:color="auto" w:fill="D9D9D9" w:themeFill="background1" w:themeFillShade="D9"/>
            <w:tcMar>
              <w:top w:w="43" w:type="dxa"/>
              <w:left w:w="115" w:type="dxa"/>
              <w:bottom w:w="43" w:type="dxa"/>
              <w:right w:w="115" w:type="dxa"/>
            </w:tcMar>
            <w:vAlign w:val="center"/>
            <w:hideMark/>
          </w:tcPr>
          <w:p w14:paraId="7CEBFC9D" w14:textId="782B30FE"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Percentage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2023 (estimate)</w:t>
            </w:r>
          </w:p>
        </w:tc>
      </w:tr>
      <w:tr w:rsidR="00453C76" w:rsidRPr="006C52F8" w14:paraId="45BA5049" w14:textId="77777777" w:rsidTr="00CC3B38">
        <w:trPr>
          <w:cantSplit/>
          <w:trHeight w:val="320"/>
        </w:trPr>
        <w:tc>
          <w:tcPr>
            <w:tcW w:w="2250" w:type="dxa"/>
            <w:noWrap/>
            <w:tcMar>
              <w:top w:w="43" w:type="dxa"/>
              <w:left w:w="115" w:type="dxa"/>
              <w:bottom w:w="43" w:type="dxa"/>
              <w:right w:w="115" w:type="dxa"/>
            </w:tcMar>
            <w:hideMark/>
          </w:tcPr>
          <w:p w14:paraId="354CA1D3" w14:textId="77777777" w:rsidR="00453C76" w:rsidRPr="006C52F8" w:rsidRDefault="00453C76" w:rsidP="00453C76">
            <w:pPr>
              <w:rPr>
                <w:rFonts w:ascii="Arial" w:hAnsi="Arial" w:cs="Arial"/>
                <w:color w:val="000000"/>
              </w:rPr>
            </w:pPr>
            <w:r w:rsidRPr="006C52F8">
              <w:rPr>
                <w:rFonts w:ascii="Arial" w:hAnsi="Arial" w:cs="Arial"/>
                <w:color w:val="000000"/>
              </w:rPr>
              <w:t>All Students</w:t>
            </w:r>
          </w:p>
        </w:tc>
        <w:tc>
          <w:tcPr>
            <w:tcW w:w="1710" w:type="dxa"/>
            <w:noWrap/>
            <w:tcMar>
              <w:top w:w="43" w:type="dxa"/>
              <w:left w:w="115" w:type="dxa"/>
              <w:bottom w:w="43" w:type="dxa"/>
              <w:right w:w="115" w:type="dxa"/>
            </w:tcMar>
            <w:vAlign w:val="bottom"/>
            <w:hideMark/>
          </w:tcPr>
          <w:p w14:paraId="57E8D8CB" w14:textId="639EF284" w:rsidR="00453C76" w:rsidRPr="006C52F8" w:rsidRDefault="00453C76" w:rsidP="00453C76">
            <w:pPr>
              <w:jc w:val="right"/>
              <w:rPr>
                <w:rFonts w:ascii="Arial" w:hAnsi="Arial" w:cs="Arial"/>
                <w:color w:val="000000"/>
              </w:rPr>
            </w:pPr>
            <w:r w:rsidRPr="006C52F8">
              <w:rPr>
                <w:rFonts w:ascii="Arial" w:hAnsi="Arial" w:cs="Arial"/>
                <w:color w:val="000000"/>
              </w:rPr>
              <w:t>3,004,608</w:t>
            </w:r>
          </w:p>
        </w:tc>
        <w:tc>
          <w:tcPr>
            <w:tcW w:w="1800" w:type="dxa"/>
            <w:noWrap/>
            <w:tcMar>
              <w:top w:w="43" w:type="dxa"/>
              <w:left w:w="115" w:type="dxa"/>
              <w:bottom w:w="43" w:type="dxa"/>
              <w:right w:w="115" w:type="dxa"/>
            </w:tcMar>
            <w:vAlign w:val="bottom"/>
            <w:hideMark/>
          </w:tcPr>
          <w:p w14:paraId="1AD1C5FB" w14:textId="6E13C8E3" w:rsidR="00453C76" w:rsidRPr="006C52F8" w:rsidRDefault="00453C76" w:rsidP="00453C76">
            <w:pPr>
              <w:jc w:val="right"/>
              <w:rPr>
                <w:rFonts w:ascii="Arial" w:hAnsi="Arial" w:cs="Arial"/>
                <w:color w:val="000000"/>
              </w:rPr>
            </w:pPr>
            <w:r w:rsidRPr="006C52F8">
              <w:rPr>
                <w:rFonts w:ascii="Arial" w:hAnsi="Arial" w:cs="Arial"/>
                <w:color w:val="000000"/>
              </w:rPr>
              <w:t>32,837</w:t>
            </w:r>
          </w:p>
        </w:tc>
        <w:tc>
          <w:tcPr>
            <w:tcW w:w="1710" w:type="dxa"/>
            <w:noWrap/>
            <w:tcMar>
              <w:top w:w="43" w:type="dxa"/>
              <w:left w:w="115" w:type="dxa"/>
              <w:bottom w:w="43" w:type="dxa"/>
              <w:right w:w="115" w:type="dxa"/>
            </w:tcMar>
            <w:vAlign w:val="bottom"/>
            <w:hideMark/>
          </w:tcPr>
          <w:p w14:paraId="7CA4E6AD" w14:textId="34ACDD2F"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340" w:type="dxa"/>
            <w:noWrap/>
            <w:tcMar>
              <w:top w:w="43" w:type="dxa"/>
              <w:left w:w="115" w:type="dxa"/>
              <w:bottom w:w="43" w:type="dxa"/>
              <w:right w:w="115" w:type="dxa"/>
            </w:tcMar>
            <w:vAlign w:val="bottom"/>
            <w:hideMark/>
          </w:tcPr>
          <w:p w14:paraId="5D327966" w14:textId="26D38F29"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74683650" w14:textId="3DA14487" w:rsidR="00453C76" w:rsidRPr="006C52F8" w:rsidRDefault="00453C76" w:rsidP="00453C76">
            <w:pPr>
              <w:jc w:val="right"/>
              <w:rPr>
                <w:rFonts w:ascii="Arial" w:hAnsi="Arial" w:cs="Arial"/>
                <w:color w:val="000000"/>
              </w:rPr>
            </w:pPr>
            <w:r w:rsidRPr="006C52F8">
              <w:rPr>
                <w:rFonts w:ascii="Arial" w:hAnsi="Arial" w:cs="Arial"/>
                <w:color w:val="000000"/>
              </w:rPr>
              <w:t>39,303</w:t>
            </w:r>
          </w:p>
        </w:tc>
        <w:tc>
          <w:tcPr>
            <w:tcW w:w="1980" w:type="dxa"/>
            <w:noWrap/>
            <w:tcMar>
              <w:top w:w="43" w:type="dxa"/>
              <w:left w:w="115" w:type="dxa"/>
              <w:bottom w:w="43" w:type="dxa"/>
              <w:right w:w="115" w:type="dxa"/>
            </w:tcMar>
            <w:vAlign w:val="bottom"/>
            <w:hideMark/>
          </w:tcPr>
          <w:p w14:paraId="5CF8895B" w14:textId="2082CA32"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86A9F41" w14:textId="77777777" w:rsidTr="00CC3B38">
        <w:trPr>
          <w:cantSplit/>
          <w:trHeight w:val="320"/>
        </w:trPr>
        <w:tc>
          <w:tcPr>
            <w:tcW w:w="2250" w:type="dxa"/>
            <w:noWrap/>
            <w:tcMar>
              <w:top w:w="43" w:type="dxa"/>
              <w:left w:w="115" w:type="dxa"/>
              <w:bottom w:w="43" w:type="dxa"/>
              <w:right w:w="115" w:type="dxa"/>
            </w:tcMar>
            <w:hideMark/>
          </w:tcPr>
          <w:p w14:paraId="17A6CD66" w14:textId="77777777" w:rsidR="00453C76" w:rsidRPr="006C52F8" w:rsidRDefault="00453C76" w:rsidP="00453C76">
            <w:pPr>
              <w:rPr>
                <w:rFonts w:ascii="Arial" w:hAnsi="Arial" w:cs="Arial"/>
                <w:color w:val="000000"/>
              </w:rPr>
            </w:pPr>
            <w:r w:rsidRPr="006C52F8">
              <w:rPr>
                <w:rFonts w:ascii="Arial" w:hAnsi="Arial" w:cs="Arial"/>
                <w:color w:val="000000"/>
              </w:rPr>
              <w:t>Females</w:t>
            </w:r>
          </w:p>
        </w:tc>
        <w:tc>
          <w:tcPr>
            <w:tcW w:w="1710" w:type="dxa"/>
            <w:noWrap/>
            <w:tcMar>
              <w:top w:w="43" w:type="dxa"/>
              <w:left w:w="115" w:type="dxa"/>
              <w:bottom w:w="43" w:type="dxa"/>
              <w:right w:w="115" w:type="dxa"/>
            </w:tcMar>
            <w:vAlign w:val="bottom"/>
            <w:hideMark/>
          </w:tcPr>
          <w:p w14:paraId="75228377" w14:textId="41D3EAD0" w:rsidR="00453C76" w:rsidRPr="006C52F8" w:rsidRDefault="00453C76" w:rsidP="00453C76">
            <w:pPr>
              <w:jc w:val="right"/>
              <w:rPr>
                <w:rFonts w:ascii="Arial" w:hAnsi="Arial" w:cs="Arial"/>
                <w:color w:val="000000"/>
              </w:rPr>
            </w:pPr>
            <w:r w:rsidRPr="006C52F8">
              <w:rPr>
                <w:rFonts w:ascii="Arial" w:hAnsi="Arial" w:cs="Arial"/>
                <w:color w:val="000000"/>
              </w:rPr>
              <w:t>1,460,307</w:t>
            </w:r>
          </w:p>
        </w:tc>
        <w:tc>
          <w:tcPr>
            <w:tcW w:w="1800" w:type="dxa"/>
            <w:noWrap/>
            <w:tcMar>
              <w:top w:w="43" w:type="dxa"/>
              <w:left w:w="115" w:type="dxa"/>
              <w:bottom w:w="43" w:type="dxa"/>
              <w:right w:w="115" w:type="dxa"/>
            </w:tcMar>
            <w:vAlign w:val="bottom"/>
            <w:hideMark/>
          </w:tcPr>
          <w:p w14:paraId="481A5C06" w14:textId="39704973" w:rsidR="00453C76" w:rsidRPr="006C52F8" w:rsidRDefault="00453C76" w:rsidP="00453C76">
            <w:pPr>
              <w:jc w:val="right"/>
              <w:rPr>
                <w:rFonts w:ascii="Arial" w:hAnsi="Arial" w:cs="Arial"/>
                <w:color w:val="000000"/>
              </w:rPr>
            </w:pPr>
            <w:r w:rsidRPr="006C52F8">
              <w:rPr>
                <w:rFonts w:ascii="Arial" w:hAnsi="Arial" w:cs="Arial"/>
                <w:color w:val="000000"/>
              </w:rPr>
              <w:t>10,265</w:t>
            </w:r>
          </w:p>
        </w:tc>
        <w:tc>
          <w:tcPr>
            <w:tcW w:w="1710" w:type="dxa"/>
            <w:noWrap/>
            <w:tcMar>
              <w:top w:w="43" w:type="dxa"/>
              <w:left w:w="115" w:type="dxa"/>
              <w:bottom w:w="43" w:type="dxa"/>
              <w:right w:w="115" w:type="dxa"/>
            </w:tcMar>
            <w:vAlign w:val="bottom"/>
            <w:hideMark/>
          </w:tcPr>
          <w:p w14:paraId="36492C52" w14:textId="5EA69A74" w:rsidR="00453C76" w:rsidRPr="006C52F8" w:rsidRDefault="00453C76" w:rsidP="00453C76">
            <w:pPr>
              <w:jc w:val="right"/>
              <w:rPr>
                <w:rFonts w:ascii="Arial" w:hAnsi="Arial" w:cs="Arial"/>
                <w:color w:val="000000"/>
              </w:rPr>
            </w:pPr>
            <w:r w:rsidRPr="006C52F8">
              <w:rPr>
                <w:rFonts w:ascii="Arial" w:hAnsi="Arial" w:cs="Arial"/>
                <w:color w:val="000000"/>
              </w:rPr>
              <w:t>0.7%</w:t>
            </w:r>
          </w:p>
        </w:tc>
        <w:tc>
          <w:tcPr>
            <w:tcW w:w="2340" w:type="dxa"/>
            <w:noWrap/>
            <w:tcMar>
              <w:top w:w="43" w:type="dxa"/>
              <w:left w:w="115" w:type="dxa"/>
              <w:bottom w:w="43" w:type="dxa"/>
              <w:right w:w="115" w:type="dxa"/>
            </w:tcMar>
            <w:vAlign w:val="bottom"/>
            <w:hideMark/>
          </w:tcPr>
          <w:p w14:paraId="30360CF9" w14:textId="5493A0D4"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249C755D" w14:textId="0DD51996" w:rsidR="00453C76" w:rsidRPr="006C52F8" w:rsidRDefault="00453C76" w:rsidP="00453C76">
            <w:pPr>
              <w:jc w:val="right"/>
              <w:rPr>
                <w:rFonts w:ascii="Arial" w:hAnsi="Arial" w:cs="Arial"/>
                <w:color w:val="000000"/>
              </w:rPr>
            </w:pPr>
            <w:r w:rsidRPr="006C52F8">
              <w:rPr>
                <w:rFonts w:ascii="Arial" w:hAnsi="Arial" w:cs="Arial"/>
                <w:color w:val="000000"/>
              </w:rPr>
              <w:t>12,418</w:t>
            </w:r>
          </w:p>
        </w:tc>
        <w:tc>
          <w:tcPr>
            <w:tcW w:w="1980" w:type="dxa"/>
            <w:noWrap/>
            <w:tcMar>
              <w:top w:w="43" w:type="dxa"/>
              <w:left w:w="115" w:type="dxa"/>
              <w:bottom w:w="43" w:type="dxa"/>
              <w:right w:w="115" w:type="dxa"/>
            </w:tcMar>
            <w:vAlign w:val="bottom"/>
            <w:hideMark/>
          </w:tcPr>
          <w:p w14:paraId="214F4083" w14:textId="5D785965"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60457114" w14:textId="77777777" w:rsidTr="00CC3B38">
        <w:trPr>
          <w:cantSplit/>
          <w:trHeight w:val="320"/>
        </w:trPr>
        <w:tc>
          <w:tcPr>
            <w:tcW w:w="2250" w:type="dxa"/>
            <w:noWrap/>
            <w:tcMar>
              <w:top w:w="43" w:type="dxa"/>
              <w:left w:w="115" w:type="dxa"/>
              <w:bottom w:w="43" w:type="dxa"/>
              <w:right w:w="115" w:type="dxa"/>
            </w:tcMar>
            <w:hideMark/>
          </w:tcPr>
          <w:p w14:paraId="2D6C6D43" w14:textId="77777777" w:rsidR="00453C76" w:rsidRPr="006C52F8" w:rsidRDefault="00453C76" w:rsidP="00453C76">
            <w:pPr>
              <w:rPr>
                <w:rFonts w:ascii="Arial" w:hAnsi="Arial" w:cs="Arial"/>
                <w:color w:val="000000"/>
              </w:rPr>
            </w:pPr>
            <w:r w:rsidRPr="006C52F8">
              <w:rPr>
                <w:rFonts w:ascii="Arial" w:hAnsi="Arial" w:cs="Arial"/>
                <w:color w:val="000000"/>
              </w:rPr>
              <w:t>Males</w:t>
            </w:r>
          </w:p>
        </w:tc>
        <w:tc>
          <w:tcPr>
            <w:tcW w:w="1710" w:type="dxa"/>
            <w:noWrap/>
            <w:tcMar>
              <w:top w:w="43" w:type="dxa"/>
              <w:left w:w="115" w:type="dxa"/>
              <w:bottom w:w="43" w:type="dxa"/>
              <w:right w:w="115" w:type="dxa"/>
            </w:tcMar>
            <w:vAlign w:val="bottom"/>
            <w:hideMark/>
          </w:tcPr>
          <w:p w14:paraId="33A86581" w14:textId="2A876FCD" w:rsidR="00453C76" w:rsidRPr="006C52F8" w:rsidRDefault="00453C76" w:rsidP="00453C76">
            <w:pPr>
              <w:jc w:val="right"/>
              <w:rPr>
                <w:rFonts w:ascii="Arial" w:hAnsi="Arial" w:cs="Arial"/>
                <w:color w:val="000000"/>
              </w:rPr>
            </w:pPr>
            <w:r w:rsidRPr="006C52F8">
              <w:rPr>
                <w:rFonts w:ascii="Arial" w:hAnsi="Arial" w:cs="Arial"/>
                <w:color w:val="000000"/>
              </w:rPr>
              <w:t>1,542,771</w:t>
            </w:r>
          </w:p>
        </w:tc>
        <w:tc>
          <w:tcPr>
            <w:tcW w:w="1800" w:type="dxa"/>
            <w:noWrap/>
            <w:tcMar>
              <w:top w:w="43" w:type="dxa"/>
              <w:left w:w="115" w:type="dxa"/>
              <w:bottom w:w="43" w:type="dxa"/>
              <w:right w:w="115" w:type="dxa"/>
            </w:tcMar>
            <w:vAlign w:val="bottom"/>
            <w:hideMark/>
          </w:tcPr>
          <w:p w14:paraId="5E4AC840" w14:textId="23ED7F38" w:rsidR="00453C76" w:rsidRPr="006C52F8" w:rsidRDefault="00453C76" w:rsidP="00453C76">
            <w:pPr>
              <w:jc w:val="right"/>
              <w:rPr>
                <w:rFonts w:ascii="Arial" w:hAnsi="Arial" w:cs="Arial"/>
                <w:color w:val="000000"/>
              </w:rPr>
            </w:pPr>
            <w:r w:rsidRPr="006C52F8">
              <w:rPr>
                <w:rFonts w:ascii="Arial" w:hAnsi="Arial" w:cs="Arial"/>
                <w:color w:val="000000"/>
              </w:rPr>
              <w:t>22,569</w:t>
            </w:r>
          </w:p>
        </w:tc>
        <w:tc>
          <w:tcPr>
            <w:tcW w:w="1710" w:type="dxa"/>
            <w:noWrap/>
            <w:tcMar>
              <w:top w:w="43" w:type="dxa"/>
              <w:left w:w="115" w:type="dxa"/>
              <w:bottom w:w="43" w:type="dxa"/>
              <w:right w:w="115" w:type="dxa"/>
            </w:tcMar>
            <w:vAlign w:val="bottom"/>
            <w:hideMark/>
          </w:tcPr>
          <w:p w14:paraId="75F1168A" w14:textId="63B176F9" w:rsidR="00453C76" w:rsidRPr="006C52F8" w:rsidRDefault="00453C76" w:rsidP="00453C76">
            <w:pPr>
              <w:jc w:val="right"/>
              <w:rPr>
                <w:rFonts w:ascii="Arial" w:hAnsi="Arial" w:cs="Arial"/>
                <w:color w:val="000000"/>
              </w:rPr>
            </w:pPr>
            <w:r w:rsidRPr="006C52F8">
              <w:rPr>
                <w:rFonts w:ascii="Arial" w:hAnsi="Arial" w:cs="Arial"/>
                <w:color w:val="000000"/>
              </w:rPr>
              <w:t>1.5%</w:t>
            </w:r>
          </w:p>
        </w:tc>
        <w:tc>
          <w:tcPr>
            <w:tcW w:w="2340" w:type="dxa"/>
            <w:noWrap/>
            <w:tcMar>
              <w:top w:w="43" w:type="dxa"/>
              <w:left w:w="115" w:type="dxa"/>
              <w:bottom w:w="43" w:type="dxa"/>
              <w:right w:w="115" w:type="dxa"/>
            </w:tcMar>
            <w:vAlign w:val="bottom"/>
            <w:hideMark/>
          </w:tcPr>
          <w:p w14:paraId="3CFA9D6D" w14:textId="6D0A617D"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75762AA6" w14:textId="0941552E" w:rsidR="00453C76" w:rsidRPr="006C52F8" w:rsidRDefault="00453C76" w:rsidP="00453C76">
            <w:pPr>
              <w:jc w:val="right"/>
              <w:rPr>
                <w:rFonts w:ascii="Arial" w:hAnsi="Arial" w:cs="Arial"/>
                <w:color w:val="000000"/>
              </w:rPr>
            </w:pPr>
            <w:r w:rsidRPr="006C52F8">
              <w:rPr>
                <w:rFonts w:ascii="Arial" w:hAnsi="Arial" w:cs="Arial"/>
                <w:color w:val="000000"/>
              </w:rPr>
              <w:t>26,880</w:t>
            </w:r>
          </w:p>
        </w:tc>
        <w:tc>
          <w:tcPr>
            <w:tcW w:w="1980" w:type="dxa"/>
            <w:noWrap/>
            <w:tcMar>
              <w:top w:w="43" w:type="dxa"/>
              <w:left w:w="115" w:type="dxa"/>
              <w:bottom w:w="43" w:type="dxa"/>
              <w:right w:w="115" w:type="dxa"/>
            </w:tcMar>
            <w:vAlign w:val="bottom"/>
            <w:hideMark/>
          </w:tcPr>
          <w:p w14:paraId="514F0A28" w14:textId="4E2E1371"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5804933D" w14:textId="77777777" w:rsidTr="00CC3B38">
        <w:trPr>
          <w:cantSplit/>
          <w:trHeight w:val="320"/>
        </w:trPr>
        <w:tc>
          <w:tcPr>
            <w:tcW w:w="2250" w:type="dxa"/>
            <w:noWrap/>
            <w:tcMar>
              <w:top w:w="43" w:type="dxa"/>
              <w:left w:w="115" w:type="dxa"/>
              <w:bottom w:w="43" w:type="dxa"/>
              <w:right w:w="115" w:type="dxa"/>
            </w:tcMar>
            <w:hideMark/>
          </w:tcPr>
          <w:p w14:paraId="630FF038" w14:textId="77777777" w:rsidR="00453C76" w:rsidRPr="006C52F8" w:rsidRDefault="00453C76" w:rsidP="00453C76">
            <w:pPr>
              <w:rPr>
                <w:rFonts w:ascii="Arial" w:hAnsi="Arial" w:cs="Arial"/>
                <w:color w:val="000000"/>
              </w:rPr>
            </w:pPr>
            <w:r w:rsidRPr="006C52F8">
              <w:rPr>
                <w:rFonts w:ascii="Arial" w:hAnsi="Arial" w:cs="Arial"/>
                <w:color w:val="000000"/>
              </w:rPr>
              <w:t>Black</w:t>
            </w:r>
          </w:p>
        </w:tc>
        <w:tc>
          <w:tcPr>
            <w:tcW w:w="1710" w:type="dxa"/>
            <w:noWrap/>
            <w:tcMar>
              <w:top w:w="43" w:type="dxa"/>
              <w:left w:w="115" w:type="dxa"/>
              <w:bottom w:w="43" w:type="dxa"/>
              <w:right w:w="115" w:type="dxa"/>
            </w:tcMar>
            <w:vAlign w:val="bottom"/>
            <w:hideMark/>
          </w:tcPr>
          <w:p w14:paraId="757F7A05" w14:textId="44880BB1" w:rsidR="00453C76" w:rsidRPr="006C52F8" w:rsidRDefault="00453C76" w:rsidP="00453C76">
            <w:pPr>
              <w:jc w:val="right"/>
              <w:rPr>
                <w:rFonts w:ascii="Arial" w:hAnsi="Arial" w:cs="Arial"/>
                <w:color w:val="000000"/>
              </w:rPr>
            </w:pPr>
            <w:r w:rsidRPr="006C52F8">
              <w:rPr>
                <w:rFonts w:ascii="Arial" w:hAnsi="Arial" w:cs="Arial"/>
                <w:color w:val="000000"/>
              </w:rPr>
              <w:t>150,902</w:t>
            </w:r>
          </w:p>
        </w:tc>
        <w:tc>
          <w:tcPr>
            <w:tcW w:w="1800" w:type="dxa"/>
            <w:noWrap/>
            <w:tcMar>
              <w:top w:w="43" w:type="dxa"/>
              <w:left w:w="115" w:type="dxa"/>
              <w:bottom w:w="43" w:type="dxa"/>
              <w:right w:w="115" w:type="dxa"/>
            </w:tcMar>
            <w:vAlign w:val="bottom"/>
            <w:hideMark/>
          </w:tcPr>
          <w:p w14:paraId="3678FE50" w14:textId="46BD60A9" w:rsidR="00453C76" w:rsidRPr="006C52F8" w:rsidRDefault="00453C76" w:rsidP="00453C76">
            <w:pPr>
              <w:jc w:val="right"/>
              <w:rPr>
                <w:rFonts w:ascii="Arial" w:hAnsi="Arial" w:cs="Arial"/>
                <w:color w:val="000000"/>
              </w:rPr>
            </w:pPr>
            <w:r w:rsidRPr="006C52F8">
              <w:rPr>
                <w:rFonts w:ascii="Arial" w:hAnsi="Arial" w:cs="Arial"/>
                <w:color w:val="000000"/>
              </w:rPr>
              <w:t>2,456</w:t>
            </w:r>
          </w:p>
        </w:tc>
        <w:tc>
          <w:tcPr>
            <w:tcW w:w="1710" w:type="dxa"/>
            <w:noWrap/>
            <w:tcMar>
              <w:top w:w="43" w:type="dxa"/>
              <w:left w:w="115" w:type="dxa"/>
              <w:bottom w:w="43" w:type="dxa"/>
              <w:right w:w="115" w:type="dxa"/>
            </w:tcMar>
            <w:vAlign w:val="bottom"/>
            <w:hideMark/>
          </w:tcPr>
          <w:p w14:paraId="5AC11D80" w14:textId="1E0CFEA4" w:rsidR="00453C76" w:rsidRPr="006C52F8" w:rsidRDefault="00453C76" w:rsidP="00453C76">
            <w:pPr>
              <w:jc w:val="right"/>
              <w:rPr>
                <w:rFonts w:ascii="Arial" w:hAnsi="Arial" w:cs="Arial"/>
                <w:color w:val="000000"/>
              </w:rPr>
            </w:pPr>
            <w:r w:rsidRPr="006C52F8">
              <w:rPr>
                <w:rFonts w:ascii="Arial" w:hAnsi="Arial" w:cs="Arial"/>
                <w:color w:val="000000"/>
              </w:rPr>
              <w:t>1.6%</w:t>
            </w:r>
          </w:p>
        </w:tc>
        <w:tc>
          <w:tcPr>
            <w:tcW w:w="2340" w:type="dxa"/>
            <w:noWrap/>
            <w:tcMar>
              <w:top w:w="43" w:type="dxa"/>
              <w:left w:w="115" w:type="dxa"/>
              <w:bottom w:w="43" w:type="dxa"/>
              <w:right w:w="115" w:type="dxa"/>
            </w:tcMar>
            <w:vAlign w:val="bottom"/>
            <w:hideMark/>
          </w:tcPr>
          <w:p w14:paraId="3D959A8E" w14:textId="58ACAE51"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2F57185F" w14:textId="44563D8B" w:rsidR="00453C76" w:rsidRPr="006C52F8" w:rsidRDefault="00453C76" w:rsidP="00453C76">
            <w:pPr>
              <w:jc w:val="right"/>
              <w:rPr>
                <w:rFonts w:ascii="Arial" w:hAnsi="Arial" w:cs="Arial"/>
                <w:color w:val="000000"/>
              </w:rPr>
            </w:pPr>
            <w:r w:rsidRPr="006C52F8">
              <w:rPr>
                <w:rFonts w:ascii="Arial" w:hAnsi="Arial" w:cs="Arial"/>
                <w:color w:val="000000"/>
              </w:rPr>
              <w:t>3,088</w:t>
            </w:r>
          </w:p>
        </w:tc>
        <w:tc>
          <w:tcPr>
            <w:tcW w:w="1980" w:type="dxa"/>
            <w:noWrap/>
            <w:tcMar>
              <w:top w:w="43" w:type="dxa"/>
              <w:left w:w="115" w:type="dxa"/>
              <w:bottom w:w="43" w:type="dxa"/>
              <w:right w:w="115" w:type="dxa"/>
            </w:tcMar>
            <w:vAlign w:val="bottom"/>
            <w:hideMark/>
          </w:tcPr>
          <w:p w14:paraId="3B4EC5BC" w14:textId="169B4B30"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DBFABF2" w14:textId="77777777" w:rsidTr="00CC3B38">
        <w:trPr>
          <w:cantSplit/>
          <w:trHeight w:val="320"/>
        </w:trPr>
        <w:tc>
          <w:tcPr>
            <w:tcW w:w="2250" w:type="dxa"/>
            <w:noWrap/>
            <w:tcMar>
              <w:top w:w="43" w:type="dxa"/>
              <w:left w:w="115" w:type="dxa"/>
              <w:bottom w:w="43" w:type="dxa"/>
              <w:right w:w="115" w:type="dxa"/>
            </w:tcMar>
            <w:hideMark/>
          </w:tcPr>
          <w:p w14:paraId="4291721D" w14:textId="77777777" w:rsidR="00453C76" w:rsidRPr="006C52F8" w:rsidRDefault="00453C76" w:rsidP="00453C76">
            <w:pPr>
              <w:rPr>
                <w:rFonts w:ascii="Arial" w:hAnsi="Arial" w:cs="Arial"/>
                <w:color w:val="000000"/>
              </w:rPr>
            </w:pPr>
            <w:r w:rsidRPr="006C52F8">
              <w:rPr>
                <w:rFonts w:ascii="Arial" w:hAnsi="Arial" w:cs="Arial"/>
                <w:color w:val="000000"/>
              </w:rPr>
              <w:t>Hispanic</w:t>
            </w:r>
          </w:p>
        </w:tc>
        <w:tc>
          <w:tcPr>
            <w:tcW w:w="1710" w:type="dxa"/>
            <w:noWrap/>
            <w:tcMar>
              <w:top w:w="43" w:type="dxa"/>
              <w:left w:w="115" w:type="dxa"/>
              <w:bottom w:w="43" w:type="dxa"/>
              <w:right w:w="115" w:type="dxa"/>
            </w:tcMar>
            <w:vAlign w:val="bottom"/>
            <w:hideMark/>
          </w:tcPr>
          <w:p w14:paraId="60D38C0A" w14:textId="369A2D2F" w:rsidR="00453C76" w:rsidRPr="006C52F8" w:rsidRDefault="00453C76" w:rsidP="00453C76">
            <w:pPr>
              <w:jc w:val="right"/>
              <w:rPr>
                <w:rFonts w:ascii="Arial" w:hAnsi="Arial" w:cs="Arial"/>
                <w:color w:val="000000"/>
              </w:rPr>
            </w:pPr>
            <w:r w:rsidRPr="006C52F8">
              <w:rPr>
                <w:rFonts w:ascii="Arial" w:hAnsi="Arial" w:cs="Arial"/>
                <w:color w:val="000000"/>
              </w:rPr>
              <w:t>1,688,748</w:t>
            </w:r>
          </w:p>
        </w:tc>
        <w:tc>
          <w:tcPr>
            <w:tcW w:w="1800" w:type="dxa"/>
            <w:noWrap/>
            <w:tcMar>
              <w:top w:w="43" w:type="dxa"/>
              <w:left w:w="115" w:type="dxa"/>
              <w:bottom w:w="43" w:type="dxa"/>
              <w:right w:w="115" w:type="dxa"/>
            </w:tcMar>
            <w:vAlign w:val="bottom"/>
            <w:hideMark/>
          </w:tcPr>
          <w:p w14:paraId="2EB03CBE" w14:textId="288E2271" w:rsidR="00453C76" w:rsidRPr="006C52F8" w:rsidRDefault="00453C76" w:rsidP="00453C76">
            <w:pPr>
              <w:jc w:val="right"/>
              <w:rPr>
                <w:rFonts w:ascii="Arial" w:hAnsi="Arial" w:cs="Arial"/>
                <w:color w:val="000000"/>
              </w:rPr>
            </w:pPr>
            <w:r w:rsidRPr="006C52F8">
              <w:rPr>
                <w:rFonts w:ascii="Arial" w:hAnsi="Arial" w:cs="Arial"/>
                <w:color w:val="000000"/>
              </w:rPr>
              <w:t>19,172</w:t>
            </w:r>
          </w:p>
        </w:tc>
        <w:tc>
          <w:tcPr>
            <w:tcW w:w="1710" w:type="dxa"/>
            <w:noWrap/>
            <w:tcMar>
              <w:top w:w="43" w:type="dxa"/>
              <w:left w:w="115" w:type="dxa"/>
              <w:bottom w:w="43" w:type="dxa"/>
              <w:right w:w="115" w:type="dxa"/>
            </w:tcMar>
            <w:vAlign w:val="bottom"/>
            <w:hideMark/>
          </w:tcPr>
          <w:p w14:paraId="3A170816" w14:textId="04C81D7D"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340" w:type="dxa"/>
            <w:noWrap/>
            <w:tcMar>
              <w:top w:w="43" w:type="dxa"/>
              <w:left w:w="115" w:type="dxa"/>
              <w:bottom w:w="43" w:type="dxa"/>
              <w:right w:w="115" w:type="dxa"/>
            </w:tcMar>
            <w:vAlign w:val="bottom"/>
            <w:hideMark/>
          </w:tcPr>
          <w:p w14:paraId="209DFD46" w14:textId="5EA036CB"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680A32A1" w14:textId="4908F105" w:rsidR="00453C76" w:rsidRPr="006C52F8" w:rsidRDefault="00453C76" w:rsidP="00453C76">
            <w:pPr>
              <w:jc w:val="right"/>
              <w:rPr>
                <w:rFonts w:ascii="Arial" w:hAnsi="Arial" w:cs="Arial"/>
                <w:color w:val="000000"/>
              </w:rPr>
            </w:pPr>
            <w:r w:rsidRPr="006C52F8">
              <w:rPr>
                <w:rFonts w:ascii="Arial" w:hAnsi="Arial" w:cs="Arial"/>
                <w:color w:val="000000"/>
              </w:rPr>
              <w:t>22,341</w:t>
            </w:r>
          </w:p>
        </w:tc>
        <w:tc>
          <w:tcPr>
            <w:tcW w:w="1980" w:type="dxa"/>
            <w:noWrap/>
            <w:tcMar>
              <w:top w:w="43" w:type="dxa"/>
              <w:left w:w="115" w:type="dxa"/>
              <w:bottom w:w="43" w:type="dxa"/>
              <w:right w:w="115" w:type="dxa"/>
            </w:tcMar>
            <w:vAlign w:val="bottom"/>
            <w:hideMark/>
          </w:tcPr>
          <w:p w14:paraId="6A454046" w14:textId="46FABE0C"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5AC5AF9B" w14:textId="77777777" w:rsidTr="00CC3B38">
        <w:trPr>
          <w:cantSplit/>
          <w:trHeight w:val="320"/>
        </w:trPr>
        <w:tc>
          <w:tcPr>
            <w:tcW w:w="2250" w:type="dxa"/>
            <w:noWrap/>
            <w:tcMar>
              <w:top w:w="43" w:type="dxa"/>
              <w:left w:w="115" w:type="dxa"/>
              <w:bottom w:w="43" w:type="dxa"/>
              <w:right w:w="115" w:type="dxa"/>
            </w:tcMar>
            <w:hideMark/>
          </w:tcPr>
          <w:p w14:paraId="3D34600B" w14:textId="77777777" w:rsidR="00453C76" w:rsidRPr="006C52F8" w:rsidRDefault="00453C76" w:rsidP="00453C76">
            <w:pPr>
              <w:rPr>
                <w:rFonts w:ascii="Arial" w:hAnsi="Arial" w:cs="Arial"/>
                <w:color w:val="000000"/>
              </w:rPr>
            </w:pPr>
            <w:r w:rsidRPr="006C52F8">
              <w:rPr>
                <w:rFonts w:ascii="Arial" w:hAnsi="Arial" w:cs="Arial"/>
                <w:color w:val="000000"/>
              </w:rPr>
              <w:t>Asian</w:t>
            </w:r>
          </w:p>
        </w:tc>
        <w:tc>
          <w:tcPr>
            <w:tcW w:w="1710" w:type="dxa"/>
            <w:noWrap/>
            <w:tcMar>
              <w:top w:w="43" w:type="dxa"/>
              <w:left w:w="115" w:type="dxa"/>
              <w:bottom w:w="43" w:type="dxa"/>
              <w:right w:w="115" w:type="dxa"/>
            </w:tcMar>
            <w:vAlign w:val="bottom"/>
            <w:hideMark/>
          </w:tcPr>
          <w:p w14:paraId="1D556D06" w14:textId="403F1F1B" w:rsidR="00453C76" w:rsidRPr="006C52F8" w:rsidRDefault="00453C76" w:rsidP="00453C76">
            <w:pPr>
              <w:jc w:val="right"/>
              <w:rPr>
                <w:rFonts w:ascii="Arial" w:hAnsi="Arial" w:cs="Arial"/>
                <w:color w:val="000000"/>
              </w:rPr>
            </w:pPr>
            <w:r w:rsidRPr="006C52F8">
              <w:rPr>
                <w:rFonts w:ascii="Arial" w:hAnsi="Arial" w:cs="Arial"/>
                <w:color w:val="000000"/>
              </w:rPr>
              <w:t>294,195</w:t>
            </w:r>
          </w:p>
        </w:tc>
        <w:tc>
          <w:tcPr>
            <w:tcW w:w="1800" w:type="dxa"/>
            <w:noWrap/>
            <w:tcMar>
              <w:top w:w="43" w:type="dxa"/>
              <w:left w:w="115" w:type="dxa"/>
              <w:bottom w:w="43" w:type="dxa"/>
              <w:right w:w="115" w:type="dxa"/>
            </w:tcMar>
            <w:vAlign w:val="bottom"/>
            <w:hideMark/>
          </w:tcPr>
          <w:p w14:paraId="71444FA6" w14:textId="1C5D9523" w:rsidR="00453C76" w:rsidRPr="006C52F8" w:rsidRDefault="00453C76" w:rsidP="00453C76">
            <w:pPr>
              <w:jc w:val="right"/>
              <w:rPr>
                <w:rFonts w:ascii="Arial" w:hAnsi="Arial" w:cs="Arial"/>
                <w:color w:val="000000"/>
              </w:rPr>
            </w:pPr>
            <w:r w:rsidRPr="006C52F8">
              <w:rPr>
                <w:rFonts w:ascii="Arial" w:hAnsi="Arial" w:cs="Arial"/>
                <w:color w:val="000000"/>
              </w:rPr>
              <w:t>2,832</w:t>
            </w:r>
          </w:p>
        </w:tc>
        <w:tc>
          <w:tcPr>
            <w:tcW w:w="1710" w:type="dxa"/>
            <w:noWrap/>
            <w:tcMar>
              <w:top w:w="43" w:type="dxa"/>
              <w:left w:w="115" w:type="dxa"/>
              <w:bottom w:w="43" w:type="dxa"/>
              <w:right w:w="115" w:type="dxa"/>
            </w:tcMar>
            <w:vAlign w:val="bottom"/>
            <w:hideMark/>
          </w:tcPr>
          <w:p w14:paraId="64B096A7" w14:textId="2524EC43" w:rsidR="00453C76" w:rsidRPr="006C52F8" w:rsidRDefault="00453C76" w:rsidP="00453C76">
            <w:pPr>
              <w:jc w:val="right"/>
              <w:rPr>
                <w:rFonts w:ascii="Arial" w:hAnsi="Arial" w:cs="Arial"/>
                <w:color w:val="000000"/>
              </w:rPr>
            </w:pPr>
            <w:r w:rsidRPr="006C52F8">
              <w:rPr>
                <w:rFonts w:ascii="Arial" w:hAnsi="Arial" w:cs="Arial"/>
                <w:color w:val="000000"/>
              </w:rPr>
              <w:t>1.0%</w:t>
            </w:r>
          </w:p>
        </w:tc>
        <w:tc>
          <w:tcPr>
            <w:tcW w:w="2340" w:type="dxa"/>
            <w:noWrap/>
            <w:tcMar>
              <w:top w:w="43" w:type="dxa"/>
              <w:left w:w="115" w:type="dxa"/>
              <w:bottom w:w="43" w:type="dxa"/>
              <w:right w:w="115" w:type="dxa"/>
            </w:tcMar>
            <w:vAlign w:val="bottom"/>
            <w:hideMark/>
          </w:tcPr>
          <w:p w14:paraId="65906E8A" w14:textId="1C59B245"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70ED9738" w14:textId="378D6C5F" w:rsidR="00453C76" w:rsidRPr="006C52F8" w:rsidRDefault="00453C76" w:rsidP="00453C76">
            <w:pPr>
              <w:jc w:val="right"/>
              <w:rPr>
                <w:rFonts w:ascii="Arial" w:hAnsi="Arial" w:cs="Arial"/>
                <w:color w:val="000000"/>
              </w:rPr>
            </w:pPr>
            <w:r w:rsidRPr="006C52F8">
              <w:rPr>
                <w:rFonts w:ascii="Arial" w:hAnsi="Arial" w:cs="Arial"/>
                <w:color w:val="000000"/>
              </w:rPr>
              <w:t>3,409</w:t>
            </w:r>
          </w:p>
        </w:tc>
        <w:tc>
          <w:tcPr>
            <w:tcW w:w="1980" w:type="dxa"/>
            <w:noWrap/>
            <w:tcMar>
              <w:top w:w="43" w:type="dxa"/>
              <w:left w:w="115" w:type="dxa"/>
              <w:bottom w:w="43" w:type="dxa"/>
              <w:right w:w="115" w:type="dxa"/>
            </w:tcMar>
            <w:vAlign w:val="bottom"/>
            <w:hideMark/>
          </w:tcPr>
          <w:p w14:paraId="65CF3F8B" w14:textId="29B2E910"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62D2A4BD" w14:textId="77777777" w:rsidTr="00CC3B38">
        <w:trPr>
          <w:cantSplit/>
          <w:trHeight w:val="320"/>
        </w:trPr>
        <w:tc>
          <w:tcPr>
            <w:tcW w:w="2250" w:type="dxa"/>
            <w:noWrap/>
            <w:tcMar>
              <w:top w:w="43" w:type="dxa"/>
              <w:left w:w="115" w:type="dxa"/>
              <w:bottom w:w="43" w:type="dxa"/>
              <w:right w:w="115" w:type="dxa"/>
            </w:tcMar>
            <w:hideMark/>
          </w:tcPr>
          <w:p w14:paraId="6CEEADAA" w14:textId="77777777" w:rsidR="00453C76" w:rsidRPr="006C52F8" w:rsidRDefault="00453C76" w:rsidP="00453C76">
            <w:pPr>
              <w:rPr>
                <w:rFonts w:ascii="Arial" w:hAnsi="Arial" w:cs="Arial"/>
                <w:color w:val="000000"/>
              </w:rPr>
            </w:pPr>
            <w:r w:rsidRPr="006C52F8">
              <w:rPr>
                <w:rFonts w:ascii="Arial" w:hAnsi="Arial" w:cs="Arial"/>
                <w:color w:val="000000"/>
              </w:rPr>
              <w:t>White</w:t>
            </w:r>
          </w:p>
        </w:tc>
        <w:tc>
          <w:tcPr>
            <w:tcW w:w="1710" w:type="dxa"/>
            <w:noWrap/>
            <w:tcMar>
              <w:top w:w="43" w:type="dxa"/>
              <w:left w:w="115" w:type="dxa"/>
              <w:bottom w:w="43" w:type="dxa"/>
              <w:right w:w="115" w:type="dxa"/>
            </w:tcMar>
            <w:vAlign w:val="bottom"/>
            <w:hideMark/>
          </w:tcPr>
          <w:p w14:paraId="1B89433A" w14:textId="57F19C55" w:rsidR="00453C76" w:rsidRPr="006C52F8" w:rsidRDefault="00453C76" w:rsidP="00453C76">
            <w:pPr>
              <w:jc w:val="right"/>
              <w:rPr>
                <w:rFonts w:ascii="Arial" w:hAnsi="Arial" w:cs="Arial"/>
                <w:color w:val="000000"/>
              </w:rPr>
            </w:pPr>
            <w:r w:rsidRPr="006C52F8">
              <w:rPr>
                <w:rFonts w:ascii="Arial" w:hAnsi="Arial" w:cs="Arial"/>
                <w:color w:val="000000"/>
              </w:rPr>
              <w:t>617,413</w:t>
            </w:r>
          </w:p>
        </w:tc>
        <w:tc>
          <w:tcPr>
            <w:tcW w:w="1800" w:type="dxa"/>
            <w:noWrap/>
            <w:tcMar>
              <w:top w:w="43" w:type="dxa"/>
              <w:left w:w="115" w:type="dxa"/>
              <w:bottom w:w="43" w:type="dxa"/>
              <w:right w:w="115" w:type="dxa"/>
            </w:tcMar>
            <w:vAlign w:val="bottom"/>
            <w:hideMark/>
          </w:tcPr>
          <w:p w14:paraId="7BE4D445" w14:textId="102FE32D" w:rsidR="00453C76" w:rsidRPr="006C52F8" w:rsidRDefault="00453C76" w:rsidP="00453C76">
            <w:pPr>
              <w:jc w:val="right"/>
              <w:rPr>
                <w:rFonts w:ascii="Arial" w:hAnsi="Arial" w:cs="Arial"/>
                <w:color w:val="000000"/>
              </w:rPr>
            </w:pPr>
            <w:r w:rsidRPr="006C52F8">
              <w:rPr>
                <w:rFonts w:ascii="Arial" w:hAnsi="Arial" w:cs="Arial"/>
                <w:color w:val="000000"/>
              </w:rPr>
              <w:t>5,659</w:t>
            </w:r>
          </w:p>
        </w:tc>
        <w:tc>
          <w:tcPr>
            <w:tcW w:w="1710" w:type="dxa"/>
            <w:noWrap/>
            <w:tcMar>
              <w:top w:w="43" w:type="dxa"/>
              <w:left w:w="115" w:type="dxa"/>
              <w:bottom w:w="43" w:type="dxa"/>
              <w:right w:w="115" w:type="dxa"/>
            </w:tcMar>
            <w:vAlign w:val="bottom"/>
            <w:hideMark/>
          </w:tcPr>
          <w:p w14:paraId="14B050DB" w14:textId="4063C1A3" w:rsidR="00453C76" w:rsidRPr="006C52F8" w:rsidRDefault="00453C76" w:rsidP="00453C76">
            <w:pPr>
              <w:jc w:val="right"/>
              <w:rPr>
                <w:rFonts w:ascii="Arial" w:hAnsi="Arial" w:cs="Arial"/>
                <w:color w:val="000000"/>
              </w:rPr>
            </w:pPr>
            <w:r w:rsidRPr="006C52F8">
              <w:rPr>
                <w:rFonts w:ascii="Arial" w:hAnsi="Arial" w:cs="Arial"/>
                <w:color w:val="000000"/>
              </w:rPr>
              <w:t>0.9%</w:t>
            </w:r>
          </w:p>
        </w:tc>
        <w:tc>
          <w:tcPr>
            <w:tcW w:w="2340" w:type="dxa"/>
            <w:noWrap/>
            <w:tcMar>
              <w:top w:w="43" w:type="dxa"/>
              <w:left w:w="115" w:type="dxa"/>
              <w:bottom w:w="43" w:type="dxa"/>
              <w:right w:w="115" w:type="dxa"/>
            </w:tcMar>
            <w:vAlign w:val="bottom"/>
            <w:hideMark/>
          </w:tcPr>
          <w:p w14:paraId="4B1AA9B7" w14:textId="4FA3D105"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58EDA83F" w14:textId="14BE8F93" w:rsidR="00453C76" w:rsidRPr="006C52F8" w:rsidRDefault="00453C76" w:rsidP="00453C76">
            <w:pPr>
              <w:jc w:val="right"/>
              <w:rPr>
                <w:rFonts w:ascii="Arial" w:hAnsi="Arial" w:cs="Arial"/>
                <w:color w:val="000000"/>
              </w:rPr>
            </w:pPr>
            <w:r w:rsidRPr="006C52F8">
              <w:rPr>
                <w:rFonts w:ascii="Arial" w:hAnsi="Arial" w:cs="Arial"/>
                <w:color w:val="000000"/>
              </w:rPr>
              <w:t>7,080</w:t>
            </w:r>
          </w:p>
        </w:tc>
        <w:tc>
          <w:tcPr>
            <w:tcW w:w="1980" w:type="dxa"/>
            <w:noWrap/>
            <w:tcMar>
              <w:top w:w="43" w:type="dxa"/>
              <w:left w:w="115" w:type="dxa"/>
              <w:bottom w:w="43" w:type="dxa"/>
              <w:right w:w="115" w:type="dxa"/>
            </w:tcMar>
            <w:vAlign w:val="bottom"/>
            <w:hideMark/>
          </w:tcPr>
          <w:p w14:paraId="305C5FC4" w14:textId="5CDAFFA4"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F34244A" w14:textId="77777777" w:rsidTr="00CC3B38">
        <w:trPr>
          <w:cantSplit/>
          <w:trHeight w:val="320"/>
        </w:trPr>
        <w:tc>
          <w:tcPr>
            <w:tcW w:w="2250" w:type="dxa"/>
            <w:noWrap/>
            <w:tcMar>
              <w:top w:w="43" w:type="dxa"/>
              <w:left w:w="115" w:type="dxa"/>
              <w:bottom w:w="43" w:type="dxa"/>
              <w:right w:w="115" w:type="dxa"/>
            </w:tcMar>
            <w:hideMark/>
          </w:tcPr>
          <w:p w14:paraId="4606CBE3" w14:textId="77777777" w:rsidR="00453C76" w:rsidRPr="006C52F8" w:rsidRDefault="00453C76" w:rsidP="00453C76">
            <w:pPr>
              <w:rPr>
                <w:rFonts w:ascii="Arial" w:hAnsi="Arial" w:cs="Arial"/>
                <w:color w:val="000000"/>
              </w:rPr>
            </w:pPr>
            <w:r w:rsidRPr="006C52F8">
              <w:rPr>
                <w:rFonts w:ascii="Arial" w:hAnsi="Arial" w:cs="Arial"/>
                <w:color w:val="000000"/>
              </w:rPr>
              <w:t>American Indian or Alaska Native</w:t>
            </w:r>
          </w:p>
        </w:tc>
        <w:tc>
          <w:tcPr>
            <w:tcW w:w="1710" w:type="dxa"/>
            <w:noWrap/>
            <w:tcMar>
              <w:top w:w="43" w:type="dxa"/>
              <w:left w:w="115" w:type="dxa"/>
              <w:bottom w:w="43" w:type="dxa"/>
              <w:right w:w="115" w:type="dxa"/>
            </w:tcMar>
            <w:vAlign w:val="bottom"/>
            <w:hideMark/>
          </w:tcPr>
          <w:p w14:paraId="0DC8AC85" w14:textId="315B1120" w:rsidR="00453C76" w:rsidRPr="006C52F8" w:rsidRDefault="00453C76" w:rsidP="00453C76">
            <w:pPr>
              <w:jc w:val="right"/>
              <w:rPr>
                <w:rFonts w:ascii="Arial" w:hAnsi="Arial" w:cs="Arial"/>
                <w:color w:val="000000"/>
              </w:rPr>
            </w:pPr>
            <w:r w:rsidRPr="006C52F8">
              <w:rPr>
                <w:rFonts w:ascii="Arial" w:hAnsi="Arial" w:cs="Arial"/>
                <w:color w:val="000000"/>
              </w:rPr>
              <w:t>12,985</w:t>
            </w:r>
          </w:p>
        </w:tc>
        <w:tc>
          <w:tcPr>
            <w:tcW w:w="1800" w:type="dxa"/>
            <w:noWrap/>
            <w:tcMar>
              <w:top w:w="43" w:type="dxa"/>
              <w:left w:w="115" w:type="dxa"/>
              <w:bottom w:w="43" w:type="dxa"/>
              <w:right w:w="115" w:type="dxa"/>
            </w:tcMar>
            <w:vAlign w:val="bottom"/>
            <w:hideMark/>
          </w:tcPr>
          <w:p w14:paraId="668F10C1" w14:textId="35B7A315" w:rsidR="00453C76" w:rsidRPr="006C52F8" w:rsidRDefault="00453C76" w:rsidP="00453C76">
            <w:pPr>
              <w:jc w:val="right"/>
              <w:rPr>
                <w:rFonts w:ascii="Arial" w:hAnsi="Arial" w:cs="Arial"/>
                <w:color w:val="000000"/>
              </w:rPr>
            </w:pPr>
            <w:r w:rsidRPr="006C52F8">
              <w:rPr>
                <w:rFonts w:ascii="Arial" w:hAnsi="Arial" w:cs="Arial"/>
                <w:color w:val="000000"/>
              </w:rPr>
              <w:t>176</w:t>
            </w:r>
          </w:p>
        </w:tc>
        <w:tc>
          <w:tcPr>
            <w:tcW w:w="1710" w:type="dxa"/>
            <w:noWrap/>
            <w:tcMar>
              <w:top w:w="43" w:type="dxa"/>
              <w:left w:w="115" w:type="dxa"/>
              <w:bottom w:w="43" w:type="dxa"/>
              <w:right w:w="115" w:type="dxa"/>
            </w:tcMar>
            <w:vAlign w:val="bottom"/>
            <w:hideMark/>
          </w:tcPr>
          <w:p w14:paraId="19829CEC" w14:textId="2B65C141" w:rsidR="00453C76" w:rsidRPr="006C52F8" w:rsidRDefault="00453C76" w:rsidP="00453C76">
            <w:pPr>
              <w:jc w:val="right"/>
              <w:rPr>
                <w:rFonts w:ascii="Arial" w:hAnsi="Arial" w:cs="Arial"/>
                <w:color w:val="000000"/>
              </w:rPr>
            </w:pPr>
            <w:r w:rsidRPr="006C52F8">
              <w:rPr>
                <w:rFonts w:ascii="Arial" w:hAnsi="Arial" w:cs="Arial"/>
                <w:color w:val="000000"/>
              </w:rPr>
              <w:t>1.4%</w:t>
            </w:r>
          </w:p>
        </w:tc>
        <w:tc>
          <w:tcPr>
            <w:tcW w:w="2340" w:type="dxa"/>
            <w:noWrap/>
            <w:tcMar>
              <w:top w:w="43" w:type="dxa"/>
              <w:left w:w="115" w:type="dxa"/>
              <w:bottom w:w="43" w:type="dxa"/>
              <w:right w:w="115" w:type="dxa"/>
            </w:tcMar>
            <w:vAlign w:val="bottom"/>
            <w:hideMark/>
          </w:tcPr>
          <w:p w14:paraId="42CAD749" w14:textId="588E15BC"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7AB1E548" w14:textId="4C877525" w:rsidR="00453C76" w:rsidRPr="006C52F8" w:rsidRDefault="00453C76" w:rsidP="00453C76">
            <w:pPr>
              <w:jc w:val="right"/>
              <w:rPr>
                <w:rFonts w:ascii="Arial" w:hAnsi="Arial" w:cs="Arial"/>
                <w:color w:val="000000"/>
              </w:rPr>
            </w:pPr>
            <w:r w:rsidRPr="006C52F8">
              <w:rPr>
                <w:rFonts w:ascii="Arial" w:hAnsi="Arial" w:cs="Arial"/>
                <w:color w:val="000000"/>
              </w:rPr>
              <w:t>221</w:t>
            </w:r>
          </w:p>
        </w:tc>
        <w:tc>
          <w:tcPr>
            <w:tcW w:w="1980" w:type="dxa"/>
            <w:noWrap/>
            <w:tcMar>
              <w:top w:w="43" w:type="dxa"/>
              <w:left w:w="115" w:type="dxa"/>
              <w:bottom w:w="43" w:type="dxa"/>
              <w:right w:w="115" w:type="dxa"/>
            </w:tcMar>
            <w:vAlign w:val="bottom"/>
            <w:hideMark/>
          </w:tcPr>
          <w:p w14:paraId="15B5EC3A" w14:textId="2BDACE20"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01A3E83" w14:textId="77777777" w:rsidTr="00CC3B38">
        <w:trPr>
          <w:cantSplit/>
          <w:trHeight w:val="320"/>
        </w:trPr>
        <w:tc>
          <w:tcPr>
            <w:tcW w:w="2250" w:type="dxa"/>
            <w:noWrap/>
            <w:tcMar>
              <w:top w:w="43" w:type="dxa"/>
              <w:left w:w="115" w:type="dxa"/>
              <w:bottom w:w="43" w:type="dxa"/>
              <w:right w:w="115" w:type="dxa"/>
            </w:tcMar>
            <w:hideMark/>
          </w:tcPr>
          <w:p w14:paraId="0E612611" w14:textId="77777777" w:rsidR="00453C76" w:rsidRPr="006C52F8" w:rsidRDefault="00453C76" w:rsidP="00453C76">
            <w:pPr>
              <w:rPr>
                <w:rFonts w:ascii="Arial" w:hAnsi="Arial" w:cs="Arial"/>
                <w:color w:val="000000"/>
              </w:rPr>
            </w:pPr>
            <w:r w:rsidRPr="006C52F8">
              <w:rPr>
                <w:rFonts w:ascii="Arial" w:hAnsi="Arial" w:cs="Arial"/>
                <w:color w:val="000000"/>
              </w:rPr>
              <w:t>Filipino</w:t>
            </w:r>
          </w:p>
        </w:tc>
        <w:tc>
          <w:tcPr>
            <w:tcW w:w="1710" w:type="dxa"/>
            <w:noWrap/>
            <w:tcMar>
              <w:top w:w="43" w:type="dxa"/>
              <w:left w:w="115" w:type="dxa"/>
              <w:bottom w:w="43" w:type="dxa"/>
              <w:right w:w="115" w:type="dxa"/>
            </w:tcMar>
            <w:vAlign w:val="bottom"/>
            <w:hideMark/>
          </w:tcPr>
          <w:p w14:paraId="3FFE2554" w14:textId="79CEC978" w:rsidR="00453C76" w:rsidRPr="006C52F8" w:rsidRDefault="00453C76" w:rsidP="00453C76">
            <w:pPr>
              <w:jc w:val="right"/>
              <w:rPr>
                <w:rFonts w:ascii="Arial" w:hAnsi="Arial" w:cs="Arial"/>
                <w:color w:val="000000"/>
              </w:rPr>
            </w:pPr>
            <w:r w:rsidRPr="006C52F8">
              <w:rPr>
                <w:rFonts w:ascii="Arial" w:hAnsi="Arial" w:cs="Arial"/>
                <w:color w:val="000000"/>
              </w:rPr>
              <w:t>70,965</w:t>
            </w:r>
          </w:p>
        </w:tc>
        <w:tc>
          <w:tcPr>
            <w:tcW w:w="1800" w:type="dxa"/>
            <w:noWrap/>
            <w:tcMar>
              <w:top w:w="43" w:type="dxa"/>
              <w:left w:w="115" w:type="dxa"/>
              <w:bottom w:w="43" w:type="dxa"/>
              <w:right w:w="115" w:type="dxa"/>
            </w:tcMar>
            <w:vAlign w:val="bottom"/>
            <w:hideMark/>
          </w:tcPr>
          <w:p w14:paraId="13EAE87A" w14:textId="54D3D3D2" w:rsidR="00453C76" w:rsidRPr="006C52F8" w:rsidRDefault="00453C76" w:rsidP="00453C76">
            <w:pPr>
              <w:jc w:val="right"/>
              <w:rPr>
                <w:rFonts w:ascii="Arial" w:hAnsi="Arial" w:cs="Arial"/>
                <w:color w:val="000000"/>
              </w:rPr>
            </w:pPr>
            <w:r w:rsidRPr="006C52F8">
              <w:rPr>
                <w:rFonts w:ascii="Arial" w:hAnsi="Arial" w:cs="Arial"/>
                <w:color w:val="000000"/>
              </w:rPr>
              <w:t>949</w:t>
            </w:r>
          </w:p>
        </w:tc>
        <w:tc>
          <w:tcPr>
            <w:tcW w:w="1710" w:type="dxa"/>
            <w:noWrap/>
            <w:tcMar>
              <w:top w:w="43" w:type="dxa"/>
              <w:left w:w="115" w:type="dxa"/>
              <w:bottom w:w="43" w:type="dxa"/>
              <w:right w:w="115" w:type="dxa"/>
            </w:tcMar>
            <w:vAlign w:val="bottom"/>
            <w:hideMark/>
          </w:tcPr>
          <w:p w14:paraId="35E54572" w14:textId="7791E29D" w:rsidR="00453C76" w:rsidRPr="006C52F8" w:rsidRDefault="00453C76" w:rsidP="00453C76">
            <w:pPr>
              <w:jc w:val="right"/>
              <w:rPr>
                <w:rFonts w:ascii="Arial" w:hAnsi="Arial" w:cs="Arial"/>
                <w:color w:val="000000"/>
              </w:rPr>
            </w:pPr>
            <w:r w:rsidRPr="006C52F8">
              <w:rPr>
                <w:rFonts w:ascii="Arial" w:hAnsi="Arial" w:cs="Arial"/>
                <w:color w:val="000000"/>
              </w:rPr>
              <w:t>1.3%</w:t>
            </w:r>
          </w:p>
        </w:tc>
        <w:tc>
          <w:tcPr>
            <w:tcW w:w="2340" w:type="dxa"/>
            <w:noWrap/>
            <w:tcMar>
              <w:top w:w="43" w:type="dxa"/>
              <w:left w:w="115" w:type="dxa"/>
              <w:bottom w:w="43" w:type="dxa"/>
              <w:right w:w="115" w:type="dxa"/>
            </w:tcMar>
            <w:vAlign w:val="bottom"/>
            <w:hideMark/>
          </w:tcPr>
          <w:p w14:paraId="37A5F7F0" w14:textId="0422641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75257DA3" w14:textId="10BF0FF7" w:rsidR="00453C76" w:rsidRPr="006C52F8" w:rsidRDefault="00453C76" w:rsidP="00453C76">
            <w:pPr>
              <w:jc w:val="right"/>
              <w:rPr>
                <w:rFonts w:ascii="Arial" w:hAnsi="Arial" w:cs="Arial"/>
                <w:color w:val="000000"/>
              </w:rPr>
            </w:pPr>
            <w:r w:rsidRPr="006C52F8">
              <w:rPr>
                <w:rFonts w:ascii="Arial" w:hAnsi="Arial" w:cs="Arial"/>
                <w:color w:val="000000"/>
              </w:rPr>
              <w:t>1,160</w:t>
            </w:r>
          </w:p>
        </w:tc>
        <w:tc>
          <w:tcPr>
            <w:tcW w:w="1980" w:type="dxa"/>
            <w:noWrap/>
            <w:tcMar>
              <w:top w:w="43" w:type="dxa"/>
              <w:left w:w="115" w:type="dxa"/>
              <w:bottom w:w="43" w:type="dxa"/>
              <w:right w:w="115" w:type="dxa"/>
            </w:tcMar>
            <w:vAlign w:val="bottom"/>
            <w:hideMark/>
          </w:tcPr>
          <w:p w14:paraId="3A51D30C" w14:textId="15064A6C"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FC1780A" w14:textId="77777777" w:rsidTr="00CC3B38">
        <w:trPr>
          <w:cantSplit/>
          <w:trHeight w:val="320"/>
        </w:trPr>
        <w:tc>
          <w:tcPr>
            <w:tcW w:w="2250" w:type="dxa"/>
            <w:noWrap/>
            <w:tcMar>
              <w:top w:w="43" w:type="dxa"/>
              <w:left w:w="115" w:type="dxa"/>
              <w:bottom w:w="43" w:type="dxa"/>
              <w:right w:w="115" w:type="dxa"/>
            </w:tcMar>
            <w:hideMark/>
          </w:tcPr>
          <w:p w14:paraId="39DD088C" w14:textId="77777777" w:rsidR="00453C76" w:rsidRPr="006C52F8" w:rsidRDefault="00453C76" w:rsidP="00453C76">
            <w:pPr>
              <w:rPr>
                <w:rFonts w:ascii="Arial" w:hAnsi="Arial" w:cs="Arial"/>
                <w:color w:val="000000"/>
              </w:rPr>
            </w:pPr>
            <w:r w:rsidRPr="006C52F8">
              <w:rPr>
                <w:rFonts w:ascii="Arial" w:hAnsi="Arial" w:cs="Arial"/>
                <w:color w:val="000000"/>
              </w:rPr>
              <w:t>Native Hawaiian or Pacific Islander</w:t>
            </w:r>
          </w:p>
        </w:tc>
        <w:tc>
          <w:tcPr>
            <w:tcW w:w="1710" w:type="dxa"/>
            <w:noWrap/>
            <w:tcMar>
              <w:top w:w="43" w:type="dxa"/>
              <w:left w:w="115" w:type="dxa"/>
              <w:bottom w:w="43" w:type="dxa"/>
              <w:right w:w="115" w:type="dxa"/>
            </w:tcMar>
            <w:vAlign w:val="bottom"/>
            <w:hideMark/>
          </w:tcPr>
          <w:p w14:paraId="6F9DBE7E" w14:textId="1847C1A2" w:rsidR="00453C76" w:rsidRPr="006C52F8" w:rsidRDefault="00453C76" w:rsidP="00453C76">
            <w:pPr>
              <w:jc w:val="right"/>
              <w:rPr>
                <w:rFonts w:ascii="Arial" w:hAnsi="Arial" w:cs="Arial"/>
                <w:color w:val="000000"/>
              </w:rPr>
            </w:pPr>
            <w:r w:rsidRPr="006C52F8">
              <w:rPr>
                <w:rFonts w:ascii="Arial" w:hAnsi="Arial" w:cs="Arial"/>
                <w:color w:val="000000"/>
              </w:rPr>
              <w:t>12,737</w:t>
            </w:r>
          </w:p>
        </w:tc>
        <w:tc>
          <w:tcPr>
            <w:tcW w:w="1800" w:type="dxa"/>
            <w:noWrap/>
            <w:tcMar>
              <w:top w:w="43" w:type="dxa"/>
              <w:left w:w="115" w:type="dxa"/>
              <w:bottom w:w="43" w:type="dxa"/>
              <w:right w:w="115" w:type="dxa"/>
            </w:tcMar>
            <w:vAlign w:val="bottom"/>
            <w:hideMark/>
          </w:tcPr>
          <w:p w14:paraId="11A1ED99" w14:textId="017FB4C3" w:rsidR="00453C76" w:rsidRPr="006C52F8" w:rsidRDefault="00453C76" w:rsidP="00453C76">
            <w:pPr>
              <w:jc w:val="right"/>
              <w:rPr>
                <w:rFonts w:ascii="Arial" w:hAnsi="Arial" w:cs="Arial"/>
                <w:color w:val="000000"/>
              </w:rPr>
            </w:pPr>
            <w:r w:rsidRPr="006C52F8">
              <w:rPr>
                <w:rFonts w:ascii="Arial" w:hAnsi="Arial" w:cs="Arial"/>
                <w:color w:val="000000"/>
              </w:rPr>
              <w:t>148</w:t>
            </w:r>
          </w:p>
        </w:tc>
        <w:tc>
          <w:tcPr>
            <w:tcW w:w="1710" w:type="dxa"/>
            <w:noWrap/>
            <w:tcMar>
              <w:top w:w="43" w:type="dxa"/>
              <w:left w:w="115" w:type="dxa"/>
              <w:bottom w:w="43" w:type="dxa"/>
              <w:right w:w="115" w:type="dxa"/>
            </w:tcMar>
            <w:vAlign w:val="bottom"/>
            <w:hideMark/>
          </w:tcPr>
          <w:p w14:paraId="0C24C9F2" w14:textId="75F3C908" w:rsidR="00453C76" w:rsidRPr="006C52F8" w:rsidRDefault="00453C76" w:rsidP="00453C76">
            <w:pPr>
              <w:jc w:val="right"/>
              <w:rPr>
                <w:rFonts w:ascii="Arial" w:hAnsi="Arial" w:cs="Arial"/>
                <w:color w:val="000000"/>
              </w:rPr>
            </w:pPr>
            <w:r w:rsidRPr="006C52F8">
              <w:rPr>
                <w:rFonts w:ascii="Arial" w:hAnsi="Arial" w:cs="Arial"/>
                <w:color w:val="000000"/>
              </w:rPr>
              <w:t>1.2%</w:t>
            </w:r>
          </w:p>
        </w:tc>
        <w:tc>
          <w:tcPr>
            <w:tcW w:w="2340" w:type="dxa"/>
            <w:noWrap/>
            <w:tcMar>
              <w:top w:w="43" w:type="dxa"/>
              <w:left w:w="115" w:type="dxa"/>
              <w:bottom w:w="43" w:type="dxa"/>
              <w:right w:w="115" w:type="dxa"/>
            </w:tcMar>
            <w:vAlign w:val="bottom"/>
            <w:hideMark/>
          </w:tcPr>
          <w:p w14:paraId="7A6407B3" w14:textId="2D61DDA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6A886678" w14:textId="4549A38F" w:rsidR="00453C76" w:rsidRPr="006C52F8" w:rsidRDefault="00453C76" w:rsidP="00453C76">
            <w:pPr>
              <w:jc w:val="right"/>
              <w:rPr>
                <w:rFonts w:ascii="Arial" w:hAnsi="Arial" w:cs="Arial"/>
                <w:color w:val="000000"/>
              </w:rPr>
            </w:pPr>
            <w:r w:rsidRPr="006C52F8">
              <w:rPr>
                <w:rFonts w:ascii="Arial" w:hAnsi="Arial" w:cs="Arial"/>
                <w:color w:val="000000"/>
              </w:rPr>
              <w:t>178</w:t>
            </w:r>
          </w:p>
        </w:tc>
        <w:tc>
          <w:tcPr>
            <w:tcW w:w="1980" w:type="dxa"/>
            <w:noWrap/>
            <w:tcMar>
              <w:top w:w="43" w:type="dxa"/>
              <w:left w:w="115" w:type="dxa"/>
              <w:bottom w:w="43" w:type="dxa"/>
              <w:right w:w="115" w:type="dxa"/>
            </w:tcMar>
            <w:vAlign w:val="bottom"/>
            <w:hideMark/>
          </w:tcPr>
          <w:p w14:paraId="0DD000F5" w14:textId="69341B5C"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170F9D37" w14:textId="77777777" w:rsidTr="00CC3B38">
        <w:trPr>
          <w:cantSplit/>
          <w:trHeight w:val="320"/>
        </w:trPr>
        <w:tc>
          <w:tcPr>
            <w:tcW w:w="2250" w:type="dxa"/>
            <w:noWrap/>
            <w:tcMar>
              <w:top w:w="43" w:type="dxa"/>
              <w:left w:w="115" w:type="dxa"/>
              <w:bottom w:w="43" w:type="dxa"/>
              <w:right w:w="115" w:type="dxa"/>
            </w:tcMar>
            <w:hideMark/>
          </w:tcPr>
          <w:p w14:paraId="3C270AF3" w14:textId="77777777" w:rsidR="00453C76" w:rsidRPr="006C52F8" w:rsidRDefault="00453C76" w:rsidP="00453C76">
            <w:pPr>
              <w:rPr>
                <w:rFonts w:ascii="Arial" w:hAnsi="Arial" w:cs="Arial"/>
                <w:color w:val="000000"/>
              </w:rPr>
            </w:pPr>
            <w:r w:rsidRPr="006C52F8">
              <w:rPr>
                <w:rFonts w:ascii="Arial" w:hAnsi="Arial" w:cs="Arial"/>
                <w:color w:val="000000"/>
              </w:rPr>
              <w:t>Two or more races</w:t>
            </w:r>
          </w:p>
        </w:tc>
        <w:tc>
          <w:tcPr>
            <w:tcW w:w="1710" w:type="dxa"/>
            <w:noWrap/>
            <w:tcMar>
              <w:top w:w="43" w:type="dxa"/>
              <w:left w:w="115" w:type="dxa"/>
              <w:bottom w:w="43" w:type="dxa"/>
              <w:right w:w="115" w:type="dxa"/>
            </w:tcMar>
            <w:vAlign w:val="bottom"/>
            <w:hideMark/>
          </w:tcPr>
          <w:p w14:paraId="40DBD4BC" w14:textId="19784D5F" w:rsidR="00453C76" w:rsidRPr="006C52F8" w:rsidRDefault="00453C76" w:rsidP="00453C76">
            <w:pPr>
              <w:jc w:val="right"/>
              <w:rPr>
                <w:rFonts w:ascii="Arial" w:hAnsi="Arial" w:cs="Arial"/>
                <w:color w:val="000000"/>
              </w:rPr>
            </w:pPr>
            <w:r w:rsidRPr="006C52F8">
              <w:rPr>
                <w:rFonts w:ascii="Arial" w:hAnsi="Arial" w:cs="Arial"/>
                <w:color w:val="000000"/>
              </w:rPr>
              <w:t>125,820</w:t>
            </w:r>
          </w:p>
        </w:tc>
        <w:tc>
          <w:tcPr>
            <w:tcW w:w="1800" w:type="dxa"/>
            <w:noWrap/>
            <w:tcMar>
              <w:top w:w="43" w:type="dxa"/>
              <w:left w:w="115" w:type="dxa"/>
              <w:bottom w:w="43" w:type="dxa"/>
              <w:right w:w="115" w:type="dxa"/>
            </w:tcMar>
            <w:vAlign w:val="bottom"/>
            <w:hideMark/>
          </w:tcPr>
          <w:p w14:paraId="4C7CFC93" w14:textId="3891CEC3" w:rsidR="00453C76" w:rsidRPr="006C52F8" w:rsidRDefault="00453C76" w:rsidP="00453C76">
            <w:pPr>
              <w:jc w:val="right"/>
              <w:rPr>
                <w:rFonts w:ascii="Arial" w:hAnsi="Arial" w:cs="Arial"/>
                <w:color w:val="000000"/>
              </w:rPr>
            </w:pPr>
            <w:r w:rsidRPr="006C52F8">
              <w:rPr>
                <w:rFonts w:ascii="Arial" w:hAnsi="Arial" w:cs="Arial"/>
                <w:color w:val="000000"/>
              </w:rPr>
              <w:t>1,151</w:t>
            </w:r>
          </w:p>
        </w:tc>
        <w:tc>
          <w:tcPr>
            <w:tcW w:w="1710" w:type="dxa"/>
            <w:noWrap/>
            <w:tcMar>
              <w:top w:w="43" w:type="dxa"/>
              <w:left w:w="115" w:type="dxa"/>
              <w:bottom w:w="43" w:type="dxa"/>
              <w:right w:w="115" w:type="dxa"/>
            </w:tcMar>
            <w:vAlign w:val="bottom"/>
            <w:hideMark/>
          </w:tcPr>
          <w:p w14:paraId="71F269CB" w14:textId="77E8E12F" w:rsidR="00453C76" w:rsidRPr="006C52F8" w:rsidRDefault="00453C76" w:rsidP="00453C76">
            <w:pPr>
              <w:jc w:val="right"/>
              <w:rPr>
                <w:rFonts w:ascii="Arial" w:hAnsi="Arial" w:cs="Arial"/>
                <w:color w:val="000000"/>
              </w:rPr>
            </w:pPr>
            <w:r w:rsidRPr="006C52F8">
              <w:rPr>
                <w:rFonts w:ascii="Arial" w:hAnsi="Arial" w:cs="Arial"/>
                <w:color w:val="000000"/>
              </w:rPr>
              <w:t>0.9%</w:t>
            </w:r>
          </w:p>
        </w:tc>
        <w:tc>
          <w:tcPr>
            <w:tcW w:w="2340" w:type="dxa"/>
            <w:noWrap/>
            <w:tcMar>
              <w:top w:w="43" w:type="dxa"/>
              <w:left w:w="115" w:type="dxa"/>
              <w:bottom w:w="43" w:type="dxa"/>
              <w:right w:w="115" w:type="dxa"/>
            </w:tcMar>
            <w:vAlign w:val="bottom"/>
            <w:hideMark/>
          </w:tcPr>
          <w:p w14:paraId="7BD17B24" w14:textId="0F0A96AE"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2E6E1196" w14:textId="6FE34AF2" w:rsidR="00453C76" w:rsidRPr="006C52F8" w:rsidRDefault="00453C76" w:rsidP="00453C76">
            <w:pPr>
              <w:jc w:val="right"/>
              <w:rPr>
                <w:rFonts w:ascii="Arial" w:hAnsi="Arial" w:cs="Arial"/>
                <w:color w:val="000000"/>
              </w:rPr>
            </w:pPr>
            <w:r w:rsidRPr="006C52F8">
              <w:rPr>
                <w:rFonts w:ascii="Arial" w:hAnsi="Arial" w:cs="Arial"/>
                <w:color w:val="000000"/>
              </w:rPr>
              <w:t>1,449</w:t>
            </w:r>
          </w:p>
        </w:tc>
        <w:tc>
          <w:tcPr>
            <w:tcW w:w="1980" w:type="dxa"/>
            <w:noWrap/>
            <w:tcMar>
              <w:top w:w="43" w:type="dxa"/>
              <w:left w:w="115" w:type="dxa"/>
              <w:bottom w:w="43" w:type="dxa"/>
              <w:right w:w="115" w:type="dxa"/>
            </w:tcMar>
            <w:vAlign w:val="bottom"/>
            <w:hideMark/>
          </w:tcPr>
          <w:p w14:paraId="4FA5648F" w14:textId="440DC15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086D3CA0" w14:textId="77777777" w:rsidTr="00CC3B38">
        <w:trPr>
          <w:cantSplit/>
          <w:trHeight w:val="320"/>
        </w:trPr>
        <w:tc>
          <w:tcPr>
            <w:tcW w:w="2250" w:type="dxa"/>
            <w:noWrap/>
            <w:tcMar>
              <w:top w:w="43" w:type="dxa"/>
              <w:left w:w="115" w:type="dxa"/>
              <w:bottom w:w="43" w:type="dxa"/>
              <w:right w:w="115" w:type="dxa"/>
            </w:tcMar>
            <w:hideMark/>
          </w:tcPr>
          <w:p w14:paraId="4D0F0399" w14:textId="77777777" w:rsidR="00453C76" w:rsidRPr="006C52F8" w:rsidRDefault="00453C76" w:rsidP="00453C76">
            <w:pPr>
              <w:rPr>
                <w:rFonts w:ascii="Arial" w:hAnsi="Arial" w:cs="Arial"/>
                <w:color w:val="000000"/>
              </w:rPr>
            </w:pPr>
            <w:r w:rsidRPr="006C52F8">
              <w:rPr>
                <w:rFonts w:ascii="Arial" w:hAnsi="Arial" w:cs="Arial"/>
                <w:color w:val="000000"/>
              </w:rPr>
              <w:t>English learners</w:t>
            </w:r>
          </w:p>
        </w:tc>
        <w:tc>
          <w:tcPr>
            <w:tcW w:w="1710" w:type="dxa"/>
            <w:noWrap/>
            <w:tcMar>
              <w:top w:w="43" w:type="dxa"/>
              <w:left w:w="115" w:type="dxa"/>
              <w:bottom w:w="43" w:type="dxa"/>
              <w:right w:w="115" w:type="dxa"/>
            </w:tcMar>
            <w:vAlign w:val="bottom"/>
            <w:hideMark/>
          </w:tcPr>
          <w:p w14:paraId="5409DC66" w14:textId="5D1F872A" w:rsidR="00453C76" w:rsidRPr="006C52F8" w:rsidRDefault="00453C76" w:rsidP="00453C76">
            <w:pPr>
              <w:jc w:val="right"/>
              <w:rPr>
                <w:rFonts w:ascii="Arial" w:hAnsi="Arial" w:cs="Arial"/>
                <w:color w:val="000000"/>
              </w:rPr>
            </w:pPr>
            <w:r w:rsidRPr="006C52F8">
              <w:rPr>
                <w:rFonts w:ascii="Arial" w:hAnsi="Arial" w:cs="Arial"/>
                <w:color w:val="000000"/>
              </w:rPr>
              <w:t>557,330</w:t>
            </w:r>
          </w:p>
        </w:tc>
        <w:tc>
          <w:tcPr>
            <w:tcW w:w="1800" w:type="dxa"/>
            <w:noWrap/>
            <w:tcMar>
              <w:top w:w="43" w:type="dxa"/>
              <w:left w:w="115" w:type="dxa"/>
              <w:bottom w:w="43" w:type="dxa"/>
              <w:right w:w="115" w:type="dxa"/>
            </w:tcMar>
            <w:vAlign w:val="bottom"/>
            <w:hideMark/>
          </w:tcPr>
          <w:p w14:paraId="19590A67" w14:textId="66311DC7" w:rsidR="00453C76" w:rsidRPr="006C52F8" w:rsidRDefault="00453C76" w:rsidP="00453C76">
            <w:pPr>
              <w:jc w:val="right"/>
              <w:rPr>
                <w:rFonts w:ascii="Arial" w:hAnsi="Arial" w:cs="Arial"/>
                <w:color w:val="000000"/>
              </w:rPr>
            </w:pPr>
            <w:r w:rsidRPr="006C52F8">
              <w:rPr>
                <w:rFonts w:ascii="Arial" w:hAnsi="Arial" w:cs="Arial"/>
                <w:color w:val="000000"/>
              </w:rPr>
              <w:t>8,767</w:t>
            </w:r>
          </w:p>
        </w:tc>
        <w:tc>
          <w:tcPr>
            <w:tcW w:w="1710" w:type="dxa"/>
            <w:noWrap/>
            <w:tcMar>
              <w:top w:w="43" w:type="dxa"/>
              <w:left w:w="115" w:type="dxa"/>
              <w:bottom w:w="43" w:type="dxa"/>
              <w:right w:w="115" w:type="dxa"/>
            </w:tcMar>
            <w:vAlign w:val="bottom"/>
            <w:hideMark/>
          </w:tcPr>
          <w:p w14:paraId="07F0C0A0" w14:textId="740CE8C0" w:rsidR="00453C76" w:rsidRPr="006C52F8" w:rsidRDefault="00453C76" w:rsidP="00453C76">
            <w:pPr>
              <w:jc w:val="right"/>
              <w:rPr>
                <w:rFonts w:ascii="Arial" w:hAnsi="Arial" w:cs="Arial"/>
                <w:color w:val="000000"/>
              </w:rPr>
            </w:pPr>
            <w:r w:rsidRPr="006C52F8">
              <w:rPr>
                <w:rFonts w:ascii="Arial" w:hAnsi="Arial" w:cs="Arial"/>
                <w:color w:val="000000"/>
              </w:rPr>
              <w:t>1.6%</w:t>
            </w:r>
          </w:p>
        </w:tc>
        <w:tc>
          <w:tcPr>
            <w:tcW w:w="2340" w:type="dxa"/>
            <w:noWrap/>
            <w:tcMar>
              <w:top w:w="43" w:type="dxa"/>
              <w:left w:w="115" w:type="dxa"/>
              <w:bottom w:w="43" w:type="dxa"/>
              <w:right w:w="115" w:type="dxa"/>
            </w:tcMar>
            <w:vAlign w:val="bottom"/>
            <w:hideMark/>
          </w:tcPr>
          <w:p w14:paraId="3A1A7E3C" w14:textId="5EBF1174"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2569A1E9" w14:textId="28DB6202" w:rsidR="00453C76" w:rsidRPr="006C52F8" w:rsidRDefault="00453C76" w:rsidP="00453C76">
            <w:pPr>
              <w:jc w:val="right"/>
              <w:rPr>
                <w:rFonts w:ascii="Arial" w:hAnsi="Arial" w:cs="Arial"/>
                <w:color w:val="000000"/>
              </w:rPr>
            </w:pPr>
            <w:r w:rsidRPr="006C52F8">
              <w:rPr>
                <w:rFonts w:ascii="Arial" w:hAnsi="Arial" w:cs="Arial"/>
                <w:color w:val="000000"/>
              </w:rPr>
              <w:t>10,071</w:t>
            </w:r>
          </w:p>
        </w:tc>
        <w:tc>
          <w:tcPr>
            <w:tcW w:w="1980" w:type="dxa"/>
            <w:noWrap/>
            <w:tcMar>
              <w:top w:w="43" w:type="dxa"/>
              <w:left w:w="115" w:type="dxa"/>
              <w:bottom w:w="43" w:type="dxa"/>
              <w:right w:w="115" w:type="dxa"/>
            </w:tcMar>
            <w:vAlign w:val="bottom"/>
            <w:hideMark/>
          </w:tcPr>
          <w:p w14:paraId="60752083" w14:textId="149DF591"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546E5469" w14:textId="77777777" w:rsidTr="00CC3B38">
        <w:trPr>
          <w:cantSplit/>
          <w:trHeight w:val="320"/>
        </w:trPr>
        <w:tc>
          <w:tcPr>
            <w:tcW w:w="2250" w:type="dxa"/>
            <w:noWrap/>
            <w:tcMar>
              <w:top w:w="43" w:type="dxa"/>
              <w:left w:w="115" w:type="dxa"/>
              <w:bottom w:w="43" w:type="dxa"/>
              <w:right w:w="115" w:type="dxa"/>
            </w:tcMar>
            <w:hideMark/>
          </w:tcPr>
          <w:p w14:paraId="61BB8357" w14:textId="77777777" w:rsidR="00453C76" w:rsidRPr="006C52F8" w:rsidRDefault="00453C76" w:rsidP="00453C76">
            <w:pPr>
              <w:rPr>
                <w:rFonts w:ascii="Arial" w:hAnsi="Arial" w:cs="Arial"/>
                <w:color w:val="000000"/>
              </w:rPr>
            </w:pPr>
            <w:r w:rsidRPr="006C52F8">
              <w:rPr>
                <w:rFonts w:ascii="Arial" w:hAnsi="Arial" w:cs="Arial"/>
                <w:color w:val="000000"/>
              </w:rPr>
              <w:t>Economically disadvantaged</w:t>
            </w:r>
          </w:p>
        </w:tc>
        <w:tc>
          <w:tcPr>
            <w:tcW w:w="1710" w:type="dxa"/>
            <w:noWrap/>
            <w:tcMar>
              <w:top w:w="43" w:type="dxa"/>
              <w:left w:w="115" w:type="dxa"/>
              <w:bottom w:w="43" w:type="dxa"/>
              <w:right w:w="115" w:type="dxa"/>
            </w:tcMar>
            <w:vAlign w:val="bottom"/>
            <w:hideMark/>
          </w:tcPr>
          <w:p w14:paraId="71AA89CD" w14:textId="6745DB25" w:rsidR="00453C76" w:rsidRPr="006C52F8" w:rsidRDefault="00453C76" w:rsidP="00453C76">
            <w:pPr>
              <w:jc w:val="right"/>
              <w:rPr>
                <w:rFonts w:ascii="Arial" w:hAnsi="Arial" w:cs="Arial"/>
                <w:color w:val="000000"/>
              </w:rPr>
            </w:pPr>
            <w:r w:rsidRPr="006C52F8">
              <w:rPr>
                <w:rFonts w:ascii="Arial" w:hAnsi="Arial" w:cs="Arial"/>
                <w:color w:val="000000"/>
              </w:rPr>
              <w:t>1,800,748</w:t>
            </w:r>
          </w:p>
        </w:tc>
        <w:tc>
          <w:tcPr>
            <w:tcW w:w="1800" w:type="dxa"/>
            <w:noWrap/>
            <w:tcMar>
              <w:top w:w="43" w:type="dxa"/>
              <w:left w:w="115" w:type="dxa"/>
              <w:bottom w:w="43" w:type="dxa"/>
              <w:right w:w="115" w:type="dxa"/>
            </w:tcMar>
            <w:vAlign w:val="bottom"/>
            <w:hideMark/>
          </w:tcPr>
          <w:p w14:paraId="36757E93" w14:textId="3D263378" w:rsidR="00453C76" w:rsidRPr="006C52F8" w:rsidRDefault="00453C76" w:rsidP="00453C76">
            <w:pPr>
              <w:jc w:val="right"/>
              <w:rPr>
                <w:rFonts w:ascii="Arial" w:hAnsi="Arial" w:cs="Arial"/>
                <w:color w:val="000000"/>
              </w:rPr>
            </w:pPr>
            <w:r w:rsidRPr="006C52F8">
              <w:rPr>
                <w:rFonts w:ascii="Arial" w:hAnsi="Arial" w:cs="Arial"/>
                <w:color w:val="000000"/>
              </w:rPr>
              <w:t>21,180</w:t>
            </w:r>
          </w:p>
        </w:tc>
        <w:tc>
          <w:tcPr>
            <w:tcW w:w="1710" w:type="dxa"/>
            <w:noWrap/>
            <w:tcMar>
              <w:top w:w="43" w:type="dxa"/>
              <w:left w:w="115" w:type="dxa"/>
              <w:bottom w:w="43" w:type="dxa"/>
              <w:right w:w="115" w:type="dxa"/>
            </w:tcMar>
            <w:vAlign w:val="bottom"/>
            <w:hideMark/>
          </w:tcPr>
          <w:p w14:paraId="5485A60B" w14:textId="4D68966D" w:rsidR="00453C76" w:rsidRPr="006C52F8" w:rsidRDefault="00453C76" w:rsidP="00453C76">
            <w:pPr>
              <w:jc w:val="right"/>
              <w:rPr>
                <w:rFonts w:ascii="Arial" w:hAnsi="Arial" w:cs="Arial"/>
                <w:color w:val="000000"/>
              </w:rPr>
            </w:pPr>
            <w:r w:rsidRPr="006C52F8">
              <w:rPr>
                <w:rFonts w:ascii="Arial" w:hAnsi="Arial" w:cs="Arial"/>
                <w:color w:val="000000"/>
              </w:rPr>
              <w:t>1.2%</w:t>
            </w:r>
          </w:p>
        </w:tc>
        <w:tc>
          <w:tcPr>
            <w:tcW w:w="2340" w:type="dxa"/>
            <w:noWrap/>
            <w:tcMar>
              <w:top w:w="43" w:type="dxa"/>
              <w:left w:w="115" w:type="dxa"/>
              <w:bottom w:w="43" w:type="dxa"/>
              <w:right w:w="115" w:type="dxa"/>
            </w:tcMar>
            <w:vAlign w:val="bottom"/>
            <w:hideMark/>
          </w:tcPr>
          <w:p w14:paraId="263FC944" w14:textId="0AE26BDC"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430" w:type="dxa"/>
            <w:noWrap/>
            <w:tcMar>
              <w:top w:w="43" w:type="dxa"/>
              <w:left w:w="115" w:type="dxa"/>
              <w:bottom w:w="43" w:type="dxa"/>
              <w:right w:w="115" w:type="dxa"/>
            </w:tcMar>
            <w:vAlign w:val="bottom"/>
            <w:hideMark/>
          </w:tcPr>
          <w:p w14:paraId="7819044D" w14:textId="0BF38EAE" w:rsidR="00453C76" w:rsidRPr="006C52F8" w:rsidRDefault="00453C76" w:rsidP="00453C76">
            <w:pPr>
              <w:jc w:val="right"/>
              <w:rPr>
                <w:rFonts w:ascii="Arial" w:hAnsi="Arial" w:cs="Arial"/>
                <w:color w:val="000000"/>
              </w:rPr>
            </w:pPr>
            <w:r w:rsidRPr="006C52F8">
              <w:rPr>
                <w:rFonts w:ascii="Arial" w:hAnsi="Arial" w:cs="Arial"/>
                <w:color w:val="000000"/>
              </w:rPr>
              <w:t>22,977</w:t>
            </w:r>
          </w:p>
        </w:tc>
        <w:tc>
          <w:tcPr>
            <w:tcW w:w="1980" w:type="dxa"/>
            <w:noWrap/>
            <w:tcMar>
              <w:top w:w="43" w:type="dxa"/>
              <w:left w:w="115" w:type="dxa"/>
              <w:bottom w:w="43" w:type="dxa"/>
              <w:right w:w="115" w:type="dxa"/>
            </w:tcMar>
            <w:vAlign w:val="bottom"/>
            <w:hideMark/>
          </w:tcPr>
          <w:p w14:paraId="72C6EC90" w14:textId="4AAC6A4E"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bookmarkEnd w:id="3"/>
    </w:tbl>
    <w:p w14:paraId="27A922FA" w14:textId="77777777" w:rsidR="00B355C5" w:rsidRPr="006C52F8" w:rsidRDefault="00B355C5" w:rsidP="00B355C5">
      <w:pPr>
        <w:rPr>
          <w:rFonts w:ascii="Arial" w:hAnsi="Arial"/>
        </w:rPr>
      </w:pPr>
    </w:p>
    <w:p w14:paraId="51CEA29D" w14:textId="33D57891" w:rsidR="00B355C5" w:rsidRPr="006C52F8" w:rsidRDefault="00B355C5" w:rsidP="00C50244">
      <w:pPr>
        <w:spacing w:after="60"/>
        <w:ind w:hanging="810"/>
        <w:rPr>
          <w:rFonts w:ascii="Arial" w:hAnsi="Arial" w:cs="Arial"/>
          <w:color w:val="000000"/>
        </w:rPr>
      </w:pPr>
      <w:r w:rsidRPr="006C52F8">
        <w:rPr>
          <w:rFonts w:ascii="Arial" w:eastAsia="Calibri" w:hAnsi="Arial" w:cs="Arial"/>
        </w:rPr>
        <w:lastRenderedPageBreak/>
        <w:t xml:space="preserve">Table 7. CAA for </w:t>
      </w:r>
      <w:r w:rsidRPr="006C52F8">
        <w:rPr>
          <w:rFonts w:ascii="Arial" w:hAnsi="Arial" w:cs="Arial"/>
          <w:color w:val="000000" w:themeColor="text1"/>
        </w:rPr>
        <w:t>Science Participation Rates by Student Group</w:t>
      </w:r>
    </w:p>
    <w:tbl>
      <w:tblPr>
        <w:tblStyle w:val="TableGrid11"/>
        <w:tblW w:w="14220" w:type="dxa"/>
        <w:tblInd w:w="-815" w:type="dxa"/>
        <w:tblLayout w:type="fixed"/>
        <w:tblLook w:val="04A0" w:firstRow="1" w:lastRow="0" w:firstColumn="1" w:lastColumn="0" w:noHBand="0" w:noVBand="1"/>
        <w:tblCaption w:val="Table 7. CAA for Science Participation Rates by Student Group"/>
        <w:tblDescription w:val="Table 7 displays the CAA for Science Participation Rates by Student Group for 2021–22 and the expected rates for 2022–23."/>
      </w:tblPr>
      <w:tblGrid>
        <w:gridCol w:w="2250"/>
        <w:gridCol w:w="1710"/>
        <w:gridCol w:w="1800"/>
        <w:gridCol w:w="1710"/>
        <w:gridCol w:w="2430"/>
        <w:gridCol w:w="2340"/>
        <w:gridCol w:w="1980"/>
      </w:tblGrid>
      <w:tr w:rsidR="001F74BE" w:rsidRPr="006C52F8" w14:paraId="4D078CBB" w14:textId="77777777" w:rsidTr="0B71D082">
        <w:trPr>
          <w:trHeight w:val="1610"/>
          <w:tblHeader/>
        </w:trPr>
        <w:tc>
          <w:tcPr>
            <w:tcW w:w="2250" w:type="dxa"/>
            <w:shd w:val="clear" w:color="auto" w:fill="D9D9D9" w:themeFill="background1" w:themeFillShade="D9"/>
            <w:tcMar>
              <w:top w:w="43" w:type="dxa"/>
              <w:left w:w="115" w:type="dxa"/>
              <w:bottom w:w="43" w:type="dxa"/>
              <w:right w:w="115" w:type="dxa"/>
            </w:tcMar>
            <w:vAlign w:val="center"/>
            <w:hideMark/>
          </w:tcPr>
          <w:p w14:paraId="7F4135DA" w14:textId="77777777"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Student Group</w:t>
            </w:r>
          </w:p>
        </w:tc>
        <w:tc>
          <w:tcPr>
            <w:tcW w:w="1710" w:type="dxa"/>
            <w:shd w:val="clear" w:color="auto" w:fill="D9D9D9" w:themeFill="background1" w:themeFillShade="D9"/>
            <w:tcMar>
              <w:top w:w="43" w:type="dxa"/>
              <w:left w:w="115" w:type="dxa"/>
              <w:bottom w:w="43" w:type="dxa"/>
              <w:right w:w="115" w:type="dxa"/>
            </w:tcMar>
            <w:vAlign w:val="center"/>
            <w:hideMark/>
          </w:tcPr>
          <w:p w14:paraId="03BBDDB7" w14:textId="77777777"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Number of Students Assessed, 2022</w:t>
            </w:r>
          </w:p>
        </w:tc>
        <w:tc>
          <w:tcPr>
            <w:tcW w:w="1800" w:type="dxa"/>
            <w:shd w:val="clear" w:color="auto" w:fill="D9D9D9" w:themeFill="background1" w:themeFillShade="D9"/>
            <w:tcMar>
              <w:top w:w="43" w:type="dxa"/>
              <w:left w:w="115" w:type="dxa"/>
              <w:bottom w:w="43" w:type="dxa"/>
              <w:right w:w="115" w:type="dxa"/>
            </w:tcMar>
            <w:vAlign w:val="center"/>
            <w:hideMark/>
          </w:tcPr>
          <w:p w14:paraId="59357026" w14:textId="1B848F98"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Number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2022</w:t>
            </w:r>
          </w:p>
        </w:tc>
        <w:tc>
          <w:tcPr>
            <w:tcW w:w="1710" w:type="dxa"/>
            <w:shd w:val="clear" w:color="auto" w:fill="D9D9D9" w:themeFill="background1" w:themeFillShade="D9"/>
            <w:tcMar>
              <w:top w:w="43" w:type="dxa"/>
              <w:left w:w="115" w:type="dxa"/>
              <w:bottom w:w="43" w:type="dxa"/>
              <w:right w:w="115" w:type="dxa"/>
            </w:tcMar>
            <w:vAlign w:val="center"/>
            <w:hideMark/>
          </w:tcPr>
          <w:p w14:paraId="721C4442" w14:textId="6463BC1E"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Percentage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2022</w:t>
            </w:r>
          </w:p>
        </w:tc>
        <w:tc>
          <w:tcPr>
            <w:tcW w:w="2430" w:type="dxa"/>
            <w:shd w:val="clear" w:color="auto" w:fill="D9D9D9" w:themeFill="background1" w:themeFillShade="D9"/>
            <w:tcMar>
              <w:top w:w="43" w:type="dxa"/>
              <w:left w:w="115" w:type="dxa"/>
              <w:bottom w:w="43" w:type="dxa"/>
              <w:right w:w="115" w:type="dxa"/>
            </w:tcMar>
            <w:vAlign w:val="center"/>
            <w:hideMark/>
          </w:tcPr>
          <w:p w14:paraId="41738BBE" w14:textId="1AA4BA4E"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Number of Students Assessed, 2023 (estimate based on enrollment in grades 5, 8, and </w:t>
            </w:r>
            <w:r w:rsidR="00262167" w:rsidRPr="006C52F8">
              <w:rPr>
                <w:rFonts w:ascii="Arial" w:hAnsi="Arial" w:cs="Arial"/>
                <w:b/>
                <w:bCs/>
                <w:color w:val="000000" w:themeColor="text1"/>
              </w:rPr>
              <w:t>high s</w:t>
            </w:r>
            <w:r w:rsidR="00A30C0D" w:rsidRPr="006C52F8">
              <w:rPr>
                <w:rFonts w:ascii="Arial" w:hAnsi="Arial" w:cs="Arial"/>
                <w:b/>
                <w:bCs/>
                <w:color w:val="000000" w:themeColor="text1"/>
              </w:rPr>
              <w:t>chool</w:t>
            </w:r>
            <w:r w:rsidRPr="006C52F8">
              <w:rPr>
                <w:rFonts w:ascii="Arial" w:hAnsi="Arial" w:cs="Arial"/>
                <w:b/>
                <w:bCs/>
                <w:color w:val="000000" w:themeColor="text1"/>
              </w:rPr>
              <w:t>)</w:t>
            </w:r>
          </w:p>
        </w:tc>
        <w:tc>
          <w:tcPr>
            <w:tcW w:w="2340" w:type="dxa"/>
            <w:shd w:val="clear" w:color="auto" w:fill="D9D9D9" w:themeFill="background1" w:themeFillShade="D9"/>
            <w:tcMar>
              <w:top w:w="43" w:type="dxa"/>
              <w:left w:w="115" w:type="dxa"/>
              <w:bottom w:w="43" w:type="dxa"/>
              <w:right w:w="115" w:type="dxa"/>
            </w:tcMar>
            <w:vAlign w:val="center"/>
            <w:hideMark/>
          </w:tcPr>
          <w:p w14:paraId="08C4C3EE" w14:textId="4129D893" w:rsidR="00B355C5" w:rsidRPr="006C52F8" w:rsidRDefault="00B355C5" w:rsidP="0B71D082">
            <w:pPr>
              <w:jc w:val="center"/>
              <w:rPr>
                <w:rFonts w:ascii="Arial" w:eastAsia="Arial" w:hAnsi="Arial" w:cs="Arial"/>
              </w:rPr>
            </w:pPr>
            <w:r w:rsidRPr="006C52F8">
              <w:rPr>
                <w:rFonts w:ascii="Arial" w:hAnsi="Arial" w:cs="Arial"/>
                <w:b/>
                <w:bCs/>
                <w:color w:val="000000" w:themeColor="text1"/>
              </w:rPr>
              <w:t xml:space="preserve">Number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2023 </w:t>
            </w:r>
            <w:r w:rsidR="0B71D082" w:rsidRPr="006C52F8">
              <w:rPr>
                <w:rFonts w:ascii="Arial" w:hAnsi="Arial" w:cs="Arial"/>
                <w:b/>
                <w:bCs/>
                <w:color w:val="000000" w:themeColor="text1"/>
              </w:rPr>
              <w:t>(estimate based on 2022 test registration)</w:t>
            </w:r>
          </w:p>
        </w:tc>
        <w:tc>
          <w:tcPr>
            <w:tcW w:w="1980" w:type="dxa"/>
            <w:shd w:val="clear" w:color="auto" w:fill="D9D9D9" w:themeFill="background1" w:themeFillShade="D9"/>
            <w:tcMar>
              <w:top w:w="43" w:type="dxa"/>
              <w:left w:w="115" w:type="dxa"/>
              <w:bottom w:w="43" w:type="dxa"/>
              <w:right w:w="115" w:type="dxa"/>
            </w:tcMar>
            <w:vAlign w:val="center"/>
            <w:hideMark/>
          </w:tcPr>
          <w:p w14:paraId="7F9D3502" w14:textId="5AA58F41" w:rsidR="00B355C5" w:rsidRPr="006C52F8" w:rsidRDefault="00B355C5" w:rsidP="50D9BCFB">
            <w:pPr>
              <w:jc w:val="center"/>
              <w:rPr>
                <w:rFonts w:ascii="Arial" w:hAnsi="Arial" w:cs="Arial"/>
                <w:b/>
                <w:bCs/>
                <w:color w:val="000000"/>
              </w:rPr>
            </w:pPr>
            <w:r w:rsidRPr="006C52F8">
              <w:rPr>
                <w:rFonts w:ascii="Arial" w:hAnsi="Arial" w:cs="Arial"/>
                <w:b/>
                <w:bCs/>
                <w:color w:val="000000" w:themeColor="text1"/>
              </w:rPr>
              <w:t xml:space="preserve">Percentage of </w:t>
            </w:r>
            <w:r w:rsidR="00C66BB4" w:rsidRPr="006C52F8">
              <w:rPr>
                <w:rFonts w:ascii="Arial" w:hAnsi="Arial" w:cs="Arial"/>
                <w:b/>
                <w:bCs/>
                <w:color w:val="000000" w:themeColor="text1"/>
              </w:rPr>
              <w:t xml:space="preserve">Eligible </w:t>
            </w:r>
            <w:r w:rsidRPr="006C52F8">
              <w:rPr>
                <w:rFonts w:ascii="Arial" w:hAnsi="Arial" w:cs="Arial"/>
                <w:b/>
                <w:bCs/>
                <w:color w:val="000000" w:themeColor="text1"/>
              </w:rPr>
              <w:t xml:space="preserve">Students Assessed with </w:t>
            </w:r>
            <w:r w:rsidRPr="006C52F8">
              <w:rPr>
                <w:rFonts w:ascii="Arial" w:eastAsia="Calibri" w:hAnsi="Arial" w:cs="Arial"/>
                <w:b/>
                <w:bCs/>
              </w:rPr>
              <w:t>CAA,</w:t>
            </w:r>
            <w:r w:rsidRPr="006C52F8">
              <w:rPr>
                <w:rFonts w:ascii="Arial" w:hAnsi="Arial" w:cs="Arial"/>
                <w:b/>
                <w:bCs/>
                <w:color w:val="000000" w:themeColor="text1"/>
              </w:rPr>
              <w:t xml:space="preserve"> 2023 (estimate)</w:t>
            </w:r>
          </w:p>
        </w:tc>
      </w:tr>
      <w:tr w:rsidR="00453C76" w:rsidRPr="006C52F8" w14:paraId="2E8B2743" w14:textId="77777777" w:rsidTr="005B0A9D">
        <w:trPr>
          <w:trHeight w:val="320"/>
        </w:trPr>
        <w:tc>
          <w:tcPr>
            <w:tcW w:w="2250" w:type="dxa"/>
            <w:noWrap/>
            <w:tcMar>
              <w:top w:w="43" w:type="dxa"/>
              <w:left w:w="115" w:type="dxa"/>
              <w:bottom w:w="43" w:type="dxa"/>
              <w:right w:w="115" w:type="dxa"/>
            </w:tcMar>
            <w:hideMark/>
          </w:tcPr>
          <w:p w14:paraId="35AEB747" w14:textId="77777777" w:rsidR="00453C76" w:rsidRPr="006C52F8" w:rsidRDefault="00453C76" w:rsidP="00453C76">
            <w:pPr>
              <w:rPr>
                <w:rFonts w:ascii="Arial" w:hAnsi="Arial" w:cs="Arial"/>
                <w:color w:val="000000"/>
              </w:rPr>
            </w:pPr>
            <w:r w:rsidRPr="006C52F8">
              <w:rPr>
                <w:rFonts w:ascii="Arial" w:hAnsi="Arial" w:cs="Arial"/>
                <w:color w:val="000000"/>
              </w:rPr>
              <w:t>All Students</w:t>
            </w:r>
          </w:p>
        </w:tc>
        <w:tc>
          <w:tcPr>
            <w:tcW w:w="1710" w:type="dxa"/>
            <w:noWrap/>
            <w:tcMar>
              <w:top w:w="43" w:type="dxa"/>
              <w:left w:w="115" w:type="dxa"/>
              <w:bottom w:w="43" w:type="dxa"/>
              <w:right w:w="115" w:type="dxa"/>
            </w:tcMar>
            <w:vAlign w:val="bottom"/>
            <w:hideMark/>
          </w:tcPr>
          <w:p w14:paraId="0AB9F45D" w14:textId="2E17F139" w:rsidR="00453C76" w:rsidRPr="006C52F8" w:rsidRDefault="00453C76" w:rsidP="00453C76">
            <w:pPr>
              <w:jc w:val="right"/>
              <w:rPr>
                <w:rFonts w:ascii="Arial" w:hAnsi="Arial" w:cs="Arial"/>
                <w:color w:val="000000"/>
              </w:rPr>
            </w:pPr>
            <w:r w:rsidRPr="006C52F8">
              <w:rPr>
                <w:rFonts w:ascii="Arial" w:hAnsi="Arial" w:cs="Arial"/>
                <w:color w:val="000000"/>
              </w:rPr>
              <w:t>1,515,503</w:t>
            </w:r>
          </w:p>
        </w:tc>
        <w:tc>
          <w:tcPr>
            <w:tcW w:w="1800" w:type="dxa"/>
            <w:noWrap/>
            <w:tcMar>
              <w:top w:w="43" w:type="dxa"/>
              <w:left w:w="115" w:type="dxa"/>
              <w:bottom w:w="43" w:type="dxa"/>
              <w:right w:w="115" w:type="dxa"/>
            </w:tcMar>
            <w:vAlign w:val="bottom"/>
            <w:hideMark/>
          </w:tcPr>
          <w:p w14:paraId="1AE057E6" w14:textId="4A8B3433" w:rsidR="00453C76" w:rsidRPr="006C52F8" w:rsidRDefault="00453C76" w:rsidP="00453C76">
            <w:pPr>
              <w:jc w:val="right"/>
              <w:rPr>
                <w:rFonts w:ascii="Arial" w:hAnsi="Arial" w:cs="Arial"/>
                <w:color w:val="000000"/>
              </w:rPr>
            </w:pPr>
            <w:r w:rsidRPr="006C52F8">
              <w:rPr>
                <w:rFonts w:ascii="Arial" w:hAnsi="Arial" w:cs="Arial"/>
                <w:color w:val="000000"/>
              </w:rPr>
              <w:t>14,572</w:t>
            </w:r>
          </w:p>
        </w:tc>
        <w:tc>
          <w:tcPr>
            <w:tcW w:w="1710" w:type="dxa"/>
            <w:noWrap/>
            <w:tcMar>
              <w:top w:w="43" w:type="dxa"/>
              <w:left w:w="115" w:type="dxa"/>
              <w:bottom w:w="43" w:type="dxa"/>
              <w:right w:w="115" w:type="dxa"/>
            </w:tcMar>
            <w:vAlign w:val="bottom"/>
            <w:hideMark/>
          </w:tcPr>
          <w:p w14:paraId="2B98CA4E" w14:textId="16F30AAC" w:rsidR="00453C76" w:rsidRPr="006C52F8" w:rsidRDefault="00453C76" w:rsidP="00453C76">
            <w:pPr>
              <w:jc w:val="right"/>
              <w:rPr>
                <w:rFonts w:ascii="Arial" w:hAnsi="Arial" w:cs="Arial"/>
                <w:color w:val="000000"/>
              </w:rPr>
            </w:pPr>
            <w:r w:rsidRPr="006C52F8">
              <w:rPr>
                <w:rFonts w:ascii="Arial" w:hAnsi="Arial" w:cs="Arial"/>
                <w:color w:val="000000"/>
              </w:rPr>
              <w:t>1.0%</w:t>
            </w:r>
          </w:p>
        </w:tc>
        <w:tc>
          <w:tcPr>
            <w:tcW w:w="2430" w:type="dxa"/>
            <w:noWrap/>
            <w:tcMar>
              <w:top w:w="43" w:type="dxa"/>
              <w:left w:w="115" w:type="dxa"/>
              <w:bottom w:w="43" w:type="dxa"/>
              <w:right w:w="115" w:type="dxa"/>
            </w:tcMar>
            <w:vAlign w:val="bottom"/>
            <w:hideMark/>
          </w:tcPr>
          <w:p w14:paraId="1F95CB35" w14:textId="61F18C42"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50A184EC" w14:textId="0349D4EA" w:rsidR="00453C76" w:rsidRPr="006C52F8" w:rsidRDefault="00453C76" w:rsidP="00453C76">
            <w:pPr>
              <w:jc w:val="right"/>
              <w:rPr>
                <w:rFonts w:ascii="Arial" w:hAnsi="Arial" w:cs="Arial"/>
                <w:color w:val="000000"/>
              </w:rPr>
            </w:pPr>
            <w:r w:rsidRPr="006C52F8">
              <w:rPr>
                <w:rFonts w:ascii="Arial" w:hAnsi="Arial" w:cs="Arial"/>
                <w:color w:val="000000"/>
              </w:rPr>
              <w:t>20,142</w:t>
            </w:r>
          </w:p>
        </w:tc>
        <w:tc>
          <w:tcPr>
            <w:tcW w:w="1980" w:type="dxa"/>
            <w:noWrap/>
            <w:tcMar>
              <w:top w:w="43" w:type="dxa"/>
              <w:left w:w="115" w:type="dxa"/>
              <w:bottom w:w="43" w:type="dxa"/>
              <w:right w:w="115" w:type="dxa"/>
            </w:tcMar>
            <w:vAlign w:val="bottom"/>
            <w:hideMark/>
          </w:tcPr>
          <w:p w14:paraId="5F753550" w14:textId="01D314D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48AC0305" w14:textId="77777777" w:rsidTr="005B0A9D">
        <w:trPr>
          <w:trHeight w:val="320"/>
        </w:trPr>
        <w:tc>
          <w:tcPr>
            <w:tcW w:w="2250" w:type="dxa"/>
            <w:noWrap/>
            <w:tcMar>
              <w:top w:w="43" w:type="dxa"/>
              <w:left w:w="115" w:type="dxa"/>
              <w:bottom w:w="43" w:type="dxa"/>
              <w:right w:w="115" w:type="dxa"/>
            </w:tcMar>
            <w:hideMark/>
          </w:tcPr>
          <w:p w14:paraId="2B6E1014" w14:textId="77777777" w:rsidR="00453C76" w:rsidRPr="006C52F8" w:rsidRDefault="00453C76" w:rsidP="00453C76">
            <w:pPr>
              <w:rPr>
                <w:rFonts w:ascii="Arial" w:hAnsi="Arial" w:cs="Arial"/>
                <w:color w:val="000000"/>
              </w:rPr>
            </w:pPr>
            <w:r w:rsidRPr="006C52F8">
              <w:rPr>
                <w:rFonts w:ascii="Arial" w:hAnsi="Arial" w:cs="Arial"/>
                <w:color w:val="000000"/>
              </w:rPr>
              <w:t>Females</w:t>
            </w:r>
          </w:p>
        </w:tc>
        <w:tc>
          <w:tcPr>
            <w:tcW w:w="1710" w:type="dxa"/>
            <w:noWrap/>
            <w:tcMar>
              <w:top w:w="43" w:type="dxa"/>
              <w:left w:w="115" w:type="dxa"/>
              <w:bottom w:w="43" w:type="dxa"/>
              <w:right w:w="115" w:type="dxa"/>
            </w:tcMar>
            <w:vAlign w:val="bottom"/>
            <w:hideMark/>
          </w:tcPr>
          <w:p w14:paraId="386BA7D5" w14:textId="1BB4ABBC" w:rsidR="00453C76" w:rsidRPr="006C52F8" w:rsidRDefault="00453C76" w:rsidP="00453C76">
            <w:pPr>
              <w:jc w:val="right"/>
              <w:rPr>
                <w:rFonts w:ascii="Arial" w:hAnsi="Arial" w:cs="Arial"/>
                <w:color w:val="000000"/>
              </w:rPr>
            </w:pPr>
            <w:r w:rsidRPr="006C52F8">
              <w:rPr>
                <w:rFonts w:ascii="Arial" w:hAnsi="Arial" w:cs="Arial"/>
                <w:color w:val="000000"/>
              </w:rPr>
              <w:t>736,857</w:t>
            </w:r>
          </w:p>
        </w:tc>
        <w:tc>
          <w:tcPr>
            <w:tcW w:w="1800" w:type="dxa"/>
            <w:noWrap/>
            <w:tcMar>
              <w:top w:w="43" w:type="dxa"/>
              <w:left w:w="115" w:type="dxa"/>
              <w:bottom w:w="43" w:type="dxa"/>
              <w:right w:w="115" w:type="dxa"/>
            </w:tcMar>
            <w:vAlign w:val="bottom"/>
            <w:hideMark/>
          </w:tcPr>
          <w:p w14:paraId="151264AF" w14:textId="435ED648" w:rsidR="00453C76" w:rsidRPr="006C52F8" w:rsidRDefault="00453C76" w:rsidP="00453C76">
            <w:pPr>
              <w:jc w:val="right"/>
              <w:rPr>
                <w:rFonts w:ascii="Arial" w:hAnsi="Arial" w:cs="Arial"/>
                <w:color w:val="000000"/>
              </w:rPr>
            </w:pPr>
            <w:r w:rsidRPr="006C52F8">
              <w:rPr>
                <w:rFonts w:ascii="Arial" w:hAnsi="Arial" w:cs="Arial"/>
                <w:color w:val="000000"/>
              </w:rPr>
              <w:t>4,783</w:t>
            </w:r>
          </w:p>
        </w:tc>
        <w:tc>
          <w:tcPr>
            <w:tcW w:w="1710" w:type="dxa"/>
            <w:noWrap/>
            <w:tcMar>
              <w:top w:w="43" w:type="dxa"/>
              <w:left w:w="115" w:type="dxa"/>
              <w:bottom w:w="43" w:type="dxa"/>
              <w:right w:w="115" w:type="dxa"/>
            </w:tcMar>
            <w:vAlign w:val="bottom"/>
            <w:hideMark/>
          </w:tcPr>
          <w:p w14:paraId="7DAD39EE" w14:textId="08020A3A" w:rsidR="00453C76" w:rsidRPr="006C52F8" w:rsidRDefault="00453C76" w:rsidP="00453C76">
            <w:pPr>
              <w:jc w:val="right"/>
              <w:rPr>
                <w:rFonts w:ascii="Arial" w:hAnsi="Arial" w:cs="Arial"/>
                <w:color w:val="000000"/>
              </w:rPr>
            </w:pPr>
            <w:r w:rsidRPr="006C52F8">
              <w:rPr>
                <w:rFonts w:ascii="Arial" w:hAnsi="Arial" w:cs="Arial"/>
                <w:color w:val="000000"/>
              </w:rPr>
              <w:t>0.6%</w:t>
            </w:r>
          </w:p>
        </w:tc>
        <w:tc>
          <w:tcPr>
            <w:tcW w:w="2430" w:type="dxa"/>
            <w:noWrap/>
            <w:tcMar>
              <w:top w:w="43" w:type="dxa"/>
              <w:left w:w="115" w:type="dxa"/>
              <w:bottom w:w="43" w:type="dxa"/>
              <w:right w:w="115" w:type="dxa"/>
            </w:tcMar>
            <w:vAlign w:val="bottom"/>
            <w:hideMark/>
          </w:tcPr>
          <w:p w14:paraId="79944DAD" w14:textId="19D39DCE"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4974ED8B" w14:textId="57269689" w:rsidR="00453C76" w:rsidRPr="006C52F8" w:rsidRDefault="00453C76" w:rsidP="00453C76">
            <w:pPr>
              <w:jc w:val="right"/>
              <w:rPr>
                <w:rFonts w:ascii="Arial" w:hAnsi="Arial" w:cs="Arial"/>
                <w:color w:val="000000"/>
              </w:rPr>
            </w:pPr>
            <w:r w:rsidRPr="006C52F8">
              <w:rPr>
                <w:rFonts w:ascii="Arial" w:hAnsi="Arial" w:cs="Arial"/>
                <w:color w:val="000000"/>
              </w:rPr>
              <w:t>6,616</w:t>
            </w:r>
          </w:p>
        </w:tc>
        <w:tc>
          <w:tcPr>
            <w:tcW w:w="1980" w:type="dxa"/>
            <w:noWrap/>
            <w:tcMar>
              <w:top w:w="43" w:type="dxa"/>
              <w:left w:w="115" w:type="dxa"/>
              <w:bottom w:w="43" w:type="dxa"/>
              <w:right w:w="115" w:type="dxa"/>
            </w:tcMar>
            <w:vAlign w:val="bottom"/>
            <w:hideMark/>
          </w:tcPr>
          <w:p w14:paraId="25C9C58A" w14:textId="168B7609"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4A968E42" w14:textId="77777777" w:rsidTr="005B0A9D">
        <w:trPr>
          <w:trHeight w:val="320"/>
        </w:trPr>
        <w:tc>
          <w:tcPr>
            <w:tcW w:w="2250" w:type="dxa"/>
            <w:noWrap/>
            <w:tcMar>
              <w:top w:w="43" w:type="dxa"/>
              <w:left w:w="115" w:type="dxa"/>
              <w:bottom w:w="43" w:type="dxa"/>
              <w:right w:w="115" w:type="dxa"/>
            </w:tcMar>
            <w:hideMark/>
          </w:tcPr>
          <w:p w14:paraId="09FCA006" w14:textId="77777777" w:rsidR="00453C76" w:rsidRPr="006C52F8" w:rsidRDefault="00453C76" w:rsidP="00453C76">
            <w:pPr>
              <w:rPr>
                <w:rFonts w:ascii="Arial" w:hAnsi="Arial" w:cs="Arial"/>
                <w:color w:val="000000"/>
              </w:rPr>
            </w:pPr>
            <w:r w:rsidRPr="006C52F8">
              <w:rPr>
                <w:rFonts w:ascii="Arial" w:hAnsi="Arial" w:cs="Arial"/>
                <w:color w:val="000000"/>
              </w:rPr>
              <w:t>Males</w:t>
            </w:r>
          </w:p>
        </w:tc>
        <w:tc>
          <w:tcPr>
            <w:tcW w:w="1710" w:type="dxa"/>
            <w:noWrap/>
            <w:tcMar>
              <w:top w:w="43" w:type="dxa"/>
              <w:left w:w="115" w:type="dxa"/>
              <w:bottom w:w="43" w:type="dxa"/>
              <w:right w:w="115" w:type="dxa"/>
            </w:tcMar>
            <w:vAlign w:val="bottom"/>
            <w:hideMark/>
          </w:tcPr>
          <w:p w14:paraId="3B93CB6A" w14:textId="602275E0" w:rsidR="00453C76" w:rsidRPr="006C52F8" w:rsidRDefault="00453C76" w:rsidP="00453C76">
            <w:pPr>
              <w:jc w:val="right"/>
              <w:rPr>
                <w:rFonts w:ascii="Arial" w:hAnsi="Arial" w:cs="Arial"/>
                <w:color w:val="000000"/>
              </w:rPr>
            </w:pPr>
            <w:r w:rsidRPr="006C52F8">
              <w:rPr>
                <w:rFonts w:ascii="Arial" w:hAnsi="Arial" w:cs="Arial"/>
                <w:color w:val="000000"/>
              </w:rPr>
              <w:t>777,569</w:t>
            </w:r>
          </w:p>
        </w:tc>
        <w:tc>
          <w:tcPr>
            <w:tcW w:w="1800" w:type="dxa"/>
            <w:noWrap/>
            <w:tcMar>
              <w:top w:w="43" w:type="dxa"/>
              <w:left w:w="115" w:type="dxa"/>
              <w:bottom w:w="43" w:type="dxa"/>
              <w:right w:w="115" w:type="dxa"/>
            </w:tcMar>
            <w:vAlign w:val="bottom"/>
            <w:hideMark/>
          </w:tcPr>
          <w:p w14:paraId="2FEF750E" w14:textId="15F503A3" w:rsidR="00453C76" w:rsidRPr="006C52F8" w:rsidRDefault="00453C76" w:rsidP="00453C76">
            <w:pPr>
              <w:jc w:val="right"/>
              <w:rPr>
                <w:rFonts w:ascii="Arial" w:hAnsi="Arial" w:cs="Arial"/>
                <w:color w:val="000000"/>
              </w:rPr>
            </w:pPr>
            <w:r w:rsidRPr="006C52F8">
              <w:rPr>
                <w:rFonts w:ascii="Arial" w:hAnsi="Arial" w:cs="Arial"/>
                <w:color w:val="000000"/>
              </w:rPr>
              <w:t>9,788</w:t>
            </w:r>
          </w:p>
        </w:tc>
        <w:tc>
          <w:tcPr>
            <w:tcW w:w="1710" w:type="dxa"/>
            <w:noWrap/>
            <w:tcMar>
              <w:top w:w="43" w:type="dxa"/>
              <w:left w:w="115" w:type="dxa"/>
              <w:bottom w:w="43" w:type="dxa"/>
              <w:right w:w="115" w:type="dxa"/>
            </w:tcMar>
            <w:vAlign w:val="bottom"/>
            <w:hideMark/>
          </w:tcPr>
          <w:p w14:paraId="106A61DF" w14:textId="59DD3D3F" w:rsidR="00453C76" w:rsidRPr="006C52F8" w:rsidRDefault="00453C76" w:rsidP="00453C76">
            <w:pPr>
              <w:jc w:val="right"/>
              <w:rPr>
                <w:rFonts w:ascii="Arial" w:hAnsi="Arial" w:cs="Arial"/>
                <w:color w:val="000000"/>
              </w:rPr>
            </w:pPr>
            <w:r w:rsidRPr="006C52F8">
              <w:rPr>
                <w:rFonts w:ascii="Arial" w:hAnsi="Arial" w:cs="Arial"/>
                <w:color w:val="000000"/>
              </w:rPr>
              <w:t>1.3%</w:t>
            </w:r>
          </w:p>
        </w:tc>
        <w:tc>
          <w:tcPr>
            <w:tcW w:w="2430" w:type="dxa"/>
            <w:noWrap/>
            <w:tcMar>
              <w:top w:w="43" w:type="dxa"/>
              <w:left w:w="115" w:type="dxa"/>
              <w:bottom w:w="43" w:type="dxa"/>
              <w:right w:w="115" w:type="dxa"/>
            </w:tcMar>
            <w:vAlign w:val="bottom"/>
            <w:hideMark/>
          </w:tcPr>
          <w:p w14:paraId="5C395BF0" w14:textId="7F3BE413"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1F88DB4F" w14:textId="4194143D" w:rsidR="00453C76" w:rsidRPr="006C52F8" w:rsidRDefault="00453C76" w:rsidP="00453C76">
            <w:pPr>
              <w:jc w:val="right"/>
              <w:rPr>
                <w:rFonts w:ascii="Arial" w:hAnsi="Arial" w:cs="Arial"/>
                <w:color w:val="000000"/>
              </w:rPr>
            </w:pPr>
            <w:r w:rsidRPr="006C52F8">
              <w:rPr>
                <w:rFonts w:ascii="Arial" w:hAnsi="Arial" w:cs="Arial"/>
                <w:color w:val="000000"/>
              </w:rPr>
              <w:t>13,524</w:t>
            </w:r>
          </w:p>
        </w:tc>
        <w:tc>
          <w:tcPr>
            <w:tcW w:w="1980" w:type="dxa"/>
            <w:noWrap/>
            <w:tcMar>
              <w:top w:w="43" w:type="dxa"/>
              <w:left w:w="115" w:type="dxa"/>
              <w:bottom w:w="43" w:type="dxa"/>
              <w:right w:w="115" w:type="dxa"/>
            </w:tcMar>
            <w:vAlign w:val="bottom"/>
            <w:hideMark/>
          </w:tcPr>
          <w:p w14:paraId="6052265C" w14:textId="01350FA6"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1E93C2B1" w14:textId="77777777" w:rsidTr="005B0A9D">
        <w:trPr>
          <w:trHeight w:val="320"/>
        </w:trPr>
        <w:tc>
          <w:tcPr>
            <w:tcW w:w="2250" w:type="dxa"/>
            <w:noWrap/>
            <w:tcMar>
              <w:top w:w="43" w:type="dxa"/>
              <w:left w:w="115" w:type="dxa"/>
              <w:bottom w:w="43" w:type="dxa"/>
              <w:right w:w="115" w:type="dxa"/>
            </w:tcMar>
            <w:hideMark/>
          </w:tcPr>
          <w:p w14:paraId="0CDC56F7" w14:textId="77777777" w:rsidR="00453C76" w:rsidRPr="006C52F8" w:rsidRDefault="00453C76" w:rsidP="00453C76">
            <w:pPr>
              <w:rPr>
                <w:rFonts w:ascii="Arial" w:hAnsi="Arial" w:cs="Arial"/>
                <w:color w:val="000000"/>
              </w:rPr>
            </w:pPr>
            <w:r w:rsidRPr="006C52F8">
              <w:rPr>
                <w:rFonts w:ascii="Arial" w:hAnsi="Arial" w:cs="Arial"/>
                <w:color w:val="000000"/>
              </w:rPr>
              <w:t>Black</w:t>
            </w:r>
          </w:p>
        </w:tc>
        <w:tc>
          <w:tcPr>
            <w:tcW w:w="1710" w:type="dxa"/>
            <w:noWrap/>
            <w:tcMar>
              <w:top w:w="43" w:type="dxa"/>
              <w:left w:w="115" w:type="dxa"/>
              <w:bottom w:w="43" w:type="dxa"/>
              <w:right w:w="115" w:type="dxa"/>
            </w:tcMar>
            <w:vAlign w:val="bottom"/>
            <w:hideMark/>
          </w:tcPr>
          <w:p w14:paraId="7C01052A" w14:textId="28AAFBDD" w:rsidR="00453C76" w:rsidRPr="006C52F8" w:rsidRDefault="00453C76" w:rsidP="00453C76">
            <w:pPr>
              <w:jc w:val="right"/>
              <w:rPr>
                <w:rFonts w:ascii="Arial" w:hAnsi="Arial" w:cs="Arial"/>
                <w:color w:val="000000"/>
              </w:rPr>
            </w:pPr>
            <w:r w:rsidRPr="006C52F8">
              <w:rPr>
                <w:rFonts w:ascii="Arial" w:hAnsi="Arial" w:cs="Arial"/>
                <w:color w:val="000000"/>
              </w:rPr>
              <w:t>75,282</w:t>
            </w:r>
          </w:p>
        </w:tc>
        <w:tc>
          <w:tcPr>
            <w:tcW w:w="1800" w:type="dxa"/>
            <w:noWrap/>
            <w:tcMar>
              <w:top w:w="43" w:type="dxa"/>
              <w:left w:w="115" w:type="dxa"/>
              <w:bottom w:w="43" w:type="dxa"/>
              <w:right w:w="115" w:type="dxa"/>
            </w:tcMar>
            <w:vAlign w:val="bottom"/>
            <w:hideMark/>
          </w:tcPr>
          <w:p w14:paraId="4E300861" w14:textId="3C1D088E" w:rsidR="00453C76" w:rsidRPr="006C52F8" w:rsidRDefault="00453C76" w:rsidP="00453C76">
            <w:pPr>
              <w:jc w:val="right"/>
              <w:rPr>
                <w:rFonts w:ascii="Arial" w:hAnsi="Arial" w:cs="Arial"/>
                <w:color w:val="000000"/>
              </w:rPr>
            </w:pPr>
            <w:r w:rsidRPr="006C52F8">
              <w:rPr>
                <w:rFonts w:ascii="Arial" w:hAnsi="Arial" w:cs="Arial"/>
                <w:color w:val="000000"/>
              </w:rPr>
              <w:t>1,057</w:t>
            </w:r>
          </w:p>
        </w:tc>
        <w:tc>
          <w:tcPr>
            <w:tcW w:w="1710" w:type="dxa"/>
            <w:noWrap/>
            <w:tcMar>
              <w:top w:w="43" w:type="dxa"/>
              <w:left w:w="115" w:type="dxa"/>
              <w:bottom w:w="43" w:type="dxa"/>
              <w:right w:w="115" w:type="dxa"/>
            </w:tcMar>
            <w:vAlign w:val="bottom"/>
            <w:hideMark/>
          </w:tcPr>
          <w:p w14:paraId="23BE4F46" w14:textId="22475ED2" w:rsidR="00453C76" w:rsidRPr="006C52F8" w:rsidRDefault="00453C76" w:rsidP="00453C76">
            <w:pPr>
              <w:jc w:val="right"/>
              <w:rPr>
                <w:rFonts w:ascii="Arial" w:hAnsi="Arial" w:cs="Arial"/>
                <w:color w:val="000000"/>
              </w:rPr>
            </w:pPr>
            <w:r w:rsidRPr="006C52F8">
              <w:rPr>
                <w:rFonts w:ascii="Arial" w:hAnsi="Arial" w:cs="Arial"/>
                <w:color w:val="000000"/>
              </w:rPr>
              <w:t>1.4%</w:t>
            </w:r>
          </w:p>
        </w:tc>
        <w:tc>
          <w:tcPr>
            <w:tcW w:w="2430" w:type="dxa"/>
            <w:noWrap/>
            <w:tcMar>
              <w:top w:w="43" w:type="dxa"/>
              <w:left w:w="115" w:type="dxa"/>
              <w:bottom w:w="43" w:type="dxa"/>
              <w:right w:w="115" w:type="dxa"/>
            </w:tcMar>
            <w:vAlign w:val="bottom"/>
            <w:hideMark/>
          </w:tcPr>
          <w:p w14:paraId="56F408B2" w14:textId="6BA6072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6AFE6D74" w14:textId="6EDA6D4B" w:rsidR="00453C76" w:rsidRPr="006C52F8" w:rsidRDefault="00453C76" w:rsidP="00453C76">
            <w:pPr>
              <w:jc w:val="right"/>
              <w:rPr>
                <w:rFonts w:ascii="Arial" w:hAnsi="Arial" w:cs="Arial"/>
                <w:color w:val="000000"/>
              </w:rPr>
            </w:pPr>
            <w:r w:rsidRPr="006C52F8">
              <w:rPr>
                <w:rFonts w:ascii="Arial" w:hAnsi="Arial" w:cs="Arial"/>
                <w:color w:val="000000"/>
              </w:rPr>
              <w:t>1,607</w:t>
            </w:r>
          </w:p>
        </w:tc>
        <w:tc>
          <w:tcPr>
            <w:tcW w:w="1980" w:type="dxa"/>
            <w:noWrap/>
            <w:tcMar>
              <w:top w:w="43" w:type="dxa"/>
              <w:left w:w="115" w:type="dxa"/>
              <w:bottom w:w="43" w:type="dxa"/>
              <w:right w:w="115" w:type="dxa"/>
            </w:tcMar>
            <w:vAlign w:val="bottom"/>
            <w:hideMark/>
          </w:tcPr>
          <w:p w14:paraId="3DB9DE59" w14:textId="0CC9A4F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0AF1287" w14:textId="77777777" w:rsidTr="005B0A9D">
        <w:trPr>
          <w:trHeight w:val="320"/>
        </w:trPr>
        <w:tc>
          <w:tcPr>
            <w:tcW w:w="2250" w:type="dxa"/>
            <w:noWrap/>
            <w:tcMar>
              <w:top w:w="43" w:type="dxa"/>
              <w:left w:w="115" w:type="dxa"/>
              <w:bottom w:w="43" w:type="dxa"/>
              <w:right w:w="115" w:type="dxa"/>
            </w:tcMar>
            <w:hideMark/>
          </w:tcPr>
          <w:p w14:paraId="25A0C948" w14:textId="77777777" w:rsidR="00453C76" w:rsidRPr="006C52F8" w:rsidRDefault="00453C76" w:rsidP="00453C76">
            <w:pPr>
              <w:rPr>
                <w:rFonts w:ascii="Arial" w:hAnsi="Arial" w:cs="Arial"/>
                <w:color w:val="000000"/>
              </w:rPr>
            </w:pPr>
            <w:r w:rsidRPr="006C52F8">
              <w:rPr>
                <w:rFonts w:ascii="Arial" w:hAnsi="Arial" w:cs="Arial"/>
                <w:color w:val="000000"/>
              </w:rPr>
              <w:t>Hispanic</w:t>
            </w:r>
          </w:p>
        </w:tc>
        <w:tc>
          <w:tcPr>
            <w:tcW w:w="1710" w:type="dxa"/>
            <w:noWrap/>
            <w:tcMar>
              <w:top w:w="43" w:type="dxa"/>
              <w:left w:w="115" w:type="dxa"/>
              <w:bottom w:w="43" w:type="dxa"/>
              <w:right w:w="115" w:type="dxa"/>
            </w:tcMar>
            <w:vAlign w:val="bottom"/>
            <w:hideMark/>
          </w:tcPr>
          <w:p w14:paraId="2456A5DA" w14:textId="49B827D1" w:rsidR="00453C76" w:rsidRPr="006C52F8" w:rsidRDefault="00453C76" w:rsidP="00453C76">
            <w:pPr>
              <w:jc w:val="right"/>
              <w:rPr>
                <w:rFonts w:ascii="Arial" w:hAnsi="Arial" w:cs="Arial"/>
                <w:color w:val="000000"/>
              </w:rPr>
            </w:pPr>
            <w:r w:rsidRPr="006C52F8">
              <w:rPr>
                <w:rFonts w:ascii="Arial" w:hAnsi="Arial" w:cs="Arial"/>
                <w:color w:val="000000"/>
              </w:rPr>
              <w:t>851,858</w:t>
            </w:r>
          </w:p>
        </w:tc>
        <w:tc>
          <w:tcPr>
            <w:tcW w:w="1800" w:type="dxa"/>
            <w:noWrap/>
            <w:tcMar>
              <w:top w:w="43" w:type="dxa"/>
              <w:left w:w="115" w:type="dxa"/>
              <w:bottom w:w="43" w:type="dxa"/>
              <w:right w:w="115" w:type="dxa"/>
            </w:tcMar>
            <w:vAlign w:val="bottom"/>
            <w:hideMark/>
          </w:tcPr>
          <w:p w14:paraId="2B2555BE" w14:textId="7877E92E" w:rsidR="00453C76" w:rsidRPr="006C52F8" w:rsidRDefault="00453C76" w:rsidP="00453C76">
            <w:pPr>
              <w:jc w:val="right"/>
              <w:rPr>
                <w:rFonts w:ascii="Arial" w:hAnsi="Arial" w:cs="Arial"/>
                <w:color w:val="000000"/>
              </w:rPr>
            </w:pPr>
            <w:r w:rsidRPr="006C52F8">
              <w:rPr>
                <w:rFonts w:ascii="Arial" w:hAnsi="Arial" w:cs="Arial"/>
                <w:color w:val="000000"/>
              </w:rPr>
              <w:t>8,722</w:t>
            </w:r>
          </w:p>
        </w:tc>
        <w:tc>
          <w:tcPr>
            <w:tcW w:w="1710" w:type="dxa"/>
            <w:noWrap/>
            <w:tcMar>
              <w:top w:w="43" w:type="dxa"/>
              <w:left w:w="115" w:type="dxa"/>
              <w:bottom w:w="43" w:type="dxa"/>
              <w:right w:w="115" w:type="dxa"/>
            </w:tcMar>
            <w:vAlign w:val="bottom"/>
            <w:hideMark/>
          </w:tcPr>
          <w:p w14:paraId="525720AE" w14:textId="5AEDD66C" w:rsidR="00453C76" w:rsidRPr="006C52F8" w:rsidRDefault="00453C76" w:rsidP="00453C76">
            <w:pPr>
              <w:jc w:val="right"/>
              <w:rPr>
                <w:rFonts w:ascii="Arial" w:hAnsi="Arial" w:cs="Arial"/>
                <w:color w:val="000000"/>
              </w:rPr>
            </w:pPr>
            <w:r w:rsidRPr="006C52F8">
              <w:rPr>
                <w:rFonts w:ascii="Arial" w:hAnsi="Arial" w:cs="Arial"/>
                <w:color w:val="000000"/>
              </w:rPr>
              <w:t>1.0%</w:t>
            </w:r>
          </w:p>
        </w:tc>
        <w:tc>
          <w:tcPr>
            <w:tcW w:w="2430" w:type="dxa"/>
            <w:noWrap/>
            <w:tcMar>
              <w:top w:w="43" w:type="dxa"/>
              <w:left w:w="115" w:type="dxa"/>
              <w:bottom w:w="43" w:type="dxa"/>
              <w:right w:w="115" w:type="dxa"/>
            </w:tcMar>
            <w:vAlign w:val="bottom"/>
            <w:hideMark/>
          </w:tcPr>
          <w:p w14:paraId="738D9810" w14:textId="2ECABA7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1A0F8A63" w14:textId="2A7A10F5" w:rsidR="00453C76" w:rsidRPr="006C52F8" w:rsidRDefault="00453C76" w:rsidP="00453C76">
            <w:pPr>
              <w:jc w:val="right"/>
              <w:rPr>
                <w:rFonts w:ascii="Arial" w:hAnsi="Arial" w:cs="Arial"/>
                <w:color w:val="000000"/>
              </w:rPr>
            </w:pPr>
            <w:r w:rsidRPr="006C52F8">
              <w:rPr>
                <w:rFonts w:ascii="Arial" w:hAnsi="Arial" w:cs="Arial"/>
                <w:color w:val="000000"/>
              </w:rPr>
              <w:t>11,532</w:t>
            </w:r>
          </w:p>
        </w:tc>
        <w:tc>
          <w:tcPr>
            <w:tcW w:w="1980" w:type="dxa"/>
            <w:noWrap/>
            <w:tcMar>
              <w:top w:w="43" w:type="dxa"/>
              <w:left w:w="115" w:type="dxa"/>
              <w:bottom w:w="43" w:type="dxa"/>
              <w:right w:w="115" w:type="dxa"/>
            </w:tcMar>
            <w:vAlign w:val="bottom"/>
            <w:hideMark/>
          </w:tcPr>
          <w:p w14:paraId="613CB315" w14:textId="402EFA1F"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0ECC5B80" w14:textId="77777777" w:rsidTr="005B0A9D">
        <w:trPr>
          <w:trHeight w:val="320"/>
        </w:trPr>
        <w:tc>
          <w:tcPr>
            <w:tcW w:w="2250" w:type="dxa"/>
            <w:noWrap/>
            <w:tcMar>
              <w:top w:w="43" w:type="dxa"/>
              <w:left w:w="115" w:type="dxa"/>
              <w:bottom w:w="43" w:type="dxa"/>
              <w:right w:w="115" w:type="dxa"/>
            </w:tcMar>
            <w:hideMark/>
          </w:tcPr>
          <w:p w14:paraId="0766C673" w14:textId="77777777" w:rsidR="00453C76" w:rsidRPr="006C52F8" w:rsidRDefault="00453C76" w:rsidP="00453C76">
            <w:pPr>
              <w:rPr>
                <w:rFonts w:ascii="Arial" w:hAnsi="Arial" w:cs="Arial"/>
                <w:color w:val="000000"/>
              </w:rPr>
            </w:pPr>
            <w:r w:rsidRPr="006C52F8">
              <w:rPr>
                <w:rFonts w:ascii="Arial" w:hAnsi="Arial" w:cs="Arial"/>
                <w:color w:val="000000"/>
              </w:rPr>
              <w:t>Asian</w:t>
            </w:r>
          </w:p>
        </w:tc>
        <w:tc>
          <w:tcPr>
            <w:tcW w:w="1710" w:type="dxa"/>
            <w:noWrap/>
            <w:tcMar>
              <w:top w:w="43" w:type="dxa"/>
              <w:left w:w="115" w:type="dxa"/>
              <w:bottom w:w="43" w:type="dxa"/>
              <w:right w:w="115" w:type="dxa"/>
            </w:tcMar>
            <w:vAlign w:val="bottom"/>
            <w:hideMark/>
          </w:tcPr>
          <w:p w14:paraId="0CD7D191" w14:textId="6E22223B" w:rsidR="00453C76" w:rsidRPr="006C52F8" w:rsidRDefault="00453C76" w:rsidP="00453C76">
            <w:pPr>
              <w:jc w:val="right"/>
              <w:rPr>
                <w:rFonts w:ascii="Arial" w:hAnsi="Arial" w:cs="Arial"/>
                <w:color w:val="000000"/>
              </w:rPr>
            </w:pPr>
            <w:r w:rsidRPr="006C52F8">
              <w:rPr>
                <w:rFonts w:ascii="Arial" w:hAnsi="Arial" w:cs="Arial"/>
                <w:color w:val="000000"/>
              </w:rPr>
              <w:t>149,697</w:t>
            </w:r>
          </w:p>
        </w:tc>
        <w:tc>
          <w:tcPr>
            <w:tcW w:w="1800" w:type="dxa"/>
            <w:noWrap/>
            <w:tcMar>
              <w:top w:w="43" w:type="dxa"/>
              <w:left w:w="115" w:type="dxa"/>
              <w:bottom w:w="43" w:type="dxa"/>
              <w:right w:w="115" w:type="dxa"/>
            </w:tcMar>
            <w:vAlign w:val="bottom"/>
            <w:hideMark/>
          </w:tcPr>
          <w:p w14:paraId="4E8F6C76" w14:textId="361F376B" w:rsidR="00453C76" w:rsidRPr="006C52F8" w:rsidRDefault="00453C76" w:rsidP="00453C76">
            <w:pPr>
              <w:jc w:val="right"/>
              <w:rPr>
                <w:rFonts w:ascii="Arial" w:hAnsi="Arial" w:cs="Arial"/>
                <w:color w:val="000000"/>
              </w:rPr>
            </w:pPr>
            <w:r w:rsidRPr="006C52F8">
              <w:rPr>
                <w:rFonts w:ascii="Arial" w:hAnsi="Arial" w:cs="Arial"/>
                <w:color w:val="000000"/>
              </w:rPr>
              <w:t>1,123</w:t>
            </w:r>
          </w:p>
        </w:tc>
        <w:tc>
          <w:tcPr>
            <w:tcW w:w="1710" w:type="dxa"/>
            <w:noWrap/>
            <w:tcMar>
              <w:top w:w="43" w:type="dxa"/>
              <w:left w:w="115" w:type="dxa"/>
              <w:bottom w:w="43" w:type="dxa"/>
              <w:right w:w="115" w:type="dxa"/>
            </w:tcMar>
            <w:vAlign w:val="bottom"/>
            <w:hideMark/>
          </w:tcPr>
          <w:p w14:paraId="6F40BAF7" w14:textId="4D13B18B" w:rsidR="00453C76" w:rsidRPr="006C52F8" w:rsidRDefault="00453C76" w:rsidP="00453C76">
            <w:pPr>
              <w:jc w:val="right"/>
              <w:rPr>
                <w:rFonts w:ascii="Arial" w:hAnsi="Arial" w:cs="Arial"/>
                <w:color w:val="000000"/>
              </w:rPr>
            </w:pPr>
            <w:r w:rsidRPr="006C52F8">
              <w:rPr>
                <w:rFonts w:ascii="Arial" w:hAnsi="Arial" w:cs="Arial"/>
                <w:color w:val="000000"/>
              </w:rPr>
              <w:t>0.8%</w:t>
            </w:r>
          </w:p>
        </w:tc>
        <w:tc>
          <w:tcPr>
            <w:tcW w:w="2430" w:type="dxa"/>
            <w:noWrap/>
            <w:tcMar>
              <w:top w:w="43" w:type="dxa"/>
              <w:left w:w="115" w:type="dxa"/>
              <w:bottom w:w="43" w:type="dxa"/>
              <w:right w:w="115" w:type="dxa"/>
            </w:tcMar>
            <w:vAlign w:val="bottom"/>
            <w:hideMark/>
          </w:tcPr>
          <w:p w14:paraId="2151763E" w14:textId="653E58BE"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4D31DA33" w14:textId="3D608539" w:rsidR="00453C76" w:rsidRPr="006C52F8" w:rsidRDefault="00453C76" w:rsidP="00453C76">
            <w:pPr>
              <w:jc w:val="right"/>
              <w:rPr>
                <w:rFonts w:ascii="Arial" w:hAnsi="Arial" w:cs="Arial"/>
                <w:color w:val="000000"/>
              </w:rPr>
            </w:pPr>
            <w:r w:rsidRPr="006C52F8">
              <w:rPr>
                <w:rFonts w:ascii="Arial" w:hAnsi="Arial" w:cs="Arial"/>
                <w:color w:val="000000"/>
              </w:rPr>
              <w:t>1,644</w:t>
            </w:r>
          </w:p>
        </w:tc>
        <w:tc>
          <w:tcPr>
            <w:tcW w:w="1980" w:type="dxa"/>
            <w:noWrap/>
            <w:tcMar>
              <w:top w:w="43" w:type="dxa"/>
              <w:left w:w="115" w:type="dxa"/>
              <w:bottom w:w="43" w:type="dxa"/>
              <w:right w:w="115" w:type="dxa"/>
            </w:tcMar>
            <w:vAlign w:val="bottom"/>
            <w:hideMark/>
          </w:tcPr>
          <w:p w14:paraId="0C8CC0C7" w14:textId="4A169D23"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4D1A2EB0" w14:textId="77777777" w:rsidTr="005B0A9D">
        <w:trPr>
          <w:trHeight w:val="320"/>
        </w:trPr>
        <w:tc>
          <w:tcPr>
            <w:tcW w:w="2250" w:type="dxa"/>
            <w:noWrap/>
            <w:tcMar>
              <w:top w:w="43" w:type="dxa"/>
              <w:left w:w="115" w:type="dxa"/>
              <w:bottom w:w="43" w:type="dxa"/>
              <w:right w:w="115" w:type="dxa"/>
            </w:tcMar>
            <w:hideMark/>
          </w:tcPr>
          <w:p w14:paraId="50DF02BC" w14:textId="77777777" w:rsidR="00453C76" w:rsidRPr="006C52F8" w:rsidRDefault="00453C76" w:rsidP="00453C76">
            <w:pPr>
              <w:rPr>
                <w:rFonts w:ascii="Arial" w:hAnsi="Arial" w:cs="Arial"/>
                <w:color w:val="000000"/>
              </w:rPr>
            </w:pPr>
            <w:r w:rsidRPr="006C52F8">
              <w:rPr>
                <w:rFonts w:ascii="Arial" w:hAnsi="Arial" w:cs="Arial"/>
                <w:color w:val="000000"/>
              </w:rPr>
              <w:t>White</w:t>
            </w:r>
          </w:p>
        </w:tc>
        <w:tc>
          <w:tcPr>
            <w:tcW w:w="1710" w:type="dxa"/>
            <w:noWrap/>
            <w:tcMar>
              <w:top w:w="43" w:type="dxa"/>
              <w:left w:w="115" w:type="dxa"/>
              <w:bottom w:w="43" w:type="dxa"/>
              <w:right w:w="115" w:type="dxa"/>
            </w:tcMar>
            <w:vAlign w:val="bottom"/>
            <w:hideMark/>
          </w:tcPr>
          <w:p w14:paraId="1678B9D8" w14:textId="1618A3B7" w:rsidR="00453C76" w:rsidRPr="006C52F8" w:rsidRDefault="00453C76" w:rsidP="00453C76">
            <w:pPr>
              <w:jc w:val="right"/>
              <w:rPr>
                <w:rFonts w:ascii="Arial" w:hAnsi="Arial" w:cs="Arial"/>
                <w:color w:val="000000"/>
              </w:rPr>
            </w:pPr>
            <w:r w:rsidRPr="006C52F8">
              <w:rPr>
                <w:rFonts w:ascii="Arial" w:hAnsi="Arial" w:cs="Arial"/>
                <w:color w:val="000000"/>
              </w:rPr>
              <w:t>316,253</w:t>
            </w:r>
          </w:p>
        </w:tc>
        <w:tc>
          <w:tcPr>
            <w:tcW w:w="1800" w:type="dxa"/>
            <w:noWrap/>
            <w:tcMar>
              <w:top w:w="43" w:type="dxa"/>
              <w:left w:w="115" w:type="dxa"/>
              <w:bottom w:w="43" w:type="dxa"/>
              <w:right w:w="115" w:type="dxa"/>
            </w:tcMar>
            <w:vAlign w:val="bottom"/>
            <w:hideMark/>
          </w:tcPr>
          <w:p w14:paraId="307E5B40" w14:textId="156F56C6" w:rsidR="00453C76" w:rsidRPr="006C52F8" w:rsidRDefault="00453C76" w:rsidP="00453C76">
            <w:pPr>
              <w:jc w:val="right"/>
              <w:rPr>
                <w:rFonts w:ascii="Arial" w:hAnsi="Arial" w:cs="Arial"/>
                <w:color w:val="000000"/>
              </w:rPr>
            </w:pPr>
            <w:r w:rsidRPr="006C52F8">
              <w:rPr>
                <w:rFonts w:ascii="Arial" w:hAnsi="Arial" w:cs="Arial"/>
                <w:color w:val="000000"/>
              </w:rPr>
              <w:t>2,581</w:t>
            </w:r>
          </w:p>
        </w:tc>
        <w:tc>
          <w:tcPr>
            <w:tcW w:w="1710" w:type="dxa"/>
            <w:noWrap/>
            <w:tcMar>
              <w:top w:w="43" w:type="dxa"/>
              <w:left w:w="115" w:type="dxa"/>
              <w:bottom w:w="43" w:type="dxa"/>
              <w:right w:w="115" w:type="dxa"/>
            </w:tcMar>
            <w:vAlign w:val="bottom"/>
            <w:hideMark/>
          </w:tcPr>
          <w:p w14:paraId="7A7F8089" w14:textId="7338DF53" w:rsidR="00453C76" w:rsidRPr="006C52F8" w:rsidRDefault="00453C76" w:rsidP="00453C76">
            <w:pPr>
              <w:jc w:val="right"/>
              <w:rPr>
                <w:rFonts w:ascii="Arial" w:hAnsi="Arial" w:cs="Arial"/>
                <w:color w:val="000000"/>
              </w:rPr>
            </w:pPr>
            <w:r w:rsidRPr="006C52F8">
              <w:rPr>
                <w:rFonts w:ascii="Arial" w:hAnsi="Arial" w:cs="Arial"/>
                <w:color w:val="000000"/>
              </w:rPr>
              <w:t>0.8%</w:t>
            </w:r>
          </w:p>
        </w:tc>
        <w:tc>
          <w:tcPr>
            <w:tcW w:w="2430" w:type="dxa"/>
            <w:noWrap/>
            <w:tcMar>
              <w:top w:w="43" w:type="dxa"/>
              <w:left w:w="115" w:type="dxa"/>
              <w:bottom w:w="43" w:type="dxa"/>
              <w:right w:w="115" w:type="dxa"/>
            </w:tcMar>
            <w:vAlign w:val="bottom"/>
            <w:hideMark/>
          </w:tcPr>
          <w:p w14:paraId="08730341" w14:textId="609715CA"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3F509547" w14:textId="49D5CEC5" w:rsidR="00453C76" w:rsidRPr="006C52F8" w:rsidRDefault="00453C76" w:rsidP="00453C76">
            <w:pPr>
              <w:jc w:val="right"/>
              <w:rPr>
                <w:rFonts w:ascii="Arial" w:hAnsi="Arial" w:cs="Arial"/>
                <w:color w:val="000000"/>
              </w:rPr>
            </w:pPr>
            <w:r w:rsidRPr="006C52F8">
              <w:rPr>
                <w:rFonts w:ascii="Arial" w:hAnsi="Arial" w:cs="Arial"/>
                <w:color w:val="000000"/>
              </w:rPr>
              <w:t>3,778</w:t>
            </w:r>
          </w:p>
        </w:tc>
        <w:tc>
          <w:tcPr>
            <w:tcW w:w="1980" w:type="dxa"/>
            <w:noWrap/>
            <w:tcMar>
              <w:top w:w="43" w:type="dxa"/>
              <w:left w:w="115" w:type="dxa"/>
              <w:bottom w:w="43" w:type="dxa"/>
              <w:right w:w="115" w:type="dxa"/>
            </w:tcMar>
            <w:vAlign w:val="bottom"/>
            <w:hideMark/>
          </w:tcPr>
          <w:p w14:paraId="117B9545" w14:textId="6E06CA88"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511C84F5" w14:textId="77777777" w:rsidTr="005B0A9D">
        <w:trPr>
          <w:trHeight w:val="320"/>
        </w:trPr>
        <w:tc>
          <w:tcPr>
            <w:tcW w:w="2250" w:type="dxa"/>
            <w:noWrap/>
            <w:tcMar>
              <w:top w:w="43" w:type="dxa"/>
              <w:left w:w="115" w:type="dxa"/>
              <w:bottom w:w="43" w:type="dxa"/>
              <w:right w:w="115" w:type="dxa"/>
            </w:tcMar>
            <w:hideMark/>
          </w:tcPr>
          <w:p w14:paraId="007DFFBE" w14:textId="77777777" w:rsidR="00453C76" w:rsidRPr="006C52F8" w:rsidRDefault="00453C76" w:rsidP="00453C76">
            <w:pPr>
              <w:rPr>
                <w:rFonts w:ascii="Arial" w:hAnsi="Arial" w:cs="Arial"/>
                <w:color w:val="000000"/>
              </w:rPr>
            </w:pPr>
            <w:r w:rsidRPr="006C52F8">
              <w:rPr>
                <w:rFonts w:ascii="Arial" w:hAnsi="Arial" w:cs="Arial"/>
                <w:color w:val="000000"/>
              </w:rPr>
              <w:t>American Indian or Alaska Native</w:t>
            </w:r>
          </w:p>
        </w:tc>
        <w:tc>
          <w:tcPr>
            <w:tcW w:w="1710" w:type="dxa"/>
            <w:noWrap/>
            <w:tcMar>
              <w:top w:w="43" w:type="dxa"/>
              <w:left w:w="115" w:type="dxa"/>
              <w:bottom w:w="43" w:type="dxa"/>
              <w:right w:w="115" w:type="dxa"/>
            </w:tcMar>
            <w:vAlign w:val="bottom"/>
            <w:hideMark/>
          </w:tcPr>
          <w:p w14:paraId="7CC8BB6A" w14:textId="0B7C6743" w:rsidR="00453C76" w:rsidRPr="006C52F8" w:rsidRDefault="00453C76" w:rsidP="00453C76">
            <w:pPr>
              <w:jc w:val="right"/>
              <w:rPr>
                <w:rFonts w:ascii="Arial" w:hAnsi="Arial" w:cs="Arial"/>
                <w:color w:val="000000"/>
              </w:rPr>
            </w:pPr>
            <w:r w:rsidRPr="006C52F8">
              <w:rPr>
                <w:rFonts w:ascii="Arial" w:hAnsi="Arial" w:cs="Arial"/>
                <w:color w:val="000000"/>
              </w:rPr>
              <w:t>6,442</w:t>
            </w:r>
          </w:p>
        </w:tc>
        <w:tc>
          <w:tcPr>
            <w:tcW w:w="1800" w:type="dxa"/>
            <w:noWrap/>
            <w:tcMar>
              <w:top w:w="43" w:type="dxa"/>
              <w:left w:w="115" w:type="dxa"/>
              <w:bottom w:w="43" w:type="dxa"/>
              <w:right w:w="115" w:type="dxa"/>
            </w:tcMar>
            <w:vAlign w:val="bottom"/>
            <w:hideMark/>
          </w:tcPr>
          <w:p w14:paraId="3BCAD5D5" w14:textId="09B8BA24" w:rsidR="00453C76" w:rsidRPr="006C52F8" w:rsidRDefault="00453C76" w:rsidP="00453C76">
            <w:pPr>
              <w:jc w:val="right"/>
              <w:rPr>
                <w:rFonts w:ascii="Arial" w:hAnsi="Arial" w:cs="Arial"/>
                <w:color w:val="000000"/>
              </w:rPr>
            </w:pPr>
            <w:r w:rsidRPr="006C52F8">
              <w:rPr>
                <w:rFonts w:ascii="Arial" w:hAnsi="Arial" w:cs="Arial"/>
                <w:color w:val="000000"/>
              </w:rPr>
              <w:t>71</w:t>
            </w:r>
          </w:p>
        </w:tc>
        <w:tc>
          <w:tcPr>
            <w:tcW w:w="1710" w:type="dxa"/>
            <w:noWrap/>
            <w:tcMar>
              <w:top w:w="43" w:type="dxa"/>
              <w:left w:w="115" w:type="dxa"/>
              <w:bottom w:w="43" w:type="dxa"/>
              <w:right w:w="115" w:type="dxa"/>
            </w:tcMar>
            <w:vAlign w:val="bottom"/>
            <w:hideMark/>
          </w:tcPr>
          <w:p w14:paraId="6F7A2936" w14:textId="6C6C9B0E"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430" w:type="dxa"/>
            <w:noWrap/>
            <w:tcMar>
              <w:top w:w="43" w:type="dxa"/>
              <w:left w:w="115" w:type="dxa"/>
              <w:bottom w:w="43" w:type="dxa"/>
              <w:right w:w="115" w:type="dxa"/>
            </w:tcMar>
            <w:vAlign w:val="bottom"/>
            <w:hideMark/>
          </w:tcPr>
          <w:p w14:paraId="3C8BFED8" w14:textId="1594A38B"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61BC729E" w14:textId="453CA339" w:rsidR="00453C76" w:rsidRPr="006C52F8" w:rsidRDefault="00453C76" w:rsidP="00453C76">
            <w:pPr>
              <w:jc w:val="right"/>
              <w:rPr>
                <w:rFonts w:ascii="Arial" w:hAnsi="Arial" w:cs="Arial"/>
                <w:color w:val="000000"/>
              </w:rPr>
            </w:pPr>
            <w:r w:rsidRPr="006C52F8">
              <w:rPr>
                <w:rFonts w:ascii="Arial" w:hAnsi="Arial" w:cs="Arial"/>
                <w:color w:val="000000"/>
              </w:rPr>
              <w:t>100</w:t>
            </w:r>
          </w:p>
        </w:tc>
        <w:tc>
          <w:tcPr>
            <w:tcW w:w="1980" w:type="dxa"/>
            <w:noWrap/>
            <w:tcMar>
              <w:top w:w="43" w:type="dxa"/>
              <w:left w:w="115" w:type="dxa"/>
              <w:bottom w:w="43" w:type="dxa"/>
              <w:right w:w="115" w:type="dxa"/>
            </w:tcMar>
            <w:vAlign w:val="bottom"/>
            <w:hideMark/>
          </w:tcPr>
          <w:p w14:paraId="1586028C" w14:textId="3BBA250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375D947" w14:textId="77777777" w:rsidTr="005B0A9D">
        <w:trPr>
          <w:trHeight w:val="320"/>
        </w:trPr>
        <w:tc>
          <w:tcPr>
            <w:tcW w:w="2250" w:type="dxa"/>
            <w:noWrap/>
            <w:tcMar>
              <w:top w:w="43" w:type="dxa"/>
              <w:left w:w="115" w:type="dxa"/>
              <w:bottom w:w="43" w:type="dxa"/>
              <w:right w:w="115" w:type="dxa"/>
            </w:tcMar>
            <w:hideMark/>
          </w:tcPr>
          <w:p w14:paraId="4E258B83" w14:textId="77777777" w:rsidR="00453C76" w:rsidRPr="006C52F8" w:rsidRDefault="00453C76" w:rsidP="00453C76">
            <w:pPr>
              <w:rPr>
                <w:rFonts w:ascii="Arial" w:hAnsi="Arial" w:cs="Arial"/>
                <w:color w:val="000000"/>
              </w:rPr>
            </w:pPr>
            <w:r w:rsidRPr="006C52F8">
              <w:rPr>
                <w:rFonts w:ascii="Arial" w:hAnsi="Arial" w:cs="Arial"/>
                <w:color w:val="000000"/>
              </w:rPr>
              <w:t>Filipino</w:t>
            </w:r>
          </w:p>
        </w:tc>
        <w:tc>
          <w:tcPr>
            <w:tcW w:w="1710" w:type="dxa"/>
            <w:noWrap/>
            <w:tcMar>
              <w:top w:w="43" w:type="dxa"/>
              <w:left w:w="115" w:type="dxa"/>
              <w:bottom w:w="43" w:type="dxa"/>
              <w:right w:w="115" w:type="dxa"/>
            </w:tcMar>
            <w:vAlign w:val="bottom"/>
            <w:hideMark/>
          </w:tcPr>
          <w:p w14:paraId="1165F8A2" w14:textId="1DA08304" w:rsidR="00453C76" w:rsidRPr="006C52F8" w:rsidRDefault="00453C76" w:rsidP="00453C76">
            <w:pPr>
              <w:jc w:val="right"/>
              <w:rPr>
                <w:rFonts w:ascii="Arial" w:hAnsi="Arial" w:cs="Arial"/>
                <w:color w:val="000000"/>
              </w:rPr>
            </w:pPr>
            <w:r w:rsidRPr="006C52F8">
              <w:rPr>
                <w:rFonts w:ascii="Arial" w:hAnsi="Arial" w:cs="Arial"/>
                <w:color w:val="000000"/>
              </w:rPr>
              <w:t>39,035</w:t>
            </w:r>
          </w:p>
        </w:tc>
        <w:tc>
          <w:tcPr>
            <w:tcW w:w="1800" w:type="dxa"/>
            <w:noWrap/>
            <w:tcMar>
              <w:top w:w="43" w:type="dxa"/>
              <w:left w:w="115" w:type="dxa"/>
              <w:bottom w:w="43" w:type="dxa"/>
              <w:right w:w="115" w:type="dxa"/>
            </w:tcMar>
            <w:vAlign w:val="bottom"/>
            <w:hideMark/>
          </w:tcPr>
          <w:p w14:paraId="100022BD" w14:textId="69D709F3" w:rsidR="00453C76" w:rsidRPr="006C52F8" w:rsidRDefault="00453C76" w:rsidP="00453C76">
            <w:pPr>
              <w:jc w:val="right"/>
              <w:rPr>
                <w:rFonts w:ascii="Arial" w:hAnsi="Arial" w:cs="Arial"/>
                <w:color w:val="000000"/>
              </w:rPr>
            </w:pPr>
            <w:r w:rsidRPr="006C52F8">
              <w:rPr>
                <w:rFonts w:ascii="Arial" w:hAnsi="Arial" w:cs="Arial"/>
                <w:color w:val="000000"/>
              </w:rPr>
              <w:t>415</w:t>
            </w:r>
          </w:p>
        </w:tc>
        <w:tc>
          <w:tcPr>
            <w:tcW w:w="1710" w:type="dxa"/>
            <w:noWrap/>
            <w:tcMar>
              <w:top w:w="43" w:type="dxa"/>
              <w:left w:w="115" w:type="dxa"/>
              <w:bottom w:w="43" w:type="dxa"/>
              <w:right w:w="115" w:type="dxa"/>
            </w:tcMar>
            <w:vAlign w:val="bottom"/>
            <w:hideMark/>
          </w:tcPr>
          <w:p w14:paraId="704175DD" w14:textId="609DDDA5"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430" w:type="dxa"/>
            <w:noWrap/>
            <w:tcMar>
              <w:top w:w="43" w:type="dxa"/>
              <w:left w:w="115" w:type="dxa"/>
              <w:bottom w:w="43" w:type="dxa"/>
              <w:right w:w="115" w:type="dxa"/>
            </w:tcMar>
            <w:vAlign w:val="bottom"/>
            <w:hideMark/>
          </w:tcPr>
          <w:p w14:paraId="1A538AE3" w14:textId="6F2B40C1"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1203D3A6" w14:textId="5DFCACA8" w:rsidR="00453C76" w:rsidRPr="006C52F8" w:rsidRDefault="00453C76" w:rsidP="00453C76">
            <w:pPr>
              <w:jc w:val="right"/>
              <w:rPr>
                <w:rFonts w:ascii="Arial" w:hAnsi="Arial" w:cs="Arial"/>
                <w:color w:val="000000"/>
              </w:rPr>
            </w:pPr>
            <w:r w:rsidRPr="006C52F8">
              <w:rPr>
                <w:rFonts w:ascii="Arial" w:hAnsi="Arial" w:cs="Arial"/>
                <w:color w:val="000000"/>
              </w:rPr>
              <w:t>592</w:t>
            </w:r>
          </w:p>
        </w:tc>
        <w:tc>
          <w:tcPr>
            <w:tcW w:w="1980" w:type="dxa"/>
            <w:noWrap/>
            <w:tcMar>
              <w:top w:w="43" w:type="dxa"/>
              <w:left w:w="115" w:type="dxa"/>
              <w:bottom w:w="43" w:type="dxa"/>
              <w:right w:w="115" w:type="dxa"/>
            </w:tcMar>
            <w:vAlign w:val="bottom"/>
            <w:hideMark/>
          </w:tcPr>
          <w:p w14:paraId="37DB4F16" w14:textId="26DF1036"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2AEBD735" w14:textId="77777777" w:rsidTr="005B0A9D">
        <w:trPr>
          <w:trHeight w:val="320"/>
        </w:trPr>
        <w:tc>
          <w:tcPr>
            <w:tcW w:w="2250" w:type="dxa"/>
            <w:noWrap/>
            <w:tcMar>
              <w:top w:w="43" w:type="dxa"/>
              <w:left w:w="115" w:type="dxa"/>
              <w:bottom w:w="43" w:type="dxa"/>
              <w:right w:w="115" w:type="dxa"/>
            </w:tcMar>
            <w:hideMark/>
          </w:tcPr>
          <w:p w14:paraId="0B1D7447" w14:textId="77777777" w:rsidR="00453C76" w:rsidRPr="006C52F8" w:rsidRDefault="00453C76" w:rsidP="00453C76">
            <w:pPr>
              <w:rPr>
                <w:rFonts w:ascii="Arial" w:hAnsi="Arial" w:cs="Arial"/>
                <w:color w:val="000000"/>
              </w:rPr>
            </w:pPr>
            <w:r w:rsidRPr="006C52F8">
              <w:rPr>
                <w:rFonts w:ascii="Arial" w:hAnsi="Arial" w:cs="Arial"/>
                <w:color w:val="000000"/>
              </w:rPr>
              <w:t>Native Hawaiian or Pacific Islander</w:t>
            </w:r>
          </w:p>
        </w:tc>
        <w:tc>
          <w:tcPr>
            <w:tcW w:w="1710" w:type="dxa"/>
            <w:noWrap/>
            <w:tcMar>
              <w:top w:w="43" w:type="dxa"/>
              <w:left w:w="115" w:type="dxa"/>
              <w:bottom w:w="43" w:type="dxa"/>
              <w:right w:w="115" w:type="dxa"/>
            </w:tcMar>
            <w:vAlign w:val="bottom"/>
            <w:hideMark/>
          </w:tcPr>
          <w:p w14:paraId="04028876" w14:textId="576B2E91" w:rsidR="00453C76" w:rsidRPr="006C52F8" w:rsidRDefault="00453C76" w:rsidP="00453C76">
            <w:pPr>
              <w:jc w:val="right"/>
              <w:rPr>
                <w:rFonts w:ascii="Arial" w:hAnsi="Arial" w:cs="Arial"/>
                <w:color w:val="000000"/>
              </w:rPr>
            </w:pPr>
            <w:r w:rsidRPr="006C52F8">
              <w:rPr>
                <w:rFonts w:ascii="Arial" w:hAnsi="Arial" w:cs="Arial"/>
                <w:color w:val="000000"/>
              </w:rPr>
              <w:t>6,525</w:t>
            </w:r>
          </w:p>
        </w:tc>
        <w:tc>
          <w:tcPr>
            <w:tcW w:w="1800" w:type="dxa"/>
            <w:noWrap/>
            <w:tcMar>
              <w:top w:w="43" w:type="dxa"/>
              <w:left w:w="115" w:type="dxa"/>
              <w:bottom w:w="43" w:type="dxa"/>
              <w:right w:w="115" w:type="dxa"/>
            </w:tcMar>
            <w:vAlign w:val="bottom"/>
            <w:hideMark/>
          </w:tcPr>
          <w:p w14:paraId="7039C0F9" w14:textId="31E497AC" w:rsidR="00453C76" w:rsidRPr="006C52F8" w:rsidRDefault="00453C76" w:rsidP="00453C76">
            <w:pPr>
              <w:jc w:val="right"/>
              <w:rPr>
                <w:rFonts w:ascii="Arial" w:hAnsi="Arial" w:cs="Arial"/>
                <w:color w:val="000000"/>
              </w:rPr>
            </w:pPr>
            <w:r w:rsidRPr="006C52F8">
              <w:rPr>
                <w:rFonts w:ascii="Arial" w:hAnsi="Arial" w:cs="Arial"/>
                <w:color w:val="000000"/>
              </w:rPr>
              <w:t>69</w:t>
            </w:r>
          </w:p>
        </w:tc>
        <w:tc>
          <w:tcPr>
            <w:tcW w:w="1710" w:type="dxa"/>
            <w:noWrap/>
            <w:tcMar>
              <w:top w:w="43" w:type="dxa"/>
              <w:left w:w="115" w:type="dxa"/>
              <w:bottom w:w="43" w:type="dxa"/>
              <w:right w:w="115" w:type="dxa"/>
            </w:tcMar>
            <w:vAlign w:val="bottom"/>
            <w:hideMark/>
          </w:tcPr>
          <w:p w14:paraId="72AD13CE" w14:textId="4D8EE88C"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430" w:type="dxa"/>
            <w:noWrap/>
            <w:tcMar>
              <w:top w:w="43" w:type="dxa"/>
              <w:left w:w="115" w:type="dxa"/>
              <w:bottom w:w="43" w:type="dxa"/>
              <w:right w:w="115" w:type="dxa"/>
            </w:tcMar>
            <w:vAlign w:val="bottom"/>
            <w:hideMark/>
          </w:tcPr>
          <w:p w14:paraId="74DDAFB5" w14:textId="567DBF95"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77AAA5EA" w14:textId="4AE7ACA7" w:rsidR="00453C76" w:rsidRPr="006C52F8" w:rsidRDefault="00453C76" w:rsidP="00453C76">
            <w:pPr>
              <w:jc w:val="right"/>
              <w:rPr>
                <w:rFonts w:ascii="Arial" w:hAnsi="Arial" w:cs="Arial"/>
                <w:color w:val="000000"/>
              </w:rPr>
            </w:pPr>
            <w:r w:rsidRPr="006C52F8">
              <w:rPr>
                <w:rFonts w:ascii="Arial" w:hAnsi="Arial" w:cs="Arial"/>
                <w:color w:val="000000"/>
              </w:rPr>
              <w:t>84</w:t>
            </w:r>
          </w:p>
        </w:tc>
        <w:tc>
          <w:tcPr>
            <w:tcW w:w="1980" w:type="dxa"/>
            <w:noWrap/>
            <w:tcMar>
              <w:top w:w="43" w:type="dxa"/>
              <w:left w:w="115" w:type="dxa"/>
              <w:bottom w:w="43" w:type="dxa"/>
              <w:right w:w="115" w:type="dxa"/>
            </w:tcMar>
            <w:vAlign w:val="bottom"/>
            <w:hideMark/>
          </w:tcPr>
          <w:p w14:paraId="68AC0940" w14:textId="70CF7B78"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54F7387" w14:textId="77777777" w:rsidTr="005B0A9D">
        <w:trPr>
          <w:trHeight w:val="320"/>
        </w:trPr>
        <w:tc>
          <w:tcPr>
            <w:tcW w:w="2250" w:type="dxa"/>
            <w:noWrap/>
            <w:tcMar>
              <w:top w:w="43" w:type="dxa"/>
              <w:left w:w="115" w:type="dxa"/>
              <w:bottom w:w="43" w:type="dxa"/>
              <w:right w:w="115" w:type="dxa"/>
            </w:tcMar>
            <w:hideMark/>
          </w:tcPr>
          <w:p w14:paraId="34ABE8DE" w14:textId="77777777" w:rsidR="00453C76" w:rsidRPr="006C52F8" w:rsidRDefault="00453C76" w:rsidP="00453C76">
            <w:pPr>
              <w:rPr>
                <w:rFonts w:ascii="Arial" w:hAnsi="Arial" w:cs="Arial"/>
                <w:color w:val="000000"/>
              </w:rPr>
            </w:pPr>
            <w:r w:rsidRPr="006C52F8">
              <w:rPr>
                <w:rFonts w:ascii="Arial" w:hAnsi="Arial" w:cs="Arial"/>
                <w:color w:val="000000"/>
              </w:rPr>
              <w:t>Two or more races</w:t>
            </w:r>
          </w:p>
        </w:tc>
        <w:tc>
          <w:tcPr>
            <w:tcW w:w="1710" w:type="dxa"/>
            <w:noWrap/>
            <w:tcMar>
              <w:top w:w="43" w:type="dxa"/>
              <w:left w:w="115" w:type="dxa"/>
              <w:bottom w:w="43" w:type="dxa"/>
              <w:right w:w="115" w:type="dxa"/>
            </w:tcMar>
            <w:vAlign w:val="bottom"/>
            <w:hideMark/>
          </w:tcPr>
          <w:p w14:paraId="4211539B" w14:textId="7B0C8932" w:rsidR="00453C76" w:rsidRPr="006C52F8" w:rsidRDefault="00453C76" w:rsidP="00453C76">
            <w:pPr>
              <w:jc w:val="right"/>
              <w:rPr>
                <w:rFonts w:ascii="Arial" w:hAnsi="Arial" w:cs="Arial"/>
                <w:color w:val="000000"/>
              </w:rPr>
            </w:pPr>
            <w:r w:rsidRPr="006C52F8">
              <w:rPr>
                <w:rFonts w:ascii="Arial" w:hAnsi="Arial" w:cs="Arial"/>
                <w:color w:val="000000"/>
              </w:rPr>
              <w:t>57,851</w:t>
            </w:r>
          </w:p>
        </w:tc>
        <w:tc>
          <w:tcPr>
            <w:tcW w:w="1800" w:type="dxa"/>
            <w:noWrap/>
            <w:tcMar>
              <w:top w:w="43" w:type="dxa"/>
              <w:left w:w="115" w:type="dxa"/>
              <w:bottom w:w="43" w:type="dxa"/>
              <w:right w:w="115" w:type="dxa"/>
            </w:tcMar>
            <w:vAlign w:val="bottom"/>
            <w:hideMark/>
          </w:tcPr>
          <w:p w14:paraId="2DC13BAC" w14:textId="0FD8CEEF" w:rsidR="00453C76" w:rsidRPr="006C52F8" w:rsidRDefault="00453C76" w:rsidP="00453C76">
            <w:pPr>
              <w:jc w:val="right"/>
              <w:rPr>
                <w:rFonts w:ascii="Arial" w:hAnsi="Arial" w:cs="Arial"/>
                <w:color w:val="000000"/>
              </w:rPr>
            </w:pPr>
            <w:r w:rsidRPr="006C52F8">
              <w:rPr>
                <w:rFonts w:ascii="Arial" w:hAnsi="Arial" w:cs="Arial"/>
                <w:color w:val="000000"/>
              </w:rPr>
              <w:t>424</w:t>
            </w:r>
          </w:p>
        </w:tc>
        <w:tc>
          <w:tcPr>
            <w:tcW w:w="1710" w:type="dxa"/>
            <w:noWrap/>
            <w:tcMar>
              <w:top w:w="43" w:type="dxa"/>
              <w:left w:w="115" w:type="dxa"/>
              <w:bottom w:w="43" w:type="dxa"/>
              <w:right w:w="115" w:type="dxa"/>
            </w:tcMar>
            <w:vAlign w:val="bottom"/>
            <w:hideMark/>
          </w:tcPr>
          <w:p w14:paraId="691B1192" w14:textId="65718D2F" w:rsidR="00453C76" w:rsidRPr="006C52F8" w:rsidRDefault="00453C76" w:rsidP="00453C76">
            <w:pPr>
              <w:jc w:val="right"/>
              <w:rPr>
                <w:rFonts w:ascii="Arial" w:hAnsi="Arial" w:cs="Arial"/>
                <w:color w:val="000000"/>
              </w:rPr>
            </w:pPr>
            <w:r w:rsidRPr="006C52F8">
              <w:rPr>
                <w:rFonts w:ascii="Arial" w:hAnsi="Arial" w:cs="Arial"/>
                <w:color w:val="000000"/>
              </w:rPr>
              <w:t>0.7%</w:t>
            </w:r>
          </w:p>
        </w:tc>
        <w:tc>
          <w:tcPr>
            <w:tcW w:w="2430" w:type="dxa"/>
            <w:noWrap/>
            <w:tcMar>
              <w:top w:w="43" w:type="dxa"/>
              <w:left w:w="115" w:type="dxa"/>
              <w:bottom w:w="43" w:type="dxa"/>
              <w:right w:w="115" w:type="dxa"/>
            </w:tcMar>
            <w:vAlign w:val="bottom"/>
            <w:hideMark/>
          </w:tcPr>
          <w:p w14:paraId="4E7DF0F2" w14:textId="62C095D0"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509144C3" w14:textId="4574D3DB" w:rsidR="00453C76" w:rsidRPr="006C52F8" w:rsidRDefault="00453C76" w:rsidP="00453C76">
            <w:pPr>
              <w:jc w:val="right"/>
              <w:rPr>
                <w:rFonts w:ascii="Arial" w:hAnsi="Arial" w:cs="Arial"/>
                <w:color w:val="000000"/>
              </w:rPr>
            </w:pPr>
            <w:r w:rsidRPr="006C52F8">
              <w:rPr>
                <w:rFonts w:ascii="Arial" w:hAnsi="Arial" w:cs="Arial"/>
                <w:color w:val="000000"/>
              </w:rPr>
              <w:t>638</w:t>
            </w:r>
          </w:p>
        </w:tc>
        <w:tc>
          <w:tcPr>
            <w:tcW w:w="1980" w:type="dxa"/>
            <w:noWrap/>
            <w:tcMar>
              <w:top w:w="43" w:type="dxa"/>
              <w:left w:w="115" w:type="dxa"/>
              <w:bottom w:w="43" w:type="dxa"/>
              <w:right w:w="115" w:type="dxa"/>
            </w:tcMar>
            <w:vAlign w:val="bottom"/>
            <w:hideMark/>
          </w:tcPr>
          <w:p w14:paraId="7007C64D" w14:textId="6A66518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7BF1E46F" w14:textId="77777777" w:rsidTr="005B0A9D">
        <w:trPr>
          <w:trHeight w:val="320"/>
        </w:trPr>
        <w:tc>
          <w:tcPr>
            <w:tcW w:w="2250" w:type="dxa"/>
            <w:noWrap/>
            <w:tcMar>
              <w:top w:w="43" w:type="dxa"/>
              <w:left w:w="115" w:type="dxa"/>
              <w:bottom w:w="43" w:type="dxa"/>
              <w:right w:w="115" w:type="dxa"/>
            </w:tcMar>
            <w:hideMark/>
          </w:tcPr>
          <w:p w14:paraId="040FF01E" w14:textId="77777777" w:rsidR="00453C76" w:rsidRPr="006C52F8" w:rsidRDefault="00453C76" w:rsidP="00453C76">
            <w:pPr>
              <w:rPr>
                <w:rFonts w:ascii="Arial" w:hAnsi="Arial" w:cs="Arial"/>
                <w:color w:val="000000"/>
              </w:rPr>
            </w:pPr>
            <w:r w:rsidRPr="006C52F8">
              <w:rPr>
                <w:rFonts w:ascii="Arial" w:hAnsi="Arial" w:cs="Arial"/>
                <w:color w:val="000000"/>
              </w:rPr>
              <w:t>English learners</w:t>
            </w:r>
          </w:p>
        </w:tc>
        <w:tc>
          <w:tcPr>
            <w:tcW w:w="1710" w:type="dxa"/>
            <w:noWrap/>
            <w:tcMar>
              <w:top w:w="43" w:type="dxa"/>
              <w:left w:w="115" w:type="dxa"/>
              <w:bottom w:w="43" w:type="dxa"/>
              <w:right w:w="115" w:type="dxa"/>
            </w:tcMar>
            <w:vAlign w:val="bottom"/>
            <w:hideMark/>
          </w:tcPr>
          <w:p w14:paraId="727B5BED" w14:textId="13A7CA00" w:rsidR="00453C76" w:rsidRPr="006C52F8" w:rsidRDefault="00453C76" w:rsidP="00453C76">
            <w:pPr>
              <w:jc w:val="right"/>
              <w:rPr>
                <w:rFonts w:ascii="Arial" w:hAnsi="Arial" w:cs="Arial"/>
                <w:color w:val="000000"/>
              </w:rPr>
            </w:pPr>
            <w:r w:rsidRPr="006C52F8">
              <w:rPr>
                <w:rFonts w:ascii="Arial" w:hAnsi="Arial" w:cs="Arial"/>
                <w:color w:val="000000"/>
              </w:rPr>
              <w:t>216,456</w:t>
            </w:r>
          </w:p>
        </w:tc>
        <w:tc>
          <w:tcPr>
            <w:tcW w:w="1800" w:type="dxa"/>
            <w:noWrap/>
            <w:tcMar>
              <w:top w:w="43" w:type="dxa"/>
              <w:left w:w="115" w:type="dxa"/>
              <w:bottom w:w="43" w:type="dxa"/>
              <w:right w:w="115" w:type="dxa"/>
            </w:tcMar>
            <w:vAlign w:val="bottom"/>
            <w:hideMark/>
          </w:tcPr>
          <w:p w14:paraId="018299AC" w14:textId="5994B3CE" w:rsidR="00453C76" w:rsidRPr="006C52F8" w:rsidRDefault="00453C76" w:rsidP="00453C76">
            <w:pPr>
              <w:jc w:val="right"/>
              <w:rPr>
                <w:rFonts w:ascii="Arial" w:hAnsi="Arial" w:cs="Arial"/>
                <w:color w:val="000000"/>
              </w:rPr>
            </w:pPr>
            <w:r w:rsidRPr="006C52F8">
              <w:rPr>
                <w:rFonts w:ascii="Arial" w:hAnsi="Arial" w:cs="Arial"/>
                <w:color w:val="000000"/>
              </w:rPr>
              <w:t>3,541</w:t>
            </w:r>
          </w:p>
        </w:tc>
        <w:tc>
          <w:tcPr>
            <w:tcW w:w="1710" w:type="dxa"/>
            <w:noWrap/>
            <w:tcMar>
              <w:top w:w="43" w:type="dxa"/>
              <w:left w:w="115" w:type="dxa"/>
              <w:bottom w:w="43" w:type="dxa"/>
              <w:right w:w="115" w:type="dxa"/>
            </w:tcMar>
            <w:vAlign w:val="bottom"/>
            <w:hideMark/>
          </w:tcPr>
          <w:p w14:paraId="0A4E17A8" w14:textId="24C6E46C" w:rsidR="00453C76" w:rsidRPr="006C52F8" w:rsidRDefault="00453C76" w:rsidP="00453C76">
            <w:pPr>
              <w:jc w:val="right"/>
              <w:rPr>
                <w:rFonts w:ascii="Arial" w:hAnsi="Arial" w:cs="Arial"/>
                <w:color w:val="000000"/>
              </w:rPr>
            </w:pPr>
            <w:r w:rsidRPr="006C52F8">
              <w:rPr>
                <w:rFonts w:ascii="Arial" w:hAnsi="Arial" w:cs="Arial"/>
                <w:color w:val="000000"/>
              </w:rPr>
              <w:t>1.6%</w:t>
            </w:r>
          </w:p>
        </w:tc>
        <w:tc>
          <w:tcPr>
            <w:tcW w:w="2430" w:type="dxa"/>
            <w:noWrap/>
            <w:tcMar>
              <w:top w:w="43" w:type="dxa"/>
              <w:left w:w="115" w:type="dxa"/>
              <w:bottom w:w="43" w:type="dxa"/>
              <w:right w:w="115" w:type="dxa"/>
            </w:tcMar>
            <w:vAlign w:val="bottom"/>
            <w:hideMark/>
          </w:tcPr>
          <w:p w14:paraId="70EE3609" w14:textId="7252A2B3"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7D9BF0D6" w14:textId="766DD20B" w:rsidR="00453C76" w:rsidRPr="006C52F8" w:rsidRDefault="00453C76" w:rsidP="00453C76">
            <w:pPr>
              <w:jc w:val="right"/>
              <w:rPr>
                <w:rFonts w:ascii="Arial" w:hAnsi="Arial" w:cs="Arial"/>
                <w:color w:val="000000"/>
              </w:rPr>
            </w:pPr>
            <w:r w:rsidRPr="006C52F8">
              <w:rPr>
                <w:rFonts w:ascii="Arial" w:hAnsi="Arial" w:cs="Arial"/>
                <w:color w:val="000000"/>
              </w:rPr>
              <w:t>4,692</w:t>
            </w:r>
          </w:p>
        </w:tc>
        <w:tc>
          <w:tcPr>
            <w:tcW w:w="1980" w:type="dxa"/>
            <w:noWrap/>
            <w:tcMar>
              <w:top w:w="43" w:type="dxa"/>
              <w:left w:w="115" w:type="dxa"/>
              <w:bottom w:w="43" w:type="dxa"/>
              <w:right w:w="115" w:type="dxa"/>
            </w:tcMar>
            <w:vAlign w:val="bottom"/>
            <w:hideMark/>
          </w:tcPr>
          <w:p w14:paraId="62734A2F" w14:textId="00978D6F"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r w:rsidR="00453C76" w:rsidRPr="006C52F8" w14:paraId="5D41FA15" w14:textId="77777777" w:rsidTr="005B0A9D">
        <w:trPr>
          <w:trHeight w:val="320"/>
        </w:trPr>
        <w:tc>
          <w:tcPr>
            <w:tcW w:w="2250" w:type="dxa"/>
            <w:noWrap/>
            <w:tcMar>
              <w:top w:w="43" w:type="dxa"/>
              <w:left w:w="115" w:type="dxa"/>
              <w:bottom w:w="43" w:type="dxa"/>
              <w:right w:w="115" w:type="dxa"/>
            </w:tcMar>
            <w:hideMark/>
          </w:tcPr>
          <w:p w14:paraId="09D55DBB" w14:textId="77777777" w:rsidR="00453C76" w:rsidRPr="006C52F8" w:rsidRDefault="00453C76" w:rsidP="00453C76">
            <w:pPr>
              <w:rPr>
                <w:rFonts w:ascii="Arial" w:hAnsi="Arial" w:cs="Arial"/>
                <w:color w:val="000000"/>
              </w:rPr>
            </w:pPr>
            <w:r w:rsidRPr="006C52F8">
              <w:rPr>
                <w:rFonts w:ascii="Arial" w:hAnsi="Arial" w:cs="Arial"/>
                <w:color w:val="000000"/>
              </w:rPr>
              <w:t>Economically disadvantaged</w:t>
            </w:r>
          </w:p>
        </w:tc>
        <w:tc>
          <w:tcPr>
            <w:tcW w:w="1710" w:type="dxa"/>
            <w:noWrap/>
            <w:tcMar>
              <w:top w:w="43" w:type="dxa"/>
              <w:left w:w="115" w:type="dxa"/>
              <w:bottom w:w="43" w:type="dxa"/>
              <w:right w:w="115" w:type="dxa"/>
            </w:tcMar>
            <w:vAlign w:val="bottom"/>
            <w:hideMark/>
          </w:tcPr>
          <w:p w14:paraId="59797585" w14:textId="15639F9B" w:rsidR="00453C76" w:rsidRPr="006C52F8" w:rsidRDefault="00453C76" w:rsidP="00453C76">
            <w:pPr>
              <w:jc w:val="right"/>
              <w:rPr>
                <w:rFonts w:ascii="Arial" w:hAnsi="Arial" w:cs="Arial"/>
                <w:color w:val="000000"/>
              </w:rPr>
            </w:pPr>
            <w:r w:rsidRPr="006C52F8">
              <w:rPr>
                <w:rFonts w:ascii="Arial" w:hAnsi="Arial" w:cs="Arial"/>
                <w:color w:val="000000"/>
              </w:rPr>
              <w:t>893,602</w:t>
            </w:r>
          </w:p>
        </w:tc>
        <w:tc>
          <w:tcPr>
            <w:tcW w:w="1800" w:type="dxa"/>
            <w:noWrap/>
            <w:tcMar>
              <w:top w:w="43" w:type="dxa"/>
              <w:left w:w="115" w:type="dxa"/>
              <w:bottom w:w="43" w:type="dxa"/>
              <w:right w:w="115" w:type="dxa"/>
            </w:tcMar>
            <w:vAlign w:val="bottom"/>
            <w:hideMark/>
          </w:tcPr>
          <w:p w14:paraId="239E5E10" w14:textId="44E421FC" w:rsidR="00453C76" w:rsidRPr="006C52F8" w:rsidRDefault="00453C76" w:rsidP="00453C76">
            <w:pPr>
              <w:jc w:val="right"/>
              <w:rPr>
                <w:rFonts w:ascii="Arial" w:hAnsi="Arial" w:cs="Arial"/>
                <w:color w:val="000000"/>
              </w:rPr>
            </w:pPr>
            <w:r w:rsidRPr="006C52F8">
              <w:rPr>
                <w:rFonts w:ascii="Arial" w:hAnsi="Arial" w:cs="Arial"/>
                <w:color w:val="000000"/>
              </w:rPr>
              <w:t>9,477</w:t>
            </w:r>
          </w:p>
        </w:tc>
        <w:tc>
          <w:tcPr>
            <w:tcW w:w="1710" w:type="dxa"/>
            <w:noWrap/>
            <w:tcMar>
              <w:top w:w="43" w:type="dxa"/>
              <w:left w:w="115" w:type="dxa"/>
              <w:bottom w:w="43" w:type="dxa"/>
              <w:right w:w="115" w:type="dxa"/>
            </w:tcMar>
            <w:vAlign w:val="bottom"/>
            <w:hideMark/>
          </w:tcPr>
          <w:p w14:paraId="0D8B5120" w14:textId="22A39580" w:rsidR="00453C76" w:rsidRPr="006C52F8" w:rsidRDefault="00453C76" w:rsidP="00453C76">
            <w:pPr>
              <w:jc w:val="right"/>
              <w:rPr>
                <w:rFonts w:ascii="Arial" w:hAnsi="Arial" w:cs="Arial"/>
                <w:color w:val="000000"/>
              </w:rPr>
            </w:pPr>
            <w:r w:rsidRPr="006C52F8">
              <w:rPr>
                <w:rFonts w:ascii="Arial" w:hAnsi="Arial" w:cs="Arial"/>
                <w:color w:val="000000"/>
              </w:rPr>
              <w:t>1.1%</w:t>
            </w:r>
          </w:p>
        </w:tc>
        <w:tc>
          <w:tcPr>
            <w:tcW w:w="2430" w:type="dxa"/>
            <w:noWrap/>
            <w:tcMar>
              <w:top w:w="43" w:type="dxa"/>
              <w:left w:w="115" w:type="dxa"/>
              <w:bottom w:w="43" w:type="dxa"/>
              <w:right w:w="115" w:type="dxa"/>
            </w:tcMar>
            <w:vAlign w:val="bottom"/>
            <w:hideMark/>
          </w:tcPr>
          <w:p w14:paraId="34B3ECC7" w14:textId="51198DD3"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c>
          <w:tcPr>
            <w:tcW w:w="2340" w:type="dxa"/>
            <w:noWrap/>
            <w:tcMar>
              <w:top w:w="43" w:type="dxa"/>
              <w:left w:w="115" w:type="dxa"/>
              <w:bottom w:w="43" w:type="dxa"/>
              <w:right w:w="115" w:type="dxa"/>
            </w:tcMar>
            <w:vAlign w:val="bottom"/>
            <w:hideMark/>
          </w:tcPr>
          <w:p w14:paraId="758F51F3" w14:textId="5A9C42DB" w:rsidR="00453C76" w:rsidRPr="006C52F8" w:rsidRDefault="00453C76" w:rsidP="00453C76">
            <w:pPr>
              <w:jc w:val="right"/>
              <w:rPr>
                <w:rFonts w:ascii="Arial" w:hAnsi="Arial" w:cs="Arial"/>
                <w:color w:val="000000"/>
              </w:rPr>
            </w:pPr>
            <w:r w:rsidRPr="006C52F8">
              <w:rPr>
                <w:rFonts w:ascii="Arial" w:hAnsi="Arial" w:cs="Arial"/>
                <w:color w:val="000000"/>
              </w:rPr>
              <w:t>11,750</w:t>
            </w:r>
          </w:p>
        </w:tc>
        <w:tc>
          <w:tcPr>
            <w:tcW w:w="1980" w:type="dxa"/>
            <w:noWrap/>
            <w:tcMar>
              <w:top w:w="43" w:type="dxa"/>
              <w:left w:w="115" w:type="dxa"/>
              <w:bottom w:w="43" w:type="dxa"/>
              <w:right w:w="115" w:type="dxa"/>
            </w:tcMar>
            <w:vAlign w:val="bottom"/>
            <w:hideMark/>
          </w:tcPr>
          <w:p w14:paraId="1647D84F" w14:textId="53B2AFB7" w:rsidR="00453C76" w:rsidRPr="006C52F8" w:rsidRDefault="00453C76" w:rsidP="00453C76">
            <w:pPr>
              <w:jc w:val="right"/>
              <w:rPr>
                <w:rFonts w:ascii="Arial" w:hAnsi="Arial" w:cs="Arial"/>
                <w:color w:val="000000"/>
              </w:rPr>
            </w:pPr>
            <w:r w:rsidRPr="006C52F8">
              <w:rPr>
                <w:rFonts w:ascii="Arial" w:hAnsi="Arial" w:cs="Arial"/>
                <w:color w:val="000000" w:themeColor="text1"/>
              </w:rPr>
              <w:t>TBD</w:t>
            </w:r>
          </w:p>
        </w:tc>
      </w:tr>
    </w:tbl>
    <w:p w14:paraId="4521CF04" w14:textId="77777777" w:rsidR="00B355C5" w:rsidRPr="006C52F8" w:rsidRDefault="00B355C5" w:rsidP="000F763A">
      <w:pPr>
        <w:spacing w:after="160"/>
        <w:rPr>
          <w:rFonts w:ascii="Arial" w:eastAsia="Arial" w:hAnsi="Arial" w:cs="Arial"/>
          <w:color w:val="000000" w:themeColor="text1"/>
        </w:rPr>
        <w:sectPr w:rsidR="00B355C5" w:rsidRPr="006C52F8" w:rsidSect="00562821">
          <w:pgSz w:w="15840" w:h="12240" w:orient="landscape" w:code="1"/>
          <w:pgMar w:top="1440" w:right="1080" w:bottom="1440" w:left="1440" w:header="720" w:footer="720" w:gutter="0"/>
          <w:cols w:space="720"/>
          <w:docGrid w:linePitch="360"/>
        </w:sectPr>
      </w:pPr>
    </w:p>
    <w:p w14:paraId="3D0F9895" w14:textId="3DC02DCF"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b/>
          <w:bCs/>
        </w:rPr>
        <w:lastRenderedPageBreak/>
        <w:t>Requirement 3—</w:t>
      </w:r>
      <w:r w:rsidRPr="006C52F8">
        <w:rPr>
          <w:rFonts w:ascii="Arial" w:eastAsia="Arial" w:hAnsi="Arial" w:cs="Arial"/>
          <w:b/>
          <w:bCs/>
          <w:color w:val="000000" w:themeColor="text1"/>
        </w:rPr>
        <w:t>34</w:t>
      </w:r>
      <w:r w:rsidRPr="006C52F8">
        <w:rPr>
          <w:rFonts w:ascii="Arial" w:eastAsia="Arial" w:hAnsi="Arial" w:cs="Arial"/>
          <w:b/>
          <w:color w:val="000000" w:themeColor="text1"/>
        </w:rPr>
        <w:t xml:space="preserve"> </w:t>
      </w:r>
      <w:r w:rsidRPr="006C52F8">
        <w:rPr>
          <w:rFonts w:ascii="Arial" w:eastAsia="Arial" w:hAnsi="Arial" w:cs="Arial"/>
          <w:b/>
          <w:i/>
          <w:color w:val="000000" w:themeColor="text1"/>
        </w:rPr>
        <w:t>CFR</w:t>
      </w:r>
      <w:r w:rsidRPr="006C52F8">
        <w:rPr>
          <w:rFonts w:ascii="Arial" w:eastAsia="Arial" w:hAnsi="Arial" w:cs="Arial"/>
          <w:b/>
          <w:color w:val="000000" w:themeColor="text1"/>
        </w:rPr>
        <w:t xml:space="preserve"> Section 200.6(c)(4)(iii)</w:t>
      </w:r>
      <w:r w:rsidRPr="006C52F8">
        <w:rPr>
          <w:rFonts w:ascii="Arial" w:eastAsia="Arial" w:hAnsi="Arial" w:cs="Arial"/>
          <w:color w:val="000000" w:themeColor="text1"/>
        </w:rPr>
        <w:t>:</w:t>
      </w:r>
      <w:r w:rsidRPr="006C52F8">
        <w:rPr>
          <w:rFonts w:ascii="Arial" w:eastAsia="Arial" w:hAnsi="Arial" w:cs="Arial"/>
          <w:b/>
          <w:bCs/>
          <w:color w:val="000000" w:themeColor="text1"/>
        </w:rPr>
        <w:t xml:space="preserve"> </w:t>
      </w:r>
      <w:r w:rsidRPr="006C52F8">
        <w:rPr>
          <w:rFonts w:ascii="Arial" w:eastAsia="Arial" w:hAnsi="Arial" w:cs="Arial"/>
          <w:color w:val="000000" w:themeColor="text1"/>
        </w:rPr>
        <w:t>Provide assurances that the state has verified that each LEA that the state anticipates will assess more than 1.0 percent of its assessed students in a subject using the AA-AAAS followed the State's guidelines for students with the most significant cognitive disability.</w:t>
      </w:r>
    </w:p>
    <w:p w14:paraId="1A5D5496" w14:textId="1D3B4D5F" w:rsidR="00B355C5" w:rsidRPr="006C52F8" w:rsidRDefault="00B355C5" w:rsidP="00B355C5">
      <w:pPr>
        <w:spacing w:after="240"/>
        <w:rPr>
          <w:rFonts w:ascii="Arial" w:eastAsia="Arial" w:hAnsi="Arial"/>
          <w:color w:val="000000" w:themeColor="text1"/>
        </w:rPr>
      </w:pPr>
      <w:r w:rsidRPr="006C52F8">
        <w:rPr>
          <w:rFonts w:ascii="Arial" w:eastAsia="Arial" w:hAnsi="Arial" w:cs="Arial"/>
          <w:color w:val="000000" w:themeColor="text1"/>
        </w:rPr>
        <w:t xml:space="preserve">California has all </w:t>
      </w:r>
      <w:r w:rsidR="001A2045" w:rsidRPr="006C52F8">
        <w:rPr>
          <w:rFonts w:ascii="Arial" w:eastAsia="Arial" w:hAnsi="Arial" w:cs="Arial"/>
          <w:color w:val="000000" w:themeColor="text1"/>
        </w:rPr>
        <w:t>local educational agencies (</w:t>
      </w:r>
      <w:r w:rsidRPr="006C52F8">
        <w:rPr>
          <w:rFonts w:ascii="Arial" w:eastAsia="Arial" w:hAnsi="Arial" w:cs="Arial"/>
          <w:color w:val="000000" w:themeColor="text1"/>
        </w:rPr>
        <w:t>LEAs</w:t>
      </w:r>
      <w:r w:rsidR="001A2045" w:rsidRPr="006C52F8">
        <w:rPr>
          <w:rFonts w:ascii="Arial" w:eastAsia="Arial" w:hAnsi="Arial" w:cs="Arial"/>
          <w:color w:val="000000" w:themeColor="text1"/>
        </w:rPr>
        <w:t>)</w:t>
      </w:r>
      <w:r w:rsidRPr="006C52F8">
        <w:rPr>
          <w:rFonts w:ascii="Arial" w:eastAsia="Arial" w:hAnsi="Arial" w:cs="Arial"/>
          <w:color w:val="000000" w:themeColor="text1"/>
        </w:rPr>
        <w:t xml:space="preserve"> in the state submit a two-page One Percent Justification Survey. Part A </w:t>
      </w:r>
      <w:r w:rsidR="001A2045" w:rsidRPr="006C52F8">
        <w:rPr>
          <w:rFonts w:ascii="Arial" w:eastAsia="Arial" w:hAnsi="Arial" w:cs="Arial"/>
          <w:color w:val="000000" w:themeColor="text1"/>
        </w:rPr>
        <w:t>o</w:t>
      </w:r>
      <w:r w:rsidRPr="006C52F8">
        <w:rPr>
          <w:rFonts w:ascii="Arial" w:eastAsia="Arial" w:hAnsi="Arial" w:cs="Arial"/>
          <w:color w:val="000000" w:themeColor="text1"/>
        </w:rPr>
        <w:t xml:space="preserve">f the form is completed by all the LEAs and provides participation projections for the spring assessment administration. If the LEA </w:t>
      </w:r>
      <w:r w:rsidR="001A2045" w:rsidRPr="006C52F8">
        <w:rPr>
          <w:rFonts w:ascii="Arial" w:eastAsia="Arial" w:hAnsi="Arial" w:cs="Arial"/>
          <w:color w:val="000000" w:themeColor="text1"/>
        </w:rPr>
        <w:t xml:space="preserve">is </w:t>
      </w:r>
      <w:r w:rsidRPr="006C52F8">
        <w:rPr>
          <w:rFonts w:ascii="Arial" w:eastAsia="Arial" w:hAnsi="Arial" w:cs="Arial"/>
          <w:color w:val="000000" w:themeColor="text1"/>
        </w:rPr>
        <w:t>anticipat</w:t>
      </w:r>
      <w:r w:rsidR="001A2045" w:rsidRPr="006C52F8">
        <w:rPr>
          <w:rFonts w:ascii="Arial" w:eastAsia="Arial" w:hAnsi="Arial" w:cs="Arial"/>
          <w:color w:val="000000" w:themeColor="text1"/>
        </w:rPr>
        <w:t>ing to</w:t>
      </w:r>
      <w:r w:rsidRPr="006C52F8">
        <w:rPr>
          <w:rFonts w:ascii="Arial" w:eastAsia="Arial" w:hAnsi="Arial" w:cs="Arial"/>
          <w:color w:val="000000" w:themeColor="text1"/>
        </w:rPr>
        <w:t xml:space="preserve"> exceed the 1.0 percent threshold of students who would be assessed using the AA-AAAS, the LEA is required to complete Part B and provide a written justification. The CDE’s </w:t>
      </w:r>
      <w:r w:rsidRPr="006C52F8">
        <w:rPr>
          <w:rFonts w:ascii="Arial" w:eastAsia="Arial" w:hAnsi="Arial" w:cs="Arial"/>
        </w:rPr>
        <w:t>One Percent Threshold on Alternate Assessments</w:t>
      </w:r>
      <w:r w:rsidRPr="006C52F8">
        <w:rPr>
          <w:rFonts w:ascii="Arial" w:eastAsia="Arial" w:hAnsi="Arial" w:cs="Arial"/>
          <w:color w:val="000000" w:themeColor="text1"/>
        </w:rPr>
        <w:t xml:space="preserve"> </w:t>
      </w:r>
      <w:r w:rsidR="001A2045" w:rsidRPr="006C52F8">
        <w:rPr>
          <w:rFonts w:ascii="Arial" w:eastAsia="Arial" w:hAnsi="Arial" w:cs="Arial"/>
          <w:color w:val="000000" w:themeColor="text1"/>
        </w:rPr>
        <w:t>w</w:t>
      </w:r>
      <w:r w:rsidRPr="006C52F8">
        <w:rPr>
          <w:rFonts w:ascii="Arial" w:eastAsia="Arial" w:hAnsi="Arial" w:cs="Arial"/>
          <w:color w:val="000000" w:themeColor="text1"/>
        </w:rPr>
        <w:t xml:space="preserve">eb page at </w:t>
      </w:r>
      <w:hyperlink r:id="rId33" w:tooltip="This link opens CDE’s One Percent Threshold on Alternate Assessments web page.">
        <w:r w:rsidRPr="006C52F8">
          <w:rPr>
            <w:rFonts w:ascii="Arial" w:eastAsia="Arial" w:hAnsi="Arial" w:cs="Arial"/>
            <w:color w:val="0000FF"/>
            <w:u w:val="single"/>
          </w:rPr>
          <w:t>https://www.cde.ca.gov/ta/tg/ca/caaonepercent.asp</w:t>
        </w:r>
      </w:hyperlink>
      <w:r w:rsidRPr="006C52F8">
        <w:rPr>
          <w:rFonts w:ascii="Arial" w:eastAsia="Arial" w:hAnsi="Arial" w:cs="Arial"/>
          <w:color w:val="000000" w:themeColor="text1"/>
        </w:rPr>
        <w:t xml:space="preserve"> provides information on this requirement. </w:t>
      </w:r>
    </w:p>
    <w:p w14:paraId="0982CAC6" w14:textId="3FA436FC"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 xml:space="preserve">The justification form includes assurances that the LEA has ensured that its educators have been trained on the state guidelines and that </w:t>
      </w:r>
      <w:r w:rsidR="00302529" w:rsidRPr="006C52F8">
        <w:rPr>
          <w:rFonts w:ascii="Arial" w:eastAsia="Arial" w:hAnsi="Arial" w:cs="Arial"/>
          <w:color w:val="000000" w:themeColor="text1"/>
        </w:rPr>
        <w:t xml:space="preserve">individual education program </w:t>
      </w:r>
      <w:r w:rsidR="00D40CB6" w:rsidRPr="006C52F8">
        <w:rPr>
          <w:rFonts w:ascii="Arial" w:eastAsia="Arial" w:hAnsi="Arial" w:cs="Arial"/>
          <w:color w:val="000000" w:themeColor="text1"/>
        </w:rPr>
        <w:t xml:space="preserve">(IEP) </w:t>
      </w:r>
      <w:r w:rsidRPr="006C52F8">
        <w:rPr>
          <w:rFonts w:ascii="Arial" w:eastAsia="Arial" w:hAnsi="Arial" w:cs="Arial"/>
          <w:color w:val="000000" w:themeColor="text1"/>
        </w:rPr>
        <w:t>teams are adhering to the state’s identified criteria of eligibility in making participation decisions for students who participate in the AA-AAAS. Allowance is made for the LEA to provide further explanation o</w:t>
      </w:r>
      <w:r w:rsidR="00302529" w:rsidRPr="006C52F8">
        <w:rPr>
          <w:rFonts w:ascii="Arial" w:eastAsia="Arial" w:hAnsi="Arial" w:cs="Arial"/>
          <w:color w:val="000000" w:themeColor="text1"/>
        </w:rPr>
        <w:t>f</w:t>
      </w:r>
      <w:r w:rsidRPr="006C52F8">
        <w:rPr>
          <w:rFonts w:ascii="Arial" w:eastAsia="Arial" w:hAnsi="Arial" w:cs="Arial"/>
          <w:color w:val="000000" w:themeColor="text1"/>
        </w:rPr>
        <w:t xml:space="preserve"> the reasons for exceeding the 1.0 percent cap. </w:t>
      </w:r>
    </w:p>
    <w:p w14:paraId="79A9BDF5" w14:textId="5126884F" w:rsidR="00B355C5" w:rsidRPr="006C52F8" w:rsidRDefault="00B355C5" w:rsidP="00B355C5">
      <w:pPr>
        <w:spacing w:after="240"/>
        <w:ind w:right="360"/>
        <w:rPr>
          <w:rFonts w:ascii="Arial" w:eastAsia="Arial" w:hAnsi="Arial" w:cs="Arial"/>
          <w:color w:val="000000" w:themeColor="text1"/>
        </w:rPr>
      </w:pPr>
      <w:r w:rsidRPr="006C52F8">
        <w:rPr>
          <w:rFonts w:ascii="Arial" w:eastAsia="Arial" w:hAnsi="Arial" w:cs="Arial"/>
          <w:color w:val="000000" w:themeColor="text1"/>
        </w:rPr>
        <w:t>By submitting the justification form, the LEA certifie</w:t>
      </w:r>
      <w:r w:rsidR="00C74309" w:rsidRPr="006C52F8">
        <w:rPr>
          <w:rFonts w:ascii="Arial" w:eastAsia="Arial" w:hAnsi="Arial" w:cs="Arial"/>
          <w:color w:val="000000" w:themeColor="text1"/>
        </w:rPr>
        <w:t>s</w:t>
      </w:r>
      <w:r w:rsidRPr="006C52F8">
        <w:rPr>
          <w:rFonts w:ascii="Arial" w:eastAsia="Arial" w:hAnsi="Arial" w:cs="Arial"/>
          <w:color w:val="000000" w:themeColor="text1"/>
        </w:rPr>
        <w:t xml:space="preserve"> that eligible students identified to take the CAAs </w:t>
      </w:r>
      <w:r w:rsidR="00C74309" w:rsidRPr="006C52F8">
        <w:rPr>
          <w:rFonts w:ascii="Arial" w:eastAsia="Arial" w:hAnsi="Arial" w:cs="Arial"/>
          <w:color w:val="000000" w:themeColor="text1"/>
        </w:rPr>
        <w:t xml:space="preserve">have </w:t>
      </w:r>
      <w:r w:rsidRPr="006C52F8">
        <w:rPr>
          <w:rFonts w:ascii="Arial" w:eastAsia="Arial" w:hAnsi="Arial" w:cs="Arial"/>
          <w:color w:val="000000" w:themeColor="text1"/>
        </w:rPr>
        <w:t>met the criteria below (34</w:t>
      </w:r>
      <w:r w:rsidRPr="006C52F8">
        <w:rPr>
          <w:rFonts w:ascii="Arial" w:eastAsia="Arial" w:hAnsi="Arial" w:cs="Arial"/>
          <w:i/>
          <w:iCs/>
          <w:color w:val="000000" w:themeColor="text1"/>
        </w:rPr>
        <w:t xml:space="preserve"> CFR</w:t>
      </w:r>
      <w:r w:rsidRPr="006C52F8">
        <w:rPr>
          <w:rFonts w:ascii="Arial" w:eastAsia="Arial" w:hAnsi="Arial" w:cs="Arial"/>
          <w:color w:val="000000" w:themeColor="text1"/>
        </w:rPr>
        <w:t xml:space="preserve"> Section 200.6) for students with the most significant cognitive disabilities enrolled in the LEA. </w:t>
      </w:r>
    </w:p>
    <w:p w14:paraId="7FE94A66" w14:textId="77777777" w:rsidR="00B355C5" w:rsidRPr="006C52F8" w:rsidRDefault="00B355C5" w:rsidP="00B355C5">
      <w:pPr>
        <w:numPr>
          <w:ilvl w:val="0"/>
          <w:numId w:val="4"/>
        </w:numPr>
        <w:spacing w:after="240"/>
        <w:ind w:right="360"/>
        <w:rPr>
          <w:rFonts w:ascii="Arial" w:eastAsia="Arial" w:hAnsi="Arial" w:cs="Arial"/>
          <w:color w:val="000000" w:themeColor="text1"/>
        </w:rPr>
      </w:pPr>
      <w:r w:rsidRPr="006C52F8">
        <w:rPr>
          <w:rFonts w:ascii="Arial" w:eastAsia="Arial" w:hAnsi="Arial" w:cs="Arial"/>
          <w:color w:val="000000" w:themeColor="text1"/>
        </w:rPr>
        <w:t>All students identified for alternate assessment have been determined to be the most significantly cognitively impaired, including factors related to cognitive functioning and adaptive behavior, within the LEA.</w:t>
      </w:r>
    </w:p>
    <w:p w14:paraId="33D82890" w14:textId="77777777" w:rsidR="00B355C5" w:rsidRPr="006C52F8" w:rsidRDefault="00B355C5" w:rsidP="00B355C5">
      <w:pPr>
        <w:numPr>
          <w:ilvl w:val="0"/>
          <w:numId w:val="4"/>
        </w:numPr>
        <w:spacing w:after="240"/>
        <w:ind w:right="1440"/>
        <w:rPr>
          <w:rFonts w:ascii="Arial" w:eastAsia="Arial" w:hAnsi="Arial" w:cs="Arial"/>
          <w:color w:val="000000" w:themeColor="text1"/>
        </w:rPr>
      </w:pPr>
      <w:r w:rsidRPr="006C52F8">
        <w:rPr>
          <w:rFonts w:ascii="Arial" w:eastAsia="Arial" w:hAnsi="Arial" w:cs="Arial"/>
          <w:color w:val="000000" w:themeColor="text1"/>
        </w:rPr>
        <w:t>All students identified for alternate assessment have been shown to require extensive, direct individualized instruction and substantial supports to achieve measurable gains on the challenging state alternate academic achievement content standards for the grade in which the student is enrolled.</w:t>
      </w:r>
    </w:p>
    <w:p w14:paraId="0698D962" w14:textId="51B097BE" w:rsidR="00B355C5" w:rsidRPr="006C52F8" w:rsidRDefault="00B355C5" w:rsidP="00B355C5">
      <w:pPr>
        <w:numPr>
          <w:ilvl w:val="0"/>
          <w:numId w:val="4"/>
        </w:numPr>
        <w:spacing w:after="240"/>
        <w:ind w:right="1440"/>
        <w:rPr>
          <w:rFonts w:ascii="Arial" w:eastAsia="Arial" w:hAnsi="Arial" w:cs="Arial"/>
          <w:color w:val="000000" w:themeColor="text1"/>
        </w:rPr>
      </w:pPr>
      <w:r w:rsidRPr="006C52F8">
        <w:rPr>
          <w:rFonts w:ascii="Arial" w:eastAsia="Arial" w:hAnsi="Arial" w:cs="Arial"/>
          <w:color w:val="000000" w:themeColor="text1"/>
        </w:rPr>
        <w:t>Students with the most significant cognitive disabilities are not identified solely on the basis of the student’s previous low academic achievement, or the student’s previous need for accommodations to participate in general state or districtwide assessments.</w:t>
      </w:r>
    </w:p>
    <w:p w14:paraId="30D83981" w14:textId="77777777" w:rsidR="00B355C5" w:rsidRPr="006C52F8" w:rsidRDefault="00B355C5" w:rsidP="00AA1CDF">
      <w:pPr>
        <w:spacing w:after="240"/>
        <w:rPr>
          <w:rFonts w:ascii="Arial" w:hAnsi="Arial"/>
          <w:color w:val="000000" w:themeColor="text1"/>
        </w:rPr>
      </w:pPr>
      <w:r w:rsidRPr="006C52F8">
        <w:rPr>
          <w:rFonts w:ascii="Arial" w:eastAsia="Arial" w:hAnsi="Arial" w:cs="Arial"/>
          <w:b/>
          <w:bCs/>
        </w:rPr>
        <w:t>Requirement 4—(§200.6(c)(4)(iv)):</w:t>
      </w:r>
      <w:r w:rsidRPr="006C52F8">
        <w:rPr>
          <w:rFonts w:ascii="Arial" w:hAnsi="Arial"/>
          <w:color w:val="000000" w:themeColor="text1"/>
        </w:rPr>
        <w:t xml:space="preserve"> Submit a plan and timeline by which the following will be accomplished: (A) State will improve the implementation of its participation guidelines, including if necessary, revising its definition of “students with the most significant cognitive disabilities”; (B) State will take additional steps to support and provide appropriate oversight to each LEA that the state anticipates will assess more than 1.0 percent with the AA-AAAS to ensure that only students with the most </w:t>
      </w:r>
      <w:r w:rsidRPr="006C52F8">
        <w:rPr>
          <w:rFonts w:ascii="Arial" w:hAnsi="Arial"/>
          <w:color w:val="000000" w:themeColor="text1"/>
        </w:rPr>
        <w:lastRenderedPageBreak/>
        <w:t>significant cognitive disabilities take the AA-AAAS (this must include a description of how the state will monitor and regularly evaluate each of these LEAs to ensure that the LEA provides sufficient training for IEP team members); and (C) state will address any disproportionality in the percentage of students taking the AA-AAAS.</w:t>
      </w:r>
    </w:p>
    <w:p w14:paraId="7222C67A" w14:textId="198AC248" w:rsidR="00B355C5" w:rsidRPr="006C52F8" w:rsidRDefault="00B355C5" w:rsidP="00B355C5">
      <w:pPr>
        <w:spacing w:before="240" w:after="240"/>
        <w:outlineLvl w:val="3"/>
        <w:rPr>
          <w:rFonts w:ascii="Arial" w:eastAsia="Arial" w:hAnsi="Arial"/>
          <w:b/>
          <w:color w:val="000000" w:themeColor="text1"/>
        </w:rPr>
      </w:pPr>
      <w:r w:rsidRPr="006C52F8">
        <w:rPr>
          <w:rFonts w:ascii="Arial" w:eastAsia="Arial" w:hAnsi="Arial"/>
          <w:b/>
          <w:color w:val="000000" w:themeColor="text1"/>
        </w:rPr>
        <w:t>California’s Waiver Plan for 2022–23</w:t>
      </w:r>
    </w:p>
    <w:p w14:paraId="3B253480" w14:textId="7F3AF318"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 xml:space="preserve">The state will continue to meet all other requirements of Section 1111 of the ESEA as well as implement regulations with respect to all state-determined academic standards and assessments, including reporting student achievement and school performance, disaggregated by student groups to parents and the public. </w:t>
      </w:r>
    </w:p>
    <w:p w14:paraId="1D5BE7D9" w14:textId="77777777" w:rsidR="00B355C5" w:rsidRPr="006C52F8" w:rsidRDefault="00B355C5" w:rsidP="00B355C5">
      <w:pPr>
        <w:spacing w:after="240"/>
        <w:rPr>
          <w:rFonts w:ascii="Arial" w:eastAsia="Arial" w:hAnsi="Arial" w:cs="Arial"/>
          <w:color w:val="000000" w:themeColor="text1"/>
        </w:rPr>
      </w:pPr>
      <w:r w:rsidRPr="006C52F8">
        <w:rPr>
          <w:rFonts w:ascii="Arial" w:eastAsia="Arial" w:hAnsi="Arial" w:cs="Arial"/>
          <w:color w:val="000000" w:themeColor="text1"/>
        </w:rPr>
        <w:t xml:space="preserve">The state plan and timeline intended to address the reduction of percentages exceeding the 1.0 percent cap of alternate assessment participation will be included, pursuant to the additional federal requirements detailed in 34 </w:t>
      </w:r>
      <w:r w:rsidRPr="006C52F8">
        <w:rPr>
          <w:rFonts w:ascii="Arial" w:eastAsia="Arial" w:hAnsi="Arial" w:cs="Arial"/>
          <w:i/>
          <w:iCs/>
          <w:color w:val="000000" w:themeColor="text1"/>
        </w:rPr>
        <w:t>CFR</w:t>
      </w:r>
      <w:r w:rsidRPr="006C52F8">
        <w:rPr>
          <w:rFonts w:ascii="Arial" w:eastAsia="Arial" w:hAnsi="Arial" w:cs="Arial"/>
          <w:color w:val="000000" w:themeColor="text1"/>
        </w:rPr>
        <w:t xml:space="preserve"> Section 200.6(c)(4). This plan will also include clarification of state guidelines, professional development, oversight, and support for identified areas of need. Consistent with the plan submitted in this waiver request, the CDE will implement system improvements and monitor future administrations to avoid exceeding the 1.0 percent cap. </w:t>
      </w:r>
    </w:p>
    <w:p w14:paraId="69DA1F09" w14:textId="374134E6" w:rsidR="00B355C5" w:rsidRPr="006C52F8" w:rsidRDefault="00B355C5" w:rsidP="1BC22033">
      <w:pPr>
        <w:numPr>
          <w:ilvl w:val="0"/>
          <w:numId w:val="5"/>
        </w:numPr>
        <w:spacing w:after="240"/>
        <w:rPr>
          <w:rFonts w:asciiTheme="minorHAnsi" w:eastAsiaTheme="minorEastAsia" w:hAnsiTheme="minorHAnsi" w:cstheme="minorBidi"/>
          <w:color w:val="000000" w:themeColor="text1"/>
        </w:rPr>
      </w:pPr>
      <w:r w:rsidRPr="006C52F8">
        <w:rPr>
          <w:rFonts w:ascii="Arial" w:eastAsia="Arial" w:hAnsi="Arial" w:cs="Arial"/>
        </w:rPr>
        <w:t xml:space="preserve">A clear description of how the State will improve the implementation of its guidelines for participation in the AA-AAAS, including by reviewing the definition of students with the most significant cognitive disabilities (see 34 </w:t>
      </w:r>
      <w:r w:rsidRPr="006C52F8">
        <w:rPr>
          <w:rFonts w:ascii="Arial" w:eastAsia="Arial" w:hAnsi="Arial" w:cs="Arial"/>
          <w:i/>
          <w:iCs/>
        </w:rPr>
        <w:t>CFR</w:t>
      </w:r>
      <w:r w:rsidRPr="006C52F8">
        <w:rPr>
          <w:rFonts w:ascii="Arial" w:eastAsia="Arial" w:hAnsi="Arial" w:cs="Arial"/>
        </w:rPr>
        <w:t xml:space="preserve"> 200.6[c][4][iv][A]), so that the State meets the 1.0 percent cap in each subject for which assessments are administered in future school years</w:t>
      </w:r>
      <w:r w:rsidR="00963D54" w:rsidRPr="006C52F8">
        <w:rPr>
          <w:rFonts w:ascii="Arial" w:eastAsia="Arial" w:hAnsi="Arial" w:cs="Arial"/>
        </w:rPr>
        <w:t>.</w:t>
      </w:r>
    </w:p>
    <w:p w14:paraId="6FE586BD" w14:textId="77777777" w:rsidR="00B355C5" w:rsidRPr="006C52F8" w:rsidRDefault="00B355C5" w:rsidP="00B355C5">
      <w:pPr>
        <w:spacing w:after="240"/>
        <w:ind w:left="720"/>
        <w:rPr>
          <w:rFonts w:ascii="Arial" w:eastAsia="Arial" w:hAnsi="Arial" w:cs="Arial"/>
          <w:color w:val="000000" w:themeColor="text1"/>
        </w:rPr>
      </w:pPr>
      <w:r w:rsidRPr="006C52F8">
        <w:rPr>
          <w:rFonts w:ascii="Arial" w:eastAsia="Arial" w:hAnsi="Arial" w:cs="Arial"/>
          <w:color w:val="000000" w:themeColor="text1"/>
        </w:rPr>
        <w:t>The CDE revised its guidelines to clarify that students identified with a specific learning disability do not meet the criteria for identification as significantly cognitively impaired. The guidelines also clarify that a student who is registered for the alternate assessment in one subject must take the alternate assessment for all eligible subjects. This revised guidance has been added to the state decision-making tool.</w:t>
      </w:r>
    </w:p>
    <w:p w14:paraId="536F0522" w14:textId="07432F5D" w:rsidR="00B355C5" w:rsidRPr="006C52F8" w:rsidRDefault="00B355C5" w:rsidP="00B355C5">
      <w:pPr>
        <w:spacing w:after="240"/>
        <w:ind w:left="720"/>
        <w:rPr>
          <w:rFonts w:ascii="Arial" w:eastAsia="Arial" w:hAnsi="Arial" w:cs="Arial"/>
          <w:color w:val="000000" w:themeColor="text1"/>
        </w:rPr>
      </w:pPr>
      <w:r w:rsidRPr="006C52F8">
        <w:rPr>
          <w:rFonts w:ascii="Arial" w:eastAsia="Arial" w:hAnsi="Arial" w:cs="Arial"/>
          <w:color w:val="000000" w:themeColor="text1"/>
        </w:rPr>
        <w:t xml:space="preserve">The </w:t>
      </w:r>
      <w:r w:rsidRPr="006C52F8">
        <w:rPr>
          <w:rFonts w:ascii="Arial" w:eastAsia="Arial" w:hAnsi="Arial" w:cs="Arial"/>
        </w:rPr>
        <w:t>Alternate Assessment Decision Confirmation Workshee</w:t>
      </w:r>
      <w:r w:rsidRPr="006C52F8">
        <w:rPr>
          <w:rFonts w:ascii="Arial" w:eastAsia="Arial" w:hAnsi="Arial" w:cs="Arial"/>
          <w:color w:val="000000" w:themeColor="text1"/>
        </w:rPr>
        <w:t>t (</w:t>
      </w:r>
      <w:hyperlink r:id="rId34" w:tooltip="This link opens the Alternate Assessment Decision Confirmation Worksheet.">
        <w:r w:rsidRPr="006C52F8">
          <w:rPr>
            <w:rFonts w:ascii="Arial" w:eastAsia="Arial" w:hAnsi="Arial" w:cs="Arial"/>
            <w:color w:val="0000FF"/>
            <w:u w:val="single"/>
          </w:rPr>
          <w:t>https://www.cde.ca.gov/ta/tg/ca/documents/altassessmentdecision.pdf</w:t>
        </w:r>
      </w:hyperlink>
      <w:r w:rsidRPr="006C52F8">
        <w:rPr>
          <w:rFonts w:ascii="Arial" w:eastAsia="Arial" w:hAnsi="Arial" w:cs="Arial"/>
          <w:color w:val="000000" w:themeColor="text1"/>
        </w:rPr>
        <w:t xml:space="preserve">) is posted on the </w:t>
      </w:r>
      <w:r w:rsidRPr="006C52F8">
        <w:rPr>
          <w:rFonts w:ascii="Arial" w:eastAsia="Arial" w:hAnsi="Arial" w:cs="Arial"/>
        </w:rPr>
        <w:t xml:space="preserve">CAAs for ELA and Math </w:t>
      </w:r>
      <w:r w:rsidR="00D40CB6" w:rsidRPr="006C52F8">
        <w:rPr>
          <w:rFonts w:ascii="Arial" w:eastAsia="Arial" w:hAnsi="Arial" w:cs="Arial"/>
        </w:rPr>
        <w:t>w</w:t>
      </w:r>
      <w:r w:rsidRPr="006C52F8">
        <w:rPr>
          <w:rFonts w:ascii="Arial" w:eastAsia="Arial" w:hAnsi="Arial" w:cs="Arial"/>
        </w:rPr>
        <w:t xml:space="preserve">eb page at </w:t>
      </w:r>
      <w:hyperlink r:id="rId35" w:tooltip="This link opens the CDE California Alternate Assessments for ELA and Math web page.">
        <w:r w:rsidRPr="006C52F8">
          <w:rPr>
            <w:rFonts w:ascii="Arial" w:eastAsia="Arial" w:hAnsi="Arial" w:cs="Arial"/>
            <w:color w:val="0000FF"/>
            <w:u w:val="single"/>
          </w:rPr>
          <w:t>https://www.cde.ca.gov/ta/tg/ca/altassessment.asp</w:t>
        </w:r>
      </w:hyperlink>
      <w:r w:rsidR="00D40CB6" w:rsidRPr="006C52F8">
        <w:rPr>
          <w:rFonts w:ascii="Arial" w:eastAsia="Arial" w:hAnsi="Arial" w:cs="Arial"/>
          <w:color w:val="000000" w:themeColor="text1"/>
        </w:rPr>
        <w:t xml:space="preserve"> </w:t>
      </w:r>
      <w:r w:rsidRPr="006C52F8">
        <w:rPr>
          <w:rFonts w:ascii="Arial" w:eastAsia="Arial" w:hAnsi="Arial" w:cs="Arial"/>
          <w:color w:val="000000" w:themeColor="text1"/>
        </w:rPr>
        <w:t xml:space="preserve">and the </w:t>
      </w:r>
      <w:r w:rsidRPr="006C52F8">
        <w:rPr>
          <w:rFonts w:ascii="Arial" w:eastAsia="Arial" w:hAnsi="Arial" w:cs="Arial"/>
        </w:rPr>
        <w:t>CAA for Science</w:t>
      </w:r>
      <w:r w:rsidRPr="006C52F8">
        <w:rPr>
          <w:rFonts w:ascii="Arial" w:eastAsia="Arial" w:hAnsi="Arial" w:cs="Arial"/>
          <w:color w:val="000000" w:themeColor="text1"/>
        </w:rPr>
        <w:t xml:space="preserve"> </w:t>
      </w:r>
      <w:r w:rsidR="00D40CB6" w:rsidRPr="006C52F8">
        <w:rPr>
          <w:rFonts w:ascii="Arial" w:eastAsia="Arial" w:hAnsi="Arial" w:cs="Arial"/>
          <w:color w:val="000000" w:themeColor="text1"/>
        </w:rPr>
        <w:t>w</w:t>
      </w:r>
      <w:r w:rsidRPr="006C52F8">
        <w:rPr>
          <w:rFonts w:ascii="Arial" w:eastAsia="Arial" w:hAnsi="Arial" w:cs="Arial"/>
          <w:color w:val="000000" w:themeColor="text1"/>
        </w:rPr>
        <w:t xml:space="preserve">eb page at </w:t>
      </w:r>
      <w:hyperlink r:id="rId36" w:tooltip="This link opens the CAA for Science web page.">
        <w:r w:rsidRPr="006C52F8">
          <w:rPr>
            <w:rFonts w:ascii="Arial" w:eastAsia="Arial" w:hAnsi="Arial" w:cs="Arial"/>
            <w:color w:val="0000FF"/>
            <w:u w:val="single"/>
          </w:rPr>
          <w:t>https://www.cde.ca.gov/ta/tg/ca/caascience.asp</w:t>
        </w:r>
      </w:hyperlink>
      <w:r w:rsidRPr="006C52F8">
        <w:rPr>
          <w:rFonts w:ascii="Arial" w:eastAsia="Arial" w:hAnsi="Arial" w:cs="Arial"/>
          <w:color w:val="000000" w:themeColor="text1"/>
        </w:rPr>
        <w:t xml:space="preserve">. The decision to participate in the CAAs is made by students’ IEP team and documented accordingly in each student's IEP. The CDE also created the following accompanying resources for IEP teams: </w:t>
      </w:r>
    </w:p>
    <w:p w14:paraId="6524C895" w14:textId="0BC6149F" w:rsidR="00B355C5" w:rsidRPr="006C52F8" w:rsidRDefault="00D40CB6" w:rsidP="00B355C5">
      <w:pPr>
        <w:numPr>
          <w:ilvl w:val="0"/>
          <w:numId w:val="3"/>
        </w:numPr>
        <w:spacing w:after="240"/>
        <w:ind w:right="1440"/>
        <w:rPr>
          <w:rFonts w:ascii="Arial" w:eastAsia="Arial" w:hAnsi="Arial" w:cs="Arial"/>
          <w:color w:val="000000" w:themeColor="text1"/>
        </w:rPr>
      </w:pPr>
      <w:bookmarkStart w:id="4" w:name="_Hlk95893564"/>
      <w:r w:rsidRPr="006C52F8">
        <w:rPr>
          <w:rFonts w:ascii="Arial" w:eastAsia="Arial" w:hAnsi="Arial" w:cs="Arial"/>
          <w:color w:val="000000" w:themeColor="text1"/>
        </w:rPr>
        <w:t>“</w:t>
      </w:r>
      <w:r w:rsidR="00B355C5" w:rsidRPr="006C52F8">
        <w:rPr>
          <w:rFonts w:ascii="Arial" w:eastAsia="Arial" w:hAnsi="Arial" w:cs="Arial"/>
          <w:color w:val="000000" w:themeColor="text1"/>
        </w:rPr>
        <w:t>IEP Teams Resources</w:t>
      </w:r>
      <w:bookmarkEnd w:id="4"/>
      <w:r w:rsidRPr="006C52F8">
        <w:rPr>
          <w:rFonts w:ascii="Arial" w:eastAsia="Arial" w:hAnsi="Arial" w:cs="Arial"/>
          <w:color w:val="000000" w:themeColor="text1"/>
        </w:rPr>
        <w:t>”</w:t>
      </w:r>
      <w:r w:rsidR="00B355C5" w:rsidRPr="006C52F8">
        <w:rPr>
          <w:rFonts w:ascii="Arial" w:eastAsia="Arial" w:hAnsi="Arial" w:cs="Arial"/>
          <w:color w:val="000000" w:themeColor="text1"/>
        </w:rPr>
        <w:t xml:space="preserve"> flyer, which provides information on identifying the correct assessment for students and identifying appropriate accessibility resources for students (</w:t>
      </w:r>
      <w:hyperlink r:id="rId37" w:tooltip="This link opens the IEP Teams Resources flyer.">
        <w:r w:rsidR="00B355C5" w:rsidRPr="006C52F8">
          <w:rPr>
            <w:rFonts w:ascii="Arial" w:eastAsia="Arial" w:hAnsi="Arial" w:cs="Arial"/>
            <w:color w:val="0000FF"/>
            <w:u w:val="single"/>
          </w:rPr>
          <w:t>https://www.cde.ca.gov/ta/tg/sa/documents/iepedresource.pdf</w:t>
        </w:r>
      </w:hyperlink>
      <w:r w:rsidR="00B355C5" w:rsidRPr="006C52F8">
        <w:rPr>
          <w:rFonts w:ascii="Arial" w:eastAsia="Arial" w:hAnsi="Arial" w:cs="Arial"/>
          <w:color w:val="000000" w:themeColor="text1"/>
        </w:rPr>
        <w:t xml:space="preserve">) </w:t>
      </w:r>
    </w:p>
    <w:p w14:paraId="4F2FF729" w14:textId="511A0F30" w:rsidR="00B355C5" w:rsidRPr="006C52F8" w:rsidRDefault="00D40CB6" w:rsidP="00B355C5">
      <w:pPr>
        <w:numPr>
          <w:ilvl w:val="0"/>
          <w:numId w:val="3"/>
        </w:numPr>
        <w:spacing w:after="240"/>
        <w:ind w:right="1440"/>
        <w:rPr>
          <w:rFonts w:ascii="Arial" w:eastAsia="Arial" w:hAnsi="Arial" w:cs="Arial"/>
          <w:color w:val="000000" w:themeColor="text1"/>
        </w:rPr>
      </w:pPr>
      <w:r w:rsidRPr="006C52F8">
        <w:rPr>
          <w:rFonts w:ascii="Arial" w:eastAsia="Arial" w:hAnsi="Arial" w:cs="Arial"/>
          <w:color w:val="000000" w:themeColor="text1"/>
        </w:rPr>
        <w:lastRenderedPageBreak/>
        <w:t>“</w:t>
      </w:r>
      <w:r w:rsidR="00B355C5" w:rsidRPr="006C52F8">
        <w:rPr>
          <w:rFonts w:ascii="Arial" w:eastAsia="Arial" w:hAnsi="Arial" w:cs="Arial"/>
          <w:color w:val="000000" w:themeColor="text1"/>
        </w:rPr>
        <w:t>Alternate Assessment IEP Team Guidance,</w:t>
      </w:r>
      <w:r w:rsidRPr="006C52F8">
        <w:rPr>
          <w:rFonts w:ascii="Arial" w:eastAsia="Arial" w:hAnsi="Arial" w:cs="Arial"/>
          <w:color w:val="000000" w:themeColor="text1"/>
        </w:rPr>
        <w:t>”</w:t>
      </w:r>
      <w:r w:rsidR="00B355C5" w:rsidRPr="006C52F8">
        <w:rPr>
          <w:rFonts w:ascii="Arial" w:eastAsia="Arial" w:hAnsi="Arial" w:cs="Arial"/>
          <w:color w:val="000000" w:themeColor="text1"/>
        </w:rPr>
        <w:t xml:space="preserve"> which provides basic information on alternate assessments in California and specific participation criteria (</w:t>
      </w:r>
      <w:hyperlink r:id="rId38" w:tooltip="This link opens the Alternate Assessment IEP Team Guidance.">
        <w:r w:rsidR="00B355C5" w:rsidRPr="006C52F8">
          <w:rPr>
            <w:rFonts w:ascii="Arial" w:eastAsia="Arial" w:hAnsi="Arial" w:cs="Arial"/>
            <w:color w:val="0000FF"/>
            <w:u w:val="single"/>
          </w:rPr>
          <w:t>https://www.cde.ca.gov/ta/tg/ca/caaiepteamrev.asp</w:t>
        </w:r>
      </w:hyperlink>
      <w:r w:rsidR="00B355C5" w:rsidRPr="006C52F8">
        <w:rPr>
          <w:rFonts w:ascii="Arial" w:eastAsia="Arial" w:hAnsi="Arial" w:cs="Arial"/>
          <w:color w:val="000000" w:themeColor="text1"/>
        </w:rPr>
        <w:t xml:space="preserve">) </w:t>
      </w:r>
    </w:p>
    <w:p w14:paraId="7E29C379" w14:textId="2F39F539" w:rsidR="00B355C5" w:rsidRPr="006C52F8" w:rsidRDefault="00B355C5" w:rsidP="00FD65C1">
      <w:pPr>
        <w:numPr>
          <w:ilvl w:val="0"/>
          <w:numId w:val="5"/>
        </w:numPr>
        <w:spacing w:after="240"/>
        <w:rPr>
          <w:rFonts w:ascii="Arial" w:eastAsia="Arial" w:hAnsi="Arial" w:cs="Arial"/>
          <w:color w:val="000000" w:themeColor="text1"/>
        </w:rPr>
      </w:pPr>
      <w:r w:rsidRPr="006C52F8">
        <w:rPr>
          <w:rFonts w:ascii="Arial" w:eastAsia="Arial" w:hAnsi="Arial" w:cs="Arial"/>
        </w:rPr>
        <w:t xml:space="preserve">A clear description of how it will monitor and regularly evaluate each LEA to ensure that the LEA provides sufficient training such that school staff who participate as members of an IEP team or other placement team understand and implement the guidelines established by the State for participation in an AA-AAAS so that all students are appropriately assessed (see 34 </w:t>
      </w:r>
      <w:r w:rsidRPr="006C52F8">
        <w:rPr>
          <w:rFonts w:ascii="Arial" w:eastAsia="Arial" w:hAnsi="Arial" w:cs="Arial"/>
          <w:i/>
          <w:iCs/>
        </w:rPr>
        <w:t>CFR</w:t>
      </w:r>
      <w:r w:rsidRPr="006C52F8">
        <w:rPr>
          <w:rFonts w:ascii="Arial" w:eastAsia="Arial" w:hAnsi="Arial" w:cs="Arial"/>
        </w:rPr>
        <w:t xml:space="preserve"> 200.6[c][4][iv][B]).</w:t>
      </w:r>
    </w:p>
    <w:p w14:paraId="233CE229" w14:textId="4DAD2525" w:rsidR="00B355C5" w:rsidRPr="006C52F8" w:rsidRDefault="00B355C5" w:rsidP="00FD65C1">
      <w:pPr>
        <w:spacing w:after="240"/>
        <w:ind w:left="360"/>
        <w:rPr>
          <w:rFonts w:ascii="Arial" w:eastAsia="Arial" w:hAnsi="Arial" w:cs="Arial"/>
          <w:color w:val="000000" w:themeColor="text1"/>
        </w:rPr>
      </w:pPr>
      <w:r w:rsidRPr="006C52F8">
        <w:rPr>
          <w:rFonts w:ascii="Arial" w:eastAsia="Arial" w:hAnsi="Arial" w:cs="Arial"/>
          <w:color w:val="000000" w:themeColor="text1"/>
        </w:rPr>
        <w:t xml:space="preserve">The CDE will annually monitor and address all LEAs that have exceeded the 1.0 percent threshold on participation </w:t>
      </w:r>
      <w:r w:rsidR="00D40CB6" w:rsidRPr="006C52F8">
        <w:rPr>
          <w:rFonts w:ascii="Arial" w:eastAsia="Arial" w:hAnsi="Arial" w:cs="Arial"/>
          <w:color w:val="000000" w:themeColor="text1"/>
        </w:rPr>
        <w:t xml:space="preserve">in </w:t>
      </w:r>
      <w:r w:rsidRPr="006C52F8">
        <w:rPr>
          <w:rFonts w:ascii="Arial" w:eastAsia="Arial" w:hAnsi="Arial" w:cs="Arial"/>
          <w:color w:val="000000" w:themeColor="text1"/>
        </w:rPr>
        <w:t>the AA-AAAS. Current CDE procedures require all LEAs to report their specific participation rates</w:t>
      </w:r>
      <w:r w:rsidR="00D40CB6" w:rsidRPr="006C52F8">
        <w:rPr>
          <w:rFonts w:ascii="Arial" w:eastAsia="Arial" w:hAnsi="Arial" w:cs="Arial"/>
          <w:color w:val="000000" w:themeColor="text1"/>
        </w:rPr>
        <w:t>,</w:t>
      </w:r>
      <w:r w:rsidRPr="006C52F8">
        <w:rPr>
          <w:rFonts w:ascii="Arial" w:eastAsia="Arial" w:hAnsi="Arial" w:cs="Arial"/>
          <w:color w:val="000000" w:themeColor="text1"/>
        </w:rPr>
        <w:t xml:space="preserve"> regardless of whether the</w:t>
      </w:r>
      <w:r w:rsidR="00D40CB6" w:rsidRPr="006C52F8">
        <w:rPr>
          <w:rFonts w:ascii="Arial" w:eastAsia="Arial" w:hAnsi="Arial" w:cs="Arial"/>
          <w:color w:val="000000" w:themeColor="text1"/>
        </w:rPr>
        <w:t>y</w:t>
      </w:r>
      <w:r w:rsidRPr="006C52F8">
        <w:rPr>
          <w:rFonts w:ascii="Arial" w:eastAsia="Arial" w:hAnsi="Arial" w:cs="Arial"/>
          <w:color w:val="000000" w:themeColor="text1"/>
        </w:rPr>
        <w:t xml:space="preserve"> </w:t>
      </w:r>
      <w:r w:rsidR="00D40CB6" w:rsidRPr="006C52F8">
        <w:rPr>
          <w:rFonts w:ascii="Arial" w:eastAsia="Arial" w:hAnsi="Arial" w:cs="Arial"/>
          <w:color w:val="000000" w:themeColor="text1"/>
        </w:rPr>
        <w:t xml:space="preserve">have </w:t>
      </w:r>
      <w:r w:rsidRPr="006C52F8">
        <w:rPr>
          <w:rFonts w:ascii="Arial" w:eastAsia="Arial" w:hAnsi="Arial" w:cs="Arial"/>
          <w:color w:val="000000" w:themeColor="text1"/>
        </w:rPr>
        <w:t>exceed</w:t>
      </w:r>
      <w:r w:rsidR="00D40CB6" w:rsidRPr="006C52F8">
        <w:rPr>
          <w:rFonts w:ascii="Arial" w:eastAsia="Arial" w:hAnsi="Arial" w:cs="Arial"/>
          <w:color w:val="000000" w:themeColor="text1"/>
        </w:rPr>
        <w:t>ed</w:t>
      </w:r>
      <w:r w:rsidRPr="006C52F8">
        <w:rPr>
          <w:rFonts w:ascii="Arial" w:eastAsia="Arial" w:hAnsi="Arial" w:cs="Arial"/>
          <w:color w:val="000000" w:themeColor="text1"/>
        </w:rPr>
        <w:t xml:space="preserve"> the threshold. The CDE will engage with LEAs that exceeded the 1.0 percent threshold. That engagement may include the dissemination of information </w:t>
      </w:r>
      <w:r w:rsidR="00D40CB6" w:rsidRPr="006C52F8">
        <w:rPr>
          <w:rFonts w:ascii="Arial" w:eastAsia="Arial" w:hAnsi="Arial" w:cs="Arial"/>
          <w:color w:val="000000" w:themeColor="text1"/>
        </w:rPr>
        <w:t>on</w:t>
      </w:r>
      <w:r w:rsidRPr="006C52F8">
        <w:rPr>
          <w:rFonts w:ascii="Arial" w:eastAsia="Arial" w:hAnsi="Arial" w:cs="Arial"/>
          <w:color w:val="000000" w:themeColor="text1"/>
        </w:rPr>
        <w:t xml:space="preserve"> the appropriate identification of students, the dissemination of general IEP team guidance, the use of targeted strategies for confirming and reducing participation rates in the alternate assessment, and the use of potential findings of noncompliance.</w:t>
      </w:r>
    </w:p>
    <w:p w14:paraId="1DE682F0" w14:textId="42F34AA4" w:rsidR="00FB3B5F" w:rsidRPr="006C52F8" w:rsidRDefault="00B355C5" w:rsidP="00FD65C1">
      <w:pPr>
        <w:numPr>
          <w:ilvl w:val="0"/>
          <w:numId w:val="5"/>
        </w:numPr>
        <w:spacing w:after="240"/>
        <w:rPr>
          <w:rFonts w:asciiTheme="minorHAnsi" w:eastAsiaTheme="minorEastAsia" w:hAnsiTheme="minorHAnsi" w:cstheme="minorBidi"/>
        </w:rPr>
      </w:pPr>
      <w:r w:rsidRPr="006C52F8">
        <w:rPr>
          <w:rFonts w:ascii="Arial" w:eastAsia="Arial" w:hAnsi="Arial" w:cs="Arial"/>
        </w:rPr>
        <w:t xml:space="preserve">A clear description of how the State will address any disproportionality in the percentage of students taking an AA-AAAS as identified through the data provided (see 34 </w:t>
      </w:r>
      <w:r w:rsidRPr="006C52F8">
        <w:rPr>
          <w:rFonts w:ascii="Arial" w:eastAsia="Arial" w:hAnsi="Arial" w:cs="Arial"/>
          <w:i/>
          <w:iCs/>
        </w:rPr>
        <w:t>CFR</w:t>
      </w:r>
      <w:r w:rsidRPr="006C52F8">
        <w:rPr>
          <w:rFonts w:ascii="Arial" w:eastAsia="Arial" w:hAnsi="Arial" w:cs="Arial"/>
        </w:rPr>
        <w:t xml:space="preserve"> 200.6[c][4][iv][C]).</w:t>
      </w:r>
    </w:p>
    <w:p w14:paraId="71BCF344" w14:textId="5B712007" w:rsidR="00B355C5" w:rsidRPr="006C52F8" w:rsidRDefault="00B355C5" w:rsidP="00FB3B5F">
      <w:pPr>
        <w:spacing w:after="240"/>
        <w:ind w:left="360"/>
        <w:rPr>
          <w:rFonts w:asciiTheme="minorHAnsi" w:eastAsiaTheme="minorEastAsia" w:hAnsiTheme="minorHAnsi" w:cstheme="minorBidi"/>
        </w:rPr>
      </w:pPr>
      <w:r w:rsidRPr="006C52F8">
        <w:rPr>
          <w:rFonts w:ascii="Arial" w:eastAsia="Arial" w:hAnsi="Arial" w:cs="Arial"/>
          <w:color w:val="000000" w:themeColor="text1"/>
        </w:rPr>
        <w:t xml:space="preserve">To determine a risk for disproportionality, the CDE will examine the participation in the CAAs of each subgroup, compared to the participation in the CAAs of students not in the subgroup. The analysis of this risk will identify whether any of the subgroups are more likely than others not in the subgroup to participate in the CAAs. Information from this analysis will provide the CDE with anticipated participation and potential risk of disproportionality of student subgroups taking the CAAs. In turn, this information will be used to provide the basis for engaging affected LEAs to provide oversight and monitoring through the implementation of the CDE’s monitoring requirements under 34 </w:t>
      </w:r>
      <w:r w:rsidRPr="006C52F8">
        <w:rPr>
          <w:rFonts w:ascii="Arial" w:eastAsia="Arial" w:hAnsi="Arial" w:cs="Arial"/>
          <w:i/>
          <w:iCs/>
          <w:color w:val="000000" w:themeColor="text1"/>
        </w:rPr>
        <w:t>CFR</w:t>
      </w:r>
      <w:r w:rsidRPr="006C52F8">
        <w:rPr>
          <w:rFonts w:ascii="Arial" w:eastAsia="Arial" w:hAnsi="Arial" w:cs="Arial"/>
          <w:color w:val="000000" w:themeColor="text1"/>
        </w:rPr>
        <w:t xml:space="preserve"> 300.600.</w:t>
      </w:r>
    </w:p>
    <w:p w14:paraId="7AF21CF2" w14:textId="77777777" w:rsidR="00D2434F" w:rsidRPr="0020639F" w:rsidRDefault="00D2434F" w:rsidP="0020639F">
      <w:pPr>
        <w:rPr>
          <w:rFonts w:eastAsia="Arial"/>
        </w:rPr>
      </w:pPr>
      <w:r w:rsidRPr="0020639F">
        <w:rPr>
          <w:rFonts w:eastAsia="Arial"/>
        </w:rPr>
        <w:br w:type="page"/>
      </w:r>
    </w:p>
    <w:p w14:paraId="78CD76A1" w14:textId="410EB5C6" w:rsidR="00B355C5" w:rsidRPr="006C52F8" w:rsidRDefault="00B355C5" w:rsidP="000F763A">
      <w:pPr>
        <w:keepNext/>
        <w:spacing w:after="60"/>
        <w:rPr>
          <w:rFonts w:ascii="Arial" w:eastAsia="Arial" w:hAnsi="Arial" w:cs="Arial"/>
          <w:b/>
          <w:color w:val="000000" w:themeColor="text1"/>
        </w:rPr>
      </w:pPr>
      <w:r w:rsidRPr="006C52F8">
        <w:rPr>
          <w:rFonts w:ascii="Arial" w:eastAsia="Arial" w:hAnsi="Arial" w:cs="Arial"/>
          <w:b/>
          <w:bCs/>
          <w:color w:val="000000" w:themeColor="text1"/>
        </w:rPr>
        <w:lastRenderedPageBreak/>
        <w:t>California’s Timeline</w:t>
      </w:r>
    </w:p>
    <w:tbl>
      <w:tblPr>
        <w:tblStyle w:val="TableGrid1"/>
        <w:tblW w:w="5000" w:type="pct"/>
        <w:tblLayout w:type="fixed"/>
        <w:tblLook w:val="04A0" w:firstRow="1" w:lastRow="0" w:firstColumn="1" w:lastColumn="0" w:noHBand="0" w:noVBand="1"/>
        <w:tblCaption w:val="California’s Timeline "/>
        <w:tblDescription w:val="This table display California’s Timeline."/>
      </w:tblPr>
      <w:tblGrid>
        <w:gridCol w:w="5036"/>
        <w:gridCol w:w="2162"/>
        <w:gridCol w:w="2152"/>
      </w:tblGrid>
      <w:tr w:rsidR="00B355C5" w:rsidRPr="006C52F8" w14:paraId="20852800" w14:textId="77777777" w:rsidTr="04903AB9">
        <w:trPr>
          <w:cantSplit/>
          <w:tblHeader/>
        </w:trPr>
        <w:tc>
          <w:tcPr>
            <w:tcW w:w="2693" w:type="pct"/>
            <w:shd w:val="clear" w:color="auto" w:fill="D9D9D9" w:themeFill="background1" w:themeFillShade="D9"/>
            <w:tcMar>
              <w:top w:w="58" w:type="dxa"/>
              <w:left w:w="115" w:type="dxa"/>
              <w:bottom w:w="58" w:type="dxa"/>
              <w:right w:w="115" w:type="dxa"/>
            </w:tcMar>
            <w:vAlign w:val="center"/>
          </w:tcPr>
          <w:p w14:paraId="7D4CF34C" w14:textId="77777777" w:rsidR="00B355C5" w:rsidRPr="006C52F8" w:rsidRDefault="00B355C5" w:rsidP="00E422B0">
            <w:pPr>
              <w:ind w:right="-15"/>
              <w:jc w:val="center"/>
              <w:rPr>
                <w:rFonts w:ascii="Arial" w:eastAsia="Arial" w:hAnsi="Arial" w:cs="Arial"/>
                <w:color w:val="000000" w:themeColor="text1"/>
              </w:rPr>
            </w:pPr>
            <w:r w:rsidRPr="006C52F8">
              <w:rPr>
                <w:rFonts w:ascii="Arial" w:eastAsia="Arial" w:hAnsi="Arial" w:cs="Arial"/>
                <w:b/>
                <w:bCs/>
                <w:color w:val="000000" w:themeColor="text1"/>
              </w:rPr>
              <w:t>Description of Activity</w:t>
            </w:r>
          </w:p>
        </w:tc>
        <w:tc>
          <w:tcPr>
            <w:tcW w:w="1156" w:type="pct"/>
            <w:shd w:val="clear" w:color="auto" w:fill="D9D9D9" w:themeFill="background1" w:themeFillShade="D9"/>
            <w:tcMar>
              <w:top w:w="58" w:type="dxa"/>
              <w:left w:w="115" w:type="dxa"/>
              <w:bottom w:w="58" w:type="dxa"/>
              <w:right w:w="115" w:type="dxa"/>
            </w:tcMar>
            <w:vAlign w:val="center"/>
          </w:tcPr>
          <w:p w14:paraId="0C1EB1B5" w14:textId="77777777" w:rsidR="00B355C5" w:rsidRPr="006C52F8" w:rsidRDefault="00B355C5" w:rsidP="00E422B0">
            <w:pPr>
              <w:ind w:right="-18"/>
              <w:jc w:val="center"/>
              <w:rPr>
                <w:rFonts w:ascii="Arial" w:eastAsia="Arial" w:hAnsi="Arial" w:cs="Arial"/>
                <w:color w:val="000000" w:themeColor="text1"/>
              </w:rPr>
            </w:pPr>
            <w:r w:rsidRPr="006C52F8">
              <w:rPr>
                <w:rFonts w:ascii="Arial" w:eastAsia="Arial" w:hAnsi="Arial" w:cs="Arial"/>
                <w:b/>
                <w:bCs/>
                <w:color w:val="000000" w:themeColor="text1"/>
              </w:rPr>
              <w:t>2022 Completion Date</w:t>
            </w:r>
          </w:p>
        </w:tc>
        <w:tc>
          <w:tcPr>
            <w:tcW w:w="1151" w:type="pct"/>
            <w:shd w:val="clear" w:color="auto" w:fill="D9D9D9" w:themeFill="background1" w:themeFillShade="D9"/>
            <w:tcMar>
              <w:top w:w="58" w:type="dxa"/>
              <w:left w:w="115" w:type="dxa"/>
              <w:bottom w:w="58" w:type="dxa"/>
              <w:right w:w="115" w:type="dxa"/>
            </w:tcMar>
            <w:vAlign w:val="center"/>
          </w:tcPr>
          <w:p w14:paraId="1094336A" w14:textId="77777777" w:rsidR="00B355C5" w:rsidRPr="006C52F8" w:rsidRDefault="00B355C5" w:rsidP="00E422B0">
            <w:pPr>
              <w:ind w:right="-5"/>
              <w:jc w:val="center"/>
              <w:rPr>
                <w:rFonts w:ascii="Arial" w:eastAsia="Arial" w:hAnsi="Arial" w:cs="Arial"/>
                <w:b/>
                <w:bCs/>
                <w:color w:val="000000" w:themeColor="text1"/>
              </w:rPr>
            </w:pPr>
            <w:r w:rsidRPr="006C52F8">
              <w:rPr>
                <w:rFonts w:ascii="Arial" w:eastAsia="Arial" w:hAnsi="Arial" w:cs="Arial"/>
                <w:b/>
                <w:bCs/>
                <w:color w:val="000000" w:themeColor="text1"/>
              </w:rPr>
              <w:t>2023 Completion Date</w:t>
            </w:r>
          </w:p>
        </w:tc>
      </w:tr>
      <w:tr w:rsidR="00B355C5" w:rsidRPr="006C52F8" w14:paraId="478607AD" w14:textId="77777777" w:rsidTr="04903AB9">
        <w:trPr>
          <w:cantSplit/>
        </w:trPr>
        <w:tc>
          <w:tcPr>
            <w:tcW w:w="2693" w:type="pct"/>
            <w:tcMar>
              <w:top w:w="58" w:type="dxa"/>
              <w:left w:w="115" w:type="dxa"/>
              <w:bottom w:w="58" w:type="dxa"/>
              <w:right w:w="115" w:type="dxa"/>
            </w:tcMar>
          </w:tcPr>
          <w:p w14:paraId="2F5C4E36" w14:textId="77777777" w:rsidR="00B355C5" w:rsidRPr="006C52F8" w:rsidRDefault="00B355C5" w:rsidP="003C5093">
            <w:pPr>
              <w:numPr>
                <w:ilvl w:val="0"/>
                <w:numId w:val="7"/>
              </w:numPr>
              <w:rPr>
                <w:rFonts w:ascii="Arial" w:eastAsiaTheme="minorEastAsia" w:hAnsi="Arial" w:cs="Arial"/>
                <w:color w:val="000000" w:themeColor="text1"/>
              </w:rPr>
            </w:pPr>
            <w:r w:rsidRPr="006C52F8">
              <w:rPr>
                <w:rFonts w:ascii="Arial" w:eastAsia="Arial" w:hAnsi="Arial" w:cs="Arial"/>
                <w:color w:val="000000" w:themeColor="text1"/>
              </w:rPr>
              <w:t>Presentation to the Advisory Commission for Special Education for awareness and input</w:t>
            </w:r>
          </w:p>
        </w:tc>
        <w:tc>
          <w:tcPr>
            <w:tcW w:w="1156" w:type="pct"/>
            <w:tcMar>
              <w:top w:w="58" w:type="dxa"/>
              <w:left w:w="115" w:type="dxa"/>
              <w:bottom w:w="58" w:type="dxa"/>
              <w:right w:w="115" w:type="dxa"/>
            </w:tcMar>
          </w:tcPr>
          <w:p w14:paraId="033128AA" w14:textId="305B1AB4" w:rsidR="00B355C5" w:rsidRPr="006C52F8" w:rsidRDefault="00B355C5" w:rsidP="00E422B0">
            <w:pPr>
              <w:ind w:right="-18"/>
              <w:jc w:val="center"/>
              <w:rPr>
                <w:rFonts w:ascii="Arial" w:eastAsia="Arial" w:hAnsi="Arial" w:cs="Arial"/>
                <w:color w:val="000000" w:themeColor="text1"/>
              </w:rPr>
            </w:pPr>
            <w:r w:rsidRPr="006C52F8">
              <w:rPr>
                <w:rFonts w:ascii="Arial" w:eastAsia="Arial" w:hAnsi="Arial" w:cs="Arial"/>
                <w:color w:val="000000" w:themeColor="text1"/>
              </w:rPr>
              <w:t>February 2022</w:t>
            </w:r>
          </w:p>
        </w:tc>
        <w:tc>
          <w:tcPr>
            <w:tcW w:w="1151" w:type="pct"/>
            <w:tcMar>
              <w:top w:w="58" w:type="dxa"/>
              <w:left w:w="115" w:type="dxa"/>
              <w:bottom w:w="58" w:type="dxa"/>
              <w:right w:w="115" w:type="dxa"/>
            </w:tcMar>
          </w:tcPr>
          <w:p w14:paraId="0FF1BA55" w14:textId="77777777" w:rsidR="00B355C5" w:rsidRPr="006C52F8" w:rsidRDefault="00B355C5" w:rsidP="00E422B0">
            <w:pPr>
              <w:ind w:right="-18"/>
              <w:jc w:val="center"/>
              <w:rPr>
                <w:rFonts w:ascii="Arial" w:eastAsia="Arial" w:hAnsi="Arial" w:cs="Arial"/>
                <w:color w:val="000000" w:themeColor="text1"/>
              </w:rPr>
            </w:pPr>
            <w:r w:rsidRPr="006C52F8">
              <w:rPr>
                <w:rFonts w:ascii="Arial" w:eastAsia="Arial" w:hAnsi="Arial" w:cs="Arial"/>
                <w:color w:val="000000" w:themeColor="text1"/>
              </w:rPr>
              <w:t>February 2023</w:t>
            </w:r>
          </w:p>
        </w:tc>
      </w:tr>
      <w:tr w:rsidR="003C5093" w:rsidRPr="006C52F8" w14:paraId="3BB1A14F" w14:textId="77777777" w:rsidTr="04903AB9">
        <w:trPr>
          <w:cantSplit/>
        </w:trPr>
        <w:tc>
          <w:tcPr>
            <w:tcW w:w="2693" w:type="pct"/>
            <w:tcMar>
              <w:top w:w="58" w:type="dxa"/>
              <w:left w:w="115" w:type="dxa"/>
              <w:bottom w:w="58" w:type="dxa"/>
              <w:right w:w="115" w:type="dxa"/>
            </w:tcMar>
          </w:tcPr>
          <w:p w14:paraId="7BE15C8C" w14:textId="138D98E2" w:rsidR="003C5093" w:rsidRPr="006C52F8" w:rsidRDefault="003C5093" w:rsidP="003C5093">
            <w:pPr>
              <w:numPr>
                <w:ilvl w:val="0"/>
                <w:numId w:val="7"/>
              </w:numPr>
              <w:rPr>
                <w:rFonts w:ascii="Arial" w:eastAsiaTheme="minorEastAsia" w:hAnsi="Arial" w:cs="Arial"/>
                <w:color w:val="000000" w:themeColor="text1"/>
              </w:rPr>
            </w:pPr>
            <w:r w:rsidRPr="006C52F8">
              <w:rPr>
                <w:rFonts w:ascii="Arial" w:eastAsia="Arial" w:hAnsi="Arial" w:cs="Arial"/>
                <w:color w:val="000000" w:themeColor="text1"/>
              </w:rPr>
              <w:t>Presentation of 1.0 percent threshold requirements to LEA coordinators at the annual statewide Assessment Information Meeting</w:t>
            </w:r>
          </w:p>
        </w:tc>
        <w:tc>
          <w:tcPr>
            <w:tcW w:w="1156" w:type="pct"/>
            <w:tcMar>
              <w:top w:w="58" w:type="dxa"/>
              <w:left w:w="115" w:type="dxa"/>
              <w:bottom w:w="58" w:type="dxa"/>
              <w:right w:w="115" w:type="dxa"/>
            </w:tcMar>
          </w:tcPr>
          <w:p w14:paraId="0FA86BDC" w14:textId="4B1A04E0" w:rsidR="003C5093" w:rsidRPr="006C52F8" w:rsidRDefault="003C5093" w:rsidP="003C5093">
            <w:pPr>
              <w:ind w:right="-18"/>
              <w:jc w:val="center"/>
              <w:rPr>
                <w:rFonts w:ascii="Arial" w:eastAsia="Arial" w:hAnsi="Arial" w:cs="Arial"/>
                <w:color w:val="000000" w:themeColor="text1"/>
              </w:rPr>
            </w:pPr>
            <w:r w:rsidRPr="006C52F8">
              <w:rPr>
                <w:rFonts w:ascii="Arial" w:eastAsia="Arial" w:hAnsi="Arial" w:cs="Arial"/>
                <w:color w:val="000000" w:themeColor="text1"/>
              </w:rPr>
              <w:t>August 2022</w:t>
            </w:r>
          </w:p>
        </w:tc>
        <w:tc>
          <w:tcPr>
            <w:tcW w:w="1151" w:type="pct"/>
            <w:tcMar>
              <w:top w:w="58" w:type="dxa"/>
              <w:left w:w="115" w:type="dxa"/>
              <w:bottom w:w="58" w:type="dxa"/>
              <w:right w:w="115" w:type="dxa"/>
            </w:tcMar>
          </w:tcPr>
          <w:p w14:paraId="4B3E9A48" w14:textId="4039EDE6" w:rsidR="003C5093" w:rsidRPr="006C52F8" w:rsidRDefault="003C5093" w:rsidP="003C5093">
            <w:pPr>
              <w:ind w:right="-18"/>
              <w:jc w:val="center"/>
              <w:rPr>
                <w:rFonts w:ascii="Arial" w:eastAsia="Arial" w:hAnsi="Arial" w:cs="Arial"/>
                <w:color w:val="000000" w:themeColor="text1"/>
              </w:rPr>
            </w:pPr>
            <w:r w:rsidRPr="006C52F8">
              <w:rPr>
                <w:rFonts w:ascii="Arial" w:eastAsia="Arial" w:hAnsi="Arial" w:cs="Arial"/>
                <w:color w:val="000000" w:themeColor="text1"/>
              </w:rPr>
              <w:t>August 2023</w:t>
            </w:r>
          </w:p>
        </w:tc>
      </w:tr>
      <w:tr w:rsidR="00A7552A" w:rsidRPr="006C52F8" w14:paraId="34BBCD45" w14:textId="77777777" w:rsidTr="04903AB9">
        <w:trPr>
          <w:cantSplit/>
        </w:trPr>
        <w:tc>
          <w:tcPr>
            <w:tcW w:w="2693" w:type="pct"/>
            <w:tcMar>
              <w:top w:w="58" w:type="dxa"/>
              <w:left w:w="115" w:type="dxa"/>
              <w:bottom w:w="58" w:type="dxa"/>
              <w:right w:w="115" w:type="dxa"/>
            </w:tcMar>
          </w:tcPr>
          <w:p w14:paraId="718E8CF3" w14:textId="5E9C456C" w:rsidR="00A7552A" w:rsidRPr="006C52F8" w:rsidRDefault="00A7552A" w:rsidP="00A7552A">
            <w:pPr>
              <w:numPr>
                <w:ilvl w:val="0"/>
                <w:numId w:val="7"/>
              </w:numPr>
              <w:rPr>
                <w:rFonts w:ascii="Arial" w:eastAsiaTheme="minorEastAsia" w:hAnsi="Arial" w:cs="Arial"/>
                <w:color w:val="000000" w:themeColor="text1"/>
              </w:rPr>
            </w:pPr>
            <w:r w:rsidRPr="006C52F8">
              <w:rPr>
                <w:rFonts w:ascii="Arial" w:eastAsia="Arial" w:hAnsi="Arial" w:cs="Arial"/>
                <w:color w:val="000000" w:themeColor="text1"/>
              </w:rPr>
              <w:t xml:space="preserve">Notification to LEA superintendents about the requirement to test all students and the importance of reporting and providing justification for potentially exceeding the 1.0 percent threshold; Administration of the 1.0 Percent Threshold Survey to LEAs </w:t>
            </w:r>
            <w:hyperlink r:id="rId39" w:tooltip="This link opens the One Percent Threshold on Alternate Assessments web page on the CDE website.">
              <w:r w:rsidRPr="006C52F8">
                <w:rPr>
                  <w:rFonts w:ascii="Arial" w:eastAsia="Arial" w:hAnsi="Arial" w:cs="Arial"/>
                  <w:color w:val="0000FF"/>
                  <w:u w:val="single"/>
                </w:rPr>
                <w:t>https://www.cde.ca.gov/ta/tg/ca/caaonepercent.asp</w:t>
              </w:r>
            </w:hyperlink>
          </w:p>
        </w:tc>
        <w:tc>
          <w:tcPr>
            <w:tcW w:w="1156" w:type="pct"/>
            <w:tcMar>
              <w:top w:w="58" w:type="dxa"/>
              <w:left w:w="115" w:type="dxa"/>
              <w:bottom w:w="58" w:type="dxa"/>
              <w:right w:w="115" w:type="dxa"/>
            </w:tcMar>
          </w:tcPr>
          <w:p w14:paraId="04C2357A" w14:textId="6644BDEC" w:rsidR="00A7552A" w:rsidRPr="006C52F8" w:rsidRDefault="00A7552A" w:rsidP="00A7552A">
            <w:pPr>
              <w:ind w:right="-18"/>
              <w:jc w:val="center"/>
              <w:rPr>
                <w:rFonts w:ascii="Arial" w:eastAsia="Arial" w:hAnsi="Arial" w:cs="Arial"/>
                <w:color w:val="000000" w:themeColor="text1"/>
              </w:rPr>
            </w:pPr>
            <w:r w:rsidRPr="006C52F8">
              <w:rPr>
                <w:rFonts w:ascii="Arial" w:eastAsia="Arial" w:hAnsi="Arial" w:cs="Arial"/>
                <w:color w:val="000000" w:themeColor="text1"/>
              </w:rPr>
              <w:t>August–September 2022</w:t>
            </w:r>
          </w:p>
        </w:tc>
        <w:tc>
          <w:tcPr>
            <w:tcW w:w="1151" w:type="pct"/>
            <w:tcMar>
              <w:top w:w="58" w:type="dxa"/>
              <w:left w:w="115" w:type="dxa"/>
              <w:bottom w:w="58" w:type="dxa"/>
              <w:right w:w="115" w:type="dxa"/>
            </w:tcMar>
          </w:tcPr>
          <w:p w14:paraId="298A2BB7" w14:textId="329CF5B6" w:rsidR="00A7552A" w:rsidRPr="006C52F8" w:rsidRDefault="00A7552A" w:rsidP="00A7552A">
            <w:pPr>
              <w:ind w:right="-18"/>
              <w:jc w:val="center"/>
              <w:rPr>
                <w:rFonts w:ascii="Arial" w:eastAsia="Arial" w:hAnsi="Arial" w:cs="Arial"/>
                <w:color w:val="000000" w:themeColor="text1"/>
              </w:rPr>
            </w:pPr>
            <w:r w:rsidRPr="006C52F8">
              <w:rPr>
                <w:rFonts w:ascii="Arial" w:eastAsia="Arial" w:hAnsi="Arial" w:cs="Arial"/>
                <w:color w:val="000000" w:themeColor="text1"/>
              </w:rPr>
              <w:t>August–September 2023</w:t>
            </w:r>
          </w:p>
        </w:tc>
      </w:tr>
      <w:tr w:rsidR="00B355C5" w:rsidRPr="006C52F8" w14:paraId="133994F4" w14:textId="77777777" w:rsidTr="04903AB9">
        <w:trPr>
          <w:cantSplit/>
        </w:trPr>
        <w:tc>
          <w:tcPr>
            <w:tcW w:w="2693" w:type="pct"/>
            <w:tcMar>
              <w:top w:w="58" w:type="dxa"/>
              <w:left w:w="115" w:type="dxa"/>
              <w:bottom w:w="58" w:type="dxa"/>
              <w:right w:w="115" w:type="dxa"/>
            </w:tcMar>
          </w:tcPr>
          <w:p w14:paraId="618C5D5A" w14:textId="27F89073" w:rsidR="00B355C5" w:rsidRPr="006C52F8" w:rsidRDefault="00CB7D9D" w:rsidP="003C5093">
            <w:pPr>
              <w:pStyle w:val="ListParagraph"/>
              <w:numPr>
                <w:ilvl w:val="0"/>
                <w:numId w:val="7"/>
              </w:numPr>
              <w:rPr>
                <w:rFonts w:eastAsiaTheme="minorEastAsia" w:cs="Arial"/>
                <w:color w:val="000000" w:themeColor="text1"/>
              </w:rPr>
            </w:pPr>
            <w:r w:rsidRPr="006C52F8">
              <w:rPr>
                <w:rFonts w:eastAsia="Arial" w:cs="Arial"/>
                <w:color w:val="000000" w:themeColor="text1"/>
              </w:rPr>
              <w:t>A</w:t>
            </w:r>
            <w:r w:rsidR="00447FF0" w:rsidRPr="006C52F8">
              <w:rPr>
                <w:rFonts w:eastAsia="Arial" w:cs="Arial"/>
                <w:color w:val="000000" w:themeColor="text1"/>
              </w:rPr>
              <w:t xml:space="preserve">nalysis of assessment data to identify LEAs that exceeded the 1.0 percent </w:t>
            </w:r>
            <w:r w:rsidR="00887566" w:rsidRPr="006C52F8">
              <w:rPr>
                <w:rFonts w:eastAsia="Arial" w:cs="Arial"/>
                <w:color w:val="000000" w:themeColor="text1"/>
              </w:rPr>
              <w:t>cap</w:t>
            </w:r>
            <w:r w:rsidR="00447FF0" w:rsidRPr="006C52F8">
              <w:rPr>
                <w:rFonts w:eastAsia="Arial" w:cs="Arial"/>
                <w:color w:val="000000" w:themeColor="text1"/>
              </w:rPr>
              <w:t xml:space="preserve"> and did not complete the 1.0 Percent Threshold Survey</w:t>
            </w:r>
          </w:p>
        </w:tc>
        <w:tc>
          <w:tcPr>
            <w:tcW w:w="1156" w:type="pct"/>
            <w:tcMar>
              <w:top w:w="58" w:type="dxa"/>
              <w:left w:w="115" w:type="dxa"/>
              <w:bottom w:w="58" w:type="dxa"/>
              <w:right w:w="115" w:type="dxa"/>
            </w:tcMar>
          </w:tcPr>
          <w:p w14:paraId="60E6351D" w14:textId="35496F7F" w:rsidR="00B355C5" w:rsidRPr="006C52F8" w:rsidRDefault="00A7552A" w:rsidP="00E422B0">
            <w:pPr>
              <w:ind w:right="-18"/>
              <w:jc w:val="center"/>
              <w:rPr>
                <w:rFonts w:ascii="Arial" w:eastAsia="Arial" w:hAnsi="Arial" w:cs="Arial"/>
                <w:color w:val="000000" w:themeColor="text1"/>
              </w:rPr>
            </w:pPr>
            <w:r w:rsidRPr="006C52F8">
              <w:rPr>
                <w:rFonts w:ascii="Arial" w:eastAsia="Arial" w:hAnsi="Arial" w:cs="Arial"/>
                <w:color w:val="000000" w:themeColor="text1"/>
              </w:rPr>
              <w:t>Fall 2022</w:t>
            </w:r>
          </w:p>
        </w:tc>
        <w:tc>
          <w:tcPr>
            <w:tcW w:w="1151" w:type="pct"/>
            <w:tcMar>
              <w:top w:w="58" w:type="dxa"/>
              <w:left w:w="115" w:type="dxa"/>
              <w:bottom w:w="58" w:type="dxa"/>
              <w:right w:w="115" w:type="dxa"/>
            </w:tcMar>
          </w:tcPr>
          <w:p w14:paraId="7A907731" w14:textId="6585480A" w:rsidR="00B355C5" w:rsidRPr="006C52F8" w:rsidRDefault="00A7552A" w:rsidP="00E422B0">
            <w:pPr>
              <w:ind w:right="-18"/>
              <w:jc w:val="center"/>
              <w:rPr>
                <w:rFonts w:ascii="Arial" w:eastAsia="Arial" w:hAnsi="Arial" w:cs="Arial"/>
                <w:color w:val="000000" w:themeColor="text1"/>
              </w:rPr>
            </w:pPr>
            <w:r w:rsidRPr="006C52F8">
              <w:rPr>
                <w:rFonts w:ascii="Arial" w:eastAsia="Arial" w:hAnsi="Arial" w:cs="Arial"/>
                <w:color w:val="000000" w:themeColor="text1"/>
              </w:rPr>
              <w:t>Fall 2023</w:t>
            </w:r>
          </w:p>
        </w:tc>
      </w:tr>
      <w:tr w:rsidR="00B355C5" w:rsidRPr="006C52F8" w14:paraId="24BCE950" w14:textId="77777777" w:rsidTr="04903AB9">
        <w:trPr>
          <w:cantSplit/>
        </w:trPr>
        <w:tc>
          <w:tcPr>
            <w:tcW w:w="2693" w:type="pct"/>
            <w:tcMar>
              <w:top w:w="58" w:type="dxa"/>
              <w:left w:w="115" w:type="dxa"/>
              <w:bottom w:w="58" w:type="dxa"/>
              <w:right w:w="115" w:type="dxa"/>
            </w:tcMar>
          </w:tcPr>
          <w:p w14:paraId="23141BC0" w14:textId="7A7E1D30" w:rsidR="00B355C5" w:rsidRPr="006C52F8" w:rsidRDefault="00B355C5" w:rsidP="003C5093">
            <w:pPr>
              <w:numPr>
                <w:ilvl w:val="0"/>
                <w:numId w:val="7"/>
              </w:numPr>
              <w:rPr>
                <w:rFonts w:ascii="Arial" w:eastAsiaTheme="minorEastAsia" w:hAnsi="Arial" w:cs="Arial"/>
                <w:color w:val="000000" w:themeColor="text1"/>
              </w:rPr>
            </w:pPr>
            <w:r w:rsidRPr="006C52F8">
              <w:rPr>
                <w:rFonts w:ascii="Arial" w:eastAsia="Arial" w:hAnsi="Arial" w:cs="Arial"/>
                <w:color w:val="000000" w:themeColor="text1"/>
              </w:rPr>
              <w:t>Submission of the</w:t>
            </w:r>
            <w:r w:rsidR="1F685F19" w:rsidRPr="006C52F8">
              <w:rPr>
                <w:rFonts w:ascii="Arial" w:eastAsia="Arial" w:hAnsi="Arial" w:cs="Arial"/>
                <w:color w:val="000000" w:themeColor="text1"/>
              </w:rPr>
              <w:t xml:space="preserve"> request for a waiver of the</w:t>
            </w:r>
            <w:r w:rsidRPr="006C52F8">
              <w:rPr>
                <w:rFonts w:ascii="Arial" w:eastAsia="Arial" w:hAnsi="Arial" w:cs="Arial"/>
                <w:color w:val="000000" w:themeColor="text1"/>
              </w:rPr>
              <w:t xml:space="preserve"> 1.0 percent cap if a review of the spring 2022 administration data indicates a need for such a request</w:t>
            </w:r>
          </w:p>
        </w:tc>
        <w:tc>
          <w:tcPr>
            <w:tcW w:w="1156" w:type="pct"/>
            <w:tcMar>
              <w:top w:w="58" w:type="dxa"/>
              <w:left w:w="115" w:type="dxa"/>
              <w:bottom w:w="58" w:type="dxa"/>
              <w:right w:w="115" w:type="dxa"/>
            </w:tcMar>
          </w:tcPr>
          <w:p w14:paraId="557956B0" w14:textId="70A882A5" w:rsidR="00B355C5" w:rsidRPr="006C52F8" w:rsidRDefault="00EE686B" w:rsidP="00E422B0">
            <w:pPr>
              <w:ind w:right="-18"/>
              <w:jc w:val="center"/>
              <w:rPr>
                <w:rFonts w:ascii="Arial" w:hAnsi="Arial"/>
              </w:rPr>
            </w:pPr>
            <w:r w:rsidRPr="006C52F8">
              <w:rPr>
                <w:rFonts w:ascii="Arial" w:eastAsia="Arial" w:hAnsi="Arial" w:cs="Arial"/>
                <w:color w:val="000000" w:themeColor="text1"/>
              </w:rPr>
              <w:t>Fall</w:t>
            </w:r>
            <w:r w:rsidR="00A2328B" w:rsidRPr="006C52F8">
              <w:rPr>
                <w:rFonts w:ascii="Arial" w:eastAsia="Arial" w:hAnsi="Arial" w:cs="Arial"/>
                <w:color w:val="000000" w:themeColor="text1"/>
              </w:rPr>
              <w:t xml:space="preserve"> </w:t>
            </w:r>
            <w:r w:rsidR="00B355C5" w:rsidRPr="006C52F8">
              <w:rPr>
                <w:rFonts w:ascii="Arial" w:eastAsia="Arial" w:hAnsi="Arial" w:cs="Arial"/>
                <w:color w:val="000000" w:themeColor="text1"/>
              </w:rPr>
              <w:t>2022</w:t>
            </w:r>
          </w:p>
        </w:tc>
        <w:tc>
          <w:tcPr>
            <w:tcW w:w="1151" w:type="pct"/>
            <w:tcMar>
              <w:top w:w="58" w:type="dxa"/>
              <w:left w:w="115" w:type="dxa"/>
              <w:bottom w:w="58" w:type="dxa"/>
              <w:right w:w="115" w:type="dxa"/>
            </w:tcMar>
          </w:tcPr>
          <w:p w14:paraId="2AFF71C9" w14:textId="1E91DEC7" w:rsidR="00B355C5" w:rsidRPr="006C52F8" w:rsidRDefault="00EE686B" w:rsidP="00E422B0">
            <w:pPr>
              <w:ind w:right="-18"/>
              <w:jc w:val="center"/>
              <w:rPr>
                <w:rFonts w:ascii="Arial" w:eastAsia="Arial" w:hAnsi="Arial" w:cs="Arial"/>
                <w:color w:val="000000" w:themeColor="text1"/>
              </w:rPr>
            </w:pPr>
            <w:r w:rsidRPr="006C52F8">
              <w:rPr>
                <w:rFonts w:ascii="Arial" w:eastAsia="Arial" w:hAnsi="Arial" w:cs="Arial"/>
                <w:color w:val="000000" w:themeColor="text1"/>
              </w:rPr>
              <w:t>Fall</w:t>
            </w:r>
            <w:r w:rsidR="00A2328B" w:rsidRPr="006C52F8">
              <w:rPr>
                <w:rFonts w:ascii="Arial" w:eastAsia="Arial" w:hAnsi="Arial" w:cs="Arial"/>
                <w:color w:val="000000" w:themeColor="text1"/>
              </w:rPr>
              <w:t xml:space="preserve"> </w:t>
            </w:r>
            <w:r w:rsidR="00B355C5" w:rsidRPr="006C52F8">
              <w:rPr>
                <w:rFonts w:ascii="Arial" w:eastAsia="Arial" w:hAnsi="Arial" w:cs="Arial"/>
                <w:color w:val="000000" w:themeColor="text1"/>
              </w:rPr>
              <w:t>2023</w:t>
            </w:r>
          </w:p>
        </w:tc>
      </w:tr>
      <w:tr w:rsidR="00B355C5" w:rsidRPr="006C52F8" w14:paraId="182113B9" w14:textId="77777777" w:rsidTr="04903AB9">
        <w:trPr>
          <w:cantSplit/>
        </w:trPr>
        <w:tc>
          <w:tcPr>
            <w:tcW w:w="2693" w:type="pct"/>
            <w:tcMar>
              <w:top w:w="58" w:type="dxa"/>
              <w:left w:w="115" w:type="dxa"/>
              <w:bottom w:w="58" w:type="dxa"/>
              <w:right w:w="115" w:type="dxa"/>
            </w:tcMar>
          </w:tcPr>
          <w:p w14:paraId="7E4F6BDD" w14:textId="0314EF60" w:rsidR="00B355C5" w:rsidRPr="006C52F8" w:rsidRDefault="00B355C5" w:rsidP="003C5093">
            <w:pPr>
              <w:numPr>
                <w:ilvl w:val="0"/>
                <w:numId w:val="7"/>
              </w:numPr>
              <w:rPr>
                <w:rFonts w:ascii="Arial" w:eastAsiaTheme="minorEastAsia" w:hAnsi="Arial" w:cs="Arial"/>
                <w:color w:val="000000" w:themeColor="text1"/>
              </w:rPr>
            </w:pPr>
            <w:r w:rsidRPr="006C52F8">
              <w:rPr>
                <w:rFonts w:ascii="Arial" w:eastAsia="Arial" w:hAnsi="Arial" w:cs="Arial"/>
                <w:color w:val="000000" w:themeColor="text1"/>
              </w:rPr>
              <w:t xml:space="preserve">Review of guidelines and provision of guidance on eligibility for participation in the AA-AAAS </w:t>
            </w:r>
            <w:r w:rsidR="1F685F19" w:rsidRPr="006C52F8">
              <w:rPr>
                <w:rFonts w:ascii="Arial" w:eastAsia="Arial" w:hAnsi="Arial" w:cs="Arial"/>
                <w:color w:val="000000" w:themeColor="text1"/>
              </w:rPr>
              <w:t xml:space="preserve">included as part of pretest workshops throughout the state </w:t>
            </w:r>
            <w:r w:rsidRPr="006C52F8">
              <w:rPr>
                <w:rFonts w:ascii="Arial" w:eastAsia="Arial" w:hAnsi="Arial" w:cs="Arial"/>
                <w:color w:val="000000" w:themeColor="text1"/>
              </w:rPr>
              <w:t>to ensure</w:t>
            </w:r>
            <w:r w:rsidR="1F685F19" w:rsidRPr="006C52F8">
              <w:rPr>
                <w:rFonts w:ascii="Arial" w:eastAsia="Arial" w:hAnsi="Arial" w:cs="Arial"/>
                <w:color w:val="000000" w:themeColor="text1"/>
              </w:rPr>
              <w:t xml:space="preserve"> the</w:t>
            </w:r>
            <w:r w:rsidRPr="006C52F8">
              <w:rPr>
                <w:rFonts w:ascii="Arial" w:eastAsia="Arial" w:hAnsi="Arial" w:cs="Arial"/>
                <w:color w:val="000000" w:themeColor="text1"/>
              </w:rPr>
              <w:t xml:space="preserve"> appropriate identification of students for alternate assessments</w:t>
            </w:r>
          </w:p>
        </w:tc>
        <w:tc>
          <w:tcPr>
            <w:tcW w:w="1156" w:type="pct"/>
            <w:tcMar>
              <w:top w:w="58" w:type="dxa"/>
              <w:left w:w="115" w:type="dxa"/>
              <w:bottom w:w="58" w:type="dxa"/>
              <w:right w:w="115" w:type="dxa"/>
            </w:tcMar>
          </w:tcPr>
          <w:p w14:paraId="47E9FA44" w14:textId="77777777" w:rsidR="00B355C5" w:rsidRPr="006C52F8" w:rsidRDefault="00B355C5" w:rsidP="00E422B0">
            <w:pPr>
              <w:ind w:right="-18"/>
              <w:jc w:val="center"/>
              <w:rPr>
                <w:rFonts w:ascii="Arial" w:eastAsia="Arial" w:hAnsi="Arial" w:cs="Arial"/>
                <w:color w:val="000000" w:themeColor="text1"/>
              </w:rPr>
            </w:pPr>
            <w:r w:rsidRPr="006C52F8">
              <w:rPr>
                <w:rFonts w:ascii="Arial" w:eastAsia="Arial" w:hAnsi="Arial" w:cs="Arial"/>
                <w:color w:val="000000" w:themeColor="text1"/>
              </w:rPr>
              <w:t>September 2021–February 2022</w:t>
            </w:r>
          </w:p>
        </w:tc>
        <w:tc>
          <w:tcPr>
            <w:tcW w:w="1151" w:type="pct"/>
            <w:tcMar>
              <w:top w:w="58" w:type="dxa"/>
              <w:left w:w="115" w:type="dxa"/>
              <w:bottom w:w="58" w:type="dxa"/>
              <w:right w:w="115" w:type="dxa"/>
            </w:tcMar>
          </w:tcPr>
          <w:p w14:paraId="7632DBA4" w14:textId="77777777" w:rsidR="00B355C5" w:rsidRPr="006C52F8" w:rsidRDefault="00B355C5" w:rsidP="00E422B0">
            <w:pPr>
              <w:ind w:right="-18"/>
              <w:jc w:val="center"/>
              <w:rPr>
                <w:rFonts w:ascii="Arial" w:eastAsia="Arial" w:hAnsi="Arial" w:cs="Arial"/>
                <w:color w:val="000000" w:themeColor="text1"/>
              </w:rPr>
            </w:pPr>
            <w:r w:rsidRPr="006C52F8">
              <w:rPr>
                <w:rFonts w:ascii="Arial" w:eastAsia="Arial" w:hAnsi="Arial" w:cs="Arial"/>
                <w:color w:val="000000" w:themeColor="text1"/>
              </w:rPr>
              <w:t>September 2022–February 2023</w:t>
            </w:r>
          </w:p>
        </w:tc>
      </w:tr>
      <w:tr w:rsidR="00B355C5" w:rsidRPr="006C52F8" w14:paraId="77AFB337" w14:textId="77777777" w:rsidTr="04903AB9">
        <w:trPr>
          <w:cantSplit/>
        </w:trPr>
        <w:tc>
          <w:tcPr>
            <w:tcW w:w="2693" w:type="pct"/>
            <w:tcMar>
              <w:top w:w="58" w:type="dxa"/>
              <w:left w:w="115" w:type="dxa"/>
              <w:bottom w:w="58" w:type="dxa"/>
              <w:right w:w="115" w:type="dxa"/>
            </w:tcMar>
          </w:tcPr>
          <w:p w14:paraId="47FE5E79" w14:textId="0F7CA2EE" w:rsidR="00B355C5" w:rsidRPr="006C52F8" w:rsidRDefault="00B355C5" w:rsidP="003C5093">
            <w:pPr>
              <w:numPr>
                <w:ilvl w:val="0"/>
                <w:numId w:val="7"/>
              </w:numPr>
              <w:rPr>
                <w:rFonts w:ascii="Arial" w:eastAsiaTheme="minorEastAsia" w:hAnsi="Arial" w:cs="Arial"/>
                <w:color w:val="000000" w:themeColor="text1"/>
              </w:rPr>
            </w:pPr>
            <w:r w:rsidRPr="006C52F8">
              <w:rPr>
                <w:rFonts w:ascii="Arial" w:eastAsia="Arial" w:hAnsi="Arial" w:cs="Arial"/>
                <w:color w:val="000000" w:themeColor="text1"/>
              </w:rPr>
              <w:t xml:space="preserve">Review of data to determine LEAs exceeding the 1.0 percent cap and potential disproportionality; engage with LEAs that exceed the 1.0 percent cap and/or </w:t>
            </w:r>
            <w:r w:rsidR="487B386E" w:rsidRPr="006C52F8">
              <w:rPr>
                <w:rFonts w:ascii="Arial" w:eastAsia="Arial" w:hAnsi="Arial" w:cs="Arial"/>
                <w:color w:val="000000" w:themeColor="text1"/>
              </w:rPr>
              <w:t xml:space="preserve">indicate </w:t>
            </w:r>
            <w:r w:rsidRPr="006C52F8">
              <w:rPr>
                <w:rFonts w:ascii="Arial" w:eastAsia="Arial" w:hAnsi="Arial" w:cs="Arial"/>
                <w:color w:val="000000" w:themeColor="text1"/>
              </w:rPr>
              <w:t>potential disproportionality</w:t>
            </w:r>
          </w:p>
        </w:tc>
        <w:tc>
          <w:tcPr>
            <w:tcW w:w="1156" w:type="pct"/>
            <w:tcMar>
              <w:top w:w="58" w:type="dxa"/>
              <w:left w:w="115" w:type="dxa"/>
              <w:bottom w:w="58" w:type="dxa"/>
              <w:right w:w="115" w:type="dxa"/>
            </w:tcMar>
          </w:tcPr>
          <w:p w14:paraId="047B1FA1" w14:textId="406AABB1" w:rsidR="00B355C5" w:rsidRPr="006C52F8" w:rsidRDefault="00B355C5" w:rsidP="00E422B0">
            <w:pPr>
              <w:ind w:right="-18"/>
              <w:jc w:val="center"/>
              <w:rPr>
                <w:rFonts w:ascii="Arial" w:eastAsia="Arial" w:hAnsi="Arial" w:cs="Arial"/>
                <w:color w:val="000000" w:themeColor="text1"/>
              </w:rPr>
            </w:pPr>
            <w:r w:rsidRPr="006C52F8">
              <w:rPr>
                <w:rFonts w:ascii="Arial" w:eastAsia="Arial" w:hAnsi="Arial" w:cs="Arial"/>
                <w:color w:val="000000" w:themeColor="text1"/>
              </w:rPr>
              <w:t>January 2022</w:t>
            </w:r>
            <w:r w:rsidR="0E2AA6C3" w:rsidRPr="006C52F8">
              <w:rPr>
                <w:rFonts w:ascii="Arial" w:eastAsia="Arial" w:hAnsi="Arial" w:cs="Arial"/>
                <w:color w:val="000000" w:themeColor="text1"/>
              </w:rPr>
              <w:t>–</w:t>
            </w:r>
            <w:r w:rsidRPr="006C52F8">
              <w:rPr>
                <w:rFonts w:ascii="Arial" w:eastAsia="Arial" w:hAnsi="Arial" w:cs="Arial"/>
                <w:color w:val="000000" w:themeColor="text1"/>
              </w:rPr>
              <w:t xml:space="preserve"> July 2022</w:t>
            </w:r>
          </w:p>
        </w:tc>
        <w:tc>
          <w:tcPr>
            <w:tcW w:w="1151" w:type="pct"/>
            <w:tcMar>
              <w:top w:w="58" w:type="dxa"/>
              <w:left w:w="115" w:type="dxa"/>
              <w:bottom w:w="58" w:type="dxa"/>
              <w:right w:w="115" w:type="dxa"/>
            </w:tcMar>
          </w:tcPr>
          <w:p w14:paraId="02790489" w14:textId="456DFF6E" w:rsidR="00B355C5" w:rsidRPr="006C52F8" w:rsidRDefault="00B355C5" w:rsidP="00E422B0">
            <w:pPr>
              <w:ind w:right="-18"/>
              <w:jc w:val="center"/>
              <w:rPr>
                <w:rFonts w:ascii="Arial" w:eastAsia="Arial" w:hAnsi="Arial" w:cs="Arial"/>
                <w:color w:val="000000" w:themeColor="text1"/>
              </w:rPr>
            </w:pPr>
            <w:r w:rsidRPr="006C52F8">
              <w:rPr>
                <w:rFonts w:ascii="Arial" w:eastAsia="Arial" w:hAnsi="Arial" w:cs="Arial"/>
                <w:color w:val="000000" w:themeColor="text1"/>
              </w:rPr>
              <w:t>January 2023</w:t>
            </w:r>
            <w:r w:rsidR="008918A5" w:rsidRPr="006C52F8">
              <w:rPr>
                <w:rFonts w:ascii="Arial" w:eastAsia="Arial" w:hAnsi="Arial" w:cs="Arial"/>
                <w:color w:val="000000" w:themeColor="text1"/>
              </w:rPr>
              <w:t>–</w:t>
            </w:r>
            <w:r w:rsidRPr="006C52F8">
              <w:rPr>
                <w:rFonts w:ascii="Arial" w:eastAsia="Arial" w:hAnsi="Arial" w:cs="Arial"/>
                <w:color w:val="000000" w:themeColor="text1"/>
              </w:rPr>
              <w:t xml:space="preserve"> July 2023</w:t>
            </w:r>
          </w:p>
        </w:tc>
      </w:tr>
    </w:tbl>
    <w:p w14:paraId="52BBAB8C" w14:textId="47BA0230" w:rsidR="00B355C5" w:rsidRPr="006C52F8" w:rsidRDefault="00B355C5" w:rsidP="00E422B0">
      <w:pPr>
        <w:numPr>
          <w:ilvl w:val="0"/>
          <w:numId w:val="5"/>
        </w:numPr>
        <w:spacing w:before="240" w:after="240"/>
        <w:rPr>
          <w:rFonts w:ascii="Arial" w:eastAsiaTheme="minorEastAsia" w:hAnsi="Arial" w:cs="Arial"/>
        </w:rPr>
      </w:pPr>
      <w:r w:rsidRPr="006C52F8">
        <w:rPr>
          <w:rFonts w:ascii="Arial" w:eastAsia="Arial" w:hAnsi="Arial" w:cs="Arial"/>
        </w:rPr>
        <w:lastRenderedPageBreak/>
        <w:t>Fulfillment of requirements in Section 8401 of the ESEA related to public comment.</w:t>
      </w:r>
    </w:p>
    <w:p w14:paraId="30D43A78" w14:textId="3A0C3231" w:rsidR="00B355C5" w:rsidRPr="00E422B0" w:rsidRDefault="00B355C5" w:rsidP="00E422B0">
      <w:pPr>
        <w:spacing w:after="240"/>
        <w:rPr>
          <w:rFonts w:ascii="Arial" w:hAnsi="Arial" w:cs="Arial"/>
        </w:rPr>
      </w:pPr>
      <w:r w:rsidRPr="006C52F8">
        <w:rPr>
          <w:rFonts w:ascii="Arial" w:hAnsi="Arial" w:cs="Arial"/>
        </w:rPr>
        <w:t xml:space="preserve">California provided to the public and to </w:t>
      </w:r>
      <w:r w:rsidR="008918A5" w:rsidRPr="006C52F8">
        <w:rPr>
          <w:rFonts w:ascii="Arial" w:hAnsi="Arial" w:cs="Arial"/>
        </w:rPr>
        <w:t>LEAs</w:t>
      </w:r>
      <w:r w:rsidRPr="006C52F8">
        <w:rPr>
          <w:rFonts w:ascii="Arial" w:hAnsi="Arial" w:cs="Arial"/>
        </w:rPr>
        <w:t xml:space="preserve"> notice and reasonable time for comment in the manner in which California customarily provides similar notice and opportunity for comment.</w:t>
      </w:r>
      <w:r w:rsidR="00BB6749" w:rsidRPr="006C52F8">
        <w:rPr>
          <w:rFonts w:ascii="Arial" w:hAnsi="Arial" w:cs="Arial"/>
        </w:rPr>
        <w:t xml:space="preserve"> </w:t>
      </w:r>
      <w:r w:rsidRPr="006C52F8">
        <w:rPr>
          <w:rFonts w:ascii="Arial" w:eastAsia="Arial" w:hAnsi="Arial" w:cs="Arial"/>
        </w:rPr>
        <w:t xml:space="preserve">The agenda for the </w:t>
      </w:r>
      <w:r w:rsidR="00C66BB4" w:rsidRPr="006C52F8">
        <w:rPr>
          <w:rFonts w:ascii="Arial" w:eastAsia="Arial" w:hAnsi="Arial" w:cs="Arial"/>
        </w:rPr>
        <w:t xml:space="preserve">July 2022 </w:t>
      </w:r>
      <w:r w:rsidRPr="006C52F8">
        <w:rPr>
          <w:rFonts w:ascii="Arial" w:eastAsia="Arial" w:hAnsi="Arial" w:cs="Arial"/>
        </w:rPr>
        <w:t xml:space="preserve">SBE meeting was uploaded </w:t>
      </w:r>
      <w:r w:rsidR="008918A5" w:rsidRPr="006C52F8">
        <w:rPr>
          <w:rFonts w:ascii="Arial" w:eastAsia="Arial" w:hAnsi="Arial" w:cs="Arial"/>
        </w:rPr>
        <w:t xml:space="preserve">10 </w:t>
      </w:r>
      <w:r w:rsidRPr="006C52F8">
        <w:rPr>
          <w:rFonts w:ascii="Arial" w:eastAsia="Arial" w:hAnsi="Arial" w:cs="Arial"/>
        </w:rPr>
        <w:t xml:space="preserve">days prior to the SBE's monthly meeting along with any supporting materials that were electronically available. All supporting materials for the agenda items were available for public inspection at the SBE, 1430 N Street, Suite 5111, Sacramento, California, 95814. </w:t>
      </w:r>
      <w:r w:rsidR="00C66BB4" w:rsidRPr="006C52F8">
        <w:rPr>
          <w:rFonts w:ascii="Arial" w:eastAsia="Arial" w:hAnsi="Arial" w:cs="Arial"/>
        </w:rPr>
        <w:t>Public comments that impact this waiver will be included before submission to the ED.</w:t>
      </w:r>
      <w:r w:rsidR="00C66BB4">
        <w:rPr>
          <w:rFonts w:ascii="Arial" w:eastAsia="Arial" w:hAnsi="Arial" w:cs="Arial"/>
        </w:rPr>
        <w:t xml:space="preserve"> </w:t>
      </w:r>
    </w:p>
    <w:sectPr w:rsidR="00B355C5" w:rsidRPr="00E422B0" w:rsidSect="00D2434F">
      <w:headerReference w:type="first" r:id="rId40"/>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4C69" w16cex:dateUtc="2022-06-08T23:27:00Z"/>
  <w16cex:commentExtensible w16cex:durableId="0B29FFD6" w16cex:dateUtc="2022-06-24T19:59:00Z"/>
  <w16cex:commentExtensible w16cex:durableId="264B1B41" w16cex:dateUtc="2022-06-08T19:57:00Z"/>
  <w16cex:commentExtensible w16cex:durableId="264B37C1" w16cex:dateUtc="2022-06-08T21:59:00Z"/>
  <w16cex:commentExtensible w16cex:durableId="6CB5664A" w16cex:dateUtc="2022-06-24T19:44:00Z"/>
  <w16cex:commentExtensible w16cex:durableId="01B4D319" w16cex:dateUtc="2022-06-24T19:54:00Z"/>
  <w16cex:commentExtensible w16cex:durableId="26601393" w16cex:dateUtc="2022-06-24T17:42:00Z"/>
  <w16cex:commentExtensible w16cex:durableId="2741D045" w16cex:dateUtc="2022-06-24T19:26:00Z"/>
  <w16cex:commentExtensible w16cex:durableId="264B1C1E" w16cex:dateUtc="2022-06-08T20:01:00Z"/>
  <w16cex:commentExtensible w16cex:durableId="028D528D" w16cex:dateUtc="2022-06-24T19:27:00Z"/>
  <w16cex:commentExtensible w16cex:durableId="264B4BBE" w16cex:dateUtc="2022-06-08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7B0D" w14:textId="77777777" w:rsidR="006A40D7" w:rsidRDefault="006A40D7" w:rsidP="000E09DC">
      <w:r>
        <w:separator/>
      </w:r>
    </w:p>
  </w:endnote>
  <w:endnote w:type="continuationSeparator" w:id="0">
    <w:p w14:paraId="72F3533A" w14:textId="77777777" w:rsidR="006A40D7" w:rsidRDefault="006A40D7" w:rsidP="000E09DC">
      <w:r>
        <w:continuationSeparator/>
      </w:r>
    </w:p>
  </w:endnote>
  <w:endnote w:type="continuationNotice" w:id="1">
    <w:p w14:paraId="7C49EA7B" w14:textId="77777777" w:rsidR="006A40D7" w:rsidRDefault="006A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CE5F" w14:textId="77777777" w:rsidR="006A40D7" w:rsidRDefault="006A40D7" w:rsidP="000E09DC">
      <w:r>
        <w:separator/>
      </w:r>
    </w:p>
  </w:footnote>
  <w:footnote w:type="continuationSeparator" w:id="0">
    <w:p w14:paraId="6963EC5D" w14:textId="77777777" w:rsidR="006A40D7" w:rsidRDefault="006A40D7" w:rsidP="000E09DC">
      <w:r>
        <w:continuationSeparator/>
      </w:r>
    </w:p>
  </w:footnote>
  <w:footnote w:type="continuationNotice" w:id="1">
    <w:p w14:paraId="06C7EF68" w14:textId="77777777" w:rsidR="006A40D7" w:rsidRDefault="006A4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BC90" w14:textId="4539A6A1" w:rsidR="00061EEA" w:rsidRPr="00551054" w:rsidRDefault="00061EEA" w:rsidP="0034235E">
    <w:pPr>
      <w:jc w:val="right"/>
      <w:rPr>
        <w:rFonts w:ascii="Arial" w:hAnsi="Arial" w:cs="Arial"/>
      </w:rPr>
    </w:pPr>
    <w:r w:rsidRPr="00551054">
      <w:rPr>
        <w:rFonts w:ascii="Arial" w:hAnsi="Arial" w:cs="Arial"/>
      </w:rPr>
      <w:t>imab-adad-jul22item02</w:t>
    </w:r>
  </w:p>
  <w:p w14:paraId="08CE6F91" w14:textId="4C0F3F5C" w:rsidR="00061EEA" w:rsidRPr="00551054" w:rsidRDefault="00061EEA" w:rsidP="00551054">
    <w:pPr>
      <w:pStyle w:val="Header"/>
      <w:spacing w:after="360"/>
      <w:jc w:val="right"/>
      <w:rPr>
        <w:rFonts w:cs="Arial"/>
      </w:rPr>
    </w:pPr>
    <w:r w:rsidRPr="00551054">
      <w:rPr>
        <w:rFonts w:cs="Arial"/>
      </w:rPr>
      <w:t xml:space="preserve">Page </w:t>
    </w:r>
    <w:r w:rsidRPr="00551054">
      <w:rPr>
        <w:rFonts w:cs="Arial"/>
      </w:rPr>
      <w:fldChar w:fldCharType="begin"/>
    </w:r>
    <w:r w:rsidRPr="00551054">
      <w:rPr>
        <w:rFonts w:cs="Arial"/>
      </w:rPr>
      <w:instrText xml:space="preserve"> PAGE   \* MERGEFORMAT </w:instrText>
    </w:r>
    <w:r w:rsidRPr="00551054">
      <w:rPr>
        <w:rFonts w:cs="Arial"/>
      </w:rPr>
      <w:fldChar w:fldCharType="separate"/>
    </w:r>
    <w:r w:rsidRPr="00551054">
      <w:rPr>
        <w:rFonts w:cs="Arial"/>
        <w:noProof/>
      </w:rPr>
      <w:t>2</w:t>
    </w:r>
    <w:r w:rsidRPr="00551054">
      <w:rPr>
        <w:rFonts w:cs="Arial"/>
        <w:noProof/>
      </w:rPr>
      <w:fldChar w:fldCharType="end"/>
    </w:r>
    <w:r w:rsidRPr="00551054">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62F9" w14:textId="6D1C6EF1" w:rsidR="00061EEA" w:rsidRPr="00551054" w:rsidRDefault="00061EEA" w:rsidP="0034235E">
    <w:pPr>
      <w:jc w:val="right"/>
      <w:rPr>
        <w:rFonts w:ascii="Arial" w:hAnsi="Arial" w:cs="Arial"/>
      </w:rPr>
    </w:pPr>
    <w:r w:rsidRPr="00551054">
      <w:rPr>
        <w:rFonts w:ascii="Arial" w:hAnsi="Arial" w:cs="Arial"/>
      </w:rPr>
      <w:t>imab-adad-jul22item02</w:t>
    </w:r>
  </w:p>
  <w:p w14:paraId="0C0B4B39" w14:textId="3DA5F6A6" w:rsidR="00061EEA" w:rsidRPr="00551054" w:rsidRDefault="00061EEA" w:rsidP="00551054">
    <w:pPr>
      <w:pStyle w:val="Header"/>
      <w:spacing w:after="360"/>
      <w:jc w:val="right"/>
      <w:rPr>
        <w:rFonts w:cs="Arial"/>
      </w:rPr>
    </w:pPr>
    <w:r w:rsidRPr="00551054">
      <w:rPr>
        <w:rFonts w:cs="Arial"/>
      </w:rPr>
      <w:t xml:space="preserve">Page </w:t>
    </w:r>
    <w:r w:rsidRPr="00551054">
      <w:rPr>
        <w:rFonts w:cs="Arial"/>
      </w:rPr>
      <w:fldChar w:fldCharType="begin"/>
    </w:r>
    <w:r w:rsidRPr="00551054">
      <w:rPr>
        <w:rFonts w:cs="Arial"/>
      </w:rPr>
      <w:instrText xml:space="preserve"> PAGE   \* MERGEFORMAT </w:instrText>
    </w:r>
    <w:r w:rsidRPr="00551054">
      <w:rPr>
        <w:rFonts w:cs="Arial"/>
      </w:rPr>
      <w:fldChar w:fldCharType="separate"/>
    </w:r>
    <w:r w:rsidRPr="00551054">
      <w:rPr>
        <w:rFonts w:cs="Arial"/>
        <w:noProof/>
      </w:rPr>
      <w:t>2</w:t>
    </w:r>
    <w:r w:rsidRPr="00551054">
      <w:rPr>
        <w:rFonts w:cs="Arial"/>
        <w:noProof/>
      </w:rPr>
      <w:fldChar w:fldCharType="end"/>
    </w:r>
    <w:r w:rsidRPr="00551054">
      <w:rPr>
        <w:rFonts w:cs="Arial"/>
      </w:rPr>
      <w:t xml:space="preserve"> of </w:t>
    </w:r>
    <w:r>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BE0B" w14:textId="77777777" w:rsidR="00061EEA" w:rsidRDefault="00061EEA" w:rsidP="00D2434F">
    <w:pPr>
      <w:pStyle w:val="Header"/>
      <w:jc w:val="right"/>
    </w:pPr>
    <w:r>
      <w:t>Attachment 1: Waiver Requests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61A7" w14:textId="77777777" w:rsidR="00061EEA" w:rsidRPr="00551054" w:rsidRDefault="00061EEA" w:rsidP="0034235E">
    <w:pPr>
      <w:jc w:val="right"/>
      <w:rPr>
        <w:rFonts w:ascii="Arial" w:hAnsi="Arial" w:cs="Arial"/>
      </w:rPr>
    </w:pPr>
    <w:r w:rsidRPr="00551054">
      <w:rPr>
        <w:rFonts w:ascii="Arial" w:hAnsi="Arial" w:cs="Arial"/>
      </w:rPr>
      <w:t>imab-adad-jul22item02</w:t>
    </w:r>
  </w:p>
  <w:p w14:paraId="072F1169" w14:textId="01FAAC72" w:rsidR="00061EEA" w:rsidRDefault="00061EEA" w:rsidP="00653433">
    <w:pPr>
      <w:pStyle w:val="Header"/>
      <w:jc w:val="right"/>
      <w:rPr>
        <w:rFonts w:cs="Arial"/>
      </w:rPr>
    </w:pPr>
    <w:r>
      <w:rPr>
        <w:rFonts w:cs="Arial"/>
      </w:rPr>
      <w:t>Attachment 1</w:t>
    </w:r>
  </w:p>
  <w:p w14:paraId="37E2102C" w14:textId="765D0F19" w:rsidR="00061EEA" w:rsidRPr="00551054" w:rsidRDefault="00061EEA" w:rsidP="00551054">
    <w:pPr>
      <w:pStyle w:val="Header"/>
      <w:spacing w:after="360"/>
      <w:jc w:val="right"/>
      <w:rPr>
        <w:rFonts w:cs="Arial"/>
      </w:rPr>
    </w:pPr>
    <w:r w:rsidRPr="00551054">
      <w:rPr>
        <w:rFonts w:cs="Arial"/>
      </w:rPr>
      <w:t xml:space="preserve">Page </w:t>
    </w:r>
    <w:r w:rsidRPr="00551054">
      <w:rPr>
        <w:rFonts w:cs="Arial"/>
      </w:rPr>
      <w:fldChar w:fldCharType="begin"/>
    </w:r>
    <w:r w:rsidRPr="00551054">
      <w:rPr>
        <w:rFonts w:cs="Arial"/>
      </w:rPr>
      <w:instrText xml:space="preserve"> PAGE   \* MERGEFORMAT </w:instrText>
    </w:r>
    <w:r w:rsidRPr="00551054">
      <w:rPr>
        <w:rFonts w:cs="Arial"/>
      </w:rPr>
      <w:fldChar w:fldCharType="separate"/>
    </w:r>
    <w:r w:rsidRPr="00551054">
      <w:rPr>
        <w:rFonts w:cs="Arial"/>
        <w:noProof/>
      </w:rPr>
      <w:t>2</w:t>
    </w:r>
    <w:r w:rsidRPr="00551054">
      <w:rPr>
        <w:rFonts w:cs="Arial"/>
        <w:noProof/>
      </w:rPr>
      <w:fldChar w:fldCharType="end"/>
    </w:r>
    <w:r w:rsidRPr="00551054">
      <w:rPr>
        <w:rFonts w:cs="Arial"/>
      </w:rPr>
      <w:t xml:space="preserve"> of </w:t>
    </w:r>
    <w:r>
      <w:rPr>
        <w:rFonts w:cs="Arial"/>
      </w:rPr>
      <w:t>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308B" w14:textId="77777777" w:rsidR="00061EEA" w:rsidRDefault="00061EEA" w:rsidP="00D2434F">
    <w:pPr>
      <w:pStyle w:val="Header"/>
      <w:jc w:val="right"/>
    </w:pPr>
    <w:r>
      <w:t>Attachment 1: Waiver Requests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919A" w14:textId="77777777" w:rsidR="00061EEA" w:rsidRDefault="00061EEA" w:rsidP="00D2434F">
    <w:pPr>
      <w:pStyle w:val="Header"/>
      <w:jc w:val="right"/>
    </w:pPr>
    <w:r>
      <w:t>Attachment 2: Extension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CE1"/>
    <w:multiLevelType w:val="hybridMultilevel"/>
    <w:tmpl w:val="FEC4498C"/>
    <w:lvl w:ilvl="0" w:tplc="FD7AEC78">
      <w:start w:val="1"/>
      <w:numFmt w:val="decimal"/>
      <w:lvlText w:val="%1."/>
      <w:lvlJc w:val="left"/>
      <w:pPr>
        <w:ind w:left="720" w:hanging="360"/>
      </w:pPr>
    </w:lvl>
    <w:lvl w:ilvl="1" w:tplc="691CB47E">
      <w:start w:val="1"/>
      <w:numFmt w:val="lowerLetter"/>
      <w:lvlText w:val="%2."/>
      <w:lvlJc w:val="left"/>
      <w:pPr>
        <w:ind w:left="1440" w:hanging="360"/>
      </w:pPr>
    </w:lvl>
    <w:lvl w:ilvl="2" w:tplc="FCF84932">
      <w:start w:val="1"/>
      <w:numFmt w:val="lowerRoman"/>
      <w:lvlText w:val="%3."/>
      <w:lvlJc w:val="right"/>
      <w:pPr>
        <w:ind w:left="2160" w:hanging="180"/>
      </w:pPr>
    </w:lvl>
    <w:lvl w:ilvl="3" w:tplc="76922D96">
      <w:start w:val="1"/>
      <w:numFmt w:val="decimal"/>
      <w:lvlText w:val="%4."/>
      <w:lvlJc w:val="left"/>
      <w:pPr>
        <w:ind w:left="2880" w:hanging="360"/>
      </w:pPr>
    </w:lvl>
    <w:lvl w:ilvl="4" w:tplc="3FE48CD2">
      <w:start w:val="1"/>
      <w:numFmt w:val="lowerLetter"/>
      <w:lvlText w:val="%5."/>
      <w:lvlJc w:val="left"/>
      <w:pPr>
        <w:ind w:left="3600" w:hanging="360"/>
      </w:pPr>
    </w:lvl>
    <w:lvl w:ilvl="5" w:tplc="EE8C1614">
      <w:start w:val="1"/>
      <w:numFmt w:val="lowerRoman"/>
      <w:lvlText w:val="%6."/>
      <w:lvlJc w:val="right"/>
      <w:pPr>
        <w:ind w:left="4320" w:hanging="180"/>
      </w:pPr>
    </w:lvl>
    <w:lvl w:ilvl="6" w:tplc="61A45C40">
      <w:start w:val="1"/>
      <w:numFmt w:val="decimal"/>
      <w:lvlText w:val="%7."/>
      <w:lvlJc w:val="left"/>
      <w:pPr>
        <w:ind w:left="5040" w:hanging="360"/>
      </w:pPr>
    </w:lvl>
    <w:lvl w:ilvl="7" w:tplc="8F16C076">
      <w:start w:val="1"/>
      <w:numFmt w:val="lowerLetter"/>
      <w:lvlText w:val="%8."/>
      <w:lvlJc w:val="left"/>
      <w:pPr>
        <w:ind w:left="5760" w:hanging="360"/>
      </w:pPr>
    </w:lvl>
    <w:lvl w:ilvl="8" w:tplc="F8F22574">
      <w:start w:val="1"/>
      <w:numFmt w:val="lowerRoman"/>
      <w:lvlText w:val="%9."/>
      <w:lvlJc w:val="right"/>
      <w:pPr>
        <w:ind w:left="6480" w:hanging="180"/>
      </w:pPr>
    </w:lvl>
  </w:abstractNum>
  <w:abstractNum w:abstractNumId="1" w15:restartNumberingAfterBreak="0">
    <w:nsid w:val="22316ADA"/>
    <w:multiLevelType w:val="hybridMultilevel"/>
    <w:tmpl w:val="F4A298F8"/>
    <w:lvl w:ilvl="0" w:tplc="D654DF0C">
      <w:start w:val="1"/>
      <w:numFmt w:val="upperLetter"/>
      <w:lvlText w:val="%1."/>
      <w:lvlJc w:val="left"/>
      <w:pPr>
        <w:ind w:left="360" w:hanging="360"/>
      </w:pPr>
      <w:rPr>
        <w:rFonts w:ascii="Arial" w:hAnsi="Arial" w:cs="Arial" w:hint="default"/>
      </w:rPr>
    </w:lvl>
    <w:lvl w:ilvl="1" w:tplc="837252F8">
      <w:start w:val="1"/>
      <w:numFmt w:val="lowerLetter"/>
      <w:lvlText w:val="%2."/>
      <w:lvlJc w:val="left"/>
      <w:pPr>
        <w:ind w:left="1080" w:hanging="360"/>
      </w:pPr>
    </w:lvl>
    <w:lvl w:ilvl="2" w:tplc="8A6CD1DE">
      <w:start w:val="1"/>
      <w:numFmt w:val="lowerRoman"/>
      <w:lvlText w:val="%3."/>
      <w:lvlJc w:val="right"/>
      <w:pPr>
        <w:ind w:left="1800" w:hanging="180"/>
      </w:pPr>
    </w:lvl>
    <w:lvl w:ilvl="3" w:tplc="B2B09AB2">
      <w:start w:val="1"/>
      <w:numFmt w:val="decimal"/>
      <w:lvlText w:val="%4."/>
      <w:lvlJc w:val="left"/>
      <w:pPr>
        <w:ind w:left="2520" w:hanging="360"/>
      </w:pPr>
    </w:lvl>
    <w:lvl w:ilvl="4" w:tplc="0A92023C">
      <w:start w:val="1"/>
      <w:numFmt w:val="lowerLetter"/>
      <w:lvlText w:val="%5."/>
      <w:lvlJc w:val="left"/>
      <w:pPr>
        <w:ind w:left="3240" w:hanging="360"/>
      </w:pPr>
    </w:lvl>
    <w:lvl w:ilvl="5" w:tplc="20D28C28">
      <w:start w:val="1"/>
      <w:numFmt w:val="lowerRoman"/>
      <w:lvlText w:val="%6."/>
      <w:lvlJc w:val="right"/>
      <w:pPr>
        <w:ind w:left="3960" w:hanging="180"/>
      </w:pPr>
    </w:lvl>
    <w:lvl w:ilvl="6" w:tplc="3BAA42FA">
      <w:start w:val="1"/>
      <w:numFmt w:val="decimal"/>
      <w:lvlText w:val="%7."/>
      <w:lvlJc w:val="left"/>
      <w:pPr>
        <w:ind w:left="4680" w:hanging="360"/>
      </w:pPr>
    </w:lvl>
    <w:lvl w:ilvl="7" w:tplc="C9DCA060">
      <w:start w:val="1"/>
      <w:numFmt w:val="lowerLetter"/>
      <w:lvlText w:val="%8."/>
      <w:lvlJc w:val="left"/>
      <w:pPr>
        <w:ind w:left="5400" w:hanging="360"/>
      </w:pPr>
    </w:lvl>
    <w:lvl w:ilvl="8" w:tplc="2C30A7C8">
      <w:start w:val="1"/>
      <w:numFmt w:val="lowerRoman"/>
      <w:lvlText w:val="%9."/>
      <w:lvlJc w:val="right"/>
      <w:pPr>
        <w:ind w:left="6120" w:hanging="180"/>
      </w:pPr>
    </w:lvl>
  </w:abstractNum>
  <w:abstractNum w:abstractNumId="2" w15:restartNumberingAfterBreak="0">
    <w:nsid w:val="349F0209"/>
    <w:multiLevelType w:val="hybridMultilevel"/>
    <w:tmpl w:val="FEC4498C"/>
    <w:lvl w:ilvl="0" w:tplc="FD7AEC78">
      <w:start w:val="1"/>
      <w:numFmt w:val="decimal"/>
      <w:lvlText w:val="%1."/>
      <w:lvlJc w:val="left"/>
      <w:pPr>
        <w:ind w:left="720" w:hanging="360"/>
      </w:pPr>
    </w:lvl>
    <w:lvl w:ilvl="1" w:tplc="691CB47E">
      <w:start w:val="1"/>
      <w:numFmt w:val="lowerLetter"/>
      <w:lvlText w:val="%2."/>
      <w:lvlJc w:val="left"/>
      <w:pPr>
        <w:ind w:left="1440" w:hanging="360"/>
      </w:pPr>
    </w:lvl>
    <w:lvl w:ilvl="2" w:tplc="FCF84932">
      <w:start w:val="1"/>
      <w:numFmt w:val="lowerRoman"/>
      <w:lvlText w:val="%3."/>
      <w:lvlJc w:val="right"/>
      <w:pPr>
        <w:ind w:left="2160" w:hanging="180"/>
      </w:pPr>
    </w:lvl>
    <w:lvl w:ilvl="3" w:tplc="76922D96">
      <w:start w:val="1"/>
      <w:numFmt w:val="decimal"/>
      <w:lvlText w:val="%4."/>
      <w:lvlJc w:val="left"/>
      <w:pPr>
        <w:ind w:left="2880" w:hanging="360"/>
      </w:pPr>
    </w:lvl>
    <w:lvl w:ilvl="4" w:tplc="3FE48CD2">
      <w:start w:val="1"/>
      <w:numFmt w:val="lowerLetter"/>
      <w:lvlText w:val="%5."/>
      <w:lvlJc w:val="left"/>
      <w:pPr>
        <w:ind w:left="3600" w:hanging="360"/>
      </w:pPr>
    </w:lvl>
    <w:lvl w:ilvl="5" w:tplc="EE8C1614">
      <w:start w:val="1"/>
      <w:numFmt w:val="lowerRoman"/>
      <w:lvlText w:val="%6."/>
      <w:lvlJc w:val="right"/>
      <w:pPr>
        <w:ind w:left="4320" w:hanging="180"/>
      </w:pPr>
    </w:lvl>
    <w:lvl w:ilvl="6" w:tplc="61A45C40">
      <w:start w:val="1"/>
      <w:numFmt w:val="decimal"/>
      <w:lvlText w:val="%7."/>
      <w:lvlJc w:val="left"/>
      <w:pPr>
        <w:ind w:left="5040" w:hanging="360"/>
      </w:pPr>
    </w:lvl>
    <w:lvl w:ilvl="7" w:tplc="8F16C076">
      <w:start w:val="1"/>
      <w:numFmt w:val="lowerLetter"/>
      <w:lvlText w:val="%8."/>
      <w:lvlJc w:val="left"/>
      <w:pPr>
        <w:ind w:left="5760" w:hanging="360"/>
      </w:pPr>
    </w:lvl>
    <w:lvl w:ilvl="8" w:tplc="F8F22574">
      <w:start w:val="1"/>
      <w:numFmt w:val="lowerRoman"/>
      <w:lvlText w:val="%9."/>
      <w:lvlJc w:val="right"/>
      <w:pPr>
        <w:ind w:left="6480" w:hanging="180"/>
      </w:pPr>
    </w:lvl>
  </w:abstractNum>
  <w:abstractNum w:abstractNumId="3" w15:restartNumberingAfterBreak="0">
    <w:nsid w:val="62E36972"/>
    <w:multiLevelType w:val="hybridMultilevel"/>
    <w:tmpl w:val="21B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914D7"/>
    <w:multiLevelType w:val="hybridMultilevel"/>
    <w:tmpl w:val="65C0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25B6A"/>
    <w:multiLevelType w:val="hybridMultilevel"/>
    <w:tmpl w:val="81E46C9E"/>
    <w:lvl w:ilvl="0" w:tplc="B1A0D604">
      <w:start w:val="1"/>
      <w:numFmt w:val="bullet"/>
      <w:lvlText w:val=""/>
      <w:lvlJc w:val="left"/>
      <w:pPr>
        <w:ind w:left="1080" w:hanging="360"/>
      </w:pPr>
      <w:rPr>
        <w:rFonts w:ascii="Symbol" w:hAnsi="Symbol" w:hint="default"/>
      </w:rPr>
    </w:lvl>
    <w:lvl w:ilvl="1" w:tplc="FB42DF4C">
      <w:start w:val="1"/>
      <w:numFmt w:val="bullet"/>
      <w:lvlText w:val="o"/>
      <w:lvlJc w:val="left"/>
      <w:pPr>
        <w:ind w:left="1800" w:hanging="360"/>
      </w:pPr>
      <w:rPr>
        <w:rFonts w:ascii="Courier New" w:hAnsi="Courier New" w:hint="default"/>
      </w:rPr>
    </w:lvl>
    <w:lvl w:ilvl="2" w:tplc="F768044E">
      <w:start w:val="1"/>
      <w:numFmt w:val="bullet"/>
      <w:lvlText w:val=""/>
      <w:lvlJc w:val="left"/>
      <w:pPr>
        <w:ind w:left="2520" w:hanging="360"/>
      </w:pPr>
      <w:rPr>
        <w:rFonts w:ascii="Symbol" w:hAnsi="Symbol" w:hint="default"/>
      </w:rPr>
    </w:lvl>
    <w:lvl w:ilvl="3" w:tplc="911082DE">
      <w:start w:val="1"/>
      <w:numFmt w:val="bullet"/>
      <w:lvlText w:val=""/>
      <w:lvlJc w:val="left"/>
      <w:pPr>
        <w:ind w:left="3240" w:hanging="360"/>
      </w:pPr>
      <w:rPr>
        <w:rFonts w:ascii="Symbol" w:hAnsi="Symbol" w:hint="default"/>
      </w:rPr>
    </w:lvl>
    <w:lvl w:ilvl="4" w:tplc="0CF6B548">
      <w:start w:val="1"/>
      <w:numFmt w:val="bullet"/>
      <w:lvlText w:val="o"/>
      <w:lvlJc w:val="left"/>
      <w:pPr>
        <w:ind w:left="3960" w:hanging="360"/>
      </w:pPr>
      <w:rPr>
        <w:rFonts w:ascii="Courier New" w:hAnsi="Courier New" w:hint="default"/>
      </w:rPr>
    </w:lvl>
    <w:lvl w:ilvl="5" w:tplc="1DA47C24">
      <w:start w:val="1"/>
      <w:numFmt w:val="bullet"/>
      <w:lvlText w:val=""/>
      <w:lvlJc w:val="left"/>
      <w:pPr>
        <w:ind w:left="4680" w:hanging="360"/>
      </w:pPr>
      <w:rPr>
        <w:rFonts w:ascii="Wingdings" w:hAnsi="Wingdings" w:hint="default"/>
      </w:rPr>
    </w:lvl>
    <w:lvl w:ilvl="6" w:tplc="ED06A352">
      <w:start w:val="1"/>
      <w:numFmt w:val="bullet"/>
      <w:lvlText w:val=""/>
      <w:lvlJc w:val="left"/>
      <w:pPr>
        <w:ind w:left="5400" w:hanging="360"/>
      </w:pPr>
      <w:rPr>
        <w:rFonts w:ascii="Symbol" w:hAnsi="Symbol" w:hint="default"/>
      </w:rPr>
    </w:lvl>
    <w:lvl w:ilvl="7" w:tplc="32BA9A72">
      <w:start w:val="1"/>
      <w:numFmt w:val="bullet"/>
      <w:lvlText w:val="o"/>
      <w:lvlJc w:val="left"/>
      <w:pPr>
        <w:ind w:left="6120" w:hanging="360"/>
      </w:pPr>
      <w:rPr>
        <w:rFonts w:ascii="Courier New" w:hAnsi="Courier New" w:hint="default"/>
      </w:rPr>
    </w:lvl>
    <w:lvl w:ilvl="8" w:tplc="A2B45F90">
      <w:start w:val="1"/>
      <w:numFmt w:val="bullet"/>
      <w:lvlText w:val=""/>
      <w:lvlJc w:val="left"/>
      <w:pPr>
        <w:ind w:left="6840" w:hanging="360"/>
      </w:pPr>
      <w:rPr>
        <w:rFonts w:ascii="Wingdings" w:hAnsi="Wingdings" w:hint="default"/>
      </w:rPr>
    </w:lvl>
  </w:abstractNum>
  <w:abstractNum w:abstractNumId="6" w15:restartNumberingAfterBreak="0">
    <w:nsid w:val="7FC458B4"/>
    <w:multiLevelType w:val="hybridMultilevel"/>
    <w:tmpl w:val="5C465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F54"/>
    <w:rsid w:val="000040D5"/>
    <w:rsid w:val="00005C4D"/>
    <w:rsid w:val="00014AA6"/>
    <w:rsid w:val="0002121E"/>
    <w:rsid w:val="00021233"/>
    <w:rsid w:val="000311E9"/>
    <w:rsid w:val="000324AD"/>
    <w:rsid w:val="00035E97"/>
    <w:rsid w:val="00042EA8"/>
    <w:rsid w:val="0004759A"/>
    <w:rsid w:val="00052551"/>
    <w:rsid w:val="00057FDE"/>
    <w:rsid w:val="00060F7E"/>
    <w:rsid w:val="00061EEA"/>
    <w:rsid w:val="00062A85"/>
    <w:rsid w:val="00062E33"/>
    <w:rsid w:val="00065C16"/>
    <w:rsid w:val="000769A9"/>
    <w:rsid w:val="000805EB"/>
    <w:rsid w:val="00083780"/>
    <w:rsid w:val="0008600F"/>
    <w:rsid w:val="000864B8"/>
    <w:rsid w:val="0009060D"/>
    <w:rsid w:val="000A0B8E"/>
    <w:rsid w:val="000A0C45"/>
    <w:rsid w:val="000A528F"/>
    <w:rsid w:val="000A63D3"/>
    <w:rsid w:val="000B2AF2"/>
    <w:rsid w:val="000B3DE4"/>
    <w:rsid w:val="000B51F7"/>
    <w:rsid w:val="000C3922"/>
    <w:rsid w:val="000C3FD4"/>
    <w:rsid w:val="000C59EF"/>
    <w:rsid w:val="000D1F08"/>
    <w:rsid w:val="000E09DC"/>
    <w:rsid w:val="000E20C5"/>
    <w:rsid w:val="000E2305"/>
    <w:rsid w:val="000E35EF"/>
    <w:rsid w:val="000E5A89"/>
    <w:rsid w:val="000E5B0C"/>
    <w:rsid w:val="000F1879"/>
    <w:rsid w:val="000F1A7B"/>
    <w:rsid w:val="000F272F"/>
    <w:rsid w:val="000F763A"/>
    <w:rsid w:val="0010035A"/>
    <w:rsid w:val="00102807"/>
    <w:rsid w:val="001048F3"/>
    <w:rsid w:val="00106F72"/>
    <w:rsid w:val="00120A9E"/>
    <w:rsid w:val="00124260"/>
    <w:rsid w:val="00124DF3"/>
    <w:rsid w:val="00130059"/>
    <w:rsid w:val="00131D92"/>
    <w:rsid w:val="001363B2"/>
    <w:rsid w:val="00147E06"/>
    <w:rsid w:val="001509B9"/>
    <w:rsid w:val="0015165D"/>
    <w:rsid w:val="0016210B"/>
    <w:rsid w:val="00164EDB"/>
    <w:rsid w:val="00166E91"/>
    <w:rsid w:val="00167603"/>
    <w:rsid w:val="001724CF"/>
    <w:rsid w:val="00172FC4"/>
    <w:rsid w:val="00174204"/>
    <w:rsid w:val="00177D3B"/>
    <w:rsid w:val="0018148D"/>
    <w:rsid w:val="001858FF"/>
    <w:rsid w:val="001861DF"/>
    <w:rsid w:val="00186CAF"/>
    <w:rsid w:val="001912E0"/>
    <w:rsid w:val="00191788"/>
    <w:rsid w:val="00194F7A"/>
    <w:rsid w:val="00195D01"/>
    <w:rsid w:val="001970F3"/>
    <w:rsid w:val="001A0BF0"/>
    <w:rsid w:val="001A0C94"/>
    <w:rsid w:val="001A0CA5"/>
    <w:rsid w:val="001A186E"/>
    <w:rsid w:val="001A2045"/>
    <w:rsid w:val="001A4516"/>
    <w:rsid w:val="001B3958"/>
    <w:rsid w:val="001B64BE"/>
    <w:rsid w:val="001B7E1D"/>
    <w:rsid w:val="001C10EB"/>
    <w:rsid w:val="001C2029"/>
    <w:rsid w:val="001C5149"/>
    <w:rsid w:val="001C5B71"/>
    <w:rsid w:val="001C647E"/>
    <w:rsid w:val="001D0CEA"/>
    <w:rsid w:val="001D3160"/>
    <w:rsid w:val="001D4970"/>
    <w:rsid w:val="001D7DBE"/>
    <w:rsid w:val="001E1929"/>
    <w:rsid w:val="001E2136"/>
    <w:rsid w:val="001E2D48"/>
    <w:rsid w:val="001E3D7B"/>
    <w:rsid w:val="001F1232"/>
    <w:rsid w:val="001F3227"/>
    <w:rsid w:val="001F3E80"/>
    <w:rsid w:val="001F5E25"/>
    <w:rsid w:val="001F6715"/>
    <w:rsid w:val="001F6EF1"/>
    <w:rsid w:val="001F74BE"/>
    <w:rsid w:val="001F7A6B"/>
    <w:rsid w:val="0020253F"/>
    <w:rsid w:val="0020356A"/>
    <w:rsid w:val="0020639F"/>
    <w:rsid w:val="002112C8"/>
    <w:rsid w:val="00213436"/>
    <w:rsid w:val="00214F95"/>
    <w:rsid w:val="00223112"/>
    <w:rsid w:val="00224A8B"/>
    <w:rsid w:val="00226CA1"/>
    <w:rsid w:val="00227C0B"/>
    <w:rsid w:val="00230D1A"/>
    <w:rsid w:val="0023109A"/>
    <w:rsid w:val="00235EC1"/>
    <w:rsid w:val="0023619F"/>
    <w:rsid w:val="00240606"/>
    <w:rsid w:val="00240B26"/>
    <w:rsid w:val="00250B5D"/>
    <w:rsid w:val="002524FA"/>
    <w:rsid w:val="0025348B"/>
    <w:rsid w:val="00261310"/>
    <w:rsid w:val="00261660"/>
    <w:rsid w:val="00262167"/>
    <w:rsid w:val="00264203"/>
    <w:rsid w:val="00264D97"/>
    <w:rsid w:val="002655E5"/>
    <w:rsid w:val="00266345"/>
    <w:rsid w:val="00271D54"/>
    <w:rsid w:val="00272AE6"/>
    <w:rsid w:val="00272E47"/>
    <w:rsid w:val="002738BD"/>
    <w:rsid w:val="0027515F"/>
    <w:rsid w:val="0028299D"/>
    <w:rsid w:val="002865B8"/>
    <w:rsid w:val="00286AAE"/>
    <w:rsid w:val="0028761B"/>
    <w:rsid w:val="00293E80"/>
    <w:rsid w:val="00294298"/>
    <w:rsid w:val="002A3AB3"/>
    <w:rsid w:val="002A4126"/>
    <w:rsid w:val="002B0488"/>
    <w:rsid w:val="002B4B14"/>
    <w:rsid w:val="002B5BF5"/>
    <w:rsid w:val="002C0F68"/>
    <w:rsid w:val="002C1C4F"/>
    <w:rsid w:val="002D1A82"/>
    <w:rsid w:val="002D4A90"/>
    <w:rsid w:val="002D4BFF"/>
    <w:rsid w:val="002D7C2B"/>
    <w:rsid w:val="002E4109"/>
    <w:rsid w:val="002E4CB5"/>
    <w:rsid w:val="002E6FCA"/>
    <w:rsid w:val="002F066E"/>
    <w:rsid w:val="002F1D31"/>
    <w:rsid w:val="002F210B"/>
    <w:rsid w:val="002F279B"/>
    <w:rsid w:val="002F2831"/>
    <w:rsid w:val="002F3FB7"/>
    <w:rsid w:val="0030030C"/>
    <w:rsid w:val="00302529"/>
    <w:rsid w:val="00302D1E"/>
    <w:rsid w:val="00303A70"/>
    <w:rsid w:val="00315131"/>
    <w:rsid w:val="0032659E"/>
    <w:rsid w:val="0033080F"/>
    <w:rsid w:val="003372E3"/>
    <w:rsid w:val="0034203C"/>
    <w:rsid w:val="0034235E"/>
    <w:rsid w:val="0034769B"/>
    <w:rsid w:val="00352A6E"/>
    <w:rsid w:val="00354FF1"/>
    <w:rsid w:val="00356A44"/>
    <w:rsid w:val="00363520"/>
    <w:rsid w:val="00366828"/>
    <w:rsid w:val="003705FC"/>
    <w:rsid w:val="003718C9"/>
    <w:rsid w:val="003803AE"/>
    <w:rsid w:val="00380E64"/>
    <w:rsid w:val="00382D20"/>
    <w:rsid w:val="003831F1"/>
    <w:rsid w:val="003848DD"/>
    <w:rsid w:val="00384ACF"/>
    <w:rsid w:val="0039328C"/>
    <w:rsid w:val="0039464E"/>
    <w:rsid w:val="003950E5"/>
    <w:rsid w:val="003B0D9E"/>
    <w:rsid w:val="003B480C"/>
    <w:rsid w:val="003B519E"/>
    <w:rsid w:val="003B69B8"/>
    <w:rsid w:val="003C0DB0"/>
    <w:rsid w:val="003C32D0"/>
    <w:rsid w:val="003C5093"/>
    <w:rsid w:val="003C5E0F"/>
    <w:rsid w:val="003C70AE"/>
    <w:rsid w:val="003C7652"/>
    <w:rsid w:val="003D10CB"/>
    <w:rsid w:val="003D1ECD"/>
    <w:rsid w:val="003D582A"/>
    <w:rsid w:val="003D6C16"/>
    <w:rsid w:val="003D79AA"/>
    <w:rsid w:val="003E1E8D"/>
    <w:rsid w:val="003E4DF7"/>
    <w:rsid w:val="003F0826"/>
    <w:rsid w:val="003F5107"/>
    <w:rsid w:val="00406F50"/>
    <w:rsid w:val="00407E9B"/>
    <w:rsid w:val="00412506"/>
    <w:rsid w:val="004153D5"/>
    <w:rsid w:val="004203BC"/>
    <w:rsid w:val="00422B2A"/>
    <w:rsid w:val="004270CA"/>
    <w:rsid w:val="00433AC1"/>
    <w:rsid w:val="00434C80"/>
    <w:rsid w:val="004367BC"/>
    <w:rsid w:val="00440C3B"/>
    <w:rsid w:val="00441DDB"/>
    <w:rsid w:val="004454DB"/>
    <w:rsid w:val="0044670C"/>
    <w:rsid w:val="00446D56"/>
    <w:rsid w:val="0044754C"/>
    <w:rsid w:val="00447FF0"/>
    <w:rsid w:val="00453C76"/>
    <w:rsid w:val="004540F9"/>
    <w:rsid w:val="00461125"/>
    <w:rsid w:val="004625ED"/>
    <w:rsid w:val="0046374F"/>
    <w:rsid w:val="00464F3D"/>
    <w:rsid w:val="0046773C"/>
    <w:rsid w:val="004720CD"/>
    <w:rsid w:val="0047282A"/>
    <w:rsid w:val="0047534A"/>
    <w:rsid w:val="00476621"/>
    <w:rsid w:val="0048109B"/>
    <w:rsid w:val="0048124E"/>
    <w:rsid w:val="00483CA3"/>
    <w:rsid w:val="0049199C"/>
    <w:rsid w:val="00495C51"/>
    <w:rsid w:val="004A047B"/>
    <w:rsid w:val="004A1294"/>
    <w:rsid w:val="004A3A71"/>
    <w:rsid w:val="004B1D31"/>
    <w:rsid w:val="004B44D0"/>
    <w:rsid w:val="004C466D"/>
    <w:rsid w:val="004C61BA"/>
    <w:rsid w:val="004C6629"/>
    <w:rsid w:val="004D3E60"/>
    <w:rsid w:val="004D655E"/>
    <w:rsid w:val="004D7283"/>
    <w:rsid w:val="004E029B"/>
    <w:rsid w:val="004E085C"/>
    <w:rsid w:val="004E1485"/>
    <w:rsid w:val="004E2A68"/>
    <w:rsid w:val="004E4CBC"/>
    <w:rsid w:val="004E4DCD"/>
    <w:rsid w:val="004E53F7"/>
    <w:rsid w:val="004E5F68"/>
    <w:rsid w:val="004E6FCE"/>
    <w:rsid w:val="004F328D"/>
    <w:rsid w:val="004F3784"/>
    <w:rsid w:val="004F3F43"/>
    <w:rsid w:val="004F6A57"/>
    <w:rsid w:val="004F6CAD"/>
    <w:rsid w:val="004F759E"/>
    <w:rsid w:val="00503CCF"/>
    <w:rsid w:val="005042B7"/>
    <w:rsid w:val="00505980"/>
    <w:rsid w:val="00507FD4"/>
    <w:rsid w:val="0051212E"/>
    <w:rsid w:val="00516BEB"/>
    <w:rsid w:val="00517C00"/>
    <w:rsid w:val="00520A57"/>
    <w:rsid w:val="00523FA3"/>
    <w:rsid w:val="00527B0E"/>
    <w:rsid w:val="00533A77"/>
    <w:rsid w:val="005357F9"/>
    <w:rsid w:val="0053607E"/>
    <w:rsid w:val="00537CF4"/>
    <w:rsid w:val="00542611"/>
    <w:rsid w:val="005463A8"/>
    <w:rsid w:val="005470C7"/>
    <w:rsid w:val="0054728F"/>
    <w:rsid w:val="005501DC"/>
    <w:rsid w:val="00551054"/>
    <w:rsid w:val="00562821"/>
    <w:rsid w:val="0056601C"/>
    <w:rsid w:val="00567C8A"/>
    <w:rsid w:val="00571BFE"/>
    <w:rsid w:val="005743B7"/>
    <w:rsid w:val="005768DE"/>
    <w:rsid w:val="00577D1A"/>
    <w:rsid w:val="00580881"/>
    <w:rsid w:val="00584F7F"/>
    <w:rsid w:val="00585F5B"/>
    <w:rsid w:val="005A25EE"/>
    <w:rsid w:val="005A346C"/>
    <w:rsid w:val="005A3481"/>
    <w:rsid w:val="005A6E4A"/>
    <w:rsid w:val="005AE397"/>
    <w:rsid w:val="005B0A9D"/>
    <w:rsid w:val="005B1753"/>
    <w:rsid w:val="005B1A15"/>
    <w:rsid w:val="005B79A7"/>
    <w:rsid w:val="005C2638"/>
    <w:rsid w:val="005C7C68"/>
    <w:rsid w:val="005D025F"/>
    <w:rsid w:val="005D4BC9"/>
    <w:rsid w:val="005E08E8"/>
    <w:rsid w:val="005E1FF5"/>
    <w:rsid w:val="005E454C"/>
    <w:rsid w:val="005F0244"/>
    <w:rsid w:val="005F09F9"/>
    <w:rsid w:val="005F6016"/>
    <w:rsid w:val="005F6437"/>
    <w:rsid w:val="006068EE"/>
    <w:rsid w:val="00607796"/>
    <w:rsid w:val="00613C2D"/>
    <w:rsid w:val="00613FCA"/>
    <w:rsid w:val="00615248"/>
    <w:rsid w:val="006153D3"/>
    <w:rsid w:val="0061575A"/>
    <w:rsid w:val="00620D90"/>
    <w:rsid w:val="00622F0E"/>
    <w:rsid w:val="00623A9A"/>
    <w:rsid w:val="00624549"/>
    <w:rsid w:val="006264C0"/>
    <w:rsid w:val="00626D45"/>
    <w:rsid w:val="00627A38"/>
    <w:rsid w:val="006312B1"/>
    <w:rsid w:val="006328B5"/>
    <w:rsid w:val="00643982"/>
    <w:rsid w:val="00644FB4"/>
    <w:rsid w:val="00647251"/>
    <w:rsid w:val="00650A5B"/>
    <w:rsid w:val="00653433"/>
    <w:rsid w:val="0065428B"/>
    <w:rsid w:val="00655A75"/>
    <w:rsid w:val="00660C2E"/>
    <w:rsid w:val="00663520"/>
    <w:rsid w:val="00663CFD"/>
    <w:rsid w:val="0066560F"/>
    <w:rsid w:val="00666858"/>
    <w:rsid w:val="00670B37"/>
    <w:rsid w:val="0067458F"/>
    <w:rsid w:val="00676C4E"/>
    <w:rsid w:val="006803EE"/>
    <w:rsid w:val="00680541"/>
    <w:rsid w:val="006806C1"/>
    <w:rsid w:val="00681A3C"/>
    <w:rsid w:val="0068300E"/>
    <w:rsid w:val="00690396"/>
    <w:rsid w:val="00692300"/>
    <w:rsid w:val="00693951"/>
    <w:rsid w:val="006A40D7"/>
    <w:rsid w:val="006B2111"/>
    <w:rsid w:val="006B4EF2"/>
    <w:rsid w:val="006C0A9F"/>
    <w:rsid w:val="006C0F1A"/>
    <w:rsid w:val="006C1EAE"/>
    <w:rsid w:val="006C2D9F"/>
    <w:rsid w:val="006C2F76"/>
    <w:rsid w:val="006C52F8"/>
    <w:rsid w:val="006C5E14"/>
    <w:rsid w:val="006C7A6E"/>
    <w:rsid w:val="006D0223"/>
    <w:rsid w:val="006D19D4"/>
    <w:rsid w:val="006E06C6"/>
    <w:rsid w:val="006E5AC5"/>
    <w:rsid w:val="006F06A9"/>
    <w:rsid w:val="006F1CCB"/>
    <w:rsid w:val="006F2328"/>
    <w:rsid w:val="006F33D8"/>
    <w:rsid w:val="00701F18"/>
    <w:rsid w:val="00704C18"/>
    <w:rsid w:val="007064CA"/>
    <w:rsid w:val="007076B4"/>
    <w:rsid w:val="00714357"/>
    <w:rsid w:val="00717178"/>
    <w:rsid w:val="00724046"/>
    <w:rsid w:val="00724EDD"/>
    <w:rsid w:val="00726EDA"/>
    <w:rsid w:val="007313A3"/>
    <w:rsid w:val="0073258D"/>
    <w:rsid w:val="00733BA2"/>
    <w:rsid w:val="007428B8"/>
    <w:rsid w:val="00742BD9"/>
    <w:rsid w:val="00746164"/>
    <w:rsid w:val="0075793D"/>
    <w:rsid w:val="00757A24"/>
    <w:rsid w:val="0076081F"/>
    <w:rsid w:val="00761971"/>
    <w:rsid w:val="00772F84"/>
    <w:rsid w:val="00773843"/>
    <w:rsid w:val="00775F96"/>
    <w:rsid w:val="00780BB6"/>
    <w:rsid w:val="00782F99"/>
    <w:rsid w:val="007911EB"/>
    <w:rsid w:val="0079332E"/>
    <w:rsid w:val="007A02E5"/>
    <w:rsid w:val="007A3FFF"/>
    <w:rsid w:val="007A4DFC"/>
    <w:rsid w:val="007A6E32"/>
    <w:rsid w:val="007B02EA"/>
    <w:rsid w:val="007B220D"/>
    <w:rsid w:val="007B46CF"/>
    <w:rsid w:val="007B52E0"/>
    <w:rsid w:val="007B7CCF"/>
    <w:rsid w:val="007C3950"/>
    <w:rsid w:val="007C5697"/>
    <w:rsid w:val="007D2C12"/>
    <w:rsid w:val="007D6A8F"/>
    <w:rsid w:val="007D6CF3"/>
    <w:rsid w:val="007E07CE"/>
    <w:rsid w:val="007E32F7"/>
    <w:rsid w:val="007E7688"/>
    <w:rsid w:val="007F0089"/>
    <w:rsid w:val="007F68DD"/>
    <w:rsid w:val="00801EAC"/>
    <w:rsid w:val="00802B4D"/>
    <w:rsid w:val="00802ED7"/>
    <w:rsid w:val="00805E08"/>
    <w:rsid w:val="00806A03"/>
    <w:rsid w:val="0081069C"/>
    <w:rsid w:val="00810E10"/>
    <w:rsid w:val="00810FE2"/>
    <w:rsid w:val="00814273"/>
    <w:rsid w:val="00816CCF"/>
    <w:rsid w:val="0081798C"/>
    <w:rsid w:val="008268A5"/>
    <w:rsid w:val="0083224C"/>
    <w:rsid w:val="008327EB"/>
    <w:rsid w:val="0083320E"/>
    <w:rsid w:val="00834F57"/>
    <w:rsid w:val="00840614"/>
    <w:rsid w:val="008448DE"/>
    <w:rsid w:val="00847D97"/>
    <w:rsid w:val="00854746"/>
    <w:rsid w:val="0086461C"/>
    <w:rsid w:val="008757EC"/>
    <w:rsid w:val="008805EF"/>
    <w:rsid w:val="00882730"/>
    <w:rsid w:val="008848D6"/>
    <w:rsid w:val="00887566"/>
    <w:rsid w:val="008909EE"/>
    <w:rsid w:val="00891839"/>
    <w:rsid w:val="008918A5"/>
    <w:rsid w:val="008942B0"/>
    <w:rsid w:val="00894C1A"/>
    <w:rsid w:val="0089686A"/>
    <w:rsid w:val="008A1E02"/>
    <w:rsid w:val="008B0B00"/>
    <w:rsid w:val="008B7419"/>
    <w:rsid w:val="008C2FAC"/>
    <w:rsid w:val="008C7A33"/>
    <w:rsid w:val="008D13CD"/>
    <w:rsid w:val="008D1C44"/>
    <w:rsid w:val="008D33C9"/>
    <w:rsid w:val="008D7926"/>
    <w:rsid w:val="008E0E70"/>
    <w:rsid w:val="008E3E1C"/>
    <w:rsid w:val="008F00B9"/>
    <w:rsid w:val="008F1BC5"/>
    <w:rsid w:val="008F630A"/>
    <w:rsid w:val="008F7DDC"/>
    <w:rsid w:val="00907E94"/>
    <w:rsid w:val="0091117B"/>
    <w:rsid w:val="00917917"/>
    <w:rsid w:val="00921D0E"/>
    <w:rsid w:val="00927435"/>
    <w:rsid w:val="00930F10"/>
    <w:rsid w:val="009310A5"/>
    <w:rsid w:val="009348CB"/>
    <w:rsid w:val="00944B32"/>
    <w:rsid w:val="00944F49"/>
    <w:rsid w:val="009472F3"/>
    <w:rsid w:val="00954CAF"/>
    <w:rsid w:val="009556B6"/>
    <w:rsid w:val="00955C12"/>
    <w:rsid w:val="00957761"/>
    <w:rsid w:val="00960098"/>
    <w:rsid w:val="009620DE"/>
    <w:rsid w:val="00963D54"/>
    <w:rsid w:val="00964728"/>
    <w:rsid w:val="00964912"/>
    <w:rsid w:val="0097050A"/>
    <w:rsid w:val="00980F7D"/>
    <w:rsid w:val="009828D2"/>
    <w:rsid w:val="00984CAC"/>
    <w:rsid w:val="00987FC4"/>
    <w:rsid w:val="009912DB"/>
    <w:rsid w:val="009952F3"/>
    <w:rsid w:val="009A147F"/>
    <w:rsid w:val="009A42A8"/>
    <w:rsid w:val="009B04E1"/>
    <w:rsid w:val="009B121D"/>
    <w:rsid w:val="009C2A77"/>
    <w:rsid w:val="009C2FDB"/>
    <w:rsid w:val="009C5EC0"/>
    <w:rsid w:val="009C6448"/>
    <w:rsid w:val="009C6FF3"/>
    <w:rsid w:val="009D1F49"/>
    <w:rsid w:val="009D5028"/>
    <w:rsid w:val="009D5254"/>
    <w:rsid w:val="009D6F79"/>
    <w:rsid w:val="009D7263"/>
    <w:rsid w:val="009E3996"/>
    <w:rsid w:val="009E689A"/>
    <w:rsid w:val="009F4BF6"/>
    <w:rsid w:val="00A00F72"/>
    <w:rsid w:val="00A03D07"/>
    <w:rsid w:val="00A07F42"/>
    <w:rsid w:val="00A10AC1"/>
    <w:rsid w:val="00A1520E"/>
    <w:rsid w:val="00A16315"/>
    <w:rsid w:val="00A2328B"/>
    <w:rsid w:val="00A2772F"/>
    <w:rsid w:val="00A27D77"/>
    <w:rsid w:val="00A30449"/>
    <w:rsid w:val="00A30B3C"/>
    <w:rsid w:val="00A30C0D"/>
    <w:rsid w:val="00A3330D"/>
    <w:rsid w:val="00A340DE"/>
    <w:rsid w:val="00A43507"/>
    <w:rsid w:val="00A43FCE"/>
    <w:rsid w:val="00A52DB7"/>
    <w:rsid w:val="00A53C0F"/>
    <w:rsid w:val="00A55251"/>
    <w:rsid w:val="00A55EAB"/>
    <w:rsid w:val="00A662E6"/>
    <w:rsid w:val="00A668D7"/>
    <w:rsid w:val="00A706C8"/>
    <w:rsid w:val="00A7552A"/>
    <w:rsid w:val="00A7796E"/>
    <w:rsid w:val="00A80922"/>
    <w:rsid w:val="00A813C3"/>
    <w:rsid w:val="00A82DE8"/>
    <w:rsid w:val="00A83CE5"/>
    <w:rsid w:val="00A857A2"/>
    <w:rsid w:val="00A85B4C"/>
    <w:rsid w:val="00A863EE"/>
    <w:rsid w:val="00A90FA9"/>
    <w:rsid w:val="00A9595D"/>
    <w:rsid w:val="00A9710F"/>
    <w:rsid w:val="00AA01E5"/>
    <w:rsid w:val="00AA1CDF"/>
    <w:rsid w:val="00AA4539"/>
    <w:rsid w:val="00AA4E85"/>
    <w:rsid w:val="00AB0426"/>
    <w:rsid w:val="00AB1D7D"/>
    <w:rsid w:val="00AB4F73"/>
    <w:rsid w:val="00AD10A5"/>
    <w:rsid w:val="00AD6558"/>
    <w:rsid w:val="00AE583F"/>
    <w:rsid w:val="00AF2851"/>
    <w:rsid w:val="00AF6FAF"/>
    <w:rsid w:val="00B02CF6"/>
    <w:rsid w:val="00B03B8B"/>
    <w:rsid w:val="00B03FBC"/>
    <w:rsid w:val="00B0574B"/>
    <w:rsid w:val="00B05821"/>
    <w:rsid w:val="00B06C23"/>
    <w:rsid w:val="00B1705D"/>
    <w:rsid w:val="00B1719A"/>
    <w:rsid w:val="00B31603"/>
    <w:rsid w:val="00B31EAD"/>
    <w:rsid w:val="00B35535"/>
    <w:rsid w:val="00B355C5"/>
    <w:rsid w:val="00B41AF0"/>
    <w:rsid w:val="00B453E3"/>
    <w:rsid w:val="00B47178"/>
    <w:rsid w:val="00B50A29"/>
    <w:rsid w:val="00B53DCD"/>
    <w:rsid w:val="00B54796"/>
    <w:rsid w:val="00B561A6"/>
    <w:rsid w:val="00B62E7B"/>
    <w:rsid w:val="00B64E56"/>
    <w:rsid w:val="00B65FB8"/>
    <w:rsid w:val="00B70962"/>
    <w:rsid w:val="00B723BE"/>
    <w:rsid w:val="00B739E7"/>
    <w:rsid w:val="00B74D8E"/>
    <w:rsid w:val="00B82705"/>
    <w:rsid w:val="00B828AA"/>
    <w:rsid w:val="00B86A98"/>
    <w:rsid w:val="00B91E16"/>
    <w:rsid w:val="00B96CC5"/>
    <w:rsid w:val="00B9709F"/>
    <w:rsid w:val="00B972F5"/>
    <w:rsid w:val="00B9767E"/>
    <w:rsid w:val="00B979BD"/>
    <w:rsid w:val="00BA1E24"/>
    <w:rsid w:val="00BA56C1"/>
    <w:rsid w:val="00BA67DF"/>
    <w:rsid w:val="00BB307A"/>
    <w:rsid w:val="00BB6749"/>
    <w:rsid w:val="00BC3D56"/>
    <w:rsid w:val="00BD0074"/>
    <w:rsid w:val="00BD1ED6"/>
    <w:rsid w:val="00BD7CB2"/>
    <w:rsid w:val="00BE2BF4"/>
    <w:rsid w:val="00BE2E7F"/>
    <w:rsid w:val="00BE6C37"/>
    <w:rsid w:val="00BF4552"/>
    <w:rsid w:val="00BF4D4B"/>
    <w:rsid w:val="00C049F0"/>
    <w:rsid w:val="00C072C3"/>
    <w:rsid w:val="00C13152"/>
    <w:rsid w:val="00C16BB3"/>
    <w:rsid w:val="00C206F5"/>
    <w:rsid w:val="00C22120"/>
    <w:rsid w:val="00C23ABA"/>
    <w:rsid w:val="00C25F5E"/>
    <w:rsid w:val="00C26E91"/>
    <w:rsid w:val="00C27D57"/>
    <w:rsid w:val="00C33F33"/>
    <w:rsid w:val="00C34F84"/>
    <w:rsid w:val="00C36168"/>
    <w:rsid w:val="00C3621C"/>
    <w:rsid w:val="00C42D8E"/>
    <w:rsid w:val="00C43CFE"/>
    <w:rsid w:val="00C4783B"/>
    <w:rsid w:val="00C50244"/>
    <w:rsid w:val="00C536DB"/>
    <w:rsid w:val="00C546B3"/>
    <w:rsid w:val="00C562BF"/>
    <w:rsid w:val="00C60F2B"/>
    <w:rsid w:val="00C61570"/>
    <w:rsid w:val="00C618F4"/>
    <w:rsid w:val="00C65440"/>
    <w:rsid w:val="00C66BB4"/>
    <w:rsid w:val="00C74309"/>
    <w:rsid w:val="00C75BE5"/>
    <w:rsid w:val="00C76548"/>
    <w:rsid w:val="00C824F1"/>
    <w:rsid w:val="00C82CBA"/>
    <w:rsid w:val="00C86BCF"/>
    <w:rsid w:val="00C9307E"/>
    <w:rsid w:val="00C975C4"/>
    <w:rsid w:val="00CA18D6"/>
    <w:rsid w:val="00CA1EFD"/>
    <w:rsid w:val="00CA3AC4"/>
    <w:rsid w:val="00CA77D0"/>
    <w:rsid w:val="00CB090D"/>
    <w:rsid w:val="00CB1257"/>
    <w:rsid w:val="00CB7444"/>
    <w:rsid w:val="00CB7CF9"/>
    <w:rsid w:val="00CB7D9D"/>
    <w:rsid w:val="00CC2265"/>
    <w:rsid w:val="00CC3B38"/>
    <w:rsid w:val="00CD0D0E"/>
    <w:rsid w:val="00CD6041"/>
    <w:rsid w:val="00CD6A11"/>
    <w:rsid w:val="00CD737E"/>
    <w:rsid w:val="00CD7938"/>
    <w:rsid w:val="00CE1C84"/>
    <w:rsid w:val="00CE6B5F"/>
    <w:rsid w:val="00CF287B"/>
    <w:rsid w:val="00CF4412"/>
    <w:rsid w:val="00CF58B2"/>
    <w:rsid w:val="00CF6761"/>
    <w:rsid w:val="00D008BF"/>
    <w:rsid w:val="00D020A0"/>
    <w:rsid w:val="00D039DE"/>
    <w:rsid w:val="00D15597"/>
    <w:rsid w:val="00D16818"/>
    <w:rsid w:val="00D21C2A"/>
    <w:rsid w:val="00D21D64"/>
    <w:rsid w:val="00D22582"/>
    <w:rsid w:val="00D2434F"/>
    <w:rsid w:val="00D30F3B"/>
    <w:rsid w:val="00D31048"/>
    <w:rsid w:val="00D31FEA"/>
    <w:rsid w:val="00D35A7A"/>
    <w:rsid w:val="00D40CB6"/>
    <w:rsid w:val="00D47D4A"/>
    <w:rsid w:val="00D47DAB"/>
    <w:rsid w:val="00D47F3B"/>
    <w:rsid w:val="00D5115F"/>
    <w:rsid w:val="00D528B4"/>
    <w:rsid w:val="00D52FDE"/>
    <w:rsid w:val="00D53489"/>
    <w:rsid w:val="00D55FD4"/>
    <w:rsid w:val="00D56253"/>
    <w:rsid w:val="00D67AC8"/>
    <w:rsid w:val="00D71A24"/>
    <w:rsid w:val="00D759C3"/>
    <w:rsid w:val="00D8210E"/>
    <w:rsid w:val="00D8422D"/>
    <w:rsid w:val="00D856CD"/>
    <w:rsid w:val="00D8667C"/>
    <w:rsid w:val="00D86AB9"/>
    <w:rsid w:val="00D8798A"/>
    <w:rsid w:val="00D96438"/>
    <w:rsid w:val="00DA023A"/>
    <w:rsid w:val="00DA7975"/>
    <w:rsid w:val="00DA7EAC"/>
    <w:rsid w:val="00DB12D0"/>
    <w:rsid w:val="00DB6066"/>
    <w:rsid w:val="00DC4A3A"/>
    <w:rsid w:val="00DC5820"/>
    <w:rsid w:val="00DD01EF"/>
    <w:rsid w:val="00DD3E3F"/>
    <w:rsid w:val="00DD67D1"/>
    <w:rsid w:val="00DE0677"/>
    <w:rsid w:val="00DE26E2"/>
    <w:rsid w:val="00DF0294"/>
    <w:rsid w:val="00DF164C"/>
    <w:rsid w:val="00DF57CA"/>
    <w:rsid w:val="00DF612C"/>
    <w:rsid w:val="00E041DB"/>
    <w:rsid w:val="00E10EDC"/>
    <w:rsid w:val="00E114A1"/>
    <w:rsid w:val="00E21870"/>
    <w:rsid w:val="00E230C7"/>
    <w:rsid w:val="00E26367"/>
    <w:rsid w:val="00E3182D"/>
    <w:rsid w:val="00E3689B"/>
    <w:rsid w:val="00E378BC"/>
    <w:rsid w:val="00E406FD"/>
    <w:rsid w:val="00E407EE"/>
    <w:rsid w:val="00E40985"/>
    <w:rsid w:val="00E422B0"/>
    <w:rsid w:val="00E54C4E"/>
    <w:rsid w:val="00E54D76"/>
    <w:rsid w:val="00E56799"/>
    <w:rsid w:val="00E62236"/>
    <w:rsid w:val="00E63FB5"/>
    <w:rsid w:val="00E66670"/>
    <w:rsid w:val="00E72580"/>
    <w:rsid w:val="00E72A7B"/>
    <w:rsid w:val="00E851EE"/>
    <w:rsid w:val="00E92B3D"/>
    <w:rsid w:val="00EA0A0F"/>
    <w:rsid w:val="00EA507B"/>
    <w:rsid w:val="00EA7D4F"/>
    <w:rsid w:val="00EB16F7"/>
    <w:rsid w:val="00EB2EF7"/>
    <w:rsid w:val="00EB536B"/>
    <w:rsid w:val="00EC06A0"/>
    <w:rsid w:val="00EC504C"/>
    <w:rsid w:val="00EC5EB8"/>
    <w:rsid w:val="00EC66E8"/>
    <w:rsid w:val="00EC7ACC"/>
    <w:rsid w:val="00ED2FA8"/>
    <w:rsid w:val="00ED3DDF"/>
    <w:rsid w:val="00ED529D"/>
    <w:rsid w:val="00ED6F36"/>
    <w:rsid w:val="00EE02AE"/>
    <w:rsid w:val="00EE2185"/>
    <w:rsid w:val="00EE242B"/>
    <w:rsid w:val="00EE35B5"/>
    <w:rsid w:val="00EE4054"/>
    <w:rsid w:val="00EE4892"/>
    <w:rsid w:val="00EE686B"/>
    <w:rsid w:val="00EF2C50"/>
    <w:rsid w:val="00F032E9"/>
    <w:rsid w:val="00F03CA8"/>
    <w:rsid w:val="00F042F3"/>
    <w:rsid w:val="00F07AAC"/>
    <w:rsid w:val="00F07B40"/>
    <w:rsid w:val="00F13D9E"/>
    <w:rsid w:val="00F20F18"/>
    <w:rsid w:val="00F23B7B"/>
    <w:rsid w:val="00F33187"/>
    <w:rsid w:val="00F36A9F"/>
    <w:rsid w:val="00F40510"/>
    <w:rsid w:val="00F42254"/>
    <w:rsid w:val="00F42532"/>
    <w:rsid w:val="00F45D1B"/>
    <w:rsid w:val="00F46ED1"/>
    <w:rsid w:val="00F51EB5"/>
    <w:rsid w:val="00F555AC"/>
    <w:rsid w:val="00F63201"/>
    <w:rsid w:val="00F6373E"/>
    <w:rsid w:val="00F6754C"/>
    <w:rsid w:val="00F723BC"/>
    <w:rsid w:val="00F9124F"/>
    <w:rsid w:val="00F931E1"/>
    <w:rsid w:val="00F932A8"/>
    <w:rsid w:val="00F946DD"/>
    <w:rsid w:val="00F97F44"/>
    <w:rsid w:val="00FA4631"/>
    <w:rsid w:val="00FA63FF"/>
    <w:rsid w:val="00FA7CAD"/>
    <w:rsid w:val="00FB0216"/>
    <w:rsid w:val="00FB234E"/>
    <w:rsid w:val="00FB2E0A"/>
    <w:rsid w:val="00FB342F"/>
    <w:rsid w:val="00FB3B5F"/>
    <w:rsid w:val="00FB55C7"/>
    <w:rsid w:val="00FC1B99"/>
    <w:rsid w:val="00FC1FCE"/>
    <w:rsid w:val="00FD65C1"/>
    <w:rsid w:val="00FD6844"/>
    <w:rsid w:val="00FE008A"/>
    <w:rsid w:val="00FE0D68"/>
    <w:rsid w:val="00FE3007"/>
    <w:rsid w:val="00FE3754"/>
    <w:rsid w:val="00FE4BD6"/>
    <w:rsid w:val="00FF277C"/>
    <w:rsid w:val="0148F92C"/>
    <w:rsid w:val="01DA03D2"/>
    <w:rsid w:val="02B8B53B"/>
    <w:rsid w:val="02DAA9A3"/>
    <w:rsid w:val="038E1869"/>
    <w:rsid w:val="03E46001"/>
    <w:rsid w:val="0437DC09"/>
    <w:rsid w:val="04457BBA"/>
    <w:rsid w:val="04488143"/>
    <w:rsid w:val="04903AB9"/>
    <w:rsid w:val="04B3BDDF"/>
    <w:rsid w:val="057313AF"/>
    <w:rsid w:val="0575FBD3"/>
    <w:rsid w:val="05C05836"/>
    <w:rsid w:val="064CB74F"/>
    <w:rsid w:val="070F2BFD"/>
    <w:rsid w:val="08DFB24B"/>
    <w:rsid w:val="09680C92"/>
    <w:rsid w:val="09A8D59C"/>
    <w:rsid w:val="09E00622"/>
    <w:rsid w:val="0A017C2E"/>
    <w:rsid w:val="0AD0DDE8"/>
    <w:rsid w:val="0B083BBD"/>
    <w:rsid w:val="0B0A99AE"/>
    <w:rsid w:val="0B71D082"/>
    <w:rsid w:val="0C10DD06"/>
    <w:rsid w:val="0D11D496"/>
    <w:rsid w:val="0D2B2835"/>
    <w:rsid w:val="0D4A2D6E"/>
    <w:rsid w:val="0D8DC32D"/>
    <w:rsid w:val="0DB7B51A"/>
    <w:rsid w:val="0DB93C1F"/>
    <w:rsid w:val="0DFDAA03"/>
    <w:rsid w:val="0E0E6211"/>
    <w:rsid w:val="0E2AA6C3"/>
    <w:rsid w:val="0E5094FD"/>
    <w:rsid w:val="0FD2D92D"/>
    <w:rsid w:val="0FD35054"/>
    <w:rsid w:val="0FFCEE16"/>
    <w:rsid w:val="101E7014"/>
    <w:rsid w:val="1062C8F7"/>
    <w:rsid w:val="10EE4E5C"/>
    <w:rsid w:val="11261148"/>
    <w:rsid w:val="116911CE"/>
    <w:rsid w:val="11FE9958"/>
    <w:rsid w:val="1209A01B"/>
    <w:rsid w:val="128A1EBD"/>
    <w:rsid w:val="12D3BF48"/>
    <w:rsid w:val="13368F85"/>
    <w:rsid w:val="133A19B1"/>
    <w:rsid w:val="138CAB29"/>
    <w:rsid w:val="139D2E93"/>
    <w:rsid w:val="1425EF1E"/>
    <w:rsid w:val="15C353A6"/>
    <w:rsid w:val="15EF3691"/>
    <w:rsid w:val="17CBB412"/>
    <w:rsid w:val="18062264"/>
    <w:rsid w:val="1810602D"/>
    <w:rsid w:val="183E7865"/>
    <w:rsid w:val="18AF815D"/>
    <w:rsid w:val="19E743D4"/>
    <w:rsid w:val="1AA7FFDC"/>
    <w:rsid w:val="1AB91E26"/>
    <w:rsid w:val="1AD5CE49"/>
    <w:rsid w:val="1B5E833F"/>
    <w:rsid w:val="1B99F956"/>
    <w:rsid w:val="1BA57B9E"/>
    <w:rsid w:val="1BC22033"/>
    <w:rsid w:val="1BE16557"/>
    <w:rsid w:val="1D24C3F6"/>
    <w:rsid w:val="1DB050CC"/>
    <w:rsid w:val="1E1BBB53"/>
    <w:rsid w:val="1E6F2BE1"/>
    <w:rsid w:val="1E897C11"/>
    <w:rsid w:val="1F685F19"/>
    <w:rsid w:val="1FB78BB4"/>
    <w:rsid w:val="206C772A"/>
    <w:rsid w:val="2078A91D"/>
    <w:rsid w:val="208A53B1"/>
    <w:rsid w:val="20950D6B"/>
    <w:rsid w:val="21782FA2"/>
    <w:rsid w:val="217B8E6C"/>
    <w:rsid w:val="21F76038"/>
    <w:rsid w:val="2212657C"/>
    <w:rsid w:val="22544438"/>
    <w:rsid w:val="227EF89F"/>
    <w:rsid w:val="22D35C60"/>
    <w:rsid w:val="23AE35DD"/>
    <w:rsid w:val="24A26A22"/>
    <w:rsid w:val="255D34EA"/>
    <w:rsid w:val="2574105C"/>
    <w:rsid w:val="259148FF"/>
    <w:rsid w:val="25E01E82"/>
    <w:rsid w:val="25EEBF33"/>
    <w:rsid w:val="27AE13DF"/>
    <w:rsid w:val="27EC24A0"/>
    <w:rsid w:val="281E2666"/>
    <w:rsid w:val="28340243"/>
    <w:rsid w:val="2960A78E"/>
    <w:rsid w:val="29D0218F"/>
    <w:rsid w:val="29E6FA17"/>
    <w:rsid w:val="2A20D147"/>
    <w:rsid w:val="2A48B11F"/>
    <w:rsid w:val="2BB1E699"/>
    <w:rsid w:val="2C13E129"/>
    <w:rsid w:val="2C4CD389"/>
    <w:rsid w:val="2CAA21A3"/>
    <w:rsid w:val="2CF4242E"/>
    <w:rsid w:val="2D5F5D4F"/>
    <w:rsid w:val="2D658762"/>
    <w:rsid w:val="2D9C82D5"/>
    <w:rsid w:val="2DF1B7B3"/>
    <w:rsid w:val="2E2A3ED7"/>
    <w:rsid w:val="2E9355B3"/>
    <w:rsid w:val="2EF0F049"/>
    <w:rsid w:val="2F2528E4"/>
    <w:rsid w:val="2F490337"/>
    <w:rsid w:val="2FE2EE15"/>
    <w:rsid w:val="2FF18FAA"/>
    <w:rsid w:val="3087D091"/>
    <w:rsid w:val="30BBC33E"/>
    <w:rsid w:val="30C4CBCE"/>
    <w:rsid w:val="30CBD7D4"/>
    <w:rsid w:val="30E177D7"/>
    <w:rsid w:val="31D54D32"/>
    <w:rsid w:val="325D6E14"/>
    <w:rsid w:val="32B4FD8F"/>
    <w:rsid w:val="33711D93"/>
    <w:rsid w:val="33AB899D"/>
    <w:rsid w:val="33F64D11"/>
    <w:rsid w:val="340B5587"/>
    <w:rsid w:val="357BBB37"/>
    <w:rsid w:val="35EF9B76"/>
    <w:rsid w:val="370325CA"/>
    <w:rsid w:val="372AFA3B"/>
    <w:rsid w:val="378CDE75"/>
    <w:rsid w:val="383672AF"/>
    <w:rsid w:val="38B6431A"/>
    <w:rsid w:val="3A3C7A44"/>
    <w:rsid w:val="3AB4A0B9"/>
    <w:rsid w:val="3B1880A0"/>
    <w:rsid w:val="3C0A588A"/>
    <w:rsid w:val="3C3E6D49"/>
    <w:rsid w:val="3D060365"/>
    <w:rsid w:val="3DEA7954"/>
    <w:rsid w:val="3E342057"/>
    <w:rsid w:val="3EE74A36"/>
    <w:rsid w:val="3EE8C9C7"/>
    <w:rsid w:val="4060A067"/>
    <w:rsid w:val="40766332"/>
    <w:rsid w:val="4112EDEB"/>
    <w:rsid w:val="4187BC71"/>
    <w:rsid w:val="4218772A"/>
    <w:rsid w:val="42A07F71"/>
    <w:rsid w:val="42E89A36"/>
    <w:rsid w:val="42FE30DD"/>
    <w:rsid w:val="4337BFF6"/>
    <w:rsid w:val="4339BD8C"/>
    <w:rsid w:val="43AF1237"/>
    <w:rsid w:val="43B4478B"/>
    <w:rsid w:val="448A397E"/>
    <w:rsid w:val="44A9C3EB"/>
    <w:rsid w:val="455A7744"/>
    <w:rsid w:val="46052B59"/>
    <w:rsid w:val="462609DF"/>
    <w:rsid w:val="46344562"/>
    <w:rsid w:val="46B33E9F"/>
    <w:rsid w:val="47484E0E"/>
    <w:rsid w:val="480E1BB2"/>
    <w:rsid w:val="487B386E"/>
    <w:rsid w:val="4AF56425"/>
    <w:rsid w:val="4B295DFF"/>
    <w:rsid w:val="4B42D1DB"/>
    <w:rsid w:val="4BE24A1D"/>
    <w:rsid w:val="4C5C632E"/>
    <w:rsid w:val="4C70E80C"/>
    <w:rsid w:val="4CB18FA8"/>
    <w:rsid w:val="4CE68FC2"/>
    <w:rsid w:val="4E14552D"/>
    <w:rsid w:val="4E8D651F"/>
    <w:rsid w:val="4F3C9296"/>
    <w:rsid w:val="4F4128FD"/>
    <w:rsid w:val="4F91C720"/>
    <w:rsid w:val="4FBB2728"/>
    <w:rsid w:val="501E3084"/>
    <w:rsid w:val="50873C1C"/>
    <w:rsid w:val="50B6FB59"/>
    <w:rsid w:val="50D9BCFB"/>
    <w:rsid w:val="5136F462"/>
    <w:rsid w:val="51731189"/>
    <w:rsid w:val="519A4C56"/>
    <w:rsid w:val="5231B665"/>
    <w:rsid w:val="52B297C0"/>
    <w:rsid w:val="5320883F"/>
    <w:rsid w:val="5355D146"/>
    <w:rsid w:val="538D2F8B"/>
    <w:rsid w:val="544E6821"/>
    <w:rsid w:val="5528FFEC"/>
    <w:rsid w:val="55324DD9"/>
    <w:rsid w:val="55B01B93"/>
    <w:rsid w:val="55C5E31A"/>
    <w:rsid w:val="55D49BA6"/>
    <w:rsid w:val="56B6646A"/>
    <w:rsid w:val="56FD9FA4"/>
    <w:rsid w:val="57406225"/>
    <w:rsid w:val="57B05361"/>
    <w:rsid w:val="588FC48C"/>
    <w:rsid w:val="58AFF6F5"/>
    <w:rsid w:val="58DF128A"/>
    <w:rsid w:val="5975ED0A"/>
    <w:rsid w:val="5A068A25"/>
    <w:rsid w:val="5A0C8CD0"/>
    <w:rsid w:val="5A2F3055"/>
    <w:rsid w:val="5A56700B"/>
    <w:rsid w:val="5AA6CCD2"/>
    <w:rsid w:val="5ABDA9A5"/>
    <w:rsid w:val="5AE0396E"/>
    <w:rsid w:val="5CDB782F"/>
    <w:rsid w:val="5CFCB38C"/>
    <w:rsid w:val="5D8EAA5E"/>
    <w:rsid w:val="5DB3F6E0"/>
    <w:rsid w:val="5E2C50F8"/>
    <w:rsid w:val="5E56FF65"/>
    <w:rsid w:val="5E7A70F7"/>
    <w:rsid w:val="5F3FF9E3"/>
    <w:rsid w:val="5FF55278"/>
    <w:rsid w:val="6075CBA9"/>
    <w:rsid w:val="60A54CA0"/>
    <w:rsid w:val="62198ADF"/>
    <w:rsid w:val="626C3183"/>
    <w:rsid w:val="6345B529"/>
    <w:rsid w:val="64C02933"/>
    <w:rsid w:val="6507C571"/>
    <w:rsid w:val="65178F76"/>
    <w:rsid w:val="655E3338"/>
    <w:rsid w:val="6563540C"/>
    <w:rsid w:val="6585F0CB"/>
    <w:rsid w:val="65CE2CE3"/>
    <w:rsid w:val="662450B8"/>
    <w:rsid w:val="662E0A9D"/>
    <w:rsid w:val="6719C484"/>
    <w:rsid w:val="6745D568"/>
    <w:rsid w:val="683F6633"/>
    <w:rsid w:val="68E40366"/>
    <w:rsid w:val="694D639B"/>
    <w:rsid w:val="697C3437"/>
    <w:rsid w:val="69CF8661"/>
    <w:rsid w:val="69F0893B"/>
    <w:rsid w:val="6B28B78F"/>
    <w:rsid w:val="6B7706F5"/>
    <w:rsid w:val="6BB7852E"/>
    <w:rsid w:val="6CD0EBB8"/>
    <w:rsid w:val="6E0FD889"/>
    <w:rsid w:val="6E15279F"/>
    <w:rsid w:val="6EE608C7"/>
    <w:rsid w:val="6EF5AEB8"/>
    <w:rsid w:val="6FAA78EE"/>
    <w:rsid w:val="70752023"/>
    <w:rsid w:val="7093DCF9"/>
    <w:rsid w:val="70A4331F"/>
    <w:rsid w:val="70D2A330"/>
    <w:rsid w:val="717FB266"/>
    <w:rsid w:val="72A5B7E4"/>
    <w:rsid w:val="72ACAFEB"/>
    <w:rsid w:val="7366095C"/>
    <w:rsid w:val="7367327E"/>
    <w:rsid w:val="7370C11A"/>
    <w:rsid w:val="73855BF9"/>
    <w:rsid w:val="747AE8E8"/>
    <w:rsid w:val="74C241C7"/>
    <w:rsid w:val="74EC625D"/>
    <w:rsid w:val="7583CC6C"/>
    <w:rsid w:val="75AF2CF8"/>
    <w:rsid w:val="76FBFE38"/>
    <w:rsid w:val="7735272E"/>
    <w:rsid w:val="774A4B16"/>
    <w:rsid w:val="788BF4B9"/>
    <w:rsid w:val="7916FC36"/>
    <w:rsid w:val="79997CBB"/>
    <w:rsid w:val="79C1C084"/>
    <w:rsid w:val="79EAA633"/>
    <w:rsid w:val="7AB2CC97"/>
    <w:rsid w:val="7ACBF4F4"/>
    <w:rsid w:val="7B06E185"/>
    <w:rsid w:val="7BB38003"/>
    <w:rsid w:val="7C28C37F"/>
    <w:rsid w:val="7C3A69D4"/>
    <w:rsid w:val="7C9048E5"/>
    <w:rsid w:val="7CC620E2"/>
    <w:rsid w:val="7DEA6D59"/>
    <w:rsid w:val="7E65932D"/>
    <w:rsid w:val="7EFCAE7D"/>
    <w:rsid w:val="7F863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975D1E02-C20C-4757-ABFA-1FB08791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ascii="Arial" w:eastAsiaTheme="majorEastAsia" w:hAnsi="Arial"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ascii="Arial" w:eastAsiaTheme="majorEastAsia" w:hAnsi="Arial"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ascii="Arial" w:eastAsiaTheme="majorEastAsia" w:hAnsi="Arial"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99"/>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rPr>
      <w:rFonts w:ascii="Arial" w:hAnsi="Arial"/>
    </w:rPr>
  </w:style>
  <w:style w:type="paragraph" w:styleId="Header">
    <w:name w:val="header"/>
    <w:basedOn w:val="Normal"/>
    <w:link w:val="HeaderChar"/>
    <w:uiPriority w:val="99"/>
    <w:unhideWhenUsed/>
    <w:rsid w:val="000E09DC"/>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rFonts w:ascii="Arial" w:hAnsi="Arial"/>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86CAF"/>
  </w:style>
  <w:style w:type="character" w:customStyle="1" w:styleId="eop">
    <w:name w:val="eop"/>
    <w:basedOn w:val="DefaultParagraphFont"/>
    <w:rsid w:val="00186CAF"/>
  </w:style>
  <w:style w:type="paragraph" w:customStyle="1" w:styleId="paragraph">
    <w:name w:val="paragraph"/>
    <w:basedOn w:val="Normal"/>
    <w:rsid w:val="00102807"/>
    <w:pPr>
      <w:spacing w:before="100" w:beforeAutospacing="1" w:after="100" w:afterAutospacing="1"/>
    </w:pPr>
  </w:style>
  <w:style w:type="character" w:styleId="UnresolvedMention">
    <w:name w:val="Unresolved Mention"/>
    <w:basedOn w:val="DefaultParagraphFont"/>
    <w:uiPriority w:val="99"/>
    <w:unhideWhenUsed/>
    <w:rsid w:val="00B739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F6437"/>
    <w:rPr>
      <w:b/>
      <w:bCs/>
    </w:rPr>
  </w:style>
  <w:style w:type="character" w:customStyle="1" w:styleId="CommentSubjectChar">
    <w:name w:val="Comment Subject Char"/>
    <w:basedOn w:val="CommentTextChar"/>
    <w:link w:val="CommentSubject"/>
    <w:uiPriority w:val="99"/>
    <w:semiHidden/>
    <w:rsid w:val="005F6437"/>
    <w:rPr>
      <w:rFonts w:ascii="Arial" w:eastAsia="Times New Roman" w:hAnsi="Arial" w:cs="Times New Roman"/>
      <w:b/>
      <w:bCs/>
      <w:sz w:val="20"/>
      <w:szCs w:val="20"/>
    </w:rPr>
  </w:style>
  <w:style w:type="character" w:styleId="Mention">
    <w:name w:val="Mention"/>
    <w:basedOn w:val="DefaultParagraphFont"/>
    <w:uiPriority w:val="99"/>
    <w:unhideWhenUsed/>
    <w:rsid w:val="00DA023A"/>
    <w:rPr>
      <w:color w:val="2B579A"/>
      <w:shd w:val="clear" w:color="auto" w:fill="E1DFDD"/>
    </w:rPr>
  </w:style>
  <w:style w:type="character" w:styleId="FollowedHyperlink">
    <w:name w:val="FollowedHyperlink"/>
    <w:basedOn w:val="DefaultParagraphFont"/>
    <w:uiPriority w:val="99"/>
    <w:semiHidden/>
    <w:unhideWhenUsed/>
    <w:rsid w:val="00B355C5"/>
    <w:rPr>
      <w:color w:val="954F72" w:themeColor="followedHyperlink"/>
      <w:u w:val="single"/>
    </w:rPr>
  </w:style>
  <w:style w:type="table" w:customStyle="1" w:styleId="TableGrid1">
    <w:name w:val="Table Grid1"/>
    <w:basedOn w:val="TableNormal"/>
    <w:next w:val="TableGrid"/>
    <w:uiPriority w:val="39"/>
    <w:rsid w:val="00B35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71"/>
    <w:semiHidden/>
    <w:rsid w:val="00B355C5"/>
    <w:pPr>
      <w:spacing w:after="0" w:line="240" w:lineRule="auto"/>
    </w:pPr>
    <w:rPr>
      <w:rFonts w:ascii="Arial" w:eastAsia="Times New Roman" w:hAnsi="Arial" w:cs="Times New Roman"/>
      <w:sz w:val="24"/>
      <w:szCs w:val="24"/>
    </w:rPr>
  </w:style>
  <w:style w:type="character" w:styleId="Emphasis">
    <w:name w:val="Emphasis"/>
    <w:basedOn w:val="DefaultParagraphFont"/>
    <w:uiPriority w:val="20"/>
    <w:qFormat/>
    <w:rsid w:val="00B355C5"/>
    <w:rPr>
      <w:i/>
      <w:iCs/>
    </w:rPr>
  </w:style>
  <w:style w:type="character" w:styleId="Strong">
    <w:name w:val="Strong"/>
    <w:basedOn w:val="DefaultParagraphFont"/>
    <w:uiPriority w:val="22"/>
    <w:rsid w:val="00B355C5"/>
  </w:style>
  <w:style w:type="paragraph" w:styleId="IntenseQuote">
    <w:name w:val="Intense Quote"/>
    <w:basedOn w:val="Normal"/>
    <w:next w:val="Normal"/>
    <w:link w:val="IntenseQuoteChar"/>
    <w:uiPriority w:val="60"/>
    <w:rsid w:val="00B355C5"/>
    <w:pPr>
      <w:spacing w:before="360" w:after="360" w:line="259" w:lineRule="auto"/>
      <w:ind w:left="1440" w:right="1440"/>
    </w:pPr>
    <w:rPr>
      <w:rFonts w:ascii="Arial" w:eastAsia="Calibri" w:hAnsi="Arial" w:cs="Arial"/>
      <w:b/>
      <w:iCs/>
    </w:rPr>
  </w:style>
  <w:style w:type="character" w:customStyle="1" w:styleId="IntenseQuoteChar">
    <w:name w:val="Intense Quote Char"/>
    <w:basedOn w:val="DefaultParagraphFont"/>
    <w:link w:val="IntenseQuote"/>
    <w:uiPriority w:val="60"/>
    <w:rsid w:val="00B355C5"/>
    <w:rPr>
      <w:rFonts w:ascii="Arial" w:eastAsia="Calibri" w:hAnsi="Arial" w:cs="Arial"/>
      <w:b/>
      <w:iCs/>
      <w:sz w:val="24"/>
      <w:szCs w:val="24"/>
    </w:rPr>
  </w:style>
  <w:style w:type="character" w:styleId="SubtleEmphasis">
    <w:name w:val="Subtle Emphasis"/>
    <w:uiPriority w:val="65"/>
    <w:rsid w:val="00B355C5"/>
  </w:style>
  <w:style w:type="character" w:styleId="IntenseEmphasis">
    <w:name w:val="Intense Emphasis"/>
    <w:basedOn w:val="SubtleEmphasis"/>
    <w:uiPriority w:val="66"/>
    <w:rsid w:val="00B355C5"/>
  </w:style>
  <w:style w:type="character" w:styleId="SubtleReference">
    <w:name w:val="Subtle Reference"/>
    <w:basedOn w:val="IntenseEmphasis"/>
    <w:uiPriority w:val="67"/>
    <w:rsid w:val="00B355C5"/>
  </w:style>
  <w:style w:type="character" w:styleId="IntenseReference">
    <w:name w:val="Intense Reference"/>
    <w:basedOn w:val="SubtleReference"/>
    <w:uiPriority w:val="68"/>
    <w:rsid w:val="00B355C5"/>
  </w:style>
  <w:style w:type="character" w:styleId="BookTitle">
    <w:name w:val="Book Title"/>
    <w:basedOn w:val="IntenseReference"/>
    <w:uiPriority w:val="69"/>
    <w:rsid w:val="00B355C5"/>
  </w:style>
  <w:style w:type="paragraph" w:styleId="Quote">
    <w:name w:val="Quote"/>
    <w:basedOn w:val="Normal"/>
    <w:next w:val="Normal"/>
    <w:link w:val="QuoteChar"/>
    <w:uiPriority w:val="73"/>
    <w:qFormat/>
    <w:rsid w:val="00B355C5"/>
    <w:pPr>
      <w:spacing w:before="200" w:after="160" w:line="259" w:lineRule="auto"/>
      <w:ind w:left="864" w:right="864"/>
      <w:jc w:val="center"/>
    </w:pPr>
    <w:rPr>
      <w:rFonts w:ascii="Arial" w:eastAsia="Calibri" w:hAnsi="Arial" w:cs="Arial"/>
      <w:i/>
      <w:iCs/>
      <w:color w:val="404040" w:themeColor="text1" w:themeTint="BF"/>
    </w:rPr>
  </w:style>
  <w:style w:type="character" w:customStyle="1" w:styleId="QuoteChar">
    <w:name w:val="Quote Char"/>
    <w:basedOn w:val="DefaultParagraphFont"/>
    <w:link w:val="Quote"/>
    <w:uiPriority w:val="73"/>
    <w:rsid w:val="00B355C5"/>
    <w:rPr>
      <w:rFonts w:ascii="Arial" w:eastAsia="Calibri" w:hAnsi="Arial" w:cs="Arial"/>
      <w:i/>
      <w:iCs/>
      <w:color w:val="404040" w:themeColor="text1" w:themeTint="BF"/>
      <w:sz w:val="24"/>
      <w:szCs w:val="24"/>
    </w:rPr>
  </w:style>
  <w:style w:type="table" w:customStyle="1" w:styleId="TableGrid11">
    <w:name w:val="Table Grid11"/>
    <w:basedOn w:val="TableNormal"/>
    <w:next w:val="TableGrid"/>
    <w:uiPriority w:val="39"/>
    <w:rsid w:val="00B355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55C5"/>
    <w:rPr>
      <w:color w:val="808080"/>
    </w:rPr>
  </w:style>
  <w:style w:type="paragraph" w:customStyle="1" w:styleId="Default">
    <w:name w:val="Default"/>
    <w:rsid w:val="00B355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8432">
      <w:bodyDiv w:val="1"/>
      <w:marLeft w:val="0"/>
      <w:marRight w:val="0"/>
      <w:marTop w:val="0"/>
      <w:marBottom w:val="0"/>
      <w:divBdr>
        <w:top w:val="none" w:sz="0" w:space="0" w:color="auto"/>
        <w:left w:val="none" w:sz="0" w:space="0" w:color="auto"/>
        <w:bottom w:val="none" w:sz="0" w:space="0" w:color="auto"/>
        <w:right w:val="none" w:sz="0" w:space="0" w:color="auto"/>
      </w:divBdr>
    </w:div>
    <w:div w:id="55445358">
      <w:bodyDiv w:val="1"/>
      <w:marLeft w:val="0"/>
      <w:marRight w:val="0"/>
      <w:marTop w:val="0"/>
      <w:marBottom w:val="0"/>
      <w:divBdr>
        <w:top w:val="none" w:sz="0" w:space="0" w:color="auto"/>
        <w:left w:val="none" w:sz="0" w:space="0" w:color="auto"/>
        <w:bottom w:val="none" w:sz="0" w:space="0" w:color="auto"/>
        <w:right w:val="none" w:sz="0" w:space="0" w:color="auto"/>
      </w:divBdr>
      <w:divsChild>
        <w:div w:id="1669212710">
          <w:marLeft w:val="0"/>
          <w:marRight w:val="0"/>
          <w:marTop w:val="0"/>
          <w:marBottom w:val="0"/>
          <w:divBdr>
            <w:top w:val="none" w:sz="0" w:space="0" w:color="auto"/>
            <w:left w:val="none" w:sz="0" w:space="0" w:color="auto"/>
            <w:bottom w:val="none" w:sz="0" w:space="0" w:color="auto"/>
            <w:right w:val="none" w:sz="0" w:space="0" w:color="auto"/>
          </w:divBdr>
        </w:div>
        <w:div w:id="2142073997">
          <w:marLeft w:val="0"/>
          <w:marRight w:val="0"/>
          <w:marTop w:val="0"/>
          <w:marBottom w:val="0"/>
          <w:divBdr>
            <w:top w:val="none" w:sz="0" w:space="0" w:color="auto"/>
            <w:left w:val="none" w:sz="0" w:space="0" w:color="auto"/>
            <w:bottom w:val="none" w:sz="0" w:space="0" w:color="auto"/>
            <w:right w:val="none" w:sz="0" w:space="0" w:color="auto"/>
          </w:divBdr>
        </w:div>
      </w:divsChild>
    </w:div>
    <w:div w:id="97413497">
      <w:bodyDiv w:val="1"/>
      <w:marLeft w:val="0"/>
      <w:marRight w:val="0"/>
      <w:marTop w:val="0"/>
      <w:marBottom w:val="0"/>
      <w:divBdr>
        <w:top w:val="none" w:sz="0" w:space="0" w:color="auto"/>
        <w:left w:val="none" w:sz="0" w:space="0" w:color="auto"/>
        <w:bottom w:val="none" w:sz="0" w:space="0" w:color="auto"/>
        <w:right w:val="none" w:sz="0" w:space="0" w:color="auto"/>
      </w:divBdr>
    </w:div>
    <w:div w:id="370957178">
      <w:bodyDiv w:val="1"/>
      <w:marLeft w:val="0"/>
      <w:marRight w:val="0"/>
      <w:marTop w:val="0"/>
      <w:marBottom w:val="0"/>
      <w:divBdr>
        <w:top w:val="none" w:sz="0" w:space="0" w:color="auto"/>
        <w:left w:val="none" w:sz="0" w:space="0" w:color="auto"/>
        <w:bottom w:val="none" w:sz="0" w:space="0" w:color="auto"/>
        <w:right w:val="none" w:sz="0" w:space="0" w:color="auto"/>
      </w:divBdr>
      <w:divsChild>
        <w:div w:id="1511797539">
          <w:marLeft w:val="0"/>
          <w:marRight w:val="0"/>
          <w:marTop w:val="0"/>
          <w:marBottom w:val="0"/>
          <w:divBdr>
            <w:top w:val="none" w:sz="0" w:space="0" w:color="auto"/>
            <w:left w:val="none" w:sz="0" w:space="0" w:color="auto"/>
            <w:bottom w:val="none" w:sz="0" w:space="0" w:color="auto"/>
            <w:right w:val="none" w:sz="0" w:space="0" w:color="auto"/>
          </w:divBdr>
          <w:divsChild>
            <w:div w:id="240530984">
              <w:marLeft w:val="0"/>
              <w:marRight w:val="0"/>
              <w:marTop w:val="0"/>
              <w:marBottom w:val="0"/>
              <w:divBdr>
                <w:top w:val="none" w:sz="0" w:space="0" w:color="auto"/>
                <w:left w:val="none" w:sz="0" w:space="0" w:color="auto"/>
                <w:bottom w:val="none" w:sz="0" w:space="0" w:color="auto"/>
                <w:right w:val="none" w:sz="0" w:space="0" w:color="auto"/>
              </w:divBdr>
            </w:div>
            <w:div w:id="384527743">
              <w:marLeft w:val="0"/>
              <w:marRight w:val="0"/>
              <w:marTop w:val="0"/>
              <w:marBottom w:val="0"/>
              <w:divBdr>
                <w:top w:val="none" w:sz="0" w:space="0" w:color="auto"/>
                <w:left w:val="none" w:sz="0" w:space="0" w:color="auto"/>
                <w:bottom w:val="none" w:sz="0" w:space="0" w:color="auto"/>
                <w:right w:val="none" w:sz="0" w:space="0" w:color="auto"/>
              </w:divBdr>
            </w:div>
          </w:divsChild>
        </w:div>
        <w:div w:id="1760131718">
          <w:marLeft w:val="0"/>
          <w:marRight w:val="0"/>
          <w:marTop w:val="0"/>
          <w:marBottom w:val="0"/>
          <w:divBdr>
            <w:top w:val="none" w:sz="0" w:space="0" w:color="auto"/>
            <w:left w:val="none" w:sz="0" w:space="0" w:color="auto"/>
            <w:bottom w:val="none" w:sz="0" w:space="0" w:color="auto"/>
            <w:right w:val="none" w:sz="0" w:space="0" w:color="auto"/>
          </w:divBdr>
        </w:div>
        <w:div w:id="1762412141">
          <w:marLeft w:val="0"/>
          <w:marRight w:val="0"/>
          <w:marTop w:val="0"/>
          <w:marBottom w:val="0"/>
          <w:divBdr>
            <w:top w:val="none" w:sz="0" w:space="0" w:color="auto"/>
            <w:left w:val="none" w:sz="0" w:space="0" w:color="auto"/>
            <w:bottom w:val="none" w:sz="0" w:space="0" w:color="auto"/>
            <w:right w:val="none" w:sz="0" w:space="0" w:color="auto"/>
          </w:divBdr>
        </w:div>
        <w:div w:id="1841499744">
          <w:marLeft w:val="0"/>
          <w:marRight w:val="0"/>
          <w:marTop w:val="0"/>
          <w:marBottom w:val="0"/>
          <w:divBdr>
            <w:top w:val="none" w:sz="0" w:space="0" w:color="auto"/>
            <w:left w:val="none" w:sz="0" w:space="0" w:color="auto"/>
            <w:bottom w:val="none" w:sz="0" w:space="0" w:color="auto"/>
            <w:right w:val="none" w:sz="0" w:space="0" w:color="auto"/>
          </w:divBdr>
          <w:divsChild>
            <w:div w:id="725298852">
              <w:marLeft w:val="0"/>
              <w:marRight w:val="0"/>
              <w:marTop w:val="0"/>
              <w:marBottom w:val="0"/>
              <w:divBdr>
                <w:top w:val="none" w:sz="0" w:space="0" w:color="auto"/>
                <w:left w:val="none" w:sz="0" w:space="0" w:color="auto"/>
                <w:bottom w:val="none" w:sz="0" w:space="0" w:color="auto"/>
                <w:right w:val="none" w:sz="0" w:space="0" w:color="auto"/>
              </w:divBdr>
            </w:div>
            <w:div w:id="1604459346">
              <w:marLeft w:val="0"/>
              <w:marRight w:val="0"/>
              <w:marTop w:val="0"/>
              <w:marBottom w:val="0"/>
              <w:divBdr>
                <w:top w:val="none" w:sz="0" w:space="0" w:color="auto"/>
                <w:left w:val="none" w:sz="0" w:space="0" w:color="auto"/>
                <w:bottom w:val="none" w:sz="0" w:space="0" w:color="auto"/>
                <w:right w:val="none" w:sz="0" w:space="0" w:color="auto"/>
              </w:divBdr>
            </w:div>
            <w:div w:id="16715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9980">
      <w:bodyDiv w:val="1"/>
      <w:marLeft w:val="0"/>
      <w:marRight w:val="0"/>
      <w:marTop w:val="0"/>
      <w:marBottom w:val="0"/>
      <w:divBdr>
        <w:top w:val="none" w:sz="0" w:space="0" w:color="auto"/>
        <w:left w:val="none" w:sz="0" w:space="0" w:color="auto"/>
        <w:bottom w:val="none" w:sz="0" w:space="0" w:color="auto"/>
        <w:right w:val="none" w:sz="0" w:space="0" w:color="auto"/>
      </w:divBdr>
    </w:div>
    <w:div w:id="815803529">
      <w:bodyDiv w:val="1"/>
      <w:marLeft w:val="0"/>
      <w:marRight w:val="0"/>
      <w:marTop w:val="0"/>
      <w:marBottom w:val="0"/>
      <w:divBdr>
        <w:top w:val="none" w:sz="0" w:space="0" w:color="auto"/>
        <w:left w:val="none" w:sz="0" w:space="0" w:color="auto"/>
        <w:bottom w:val="none" w:sz="0" w:space="0" w:color="auto"/>
        <w:right w:val="none" w:sz="0" w:space="0" w:color="auto"/>
      </w:divBdr>
      <w:divsChild>
        <w:div w:id="139151550">
          <w:marLeft w:val="0"/>
          <w:marRight w:val="0"/>
          <w:marTop w:val="0"/>
          <w:marBottom w:val="0"/>
          <w:divBdr>
            <w:top w:val="none" w:sz="0" w:space="0" w:color="auto"/>
            <w:left w:val="none" w:sz="0" w:space="0" w:color="auto"/>
            <w:bottom w:val="none" w:sz="0" w:space="0" w:color="auto"/>
            <w:right w:val="none" w:sz="0" w:space="0" w:color="auto"/>
          </w:divBdr>
        </w:div>
        <w:div w:id="208347488">
          <w:marLeft w:val="0"/>
          <w:marRight w:val="0"/>
          <w:marTop w:val="0"/>
          <w:marBottom w:val="0"/>
          <w:divBdr>
            <w:top w:val="none" w:sz="0" w:space="0" w:color="auto"/>
            <w:left w:val="none" w:sz="0" w:space="0" w:color="auto"/>
            <w:bottom w:val="none" w:sz="0" w:space="0" w:color="auto"/>
            <w:right w:val="none" w:sz="0" w:space="0" w:color="auto"/>
          </w:divBdr>
        </w:div>
        <w:div w:id="275020990">
          <w:marLeft w:val="0"/>
          <w:marRight w:val="0"/>
          <w:marTop w:val="0"/>
          <w:marBottom w:val="0"/>
          <w:divBdr>
            <w:top w:val="none" w:sz="0" w:space="0" w:color="auto"/>
            <w:left w:val="none" w:sz="0" w:space="0" w:color="auto"/>
            <w:bottom w:val="none" w:sz="0" w:space="0" w:color="auto"/>
            <w:right w:val="none" w:sz="0" w:space="0" w:color="auto"/>
          </w:divBdr>
        </w:div>
        <w:div w:id="373308044">
          <w:marLeft w:val="0"/>
          <w:marRight w:val="0"/>
          <w:marTop w:val="0"/>
          <w:marBottom w:val="0"/>
          <w:divBdr>
            <w:top w:val="none" w:sz="0" w:space="0" w:color="auto"/>
            <w:left w:val="none" w:sz="0" w:space="0" w:color="auto"/>
            <w:bottom w:val="none" w:sz="0" w:space="0" w:color="auto"/>
            <w:right w:val="none" w:sz="0" w:space="0" w:color="auto"/>
          </w:divBdr>
        </w:div>
        <w:div w:id="591161935">
          <w:marLeft w:val="0"/>
          <w:marRight w:val="0"/>
          <w:marTop w:val="0"/>
          <w:marBottom w:val="0"/>
          <w:divBdr>
            <w:top w:val="none" w:sz="0" w:space="0" w:color="auto"/>
            <w:left w:val="none" w:sz="0" w:space="0" w:color="auto"/>
            <w:bottom w:val="none" w:sz="0" w:space="0" w:color="auto"/>
            <w:right w:val="none" w:sz="0" w:space="0" w:color="auto"/>
          </w:divBdr>
        </w:div>
        <w:div w:id="623194727">
          <w:marLeft w:val="0"/>
          <w:marRight w:val="0"/>
          <w:marTop w:val="0"/>
          <w:marBottom w:val="0"/>
          <w:divBdr>
            <w:top w:val="none" w:sz="0" w:space="0" w:color="auto"/>
            <w:left w:val="none" w:sz="0" w:space="0" w:color="auto"/>
            <w:bottom w:val="none" w:sz="0" w:space="0" w:color="auto"/>
            <w:right w:val="none" w:sz="0" w:space="0" w:color="auto"/>
          </w:divBdr>
        </w:div>
        <w:div w:id="654576785">
          <w:marLeft w:val="0"/>
          <w:marRight w:val="0"/>
          <w:marTop w:val="0"/>
          <w:marBottom w:val="0"/>
          <w:divBdr>
            <w:top w:val="none" w:sz="0" w:space="0" w:color="auto"/>
            <w:left w:val="none" w:sz="0" w:space="0" w:color="auto"/>
            <w:bottom w:val="none" w:sz="0" w:space="0" w:color="auto"/>
            <w:right w:val="none" w:sz="0" w:space="0" w:color="auto"/>
          </w:divBdr>
        </w:div>
        <w:div w:id="1061633642">
          <w:marLeft w:val="0"/>
          <w:marRight w:val="0"/>
          <w:marTop w:val="0"/>
          <w:marBottom w:val="0"/>
          <w:divBdr>
            <w:top w:val="none" w:sz="0" w:space="0" w:color="auto"/>
            <w:left w:val="none" w:sz="0" w:space="0" w:color="auto"/>
            <w:bottom w:val="none" w:sz="0" w:space="0" w:color="auto"/>
            <w:right w:val="none" w:sz="0" w:space="0" w:color="auto"/>
          </w:divBdr>
        </w:div>
        <w:div w:id="1119841388">
          <w:marLeft w:val="0"/>
          <w:marRight w:val="0"/>
          <w:marTop w:val="0"/>
          <w:marBottom w:val="0"/>
          <w:divBdr>
            <w:top w:val="none" w:sz="0" w:space="0" w:color="auto"/>
            <w:left w:val="none" w:sz="0" w:space="0" w:color="auto"/>
            <w:bottom w:val="none" w:sz="0" w:space="0" w:color="auto"/>
            <w:right w:val="none" w:sz="0" w:space="0" w:color="auto"/>
          </w:divBdr>
        </w:div>
        <w:div w:id="1689523723">
          <w:marLeft w:val="0"/>
          <w:marRight w:val="0"/>
          <w:marTop w:val="0"/>
          <w:marBottom w:val="0"/>
          <w:divBdr>
            <w:top w:val="none" w:sz="0" w:space="0" w:color="auto"/>
            <w:left w:val="none" w:sz="0" w:space="0" w:color="auto"/>
            <w:bottom w:val="none" w:sz="0" w:space="0" w:color="auto"/>
            <w:right w:val="none" w:sz="0" w:space="0" w:color="auto"/>
          </w:divBdr>
        </w:div>
      </w:divsChild>
    </w:div>
    <w:div w:id="1113592156">
      <w:bodyDiv w:val="1"/>
      <w:marLeft w:val="0"/>
      <w:marRight w:val="0"/>
      <w:marTop w:val="0"/>
      <w:marBottom w:val="0"/>
      <w:divBdr>
        <w:top w:val="none" w:sz="0" w:space="0" w:color="auto"/>
        <w:left w:val="none" w:sz="0" w:space="0" w:color="auto"/>
        <w:bottom w:val="none" w:sz="0" w:space="0" w:color="auto"/>
        <w:right w:val="none" w:sz="0" w:space="0" w:color="auto"/>
      </w:divBdr>
    </w:div>
    <w:div w:id="1171792018">
      <w:bodyDiv w:val="1"/>
      <w:marLeft w:val="0"/>
      <w:marRight w:val="0"/>
      <w:marTop w:val="0"/>
      <w:marBottom w:val="0"/>
      <w:divBdr>
        <w:top w:val="none" w:sz="0" w:space="0" w:color="auto"/>
        <w:left w:val="none" w:sz="0" w:space="0" w:color="auto"/>
        <w:bottom w:val="none" w:sz="0" w:space="0" w:color="auto"/>
        <w:right w:val="none" w:sz="0" w:space="0" w:color="auto"/>
      </w:divBdr>
    </w:div>
    <w:div w:id="1236161706">
      <w:bodyDiv w:val="1"/>
      <w:marLeft w:val="0"/>
      <w:marRight w:val="0"/>
      <w:marTop w:val="0"/>
      <w:marBottom w:val="0"/>
      <w:divBdr>
        <w:top w:val="none" w:sz="0" w:space="0" w:color="auto"/>
        <w:left w:val="none" w:sz="0" w:space="0" w:color="auto"/>
        <w:bottom w:val="none" w:sz="0" w:space="0" w:color="auto"/>
        <w:right w:val="none" w:sz="0" w:space="0" w:color="auto"/>
      </w:divBdr>
    </w:div>
    <w:div w:id="1285385213">
      <w:bodyDiv w:val="1"/>
      <w:marLeft w:val="0"/>
      <w:marRight w:val="0"/>
      <w:marTop w:val="0"/>
      <w:marBottom w:val="0"/>
      <w:divBdr>
        <w:top w:val="none" w:sz="0" w:space="0" w:color="auto"/>
        <w:left w:val="none" w:sz="0" w:space="0" w:color="auto"/>
        <w:bottom w:val="none" w:sz="0" w:space="0" w:color="auto"/>
        <w:right w:val="none" w:sz="0" w:space="0" w:color="auto"/>
      </w:divBdr>
    </w:div>
    <w:div w:id="1423256921">
      <w:bodyDiv w:val="1"/>
      <w:marLeft w:val="0"/>
      <w:marRight w:val="0"/>
      <w:marTop w:val="0"/>
      <w:marBottom w:val="0"/>
      <w:divBdr>
        <w:top w:val="none" w:sz="0" w:space="0" w:color="auto"/>
        <w:left w:val="none" w:sz="0" w:space="0" w:color="auto"/>
        <w:bottom w:val="none" w:sz="0" w:space="0" w:color="auto"/>
        <w:right w:val="none" w:sz="0" w:space="0" w:color="auto"/>
      </w:divBdr>
    </w:div>
    <w:div w:id="1647583356">
      <w:bodyDiv w:val="1"/>
      <w:marLeft w:val="0"/>
      <w:marRight w:val="0"/>
      <w:marTop w:val="0"/>
      <w:marBottom w:val="0"/>
      <w:divBdr>
        <w:top w:val="none" w:sz="0" w:space="0" w:color="auto"/>
        <w:left w:val="none" w:sz="0" w:space="0" w:color="auto"/>
        <w:bottom w:val="none" w:sz="0" w:space="0" w:color="auto"/>
        <w:right w:val="none" w:sz="0" w:space="0" w:color="auto"/>
      </w:divBdr>
    </w:div>
    <w:div w:id="1826700233">
      <w:bodyDiv w:val="1"/>
      <w:marLeft w:val="0"/>
      <w:marRight w:val="0"/>
      <w:marTop w:val="0"/>
      <w:marBottom w:val="0"/>
      <w:divBdr>
        <w:top w:val="none" w:sz="0" w:space="0" w:color="auto"/>
        <w:left w:val="none" w:sz="0" w:space="0" w:color="auto"/>
        <w:bottom w:val="none" w:sz="0" w:space="0" w:color="auto"/>
        <w:right w:val="none" w:sz="0" w:space="0" w:color="auto"/>
      </w:divBdr>
    </w:div>
    <w:div w:id="19890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tg/ca/caaonepercent.asp" TargetMode="External"/><Relationship Id="rId18" Type="http://schemas.openxmlformats.org/officeDocument/2006/relationships/hyperlink" Target="https://www.cde.ca.gov/be/ag/ag/yr20/documents/sep20item07.docx" TargetMode="External"/><Relationship Id="rId26" Type="http://schemas.openxmlformats.org/officeDocument/2006/relationships/header" Target="header2.xml"/><Relationship Id="rId39" Type="http://schemas.openxmlformats.org/officeDocument/2006/relationships/hyperlink" Target="https://www.cde.ca.gov/ta/tg/ca/caaonepercent.asp" TargetMode="External"/><Relationship Id="rId3" Type="http://schemas.openxmlformats.org/officeDocument/2006/relationships/customXml" Target="../customXml/item3.xml"/><Relationship Id="rId21" Type="http://schemas.openxmlformats.org/officeDocument/2006/relationships/hyperlink" Target="https://www.cde.ca.gov/be/pn/im/documents/apr20memoadad02.docx" TargetMode="External"/><Relationship Id="rId34" Type="http://schemas.openxmlformats.org/officeDocument/2006/relationships/hyperlink" Target="https://www.cde.ca.gov/ta/tg/ca/documents/altassessmentdecision.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0/documents/nov20item04.docx" TargetMode="External"/><Relationship Id="rId25" Type="http://schemas.openxmlformats.org/officeDocument/2006/relationships/hyperlink" Target="https://www.cde.ca.gov/be/ag/ag/yr16/documents/may16item08.doc" TargetMode="External"/><Relationship Id="rId33" Type="http://schemas.openxmlformats.org/officeDocument/2006/relationships/hyperlink" Target="https://www.cde.ca.gov/ta/tg/ca/caaonepercent.asp" TargetMode="External"/><Relationship Id="rId38" Type="http://schemas.openxmlformats.org/officeDocument/2006/relationships/hyperlink" Target="https://www.cde.ca.gov/ta/tg/ca/caaiepteamrev.asp"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be/ag/ag/yr21/documents/jan21item03.docx" TargetMode="External"/><Relationship Id="rId20" Type="http://schemas.openxmlformats.org/officeDocument/2006/relationships/hyperlink" Target="https://www.cde.ca.gov/be/ag/ag/yr20/documents/jul20item05.docx" TargetMode="Externa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memo-pptb-adad-dec17item01a01.asp" TargetMode="External"/><Relationship Id="rId32" Type="http://schemas.openxmlformats.org/officeDocument/2006/relationships/hyperlink" Target="mailto:CCotton@cde.ca.gov" TargetMode="External"/><Relationship Id="rId37" Type="http://schemas.openxmlformats.org/officeDocument/2006/relationships/hyperlink" Target="https://www.cde.ca.gov/ta/tg/sa/documents/iepedresource.pdf"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cde.ca.gov/be/ag/ag/yr21/documents/feb2124item02.docx" TargetMode="External"/><Relationship Id="rId23" Type="http://schemas.openxmlformats.org/officeDocument/2006/relationships/hyperlink" Target="https://www.cde.ca.gov/be/pn/im/documents/memo-pptb-adad-dec17item01.doc" TargetMode="External"/><Relationship Id="rId28" Type="http://schemas.openxmlformats.org/officeDocument/2006/relationships/header" Target="header4.xml"/><Relationship Id="rId36" Type="http://schemas.openxmlformats.org/officeDocument/2006/relationships/hyperlink" Target="https://www.cde.ca.gov/ta/tg/ca/caascience.asp" TargetMode="External"/><Relationship Id="rId10" Type="http://schemas.openxmlformats.org/officeDocument/2006/relationships/endnotes" Target="endnotes.xml"/><Relationship Id="rId19" Type="http://schemas.openxmlformats.org/officeDocument/2006/relationships/hyperlink" Target="https://www.cde.ca.gov/be/pn/im/documents/aug20adad01.docx"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mar22item03rev.docx" TargetMode="External"/><Relationship Id="rId22" Type="http://schemas.openxmlformats.org/officeDocument/2006/relationships/hyperlink" Target="https://www.cde.ca.gov/be/ag/ag/yr18/documents/jan18item06.docx" TargetMode="External"/><Relationship Id="rId27" Type="http://schemas.openxmlformats.org/officeDocument/2006/relationships/header" Target="header3.xml"/><Relationship Id="rId30" Type="http://schemas.openxmlformats.org/officeDocument/2006/relationships/image" Target="media/image2.png"/><Relationship Id="rId35" Type="http://schemas.openxmlformats.org/officeDocument/2006/relationships/hyperlink" Target="https://www.cde.ca.gov/ta/tg/ca/altassess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CD1C615A-B50F-4B91-BA0B-34184211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A55A1-BA24-4B4D-A893-29EB1D2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5304</Words>
  <Characters>30238</Characters>
  <DocSecurity>0</DocSecurity>
  <Lines>251</Lines>
  <Paragraphs>70</Paragraphs>
  <ScaleCrop>false</ScaleCrop>
  <HeadingPairs>
    <vt:vector size="2" baseType="variant">
      <vt:variant>
        <vt:lpstr>Title</vt:lpstr>
      </vt:variant>
      <vt:variant>
        <vt:i4>1</vt:i4>
      </vt:variant>
    </vt:vector>
  </HeadingPairs>
  <TitlesOfParts>
    <vt:vector size="1" baseType="lpstr">
      <vt:lpstr>July 2022 Agenda Item 00 - Meeting Agendas (CA State Board of Education)</vt:lpstr>
    </vt:vector>
  </TitlesOfParts>
  <Company>California State Board of Education</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06 - Meeting Agendas (CA State Board of Education)</dc:title>
  <dc:subject>The Federal Every Student Succeeds Act: Authorization to Pursue a Waiver for the 2022-23 School Year of the 1.0 Percent Cap on the Percentage of Eligible Students.</dc:subject>
  <dc:creator/>
  <cp:keywords/>
  <dc:description/>
  <cp:lastPrinted>2017-10-30T17:36:00Z</cp:lastPrinted>
  <dcterms:created xsi:type="dcterms:W3CDTF">2022-06-29T19:10:00Z</dcterms:created>
  <dcterms:modified xsi:type="dcterms:W3CDTF">2022-06-29T19:16:00Z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