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bookmarkStart w:id="0" w:name="_GoBack"/>
      <w:bookmarkEnd w:id="0"/>
      <w:r>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2D58D7" w:rsidRDefault="00FC1FCE" w:rsidP="00B723BE">
      <w:pPr>
        <w:jc w:val="right"/>
      </w:pPr>
      <w:r w:rsidRPr="002D58D7">
        <w:t>California Department of Education</w:t>
      </w:r>
    </w:p>
    <w:p w14:paraId="1CAF1CB7" w14:textId="77777777" w:rsidR="00B723BE" w:rsidRPr="002D58D7" w:rsidRDefault="00FC1FCE" w:rsidP="00B723BE">
      <w:pPr>
        <w:jc w:val="right"/>
      </w:pPr>
      <w:r w:rsidRPr="002D58D7">
        <w:t>Executive Office</w:t>
      </w:r>
    </w:p>
    <w:p w14:paraId="18A2FE91" w14:textId="77777777" w:rsidR="002B4B14" w:rsidRPr="002D58D7" w:rsidRDefault="00692300" w:rsidP="00B723BE">
      <w:pPr>
        <w:jc w:val="right"/>
      </w:pPr>
      <w:r w:rsidRPr="002D58D7">
        <w:t>SBE-00</w:t>
      </w:r>
      <w:r w:rsidR="000324AD" w:rsidRPr="002D58D7">
        <w:t>3</w:t>
      </w:r>
      <w:r w:rsidRPr="002D58D7">
        <w:t xml:space="preserve"> (REV. 1</w:t>
      </w:r>
      <w:r w:rsidR="00C27D57" w:rsidRPr="002D58D7">
        <w:t>1</w:t>
      </w:r>
      <w:r w:rsidRPr="002D58D7">
        <w:t>/2017</w:t>
      </w:r>
      <w:r w:rsidR="00FC1FCE" w:rsidRPr="002D58D7">
        <w:t>)</w:t>
      </w:r>
    </w:p>
    <w:p w14:paraId="35CF9C7E" w14:textId="1F37BCBA" w:rsidR="00B723BE" w:rsidRDefault="00120A9E" w:rsidP="00B723BE">
      <w:pPr>
        <w:jc w:val="right"/>
      </w:pPr>
      <w:r w:rsidRPr="002D58D7">
        <w:t>im</w:t>
      </w:r>
      <w:r w:rsidR="00791395" w:rsidRPr="002D58D7">
        <w:t>a</w:t>
      </w:r>
      <w:r w:rsidRPr="002D58D7">
        <w:t>b-adad-</w:t>
      </w:r>
      <w:r w:rsidR="00E45332" w:rsidRPr="002D58D7">
        <w:t>sep22</w:t>
      </w:r>
      <w:r w:rsidRPr="002D58D7">
        <w:t>item0</w:t>
      </w:r>
      <w:r w:rsidR="00E45332" w:rsidRPr="002D58D7">
        <w:t>1</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855EBBD" w14:textId="66E32E08" w:rsidR="00FC1FCE" w:rsidRPr="005909AA" w:rsidRDefault="0091117B" w:rsidP="002B4B14">
      <w:pPr>
        <w:pStyle w:val="Heading1"/>
        <w:spacing w:before="240" w:after="240"/>
        <w:jc w:val="center"/>
        <w:rPr>
          <w:rFonts w:cs="Arial"/>
          <w:sz w:val="40"/>
          <w:szCs w:val="40"/>
        </w:rPr>
      </w:pPr>
      <w:r w:rsidRPr="005909AA">
        <w:rPr>
          <w:rFonts w:cs="Arial"/>
          <w:sz w:val="40"/>
          <w:szCs w:val="40"/>
        </w:rPr>
        <w:t>Californ</w:t>
      </w:r>
      <w:r w:rsidR="00693951" w:rsidRPr="005909AA">
        <w:rPr>
          <w:rFonts w:cs="Arial"/>
          <w:sz w:val="40"/>
          <w:szCs w:val="40"/>
        </w:rPr>
        <w:t>ia State Board of Education</w:t>
      </w:r>
      <w:r w:rsidRPr="005909AA">
        <w:rPr>
          <w:rFonts w:cs="Arial"/>
        </w:rPr>
        <w:br/>
      </w:r>
      <w:r w:rsidR="00C02083" w:rsidRPr="005909AA">
        <w:rPr>
          <w:rFonts w:cs="Arial"/>
          <w:sz w:val="40"/>
          <w:szCs w:val="40"/>
        </w:rPr>
        <w:t>September</w:t>
      </w:r>
      <w:r w:rsidR="0D4A2D6E" w:rsidRPr="005909AA">
        <w:rPr>
          <w:rFonts w:cs="Arial"/>
          <w:sz w:val="40"/>
          <w:szCs w:val="40"/>
        </w:rPr>
        <w:t xml:space="preserve"> </w:t>
      </w:r>
      <w:r w:rsidR="00C02083" w:rsidRPr="005909AA">
        <w:rPr>
          <w:rFonts w:cs="Arial"/>
          <w:sz w:val="40"/>
          <w:szCs w:val="40"/>
        </w:rPr>
        <w:t>2022</w:t>
      </w:r>
      <w:r w:rsidRPr="005909AA">
        <w:rPr>
          <w:rFonts w:cs="Arial"/>
          <w:sz w:val="40"/>
          <w:szCs w:val="40"/>
        </w:rPr>
        <w:t xml:space="preserve"> Agenda</w:t>
      </w:r>
      <w:r w:rsidRPr="005909AA">
        <w:rPr>
          <w:rFonts w:cs="Arial"/>
        </w:rPr>
        <w:br/>
      </w:r>
      <w:r w:rsidR="00FC1FCE" w:rsidRPr="00C47EC3">
        <w:rPr>
          <w:rFonts w:cs="Arial"/>
          <w:sz w:val="40"/>
          <w:szCs w:val="40"/>
        </w:rPr>
        <w:t>Item</w:t>
      </w:r>
      <w:r w:rsidR="00692300" w:rsidRPr="00C47EC3">
        <w:rPr>
          <w:rFonts w:cs="Arial"/>
          <w:sz w:val="40"/>
          <w:szCs w:val="40"/>
        </w:rPr>
        <w:t xml:space="preserve"> #</w:t>
      </w:r>
      <w:r w:rsidR="00130059" w:rsidRPr="00C47EC3">
        <w:rPr>
          <w:rFonts w:cs="Arial"/>
          <w:sz w:val="40"/>
          <w:szCs w:val="40"/>
        </w:rPr>
        <w:t>0</w:t>
      </w:r>
      <w:r w:rsidR="00C47EC3" w:rsidRPr="00C47EC3">
        <w:rPr>
          <w:rFonts w:cs="Arial"/>
          <w:sz w:val="40"/>
          <w:szCs w:val="40"/>
        </w:rPr>
        <w:t>4</w:t>
      </w:r>
    </w:p>
    <w:p w14:paraId="27B6226E" w14:textId="77777777" w:rsidR="00FC1FCE" w:rsidRPr="005909AA" w:rsidRDefault="00FC1FCE" w:rsidP="002B4B14">
      <w:pPr>
        <w:pStyle w:val="Heading2"/>
        <w:spacing w:before="240" w:after="240"/>
        <w:rPr>
          <w:rFonts w:cs="Arial"/>
          <w:sz w:val="36"/>
          <w:szCs w:val="36"/>
        </w:rPr>
      </w:pPr>
      <w:r w:rsidRPr="005909AA">
        <w:rPr>
          <w:rFonts w:cs="Arial"/>
          <w:sz w:val="36"/>
          <w:szCs w:val="36"/>
        </w:rPr>
        <w:t>Subject</w:t>
      </w:r>
    </w:p>
    <w:p w14:paraId="74CF9834" w14:textId="3A3F15AB" w:rsidR="00692300" w:rsidRPr="005909AA" w:rsidRDefault="5EFF1BE9" w:rsidP="000E09DC">
      <w:pPr>
        <w:spacing w:after="480"/>
        <w:rPr>
          <w:rFonts w:eastAsia="Arial"/>
        </w:rPr>
      </w:pPr>
      <w:r w:rsidRPr="005909AA">
        <w:rPr>
          <w:color w:val="000000"/>
          <w:shd w:val="clear" w:color="auto" w:fill="FFFFFF"/>
        </w:rPr>
        <w:t xml:space="preserve">The California Assessment of Student Performance and Progress System and the English Proficiency Assessments for California Update: </w:t>
      </w:r>
      <w:r w:rsidR="000933E9">
        <w:rPr>
          <w:color w:val="000000"/>
          <w:shd w:val="clear" w:color="auto" w:fill="FFFFFF"/>
        </w:rPr>
        <w:t xml:space="preserve">Request for </w:t>
      </w:r>
      <w:r w:rsidR="000933E9">
        <w:rPr>
          <w:rFonts w:eastAsia="Arial"/>
        </w:rPr>
        <w:t xml:space="preserve">Approval of the Proposed California Alternate Assessment for Science Threshold Scores, </w:t>
      </w:r>
      <w:r w:rsidRPr="005909AA">
        <w:rPr>
          <w:color w:val="000000"/>
          <w:shd w:val="clear" w:color="auto" w:fill="FFFFFF"/>
        </w:rPr>
        <w:t>the</w:t>
      </w:r>
      <w:r w:rsidR="007344AE" w:rsidRPr="005909AA">
        <w:rPr>
          <w:color w:val="000000"/>
          <w:shd w:val="clear" w:color="auto" w:fill="FFFFFF"/>
        </w:rPr>
        <w:t xml:space="preserve"> </w:t>
      </w:r>
      <w:r w:rsidR="007344AE" w:rsidRPr="005909AA">
        <w:t xml:space="preserve">Smarter Balanced Summative Assessments for </w:t>
      </w:r>
      <w:r w:rsidR="482A80F4" w:rsidRPr="005909AA">
        <w:t xml:space="preserve">English Language Arts/Literacy </w:t>
      </w:r>
      <w:r w:rsidR="007344AE" w:rsidRPr="005909AA">
        <w:t xml:space="preserve">and Mathematics Blueprints, </w:t>
      </w:r>
      <w:r w:rsidR="007344AE">
        <w:t>and</w:t>
      </w:r>
      <w:r>
        <w:t xml:space="preserve"> </w:t>
      </w:r>
      <w:r w:rsidRPr="005909AA">
        <w:rPr>
          <w:color w:val="000000"/>
          <w:shd w:val="clear" w:color="auto" w:fill="FFFFFF"/>
        </w:rPr>
        <w:t>the 2022</w:t>
      </w:r>
      <w:r w:rsidR="00CF2B6E" w:rsidRPr="005909AA">
        <w:rPr>
          <w:rFonts w:eastAsia="Arial"/>
        </w:rPr>
        <w:t xml:space="preserve">–23 California Assessment of Student Performance and Progress </w:t>
      </w:r>
      <w:r w:rsidR="381A027B" w:rsidRPr="005909AA">
        <w:rPr>
          <w:rFonts w:eastAsia="Arial"/>
        </w:rPr>
        <w:t xml:space="preserve">and the English Language Proficiency Assessments for California </w:t>
      </w:r>
      <w:r w:rsidR="003826E9">
        <w:rPr>
          <w:rFonts w:eastAsia="Arial"/>
        </w:rPr>
        <w:t xml:space="preserve">Student </w:t>
      </w:r>
      <w:r w:rsidR="00CF2B6E" w:rsidRPr="005909AA">
        <w:rPr>
          <w:rFonts w:eastAsia="Arial"/>
        </w:rPr>
        <w:t xml:space="preserve">Score Reports; and </w:t>
      </w:r>
      <w:r w:rsidR="000933E9">
        <w:rPr>
          <w:rFonts w:eastAsia="Arial"/>
        </w:rPr>
        <w:t xml:space="preserve">an </w:t>
      </w:r>
      <w:r w:rsidR="00CF2B6E" w:rsidRPr="005909AA">
        <w:rPr>
          <w:rFonts w:eastAsia="Arial"/>
        </w:rPr>
        <w:t xml:space="preserve">Update on </w:t>
      </w:r>
      <w:r w:rsidR="000933E9">
        <w:rPr>
          <w:rFonts w:eastAsia="Arial"/>
        </w:rPr>
        <w:t xml:space="preserve">Assessment </w:t>
      </w:r>
      <w:r w:rsidR="00CF2B6E" w:rsidRPr="005909AA">
        <w:rPr>
          <w:rFonts w:eastAsia="Arial"/>
        </w:rPr>
        <w:t>Program Activities.</w:t>
      </w:r>
    </w:p>
    <w:p w14:paraId="19FA46C3" w14:textId="77777777" w:rsidR="00FC1FCE" w:rsidRPr="005909AA" w:rsidRDefault="00FC1FCE" w:rsidP="002B4B14">
      <w:pPr>
        <w:pStyle w:val="Heading2"/>
        <w:spacing w:before="240" w:after="240"/>
        <w:rPr>
          <w:rFonts w:cs="Arial"/>
          <w:sz w:val="36"/>
          <w:szCs w:val="36"/>
        </w:rPr>
      </w:pPr>
      <w:r w:rsidRPr="005909AA">
        <w:rPr>
          <w:rFonts w:cs="Arial"/>
          <w:sz w:val="36"/>
          <w:szCs w:val="36"/>
        </w:rPr>
        <w:t>Type of Action</w:t>
      </w:r>
    </w:p>
    <w:p w14:paraId="07254FFE" w14:textId="538B71EE" w:rsidR="0091117B" w:rsidRPr="005909AA" w:rsidRDefault="008909EE" w:rsidP="000E09DC">
      <w:pPr>
        <w:spacing w:after="480"/>
      </w:pPr>
      <w:r w:rsidRPr="005909AA">
        <w:t>Action, Information</w:t>
      </w:r>
    </w:p>
    <w:p w14:paraId="2F54E36F" w14:textId="77777777" w:rsidR="00FC1FCE" w:rsidRPr="005909AA" w:rsidRDefault="00FC1FCE" w:rsidP="002B4B14">
      <w:pPr>
        <w:pStyle w:val="Heading2"/>
        <w:spacing w:before="240" w:after="240"/>
        <w:rPr>
          <w:rFonts w:cs="Arial"/>
          <w:sz w:val="36"/>
          <w:szCs w:val="36"/>
        </w:rPr>
      </w:pPr>
      <w:r w:rsidRPr="005909AA">
        <w:rPr>
          <w:rFonts w:cs="Arial"/>
          <w:sz w:val="36"/>
          <w:szCs w:val="36"/>
        </w:rPr>
        <w:t>Summary of the Issue(s)</w:t>
      </w:r>
    </w:p>
    <w:p w14:paraId="4FDA554A" w14:textId="371F5349" w:rsidR="7B36D7AD" w:rsidRPr="005909AA" w:rsidRDefault="70F371BF" w:rsidP="6D3C8F2F">
      <w:pPr>
        <w:spacing w:after="240"/>
        <w:rPr>
          <w:rFonts w:eastAsia="Arial"/>
          <w:color w:val="000000" w:themeColor="text1"/>
        </w:rPr>
      </w:pPr>
      <w:r w:rsidRPr="005909AA">
        <w:rPr>
          <w:rFonts w:eastAsia="Arial"/>
          <w:color w:val="000000" w:themeColor="text1"/>
        </w:rPr>
        <w:t xml:space="preserve">The California Department of Education (CDE) seeks approval of the </w:t>
      </w:r>
      <w:r w:rsidR="002011C9" w:rsidRPr="00C35F8B">
        <w:rPr>
          <w:rFonts w:eastAsia="Arial"/>
          <w:color w:val="000000" w:themeColor="text1"/>
        </w:rPr>
        <w:t>State Superintendent of Public Instruction’s proposed</w:t>
      </w:r>
      <w:r w:rsidR="002011C9" w:rsidRPr="005909AA" w:rsidDel="002011C9">
        <w:rPr>
          <w:rFonts w:eastAsia="Arial"/>
          <w:color w:val="000000" w:themeColor="text1"/>
        </w:rPr>
        <w:t xml:space="preserve"> </w:t>
      </w:r>
      <w:r w:rsidRPr="005909AA">
        <w:rPr>
          <w:rFonts w:eastAsia="Arial"/>
          <w:color w:val="000000" w:themeColor="text1"/>
        </w:rPr>
        <w:t xml:space="preserve">threshold scores for the California Alternate Assessment (CAA) for </w:t>
      </w:r>
      <w:r w:rsidR="00B0566E">
        <w:rPr>
          <w:rFonts w:eastAsia="Arial"/>
          <w:color w:val="000000" w:themeColor="text1"/>
        </w:rPr>
        <w:t>S</w:t>
      </w:r>
      <w:r w:rsidRPr="005909AA">
        <w:rPr>
          <w:rFonts w:eastAsia="Arial"/>
          <w:color w:val="000000" w:themeColor="text1"/>
        </w:rPr>
        <w:t xml:space="preserve">cience, </w:t>
      </w:r>
      <w:r w:rsidR="6D3C8F2F" w:rsidRPr="005909AA">
        <w:rPr>
          <w:rFonts w:eastAsia="Arial"/>
          <w:color w:val="000000" w:themeColor="text1"/>
        </w:rPr>
        <w:t>the continued use of the adjust</w:t>
      </w:r>
      <w:r w:rsidR="003826E9">
        <w:rPr>
          <w:rFonts w:eastAsia="Arial"/>
          <w:color w:val="000000" w:themeColor="text1"/>
        </w:rPr>
        <w:t>ed</w:t>
      </w:r>
      <w:r w:rsidR="00DF3CD1">
        <w:rPr>
          <w:rFonts w:eastAsia="Arial"/>
          <w:color w:val="000000" w:themeColor="text1"/>
        </w:rPr>
        <w:t xml:space="preserve"> form</w:t>
      </w:r>
      <w:r w:rsidR="6D3C8F2F" w:rsidRPr="005909AA">
        <w:rPr>
          <w:rFonts w:eastAsia="Arial"/>
          <w:color w:val="000000" w:themeColor="text1"/>
        </w:rPr>
        <w:t xml:space="preserve"> blueprint</w:t>
      </w:r>
      <w:r w:rsidR="009E1B76">
        <w:rPr>
          <w:rFonts w:eastAsia="Arial"/>
          <w:color w:val="000000" w:themeColor="text1"/>
        </w:rPr>
        <w:t>s</w:t>
      </w:r>
      <w:r w:rsidR="6D3C8F2F" w:rsidRPr="005909AA">
        <w:rPr>
          <w:rFonts w:eastAsia="Arial"/>
          <w:color w:val="000000" w:themeColor="text1"/>
        </w:rPr>
        <w:t xml:space="preserve"> for</w:t>
      </w:r>
      <w:r w:rsidR="00B0566E">
        <w:rPr>
          <w:rFonts w:eastAsia="Arial"/>
          <w:color w:val="000000" w:themeColor="text1"/>
        </w:rPr>
        <w:t xml:space="preserve"> the</w:t>
      </w:r>
      <w:r w:rsidR="6D3C8F2F" w:rsidRPr="005909AA">
        <w:rPr>
          <w:rFonts w:eastAsia="Arial"/>
          <w:color w:val="000000" w:themeColor="text1"/>
        </w:rPr>
        <w:t xml:space="preserve"> Smarter Balanced </w:t>
      </w:r>
      <w:r w:rsidR="00B0566E">
        <w:rPr>
          <w:rFonts w:eastAsia="Arial"/>
          <w:color w:val="000000" w:themeColor="text1"/>
        </w:rPr>
        <w:t>S</w:t>
      </w:r>
      <w:r w:rsidR="6D3C8F2F" w:rsidRPr="005909AA">
        <w:rPr>
          <w:rFonts w:eastAsia="Arial"/>
          <w:color w:val="000000" w:themeColor="text1"/>
        </w:rPr>
        <w:t xml:space="preserve">ummative </w:t>
      </w:r>
      <w:r w:rsidR="00B0566E">
        <w:rPr>
          <w:rFonts w:eastAsia="Arial"/>
          <w:color w:val="000000" w:themeColor="text1"/>
        </w:rPr>
        <w:t>A</w:t>
      </w:r>
      <w:r w:rsidR="6D3C8F2F" w:rsidRPr="005909AA">
        <w:rPr>
          <w:rFonts w:eastAsia="Arial"/>
          <w:color w:val="000000" w:themeColor="text1"/>
        </w:rPr>
        <w:t xml:space="preserve">ssessments </w:t>
      </w:r>
      <w:r w:rsidR="00B0566E">
        <w:rPr>
          <w:rFonts w:eastAsia="Arial"/>
          <w:color w:val="000000" w:themeColor="text1"/>
        </w:rPr>
        <w:t>for</w:t>
      </w:r>
      <w:r w:rsidR="6D3C8F2F" w:rsidRPr="005909AA">
        <w:rPr>
          <w:rFonts w:eastAsia="Arial"/>
          <w:color w:val="000000" w:themeColor="text1"/>
        </w:rPr>
        <w:t xml:space="preserve"> E</w:t>
      </w:r>
      <w:r w:rsidR="003826E9">
        <w:rPr>
          <w:rFonts w:eastAsia="Arial"/>
          <w:color w:val="000000" w:themeColor="text1"/>
        </w:rPr>
        <w:t xml:space="preserve">nglish </w:t>
      </w:r>
      <w:r w:rsidR="00B0566E">
        <w:rPr>
          <w:rFonts w:eastAsia="Arial"/>
          <w:color w:val="000000" w:themeColor="text1"/>
        </w:rPr>
        <w:t>L</w:t>
      </w:r>
      <w:r w:rsidR="003826E9">
        <w:rPr>
          <w:rFonts w:eastAsia="Arial"/>
          <w:color w:val="000000" w:themeColor="text1"/>
        </w:rPr>
        <w:t xml:space="preserve">anguage </w:t>
      </w:r>
      <w:r w:rsidR="00B0566E">
        <w:rPr>
          <w:rFonts w:eastAsia="Arial"/>
          <w:color w:val="000000" w:themeColor="text1"/>
        </w:rPr>
        <w:t>A</w:t>
      </w:r>
      <w:r w:rsidR="003826E9">
        <w:rPr>
          <w:rFonts w:eastAsia="Arial"/>
          <w:color w:val="000000" w:themeColor="text1"/>
        </w:rPr>
        <w:t>rts</w:t>
      </w:r>
      <w:r w:rsidR="00B0566E">
        <w:rPr>
          <w:rFonts w:eastAsia="Arial"/>
          <w:color w:val="000000" w:themeColor="text1"/>
        </w:rPr>
        <w:t>/Literacy</w:t>
      </w:r>
      <w:r w:rsidR="003826E9">
        <w:rPr>
          <w:rFonts w:eastAsia="Arial"/>
          <w:color w:val="000000" w:themeColor="text1"/>
        </w:rPr>
        <w:t xml:space="preserve"> (</w:t>
      </w:r>
      <w:r w:rsidR="6D3C8F2F">
        <w:rPr>
          <w:rFonts w:eastAsia="Arial"/>
          <w:color w:val="000000" w:themeColor="text1"/>
        </w:rPr>
        <w:t>E</w:t>
      </w:r>
      <w:r w:rsidR="6D3C8F2F" w:rsidRPr="005909AA">
        <w:rPr>
          <w:rFonts w:eastAsia="Arial"/>
          <w:color w:val="000000" w:themeColor="text1"/>
        </w:rPr>
        <w:t>LA</w:t>
      </w:r>
      <w:r w:rsidR="003826E9">
        <w:rPr>
          <w:rFonts w:eastAsia="Arial"/>
          <w:color w:val="000000" w:themeColor="text1"/>
        </w:rPr>
        <w:t>)</w:t>
      </w:r>
      <w:r w:rsidR="6D3C8F2F" w:rsidRPr="005909AA">
        <w:rPr>
          <w:rFonts w:eastAsia="Arial"/>
          <w:color w:val="000000" w:themeColor="text1"/>
        </w:rPr>
        <w:t xml:space="preserve"> and </w:t>
      </w:r>
      <w:r w:rsidR="00B0566E">
        <w:rPr>
          <w:rFonts w:eastAsia="Arial"/>
          <w:color w:val="000000" w:themeColor="text1"/>
        </w:rPr>
        <w:t>M</w:t>
      </w:r>
      <w:r w:rsidR="6D3C8F2F" w:rsidRPr="005909AA">
        <w:rPr>
          <w:rFonts w:eastAsia="Arial"/>
          <w:color w:val="000000" w:themeColor="text1"/>
        </w:rPr>
        <w:t xml:space="preserve">athematics, and the </w:t>
      </w:r>
      <w:r w:rsidR="2A2B6721" w:rsidRPr="005909AA">
        <w:rPr>
          <w:color w:val="000000" w:themeColor="text1"/>
        </w:rPr>
        <w:t>California Assessment of Student Performance and Progress (</w:t>
      </w:r>
      <w:r w:rsidR="6D3C8F2F" w:rsidRPr="005909AA">
        <w:rPr>
          <w:rFonts w:eastAsia="Arial"/>
          <w:color w:val="000000" w:themeColor="text1"/>
        </w:rPr>
        <w:t xml:space="preserve">CAASPP) and </w:t>
      </w:r>
      <w:r w:rsidR="381A027B" w:rsidRPr="005909AA">
        <w:rPr>
          <w:rFonts w:eastAsia="Arial"/>
        </w:rPr>
        <w:t xml:space="preserve">English Language Proficiency Assessments for California (ELPAC) </w:t>
      </w:r>
      <w:r w:rsidR="6D3C8F2F" w:rsidRPr="005909AA">
        <w:rPr>
          <w:rFonts w:eastAsia="Arial"/>
          <w:color w:val="000000" w:themeColor="text1"/>
        </w:rPr>
        <w:t xml:space="preserve">Student Score Reports (SSRs) for 2022–23. </w:t>
      </w:r>
    </w:p>
    <w:p w14:paraId="7D7B0A1E" w14:textId="1A33A51F" w:rsidR="7B36D7AD" w:rsidRPr="005909AA" w:rsidRDefault="70F371BF" w:rsidP="6D3C8F2F">
      <w:pPr>
        <w:spacing w:after="240"/>
        <w:rPr>
          <w:rFonts w:eastAsia="Arial"/>
          <w:color w:val="000000" w:themeColor="text1"/>
        </w:rPr>
      </w:pPr>
      <w:r w:rsidRPr="005909AA">
        <w:rPr>
          <w:rFonts w:eastAsia="Arial"/>
          <w:color w:val="000000" w:themeColor="text1"/>
        </w:rPr>
        <w:t>In addition, this item provides an update on recent events and developments related to the CAASPP</w:t>
      </w:r>
      <w:r w:rsidR="0085542E">
        <w:rPr>
          <w:rFonts w:eastAsia="Arial"/>
          <w:color w:val="000000" w:themeColor="text1"/>
        </w:rPr>
        <w:t>,</w:t>
      </w:r>
      <w:r w:rsidRPr="005909AA">
        <w:rPr>
          <w:rFonts w:eastAsia="Arial"/>
          <w:color w:val="000000" w:themeColor="text1"/>
        </w:rPr>
        <w:t xml:space="preserve"> </w:t>
      </w:r>
      <w:r w:rsidR="00AF50DE">
        <w:rPr>
          <w:rFonts w:eastAsia="Arial"/>
          <w:color w:val="000000" w:themeColor="text1"/>
        </w:rPr>
        <w:t xml:space="preserve">the </w:t>
      </w:r>
      <w:r w:rsidRPr="005909AA">
        <w:rPr>
          <w:rFonts w:eastAsia="Arial"/>
          <w:color w:val="000000" w:themeColor="text1"/>
        </w:rPr>
        <w:t>ELPAC</w:t>
      </w:r>
      <w:r w:rsidR="0085542E">
        <w:rPr>
          <w:rFonts w:eastAsia="Arial"/>
          <w:color w:val="000000" w:themeColor="text1"/>
        </w:rPr>
        <w:t>, and an update on national and international assessments</w:t>
      </w:r>
      <w:r w:rsidR="00310115">
        <w:rPr>
          <w:rFonts w:eastAsia="Arial"/>
          <w:color w:val="000000" w:themeColor="text1"/>
        </w:rPr>
        <w:t>.</w:t>
      </w:r>
      <w:r w:rsidR="003826E9" w:rsidRPr="003826E9">
        <w:t xml:space="preserve"> </w:t>
      </w:r>
      <w:r w:rsidR="003826E9" w:rsidRPr="003826E9">
        <w:rPr>
          <w:rFonts w:eastAsia="Arial"/>
          <w:color w:val="000000" w:themeColor="text1"/>
        </w:rPr>
        <w:t xml:space="preserve">Attachment 1 provides the CAASPP and ELPAC outreach and professional development activities from </w:t>
      </w:r>
      <w:r w:rsidR="003826E9">
        <w:rPr>
          <w:rFonts w:eastAsia="Arial"/>
          <w:color w:val="000000" w:themeColor="text1"/>
        </w:rPr>
        <w:t>July</w:t>
      </w:r>
      <w:r w:rsidR="003826E9" w:rsidRPr="003826E9">
        <w:rPr>
          <w:rFonts w:eastAsia="Arial"/>
          <w:color w:val="000000" w:themeColor="text1"/>
        </w:rPr>
        <w:t xml:space="preserve"> through A</w:t>
      </w:r>
      <w:r w:rsidR="003826E9">
        <w:rPr>
          <w:rFonts w:eastAsia="Arial"/>
          <w:color w:val="000000" w:themeColor="text1"/>
        </w:rPr>
        <w:t xml:space="preserve">ugust </w:t>
      </w:r>
      <w:r w:rsidR="003826E9" w:rsidRPr="003826E9">
        <w:rPr>
          <w:rFonts w:eastAsia="Arial"/>
          <w:color w:val="000000" w:themeColor="text1"/>
        </w:rPr>
        <w:t>2022.</w:t>
      </w:r>
    </w:p>
    <w:p w14:paraId="08BF9F4B" w14:textId="77777777" w:rsidR="003E4DF7" w:rsidRPr="005909AA" w:rsidRDefault="003E4DF7" w:rsidP="002B4B14">
      <w:pPr>
        <w:pStyle w:val="Heading2"/>
        <w:spacing w:before="240" w:after="240"/>
        <w:rPr>
          <w:rFonts w:cs="Arial"/>
          <w:sz w:val="36"/>
          <w:szCs w:val="36"/>
        </w:rPr>
      </w:pPr>
      <w:r w:rsidRPr="005909AA">
        <w:rPr>
          <w:rFonts w:cs="Arial"/>
          <w:sz w:val="36"/>
          <w:szCs w:val="36"/>
        </w:rPr>
        <w:t>Recommendation</w:t>
      </w:r>
    </w:p>
    <w:p w14:paraId="2453EBEB" w14:textId="38859007" w:rsidR="003E4DF7" w:rsidRPr="005909AA" w:rsidRDefault="218CA962" w:rsidP="6D3C8F2F">
      <w:pPr>
        <w:spacing w:before="240" w:after="240"/>
        <w:rPr>
          <w:rFonts w:eastAsia="Arial"/>
          <w:color w:val="000000" w:themeColor="text1"/>
        </w:rPr>
      </w:pPr>
      <w:r w:rsidRPr="005909AA">
        <w:rPr>
          <w:rFonts w:eastAsia="Arial"/>
          <w:color w:val="000000" w:themeColor="text1"/>
        </w:rPr>
        <w:t>The CDE recommends that the California State Board of Education (SBE) approve the following:</w:t>
      </w:r>
    </w:p>
    <w:p w14:paraId="10F6771D" w14:textId="4E59B8C3" w:rsidR="00772435" w:rsidRPr="00631DFC" w:rsidRDefault="7C9265A0" w:rsidP="00310115">
      <w:pPr>
        <w:pStyle w:val="ListParagraph"/>
        <w:numPr>
          <w:ilvl w:val="0"/>
          <w:numId w:val="36"/>
        </w:numPr>
        <w:spacing w:after="240"/>
        <w:contextualSpacing w:val="0"/>
        <w:rPr>
          <w:rFonts w:eastAsiaTheme="minorEastAsia"/>
        </w:rPr>
      </w:pPr>
      <w:r w:rsidRPr="00980799">
        <w:lastRenderedPageBreak/>
        <w:t>The</w:t>
      </w:r>
      <w:r w:rsidR="000239CC" w:rsidRPr="00980799">
        <w:t xml:space="preserve"> State Superintende</w:t>
      </w:r>
      <w:r w:rsidR="000239CC" w:rsidRPr="00A80846">
        <w:t>nt of Public I</w:t>
      </w:r>
      <w:r w:rsidR="000239CC" w:rsidRPr="00631DFC">
        <w:t>nstruction’s</w:t>
      </w:r>
      <w:r w:rsidRPr="00631DFC">
        <w:t xml:space="preserve"> proposed threshold scores</w:t>
      </w:r>
      <w:r w:rsidR="00AF50DE">
        <w:t xml:space="preserve"> for the CAA for Science,</w:t>
      </w:r>
      <w:r w:rsidRPr="00631DFC">
        <w:t xml:space="preserve"> </w:t>
      </w:r>
      <w:r w:rsidR="00286DD5" w:rsidRPr="00631DFC">
        <w:t xml:space="preserve">to be effective </w:t>
      </w:r>
      <w:r w:rsidR="00AF50DE">
        <w:t>as of</w:t>
      </w:r>
      <w:r w:rsidR="00AF50DE" w:rsidRPr="00631DFC">
        <w:t xml:space="preserve"> </w:t>
      </w:r>
      <w:r w:rsidR="00286DD5" w:rsidRPr="00631DFC">
        <w:t xml:space="preserve">the </w:t>
      </w:r>
      <w:r w:rsidRPr="00631DFC">
        <w:t>2022</w:t>
      </w:r>
      <w:r w:rsidRPr="00980799">
        <w:t xml:space="preserve"> </w:t>
      </w:r>
      <w:r w:rsidR="00286DD5" w:rsidRPr="00980799">
        <w:t>administration</w:t>
      </w:r>
      <w:r w:rsidR="00286DD5" w:rsidRPr="00631DFC">
        <w:t>.</w:t>
      </w:r>
      <w:r w:rsidR="00772435" w:rsidRPr="00631DFC">
        <w:t xml:space="preserve"> The proposed threshold scores are shown in </w:t>
      </w:r>
      <w:r w:rsidR="00772435" w:rsidRPr="00EF5E9A">
        <w:t>tables 1 and 2</w:t>
      </w:r>
      <w:r w:rsidR="00772435" w:rsidRPr="00631DFC">
        <w:t xml:space="preserve"> of Attachment 2.</w:t>
      </w:r>
    </w:p>
    <w:p w14:paraId="1278088D" w14:textId="340D5614" w:rsidR="003E4DF7" w:rsidRPr="00631DFC" w:rsidRDefault="2A2B6721" w:rsidP="6D3C8F2F">
      <w:pPr>
        <w:pStyle w:val="ListParagraph"/>
        <w:numPr>
          <w:ilvl w:val="0"/>
          <w:numId w:val="31"/>
        </w:numPr>
        <w:spacing w:before="240" w:after="240"/>
        <w:contextualSpacing w:val="0"/>
        <w:rPr>
          <w:color w:val="000000" w:themeColor="text1"/>
        </w:rPr>
      </w:pPr>
      <w:r w:rsidRPr="00631DFC">
        <w:rPr>
          <w:rFonts w:eastAsia="Arial"/>
          <w:color w:val="000000" w:themeColor="text1"/>
        </w:rPr>
        <w:t>The</w:t>
      </w:r>
      <w:r w:rsidR="008D1A7E">
        <w:rPr>
          <w:rFonts w:eastAsia="Arial"/>
          <w:color w:val="000000" w:themeColor="text1"/>
        </w:rPr>
        <w:t xml:space="preserve"> continued use of the</w:t>
      </w:r>
      <w:r w:rsidRPr="00980799">
        <w:rPr>
          <w:rFonts w:eastAsia="Arial"/>
          <w:color w:val="000000" w:themeColor="text1"/>
        </w:rPr>
        <w:t xml:space="preserve"> </w:t>
      </w:r>
      <w:r w:rsidRPr="00A80846">
        <w:rPr>
          <w:color w:val="000000" w:themeColor="text1"/>
        </w:rPr>
        <w:t>CAASPP</w:t>
      </w:r>
      <w:r w:rsidR="001F7C3A">
        <w:rPr>
          <w:color w:val="000000" w:themeColor="text1"/>
        </w:rPr>
        <w:t xml:space="preserve"> </w:t>
      </w:r>
      <w:r w:rsidRPr="00A80846">
        <w:rPr>
          <w:color w:val="000000" w:themeColor="text1"/>
        </w:rPr>
        <w:t xml:space="preserve">Smarter Balanced Summative Assessments for ELA and </w:t>
      </w:r>
      <w:r w:rsidR="00AF50DE">
        <w:rPr>
          <w:color w:val="000000" w:themeColor="text1"/>
        </w:rPr>
        <w:t>M</w:t>
      </w:r>
      <w:r w:rsidRPr="00A80846">
        <w:rPr>
          <w:color w:val="000000" w:themeColor="text1"/>
        </w:rPr>
        <w:t>athematics adjusted</w:t>
      </w:r>
      <w:r w:rsidR="00DF3CD1">
        <w:rPr>
          <w:color w:val="000000" w:themeColor="text1"/>
        </w:rPr>
        <w:t xml:space="preserve"> form</w:t>
      </w:r>
      <w:r w:rsidRPr="00A80846">
        <w:rPr>
          <w:color w:val="000000" w:themeColor="text1"/>
        </w:rPr>
        <w:t xml:space="preserve"> blueprints</w:t>
      </w:r>
      <w:r w:rsidR="00AF50DE">
        <w:rPr>
          <w:color w:val="000000" w:themeColor="text1"/>
        </w:rPr>
        <w:t>,</w:t>
      </w:r>
      <w:r w:rsidR="000F6C1F" w:rsidRPr="00631DFC">
        <w:rPr>
          <w:color w:val="000000" w:themeColor="text1"/>
        </w:rPr>
        <w:t xml:space="preserve"> </w:t>
      </w:r>
      <w:r w:rsidR="00741E22" w:rsidRPr="00631DFC">
        <w:rPr>
          <w:color w:val="000000" w:themeColor="text1"/>
        </w:rPr>
        <w:t>as described in tables 1 and 2</w:t>
      </w:r>
      <w:r w:rsidR="00AF50DE">
        <w:rPr>
          <w:color w:val="000000" w:themeColor="text1"/>
        </w:rPr>
        <w:t>,</w:t>
      </w:r>
      <w:r w:rsidR="00741E22" w:rsidRPr="00631DFC">
        <w:rPr>
          <w:color w:val="000000" w:themeColor="text1"/>
        </w:rPr>
        <w:t xml:space="preserve"> for the 202</w:t>
      </w:r>
      <w:r w:rsidR="000135D2">
        <w:rPr>
          <w:color w:val="000000" w:themeColor="text1"/>
        </w:rPr>
        <w:t>2</w:t>
      </w:r>
      <w:r w:rsidR="00741E22" w:rsidRPr="00631DFC">
        <w:rPr>
          <w:color w:val="000000" w:themeColor="text1"/>
        </w:rPr>
        <w:t>–2</w:t>
      </w:r>
      <w:r w:rsidR="000135D2">
        <w:rPr>
          <w:color w:val="000000" w:themeColor="text1"/>
        </w:rPr>
        <w:t>3</w:t>
      </w:r>
      <w:r w:rsidR="00741E22" w:rsidRPr="00631DFC">
        <w:rPr>
          <w:color w:val="000000" w:themeColor="text1"/>
        </w:rPr>
        <w:t xml:space="preserve"> administration</w:t>
      </w:r>
      <w:r w:rsidR="008D1A7E">
        <w:rPr>
          <w:color w:val="000000" w:themeColor="text1"/>
        </w:rPr>
        <w:t xml:space="preserve"> until the</w:t>
      </w:r>
      <w:r w:rsidR="00584F9D">
        <w:rPr>
          <w:color w:val="000000" w:themeColor="text1"/>
        </w:rPr>
        <w:t xml:space="preserve"> Smarter Balanced</w:t>
      </w:r>
      <w:r w:rsidR="008D1A7E">
        <w:rPr>
          <w:color w:val="000000" w:themeColor="text1"/>
        </w:rPr>
        <w:t xml:space="preserve"> Consortium</w:t>
      </w:r>
      <w:r w:rsidR="000740BB">
        <w:rPr>
          <w:color w:val="000000" w:themeColor="text1"/>
        </w:rPr>
        <w:t xml:space="preserve"> </w:t>
      </w:r>
      <w:r w:rsidR="000740BB" w:rsidRPr="005909AA">
        <w:t>(Consortium)</w:t>
      </w:r>
      <w:r w:rsidR="008D1A7E">
        <w:rPr>
          <w:color w:val="000000" w:themeColor="text1"/>
        </w:rPr>
        <w:t xml:space="preserve"> approves any further changes to the adjusted </w:t>
      </w:r>
      <w:r w:rsidR="00DF3CD1">
        <w:rPr>
          <w:color w:val="000000" w:themeColor="text1"/>
        </w:rPr>
        <w:t xml:space="preserve">form </w:t>
      </w:r>
      <w:r w:rsidR="008D1A7E">
        <w:rPr>
          <w:color w:val="000000" w:themeColor="text1"/>
        </w:rPr>
        <w:t>blueprints</w:t>
      </w:r>
      <w:r w:rsidR="00741E22" w:rsidRPr="00980799">
        <w:rPr>
          <w:color w:val="000000" w:themeColor="text1"/>
        </w:rPr>
        <w:t>.</w:t>
      </w:r>
      <w:r w:rsidRPr="00A80846">
        <w:rPr>
          <w:color w:val="000000" w:themeColor="text1"/>
        </w:rPr>
        <w:t xml:space="preserve"> </w:t>
      </w:r>
    </w:p>
    <w:p w14:paraId="4435E58F" w14:textId="5075A026" w:rsidR="003E4DF7" w:rsidRPr="00631DFC" w:rsidRDefault="38EFD1E1" w:rsidP="002200C1">
      <w:pPr>
        <w:pStyle w:val="ListParagraph"/>
        <w:numPr>
          <w:ilvl w:val="0"/>
          <w:numId w:val="31"/>
        </w:numPr>
        <w:spacing w:before="240" w:after="480"/>
        <w:contextualSpacing w:val="0"/>
        <w:rPr>
          <w:rFonts w:eastAsia="Arial"/>
        </w:rPr>
      </w:pPr>
      <w:r w:rsidRPr="00631DFC">
        <w:rPr>
          <w:rFonts w:eastAsia="Arial"/>
        </w:rPr>
        <w:t>The 2022–23 CAASPP and ELPAC SSRs.</w:t>
      </w:r>
    </w:p>
    <w:p w14:paraId="57CD77F5" w14:textId="2E7382D5" w:rsidR="003E4DF7" w:rsidRDefault="003E4DF7" w:rsidP="00310115">
      <w:pPr>
        <w:pStyle w:val="Heading2"/>
        <w:spacing w:before="240" w:after="240"/>
        <w:rPr>
          <w:rFonts w:cs="Arial"/>
          <w:sz w:val="36"/>
          <w:szCs w:val="36"/>
        </w:rPr>
      </w:pPr>
      <w:r w:rsidRPr="005909AA">
        <w:rPr>
          <w:rFonts w:cs="Arial"/>
          <w:sz w:val="36"/>
          <w:szCs w:val="36"/>
        </w:rPr>
        <w:t>Brief History of Key Issues</w:t>
      </w:r>
    </w:p>
    <w:p w14:paraId="5DECBB92" w14:textId="4EF4AF43" w:rsidR="000D6999" w:rsidRPr="000D6999" w:rsidRDefault="00310115" w:rsidP="000D6999">
      <w:r>
        <w:t xml:space="preserve">The following sections </w:t>
      </w:r>
      <w:r w:rsidR="00286DD5">
        <w:t xml:space="preserve">of this item </w:t>
      </w:r>
      <w:r>
        <w:t>detail</w:t>
      </w:r>
      <w:r w:rsidR="0028506C">
        <w:t>s</w:t>
      </w:r>
      <w:r>
        <w:t xml:space="preserve"> the CDE’s proposed recommendations to the SBE and provide a summary of developments and </w:t>
      </w:r>
      <w:r w:rsidR="007638CD">
        <w:t>activities</w:t>
      </w:r>
      <w:r>
        <w:t xml:space="preserve"> related to the CAASPP</w:t>
      </w:r>
      <w:r w:rsidR="00E8372F">
        <w:t xml:space="preserve">, </w:t>
      </w:r>
      <w:r>
        <w:t>the ELPAC</w:t>
      </w:r>
      <w:r w:rsidR="00E624BC">
        <w:t xml:space="preserve">, </w:t>
      </w:r>
      <w:r w:rsidR="00E624BC" w:rsidRPr="00C35F8B">
        <w:rPr>
          <w:rFonts w:eastAsia="Arial"/>
          <w:color w:val="000000" w:themeColor="text1"/>
        </w:rPr>
        <w:t>and an update on national and international</w:t>
      </w:r>
      <w:r w:rsidR="00286DD5">
        <w:t xml:space="preserve"> assessment</w:t>
      </w:r>
      <w:r w:rsidR="006D4D57">
        <w:t>s</w:t>
      </w:r>
      <w:r w:rsidR="00286DD5">
        <w:t>.</w:t>
      </w:r>
    </w:p>
    <w:p w14:paraId="0A18926F" w14:textId="660F927D" w:rsidR="00120A9E" w:rsidRPr="005909AA" w:rsidRDefault="00813436" w:rsidP="002D4BFF">
      <w:pPr>
        <w:pStyle w:val="Heading3"/>
        <w:spacing w:before="240" w:after="240"/>
        <w:rPr>
          <w:rFonts w:cs="Arial"/>
          <w:sz w:val="32"/>
          <w:szCs w:val="32"/>
        </w:rPr>
      </w:pPr>
      <w:r w:rsidRPr="005909AA">
        <w:rPr>
          <w:rFonts w:cs="Arial"/>
          <w:sz w:val="32"/>
          <w:szCs w:val="32"/>
        </w:rPr>
        <w:t xml:space="preserve">The State Superintendent of Public Instruction’s Proposed Threshold Scores for the California Alternate Assessment for </w:t>
      </w:r>
      <w:r w:rsidR="6DA3A531" w:rsidRPr="005909AA">
        <w:rPr>
          <w:rFonts w:cs="Arial"/>
          <w:sz w:val="32"/>
          <w:szCs w:val="32"/>
        </w:rPr>
        <w:t>Science</w:t>
      </w:r>
    </w:p>
    <w:p w14:paraId="4F7F4F13" w14:textId="11B782DF" w:rsidR="00813436" w:rsidRPr="005909AA" w:rsidRDefault="00813436" w:rsidP="00813436">
      <w:pPr>
        <w:spacing w:before="240" w:after="240" w:line="259" w:lineRule="auto"/>
        <w:rPr>
          <w:rFonts w:eastAsia="Arial"/>
          <w:sz w:val="22"/>
          <w:highlight w:val="green"/>
        </w:rPr>
      </w:pPr>
      <w:r w:rsidRPr="005909AA">
        <w:rPr>
          <w:color w:val="000000"/>
          <w:szCs w:val="27"/>
        </w:rPr>
        <w:t>The CAA for Science is an online assessment administered to students with the most significant cognitive disabilities whose individualized education program indicates the use of an alternate assessment. Test examiners administer the assessment to students one</w:t>
      </w:r>
      <w:r w:rsidR="000B302D">
        <w:rPr>
          <w:color w:val="000000"/>
          <w:szCs w:val="27"/>
        </w:rPr>
        <w:t>-</w:t>
      </w:r>
      <w:r w:rsidRPr="005909AA">
        <w:rPr>
          <w:color w:val="000000"/>
          <w:szCs w:val="27"/>
        </w:rPr>
        <w:t>on</w:t>
      </w:r>
      <w:r w:rsidR="000B302D">
        <w:rPr>
          <w:color w:val="000000"/>
          <w:szCs w:val="27"/>
        </w:rPr>
        <w:t>-</w:t>
      </w:r>
      <w:r w:rsidRPr="005909AA">
        <w:rPr>
          <w:color w:val="000000"/>
          <w:szCs w:val="27"/>
        </w:rPr>
        <w:t>one. Eligible students take the CAA for Science in grades five and eight and one time in high school (i.e., grade ten, eleven, or twelve). This assessment consists of four embedded performance tasks</w:t>
      </w:r>
      <w:r w:rsidR="00E93140">
        <w:rPr>
          <w:color w:val="000000"/>
          <w:szCs w:val="27"/>
        </w:rPr>
        <w:t xml:space="preserve"> (PTs</w:t>
      </w:r>
      <w:r w:rsidR="008E713A">
        <w:rPr>
          <w:color w:val="000000"/>
          <w:szCs w:val="27"/>
        </w:rPr>
        <w:t>)</w:t>
      </w:r>
      <w:r w:rsidR="00764AEA">
        <w:rPr>
          <w:color w:val="000000"/>
          <w:szCs w:val="27"/>
        </w:rPr>
        <w:t xml:space="preserve">, which are </w:t>
      </w:r>
      <w:r w:rsidRPr="005909AA">
        <w:rPr>
          <w:color w:val="000000"/>
          <w:szCs w:val="27"/>
        </w:rPr>
        <w:t>administered to students as close to instruction as possible throughout the school year.</w:t>
      </w:r>
    </w:p>
    <w:p w14:paraId="3477A048" w14:textId="79913CF5" w:rsidR="00D16A16" w:rsidRDefault="00813436" w:rsidP="00813436">
      <w:pPr>
        <w:spacing w:before="240" w:after="240" w:line="259" w:lineRule="auto"/>
        <w:rPr>
          <w:rFonts w:eastAsia="Arial"/>
        </w:rPr>
      </w:pPr>
      <w:r w:rsidRPr="005909AA">
        <w:rPr>
          <w:rFonts w:eastAsia="Arial"/>
        </w:rPr>
        <w:t>The development of the CAA for Science began with two years of pilot testing during the 2016</w:t>
      </w:r>
      <w:r w:rsidRPr="005909AA">
        <w:rPr>
          <w:rStyle w:val="normaltextrun"/>
          <w:rFonts w:eastAsiaTheme="majorEastAsia"/>
          <w:color w:val="000000" w:themeColor="text1"/>
        </w:rPr>
        <w:t>–</w:t>
      </w:r>
      <w:r w:rsidRPr="005909AA">
        <w:rPr>
          <w:rFonts w:eastAsia="Arial"/>
        </w:rPr>
        <w:t>17 and 2017</w:t>
      </w:r>
      <w:r w:rsidRPr="005909AA">
        <w:rPr>
          <w:rStyle w:val="normaltextrun"/>
          <w:rFonts w:eastAsiaTheme="majorEastAsia"/>
          <w:color w:val="000000" w:themeColor="text1"/>
        </w:rPr>
        <w:t>–</w:t>
      </w:r>
      <w:r w:rsidRPr="005909AA">
        <w:rPr>
          <w:rFonts w:eastAsia="Arial"/>
        </w:rPr>
        <w:t xml:space="preserve">18 school years, </w:t>
      </w:r>
      <w:r w:rsidR="00FA6FEA">
        <w:rPr>
          <w:rFonts w:eastAsia="Arial"/>
        </w:rPr>
        <w:t xml:space="preserve">which was </w:t>
      </w:r>
      <w:r w:rsidRPr="005909AA">
        <w:rPr>
          <w:rFonts w:eastAsia="Arial"/>
        </w:rPr>
        <w:t xml:space="preserve">followed by the </w:t>
      </w:r>
      <w:r w:rsidR="00FA6FEA" w:rsidRPr="005909AA">
        <w:rPr>
          <w:rFonts w:eastAsia="Arial"/>
        </w:rPr>
        <w:t>2018</w:t>
      </w:r>
      <w:r w:rsidR="00FA6FEA" w:rsidRPr="005909AA">
        <w:rPr>
          <w:rStyle w:val="normaltextrun"/>
          <w:rFonts w:eastAsiaTheme="majorEastAsia"/>
          <w:color w:val="000000" w:themeColor="text1"/>
        </w:rPr>
        <w:t>–</w:t>
      </w:r>
      <w:r w:rsidR="00FA6FEA" w:rsidRPr="005909AA">
        <w:rPr>
          <w:rFonts w:eastAsia="Arial"/>
        </w:rPr>
        <w:t xml:space="preserve">19 administration </w:t>
      </w:r>
      <w:r w:rsidR="00FA6FEA">
        <w:rPr>
          <w:rFonts w:eastAsia="Arial"/>
        </w:rPr>
        <w:t xml:space="preserve">of the </w:t>
      </w:r>
      <w:r w:rsidRPr="005909AA">
        <w:rPr>
          <w:rFonts w:eastAsia="Arial"/>
        </w:rPr>
        <w:t xml:space="preserve">online field test. </w:t>
      </w:r>
      <w:r w:rsidRPr="005909AA">
        <w:rPr>
          <w:rStyle w:val="normaltextrun"/>
          <w:rFonts w:eastAsiaTheme="majorEastAsia"/>
          <w:color w:val="000000" w:themeColor="text1"/>
        </w:rPr>
        <w:t xml:space="preserve">In January 2018, the SBE approved the CAA for Science blueprint. </w:t>
      </w:r>
      <w:r w:rsidR="00FA6FEA">
        <w:rPr>
          <w:rFonts w:eastAsia="Arial"/>
        </w:rPr>
        <w:t>I</w:t>
      </w:r>
      <w:r w:rsidR="00FA6FEA" w:rsidRPr="005909AA">
        <w:rPr>
          <w:rFonts w:eastAsia="Arial"/>
        </w:rPr>
        <w:t xml:space="preserve">n </w:t>
      </w:r>
      <w:r w:rsidR="00FA6FEA">
        <w:rPr>
          <w:rFonts w:eastAsia="Arial"/>
        </w:rPr>
        <w:t xml:space="preserve">the </w:t>
      </w:r>
      <w:r w:rsidR="00FA6FEA" w:rsidRPr="005909AA">
        <w:rPr>
          <w:rFonts w:eastAsia="Arial"/>
        </w:rPr>
        <w:t>2019</w:t>
      </w:r>
      <w:r w:rsidR="00FA6FEA" w:rsidRPr="005909AA">
        <w:rPr>
          <w:rStyle w:val="normaltextrun"/>
          <w:rFonts w:eastAsiaTheme="majorEastAsia"/>
          <w:color w:val="000000" w:themeColor="text1"/>
        </w:rPr>
        <w:t>–</w:t>
      </w:r>
      <w:r w:rsidR="00FA6FEA" w:rsidRPr="005909AA">
        <w:rPr>
          <w:rFonts w:eastAsia="Arial"/>
        </w:rPr>
        <w:t>20</w:t>
      </w:r>
      <w:r w:rsidR="00FA6FEA">
        <w:rPr>
          <w:rFonts w:eastAsia="Arial"/>
        </w:rPr>
        <w:t xml:space="preserve"> school year, d</w:t>
      </w:r>
      <w:r w:rsidRPr="005909AA">
        <w:rPr>
          <w:rFonts w:eastAsia="Arial"/>
        </w:rPr>
        <w:t>ue to the</w:t>
      </w:r>
      <w:r w:rsidR="001E54EC">
        <w:rPr>
          <w:rFonts w:eastAsia="Arial"/>
        </w:rPr>
        <w:t xml:space="preserve"> novel coronavirus 2019</w:t>
      </w:r>
      <w:r w:rsidR="008D1A7E">
        <w:rPr>
          <w:rFonts w:eastAsia="Arial"/>
        </w:rPr>
        <w:t xml:space="preserve"> </w:t>
      </w:r>
      <w:r w:rsidR="001E54EC">
        <w:rPr>
          <w:rFonts w:eastAsia="Arial"/>
        </w:rPr>
        <w:t>(</w:t>
      </w:r>
      <w:r w:rsidRPr="005909AA">
        <w:rPr>
          <w:rFonts w:eastAsia="Arial"/>
        </w:rPr>
        <w:t>COVID-19</w:t>
      </w:r>
      <w:r w:rsidR="001E54EC">
        <w:rPr>
          <w:rFonts w:eastAsia="Arial"/>
        </w:rPr>
        <w:t>)</w:t>
      </w:r>
      <w:r w:rsidRPr="005909AA">
        <w:rPr>
          <w:rFonts w:eastAsia="Arial"/>
        </w:rPr>
        <w:t xml:space="preserve"> pandemic, </w:t>
      </w:r>
      <w:r w:rsidR="008D1A7E">
        <w:rPr>
          <w:rFonts w:eastAsia="Arial"/>
        </w:rPr>
        <w:t xml:space="preserve">all </w:t>
      </w:r>
      <w:r w:rsidRPr="005909AA">
        <w:rPr>
          <w:rFonts w:eastAsia="Arial"/>
        </w:rPr>
        <w:t xml:space="preserve">California testing was suspended. </w:t>
      </w:r>
      <w:r w:rsidR="00322B75">
        <w:rPr>
          <w:rFonts w:eastAsia="Arial"/>
        </w:rPr>
        <w:t xml:space="preserve">The </w:t>
      </w:r>
      <w:r w:rsidR="00322B75" w:rsidRPr="00B93C91">
        <w:rPr>
          <w:rFonts w:eastAsia="Arial"/>
        </w:rPr>
        <w:t>2020–21 administration</w:t>
      </w:r>
      <w:r w:rsidR="00322B75">
        <w:rPr>
          <w:rFonts w:eastAsia="Arial"/>
        </w:rPr>
        <w:t xml:space="preserve"> was intended to be the first operational field test</w:t>
      </w:r>
      <w:r w:rsidR="00FA6FEA">
        <w:rPr>
          <w:rFonts w:eastAsia="Arial"/>
        </w:rPr>
        <w:t>;</w:t>
      </w:r>
      <w:r w:rsidR="00322B75">
        <w:rPr>
          <w:rFonts w:eastAsia="Arial"/>
        </w:rPr>
        <w:t xml:space="preserve"> however,</w:t>
      </w:r>
      <w:r w:rsidR="0096375B">
        <w:rPr>
          <w:rFonts w:eastAsia="Arial"/>
        </w:rPr>
        <w:t xml:space="preserve"> </w:t>
      </w:r>
      <w:r w:rsidR="00DB46AA">
        <w:rPr>
          <w:rFonts w:eastAsia="Arial"/>
        </w:rPr>
        <w:t>the</w:t>
      </w:r>
      <w:r w:rsidR="00D62477">
        <w:rPr>
          <w:rFonts w:eastAsia="Arial"/>
        </w:rPr>
        <w:t xml:space="preserve"> </w:t>
      </w:r>
      <w:r w:rsidR="0096375B">
        <w:rPr>
          <w:rFonts w:eastAsia="Arial"/>
        </w:rPr>
        <w:t xml:space="preserve">number of students </w:t>
      </w:r>
      <w:r w:rsidR="00DB46AA">
        <w:rPr>
          <w:rFonts w:eastAsia="Arial"/>
        </w:rPr>
        <w:t xml:space="preserve">who completed testing </w:t>
      </w:r>
      <w:r w:rsidR="00FA6FEA">
        <w:rPr>
          <w:rFonts w:eastAsia="Arial"/>
        </w:rPr>
        <w:t>was</w:t>
      </w:r>
      <w:r w:rsidR="00FA6FEA" w:rsidRPr="00FA6FEA">
        <w:rPr>
          <w:rFonts w:eastAsia="Arial"/>
        </w:rPr>
        <w:t xml:space="preserve"> </w:t>
      </w:r>
      <w:r w:rsidR="00FA6FEA">
        <w:rPr>
          <w:rFonts w:eastAsia="Arial"/>
        </w:rPr>
        <w:t xml:space="preserve">insufficient </w:t>
      </w:r>
      <w:r w:rsidR="00DB46AA">
        <w:rPr>
          <w:rFonts w:eastAsia="Arial"/>
        </w:rPr>
        <w:t xml:space="preserve">to </w:t>
      </w:r>
      <w:r w:rsidR="00F77937">
        <w:rPr>
          <w:rFonts w:eastAsia="Arial"/>
        </w:rPr>
        <w:t xml:space="preserve">reflect a </w:t>
      </w:r>
      <w:r w:rsidR="00136A4B" w:rsidRPr="00B93C91">
        <w:rPr>
          <w:rFonts w:eastAsia="Arial"/>
        </w:rPr>
        <w:t>“</w:t>
      </w:r>
      <w:r w:rsidR="009B7A7A">
        <w:rPr>
          <w:rFonts w:eastAsia="Arial"/>
        </w:rPr>
        <w:t>typical</w:t>
      </w:r>
      <w:r w:rsidR="00136A4B" w:rsidRPr="00B93C91">
        <w:rPr>
          <w:rFonts w:eastAsia="Arial"/>
        </w:rPr>
        <w:t>” instructional year</w:t>
      </w:r>
      <w:r w:rsidR="00F932F7" w:rsidRPr="00F932F7">
        <w:rPr>
          <w:rFonts w:eastAsia="Arial"/>
        </w:rPr>
        <w:t xml:space="preserve"> </w:t>
      </w:r>
      <w:r w:rsidR="00D62477">
        <w:rPr>
          <w:rFonts w:eastAsia="Arial"/>
        </w:rPr>
        <w:t>that would provide the</w:t>
      </w:r>
      <w:r w:rsidR="00F932F7">
        <w:rPr>
          <w:rFonts w:eastAsia="Arial"/>
        </w:rPr>
        <w:t xml:space="preserve"> necessary impact data to </w:t>
      </w:r>
      <w:r w:rsidR="00F932F7" w:rsidRPr="00B93C91">
        <w:rPr>
          <w:rFonts w:eastAsia="Arial"/>
        </w:rPr>
        <w:t>establish</w:t>
      </w:r>
      <w:r w:rsidR="00F932F7">
        <w:rPr>
          <w:rFonts w:eastAsia="Arial"/>
        </w:rPr>
        <w:t xml:space="preserve"> the recommended </w:t>
      </w:r>
      <w:r w:rsidR="00F932F7" w:rsidRPr="00B93C91">
        <w:rPr>
          <w:rFonts w:eastAsia="Arial"/>
        </w:rPr>
        <w:t>threshold scores</w:t>
      </w:r>
      <w:r w:rsidR="00136A4B" w:rsidRPr="00B93C91">
        <w:rPr>
          <w:rFonts w:eastAsia="Arial"/>
        </w:rPr>
        <w:t>.</w:t>
      </w:r>
      <w:r w:rsidR="00DB46AA">
        <w:rPr>
          <w:rFonts w:eastAsia="Arial"/>
        </w:rPr>
        <w:t xml:space="preserve"> The</w:t>
      </w:r>
      <w:r w:rsidR="00F932F7">
        <w:rPr>
          <w:rFonts w:eastAsia="Arial"/>
        </w:rPr>
        <w:t xml:space="preserve">refore, the </w:t>
      </w:r>
      <w:r w:rsidR="00D62477">
        <w:rPr>
          <w:rFonts w:eastAsia="Arial"/>
        </w:rPr>
        <w:t>finalization of the threshold scores was</w:t>
      </w:r>
      <w:r w:rsidR="00F932F7">
        <w:rPr>
          <w:rFonts w:eastAsia="Arial"/>
        </w:rPr>
        <w:t xml:space="preserve"> postpone</w:t>
      </w:r>
      <w:r w:rsidR="00D62477">
        <w:rPr>
          <w:rFonts w:eastAsia="Arial"/>
        </w:rPr>
        <w:t>d</w:t>
      </w:r>
      <w:r w:rsidR="00F932F7">
        <w:rPr>
          <w:rFonts w:eastAsia="Arial"/>
        </w:rPr>
        <w:t xml:space="preserve"> until the more robust impact data from the </w:t>
      </w:r>
      <w:r w:rsidR="00DB46AA" w:rsidRPr="00B93C91">
        <w:rPr>
          <w:rFonts w:eastAsia="Arial"/>
        </w:rPr>
        <w:t>202</w:t>
      </w:r>
      <w:r w:rsidR="00DB46AA">
        <w:rPr>
          <w:rFonts w:eastAsia="Arial"/>
        </w:rPr>
        <w:t>1</w:t>
      </w:r>
      <w:r w:rsidR="00DB46AA" w:rsidRPr="00B93C91">
        <w:rPr>
          <w:rFonts w:eastAsia="Arial"/>
        </w:rPr>
        <w:t>–2</w:t>
      </w:r>
      <w:r w:rsidR="00DB46AA">
        <w:rPr>
          <w:rFonts w:eastAsia="Arial"/>
        </w:rPr>
        <w:t xml:space="preserve">2 </w:t>
      </w:r>
      <w:r w:rsidR="00F932F7">
        <w:rPr>
          <w:rFonts w:eastAsia="Arial"/>
        </w:rPr>
        <w:t>CAA for Science administration could be used.</w:t>
      </w:r>
      <w:r w:rsidR="00E53EBD">
        <w:rPr>
          <w:rFonts w:eastAsia="Arial"/>
        </w:rPr>
        <w:t xml:space="preserve"> </w:t>
      </w:r>
      <w:r w:rsidR="00D62477">
        <w:rPr>
          <w:rFonts w:eastAsia="Arial"/>
        </w:rPr>
        <w:t xml:space="preserve">During that time, the </w:t>
      </w:r>
      <w:r w:rsidR="00E53EBD">
        <w:rPr>
          <w:rFonts w:eastAsia="Arial"/>
        </w:rPr>
        <w:t xml:space="preserve">CDE and </w:t>
      </w:r>
      <w:r w:rsidR="00502E01">
        <w:rPr>
          <w:rFonts w:eastAsia="Arial"/>
        </w:rPr>
        <w:t xml:space="preserve">testing contractor </w:t>
      </w:r>
      <w:r w:rsidR="00E53EBD">
        <w:rPr>
          <w:rFonts w:eastAsia="Arial"/>
        </w:rPr>
        <w:t xml:space="preserve">ETS </w:t>
      </w:r>
      <w:r w:rsidR="00E53EBD" w:rsidRPr="00E53EBD">
        <w:rPr>
          <w:rFonts w:eastAsia="Arial"/>
        </w:rPr>
        <w:t>evaluate</w:t>
      </w:r>
      <w:r w:rsidR="00D62477">
        <w:rPr>
          <w:rFonts w:eastAsia="Arial"/>
        </w:rPr>
        <w:t>d</w:t>
      </w:r>
      <w:r w:rsidR="00E53EBD" w:rsidRPr="00E53EBD">
        <w:rPr>
          <w:rFonts w:eastAsia="Arial"/>
        </w:rPr>
        <w:t xml:space="preserve"> the educator panel’s recommended threshold scores </w:t>
      </w:r>
      <w:r w:rsidR="00E53EBD">
        <w:rPr>
          <w:rFonts w:eastAsia="Arial"/>
        </w:rPr>
        <w:t>and</w:t>
      </w:r>
      <w:r w:rsidR="00E53EBD" w:rsidRPr="00E53EBD">
        <w:rPr>
          <w:rFonts w:eastAsia="Arial"/>
        </w:rPr>
        <w:t xml:space="preserve"> consult</w:t>
      </w:r>
      <w:r w:rsidR="00D62477">
        <w:rPr>
          <w:rFonts w:eastAsia="Arial"/>
        </w:rPr>
        <w:t>ed</w:t>
      </w:r>
      <w:r w:rsidR="00E53EBD" w:rsidRPr="00E53EBD">
        <w:rPr>
          <w:rFonts w:eastAsia="Arial"/>
        </w:rPr>
        <w:t xml:space="preserve"> with select CAASPP Technical Advisory Group </w:t>
      </w:r>
      <w:r w:rsidR="00804217">
        <w:rPr>
          <w:rFonts w:eastAsia="Arial"/>
        </w:rPr>
        <w:t xml:space="preserve">(TAG) </w:t>
      </w:r>
      <w:r w:rsidR="00E53EBD" w:rsidRPr="00E53EBD">
        <w:rPr>
          <w:rFonts w:eastAsia="Arial"/>
        </w:rPr>
        <w:t xml:space="preserve">members and the Statewide Assessment Stakeholder members who represent California educational associations. </w:t>
      </w:r>
    </w:p>
    <w:p w14:paraId="7494BA1D" w14:textId="14128352" w:rsidR="00813436" w:rsidRPr="005909AA" w:rsidRDefault="50256A57" w:rsidP="00813436">
      <w:pPr>
        <w:spacing w:before="240" w:after="240"/>
        <w:textAlignment w:val="baseline"/>
        <w:rPr>
          <w:sz w:val="18"/>
          <w:szCs w:val="18"/>
        </w:rPr>
      </w:pPr>
      <w:r>
        <w:lastRenderedPageBreak/>
        <w:t xml:space="preserve">The CDE recommends that the SBE adopt the </w:t>
      </w:r>
      <w:r w:rsidR="38AD8179">
        <w:t>State Superintendent of Public Instruction’s</w:t>
      </w:r>
      <w:r w:rsidR="022AA879">
        <w:t xml:space="preserve"> </w:t>
      </w:r>
      <w:r>
        <w:t xml:space="preserve">proposed threshold scores informed by the CAA for Science standard setting workshop. Table </w:t>
      </w:r>
      <w:r w:rsidR="01267A55">
        <w:t>1</w:t>
      </w:r>
      <w:r>
        <w:t xml:space="preserve"> </w:t>
      </w:r>
      <w:r w:rsidR="08923B41">
        <w:t xml:space="preserve">in </w:t>
      </w:r>
      <w:r w:rsidR="6803BC09">
        <w:t>Attachment</w:t>
      </w:r>
      <w:r w:rsidR="2031E32E">
        <w:t xml:space="preserve"> </w:t>
      </w:r>
      <w:r w:rsidR="01267A55">
        <w:t>2</w:t>
      </w:r>
      <w:r>
        <w:t xml:space="preserve"> provide</w:t>
      </w:r>
      <w:r w:rsidR="08923B41">
        <w:t>s</w:t>
      </w:r>
      <w:r>
        <w:t xml:space="preserve"> the State Superintendent of Public Instruction’s recommended threshold scores for the specific grade level and grade span</w:t>
      </w:r>
      <w:r w:rsidR="55455D47">
        <w:t>,</w:t>
      </w:r>
      <w:r>
        <w:t xml:space="preserve"> by overall scale score</w:t>
      </w:r>
      <w:r w:rsidR="55455D47">
        <w:t>,</w:t>
      </w:r>
      <w:r>
        <w:t xml:space="preserve"> based on the </w:t>
      </w:r>
      <w:r w:rsidRPr="1D88D842">
        <w:rPr>
          <w:rStyle w:val="normaltextrun"/>
          <w:rFonts w:eastAsiaTheme="majorEastAsia"/>
          <w:color w:val="000000" w:themeColor="text1"/>
        </w:rPr>
        <w:t xml:space="preserve">general achievement level </w:t>
      </w:r>
      <w:r w:rsidR="55AFB0E6" w:rsidRPr="1D88D842">
        <w:rPr>
          <w:rStyle w:val="normaltextrun"/>
          <w:rFonts w:eastAsiaTheme="majorEastAsia"/>
          <w:color w:val="000000" w:themeColor="text1"/>
        </w:rPr>
        <w:t>d</w:t>
      </w:r>
      <w:r w:rsidRPr="1D88D842">
        <w:rPr>
          <w:rStyle w:val="normaltextrun"/>
          <w:rFonts w:eastAsiaTheme="majorEastAsia"/>
          <w:color w:val="000000" w:themeColor="text1"/>
        </w:rPr>
        <w:t>escriptors approved by</w:t>
      </w:r>
      <w:r>
        <w:t xml:space="preserve"> </w:t>
      </w:r>
      <w:r w:rsidRPr="1D88D842">
        <w:rPr>
          <w:rStyle w:val="normaltextrun"/>
          <w:rFonts w:eastAsiaTheme="majorEastAsia"/>
          <w:color w:val="000000" w:themeColor="text1"/>
        </w:rPr>
        <w:t>the SBE in January 2018</w:t>
      </w:r>
      <w:r>
        <w:t xml:space="preserve">. Table </w:t>
      </w:r>
      <w:r w:rsidR="05B7A263">
        <w:t xml:space="preserve">2 </w:t>
      </w:r>
      <w:r>
        <w:t xml:space="preserve">in Attachment </w:t>
      </w:r>
      <w:r w:rsidR="7C8C0027">
        <w:t>2</w:t>
      </w:r>
      <w:r w:rsidR="55455D47">
        <w:t xml:space="preserve"> </w:t>
      </w:r>
      <w:r>
        <w:t>provide</w:t>
      </w:r>
      <w:r w:rsidR="55455D47">
        <w:t>s</w:t>
      </w:r>
      <w:r>
        <w:t xml:space="preserve"> the standard setting panel’s recommended judgments that were reviewed by CDE staff and CAASPP TAG members for the specific grade levels and grade spans</w:t>
      </w:r>
      <w:r w:rsidR="35534AF1">
        <w:t>,</w:t>
      </w:r>
      <w:r>
        <w:t xml:space="preserve"> by overall scale score. The State Superintendent of Public Instruction’s recommendations in Attachment </w:t>
      </w:r>
      <w:r w:rsidR="38187F19">
        <w:t>2</w:t>
      </w:r>
      <w:r>
        <w:t xml:space="preserve"> were based on the standard setting panel’s recommended judgments, as described in the </w:t>
      </w:r>
      <w:r w:rsidRPr="1D88D842">
        <w:rPr>
          <w:rStyle w:val="normaltextrun"/>
          <w:rFonts w:eastAsiaTheme="majorEastAsia"/>
        </w:rPr>
        <w:t>August 2022 Information Memorandum</w:t>
      </w:r>
      <w:r>
        <w:t xml:space="preserve">. To maintain fidelity with the work of the standard setting panel, the thresholds presented in Attachment </w:t>
      </w:r>
      <w:r w:rsidR="38187F19">
        <w:t>2</w:t>
      </w:r>
      <w:r>
        <w:t xml:space="preserve"> are within one conditional standard error of measurement of the panel’s recommendations. That is, all adjustments are within the natural error variance of the panel’s recommended thresholds and, therefore, reflect only slight modifications of the panel’s judgments.</w:t>
      </w:r>
    </w:p>
    <w:p w14:paraId="08B4ECFD" w14:textId="2544B024" w:rsidR="00813436" w:rsidRDefault="00813436" w:rsidP="00813436">
      <w:pPr>
        <w:spacing w:before="240" w:after="240"/>
        <w:textAlignment w:val="baseline"/>
      </w:pPr>
      <w:r w:rsidRPr="005909AA">
        <w:t xml:space="preserve">In addition, the CAASPP TAG was provided with a briefing on these recommended scores. </w:t>
      </w:r>
      <w:r w:rsidR="79DB1F09">
        <w:t xml:space="preserve">The </w:t>
      </w:r>
      <w:r w:rsidR="00AA773A">
        <w:t>a</w:t>
      </w:r>
      <w:r w:rsidR="79DB1F09">
        <w:t xml:space="preserve">ssessment </w:t>
      </w:r>
      <w:r w:rsidR="00AA773A">
        <w:t>i</w:t>
      </w:r>
      <w:r w:rsidR="79DB1F09">
        <w:t xml:space="preserve">nterest </w:t>
      </w:r>
      <w:r w:rsidR="00AA773A">
        <w:t>h</w:t>
      </w:r>
      <w:r w:rsidR="79DB1F09">
        <w:t>olde</w:t>
      </w:r>
      <w:r w:rsidR="00AA773A">
        <w:t>rs</w:t>
      </w:r>
      <w:r w:rsidRPr="005909AA">
        <w:t xml:space="preserve">, representing California educational associations, also were provided </w:t>
      </w:r>
      <w:r w:rsidR="00A94329">
        <w:t xml:space="preserve">with </w:t>
      </w:r>
      <w:r w:rsidRPr="005909AA">
        <w:t>a briefing on the recommended scores. If approved, the proposed threshold scores will be applied beginning with the 2021</w:t>
      </w:r>
      <w:r w:rsidRPr="005909AA">
        <w:rPr>
          <w:color w:val="000000" w:themeColor="text1"/>
        </w:rPr>
        <w:t>–22</w:t>
      </w:r>
      <w:r w:rsidRPr="005909AA">
        <w:t xml:space="preserve"> administration of the CAA for Science operational field test and used in the production of the CAA for Science SSRs </w:t>
      </w:r>
      <w:r w:rsidR="00A94329">
        <w:t>as well as</w:t>
      </w:r>
      <w:r w:rsidR="00A94329" w:rsidRPr="005909AA">
        <w:t xml:space="preserve"> </w:t>
      </w:r>
      <w:r w:rsidRPr="005909AA">
        <w:t xml:space="preserve">the aggregate reports found on the Test Results for California's Assessments website at </w:t>
      </w:r>
      <w:hyperlink r:id="rId13" w:tooltip="Test Results for California's Assessments web page." w:history="1">
        <w:r w:rsidR="00AA5F77" w:rsidRPr="00444212">
          <w:rPr>
            <w:rStyle w:val="Hyperlink"/>
          </w:rPr>
          <w:t>https://caaspp-elpac.cde.ca.gov/caaspp/</w:t>
        </w:r>
      </w:hyperlink>
      <w:r w:rsidR="00AA5F77" w:rsidRPr="00750CD5">
        <w:t>.</w:t>
      </w:r>
    </w:p>
    <w:p w14:paraId="65E7C389" w14:textId="404EED40" w:rsidR="00F932F7" w:rsidRPr="00552E4E" w:rsidRDefault="00F932F7" w:rsidP="4FDC4556">
      <w:pPr>
        <w:pStyle w:val="paragraph"/>
        <w:spacing w:before="240" w:beforeAutospacing="0" w:after="240" w:afterAutospacing="0"/>
        <w:textAlignment w:val="baseline"/>
        <w:rPr>
          <w:rFonts w:eastAsiaTheme="majorEastAsia"/>
        </w:rPr>
      </w:pPr>
      <w:r w:rsidRPr="4FDC4556">
        <w:rPr>
          <w:rStyle w:val="normaltextrun"/>
          <w:rFonts w:eastAsiaTheme="majorEastAsia"/>
        </w:rPr>
        <w:t xml:space="preserve">In its August 2022 Information Memorandum to the SBE, the CDE provided the standard setting plan </w:t>
      </w:r>
      <w:r w:rsidRPr="00CB71DD">
        <w:rPr>
          <w:rStyle w:val="normaltextrun"/>
          <w:rFonts w:eastAsiaTheme="majorEastAsia"/>
        </w:rPr>
        <w:t>for the 2022 CAA for Science. This Memorandum can be found at</w:t>
      </w:r>
      <w:r w:rsidR="00B17DC4" w:rsidRPr="00CB71DD">
        <w:rPr>
          <w:rStyle w:val="normaltextrun"/>
          <w:rFonts w:eastAsiaTheme="majorEastAsia"/>
        </w:rPr>
        <w:t xml:space="preserve"> </w:t>
      </w:r>
      <w:hyperlink r:id="rId14" w:tooltip="This link opens the August 2022 SBE Information Memorandum." w:history="1">
        <w:r w:rsidR="00B17DC4" w:rsidRPr="00CB71DD">
          <w:rPr>
            <w:rStyle w:val="Hyperlink"/>
            <w:rFonts w:eastAsiaTheme="majorEastAsia"/>
          </w:rPr>
          <w:t>https://www.cde.ca.gov/be/pn/im/documents/aug22memoadad01.docx</w:t>
        </w:r>
      </w:hyperlink>
      <w:r w:rsidR="00B17DC4" w:rsidRPr="00CB71DD">
        <w:rPr>
          <w:rStyle w:val="normaltextrun"/>
          <w:rFonts w:eastAsiaTheme="majorEastAsia"/>
        </w:rPr>
        <w:t xml:space="preserve">. </w:t>
      </w:r>
      <w:r w:rsidRPr="00CB71DD">
        <w:rPr>
          <w:rStyle w:val="normaltextrun"/>
          <w:rFonts w:eastAsiaTheme="majorEastAsia"/>
        </w:rPr>
        <w:t xml:space="preserve">The standard setting workshop was conducted </w:t>
      </w:r>
      <w:r w:rsidR="00643888" w:rsidRPr="00CB71DD">
        <w:rPr>
          <w:rStyle w:val="normaltextrun"/>
          <w:rFonts w:eastAsiaTheme="majorEastAsia"/>
        </w:rPr>
        <w:t>August 3–</w:t>
      </w:r>
      <w:r w:rsidR="0028506C" w:rsidRPr="00CB71DD">
        <w:rPr>
          <w:rStyle w:val="normaltextrun"/>
          <w:rFonts w:eastAsiaTheme="majorEastAsia"/>
        </w:rPr>
        <w:t>5</w:t>
      </w:r>
      <w:r w:rsidRPr="00CB71DD">
        <w:rPr>
          <w:rStyle w:val="normaltextrun"/>
          <w:rFonts w:eastAsiaTheme="majorEastAsia"/>
        </w:rPr>
        <w:t xml:space="preserve">, 2021. </w:t>
      </w:r>
      <w:r w:rsidRPr="00CB71DD">
        <w:rPr>
          <w:rFonts w:eastAsia="Arial"/>
          <w:color w:val="000000" w:themeColor="text1"/>
        </w:rPr>
        <w:t xml:space="preserve">The </w:t>
      </w:r>
      <w:r w:rsidR="007C725C" w:rsidRPr="00CB71DD">
        <w:rPr>
          <w:rFonts w:eastAsia="Arial"/>
          <w:color w:val="000000" w:themeColor="text1"/>
        </w:rPr>
        <w:t xml:space="preserve">workshop </w:t>
      </w:r>
      <w:r w:rsidRPr="00CB71DD">
        <w:rPr>
          <w:rFonts w:eastAsia="Arial"/>
          <w:color w:val="000000" w:themeColor="text1"/>
        </w:rPr>
        <w:t>panelists</w:t>
      </w:r>
      <w:r w:rsidR="005441AD">
        <w:rPr>
          <w:rFonts w:eastAsia="Arial"/>
          <w:color w:val="000000" w:themeColor="text1"/>
        </w:rPr>
        <w:t xml:space="preserve"> were</w:t>
      </w:r>
      <w:r w:rsidRPr="4FDC4556">
        <w:rPr>
          <w:rFonts w:eastAsia="Arial"/>
          <w:color w:val="000000" w:themeColor="text1"/>
        </w:rPr>
        <w:t xml:space="preserve"> </w:t>
      </w:r>
      <w:r w:rsidR="005441AD" w:rsidRPr="4FDC4556">
        <w:rPr>
          <w:rFonts w:eastAsia="Arial"/>
          <w:color w:val="000000" w:themeColor="text1"/>
        </w:rPr>
        <w:t xml:space="preserve">a diverse group </w:t>
      </w:r>
      <w:r w:rsidRPr="4FDC4556">
        <w:rPr>
          <w:rFonts w:eastAsia="Arial"/>
          <w:color w:val="000000" w:themeColor="text1"/>
        </w:rPr>
        <w:t xml:space="preserve">of </w:t>
      </w:r>
      <w:r w:rsidR="00717E24">
        <w:rPr>
          <w:rFonts w:eastAsia="Arial"/>
          <w:color w:val="000000" w:themeColor="text1"/>
        </w:rPr>
        <w:t>28</w:t>
      </w:r>
      <w:r w:rsidRPr="4FDC4556">
        <w:rPr>
          <w:rFonts w:eastAsia="Arial"/>
          <w:color w:val="000000" w:themeColor="text1"/>
        </w:rPr>
        <w:t xml:space="preserve"> educators</w:t>
      </w:r>
      <w:r w:rsidR="005441AD" w:rsidRPr="4FDC4556">
        <w:rPr>
          <w:rFonts w:eastAsia="Arial"/>
          <w:color w:val="000000" w:themeColor="text1"/>
        </w:rPr>
        <w:t xml:space="preserve"> </w:t>
      </w:r>
      <w:r w:rsidRPr="4FDC4556">
        <w:rPr>
          <w:rFonts w:eastAsia="Arial"/>
          <w:color w:val="000000" w:themeColor="text1"/>
        </w:rPr>
        <w:t xml:space="preserve">with expertise in the California Next Generation Science Standards (CA NGSS), </w:t>
      </w:r>
      <w:r w:rsidR="00AF74A7">
        <w:rPr>
          <w:rFonts w:eastAsia="Arial"/>
          <w:color w:val="000000" w:themeColor="text1"/>
        </w:rPr>
        <w:t xml:space="preserve">the </w:t>
      </w:r>
      <w:r w:rsidRPr="4FDC4556">
        <w:rPr>
          <w:rFonts w:eastAsia="Arial"/>
          <w:color w:val="000000" w:themeColor="text1"/>
        </w:rPr>
        <w:t>Science Connectors (i.e., the alternate science standards), and working with students with the most significant cognitive disabilities</w:t>
      </w:r>
      <w:r w:rsidR="005441AD">
        <w:rPr>
          <w:rFonts w:eastAsia="Arial"/>
          <w:color w:val="000000" w:themeColor="text1"/>
        </w:rPr>
        <w:t xml:space="preserve"> </w:t>
      </w:r>
      <w:r w:rsidRPr="4FDC4556">
        <w:rPr>
          <w:rStyle w:val="normaltextrun"/>
          <w:rFonts w:eastAsiaTheme="majorEastAsia"/>
        </w:rPr>
        <w:t xml:space="preserve">(see Attachment </w:t>
      </w:r>
      <w:r w:rsidR="4794C34A" w:rsidRPr="006118DA">
        <w:rPr>
          <w:rStyle w:val="normaltextrun"/>
          <w:rFonts w:eastAsiaTheme="majorEastAsia"/>
        </w:rPr>
        <w:t>3</w:t>
      </w:r>
      <w:r w:rsidRPr="4FDC4556">
        <w:rPr>
          <w:rStyle w:val="normaltextrun"/>
          <w:rFonts w:eastAsiaTheme="majorEastAsia"/>
        </w:rPr>
        <w:t xml:space="preserve">). </w:t>
      </w:r>
      <w:r w:rsidRPr="4FDC4556">
        <w:rPr>
          <w:rStyle w:val="normaltextrun"/>
          <w:rFonts w:eastAsiaTheme="majorEastAsia"/>
          <w:color w:val="000000" w:themeColor="text1"/>
        </w:rPr>
        <w:t xml:space="preserve">During the workshop, the </w:t>
      </w:r>
      <w:r w:rsidR="00AF74A7">
        <w:rPr>
          <w:rStyle w:val="normaltextrun"/>
          <w:rFonts w:eastAsiaTheme="majorEastAsia"/>
          <w:color w:val="000000" w:themeColor="text1"/>
        </w:rPr>
        <w:t>panelist</w:t>
      </w:r>
      <w:r w:rsidR="00AF74A7" w:rsidRPr="4FDC4556">
        <w:rPr>
          <w:rStyle w:val="normaltextrun"/>
          <w:rFonts w:eastAsiaTheme="majorEastAsia"/>
          <w:color w:val="000000" w:themeColor="text1"/>
        </w:rPr>
        <w:t xml:space="preserve">s </w:t>
      </w:r>
      <w:r w:rsidRPr="4FDC4556">
        <w:rPr>
          <w:rStyle w:val="normaltextrun"/>
          <w:rFonts w:eastAsiaTheme="majorEastAsia"/>
          <w:color w:val="000000" w:themeColor="text1"/>
        </w:rPr>
        <w:t>provided standard setting judgments on all PT items administered in the 2020–</w:t>
      </w:r>
      <w:r w:rsidR="1C8944BE" w:rsidRPr="7E483798">
        <w:rPr>
          <w:rStyle w:val="normaltextrun"/>
          <w:rFonts w:eastAsiaTheme="majorEastAsia"/>
          <w:color w:val="000000" w:themeColor="text1"/>
        </w:rPr>
        <w:t>21</w:t>
      </w:r>
      <w:r w:rsidRPr="4FDC4556">
        <w:rPr>
          <w:rFonts w:eastAsia="Arial"/>
        </w:rPr>
        <w:t xml:space="preserve"> </w:t>
      </w:r>
      <w:r w:rsidRPr="4FDC4556">
        <w:rPr>
          <w:rStyle w:val="normaltextrun"/>
          <w:rFonts w:eastAsiaTheme="majorEastAsia"/>
          <w:color w:val="000000" w:themeColor="text1"/>
        </w:rPr>
        <w:t>operational field test. The final recommended threshold scores for Level 2 (Foundational Understanding) and Level 3 (Understanding) are based on the general achievement level descriptors approved by</w:t>
      </w:r>
      <w:r>
        <w:t xml:space="preserve"> </w:t>
      </w:r>
      <w:r w:rsidRPr="4FDC4556">
        <w:rPr>
          <w:rStyle w:val="normaltextrun"/>
          <w:rFonts w:eastAsiaTheme="majorEastAsia"/>
          <w:color w:val="000000" w:themeColor="text1"/>
        </w:rPr>
        <w:t xml:space="preserve">the SBE in January 2018. </w:t>
      </w:r>
    </w:p>
    <w:p w14:paraId="1FF46288" w14:textId="3B3D2881" w:rsidR="00813436" w:rsidRPr="005909AA" w:rsidRDefault="00813436" w:rsidP="00813436">
      <w:pPr>
        <w:pStyle w:val="Heading4"/>
        <w:spacing w:before="240" w:after="240"/>
        <w:rPr>
          <w:rFonts w:cs="Arial"/>
          <w:b/>
          <w:i w:val="0"/>
          <w:sz w:val="28"/>
          <w:szCs w:val="28"/>
        </w:rPr>
      </w:pPr>
      <w:r w:rsidRPr="005909AA">
        <w:rPr>
          <w:rFonts w:cs="Arial"/>
          <w:b/>
          <w:i w:val="0"/>
          <w:sz w:val="28"/>
          <w:szCs w:val="28"/>
        </w:rPr>
        <w:t>Next Steps</w:t>
      </w:r>
    </w:p>
    <w:p w14:paraId="6936F4A9" w14:textId="4620E20A" w:rsidR="00C86B52" w:rsidRPr="005909AA" w:rsidRDefault="00813436" w:rsidP="00BB5F51">
      <w:pPr>
        <w:spacing w:before="240" w:after="240"/>
        <w:textAlignment w:val="baseline"/>
        <w:rPr>
          <w:sz w:val="18"/>
          <w:szCs w:val="18"/>
        </w:rPr>
      </w:pPr>
      <w:r w:rsidRPr="005909AA">
        <w:t xml:space="preserve">Contingent on the SBE’s approval of the CAA for Science threshold scores, the CDE will notify </w:t>
      </w:r>
      <w:r w:rsidR="00804217">
        <w:t>local educational agency (</w:t>
      </w:r>
      <w:r w:rsidRPr="005909AA">
        <w:t>LEA</w:t>
      </w:r>
      <w:r w:rsidR="00804217">
        <w:t>)</w:t>
      </w:r>
      <w:r w:rsidRPr="005909AA">
        <w:t xml:space="preserve"> superintendents and charter school administrators of the approved threshold scores for the 2021</w:t>
      </w:r>
      <w:r w:rsidRPr="005909AA">
        <w:rPr>
          <w:color w:val="000000" w:themeColor="text1"/>
        </w:rPr>
        <w:t>–22</w:t>
      </w:r>
      <w:r w:rsidRPr="005909AA">
        <w:t xml:space="preserve"> school year. Prior to the release of the CAA for Science SSRs, ETS and the CDE will perform </w:t>
      </w:r>
      <w:r w:rsidRPr="005909AA">
        <w:rPr>
          <w:color w:val="000000" w:themeColor="text1"/>
        </w:rPr>
        <w:t>an internal quality control process to verify that the SSRs are error</w:t>
      </w:r>
      <w:r w:rsidR="003424F8">
        <w:rPr>
          <w:color w:val="000000" w:themeColor="text1"/>
        </w:rPr>
        <w:t>-</w:t>
      </w:r>
      <w:r w:rsidRPr="005909AA">
        <w:rPr>
          <w:color w:val="000000" w:themeColor="text1"/>
        </w:rPr>
        <w:t xml:space="preserve">free. The quality control process will include </w:t>
      </w:r>
      <w:r w:rsidR="003E227B">
        <w:rPr>
          <w:color w:val="000000" w:themeColor="text1"/>
        </w:rPr>
        <w:t xml:space="preserve">the </w:t>
      </w:r>
      <w:r w:rsidRPr="005909AA">
        <w:rPr>
          <w:color w:val="000000" w:themeColor="text1"/>
        </w:rPr>
        <w:t>evaluati</w:t>
      </w:r>
      <w:r w:rsidR="003E227B">
        <w:rPr>
          <w:color w:val="000000" w:themeColor="text1"/>
        </w:rPr>
        <w:t>on of</w:t>
      </w:r>
      <w:r w:rsidRPr="005909AA">
        <w:t xml:space="preserve"> student score data at both the individual and aggregate </w:t>
      </w:r>
      <w:r w:rsidRPr="005909AA">
        <w:lastRenderedPageBreak/>
        <w:t>levels and produc</w:t>
      </w:r>
      <w:r w:rsidR="003E227B">
        <w:t>tion of</w:t>
      </w:r>
      <w:r w:rsidRPr="005909AA">
        <w:t xml:space="preserve"> a small sample of SSRs to ensure that all information reported is accurate for each achievement level and student. The SSRs are anticipated to be generated and delivered to LEAs to share with parents and guardians in </w:t>
      </w:r>
      <w:r w:rsidRPr="00750CD5">
        <w:t>November 2022</w:t>
      </w:r>
      <w:r w:rsidRPr="005909AA">
        <w:t xml:space="preserve">. </w:t>
      </w:r>
    </w:p>
    <w:p w14:paraId="29425D37" w14:textId="362820D2" w:rsidR="00FB5D57" w:rsidRPr="005909AA" w:rsidRDefault="00FB5D57" w:rsidP="00FB5D57">
      <w:pPr>
        <w:pStyle w:val="Heading3"/>
        <w:rPr>
          <w:rFonts w:cs="Arial"/>
          <w:sz w:val="32"/>
          <w:szCs w:val="32"/>
        </w:rPr>
      </w:pPr>
      <w:r w:rsidRPr="005909AA">
        <w:rPr>
          <w:rFonts w:cs="Arial"/>
          <w:sz w:val="32"/>
          <w:szCs w:val="32"/>
        </w:rPr>
        <w:t xml:space="preserve">Proposal for the Continued Use of the Smarter Balanced Summative Assessments for English Language Arts/Literacy and Mathematics Adjusted </w:t>
      </w:r>
      <w:r w:rsidR="0065006C">
        <w:rPr>
          <w:rFonts w:cs="Arial"/>
          <w:sz w:val="32"/>
          <w:szCs w:val="32"/>
        </w:rPr>
        <w:t xml:space="preserve">Form </w:t>
      </w:r>
      <w:r w:rsidRPr="005909AA">
        <w:rPr>
          <w:rFonts w:cs="Arial"/>
          <w:sz w:val="32"/>
          <w:szCs w:val="32"/>
        </w:rPr>
        <w:t>Blueprints</w:t>
      </w:r>
    </w:p>
    <w:p w14:paraId="1B40760F" w14:textId="416A7204" w:rsidR="002C10D5" w:rsidRPr="00711AE2" w:rsidRDefault="002C10D5" w:rsidP="00711AE2">
      <w:pPr>
        <w:pStyle w:val="CommentText"/>
        <w:spacing w:before="240" w:after="240"/>
        <w:rPr>
          <w:sz w:val="24"/>
          <w:szCs w:val="24"/>
        </w:rPr>
      </w:pPr>
      <w:r w:rsidRPr="00EA042C">
        <w:rPr>
          <w:sz w:val="24"/>
          <w:szCs w:val="24"/>
        </w:rPr>
        <w:t>Th</w:t>
      </w:r>
      <w:r>
        <w:rPr>
          <w:sz w:val="24"/>
          <w:szCs w:val="24"/>
        </w:rPr>
        <w:t>is</w:t>
      </w:r>
      <w:r w:rsidRPr="00EA042C">
        <w:rPr>
          <w:sz w:val="24"/>
          <w:szCs w:val="24"/>
        </w:rPr>
        <w:t xml:space="preserve"> </w:t>
      </w:r>
      <w:r>
        <w:rPr>
          <w:sz w:val="24"/>
          <w:szCs w:val="24"/>
        </w:rPr>
        <w:t xml:space="preserve">section provides the background and </w:t>
      </w:r>
      <w:r w:rsidR="001238BC">
        <w:rPr>
          <w:sz w:val="24"/>
          <w:szCs w:val="24"/>
        </w:rPr>
        <w:t xml:space="preserve">outlines the details of the adjusted </w:t>
      </w:r>
      <w:r w:rsidR="0065006C">
        <w:rPr>
          <w:sz w:val="24"/>
          <w:szCs w:val="24"/>
        </w:rPr>
        <w:t xml:space="preserve">form </w:t>
      </w:r>
      <w:r w:rsidR="001238BC">
        <w:rPr>
          <w:sz w:val="24"/>
          <w:szCs w:val="24"/>
        </w:rPr>
        <w:t xml:space="preserve">blueprints for the Smarter Balanced </w:t>
      </w:r>
      <w:r w:rsidR="00201147">
        <w:rPr>
          <w:sz w:val="24"/>
          <w:szCs w:val="24"/>
        </w:rPr>
        <w:t>S</w:t>
      </w:r>
      <w:r w:rsidR="001238BC">
        <w:rPr>
          <w:sz w:val="24"/>
          <w:szCs w:val="24"/>
        </w:rPr>
        <w:t xml:space="preserve">ummative </w:t>
      </w:r>
      <w:r w:rsidR="00201147">
        <w:rPr>
          <w:sz w:val="24"/>
          <w:szCs w:val="24"/>
        </w:rPr>
        <w:t>A</w:t>
      </w:r>
      <w:r w:rsidR="001238BC">
        <w:rPr>
          <w:sz w:val="24"/>
          <w:szCs w:val="24"/>
        </w:rPr>
        <w:t xml:space="preserve">ssessments </w:t>
      </w:r>
      <w:r w:rsidR="00201147">
        <w:rPr>
          <w:sz w:val="24"/>
          <w:szCs w:val="24"/>
        </w:rPr>
        <w:t>for</w:t>
      </w:r>
      <w:r w:rsidR="001238BC">
        <w:rPr>
          <w:sz w:val="24"/>
          <w:szCs w:val="24"/>
        </w:rPr>
        <w:t xml:space="preserve"> ELA and </w:t>
      </w:r>
      <w:r w:rsidR="00201147">
        <w:rPr>
          <w:sz w:val="24"/>
          <w:szCs w:val="24"/>
        </w:rPr>
        <w:t>M</w:t>
      </w:r>
      <w:r w:rsidR="001238BC">
        <w:rPr>
          <w:sz w:val="24"/>
          <w:szCs w:val="24"/>
        </w:rPr>
        <w:t>athematics.</w:t>
      </w:r>
    </w:p>
    <w:p w14:paraId="71FEBE0D" w14:textId="77777777" w:rsidR="00FB5D57" w:rsidRPr="005909AA" w:rsidRDefault="00FB5D57" w:rsidP="00FB5D57">
      <w:pPr>
        <w:pStyle w:val="Heading4"/>
        <w:rPr>
          <w:rFonts w:cs="Arial"/>
          <w:b/>
          <w:i w:val="0"/>
          <w:sz w:val="28"/>
          <w:szCs w:val="28"/>
        </w:rPr>
      </w:pPr>
      <w:r w:rsidRPr="005909AA">
        <w:rPr>
          <w:rFonts w:cs="Arial"/>
          <w:b/>
          <w:i w:val="0"/>
          <w:sz w:val="28"/>
          <w:szCs w:val="28"/>
        </w:rPr>
        <w:t>Background</w:t>
      </w:r>
    </w:p>
    <w:p w14:paraId="54CDE5F8" w14:textId="4EC4DC0C" w:rsidR="00FB5D57" w:rsidRPr="005909AA" w:rsidRDefault="00FB5D57" w:rsidP="00FB5D57">
      <w:pPr>
        <w:spacing w:before="240" w:after="240"/>
        <w:rPr>
          <w:rFonts w:eastAsia="Arial"/>
        </w:rPr>
      </w:pPr>
      <w:r w:rsidRPr="005909AA">
        <w:t xml:space="preserve">Under state law and the federal Every Student Succeeds Act (ESSA), California must administer annual statewide tests in reading/language arts and mathematics to all students in grades three through eight and once in high school, as well as in science at least once in each of grades three through five, six through nine, and ten through twelve. Pursuant to </w:t>
      </w:r>
      <w:r w:rsidRPr="005909AA">
        <w:rPr>
          <w:i/>
        </w:rPr>
        <w:t>Education Code</w:t>
      </w:r>
      <w:r w:rsidRPr="005909AA">
        <w:t xml:space="preserve"> Section 60640(a)(1)(A), the annual assessments </w:t>
      </w:r>
      <w:r w:rsidR="001C285C">
        <w:t>for</w:t>
      </w:r>
      <w:r w:rsidRPr="00B6126F">
        <w:t xml:space="preserve"> </w:t>
      </w:r>
      <w:r w:rsidR="001C285C">
        <w:t>ELA</w:t>
      </w:r>
      <w:r w:rsidRPr="005909AA">
        <w:t xml:space="preserve"> and mathematics are to be consortium assessments; in this case, </w:t>
      </w:r>
      <w:r w:rsidR="00AC7D2A" w:rsidRPr="005909AA">
        <w:t xml:space="preserve">they are </w:t>
      </w:r>
      <w:r w:rsidRPr="005909AA">
        <w:t xml:space="preserve">the assessments approved through California’s membership </w:t>
      </w:r>
      <w:r w:rsidR="000740BB">
        <w:t>in</w:t>
      </w:r>
      <w:r w:rsidR="000740BB" w:rsidRPr="005909AA">
        <w:t xml:space="preserve"> </w:t>
      </w:r>
      <w:r w:rsidRPr="00B6126F">
        <w:t>the</w:t>
      </w:r>
      <w:r w:rsidRPr="005909AA" w:rsidDel="000740BB">
        <w:t xml:space="preserve"> Consortium</w:t>
      </w:r>
      <w:r w:rsidRPr="00B6126F">
        <w:t>.</w:t>
      </w:r>
      <w:r w:rsidRPr="005909AA">
        <w:t xml:space="preserve"> </w:t>
      </w:r>
      <w:r w:rsidRPr="005909AA">
        <w:rPr>
          <w:rFonts w:eastAsia="Arial"/>
        </w:rPr>
        <w:t xml:space="preserve">ESSA requires states to administer annual summative assessments as a condition of an approved federal ESSA plan and the receipt of federal ESSA funds. </w:t>
      </w:r>
    </w:p>
    <w:p w14:paraId="79FC2EA3" w14:textId="739B263B" w:rsidR="00FB5D57" w:rsidRPr="005909AA" w:rsidRDefault="00FB5D57" w:rsidP="00FB5D57">
      <w:pPr>
        <w:spacing w:before="240" w:after="240"/>
        <w:rPr>
          <w:rFonts w:eastAsia="Arial"/>
        </w:rPr>
      </w:pPr>
      <w:r w:rsidRPr="005909AA">
        <w:t xml:space="preserve">In response to the COVID-19 pandemic, the U.S. Department of Education (ED) provided flexibilities during the 2020–21 </w:t>
      </w:r>
      <w:r w:rsidR="006D34B6" w:rsidRPr="005909AA">
        <w:t xml:space="preserve">school year </w:t>
      </w:r>
      <w:r w:rsidRPr="005909AA">
        <w:t>to support the administration of assessments in order to provide information to parents, educators, and the public about student performance and to help target resources and supports. The ED emphasized the flexibilities of administering a shortened version of statewide assessments</w:t>
      </w:r>
      <w:r w:rsidR="00B624EA">
        <w:t>;</w:t>
      </w:r>
      <w:r w:rsidRPr="005909AA">
        <w:t xml:space="preserve"> offering remote administration, where feasible</w:t>
      </w:r>
      <w:r w:rsidR="00B624EA">
        <w:t>;</w:t>
      </w:r>
      <w:r w:rsidRPr="005909AA">
        <w:t xml:space="preserve"> and extending the testing window to the greatest extent practicable. </w:t>
      </w:r>
      <w:r w:rsidR="6D3C8F2F" w:rsidRPr="005909AA">
        <w:t xml:space="preserve">In November 2020, the SBE approved the use of the adjusted </w:t>
      </w:r>
      <w:r w:rsidR="0065006C">
        <w:t xml:space="preserve">form </w:t>
      </w:r>
      <w:r w:rsidR="6D3C8F2F" w:rsidRPr="005909AA">
        <w:t xml:space="preserve">blueprint for the Smarter Balanced Summative Assessments for ELA and </w:t>
      </w:r>
      <w:r w:rsidR="00B624EA">
        <w:t>M</w:t>
      </w:r>
      <w:r w:rsidR="6D3C8F2F">
        <w:t>athematics</w:t>
      </w:r>
      <w:r w:rsidR="6D3C8F2F" w:rsidRPr="005909AA">
        <w:t xml:space="preserve"> for the 2020–21 administration. </w:t>
      </w:r>
    </w:p>
    <w:p w14:paraId="5A96115C" w14:textId="2F24A13A" w:rsidR="00FB5D57" w:rsidRPr="005909AA" w:rsidRDefault="00FB5D57" w:rsidP="00153BC9">
      <w:pPr>
        <w:spacing w:before="240" w:after="240"/>
        <w:rPr>
          <w:rFonts w:eastAsia="Arial"/>
        </w:rPr>
      </w:pPr>
      <w:r w:rsidRPr="005909AA">
        <w:t xml:space="preserve">In September 2021, the SBE approved the continued use of the adjusted </w:t>
      </w:r>
      <w:r w:rsidR="0065006C">
        <w:t xml:space="preserve">form </w:t>
      </w:r>
      <w:r w:rsidRPr="005909AA">
        <w:t xml:space="preserve">blueprints for the 2021–2022 administration. The adjusted </w:t>
      </w:r>
      <w:r w:rsidR="0065006C">
        <w:t xml:space="preserve">form </w:t>
      </w:r>
      <w:r w:rsidRPr="005909AA">
        <w:t xml:space="preserve">blueprints reduced </w:t>
      </w:r>
      <w:r w:rsidR="00BB6E77">
        <w:t xml:space="preserve">the </w:t>
      </w:r>
      <w:r w:rsidRPr="005909AA">
        <w:t xml:space="preserve">overall testing time for students and </w:t>
      </w:r>
      <w:r w:rsidRPr="00CB71DD">
        <w:t xml:space="preserve">schools while providing a valid measure of student achievement in ELA and mathematics. </w:t>
      </w:r>
      <w:r w:rsidR="0016261E" w:rsidRPr="00CB71DD">
        <w:t>Fourteen</w:t>
      </w:r>
      <w:r w:rsidR="00153BC9" w:rsidRPr="00CB71DD" w:rsidDel="00BB6E77">
        <w:t xml:space="preserve"> </w:t>
      </w:r>
      <w:r w:rsidR="00153BC9" w:rsidRPr="00CB71DD">
        <w:t>states</w:t>
      </w:r>
      <w:r w:rsidR="00153BC9" w:rsidRPr="005909AA">
        <w:t xml:space="preserve"> </w:t>
      </w:r>
      <w:r w:rsidR="00BB6E77">
        <w:t xml:space="preserve">hold membership </w:t>
      </w:r>
      <w:r w:rsidR="00153BC9" w:rsidRPr="005909AA">
        <w:t>in the Consortium</w:t>
      </w:r>
      <w:r w:rsidR="00BB6E77">
        <w:t xml:space="preserve">; of those states, </w:t>
      </w:r>
      <w:r w:rsidR="00153BC9" w:rsidRPr="005909AA">
        <w:t xml:space="preserve">California is one of seven </w:t>
      </w:r>
      <w:r w:rsidR="00153BC9" w:rsidRPr="005909AA">
        <w:rPr>
          <w:rFonts w:eastAsia="Arial"/>
        </w:rPr>
        <w:t xml:space="preserve">that has opted </w:t>
      </w:r>
      <w:r w:rsidR="3AE4FAB3" w:rsidRPr="005909AA">
        <w:rPr>
          <w:rFonts w:eastAsia="Arial"/>
        </w:rPr>
        <w:t>for continued</w:t>
      </w:r>
      <w:r w:rsidR="00153BC9" w:rsidRPr="005909AA">
        <w:rPr>
          <w:rFonts w:eastAsia="Arial"/>
        </w:rPr>
        <w:t xml:space="preserve"> use </w:t>
      </w:r>
      <w:r w:rsidR="3AE4FAB3" w:rsidRPr="005909AA">
        <w:rPr>
          <w:rFonts w:eastAsia="Arial"/>
        </w:rPr>
        <w:t xml:space="preserve">of the </w:t>
      </w:r>
      <w:r w:rsidR="00153BC9" w:rsidRPr="005909AA">
        <w:rPr>
          <w:rFonts w:eastAsia="Arial"/>
        </w:rPr>
        <w:t xml:space="preserve">adjusted </w:t>
      </w:r>
      <w:r w:rsidR="0065006C">
        <w:rPr>
          <w:rFonts w:eastAsia="Arial"/>
        </w:rPr>
        <w:t xml:space="preserve">form </w:t>
      </w:r>
      <w:r w:rsidR="00153BC9" w:rsidRPr="005909AA">
        <w:rPr>
          <w:rFonts w:eastAsia="Arial"/>
        </w:rPr>
        <w:t>blueprints.</w:t>
      </w:r>
    </w:p>
    <w:p w14:paraId="4A24D0DC" w14:textId="0389B66B" w:rsidR="00FB5D57" w:rsidRPr="005909AA" w:rsidRDefault="00FB5D57" w:rsidP="00FB5D57">
      <w:pPr>
        <w:spacing w:after="240"/>
      </w:pPr>
      <w:r w:rsidRPr="005909AA">
        <w:t xml:space="preserve">The CDE recommends </w:t>
      </w:r>
      <w:r w:rsidR="00BB6E77">
        <w:t xml:space="preserve">that </w:t>
      </w:r>
      <w:r w:rsidR="00F51FA1" w:rsidRPr="005909AA">
        <w:t>the SBE approve</w:t>
      </w:r>
      <w:r w:rsidR="00BB6E77">
        <w:t xml:space="preserve"> the</w:t>
      </w:r>
      <w:r w:rsidR="00F51FA1" w:rsidRPr="005909AA">
        <w:t xml:space="preserve"> </w:t>
      </w:r>
      <w:r w:rsidRPr="005909AA">
        <w:t xml:space="preserve">use of </w:t>
      </w:r>
      <w:r w:rsidR="00F51FA1" w:rsidRPr="005909AA">
        <w:t xml:space="preserve">the </w:t>
      </w:r>
      <w:r w:rsidRPr="005909AA">
        <w:t xml:space="preserve">adjusted </w:t>
      </w:r>
      <w:r w:rsidR="0065006C">
        <w:t xml:space="preserve">form </w:t>
      </w:r>
      <w:r w:rsidRPr="005909AA">
        <w:t xml:space="preserve">blueprints for the Smarter Balanced Summative Assessments </w:t>
      </w:r>
      <w:r w:rsidR="00BB6E77">
        <w:t>for</w:t>
      </w:r>
      <w:r w:rsidRPr="005909AA">
        <w:t xml:space="preserve"> ELA and </w:t>
      </w:r>
      <w:r w:rsidR="00BB6E77">
        <w:t>M</w:t>
      </w:r>
      <w:r w:rsidRPr="00B6126F">
        <w:t>athematics</w:t>
      </w:r>
      <w:r w:rsidRPr="005909AA">
        <w:t xml:space="preserve"> </w:t>
      </w:r>
      <w:r w:rsidR="006F566E" w:rsidRPr="005909AA">
        <w:t>for 2022–</w:t>
      </w:r>
      <w:r w:rsidR="006F566E">
        <w:t>23</w:t>
      </w:r>
      <w:r w:rsidR="006F566E" w:rsidRPr="005909AA">
        <w:t xml:space="preserve"> and subsequent administrations </w:t>
      </w:r>
      <w:r w:rsidR="0001657B" w:rsidRPr="005909AA">
        <w:t xml:space="preserve">until the Consortium </w:t>
      </w:r>
      <w:r w:rsidR="006F566E" w:rsidRPr="005909AA">
        <w:t>approves</w:t>
      </w:r>
      <w:r w:rsidR="0001657B" w:rsidRPr="005909AA">
        <w:t xml:space="preserve"> any further changes to the adjusted </w:t>
      </w:r>
      <w:r w:rsidR="0065006C">
        <w:t xml:space="preserve">form </w:t>
      </w:r>
      <w:r w:rsidR="0001657B" w:rsidRPr="005909AA">
        <w:t xml:space="preserve">blueprints. </w:t>
      </w:r>
    </w:p>
    <w:p w14:paraId="016D6AFB" w14:textId="4DC395F7" w:rsidR="00FB5D57" w:rsidRPr="005909AA" w:rsidRDefault="00FB5D57" w:rsidP="00FB5D57">
      <w:pPr>
        <w:pStyle w:val="Heading4"/>
        <w:rPr>
          <w:rFonts w:cs="Arial"/>
          <w:b/>
          <w:i w:val="0"/>
          <w:sz w:val="28"/>
          <w:szCs w:val="28"/>
        </w:rPr>
      </w:pPr>
      <w:r w:rsidRPr="005909AA">
        <w:rPr>
          <w:rFonts w:cs="Arial"/>
          <w:b/>
          <w:i w:val="0"/>
          <w:sz w:val="28"/>
          <w:szCs w:val="28"/>
        </w:rPr>
        <w:lastRenderedPageBreak/>
        <w:t xml:space="preserve">Rationale for Smarter Balanced </w:t>
      </w:r>
      <w:r w:rsidR="00951B14" w:rsidRPr="005909AA">
        <w:rPr>
          <w:rFonts w:cs="Arial"/>
          <w:b/>
          <w:i w:val="0"/>
          <w:sz w:val="28"/>
          <w:szCs w:val="28"/>
        </w:rPr>
        <w:t xml:space="preserve">Adjusted </w:t>
      </w:r>
      <w:r w:rsidR="0065006C">
        <w:rPr>
          <w:rFonts w:cs="Arial"/>
          <w:b/>
          <w:i w:val="0"/>
          <w:sz w:val="28"/>
          <w:szCs w:val="28"/>
        </w:rPr>
        <w:t xml:space="preserve">Form </w:t>
      </w:r>
      <w:r w:rsidRPr="005909AA">
        <w:rPr>
          <w:rFonts w:cs="Arial"/>
          <w:b/>
          <w:i w:val="0"/>
          <w:sz w:val="28"/>
          <w:szCs w:val="28"/>
        </w:rPr>
        <w:t>Blueprints</w:t>
      </w:r>
    </w:p>
    <w:p w14:paraId="7611A925" w14:textId="6965E520" w:rsidR="00770FB1" w:rsidRPr="005909AA" w:rsidRDefault="00890C97" w:rsidP="00FB5D57">
      <w:pPr>
        <w:keepNext/>
        <w:spacing w:after="240" w:line="252" w:lineRule="auto"/>
      </w:pPr>
      <w:r>
        <w:t xml:space="preserve">In an effort </w:t>
      </w:r>
      <w:r w:rsidR="00FB5D57" w:rsidRPr="005909AA">
        <w:t xml:space="preserve">to reduce testing burdens on LEAs, the Consortium has approved </w:t>
      </w:r>
      <w:r w:rsidR="00A54DB0">
        <w:t xml:space="preserve">the </w:t>
      </w:r>
      <w:r w:rsidR="00FB5D57" w:rsidRPr="005909AA">
        <w:t xml:space="preserve">continued use of the adjusted </w:t>
      </w:r>
      <w:r w:rsidR="0065006C">
        <w:t xml:space="preserve">form </w:t>
      </w:r>
      <w:r w:rsidR="00FB5D57" w:rsidRPr="005909AA">
        <w:t xml:space="preserve">blueprints for the ELA and mathematics summative assessments. </w:t>
      </w:r>
    </w:p>
    <w:p w14:paraId="5DADD79A" w14:textId="0270DABD" w:rsidR="00FB5D57" w:rsidRPr="005909AA" w:rsidRDefault="00FB5D57" w:rsidP="00FB5D57">
      <w:pPr>
        <w:keepNext/>
        <w:spacing w:after="240" w:line="252" w:lineRule="auto"/>
        <w:rPr>
          <w:b/>
        </w:rPr>
      </w:pPr>
      <w:r w:rsidRPr="005909AA">
        <w:t xml:space="preserve">The computer adaptive test (CAT) portions of the blueprint </w:t>
      </w:r>
      <w:r w:rsidR="4AA0C06B" w:rsidRPr="005909AA">
        <w:t>are</w:t>
      </w:r>
      <w:r w:rsidRPr="005909AA">
        <w:t xml:space="preserve"> reduced by approximately 50 percent in each claim compared to the </w:t>
      </w:r>
      <w:r w:rsidR="00770FB1" w:rsidRPr="005909AA">
        <w:t>full</w:t>
      </w:r>
      <w:r w:rsidR="001A5DE6">
        <w:t xml:space="preserve"> </w:t>
      </w:r>
      <w:r w:rsidR="00770FB1" w:rsidRPr="005909AA">
        <w:t xml:space="preserve">form </w:t>
      </w:r>
      <w:r w:rsidRPr="005909AA">
        <w:t>blueprints used prior to 2020–</w:t>
      </w:r>
      <w:r w:rsidRPr="00B6126F">
        <w:t>21.</w:t>
      </w:r>
      <w:r w:rsidRPr="005909AA">
        <w:t xml:space="preserve"> The PTs are designed to be integrated tasks</w:t>
      </w:r>
      <w:r w:rsidR="00415812">
        <w:t>;</w:t>
      </w:r>
      <w:r w:rsidRPr="005909AA">
        <w:t xml:space="preserve"> </w:t>
      </w:r>
      <w:r w:rsidR="00415812">
        <w:t>t</w:t>
      </w:r>
      <w:r w:rsidRPr="00B6126F">
        <w:t>herefore</w:t>
      </w:r>
      <w:r w:rsidRPr="005909AA">
        <w:t xml:space="preserve">, the blueprints associated with the PTs </w:t>
      </w:r>
      <w:r w:rsidR="4AA0C06B" w:rsidRPr="005909AA">
        <w:t>are</w:t>
      </w:r>
      <w:r w:rsidRPr="005909AA">
        <w:t xml:space="preserve"> not adjusted. The details of these blueprints are outlined in table 1 and table 2. Table 1 summarizes the number of items by claim for the Smarter Balanced Summative Assessment for ELA </w:t>
      </w:r>
      <w:r w:rsidR="00134F62" w:rsidRPr="005909AA">
        <w:t xml:space="preserve">adjusted </w:t>
      </w:r>
      <w:r w:rsidR="0065006C">
        <w:t xml:space="preserve">form </w:t>
      </w:r>
      <w:r w:rsidRPr="005909AA">
        <w:t xml:space="preserve">blueprint. Table 2 summarizes the number of items by claim for the Smarter Balanced Summative Assessment for </w:t>
      </w:r>
      <w:r w:rsidR="00415812">
        <w:t>M</w:t>
      </w:r>
      <w:r w:rsidRPr="00B6126F">
        <w:t>athematics</w:t>
      </w:r>
      <w:r w:rsidRPr="005909AA">
        <w:t xml:space="preserve"> </w:t>
      </w:r>
      <w:r w:rsidR="003C0FE0">
        <w:t xml:space="preserve">adjusted </w:t>
      </w:r>
      <w:r w:rsidR="0065006C">
        <w:t xml:space="preserve">form </w:t>
      </w:r>
      <w:r w:rsidRPr="005909AA">
        <w:t>blueprint.</w:t>
      </w:r>
    </w:p>
    <w:p w14:paraId="71352688" w14:textId="00FA587F" w:rsidR="00FB5D57" w:rsidRPr="005909AA" w:rsidRDefault="00FB5D57" w:rsidP="00FB5D57">
      <w:pPr>
        <w:spacing w:after="240" w:line="252" w:lineRule="auto"/>
      </w:pPr>
      <w:r w:rsidRPr="005909AA">
        <w:t xml:space="preserve">The </w:t>
      </w:r>
      <w:r w:rsidR="008C511F">
        <w:t>2022–23</w:t>
      </w:r>
      <w:r>
        <w:t xml:space="preserve"> </w:t>
      </w:r>
      <w:r w:rsidRPr="005909AA">
        <w:t>blueprints are identical to the blueprints used in the 2020–</w:t>
      </w:r>
      <w:r w:rsidRPr="00B6126F">
        <w:t>21</w:t>
      </w:r>
      <w:r w:rsidRPr="005909AA">
        <w:t xml:space="preserve"> and 2021–</w:t>
      </w:r>
      <w:r>
        <w:t>22</w:t>
      </w:r>
      <w:r w:rsidRPr="005909AA">
        <w:t xml:space="preserve"> administrations. The detailed blueprints of the adjusted forms</w:t>
      </w:r>
      <w:r w:rsidRPr="005909AA" w:rsidDel="00970A79">
        <w:t xml:space="preserve"> </w:t>
      </w:r>
      <w:r w:rsidR="00970A79">
        <w:t>as well as</w:t>
      </w:r>
      <w:r w:rsidR="00970A79" w:rsidRPr="005909AA">
        <w:t xml:space="preserve"> </w:t>
      </w:r>
      <w:r w:rsidRPr="005909AA">
        <w:t xml:space="preserve">the full forms used in prior years can be found on the Smarter Content Explorer website at </w:t>
      </w:r>
      <w:hyperlink r:id="rId15" w:tooltip="Smarter Balanced Test Development ">
        <w:r w:rsidRPr="005909AA">
          <w:rPr>
            <w:rStyle w:val="Hyperlink"/>
          </w:rPr>
          <w:t>https://contentexplorer.smarterbalanced.org/test-development</w:t>
        </w:r>
      </w:hyperlink>
      <w:r w:rsidRPr="005909AA">
        <w:t xml:space="preserve">. </w:t>
      </w:r>
    </w:p>
    <w:p w14:paraId="1F1410D1" w14:textId="3E8435BD" w:rsidR="00FB5D57" w:rsidRPr="005909AA" w:rsidRDefault="00FB5D57" w:rsidP="0099195A">
      <w:pPr>
        <w:keepNext/>
        <w:spacing w:before="240" w:after="60" w:line="252" w:lineRule="auto"/>
        <w:rPr>
          <w:b/>
        </w:rPr>
      </w:pPr>
      <w:r w:rsidRPr="005909AA">
        <w:rPr>
          <w:b/>
        </w:rPr>
        <w:t>Table 1. Smarter Balanced Summative Assessment for ELA</w:t>
      </w:r>
      <w:r w:rsidR="008A0FE8">
        <w:rPr>
          <w:b/>
        </w:rPr>
        <w:t>,</w:t>
      </w:r>
      <w:r w:rsidRPr="005909AA">
        <w:rPr>
          <w:b/>
        </w:rPr>
        <w:t xml:space="preserve"> </w:t>
      </w:r>
      <w:r w:rsidR="008A0FE8">
        <w:rPr>
          <w:b/>
        </w:rPr>
        <w:t xml:space="preserve">Adjusted </w:t>
      </w:r>
      <w:r w:rsidR="0065006C">
        <w:rPr>
          <w:b/>
        </w:rPr>
        <w:t xml:space="preserve">Form </w:t>
      </w:r>
      <w:r w:rsidRPr="005909AA">
        <w:rPr>
          <w:b/>
        </w:rPr>
        <w:t xml:space="preserve">Blueprint: Number of Items by Claim </w:t>
      </w:r>
    </w:p>
    <w:tbl>
      <w:tblPr>
        <w:tblStyle w:val="TableGrid"/>
        <w:tblW w:w="9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Caption w:val="Table 1. Smarter Balanced Summative Assessment for ELA Blueprint Adjusted Form: Number of Items by Claim "/>
        <w:tblDescription w:val="Table 1 summarizes the number of items by claim for the Smarter Balanced Summative Assessment for ELA blueprint adjusted form. "/>
      </w:tblPr>
      <w:tblGrid>
        <w:gridCol w:w="2598"/>
        <w:gridCol w:w="1260"/>
        <w:gridCol w:w="1170"/>
        <w:gridCol w:w="1065"/>
        <w:gridCol w:w="1155"/>
        <w:gridCol w:w="1020"/>
        <w:gridCol w:w="1005"/>
      </w:tblGrid>
      <w:tr w:rsidR="00FB5D57" w:rsidRPr="005909AA" w14:paraId="51BD21A6" w14:textId="77777777" w:rsidTr="007A01B5">
        <w:trPr>
          <w:cantSplit/>
          <w:trHeight w:val="870"/>
          <w:tblHeader/>
        </w:trPr>
        <w:tc>
          <w:tcPr>
            <w:tcW w:w="2598" w:type="dxa"/>
            <w:shd w:val="clear" w:color="auto" w:fill="D9D9D9" w:themeFill="background1" w:themeFillShade="D9"/>
            <w:vAlign w:val="center"/>
          </w:tcPr>
          <w:p w14:paraId="5FD5DA7F" w14:textId="77777777" w:rsidR="00FB5D57" w:rsidRPr="005909AA" w:rsidRDefault="00FB5D57" w:rsidP="00842A86">
            <w:pPr>
              <w:spacing w:before="120" w:after="120"/>
              <w:jc w:val="center"/>
              <w:rPr>
                <w:b/>
              </w:rPr>
            </w:pPr>
            <w:r w:rsidRPr="005909AA">
              <w:rPr>
                <w:b/>
              </w:rPr>
              <w:t>Claim</w:t>
            </w:r>
          </w:p>
        </w:tc>
        <w:tc>
          <w:tcPr>
            <w:tcW w:w="1260" w:type="dxa"/>
            <w:shd w:val="clear" w:color="auto" w:fill="D9D9D9" w:themeFill="background1" w:themeFillShade="D9"/>
            <w:vAlign w:val="center"/>
          </w:tcPr>
          <w:p w14:paraId="78D3464F" w14:textId="1AA4DCEC" w:rsidR="00FB5D57" w:rsidRPr="005909AA" w:rsidRDefault="00FB5D57" w:rsidP="009220C7">
            <w:pPr>
              <w:spacing w:before="120" w:after="120"/>
              <w:jc w:val="center"/>
              <w:rPr>
                <w:b/>
              </w:rPr>
            </w:pPr>
            <w:r w:rsidRPr="005909AA">
              <w:rPr>
                <w:b/>
              </w:rPr>
              <w:t>Grades 3–5</w:t>
            </w:r>
            <w:r w:rsidR="009220C7">
              <w:rPr>
                <w:b/>
              </w:rPr>
              <w:t xml:space="preserve"> </w:t>
            </w:r>
            <w:r w:rsidR="009220C7">
              <w:rPr>
                <w:b/>
              </w:rPr>
              <w:br/>
            </w:r>
            <w:r w:rsidRPr="005909AA">
              <w:rPr>
                <w:b/>
              </w:rPr>
              <w:t>CAT</w:t>
            </w:r>
          </w:p>
        </w:tc>
        <w:tc>
          <w:tcPr>
            <w:tcW w:w="1170" w:type="dxa"/>
            <w:shd w:val="clear" w:color="auto" w:fill="D9D9D9" w:themeFill="background1" w:themeFillShade="D9"/>
            <w:vAlign w:val="center"/>
          </w:tcPr>
          <w:p w14:paraId="31DD2DE1" w14:textId="13244A40" w:rsidR="00FB5D57" w:rsidRPr="005909AA" w:rsidRDefault="00FB5D57" w:rsidP="009220C7">
            <w:pPr>
              <w:spacing w:before="120" w:after="120"/>
              <w:jc w:val="center"/>
              <w:rPr>
                <w:b/>
              </w:rPr>
            </w:pPr>
            <w:r w:rsidRPr="005909AA">
              <w:rPr>
                <w:b/>
              </w:rPr>
              <w:t>Grades 3–5</w:t>
            </w:r>
            <w:r w:rsidR="009220C7">
              <w:rPr>
                <w:b/>
              </w:rPr>
              <w:br/>
            </w:r>
            <w:r w:rsidRPr="005909AA">
              <w:rPr>
                <w:b/>
              </w:rPr>
              <w:t>PT</w:t>
            </w:r>
          </w:p>
        </w:tc>
        <w:tc>
          <w:tcPr>
            <w:tcW w:w="1065" w:type="dxa"/>
            <w:shd w:val="clear" w:color="auto" w:fill="D9D9D9" w:themeFill="background1" w:themeFillShade="D9"/>
            <w:vAlign w:val="center"/>
          </w:tcPr>
          <w:p w14:paraId="691E99CE" w14:textId="1BB24F68" w:rsidR="00FB5D57" w:rsidRPr="005909AA" w:rsidRDefault="00FB5D57" w:rsidP="009220C7">
            <w:pPr>
              <w:spacing w:before="120" w:after="120"/>
              <w:jc w:val="center"/>
              <w:rPr>
                <w:b/>
              </w:rPr>
            </w:pPr>
            <w:r w:rsidRPr="005909AA">
              <w:rPr>
                <w:b/>
              </w:rPr>
              <w:t>Grades 6–8 CAT</w:t>
            </w:r>
          </w:p>
        </w:tc>
        <w:tc>
          <w:tcPr>
            <w:tcW w:w="1155" w:type="dxa"/>
            <w:shd w:val="clear" w:color="auto" w:fill="D9D9D9" w:themeFill="background1" w:themeFillShade="D9"/>
            <w:vAlign w:val="center"/>
          </w:tcPr>
          <w:p w14:paraId="4210EC74" w14:textId="2AA32324" w:rsidR="00FB5D57" w:rsidRPr="005909AA" w:rsidRDefault="00FB5D57" w:rsidP="009220C7">
            <w:pPr>
              <w:spacing w:before="120" w:after="120"/>
              <w:jc w:val="center"/>
              <w:rPr>
                <w:b/>
              </w:rPr>
            </w:pPr>
            <w:r w:rsidRPr="005909AA">
              <w:rPr>
                <w:b/>
              </w:rPr>
              <w:t xml:space="preserve">Grades 6–8 </w:t>
            </w:r>
            <w:r w:rsidR="009220C7">
              <w:rPr>
                <w:b/>
              </w:rPr>
              <w:br/>
            </w:r>
            <w:r w:rsidRPr="005909AA">
              <w:rPr>
                <w:b/>
              </w:rPr>
              <w:t>PT</w:t>
            </w:r>
          </w:p>
        </w:tc>
        <w:tc>
          <w:tcPr>
            <w:tcW w:w="1020" w:type="dxa"/>
            <w:shd w:val="clear" w:color="auto" w:fill="D9D9D9" w:themeFill="background1" w:themeFillShade="D9"/>
            <w:vAlign w:val="center"/>
          </w:tcPr>
          <w:p w14:paraId="64B43B80" w14:textId="2D544F16" w:rsidR="00FB5D57" w:rsidRPr="005909AA" w:rsidRDefault="00FB5D57" w:rsidP="009220C7">
            <w:pPr>
              <w:spacing w:before="120" w:after="120"/>
              <w:jc w:val="center"/>
              <w:rPr>
                <w:b/>
              </w:rPr>
            </w:pPr>
            <w:r w:rsidRPr="005909AA">
              <w:rPr>
                <w:b/>
              </w:rPr>
              <w:t>Grade 11</w:t>
            </w:r>
            <w:r w:rsidR="009220C7">
              <w:rPr>
                <w:b/>
              </w:rPr>
              <w:br/>
            </w:r>
            <w:r w:rsidRPr="005909AA">
              <w:rPr>
                <w:b/>
              </w:rPr>
              <w:t>CAT</w:t>
            </w:r>
          </w:p>
        </w:tc>
        <w:tc>
          <w:tcPr>
            <w:tcW w:w="1005" w:type="dxa"/>
            <w:shd w:val="clear" w:color="auto" w:fill="D9D9D9" w:themeFill="background1" w:themeFillShade="D9"/>
            <w:vAlign w:val="center"/>
          </w:tcPr>
          <w:p w14:paraId="5D5CF202" w14:textId="4133EF06" w:rsidR="00FB5D57" w:rsidRPr="005909AA" w:rsidRDefault="00FB5D57" w:rsidP="009220C7">
            <w:pPr>
              <w:spacing w:before="120" w:after="120"/>
              <w:jc w:val="center"/>
              <w:rPr>
                <w:b/>
              </w:rPr>
            </w:pPr>
            <w:r w:rsidRPr="005909AA">
              <w:rPr>
                <w:b/>
              </w:rPr>
              <w:t>Grade 11</w:t>
            </w:r>
            <w:r w:rsidR="009220C7">
              <w:rPr>
                <w:b/>
              </w:rPr>
              <w:br/>
            </w:r>
            <w:r w:rsidRPr="005909AA">
              <w:rPr>
                <w:b/>
              </w:rPr>
              <w:t>PT</w:t>
            </w:r>
          </w:p>
        </w:tc>
      </w:tr>
      <w:tr w:rsidR="00FB5D57" w:rsidRPr="005909AA" w14:paraId="5F8D4696" w14:textId="77777777" w:rsidTr="007A01B5">
        <w:trPr>
          <w:cantSplit/>
          <w:trHeight w:val="262"/>
        </w:trPr>
        <w:tc>
          <w:tcPr>
            <w:tcW w:w="2598" w:type="dxa"/>
          </w:tcPr>
          <w:p w14:paraId="5FC0BEDC" w14:textId="77777777" w:rsidR="00FB5D57" w:rsidRPr="005909AA" w:rsidRDefault="00FB5D57" w:rsidP="0099195A">
            <w:pPr>
              <w:spacing w:before="60" w:after="60"/>
              <w:rPr>
                <w:color w:val="000000" w:themeColor="text1"/>
              </w:rPr>
            </w:pPr>
            <w:r w:rsidRPr="005909AA">
              <w:rPr>
                <w:color w:val="000000" w:themeColor="text1"/>
              </w:rPr>
              <w:t>Total</w:t>
            </w:r>
          </w:p>
        </w:tc>
        <w:tc>
          <w:tcPr>
            <w:tcW w:w="1260" w:type="dxa"/>
          </w:tcPr>
          <w:p w14:paraId="0066EACC" w14:textId="77777777" w:rsidR="00FB5D57" w:rsidRPr="005909AA" w:rsidRDefault="00FB5D57" w:rsidP="0099195A">
            <w:pPr>
              <w:spacing w:before="60" w:after="60"/>
              <w:jc w:val="center"/>
            </w:pPr>
            <w:r w:rsidRPr="005909AA">
              <w:t>20</w:t>
            </w:r>
          </w:p>
        </w:tc>
        <w:tc>
          <w:tcPr>
            <w:tcW w:w="1170" w:type="dxa"/>
          </w:tcPr>
          <w:p w14:paraId="074A44AB" w14:textId="77777777" w:rsidR="00FB5D57" w:rsidRPr="005909AA" w:rsidRDefault="00FB5D57" w:rsidP="0099195A">
            <w:pPr>
              <w:spacing w:before="60" w:after="60"/>
              <w:jc w:val="center"/>
            </w:pPr>
            <w:r w:rsidRPr="005909AA">
              <w:t>4</w:t>
            </w:r>
          </w:p>
        </w:tc>
        <w:tc>
          <w:tcPr>
            <w:tcW w:w="1065" w:type="dxa"/>
          </w:tcPr>
          <w:p w14:paraId="4738FC36" w14:textId="77777777" w:rsidR="00FB5D57" w:rsidRPr="005909AA" w:rsidRDefault="00FB5D57" w:rsidP="0099195A">
            <w:pPr>
              <w:spacing w:before="60" w:after="60"/>
              <w:jc w:val="center"/>
            </w:pPr>
            <w:r w:rsidRPr="005909AA">
              <w:t>22</w:t>
            </w:r>
          </w:p>
        </w:tc>
        <w:tc>
          <w:tcPr>
            <w:tcW w:w="1155" w:type="dxa"/>
          </w:tcPr>
          <w:p w14:paraId="70306C49" w14:textId="77777777" w:rsidR="00FB5D57" w:rsidRPr="005909AA" w:rsidRDefault="00FB5D57" w:rsidP="0099195A">
            <w:pPr>
              <w:spacing w:before="60" w:after="60"/>
              <w:jc w:val="center"/>
            </w:pPr>
            <w:r w:rsidRPr="005909AA">
              <w:t>4</w:t>
            </w:r>
          </w:p>
        </w:tc>
        <w:tc>
          <w:tcPr>
            <w:tcW w:w="1020" w:type="dxa"/>
          </w:tcPr>
          <w:p w14:paraId="0CB724C8" w14:textId="77777777" w:rsidR="00FB5D57" w:rsidRPr="005909AA" w:rsidRDefault="00FB5D57" w:rsidP="0099195A">
            <w:pPr>
              <w:spacing w:before="60" w:after="60"/>
              <w:jc w:val="center"/>
            </w:pPr>
            <w:r w:rsidRPr="005909AA">
              <w:t>22</w:t>
            </w:r>
          </w:p>
        </w:tc>
        <w:tc>
          <w:tcPr>
            <w:tcW w:w="1005" w:type="dxa"/>
          </w:tcPr>
          <w:p w14:paraId="690AD4A9" w14:textId="77777777" w:rsidR="00FB5D57" w:rsidRPr="005909AA" w:rsidRDefault="00FB5D57" w:rsidP="0099195A">
            <w:pPr>
              <w:spacing w:before="60" w:after="60"/>
              <w:jc w:val="center"/>
            </w:pPr>
            <w:r w:rsidRPr="005909AA">
              <w:t>4</w:t>
            </w:r>
          </w:p>
        </w:tc>
      </w:tr>
      <w:tr w:rsidR="00FB5D57" w:rsidRPr="005909AA" w14:paraId="28A92F8B" w14:textId="77777777" w:rsidTr="007A01B5">
        <w:trPr>
          <w:cantSplit/>
          <w:trHeight w:val="262"/>
        </w:trPr>
        <w:tc>
          <w:tcPr>
            <w:tcW w:w="2598" w:type="dxa"/>
          </w:tcPr>
          <w:p w14:paraId="49D9D79C" w14:textId="6515735F" w:rsidR="00FB5D57" w:rsidRPr="005909AA" w:rsidRDefault="00FB5D57" w:rsidP="0099195A">
            <w:pPr>
              <w:spacing w:before="60" w:after="60"/>
            </w:pPr>
            <w:r w:rsidRPr="005909AA">
              <w:t>Reading</w:t>
            </w:r>
          </w:p>
        </w:tc>
        <w:tc>
          <w:tcPr>
            <w:tcW w:w="1260" w:type="dxa"/>
          </w:tcPr>
          <w:p w14:paraId="453163D2" w14:textId="77777777" w:rsidR="00FB5D57" w:rsidRPr="005909AA" w:rsidRDefault="00FB5D57" w:rsidP="0099195A">
            <w:pPr>
              <w:spacing w:before="60" w:after="60"/>
              <w:jc w:val="center"/>
            </w:pPr>
            <w:r w:rsidRPr="005909AA">
              <w:t>8</w:t>
            </w:r>
          </w:p>
        </w:tc>
        <w:tc>
          <w:tcPr>
            <w:tcW w:w="1170" w:type="dxa"/>
          </w:tcPr>
          <w:p w14:paraId="12CF5B90" w14:textId="77777777" w:rsidR="00FB5D57" w:rsidRPr="005909AA" w:rsidRDefault="00FB5D57" w:rsidP="0099195A">
            <w:pPr>
              <w:spacing w:before="60" w:after="60"/>
              <w:jc w:val="center"/>
            </w:pPr>
            <w:r w:rsidRPr="005909AA">
              <w:t>0</w:t>
            </w:r>
          </w:p>
        </w:tc>
        <w:tc>
          <w:tcPr>
            <w:tcW w:w="1065" w:type="dxa"/>
          </w:tcPr>
          <w:p w14:paraId="37F868D9" w14:textId="77777777" w:rsidR="00FB5D57" w:rsidRPr="005909AA" w:rsidRDefault="00FB5D57" w:rsidP="0099195A">
            <w:pPr>
              <w:spacing w:before="60" w:after="60"/>
              <w:jc w:val="center"/>
            </w:pPr>
            <w:r w:rsidRPr="005909AA">
              <w:t>10</w:t>
            </w:r>
          </w:p>
        </w:tc>
        <w:tc>
          <w:tcPr>
            <w:tcW w:w="1155" w:type="dxa"/>
          </w:tcPr>
          <w:p w14:paraId="4FDB15E3" w14:textId="77777777" w:rsidR="00FB5D57" w:rsidRPr="005909AA" w:rsidRDefault="00FB5D57" w:rsidP="0099195A">
            <w:pPr>
              <w:spacing w:before="60" w:after="60"/>
              <w:jc w:val="center"/>
            </w:pPr>
            <w:r w:rsidRPr="005909AA">
              <w:t>0</w:t>
            </w:r>
          </w:p>
        </w:tc>
        <w:tc>
          <w:tcPr>
            <w:tcW w:w="1020" w:type="dxa"/>
          </w:tcPr>
          <w:p w14:paraId="22E38321" w14:textId="77777777" w:rsidR="00FB5D57" w:rsidRPr="005909AA" w:rsidRDefault="00FB5D57" w:rsidP="0099195A">
            <w:pPr>
              <w:spacing w:before="60" w:after="60"/>
              <w:jc w:val="center"/>
            </w:pPr>
            <w:r w:rsidRPr="005909AA">
              <w:t>10</w:t>
            </w:r>
          </w:p>
        </w:tc>
        <w:tc>
          <w:tcPr>
            <w:tcW w:w="1005" w:type="dxa"/>
          </w:tcPr>
          <w:p w14:paraId="0D2A3E6A" w14:textId="77777777" w:rsidR="00FB5D57" w:rsidRPr="005909AA" w:rsidRDefault="00FB5D57" w:rsidP="0099195A">
            <w:pPr>
              <w:spacing w:before="60" w:after="60"/>
              <w:jc w:val="center"/>
            </w:pPr>
            <w:r w:rsidRPr="005909AA">
              <w:t>0</w:t>
            </w:r>
          </w:p>
        </w:tc>
      </w:tr>
      <w:tr w:rsidR="00FB5D57" w:rsidRPr="005909AA" w14:paraId="5CB96D5C" w14:textId="77777777" w:rsidTr="007A01B5">
        <w:trPr>
          <w:cantSplit/>
          <w:trHeight w:val="262"/>
        </w:trPr>
        <w:tc>
          <w:tcPr>
            <w:tcW w:w="2598" w:type="dxa"/>
          </w:tcPr>
          <w:p w14:paraId="7D91A276" w14:textId="076F003D" w:rsidR="00FB5D57" w:rsidRPr="005909AA" w:rsidRDefault="00FB5D57" w:rsidP="0099195A">
            <w:pPr>
              <w:spacing w:before="60" w:after="60"/>
            </w:pPr>
            <w:r w:rsidRPr="005909AA">
              <w:t>Writing</w:t>
            </w:r>
          </w:p>
        </w:tc>
        <w:tc>
          <w:tcPr>
            <w:tcW w:w="1260" w:type="dxa"/>
          </w:tcPr>
          <w:p w14:paraId="57128732" w14:textId="77777777" w:rsidR="00FB5D57" w:rsidRPr="005909AA" w:rsidRDefault="00FB5D57" w:rsidP="0099195A">
            <w:pPr>
              <w:spacing w:before="60" w:after="60"/>
              <w:jc w:val="center"/>
            </w:pPr>
            <w:r w:rsidRPr="005909AA">
              <w:t>4</w:t>
            </w:r>
          </w:p>
        </w:tc>
        <w:tc>
          <w:tcPr>
            <w:tcW w:w="1170" w:type="dxa"/>
          </w:tcPr>
          <w:p w14:paraId="7CD96C97" w14:textId="77777777" w:rsidR="00FB5D57" w:rsidRPr="005909AA" w:rsidRDefault="00FB5D57" w:rsidP="0099195A">
            <w:pPr>
              <w:spacing w:before="60" w:after="60"/>
              <w:jc w:val="center"/>
            </w:pPr>
            <w:r w:rsidRPr="005909AA">
              <w:t>3</w:t>
            </w:r>
          </w:p>
        </w:tc>
        <w:tc>
          <w:tcPr>
            <w:tcW w:w="1065" w:type="dxa"/>
          </w:tcPr>
          <w:p w14:paraId="3C27DE7B" w14:textId="77777777" w:rsidR="00FB5D57" w:rsidRPr="005909AA" w:rsidRDefault="00FB5D57" w:rsidP="0099195A">
            <w:pPr>
              <w:spacing w:before="60" w:after="60"/>
              <w:jc w:val="center"/>
            </w:pPr>
            <w:r w:rsidRPr="005909AA">
              <w:t>4</w:t>
            </w:r>
          </w:p>
        </w:tc>
        <w:tc>
          <w:tcPr>
            <w:tcW w:w="1155" w:type="dxa"/>
          </w:tcPr>
          <w:p w14:paraId="608EF7D0" w14:textId="77777777" w:rsidR="00FB5D57" w:rsidRPr="005909AA" w:rsidRDefault="00FB5D57" w:rsidP="0099195A">
            <w:pPr>
              <w:spacing w:before="60" w:after="60"/>
              <w:jc w:val="center"/>
            </w:pPr>
            <w:r w:rsidRPr="005909AA">
              <w:t>3</w:t>
            </w:r>
          </w:p>
        </w:tc>
        <w:tc>
          <w:tcPr>
            <w:tcW w:w="1020" w:type="dxa"/>
          </w:tcPr>
          <w:p w14:paraId="67C5CC50" w14:textId="77777777" w:rsidR="00FB5D57" w:rsidRPr="005909AA" w:rsidRDefault="00FB5D57" w:rsidP="0099195A">
            <w:pPr>
              <w:spacing w:before="60" w:after="60"/>
              <w:jc w:val="center"/>
            </w:pPr>
            <w:r w:rsidRPr="005909AA">
              <w:t>4</w:t>
            </w:r>
          </w:p>
        </w:tc>
        <w:tc>
          <w:tcPr>
            <w:tcW w:w="1005" w:type="dxa"/>
          </w:tcPr>
          <w:p w14:paraId="2A3C0C87" w14:textId="77777777" w:rsidR="00FB5D57" w:rsidRPr="005909AA" w:rsidRDefault="00FB5D57" w:rsidP="0099195A">
            <w:pPr>
              <w:spacing w:before="60" w:after="60"/>
              <w:jc w:val="center"/>
            </w:pPr>
            <w:r w:rsidRPr="005909AA">
              <w:t>3</w:t>
            </w:r>
          </w:p>
        </w:tc>
      </w:tr>
      <w:tr w:rsidR="00FB5D57" w:rsidRPr="005909AA" w14:paraId="600E1994" w14:textId="77777777" w:rsidTr="007A01B5">
        <w:trPr>
          <w:cantSplit/>
          <w:trHeight w:val="262"/>
        </w:trPr>
        <w:tc>
          <w:tcPr>
            <w:tcW w:w="2598" w:type="dxa"/>
          </w:tcPr>
          <w:p w14:paraId="50A545DA" w14:textId="5F77EB92" w:rsidR="00FB5D57" w:rsidRPr="005909AA" w:rsidRDefault="00FB5D57" w:rsidP="0099195A">
            <w:pPr>
              <w:spacing w:before="60" w:after="60"/>
            </w:pPr>
            <w:r w:rsidRPr="005909AA">
              <w:t>Listening</w:t>
            </w:r>
          </w:p>
        </w:tc>
        <w:tc>
          <w:tcPr>
            <w:tcW w:w="1260" w:type="dxa"/>
          </w:tcPr>
          <w:p w14:paraId="6F759775" w14:textId="77777777" w:rsidR="00FB5D57" w:rsidRPr="005909AA" w:rsidRDefault="00FB5D57" w:rsidP="0099195A">
            <w:pPr>
              <w:spacing w:before="60" w:after="60"/>
              <w:jc w:val="center"/>
            </w:pPr>
            <w:r w:rsidRPr="005909AA">
              <w:t>4</w:t>
            </w:r>
          </w:p>
        </w:tc>
        <w:tc>
          <w:tcPr>
            <w:tcW w:w="1170" w:type="dxa"/>
          </w:tcPr>
          <w:p w14:paraId="0D40467D" w14:textId="77777777" w:rsidR="00FB5D57" w:rsidRPr="005909AA" w:rsidRDefault="00FB5D57" w:rsidP="0099195A">
            <w:pPr>
              <w:spacing w:before="60" w:after="60"/>
              <w:jc w:val="center"/>
            </w:pPr>
            <w:r w:rsidRPr="005909AA">
              <w:t>0</w:t>
            </w:r>
          </w:p>
        </w:tc>
        <w:tc>
          <w:tcPr>
            <w:tcW w:w="1065" w:type="dxa"/>
          </w:tcPr>
          <w:p w14:paraId="75DCDAEF" w14:textId="77777777" w:rsidR="00FB5D57" w:rsidRPr="005909AA" w:rsidRDefault="00FB5D57" w:rsidP="0099195A">
            <w:pPr>
              <w:spacing w:before="60" w:after="60"/>
              <w:jc w:val="center"/>
            </w:pPr>
            <w:r w:rsidRPr="005909AA">
              <w:t>4</w:t>
            </w:r>
          </w:p>
        </w:tc>
        <w:tc>
          <w:tcPr>
            <w:tcW w:w="1155" w:type="dxa"/>
          </w:tcPr>
          <w:p w14:paraId="34C80580" w14:textId="77777777" w:rsidR="00FB5D57" w:rsidRPr="005909AA" w:rsidRDefault="00FB5D57" w:rsidP="0099195A">
            <w:pPr>
              <w:spacing w:before="60" w:after="60"/>
              <w:jc w:val="center"/>
            </w:pPr>
            <w:r w:rsidRPr="005909AA">
              <w:t>0</w:t>
            </w:r>
          </w:p>
        </w:tc>
        <w:tc>
          <w:tcPr>
            <w:tcW w:w="1020" w:type="dxa"/>
          </w:tcPr>
          <w:p w14:paraId="7887D0F2" w14:textId="77777777" w:rsidR="00FB5D57" w:rsidRPr="005909AA" w:rsidRDefault="00FB5D57" w:rsidP="0099195A">
            <w:pPr>
              <w:spacing w:before="60" w:after="60"/>
              <w:jc w:val="center"/>
            </w:pPr>
            <w:r w:rsidRPr="005909AA">
              <w:t>4</w:t>
            </w:r>
          </w:p>
        </w:tc>
        <w:tc>
          <w:tcPr>
            <w:tcW w:w="1005" w:type="dxa"/>
          </w:tcPr>
          <w:p w14:paraId="0D67BEC4" w14:textId="77777777" w:rsidR="00FB5D57" w:rsidRPr="005909AA" w:rsidRDefault="00FB5D57" w:rsidP="0099195A">
            <w:pPr>
              <w:spacing w:before="60" w:after="60"/>
              <w:jc w:val="center"/>
            </w:pPr>
            <w:r w:rsidRPr="005909AA">
              <w:t>0</w:t>
            </w:r>
          </w:p>
        </w:tc>
      </w:tr>
      <w:tr w:rsidR="00FB5D57" w:rsidRPr="005909AA" w14:paraId="0696BF4D" w14:textId="77777777" w:rsidTr="007A01B5">
        <w:trPr>
          <w:cantSplit/>
          <w:trHeight w:val="262"/>
        </w:trPr>
        <w:tc>
          <w:tcPr>
            <w:tcW w:w="2598" w:type="dxa"/>
          </w:tcPr>
          <w:p w14:paraId="17F81B55" w14:textId="523533CB" w:rsidR="00FB5D57" w:rsidRPr="005909AA" w:rsidRDefault="00FB5D57" w:rsidP="0099195A">
            <w:pPr>
              <w:spacing w:before="60" w:after="60"/>
            </w:pPr>
            <w:r w:rsidRPr="005909AA">
              <w:t>Research/Inquiry</w:t>
            </w:r>
          </w:p>
        </w:tc>
        <w:tc>
          <w:tcPr>
            <w:tcW w:w="1260" w:type="dxa"/>
          </w:tcPr>
          <w:p w14:paraId="243D5A2E" w14:textId="77777777" w:rsidR="00FB5D57" w:rsidRPr="005909AA" w:rsidRDefault="00FB5D57" w:rsidP="0099195A">
            <w:pPr>
              <w:spacing w:before="60" w:after="60"/>
              <w:jc w:val="center"/>
            </w:pPr>
            <w:r w:rsidRPr="005909AA">
              <w:t>4</w:t>
            </w:r>
          </w:p>
        </w:tc>
        <w:tc>
          <w:tcPr>
            <w:tcW w:w="1170" w:type="dxa"/>
          </w:tcPr>
          <w:p w14:paraId="60B9696E" w14:textId="77777777" w:rsidR="00FB5D57" w:rsidRPr="005909AA" w:rsidRDefault="00FB5D57" w:rsidP="0099195A">
            <w:pPr>
              <w:spacing w:before="60" w:after="60"/>
              <w:jc w:val="center"/>
            </w:pPr>
            <w:r w:rsidRPr="005909AA">
              <w:t>1</w:t>
            </w:r>
          </w:p>
        </w:tc>
        <w:tc>
          <w:tcPr>
            <w:tcW w:w="1065" w:type="dxa"/>
          </w:tcPr>
          <w:p w14:paraId="440E8F2E" w14:textId="77777777" w:rsidR="00FB5D57" w:rsidRPr="005909AA" w:rsidRDefault="00FB5D57" w:rsidP="0099195A">
            <w:pPr>
              <w:spacing w:before="60" w:after="60"/>
              <w:jc w:val="center"/>
            </w:pPr>
            <w:r w:rsidRPr="005909AA">
              <w:t>4</w:t>
            </w:r>
          </w:p>
        </w:tc>
        <w:tc>
          <w:tcPr>
            <w:tcW w:w="1155" w:type="dxa"/>
          </w:tcPr>
          <w:p w14:paraId="7D97B8F7" w14:textId="77777777" w:rsidR="00FB5D57" w:rsidRPr="005909AA" w:rsidRDefault="00FB5D57" w:rsidP="0099195A">
            <w:pPr>
              <w:spacing w:before="60" w:after="60"/>
              <w:jc w:val="center"/>
            </w:pPr>
            <w:r w:rsidRPr="005909AA">
              <w:t>1</w:t>
            </w:r>
          </w:p>
        </w:tc>
        <w:tc>
          <w:tcPr>
            <w:tcW w:w="1020" w:type="dxa"/>
          </w:tcPr>
          <w:p w14:paraId="409FD317" w14:textId="77777777" w:rsidR="00FB5D57" w:rsidRPr="005909AA" w:rsidRDefault="00FB5D57" w:rsidP="0099195A">
            <w:pPr>
              <w:spacing w:before="60" w:after="60"/>
              <w:jc w:val="center"/>
            </w:pPr>
            <w:r w:rsidRPr="005909AA">
              <w:t>4</w:t>
            </w:r>
          </w:p>
        </w:tc>
        <w:tc>
          <w:tcPr>
            <w:tcW w:w="1005" w:type="dxa"/>
          </w:tcPr>
          <w:p w14:paraId="4E7200D5" w14:textId="77777777" w:rsidR="00FB5D57" w:rsidRPr="005909AA" w:rsidRDefault="00FB5D57" w:rsidP="0099195A">
            <w:pPr>
              <w:spacing w:before="60" w:after="60"/>
              <w:jc w:val="center"/>
            </w:pPr>
            <w:r w:rsidRPr="005909AA">
              <w:t>1</w:t>
            </w:r>
          </w:p>
        </w:tc>
      </w:tr>
    </w:tbl>
    <w:p w14:paraId="6035B13B" w14:textId="710E6C86" w:rsidR="00FB5D57" w:rsidRPr="005909AA" w:rsidRDefault="00FB5D57" w:rsidP="0099195A">
      <w:pPr>
        <w:keepNext/>
        <w:spacing w:before="240" w:after="60" w:line="252" w:lineRule="auto"/>
        <w:rPr>
          <w:b/>
        </w:rPr>
      </w:pPr>
      <w:bookmarkStart w:id="1" w:name="_heading=h.1fob9te"/>
      <w:bookmarkEnd w:id="1"/>
      <w:r w:rsidRPr="005909AA">
        <w:rPr>
          <w:b/>
        </w:rPr>
        <w:lastRenderedPageBreak/>
        <w:t>Table 2. Smarter Balanced Summative Assessment for Mathematics</w:t>
      </w:r>
      <w:r w:rsidR="008A0FE8">
        <w:rPr>
          <w:b/>
        </w:rPr>
        <w:t>,</w:t>
      </w:r>
      <w:r w:rsidRPr="005909AA">
        <w:rPr>
          <w:b/>
        </w:rPr>
        <w:t xml:space="preserve"> Adjusted </w:t>
      </w:r>
      <w:r w:rsidR="0065006C">
        <w:rPr>
          <w:b/>
        </w:rPr>
        <w:t xml:space="preserve">Form </w:t>
      </w:r>
      <w:r w:rsidR="008A0FE8">
        <w:rPr>
          <w:b/>
        </w:rPr>
        <w:t>Blueprint</w:t>
      </w:r>
      <w:r w:rsidRPr="005909AA">
        <w:rPr>
          <w:b/>
        </w:rPr>
        <w:t xml:space="preserve">: Number of Items by Claim </w:t>
      </w:r>
    </w:p>
    <w:tbl>
      <w:tblPr>
        <w:tblStyle w:val="TableGrid"/>
        <w:tblW w:w="9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Caption w:val="Table 2. Smarter Balanced Summative Assessment for Mathematics Adjusted Form: Number of Items by Claim "/>
        <w:tblDescription w:val="Table 2 summarizes the number of items by claim for the Smarter Balanced Summative Assessment for mathematics blueprint adjusted form. "/>
      </w:tblPr>
      <w:tblGrid>
        <w:gridCol w:w="2420"/>
        <w:gridCol w:w="1350"/>
        <w:gridCol w:w="1170"/>
        <w:gridCol w:w="1175"/>
        <w:gridCol w:w="1170"/>
        <w:gridCol w:w="990"/>
        <w:gridCol w:w="990"/>
      </w:tblGrid>
      <w:tr w:rsidR="00FB5D57" w:rsidRPr="005909AA" w14:paraId="720A0EFD" w14:textId="77777777" w:rsidTr="007A01B5">
        <w:trPr>
          <w:cantSplit/>
          <w:trHeight w:val="917"/>
          <w:tblHeader/>
        </w:trPr>
        <w:tc>
          <w:tcPr>
            <w:tcW w:w="2420" w:type="dxa"/>
            <w:shd w:val="clear" w:color="auto" w:fill="D9D9D9" w:themeFill="background1" w:themeFillShade="D9"/>
            <w:vAlign w:val="center"/>
          </w:tcPr>
          <w:p w14:paraId="06DD107C" w14:textId="77777777" w:rsidR="00FB5D57" w:rsidRPr="005909AA" w:rsidRDefault="00FB5D57" w:rsidP="009F38D2">
            <w:pPr>
              <w:keepNext/>
              <w:spacing w:before="120" w:after="120"/>
              <w:jc w:val="center"/>
              <w:rPr>
                <w:b/>
              </w:rPr>
            </w:pPr>
            <w:r w:rsidRPr="005909AA">
              <w:rPr>
                <w:b/>
              </w:rPr>
              <w:t>Claim</w:t>
            </w:r>
          </w:p>
        </w:tc>
        <w:tc>
          <w:tcPr>
            <w:tcW w:w="1350" w:type="dxa"/>
            <w:shd w:val="clear" w:color="auto" w:fill="D9D9D9" w:themeFill="background1" w:themeFillShade="D9"/>
            <w:vAlign w:val="center"/>
          </w:tcPr>
          <w:p w14:paraId="22226345" w14:textId="06F68C7E" w:rsidR="00FB5D57" w:rsidRPr="005909AA" w:rsidRDefault="00FB5D57" w:rsidP="004D3FE9">
            <w:pPr>
              <w:keepNext/>
              <w:spacing w:before="120" w:after="120"/>
              <w:jc w:val="center"/>
              <w:rPr>
                <w:b/>
              </w:rPr>
            </w:pPr>
            <w:r w:rsidRPr="005909AA">
              <w:rPr>
                <w:b/>
              </w:rPr>
              <w:t>Grades 3–5, 7, 8</w:t>
            </w:r>
            <w:r w:rsidR="004D3FE9">
              <w:rPr>
                <w:b/>
              </w:rPr>
              <w:t xml:space="preserve"> </w:t>
            </w:r>
            <w:proofErr w:type="gramStart"/>
            <w:r w:rsidRPr="005909AA">
              <w:rPr>
                <w:b/>
              </w:rPr>
              <w:t>CAT</w:t>
            </w:r>
            <w:proofErr w:type="gramEnd"/>
          </w:p>
        </w:tc>
        <w:tc>
          <w:tcPr>
            <w:tcW w:w="1170" w:type="dxa"/>
            <w:shd w:val="clear" w:color="auto" w:fill="D9D9D9" w:themeFill="background1" w:themeFillShade="D9"/>
            <w:vAlign w:val="center"/>
          </w:tcPr>
          <w:p w14:paraId="6B7A7E83" w14:textId="70CA5465" w:rsidR="00FB5D57" w:rsidRPr="005909AA" w:rsidRDefault="00FB5D57" w:rsidP="004D3FE9">
            <w:pPr>
              <w:keepNext/>
              <w:spacing w:before="120" w:after="120"/>
              <w:jc w:val="center"/>
              <w:rPr>
                <w:b/>
              </w:rPr>
            </w:pPr>
            <w:r w:rsidRPr="005909AA">
              <w:rPr>
                <w:b/>
              </w:rPr>
              <w:t>Grades 3–5, 7, 8</w:t>
            </w:r>
            <w:r w:rsidR="004D3FE9">
              <w:rPr>
                <w:b/>
              </w:rPr>
              <w:t xml:space="preserve"> </w:t>
            </w:r>
            <w:r w:rsidRPr="005909AA">
              <w:rPr>
                <w:b/>
              </w:rPr>
              <w:t>PT</w:t>
            </w:r>
          </w:p>
        </w:tc>
        <w:tc>
          <w:tcPr>
            <w:tcW w:w="1175" w:type="dxa"/>
            <w:shd w:val="clear" w:color="auto" w:fill="D9D9D9" w:themeFill="background1" w:themeFillShade="D9"/>
            <w:vAlign w:val="center"/>
          </w:tcPr>
          <w:p w14:paraId="1D1122B1" w14:textId="61CF7212" w:rsidR="00FB5D57" w:rsidRPr="005909AA" w:rsidRDefault="00FB5D57" w:rsidP="004D3FE9">
            <w:pPr>
              <w:keepNext/>
              <w:spacing w:before="120" w:after="120"/>
              <w:jc w:val="center"/>
              <w:rPr>
                <w:b/>
              </w:rPr>
            </w:pPr>
            <w:r w:rsidRPr="005909AA">
              <w:rPr>
                <w:b/>
              </w:rPr>
              <w:t>Grade 6</w:t>
            </w:r>
            <w:r w:rsidR="004D3FE9">
              <w:rPr>
                <w:b/>
              </w:rPr>
              <w:br/>
            </w:r>
            <w:r w:rsidRPr="005909AA">
              <w:rPr>
                <w:b/>
              </w:rPr>
              <w:t>CAT</w:t>
            </w:r>
          </w:p>
        </w:tc>
        <w:tc>
          <w:tcPr>
            <w:tcW w:w="1170" w:type="dxa"/>
            <w:shd w:val="clear" w:color="auto" w:fill="D9D9D9" w:themeFill="background1" w:themeFillShade="D9"/>
            <w:vAlign w:val="center"/>
          </w:tcPr>
          <w:p w14:paraId="245C4936" w14:textId="3CA3E0C0" w:rsidR="00FB5D57" w:rsidRPr="005909AA" w:rsidRDefault="00FB5D57" w:rsidP="004D3FE9">
            <w:pPr>
              <w:keepNext/>
              <w:spacing w:before="120" w:after="120"/>
              <w:jc w:val="center"/>
              <w:rPr>
                <w:b/>
              </w:rPr>
            </w:pPr>
            <w:r w:rsidRPr="005909AA">
              <w:rPr>
                <w:b/>
              </w:rPr>
              <w:t>Grade 6 PT</w:t>
            </w:r>
          </w:p>
        </w:tc>
        <w:tc>
          <w:tcPr>
            <w:tcW w:w="990" w:type="dxa"/>
            <w:shd w:val="clear" w:color="auto" w:fill="D9D9D9" w:themeFill="background1" w:themeFillShade="D9"/>
            <w:vAlign w:val="center"/>
          </w:tcPr>
          <w:p w14:paraId="32925B69" w14:textId="648128B8" w:rsidR="00FB5D57" w:rsidRPr="005909AA" w:rsidRDefault="00FB5D57" w:rsidP="004D3FE9">
            <w:pPr>
              <w:keepNext/>
              <w:spacing w:before="120" w:after="120"/>
              <w:jc w:val="center"/>
              <w:rPr>
                <w:b/>
              </w:rPr>
            </w:pPr>
            <w:r w:rsidRPr="005909AA">
              <w:rPr>
                <w:b/>
              </w:rPr>
              <w:t>Grade 11</w:t>
            </w:r>
            <w:r w:rsidR="004D3FE9">
              <w:rPr>
                <w:b/>
              </w:rPr>
              <w:br/>
            </w:r>
            <w:r w:rsidRPr="005909AA">
              <w:rPr>
                <w:b/>
              </w:rPr>
              <w:t>CAT</w:t>
            </w:r>
          </w:p>
        </w:tc>
        <w:tc>
          <w:tcPr>
            <w:tcW w:w="990" w:type="dxa"/>
            <w:shd w:val="clear" w:color="auto" w:fill="D9D9D9" w:themeFill="background1" w:themeFillShade="D9"/>
            <w:vAlign w:val="center"/>
          </w:tcPr>
          <w:p w14:paraId="57EB1ED1" w14:textId="4B4C0FC1" w:rsidR="00FB5D57" w:rsidRPr="005909AA" w:rsidRDefault="00FB5D57" w:rsidP="004D3FE9">
            <w:pPr>
              <w:keepNext/>
              <w:spacing w:before="120" w:after="120"/>
              <w:jc w:val="center"/>
              <w:rPr>
                <w:b/>
              </w:rPr>
            </w:pPr>
            <w:r w:rsidRPr="005909AA">
              <w:rPr>
                <w:b/>
              </w:rPr>
              <w:t>Grade 11</w:t>
            </w:r>
            <w:r w:rsidR="004D3FE9">
              <w:rPr>
                <w:b/>
              </w:rPr>
              <w:br/>
            </w:r>
            <w:r w:rsidRPr="005909AA">
              <w:rPr>
                <w:b/>
              </w:rPr>
              <w:t>PT</w:t>
            </w:r>
          </w:p>
        </w:tc>
      </w:tr>
      <w:tr w:rsidR="00FB5D57" w:rsidRPr="005909AA" w14:paraId="0428DA54" w14:textId="77777777" w:rsidTr="007A01B5">
        <w:trPr>
          <w:cantSplit/>
          <w:trHeight w:val="440"/>
        </w:trPr>
        <w:tc>
          <w:tcPr>
            <w:tcW w:w="2420" w:type="dxa"/>
            <w:vAlign w:val="center"/>
          </w:tcPr>
          <w:p w14:paraId="06EE02AA" w14:textId="77777777" w:rsidR="00FB5D57" w:rsidRPr="005909AA" w:rsidRDefault="00FB5D57" w:rsidP="009F38D2">
            <w:pPr>
              <w:keepNext/>
              <w:spacing w:before="120" w:after="120"/>
            </w:pPr>
            <w:r w:rsidRPr="005909AA">
              <w:t>Total</w:t>
            </w:r>
          </w:p>
        </w:tc>
        <w:tc>
          <w:tcPr>
            <w:tcW w:w="1350" w:type="dxa"/>
            <w:vAlign w:val="center"/>
          </w:tcPr>
          <w:p w14:paraId="73E8E5E2" w14:textId="77777777" w:rsidR="00FB5D57" w:rsidRPr="005909AA" w:rsidRDefault="00FB5D57" w:rsidP="005B2C0B">
            <w:pPr>
              <w:keepNext/>
              <w:spacing w:before="120" w:after="120"/>
              <w:jc w:val="center"/>
            </w:pPr>
            <w:r w:rsidRPr="005909AA">
              <w:t>17</w:t>
            </w:r>
          </w:p>
        </w:tc>
        <w:tc>
          <w:tcPr>
            <w:tcW w:w="1170" w:type="dxa"/>
            <w:vAlign w:val="center"/>
          </w:tcPr>
          <w:p w14:paraId="48C7FCCC" w14:textId="77777777" w:rsidR="00FB5D57" w:rsidRPr="005909AA" w:rsidRDefault="00FB5D57" w:rsidP="005B2C0B">
            <w:pPr>
              <w:keepNext/>
              <w:spacing w:before="120" w:after="120"/>
              <w:jc w:val="center"/>
            </w:pPr>
            <w:r w:rsidRPr="005909AA">
              <w:t xml:space="preserve"> 4–6</w:t>
            </w:r>
          </w:p>
        </w:tc>
        <w:tc>
          <w:tcPr>
            <w:tcW w:w="1175" w:type="dxa"/>
            <w:vAlign w:val="center"/>
          </w:tcPr>
          <w:p w14:paraId="3B39F4F4" w14:textId="77777777" w:rsidR="00FB5D57" w:rsidRPr="005909AA" w:rsidRDefault="00FB5D57" w:rsidP="005B2C0B">
            <w:pPr>
              <w:keepNext/>
              <w:spacing w:before="120" w:after="120"/>
              <w:jc w:val="center"/>
            </w:pPr>
            <w:r w:rsidRPr="005909AA">
              <w:t>16–17</w:t>
            </w:r>
          </w:p>
        </w:tc>
        <w:tc>
          <w:tcPr>
            <w:tcW w:w="1170" w:type="dxa"/>
            <w:vAlign w:val="center"/>
          </w:tcPr>
          <w:p w14:paraId="3976FC1F" w14:textId="77777777" w:rsidR="00FB5D57" w:rsidRPr="005909AA" w:rsidRDefault="00FB5D57" w:rsidP="005B2C0B">
            <w:pPr>
              <w:keepNext/>
              <w:spacing w:before="120" w:after="120"/>
              <w:jc w:val="center"/>
            </w:pPr>
            <w:r w:rsidRPr="005909AA">
              <w:t xml:space="preserve"> 4–6</w:t>
            </w:r>
          </w:p>
        </w:tc>
        <w:tc>
          <w:tcPr>
            <w:tcW w:w="990" w:type="dxa"/>
            <w:vAlign w:val="center"/>
          </w:tcPr>
          <w:p w14:paraId="24B3160B" w14:textId="77777777" w:rsidR="00FB5D57" w:rsidRPr="005909AA" w:rsidRDefault="00FB5D57" w:rsidP="005B2C0B">
            <w:pPr>
              <w:keepNext/>
              <w:spacing w:before="120" w:after="120"/>
              <w:jc w:val="center"/>
            </w:pPr>
            <w:r w:rsidRPr="005909AA">
              <w:t>18</w:t>
            </w:r>
          </w:p>
        </w:tc>
        <w:tc>
          <w:tcPr>
            <w:tcW w:w="990" w:type="dxa"/>
            <w:vAlign w:val="center"/>
          </w:tcPr>
          <w:p w14:paraId="0561633D" w14:textId="77777777" w:rsidR="00FB5D57" w:rsidRPr="005909AA" w:rsidRDefault="00FB5D57" w:rsidP="005B2C0B">
            <w:pPr>
              <w:keepNext/>
              <w:spacing w:before="120" w:after="120"/>
              <w:jc w:val="center"/>
            </w:pPr>
            <w:r w:rsidRPr="005909AA">
              <w:t xml:space="preserve"> 4–6</w:t>
            </w:r>
          </w:p>
        </w:tc>
      </w:tr>
      <w:tr w:rsidR="00FB5D57" w:rsidRPr="005909AA" w14:paraId="66554965" w14:textId="77777777" w:rsidTr="007A01B5">
        <w:trPr>
          <w:cantSplit/>
          <w:trHeight w:val="728"/>
        </w:trPr>
        <w:tc>
          <w:tcPr>
            <w:tcW w:w="2420" w:type="dxa"/>
          </w:tcPr>
          <w:p w14:paraId="2E4C80B7" w14:textId="77777777" w:rsidR="00FB5D57" w:rsidRPr="005909AA" w:rsidRDefault="00FB5D57" w:rsidP="0099195A">
            <w:pPr>
              <w:keepNext/>
              <w:spacing w:before="60" w:after="60"/>
              <w:ind w:left="260" w:hanging="274"/>
            </w:pPr>
            <w:r w:rsidRPr="005909AA">
              <w:t>1. Concepts and Procedures</w:t>
            </w:r>
          </w:p>
        </w:tc>
        <w:tc>
          <w:tcPr>
            <w:tcW w:w="1350" w:type="dxa"/>
          </w:tcPr>
          <w:p w14:paraId="47F2A8CC" w14:textId="77777777" w:rsidR="00FB5D57" w:rsidRPr="005909AA" w:rsidRDefault="00FB5D57" w:rsidP="005B2C0B">
            <w:pPr>
              <w:keepNext/>
              <w:spacing w:before="120" w:after="120"/>
              <w:jc w:val="center"/>
            </w:pPr>
            <w:r w:rsidRPr="005909AA">
              <w:t>10</w:t>
            </w:r>
          </w:p>
        </w:tc>
        <w:tc>
          <w:tcPr>
            <w:tcW w:w="1170" w:type="dxa"/>
          </w:tcPr>
          <w:p w14:paraId="43427C6A" w14:textId="77777777" w:rsidR="00FB5D57" w:rsidRPr="005909AA" w:rsidRDefault="00FB5D57" w:rsidP="005B2C0B">
            <w:pPr>
              <w:keepNext/>
              <w:spacing w:before="120" w:after="120"/>
              <w:jc w:val="center"/>
            </w:pPr>
            <w:r w:rsidRPr="005909AA">
              <w:t xml:space="preserve">0 </w:t>
            </w:r>
          </w:p>
        </w:tc>
        <w:tc>
          <w:tcPr>
            <w:tcW w:w="1175" w:type="dxa"/>
          </w:tcPr>
          <w:p w14:paraId="68ABD455" w14:textId="77777777" w:rsidR="00FB5D57" w:rsidRPr="005909AA" w:rsidRDefault="00FB5D57" w:rsidP="005B2C0B">
            <w:pPr>
              <w:keepNext/>
              <w:spacing w:before="120" w:after="120"/>
              <w:jc w:val="center"/>
            </w:pPr>
            <w:r w:rsidRPr="005909AA">
              <w:t>9–10</w:t>
            </w:r>
          </w:p>
        </w:tc>
        <w:tc>
          <w:tcPr>
            <w:tcW w:w="1170" w:type="dxa"/>
          </w:tcPr>
          <w:p w14:paraId="22FDBB50" w14:textId="77777777" w:rsidR="00FB5D57" w:rsidRPr="005909AA" w:rsidRDefault="00FB5D57" w:rsidP="005B2C0B">
            <w:pPr>
              <w:keepNext/>
              <w:spacing w:before="120" w:after="120"/>
              <w:jc w:val="center"/>
            </w:pPr>
            <w:r w:rsidRPr="005909AA">
              <w:t xml:space="preserve"> 0</w:t>
            </w:r>
          </w:p>
        </w:tc>
        <w:tc>
          <w:tcPr>
            <w:tcW w:w="990" w:type="dxa"/>
          </w:tcPr>
          <w:p w14:paraId="7B07BE41" w14:textId="77777777" w:rsidR="00FB5D57" w:rsidRPr="005909AA" w:rsidRDefault="00FB5D57" w:rsidP="005B2C0B">
            <w:pPr>
              <w:keepNext/>
              <w:spacing w:before="120" w:after="120"/>
              <w:jc w:val="center"/>
            </w:pPr>
            <w:r w:rsidRPr="005909AA">
              <w:t>11</w:t>
            </w:r>
          </w:p>
        </w:tc>
        <w:tc>
          <w:tcPr>
            <w:tcW w:w="990" w:type="dxa"/>
          </w:tcPr>
          <w:p w14:paraId="731ACDC7" w14:textId="77777777" w:rsidR="00FB5D57" w:rsidRPr="005909AA" w:rsidRDefault="00FB5D57" w:rsidP="005B2C0B">
            <w:pPr>
              <w:keepNext/>
              <w:spacing w:before="120" w:after="120"/>
              <w:jc w:val="center"/>
            </w:pPr>
            <w:r w:rsidRPr="005909AA">
              <w:t xml:space="preserve">0 </w:t>
            </w:r>
          </w:p>
        </w:tc>
      </w:tr>
      <w:tr w:rsidR="00FB5D57" w:rsidRPr="005909AA" w14:paraId="133C77B2" w14:textId="77777777" w:rsidTr="007A01B5">
        <w:trPr>
          <w:cantSplit/>
          <w:trHeight w:val="262"/>
        </w:trPr>
        <w:tc>
          <w:tcPr>
            <w:tcW w:w="2420" w:type="dxa"/>
          </w:tcPr>
          <w:p w14:paraId="70ED9C80" w14:textId="77777777" w:rsidR="00FB5D57" w:rsidRPr="005909AA" w:rsidRDefault="00FB5D57" w:rsidP="0099195A">
            <w:pPr>
              <w:spacing w:before="60" w:after="60"/>
              <w:ind w:left="-14"/>
            </w:pPr>
            <w:r w:rsidRPr="005909AA">
              <w:t>2. Problem Solving*</w:t>
            </w:r>
          </w:p>
        </w:tc>
        <w:tc>
          <w:tcPr>
            <w:tcW w:w="1350" w:type="dxa"/>
          </w:tcPr>
          <w:p w14:paraId="6699E185" w14:textId="77777777" w:rsidR="00FB5D57" w:rsidRPr="005909AA" w:rsidRDefault="00FB5D57" w:rsidP="0099195A">
            <w:pPr>
              <w:spacing w:before="60" w:after="60"/>
              <w:jc w:val="center"/>
            </w:pPr>
            <w:r w:rsidRPr="005909AA">
              <w:t>1</w:t>
            </w:r>
          </w:p>
        </w:tc>
        <w:tc>
          <w:tcPr>
            <w:tcW w:w="1170" w:type="dxa"/>
          </w:tcPr>
          <w:p w14:paraId="386D9172" w14:textId="77777777" w:rsidR="00FB5D57" w:rsidRPr="005909AA" w:rsidRDefault="00FB5D57" w:rsidP="0099195A">
            <w:pPr>
              <w:spacing w:before="60" w:after="60"/>
              <w:jc w:val="center"/>
            </w:pPr>
            <w:r w:rsidRPr="005909AA">
              <w:t>1–2</w:t>
            </w:r>
          </w:p>
        </w:tc>
        <w:tc>
          <w:tcPr>
            <w:tcW w:w="1175" w:type="dxa"/>
          </w:tcPr>
          <w:p w14:paraId="5E718BFE" w14:textId="77777777" w:rsidR="00FB5D57" w:rsidRPr="005909AA" w:rsidRDefault="00FB5D57" w:rsidP="0099195A">
            <w:pPr>
              <w:spacing w:before="60" w:after="60"/>
              <w:jc w:val="center"/>
            </w:pPr>
            <w:r w:rsidRPr="005909AA">
              <w:t>1</w:t>
            </w:r>
          </w:p>
        </w:tc>
        <w:tc>
          <w:tcPr>
            <w:tcW w:w="1170" w:type="dxa"/>
          </w:tcPr>
          <w:p w14:paraId="45147759" w14:textId="77777777" w:rsidR="00FB5D57" w:rsidRPr="005909AA" w:rsidRDefault="00FB5D57" w:rsidP="0099195A">
            <w:pPr>
              <w:spacing w:before="60" w:after="60"/>
              <w:jc w:val="center"/>
            </w:pPr>
            <w:r w:rsidRPr="005909AA">
              <w:t>1–2</w:t>
            </w:r>
          </w:p>
        </w:tc>
        <w:tc>
          <w:tcPr>
            <w:tcW w:w="990" w:type="dxa"/>
          </w:tcPr>
          <w:p w14:paraId="3D3376A3" w14:textId="77777777" w:rsidR="00FB5D57" w:rsidRPr="005909AA" w:rsidRDefault="00FB5D57" w:rsidP="0099195A">
            <w:pPr>
              <w:spacing w:before="60" w:after="60"/>
              <w:jc w:val="center"/>
            </w:pPr>
            <w:r w:rsidRPr="005909AA">
              <w:t>1</w:t>
            </w:r>
          </w:p>
        </w:tc>
        <w:tc>
          <w:tcPr>
            <w:tcW w:w="990" w:type="dxa"/>
          </w:tcPr>
          <w:p w14:paraId="7A5B14DE" w14:textId="77777777" w:rsidR="00FB5D57" w:rsidRPr="005909AA" w:rsidRDefault="00FB5D57" w:rsidP="0099195A">
            <w:pPr>
              <w:spacing w:before="60" w:after="60"/>
              <w:jc w:val="center"/>
            </w:pPr>
            <w:r w:rsidRPr="005909AA">
              <w:t>1–2</w:t>
            </w:r>
          </w:p>
        </w:tc>
      </w:tr>
      <w:tr w:rsidR="00FB5D57" w:rsidRPr="005909AA" w14:paraId="5F648FAB" w14:textId="77777777" w:rsidTr="007A01B5">
        <w:trPr>
          <w:cantSplit/>
          <w:trHeight w:val="262"/>
        </w:trPr>
        <w:tc>
          <w:tcPr>
            <w:tcW w:w="2420" w:type="dxa"/>
          </w:tcPr>
          <w:p w14:paraId="11C8A2A3" w14:textId="77777777" w:rsidR="00FB5D57" w:rsidRPr="005909AA" w:rsidRDefault="00FB5D57" w:rsidP="0099195A">
            <w:pPr>
              <w:spacing w:before="60" w:after="60"/>
              <w:ind w:left="251" w:hanging="270"/>
            </w:pPr>
            <w:r w:rsidRPr="005909AA">
              <w:t>3. Communicating Reasoning</w:t>
            </w:r>
          </w:p>
        </w:tc>
        <w:tc>
          <w:tcPr>
            <w:tcW w:w="1350" w:type="dxa"/>
          </w:tcPr>
          <w:p w14:paraId="5913F8D1" w14:textId="77777777" w:rsidR="00FB5D57" w:rsidRPr="005909AA" w:rsidRDefault="00FB5D57" w:rsidP="005B2C0B">
            <w:pPr>
              <w:spacing w:before="120" w:after="120"/>
              <w:jc w:val="center"/>
            </w:pPr>
            <w:r w:rsidRPr="005909AA">
              <w:t>4</w:t>
            </w:r>
          </w:p>
        </w:tc>
        <w:tc>
          <w:tcPr>
            <w:tcW w:w="1170" w:type="dxa"/>
          </w:tcPr>
          <w:p w14:paraId="6E3D4D34" w14:textId="77777777" w:rsidR="00FB5D57" w:rsidRPr="005909AA" w:rsidRDefault="00FB5D57" w:rsidP="005B2C0B">
            <w:pPr>
              <w:spacing w:before="120" w:after="120"/>
              <w:jc w:val="center"/>
            </w:pPr>
            <w:r w:rsidRPr="005909AA">
              <w:t>0–2</w:t>
            </w:r>
          </w:p>
        </w:tc>
        <w:tc>
          <w:tcPr>
            <w:tcW w:w="1175" w:type="dxa"/>
          </w:tcPr>
          <w:p w14:paraId="40C7B795" w14:textId="77777777" w:rsidR="00FB5D57" w:rsidRPr="005909AA" w:rsidRDefault="00FB5D57" w:rsidP="005B2C0B">
            <w:pPr>
              <w:spacing w:before="120" w:after="120"/>
              <w:jc w:val="center"/>
            </w:pPr>
            <w:r w:rsidRPr="005909AA">
              <w:t>4</w:t>
            </w:r>
          </w:p>
        </w:tc>
        <w:tc>
          <w:tcPr>
            <w:tcW w:w="1170" w:type="dxa"/>
          </w:tcPr>
          <w:p w14:paraId="48DA93FD" w14:textId="77777777" w:rsidR="00FB5D57" w:rsidRPr="005909AA" w:rsidRDefault="00FB5D57" w:rsidP="005B2C0B">
            <w:pPr>
              <w:spacing w:before="120" w:after="120"/>
              <w:jc w:val="center"/>
            </w:pPr>
            <w:r w:rsidRPr="005909AA">
              <w:t>0–2</w:t>
            </w:r>
          </w:p>
        </w:tc>
        <w:tc>
          <w:tcPr>
            <w:tcW w:w="990" w:type="dxa"/>
          </w:tcPr>
          <w:p w14:paraId="046C27FB" w14:textId="77777777" w:rsidR="00FB5D57" w:rsidRPr="005909AA" w:rsidRDefault="00FB5D57" w:rsidP="005B2C0B">
            <w:pPr>
              <w:spacing w:before="120" w:after="120"/>
              <w:jc w:val="center"/>
            </w:pPr>
            <w:r w:rsidRPr="005909AA">
              <w:t>4</w:t>
            </w:r>
          </w:p>
        </w:tc>
        <w:tc>
          <w:tcPr>
            <w:tcW w:w="990" w:type="dxa"/>
          </w:tcPr>
          <w:p w14:paraId="44467E35" w14:textId="77777777" w:rsidR="00FB5D57" w:rsidRPr="005909AA" w:rsidRDefault="00FB5D57" w:rsidP="005B2C0B">
            <w:pPr>
              <w:spacing w:before="120" w:after="120"/>
              <w:jc w:val="center"/>
            </w:pPr>
            <w:r w:rsidRPr="005909AA">
              <w:t>0–2</w:t>
            </w:r>
          </w:p>
        </w:tc>
      </w:tr>
      <w:tr w:rsidR="00FB5D57" w:rsidRPr="005909AA" w14:paraId="5129365C" w14:textId="77777777" w:rsidTr="007A01B5">
        <w:trPr>
          <w:cantSplit/>
          <w:trHeight w:val="262"/>
        </w:trPr>
        <w:tc>
          <w:tcPr>
            <w:tcW w:w="2420" w:type="dxa"/>
          </w:tcPr>
          <w:p w14:paraId="2FE879D9" w14:textId="77777777" w:rsidR="00FB5D57" w:rsidRPr="005909AA" w:rsidRDefault="00FB5D57" w:rsidP="0099195A">
            <w:pPr>
              <w:spacing w:before="60" w:after="60"/>
              <w:ind w:left="251" w:hanging="270"/>
            </w:pPr>
            <w:r w:rsidRPr="005909AA">
              <w:t>4. Modeling and Data Analysis*</w:t>
            </w:r>
          </w:p>
        </w:tc>
        <w:tc>
          <w:tcPr>
            <w:tcW w:w="1350" w:type="dxa"/>
          </w:tcPr>
          <w:p w14:paraId="049754CD" w14:textId="77777777" w:rsidR="00FB5D57" w:rsidRPr="005909AA" w:rsidRDefault="00FB5D57" w:rsidP="005B2C0B">
            <w:pPr>
              <w:spacing w:before="120" w:after="120"/>
              <w:jc w:val="center"/>
            </w:pPr>
            <w:r w:rsidRPr="005909AA">
              <w:t>2</w:t>
            </w:r>
          </w:p>
        </w:tc>
        <w:tc>
          <w:tcPr>
            <w:tcW w:w="1170" w:type="dxa"/>
          </w:tcPr>
          <w:p w14:paraId="3C9CDD38" w14:textId="77777777" w:rsidR="00FB5D57" w:rsidRPr="005909AA" w:rsidRDefault="00FB5D57" w:rsidP="005B2C0B">
            <w:pPr>
              <w:spacing w:before="120" w:after="120"/>
              <w:jc w:val="center"/>
            </w:pPr>
            <w:r w:rsidRPr="005909AA">
              <w:t>1–3</w:t>
            </w:r>
          </w:p>
        </w:tc>
        <w:tc>
          <w:tcPr>
            <w:tcW w:w="1175" w:type="dxa"/>
          </w:tcPr>
          <w:p w14:paraId="68DF6F47" w14:textId="77777777" w:rsidR="00FB5D57" w:rsidRPr="005909AA" w:rsidRDefault="00FB5D57" w:rsidP="005B2C0B">
            <w:pPr>
              <w:spacing w:before="120" w:after="120"/>
              <w:jc w:val="center"/>
            </w:pPr>
            <w:r w:rsidRPr="005909AA">
              <w:t>2</w:t>
            </w:r>
          </w:p>
        </w:tc>
        <w:tc>
          <w:tcPr>
            <w:tcW w:w="1170" w:type="dxa"/>
          </w:tcPr>
          <w:p w14:paraId="5EBCF100" w14:textId="77777777" w:rsidR="00FB5D57" w:rsidRPr="005909AA" w:rsidRDefault="00FB5D57" w:rsidP="005B2C0B">
            <w:pPr>
              <w:spacing w:before="120" w:after="120"/>
              <w:jc w:val="center"/>
            </w:pPr>
            <w:r w:rsidRPr="005909AA">
              <w:t>1–3</w:t>
            </w:r>
          </w:p>
        </w:tc>
        <w:tc>
          <w:tcPr>
            <w:tcW w:w="990" w:type="dxa"/>
          </w:tcPr>
          <w:p w14:paraId="117670A8" w14:textId="77777777" w:rsidR="00FB5D57" w:rsidRPr="005909AA" w:rsidRDefault="00FB5D57" w:rsidP="005B2C0B">
            <w:pPr>
              <w:spacing w:before="120" w:after="120"/>
              <w:jc w:val="center"/>
            </w:pPr>
            <w:r w:rsidRPr="005909AA">
              <w:t>2</w:t>
            </w:r>
          </w:p>
        </w:tc>
        <w:tc>
          <w:tcPr>
            <w:tcW w:w="990" w:type="dxa"/>
          </w:tcPr>
          <w:p w14:paraId="07CCA6D7" w14:textId="77777777" w:rsidR="00FB5D57" w:rsidRPr="005909AA" w:rsidRDefault="00FB5D57" w:rsidP="005B2C0B">
            <w:pPr>
              <w:spacing w:before="120" w:after="120"/>
              <w:jc w:val="center"/>
            </w:pPr>
            <w:r w:rsidRPr="005909AA">
              <w:t>1–3</w:t>
            </w:r>
          </w:p>
        </w:tc>
      </w:tr>
    </w:tbl>
    <w:p w14:paraId="3517405D" w14:textId="77777777" w:rsidR="00FB5D57" w:rsidRPr="005909AA" w:rsidRDefault="00FB5D57" w:rsidP="0099195A">
      <w:pPr>
        <w:spacing w:before="40" w:after="240" w:line="252" w:lineRule="auto"/>
      </w:pPr>
      <w:r w:rsidRPr="005909AA">
        <w:t>*Claims 2 and 4 were reported as one reporting claim category with use of the full form blueprint.</w:t>
      </w:r>
    </w:p>
    <w:p w14:paraId="43D77112" w14:textId="498372A6" w:rsidR="00863F03" w:rsidRDefault="00E43387" w:rsidP="00FB5D57">
      <w:pPr>
        <w:spacing w:after="240"/>
      </w:pPr>
      <w:r>
        <w:t>C</w:t>
      </w:r>
      <w:r w:rsidRPr="005909AA">
        <w:t xml:space="preserve">ontinuing </w:t>
      </w:r>
      <w:r>
        <w:t xml:space="preserve">the </w:t>
      </w:r>
      <w:r w:rsidRPr="005909AA">
        <w:t xml:space="preserve">use of the adjusted </w:t>
      </w:r>
      <w:r w:rsidR="0065006C">
        <w:t xml:space="preserve">form </w:t>
      </w:r>
      <w:r w:rsidRPr="005909AA">
        <w:t xml:space="preserve">blueprints </w:t>
      </w:r>
      <w:r>
        <w:t>offers</w:t>
      </w:r>
      <w:r w:rsidR="00863F03">
        <w:t xml:space="preserve"> several</w:t>
      </w:r>
      <w:r w:rsidR="00FB5D57" w:rsidRPr="005909AA" w:rsidDel="00863F03">
        <w:t xml:space="preserve"> </w:t>
      </w:r>
      <w:r w:rsidR="00FB5D57" w:rsidRPr="005909AA">
        <w:t>key advantages</w:t>
      </w:r>
      <w:r w:rsidR="00FB5D57" w:rsidRPr="00B6126F">
        <w:t>.</w:t>
      </w:r>
      <w:r w:rsidR="00FB5D57" w:rsidRPr="005909AA">
        <w:t xml:space="preserve"> </w:t>
      </w:r>
      <w:r w:rsidR="00FB5D57" w:rsidRPr="005909AA">
        <w:rPr>
          <w:rFonts w:eastAsia="Arial"/>
        </w:rPr>
        <w:t xml:space="preserve">The adaptive portion and the integrated PT of each test </w:t>
      </w:r>
      <w:r w:rsidR="199CD160" w:rsidRPr="7E483798">
        <w:rPr>
          <w:rFonts w:eastAsia="Arial"/>
        </w:rPr>
        <w:t>are</w:t>
      </w:r>
      <w:r w:rsidR="00FB5D57" w:rsidRPr="005909AA">
        <w:rPr>
          <w:rFonts w:eastAsia="Arial"/>
        </w:rPr>
        <w:t xml:space="preserve"> maintained through the use of the adjusted </w:t>
      </w:r>
      <w:r w:rsidR="0065006C">
        <w:rPr>
          <w:rFonts w:eastAsia="Arial"/>
        </w:rPr>
        <w:t xml:space="preserve">form </w:t>
      </w:r>
      <w:r w:rsidR="00FB5D57" w:rsidRPr="005909AA">
        <w:rPr>
          <w:rFonts w:eastAsia="Arial"/>
        </w:rPr>
        <w:t xml:space="preserve">blueprints. </w:t>
      </w:r>
      <w:r w:rsidR="00FB5D57" w:rsidRPr="005909AA">
        <w:t>Reducing the amount of time students spend on the summative assessments provides for increased instructional time, more flexibility in scheduling for the adequate monitoring of administrations, and</w:t>
      </w:r>
      <w:r w:rsidR="00C21B6F">
        <w:t xml:space="preserve"> a</w:t>
      </w:r>
      <w:r w:rsidR="00FB5D57" w:rsidRPr="005909AA">
        <w:t xml:space="preserve"> </w:t>
      </w:r>
      <w:r w:rsidR="00C21B6F">
        <w:t>minimized</w:t>
      </w:r>
      <w:r w:rsidR="00FB5D57" w:rsidRPr="005909AA">
        <w:t xml:space="preserve"> risk of connectivity or network issues. </w:t>
      </w:r>
      <w:r w:rsidR="00863F03" w:rsidRPr="005909AA">
        <w:rPr>
          <w:rFonts w:eastAsia="Arial"/>
        </w:rPr>
        <w:t>The estimated testing times for the Smarter Balanced full</w:t>
      </w:r>
      <w:r w:rsidR="001A5DE6">
        <w:rPr>
          <w:rFonts w:eastAsia="Arial"/>
        </w:rPr>
        <w:t xml:space="preserve"> </w:t>
      </w:r>
      <w:r w:rsidR="00863F03" w:rsidRPr="005909AA">
        <w:rPr>
          <w:rFonts w:eastAsia="Arial"/>
        </w:rPr>
        <w:t xml:space="preserve">form and adjusted </w:t>
      </w:r>
      <w:r w:rsidR="0065006C">
        <w:rPr>
          <w:rFonts w:eastAsia="Arial"/>
        </w:rPr>
        <w:t xml:space="preserve">form </w:t>
      </w:r>
      <w:r w:rsidR="00863F03" w:rsidRPr="005909AA">
        <w:rPr>
          <w:rFonts w:eastAsia="Arial"/>
        </w:rPr>
        <w:t>blueprints, as well as other non-Smarter Balanced CAASPP summative assessments, can be found in table 3 and table 4.</w:t>
      </w:r>
    </w:p>
    <w:p w14:paraId="1A7240F7" w14:textId="52D23500" w:rsidR="008C511F" w:rsidRPr="005909AA" w:rsidRDefault="008C511F" w:rsidP="004C7E6E">
      <w:pPr>
        <w:keepNext/>
        <w:spacing w:before="240" w:after="60"/>
        <w:rPr>
          <w:b/>
          <w:bCs/>
        </w:rPr>
      </w:pPr>
      <w:r w:rsidRPr="005909AA">
        <w:rPr>
          <w:b/>
          <w:bCs/>
        </w:rPr>
        <w:t xml:space="preserve">Table 3. Estimated Testing Times for Smarter Balanced Summative Assessments Full </w:t>
      </w:r>
      <w:r w:rsidR="0065006C">
        <w:rPr>
          <w:b/>
          <w:bCs/>
        </w:rPr>
        <w:t xml:space="preserve">Form </w:t>
      </w:r>
      <w:r w:rsidRPr="005909AA">
        <w:rPr>
          <w:b/>
          <w:bCs/>
        </w:rPr>
        <w:t xml:space="preserve">and Adjusted </w:t>
      </w:r>
      <w:r w:rsidR="0065006C">
        <w:rPr>
          <w:b/>
          <w:bCs/>
        </w:rPr>
        <w:t xml:space="preserve">Form </w:t>
      </w:r>
      <w:r w:rsidR="00986F1E">
        <w:rPr>
          <w:b/>
          <w:bCs/>
        </w:rPr>
        <w:t>Blueprints</w:t>
      </w:r>
    </w:p>
    <w:tbl>
      <w:tblPr>
        <w:tblStyle w:val="TableGrid"/>
        <w:tblW w:w="94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Caption w:val="Table 3. Estimated Testing Times for Smarter Balanced Summative Assessments Full and Adjusted Forms"/>
        <w:tblDescription w:val="Table 3 provides the estimated testing times for Smarter Balanced ELA and mathematics summative assessments for both the full and adjusted forms. "/>
      </w:tblPr>
      <w:tblGrid>
        <w:gridCol w:w="1255"/>
        <w:gridCol w:w="990"/>
        <w:gridCol w:w="1440"/>
        <w:gridCol w:w="1440"/>
        <w:gridCol w:w="1440"/>
        <w:gridCol w:w="1440"/>
        <w:gridCol w:w="1492"/>
      </w:tblGrid>
      <w:tr w:rsidR="008C511F" w:rsidRPr="005909AA" w14:paraId="611011B8" w14:textId="77777777" w:rsidTr="00686B9E">
        <w:trPr>
          <w:cantSplit/>
          <w:trHeight w:val="1331"/>
          <w:tblHeader/>
          <w:jc w:val="center"/>
        </w:trPr>
        <w:tc>
          <w:tcPr>
            <w:tcW w:w="1255" w:type="dxa"/>
            <w:shd w:val="clear" w:color="auto" w:fill="E7E6E6" w:themeFill="background2"/>
            <w:vAlign w:val="center"/>
          </w:tcPr>
          <w:p w14:paraId="2C330D16" w14:textId="77777777" w:rsidR="008C511F" w:rsidRPr="005909AA" w:rsidRDefault="008C511F" w:rsidP="00686B9E">
            <w:pPr>
              <w:keepNext/>
              <w:spacing w:before="120" w:after="120"/>
              <w:jc w:val="center"/>
              <w:rPr>
                <w:rFonts w:eastAsia="Arial"/>
                <w:b/>
                <w:bCs/>
                <w:color w:val="000000" w:themeColor="text1"/>
                <w:sz w:val="22"/>
                <w:szCs w:val="22"/>
              </w:rPr>
            </w:pPr>
            <w:r w:rsidRPr="005909AA">
              <w:rPr>
                <w:rFonts w:eastAsia="Arial"/>
                <w:b/>
                <w:bCs/>
                <w:color w:val="000000" w:themeColor="text1"/>
                <w:sz w:val="22"/>
                <w:szCs w:val="22"/>
              </w:rPr>
              <w:t>Content Area</w:t>
            </w:r>
          </w:p>
        </w:tc>
        <w:tc>
          <w:tcPr>
            <w:tcW w:w="990" w:type="dxa"/>
            <w:shd w:val="clear" w:color="auto" w:fill="E7E6E6" w:themeFill="background2"/>
            <w:vAlign w:val="center"/>
          </w:tcPr>
          <w:p w14:paraId="3D89D82A" w14:textId="77777777" w:rsidR="008C511F" w:rsidRPr="005909AA" w:rsidRDefault="008C511F" w:rsidP="00686B9E">
            <w:pPr>
              <w:keepNext/>
              <w:spacing w:before="120" w:after="120"/>
              <w:jc w:val="center"/>
              <w:rPr>
                <w:rFonts w:eastAsia="Arial"/>
                <w:b/>
                <w:bCs/>
                <w:color w:val="000000" w:themeColor="text1"/>
                <w:sz w:val="22"/>
                <w:szCs w:val="22"/>
              </w:rPr>
            </w:pPr>
            <w:r w:rsidRPr="005909AA">
              <w:rPr>
                <w:rFonts w:eastAsia="Arial"/>
                <w:b/>
                <w:bCs/>
                <w:color w:val="000000" w:themeColor="text1"/>
                <w:sz w:val="22"/>
                <w:szCs w:val="22"/>
              </w:rPr>
              <w:t>Grades</w:t>
            </w:r>
          </w:p>
        </w:tc>
        <w:tc>
          <w:tcPr>
            <w:tcW w:w="1440" w:type="dxa"/>
            <w:shd w:val="clear" w:color="auto" w:fill="E7E6E6" w:themeFill="background2"/>
            <w:vAlign w:val="center"/>
          </w:tcPr>
          <w:p w14:paraId="6C368E8F" w14:textId="031352A2" w:rsidR="008C511F" w:rsidRPr="005909AA" w:rsidRDefault="008C511F" w:rsidP="00686B9E">
            <w:pPr>
              <w:keepNext/>
              <w:spacing w:before="120" w:after="120"/>
              <w:jc w:val="center"/>
              <w:rPr>
                <w:rFonts w:eastAsia="Arial"/>
                <w:b/>
                <w:bCs/>
                <w:iCs/>
                <w:color w:val="000000" w:themeColor="text1"/>
                <w:sz w:val="22"/>
                <w:szCs w:val="22"/>
              </w:rPr>
            </w:pPr>
            <w:r w:rsidRPr="005909AA">
              <w:rPr>
                <w:rFonts w:eastAsia="Arial"/>
                <w:b/>
                <w:bCs/>
                <w:iCs/>
                <w:color w:val="000000" w:themeColor="text1"/>
                <w:sz w:val="22"/>
                <w:szCs w:val="22"/>
              </w:rPr>
              <w:t>Full</w:t>
            </w:r>
            <w:r w:rsidR="00031F26">
              <w:rPr>
                <w:rFonts w:eastAsia="Arial"/>
                <w:b/>
                <w:bCs/>
                <w:iCs/>
                <w:color w:val="000000" w:themeColor="text1"/>
                <w:sz w:val="22"/>
                <w:szCs w:val="22"/>
              </w:rPr>
              <w:t xml:space="preserve"> </w:t>
            </w:r>
            <w:r w:rsidRPr="005909AA">
              <w:rPr>
                <w:rFonts w:eastAsia="Arial"/>
                <w:b/>
                <w:bCs/>
                <w:iCs/>
                <w:color w:val="000000" w:themeColor="text1"/>
                <w:sz w:val="22"/>
                <w:szCs w:val="22"/>
              </w:rPr>
              <w:t xml:space="preserve">Form CAT </w:t>
            </w:r>
            <w:r w:rsidRPr="005909AA">
              <w:rPr>
                <w:b/>
                <w:bCs/>
              </w:rPr>
              <w:t>Estimated Testing Time</w:t>
            </w:r>
          </w:p>
        </w:tc>
        <w:tc>
          <w:tcPr>
            <w:tcW w:w="1440" w:type="dxa"/>
            <w:shd w:val="clear" w:color="auto" w:fill="E7E6E6" w:themeFill="background2"/>
            <w:vAlign w:val="center"/>
          </w:tcPr>
          <w:p w14:paraId="0407F2D9" w14:textId="52FFFDAB" w:rsidR="008C511F" w:rsidRPr="005909AA" w:rsidRDefault="00A54DB0" w:rsidP="00686B9E">
            <w:pPr>
              <w:keepNext/>
              <w:spacing w:before="120" w:after="120"/>
              <w:jc w:val="center"/>
              <w:rPr>
                <w:rFonts w:eastAsia="Arial"/>
                <w:b/>
                <w:bCs/>
                <w:color w:val="000000" w:themeColor="text1"/>
                <w:sz w:val="22"/>
                <w:szCs w:val="22"/>
              </w:rPr>
            </w:pPr>
            <w:r w:rsidRPr="005909AA">
              <w:rPr>
                <w:rFonts w:eastAsia="Arial"/>
                <w:b/>
                <w:bCs/>
                <w:color w:val="000000" w:themeColor="text1"/>
                <w:sz w:val="22"/>
                <w:szCs w:val="22"/>
              </w:rPr>
              <w:t>Adjusted</w:t>
            </w:r>
            <w:r w:rsidR="00A02F87">
              <w:rPr>
                <w:rFonts w:eastAsia="Arial"/>
                <w:b/>
                <w:bCs/>
                <w:color w:val="000000" w:themeColor="text1"/>
                <w:sz w:val="22"/>
                <w:szCs w:val="22"/>
              </w:rPr>
              <w:t xml:space="preserve"> </w:t>
            </w:r>
            <w:r w:rsidR="008C511F" w:rsidRPr="005909AA">
              <w:rPr>
                <w:rFonts w:eastAsia="Arial"/>
                <w:b/>
                <w:bCs/>
                <w:color w:val="000000" w:themeColor="text1"/>
                <w:sz w:val="22"/>
                <w:szCs w:val="22"/>
              </w:rPr>
              <w:t xml:space="preserve">Form CAT </w:t>
            </w:r>
            <w:r w:rsidR="008C511F" w:rsidRPr="005909AA">
              <w:rPr>
                <w:b/>
                <w:bCs/>
              </w:rPr>
              <w:t>Estimated Testing Time</w:t>
            </w:r>
          </w:p>
        </w:tc>
        <w:tc>
          <w:tcPr>
            <w:tcW w:w="1440" w:type="dxa"/>
            <w:shd w:val="clear" w:color="auto" w:fill="E7E6E6" w:themeFill="background2"/>
            <w:vAlign w:val="center"/>
          </w:tcPr>
          <w:p w14:paraId="45C00DC0" w14:textId="2FC32D52" w:rsidR="008C511F" w:rsidRPr="005909AA" w:rsidRDefault="008C511F" w:rsidP="00C85A27">
            <w:pPr>
              <w:keepNext/>
              <w:spacing w:before="120" w:after="120"/>
              <w:jc w:val="center"/>
              <w:rPr>
                <w:rFonts w:eastAsia="Arial"/>
                <w:b/>
                <w:bCs/>
                <w:color w:val="000000" w:themeColor="text1"/>
                <w:sz w:val="22"/>
                <w:szCs w:val="22"/>
              </w:rPr>
            </w:pPr>
            <w:r w:rsidRPr="005909AA">
              <w:rPr>
                <w:rFonts w:eastAsia="Arial"/>
                <w:b/>
                <w:bCs/>
                <w:color w:val="000000" w:themeColor="text1"/>
                <w:sz w:val="22"/>
                <w:szCs w:val="22"/>
              </w:rPr>
              <w:t xml:space="preserve">PT </w:t>
            </w:r>
            <w:r w:rsidRPr="005909AA">
              <w:rPr>
                <w:b/>
                <w:bCs/>
              </w:rPr>
              <w:t>Estimated Testing Time</w:t>
            </w:r>
          </w:p>
        </w:tc>
        <w:tc>
          <w:tcPr>
            <w:tcW w:w="1440" w:type="dxa"/>
            <w:shd w:val="clear" w:color="auto" w:fill="E7E6E6" w:themeFill="background2"/>
            <w:vAlign w:val="center"/>
          </w:tcPr>
          <w:p w14:paraId="73DC6985" w14:textId="1B441965" w:rsidR="008C511F" w:rsidRPr="005909AA" w:rsidRDefault="008C511F" w:rsidP="00686B9E">
            <w:pPr>
              <w:keepNext/>
              <w:spacing w:before="120" w:after="120"/>
              <w:jc w:val="center"/>
              <w:rPr>
                <w:rFonts w:eastAsia="Arial"/>
                <w:b/>
                <w:bCs/>
                <w:iCs/>
                <w:color w:val="000000" w:themeColor="text1"/>
                <w:sz w:val="22"/>
                <w:szCs w:val="22"/>
              </w:rPr>
            </w:pPr>
            <w:r w:rsidRPr="005909AA">
              <w:rPr>
                <w:rFonts w:eastAsia="Arial"/>
                <w:b/>
                <w:bCs/>
                <w:iCs/>
                <w:color w:val="000000" w:themeColor="text1"/>
                <w:sz w:val="22"/>
                <w:szCs w:val="22"/>
              </w:rPr>
              <w:t>Full</w:t>
            </w:r>
            <w:r w:rsidR="00A02F87">
              <w:rPr>
                <w:rFonts w:eastAsia="Arial"/>
                <w:b/>
                <w:bCs/>
                <w:iCs/>
                <w:color w:val="000000" w:themeColor="text1"/>
                <w:sz w:val="22"/>
                <w:szCs w:val="22"/>
              </w:rPr>
              <w:t xml:space="preserve"> </w:t>
            </w:r>
            <w:r w:rsidRPr="005909AA">
              <w:rPr>
                <w:rFonts w:eastAsia="Arial"/>
                <w:b/>
                <w:bCs/>
                <w:iCs/>
                <w:color w:val="000000" w:themeColor="text1"/>
                <w:sz w:val="22"/>
                <w:szCs w:val="22"/>
              </w:rPr>
              <w:t xml:space="preserve">Form Total </w:t>
            </w:r>
            <w:r w:rsidRPr="005909AA">
              <w:rPr>
                <w:b/>
                <w:bCs/>
              </w:rPr>
              <w:t>Estimated Testing Time</w:t>
            </w:r>
          </w:p>
        </w:tc>
        <w:tc>
          <w:tcPr>
            <w:tcW w:w="1492" w:type="dxa"/>
            <w:shd w:val="clear" w:color="auto" w:fill="E7E6E6" w:themeFill="background2"/>
            <w:vAlign w:val="center"/>
          </w:tcPr>
          <w:p w14:paraId="69C90D4C" w14:textId="6BD242F0" w:rsidR="008C511F" w:rsidRPr="005909AA" w:rsidRDefault="00A54DB0" w:rsidP="00686B9E">
            <w:pPr>
              <w:keepNext/>
              <w:spacing w:before="120" w:after="120"/>
              <w:jc w:val="center"/>
              <w:rPr>
                <w:rFonts w:eastAsia="Arial"/>
                <w:b/>
                <w:bCs/>
                <w:color w:val="000000" w:themeColor="text1"/>
                <w:sz w:val="22"/>
                <w:szCs w:val="22"/>
              </w:rPr>
            </w:pPr>
            <w:r w:rsidRPr="005909AA">
              <w:rPr>
                <w:rFonts w:eastAsia="Arial"/>
                <w:b/>
                <w:bCs/>
                <w:color w:val="000000" w:themeColor="text1"/>
                <w:sz w:val="22"/>
                <w:szCs w:val="22"/>
              </w:rPr>
              <w:t>Adjusted</w:t>
            </w:r>
            <w:r w:rsidR="00A02F87">
              <w:rPr>
                <w:rFonts w:eastAsia="Arial"/>
                <w:b/>
                <w:bCs/>
                <w:color w:val="000000" w:themeColor="text1"/>
                <w:sz w:val="22"/>
                <w:szCs w:val="22"/>
              </w:rPr>
              <w:t xml:space="preserve"> </w:t>
            </w:r>
            <w:r w:rsidR="008C511F" w:rsidRPr="005909AA">
              <w:rPr>
                <w:rFonts w:eastAsia="Arial"/>
                <w:b/>
                <w:bCs/>
                <w:color w:val="000000" w:themeColor="text1"/>
                <w:sz w:val="22"/>
                <w:szCs w:val="22"/>
              </w:rPr>
              <w:t xml:space="preserve">Form Total </w:t>
            </w:r>
            <w:r w:rsidR="008C511F" w:rsidRPr="005909AA">
              <w:rPr>
                <w:b/>
                <w:bCs/>
              </w:rPr>
              <w:t>Estimated Testing Time</w:t>
            </w:r>
          </w:p>
        </w:tc>
      </w:tr>
      <w:tr w:rsidR="008C511F" w:rsidRPr="005909AA" w14:paraId="30178929" w14:textId="77777777" w:rsidTr="00686B9E">
        <w:trPr>
          <w:cantSplit/>
          <w:trHeight w:val="350"/>
          <w:jc w:val="center"/>
        </w:trPr>
        <w:tc>
          <w:tcPr>
            <w:tcW w:w="1255" w:type="dxa"/>
            <w:vAlign w:val="center"/>
          </w:tcPr>
          <w:p w14:paraId="4084BC60" w14:textId="77777777" w:rsidR="008C511F" w:rsidRPr="009F676B" w:rsidRDefault="008C511F" w:rsidP="009F676B">
            <w:pPr>
              <w:keepNext/>
              <w:spacing w:before="60" w:after="60"/>
              <w:jc w:val="center"/>
              <w:rPr>
                <w:rFonts w:eastAsia="Arial"/>
                <w:color w:val="000000" w:themeColor="text1"/>
              </w:rPr>
            </w:pPr>
            <w:r w:rsidRPr="009F676B">
              <w:rPr>
                <w:rFonts w:eastAsia="Arial"/>
                <w:color w:val="000000" w:themeColor="text1"/>
              </w:rPr>
              <w:t xml:space="preserve">ELA </w:t>
            </w:r>
          </w:p>
        </w:tc>
        <w:tc>
          <w:tcPr>
            <w:tcW w:w="990" w:type="dxa"/>
            <w:vAlign w:val="center"/>
          </w:tcPr>
          <w:p w14:paraId="3F3B845E" w14:textId="77777777" w:rsidR="008C511F" w:rsidRPr="005909AA" w:rsidRDefault="008C511F" w:rsidP="009F676B">
            <w:pPr>
              <w:keepNext/>
              <w:spacing w:before="60" w:after="60"/>
              <w:jc w:val="center"/>
              <w:rPr>
                <w:rFonts w:eastAsia="Arial"/>
                <w:color w:val="000000" w:themeColor="text1"/>
              </w:rPr>
            </w:pPr>
            <w:r w:rsidRPr="005909AA">
              <w:rPr>
                <w:rFonts w:eastAsia="Arial"/>
                <w:color w:val="000000" w:themeColor="text1"/>
              </w:rPr>
              <w:t>3–5</w:t>
            </w:r>
          </w:p>
        </w:tc>
        <w:tc>
          <w:tcPr>
            <w:tcW w:w="1440" w:type="dxa"/>
            <w:vAlign w:val="center"/>
          </w:tcPr>
          <w:p w14:paraId="6951EDA7" w14:textId="77777777" w:rsidR="008C511F" w:rsidRPr="005909AA" w:rsidRDefault="008C511F" w:rsidP="009F676B">
            <w:pPr>
              <w:keepNext/>
              <w:spacing w:before="60" w:after="60"/>
              <w:jc w:val="center"/>
              <w:rPr>
                <w:rFonts w:eastAsia="Arial"/>
                <w:iCs/>
                <w:color w:val="000000" w:themeColor="text1"/>
              </w:rPr>
            </w:pPr>
            <w:r w:rsidRPr="005909AA">
              <w:rPr>
                <w:rFonts w:eastAsia="Arial"/>
                <w:iCs/>
                <w:color w:val="000000" w:themeColor="text1"/>
              </w:rPr>
              <w:t>1:30</w:t>
            </w:r>
          </w:p>
        </w:tc>
        <w:tc>
          <w:tcPr>
            <w:tcW w:w="1440" w:type="dxa"/>
            <w:vAlign w:val="center"/>
          </w:tcPr>
          <w:p w14:paraId="071701E7" w14:textId="77777777" w:rsidR="008C511F" w:rsidRPr="009F676B" w:rsidRDefault="008C511F" w:rsidP="009F676B">
            <w:pPr>
              <w:keepNext/>
              <w:spacing w:before="60" w:after="60"/>
              <w:jc w:val="center"/>
              <w:rPr>
                <w:rFonts w:eastAsia="Arial"/>
                <w:color w:val="000000" w:themeColor="text1"/>
              </w:rPr>
            </w:pPr>
            <w:r w:rsidRPr="009F676B">
              <w:rPr>
                <w:rFonts w:eastAsia="Arial"/>
                <w:color w:val="000000" w:themeColor="text1"/>
              </w:rPr>
              <w:t>0:45</w:t>
            </w:r>
          </w:p>
        </w:tc>
        <w:tc>
          <w:tcPr>
            <w:tcW w:w="1440" w:type="dxa"/>
            <w:vAlign w:val="center"/>
          </w:tcPr>
          <w:p w14:paraId="18B0B36B" w14:textId="77777777" w:rsidR="008C511F" w:rsidRPr="005909AA" w:rsidRDefault="008C511F" w:rsidP="009F676B">
            <w:pPr>
              <w:keepNext/>
              <w:spacing w:before="60" w:after="60"/>
              <w:jc w:val="center"/>
              <w:rPr>
                <w:rFonts w:eastAsia="Arial"/>
                <w:color w:val="000000" w:themeColor="text1"/>
              </w:rPr>
            </w:pPr>
            <w:r w:rsidRPr="005909AA">
              <w:rPr>
                <w:rFonts w:eastAsia="Arial"/>
                <w:color w:val="000000" w:themeColor="text1"/>
              </w:rPr>
              <w:t>2:00</w:t>
            </w:r>
          </w:p>
        </w:tc>
        <w:tc>
          <w:tcPr>
            <w:tcW w:w="1440" w:type="dxa"/>
            <w:vAlign w:val="center"/>
          </w:tcPr>
          <w:p w14:paraId="4DDFC1B3" w14:textId="77777777" w:rsidR="008C511F" w:rsidRPr="005909AA" w:rsidRDefault="008C511F" w:rsidP="009F676B">
            <w:pPr>
              <w:keepNext/>
              <w:spacing w:before="60" w:after="60"/>
              <w:jc w:val="center"/>
              <w:rPr>
                <w:rFonts w:eastAsia="Arial"/>
                <w:iCs/>
                <w:color w:val="000000" w:themeColor="text1"/>
              </w:rPr>
            </w:pPr>
            <w:r w:rsidRPr="005909AA">
              <w:rPr>
                <w:rFonts w:eastAsia="Arial"/>
                <w:iCs/>
                <w:color w:val="000000" w:themeColor="text1"/>
              </w:rPr>
              <w:t>3:30</w:t>
            </w:r>
          </w:p>
        </w:tc>
        <w:tc>
          <w:tcPr>
            <w:tcW w:w="1492" w:type="dxa"/>
            <w:vAlign w:val="bottom"/>
          </w:tcPr>
          <w:p w14:paraId="1C16C1DA" w14:textId="77777777" w:rsidR="008C511F" w:rsidRPr="009F676B" w:rsidRDefault="008C511F" w:rsidP="009F676B">
            <w:pPr>
              <w:keepNext/>
              <w:spacing w:before="60" w:after="60"/>
              <w:jc w:val="center"/>
              <w:rPr>
                <w:rFonts w:eastAsia="Arial"/>
                <w:color w:val="000000" w:themeColor="text1"/>
              </w:rPr>
            </w:pPr>
            <w:r w:rsidRPr="009F676B">
              <w:rPr>
                <w:rFonts w:eastAsia="Arial"/>
                <w:color w:val="000000" w:themeColor="text1"/>
              </w:rPr>
              <w:t>2:45</w:t>
            </w:r>
          </w:p>
        </w:tc>
      </w:tr>
      <w:tr w:rsidR="008C511F" w:rsidRPr="005909AA" w14:paraId="62D8F94C" w14:textId="77777777" w:rsidTr="00686B9E">
        <w:trPr>
          <w:cantSplit/>
          <w:trHeight w:val="465"/>
          <w:jc w:val="center"/>
        </w:trPr>
        <w:tc>
          <w:tcPr>
            <w:tcW w:w="1255" w:type="dxa"/>
            <w:vAlign w:val="center"/>
          </w:tcPr>
          <w:p w14:paraId="11F5AFE1"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 xml:space="preserve">ELA </w:t>
            </w:r>
          </w:p>
        </w:tc>
        <w:tc>
          <w:tcPr>
            <w:tcW w:w="990" w:type="dxa"/>
            <w:vAlign w:val="center"/>
          </w:tcPr>
          <w:p w14:paraId="1969173E"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6–8</w:t>
            </w:r>
          </w:p>
        </w:tc>
        <w:tc>
          <w:tcPr>
            <w:tcW w:w="1440" w:type="dxa"/>
            <w:vAlign w:val="center"/>
          </w:tcPr>
          <w:p w14:paraId="6FAD6A74"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1:30</w:t>
            </w:r>
          </w:p>
        </w:tc>
        <w:tc>
          <w:tcPr>
            <w:tcW w:w="1440" w:type="dxa"/>
            <w:vAlign w:val="center"/>
          </w:tcPr>
          <w:p w14:paraId="6AD9E889"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0:45</w:t>
            </w:r>
          </w:p>
        </w:tc>
        <w:tc>
          <w:tcPr>
            <w:tcW w:w="1440" w:type="dxa"/>
            <w:vAlign w:val="center"/>
          </w:tcPr>
          <w:p w14:paraId="44BACE79"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2:00</w:t>
            </w:r>
          </w:p>
        </w:tc>
        <w:tc>
          <w:tcPr>
            <w:tcW w:w="1440" w:type="dxa"/>
            <w:vAlign w:val="center"/>
          </w:tcPr>
          <w:p w14:paraId="4D8FD7CA"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3:30</w:t>
            </w:r>
          </w:p>
        </w:tc>
        <w:tc>
          <w:tcPr>
            <w:tcW w:w="1492" w:type="dxa"/>
            <w:vAlign w:val="bottom"/>
          </w:tcPr>
          <w:p w14:paraId="22564670"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2:45</w:t>
            </w:r>
          </w:p>
        </w:tc>
      </w:tr>
      <w:tr w:rsidR="008C511F" w:rsidRPr="005909AA" w14:paraId="55F0CC00" w14:textId="77777777" w:rsidTr="00686B9E">
        <w:trPr>
          <w:cantSplit/>
          <w:trHeight w:val="465"/>
          <w:jc w:val="center"/>
        </w:trPr>
        <w:tc>
          <w:tcPr>
            <w:tcW w:w="1255" w:type="dxa"/>
            <w:vAlign w:val="center"/>
          </w:tcPr>
          <w:p w14:paraId="38E0C4CE"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 xml:space="preserve">ELA </w:t>
            </w:r>
          </w:p>
        </w:tc>
        <w:tc>
          <w:tcPr>
            <w:tcW w:w="990" w:type="dxa"/>
            <w:vAlign w:val="center"/>
          </w:tcPr>
          <w:p w14:paraId="21EAF7C4"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11</w:t>
            </w:r>
          </w:p>
        </w:tc>
        <w:tc>
          <w:tcPr>
            <w:tcW w:w="1440" w:type="dxa"/>
            <w:vAlign w:val="center"/>
          </w:tcPr>
          <w:p w14:paraId="4E2FE761"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2:00</w:t>
            </w:r>
          </w:p>
        </w:tc>
        <w:tc>
          <w:tcPr>
            <w:tcW w:w="1440" w:type="dxa"/>
            <w:vAlign w:val="center"/>
          </w:tcPr>
          <w:p w14:paraId="1ECC5187"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1:00</w:t>
            </w:r>
          </w:p>
        </w:tc>
        <w:tc>
          <w:tcPr>
            <w:tcW w:w="1440" w:type="dxa"/>
            <w:vAlign w:val="center"/>
          </w:tcPr>
          <w:p w14:paraId="1F6060FE"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2:00</w:t>
            </w:r>
          </w:p>
        </w:tc>
        <w:tc>
          <w:tcPr>
            <w:tcW w:w="1440" w:type="dxa"/>
            <w:vAlign w:val="center"/>
          </w:tcPr>
          <w:p w14:paraId="4F75A58C"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4:00</w:t>
            </w:r>
          </w:p>
        </w:tc>
        <w:tc>
          <w:tcPr>
            <w:tcW w:w="1492" w:type="dxa"/>
            <w:vAlign w:val="bottom"/>
          </w:tcPr>
          <w:p w14:paraId="6F5CCB51"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3:00</w:t>
            </w:r>
          </w:p>
        </w:tc>
      </w:tr>
      <w:tr w:rsidR="008C511F" w:rsidRPr="005909AA" w14:paraId="1032B9A9" w14:textId="77777777" w:rsidTr="00686B9E">
        <w:trPr>
          <w:cantSplit/>
          <w:trHeight w:val="465"/>
          <w:jc w:val="center"/>
        </w:trPr>
        <w:tc>
          <w:tcPr>
            <w:tcW w:w="1255" w:type="dxa"/>
            <w:shd w:val="clear" w:color="auto" w:fill="E7E6E6" w:themeFill="background2"/>
            <w:vAlign w:val="center"/>
          </w:tcPr>
          <w:p w14:paraId="11CEF34B"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 xml:space="preserve">Math </w:t>
            </w:r>
          </w:p>
        </w:tc>
        <w:tc>
          <w:tcPr>
            <w:tcW w:w="990" w:type="dxa"/>
            <w:shd w:val="clear" w:color="auto" w:fill="E7E6E6" w:themeFill="background2"/>
            <w:vAlign w:val="center"/>
          </w:tcPr>
          <w:p w14:paraId="4B584F2D"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3–5</w:t>
            </w:r>
          </w:p>
        </w:tc>
        <w:tc>
          <w:tcPr>
            <w:tcW w:w="1440" w:type="dxa"/>
            <w:shd w:val="clear" w:color="auto" w:fill="E7E6E6" w:themeFill="background2"/>
            <w:vAlign w:val="center"/>
          </w:tcPr>
          <w:p w14:paraId="15E23D67"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1:30</w:t>
            </w:r>
          </w:p>
        </w:tc>
        <w:tc>
          <w:tcPr>
            <w:tcW w:w="1440" w:type="dxa"/>
            <w:shd w:val="clear" w:color="auto" w:fill="E7E6E6" w:themeFill="background2"/>
            <w:vAlign w:val="center"/>
          </w:tcPr>
          <w:p w14:paraId="235A59E8"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0:45</w:t>
            </w:r>
          </w:p>
        </w:tc>
        <w:tc>
          <w:tcPr>
            <w:tcW w:w="1440" w:type="dxa"/>
            <w:shd w:val="clear" w:color="auto" w:fill="E7E6E6" w:themeFill="background2"/>
            <w:vAlign w:val="center"/>
          </w:tcPr>
          <w:p w14:paraId="5C37E9AE"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1:00</w:t>
            </w:r>
          </w:p>
        </w:tc>
        <w:tc>
          <w:tcPr>
            <w:tcW w:w="1440" w:type="dxa"/>
            <w:shd w:val="clear" w:color="auto" w:fill="E7E6E6" w:themeFill="background2"/>
            <w:vAlign w:val="center"/>
          </w:tcPr>
          <w:p w14:paraId="680C8E3A"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2:30</w:t>
            </w:r>
          </w:p>
        </w:tc>
        <w:tc>
          <w:tcPr>
            <w:tcW w:w="1492" w:type="dxa"/>
            <w:shd w:val="clear" w:color="auto" w:fill="E7E6E6" w:themeFill="background2"/>
            <w:vAlign w:val="bottom"/>
          </w:tcPr>
          <w:p w14:paraId="44B934FD"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1:45</w:t>
            </w:r>
          </w:p>
        </w:tc>
      </w:tr>
      <w:tr w:rsidR="008C511F" w:rsidRPr="005909AA" w14:paraId="2BEACDEF" w14:textId="77777777" w:rsidTr="00686B9E">
        <w:trPr>
          <w:cantSplit/>
          <w:trHeight w:val="465"/>
          <w:jc w:val="center"/>
        </w:trPr>
        <w:tc>
          <w:tcPr>
            <w:tcW w:w="1255" w:type="dxa"/>
            <w:shd w:val="clear" w:color="auto" w:fill="E7E6E6" w:themeFill="background2"/>
            <w:vAlign w:val="center"/>
          </w:tcPr>
          <w:p w14:paraId="05094384"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 xml:space="preserve">Math </w:t>
            </w:r>
          </w:p>
        </w:tc>
        <w:tc>
          <w:tcPr>
            <w:tcW w:w="990" w:type="dxa"/>
            <w:shd w:val="clear" w:color="auto" w:fill="E7E6E6" w:themeFill="background2"/>
            <w:vAlign w:val="center"/>
          </w:tcPr>
          <w:p w14:paraId="4F6FDE7E"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6–8</w:t>
            </w:r>
          </w:p>
        </w:tc>
        <w:tc>
          <w:tcPr>
            <w:tcW w:w="1440" w:type="dxa"/>
            <w:shd w:val="clear" w:color="auto" w:fill="E7E6E6" w:themeFill="background2"/>
            <w:vAlign w:val="center"/>
          </w:tcPr>
          <w:p w14:paraId="11B762D1"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2:00</w:t>
            </w:r>
          </w:p>
        </w:tc>
        <w:tc>
          <w:tcPr>
            <w:tcW w:w="1440" w:type="dxa"/>
            <w:shd w:val="clear" w:color="auto" w:fill="E7E6E6" w:themeFill="background2"/>
            <w:vAlign w:val="center"/>
          </w:tcPr>
          <w:p w14:paraId="435693A3"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1:00</w:t>
            </w:r>
          </w:p>
        </w:tc>
        <w:tc>
          <w:tcPr>
            <w:tcW w:w="1440" w:type="dxa"/>
            <w:shd w:val="clear" w:color="auto" w:fill="E7E6E6" w:themeFill="background2"/>
            <w:vAlign w:val="center"/>
          </w:tcPr>
          <w:p w14:paraId="6B6AB864"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1:00</w:t>
            </w:r>
          </w:p>
        </w:tc>
        <w:tc>
          <w:tcPr>
            <w:tcW w:w="1440" w:type="dxa"/>
            <w:shd w:val="clear" w:color="auto" w:fill="E7E6E6" w:themeFill="background2"/>
            <w:vAlign w:val="center"/>
          </w:tcPr>
          <w:p w14:paraId="7830CEE8"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3:00</w:t>
            </w:r>
          </w:p>
        </w:tc>
        <w:tc>
          <w:tcPr>
            <w:tcW w:w="1492" w:type="dxa"/>
            <w:shd w:val="clear" w:color="auto" w:fill="E7E6E6" w:themeFill="background2"/>
            <w:vAlign w:val="bottom"/>
          </w:tcPr>
          <w:p w14:paraId="037EA0C8"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2:00</w:t>
            </w:r>
          </w:p>
        </w:tc>
      </w:tr>
      <w:tr w:rsidR="008C511F" w:rsidRPr="005909AA" w14:paraId="077960F5" w14:textId="77777777" w:rsidTr="00686B9E">
        <w:trPr>
          <w:cantSplit/>
          <w:trHeight w:val="465"/>
          <w:jc w:val="center"/>
        </w:trPr>
        <w:tc>
          <w:tcPr>
            <w:tcW w:w="1255" w:type="dxa"/>
            <w:shd w:val="clear" w:color="auto" w:fill="E7E6E6" w:themeFill="background2"/>
            <w:vAlign w:val="center"/>
          </w:tcPr>
          <w:p w14:paraId="69EB02EB"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lastRenderedPageBreak/>
              <w:t>Math</w:t>
            </w:r>
          </w:p>
        </w:tc>
        <w:tc>
          <w:tcPr>
            <w:tcW w:w="990" w:type="dxa"/>
            <w:shd w:val="clear" w:color="auto" w:fill="E7E6E6" w:themeFill="background2"/>
            <w:vAlign w:val="center"/>
          </w:tcPr>
          <w:p w14:paraId="77DBDAF1"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11</w:t>
            </w:r>
          </w:p>
        </w:tc>
        <w:tc>
          <w:tcPr>
            <w:tcW w:w="1440" w:type="dxa"/>
            <w:shd w:val="clear" w:color="auto" w:fill="E7E6E6" w:themeFill="background2"/>
            <w:vAlign w:val="center"/>
          </w:tcPr>
          <w:p w14:paraId="486B4D21"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2:00</w:t>
            </w:r>
          </w:p>
        </w:tc>
        <w:tc>
          <w:tcPr>
            <w:tcW w:w="1440" w:type="dxa"/>
            <w:shd w:val="clear" w:color="auto" w:fill="E7E6E6" w:themeFill="background2"/>
            <w:vAlign w:val="center"/>
          </w:tcPr>
          <w:p w14:paraId="577AD54F"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1:00</w:t>
            </w:r>
          </w:p>
        </w:tc>
        <w:tc>
          <w:tcPr>
            <w:tcW w:w="1440" w:type="dxa"/>
            <w:shd w:val="clear" w:color="auto" w:fill="E7E6E6" w:themeFill="background2"/>
            <w:vAlign w:val="center"/>
          </w:tcPr>
          <w:p w14:paraId="1E562E3D" w14:textId="77777777" w:rsidR="008C511F" w:rsidRPr="005909AA" w:rsidRDefault="008C511F" w:rsidP="009F676B">
            <w:pPr>
              <w:spacing w:before="60" w:after="60"/>
              <w:jc w:val="center"/>
              <w:rPr>
                <w:rFonts w:eastAsia="Arial"/>
                <w:color w:val="000000" w:themeColor="text1"/>
              </w:rPr>
            </w:pPr>
            <w:r w:rsidRPr="005909AA">
              <w:rPr>
                <w:rFonts w:eastAsia="Arial"/>
                <w:color w:val="000000" w:themeColor="text1"/>
              </w:rPr>
              <w:t>1:30</w:t>
            </w:r>
          </w:p>
        </w:tc>
        <w:tc>
          <w:tcPr>
            <w:tcW w:w="1440" w:type="dxa"/>
            <w:shd w:val="clear" w:color="auto" w:fill="E7E6E6" w:themeFill="background2"/>
            <w:vAlign w:val="center"/>
          </w:tcPr>
          <w:p w14:paraId="6B389B45" w14:textId="77777777" w:rsidR="008C511F" w:rsidRPr="005909AA" w:rsidRDefault="008C511F" w:rsidP="009F676B">
            <w:pPr>
              <w:spacing w:before="60" w:after="60"/>
              <w:jc w:val="center"/>
              <w:rPr>
                <w:rFonts w:eastAsia="Arial"/>
                <w:iCs/>
                <w:color w:val="000000" w:themeColor="text1"/>
              </w:rPr>
            </w:pPr>
            <w:r w:rsidRPr="005909AA">
              <w:rPr>
                <w:rFonts w:eastAsia="Arial"/>
                <w:iCs/>
                <w:color w:val="000000" w:themeColor="text1"/>
              </w:rPr>
              <w:t>3:30</w:t>
            </w:r>
          </w:p>
        </w:tc>
        <w:tc>
          <w:tcPr>
            <w:tcW w:w="1492" w:type="dxa"/>
            <w:shd w:val="clear" w:color="auto" w:fill="E7E6E6" w:themeFill="background2"/>
            <w:vAlign w:val="bottom"/>
          </w:tcPr>
          <w:p w14:paraId="75A9A059" w14:textId="77777777" w:rsidR="008C511F" w:rsidRPr="009F676B" w:rsidRDefault="008C511F" w:rsidP="009F676B">
            <w:pPr>
              <w:spacing w:before="60" w:after="60"/>
              <w:jc w:val="center"/>
              <w:rPr>
                <w:rFonts w:eastAsia="Arial"/>
                <w:color w:val="000000" w:themeColor="text1"/>
              </w:rPr>
            </w:pPr>
            <w:r w:rsidRPr="009F676B">
              <w:rPr>
                <w:rFonts w:eastAsia="Arial"/>
                <w:color w:val="000000" w:themeColor="text1"/>
              </w:rPr>
              <w:t>2:30</w:t>
            </w:r>
          </w:p>
        </w:tc>
      </w:tr>
      <w:tr w:rsidR="008C511F" w:rsidRPr="005909AA" w14:paraId="5340E71A" w14:textId="77777777" w:rsidTr="00686B9E">
        <w:trPr>
          <w:cantSplit/>
          <w:trHeight w:val="465"/>
          <w:jc w:val="center"/>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95CC3" w14:textId="77777777" w:rsidR="008C511F" w:rsidRPr="009F676B" w:rsidRDefault="008C511F" w:rsidP="009F676B">
            <w:pPr>
              <w:spacing w:before="60" w:after="60"/>
              <w:jc w:val="center"/>
              <w:rPr>
                <w:rFonts w:eastAsia="Arial"/>
                <w:color w:val="000000" w:themeColor="text1"/>
              </w:rPr>
            </w:pPr>
            <w:r w:rsidRPr="009F676B">
              <w:t xml:space="preserve">Both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B882CC" w14:textId="77777777" w:rsidR="008C511F" w:rsidRPr="005909AA" w:rsidRDefault="008C511F" w:rsidP="009F676B">
            <w:pPr>
              <w:spacing w:before="60" w:after="60"/>
              <w:jc w:val="center"/>
              <w:rPr>
                <w:rFonts w:eastAsia="Arial"/>
                <w:color w:val="000000" w:themeColor="text1"/>
              </w:rPr>
            </w:pPr>
            <w:r w:rsidRPr="005909AA">
              <w:t>3–5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EC3C5" w14:textId="77777777" w:rsidR="008C511F" w:rsidRPr="005909AA" w:rsidRDefault="008C511F" w:rsidP="009F676B">
            <w:pPr>
              <w:spacing w:before="60" w:after="60"/>
              <w:jc w:val="center"/>
              <w:rPr>
                <w:rFonts w:eastAsia="Arial"/>
                <w:iCs/>
                <w:color w:val="000000" w:themeColor="text1"/>
              </w:rPr>
            </w:pPr>
            <w:r w:rsidRPr="005909AA">
              <w:rPr>
                <w:iCs/>
              </w:rPr>
              <w:t>3:00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29398E" w14:textId="77777777" w:rsidR="008C511F" w:rsidRPr="009F676B" w:rsidRDefault="008C511F" w:rsidP="009F676B">
            <w:pPr>
              <w:spacing w:before="60" w:after="60"/>
              <w:jc w:val="center"/>
              <w:rPr>
                <w:rFonts w:eastAsia="Arial"/>
                <w:color w:val="000000" w:themeColor="text1"/>
              </w:rPr>
            </w:pPr>
            <w:r w:rsidRPr="009F676B">
              <w:t>1:30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91C005" w14:textId="77777777" w:rsidR="008C511F" w:rsidRPr="005909AA" w:rsidRDefault="008C511F" w:rsidP="009F676B">
            <w:pPr>
              <w:spacing w:before="60" w:after="60"/>
              <w:jc w:val="center"/>
              <w:rPr>
                <w:rFonts w:eastAsia="Arial"/>
                <w:color w:val="000000" w:themeColor="text1"/>
              </w:rPr>
            </w:pPr>
            <w:r w:rsidRPr="005909AA">
              <w:t>3:00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06BF1" w14:textId="77777777" w:rsidR="008C511F" w:rsidRPr="005909AA" w:rsidRDefault="008C511F" w:rsidP="009F676B">
            <w:pPr>
              <w:spacing w:before="60" w:after="60"/>
              <w:jc w:val="center"/>
              <w:rPr>
                <w:rFonts w:eastAsia="Arial"/>
                <w:iCs/>
                <w:color w:val="000000" w:themeColor="text1"/>
              </w:rPr>
            </w:pPr>
            <w:r w:rsidRPr="005909AA">
              <w:rPr>
                <w:iCs/>
              </w:rPr>
              <w:t>6:00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4B9B426" w14:textId="77777777" w:rsidR="008C511F" w:rsidRPr="009F676B" w:rsidRDefault="008C511F" w:rsidP="009F676B">
            <w:pPr>
              <w:spacing w:before="60" w:after="60"/>
              <w:jc w:val="center"/>
              <w:rPr>
                <w:rFonts w:eastAsia="Arial"/>
                <w:color w:val="000000" w:themeColor="text1"/>
              </w:rPr>
            </w:pPr>
            <w:r w:rsidRPr="009F676B">
              <w:t>4:30</w:t>
            </w:r>
          </w:p>
        </w:tc>
      </w:tr>
      <w:tr w:rsidR="008C511F" w:rsidRPr="005909AA" w14:paraId="5512418D" w14:textId="77777777" w:rsidTr="00686B9E">
        <w:trPr>
          <w:cantSplit/>
          <w:trHeight w:val="465"/>
          <w:jc w:val="center"/>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EEAD5A" w14:textId="77777777" w:rsidR="008C511F" w:rsidRPr="009F676B" w:rsidRDefault="008C511F" w:rsidP="009F676B">
            <w:pPr>
              <w:spacing w:before="60" w:after="60"/>
              <w:jc w:val="center"/>
              <w:rPr>
                <w:rFonts w:eastAsia="Arial"/>
                <w:color w:val="000000" w:themeColor="text1"/>
              </w:rPr>
            </w:pPr>
            <w:r w:rsidRPr="009F676B">
              <w:t xml:space="preserve">Both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7D5EE4" w14:textId="77777777" w:rsidR="008C511F" w:rsidRPr="005909AA" w:rsidRDefault="008C511F" w:rsidP="009F676B">
            <w:pPr>
              <w:spacing w:before="60" w:after="60"/>
              <w:jc w:val="center"/>
              <w:rPr>
                <w:rFonts w:eastAsia="Arial"/>
                <w:color w:val="000000" w:themeColor="text1"/>
              </w:rPr>
            </w:pPr>
            <w:r w:rsidRPr="005909AA">
              <w:t>6–8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AE1AC7" w14:textId="77777777" w:rsidR="008C511F" w:rsidRPr="005909AA" w:rsidRDefault="008C511F" w:rsidP="009F676B">
            <w:pPr>
              <w:spacing w:before="60" w:after="60"/>
              <w:jc w:val="center"/>
              <w:rPr>
                <w:rFonts w:eastAsia="Arial"/>
                <w:iCs/>
                <w:color w:val="000000" w:themeColor="text1"/>
              </w:rPr>
            </w:pPr>
            <w:r w:rsidRPr="005909AA">
              <w:rPr>
                <w:iCs/>
              </w:rPr>
              <w:t>3:30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464F37" w14:textId="77777777" w:rsidR="008C511F" w:rsidRPr="001D4D29" w:rsidRDefault="008C511F" w:rsidP="009F676B">
            <w:pPr>
              <w:spacing w:before="60" w:after="60"/>
              <w:jc w:val="center"/>
              <w:rPr>
                <w:rFonts w:eastAsia="Arial"/>
                <w:color w:val="000000" w:themeColor="text1"/>
              </w:rPr>
            </w:pPr>
            <w:r w:rsidRPr="001D4D29">
              <w:t>1:45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599B78" w14:textId="77777777" w:rsidR="008C511F" w:rsidRPr="005909AA" w:rsidRDefault="008C511F" w:rsidP="009F676B">
            <w:pPr>
              <w:spacing w:before="60" w:after="60"/>
              <w:jc w:val="center"/>
              <w:rPr>
                <w:rFonts w:eastAsia="Arial"/>
                <w:color w:val="000000" w:themeColor="text1"/>
              </w:rPr>
            </w:pPr>
            <w:r w:rsidRPr="005909AA">
              <w:t>3:00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DFDB2" w14:textId="77777777" w:rsidR="008C511F" w:rsidRPr="005909AA" w:rsidRDefault="008C511F" w:rsidP="009F676B">
            <w:pPr>
              <w:spacing w:before="60" w:after="60"/>
              <w:jc w:val="center"/>
              <w:rPr>
                <w:rFonts w:eastAsia="Arial"/>
                <w:iCs/>
                <w:color w:val="000000" w:themeColor="text1"/>
              </w:rPr>
            </w:pPr>
            <w:r w:rsidRPr="005909AA">
              <w:rPr>
                <w:iCs/>
              </w:rPr>
              <w:t>6:30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DEA6ADB" w14:textId="77777777" w:rsidR="008C511F" w:rsidRPr="009F676B" w:rsidRDefault="008C511F" w:rsidP="009F676B">
            <w:pPr>
              <w:spacing w:before="60" w:after="60"/>
              <w:jc w:val="center"/>
              <w:rPr>
                <w:rFonts w:eastAsia="Arial"/>
                <w:color w:val="000000" w:themeColor="text1"/>
              </w:rPr>
            </w:pPr>
            <w:r w:rsidRPr="009F676B">
              <w:t>4:45</w:t>
            </w:r>
          </w:p>
        </w:tc>
      </w:tr>
      <w:tr w:rsidR="008C511F" w:rsidRPr="005909AA" w14:paraId="00DAD945" w14:textId="77777777" w:rsidTr="00686B9E">
        <w:trPr>
          <w:cantSplit/>
          <w:trHeight w:val="465"/>
          <w:jc w:val="center"/>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9B0F0" w14:textId="77777777" w:rsidR="008C511F" w:rsidRPr="009F676B" w:rsidRDefault="008C511F" w:rsidP="009F676B">
            <w:pPr>
              <w:spacing w:before="60" w:after="60"/>
              <w:jc w:val="center"/>
              <w:rPr>
                <w:rFonts w:eastAsia="Arial"/>
                <w:color w:val="000000" w:themeColor="text1"/>
              </w:rPr>
            </w:pPr>
            <w:r w:rsidRPr="009F676B">
              <w:t xml:space="preserve">Both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B5C48C" w14:textId="77777777" w:rsidR="008C511F" w:rsidRPr="005909AA" w:rsidRDefault="008C511F" w:rsidP="009F676B">
            <w:pPr>
              <w:spacing w:before="60" w:after="60"/>
              <w:jc w:val="center"/>
              <w:rPr>
                <w:rFonts w:eastAsia="Arial"/>
                <w:color w:val="000000" w:themeColor="text1"/>
              </w:rPr>
            </w:pPr>
            <w:r w:rsidRPr="005909AA">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421523" w14:textId="77777777" w:rsidR="008C511F" w:rsidRPr="005909AA" w:rsidRDefault="008C511F" w:rsidP="009F676B">
            <w:pPr>
              <w:spacing w:before="60" w:after="60"/>
              <w:jc w:val="center"/>
              <w:rPr>
                <w:rFonts w:eastAsia="Arial"/>
                <w:iCs/>
                <w:color w:val="000000" w:themeColor="text1"/>
              </w:rPr>
            </w:pPr>
            <w:r w:rsidRPr="005909AA">
              <w:rPr>
                <w:iCs/>
              </w:rPr>
              <w:t>4:00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31B73B" w14:textId="77777777" w:rsidR="008C511F" w:rsidRPr="001D4D29" w:rsidRDefault="008C511F" w:rsidP="009F676B">
            <w:pPr>
              <w:spacing w:before="60" w:after="60"/>
              <w:jc w:val="center"/>
              <w:rPr>
                <w:rFonts w:eastAsia="Arial"/>
                <w:color w:val="000000" w:themeColor="text1"/>
              </w:rPr>
            </w:pPr>
            <w:r w:rsidRPr="001D4D29">
              <w:t>2:00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F3244" w14:textId="77777777" w:rsidR="008C511F" w:rsidRPr="005909AA" w:rsidRDefault="008C511F" w:rsidP="009F676B">
            <w:pPr>
              <w:spacing w:before="60" w:after="60"/>
              <w:jc w:val="center"/>
              <w:rPr>
                <w:rFonts w:eastAsia="Arial"/>
                <w:color w:val="000000" w:themeColor="text1"/>
              </w:rPr>
            </w:pPr>
            <w:r w:rsidRPr="005909AA">
              <w:t>3:30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4840C1" w14:textId="77777777" w:rsidR="008C511F" w:rsidRPr="005909AA" w:rsidRDefault="008C511F" w:rsidP="009F676B">
            <w:pPr>
              <w:spacing w:before="60" w:after="60"/>
              <w:jc w:val="center"/>
              <w:rPr>
                <w:rFonts w:eastAsia="Arial"/>
                <w:iCs/>
                <w:color w:val="000000" w:themeColor="text1"/>
              </w:rPr>
            </w:pPr>
            <w:r w:rsidRPr="005909AA">
              <w:rPr>
                <w:iCs/>
              </w:rPr>
              <w:t>7:30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8E91516" w14:textId="77777777" w:rsidR="008C511F" w:rsidRPr="009F676B" w:rsidRDefault="008C511F" w:rsidP="009F676B">
            <w:pPr>
              <w:spacing w:before="60" w:after="60"/>
              <w:jc w:val="center"/>
              <w:rPr>
                <w:rFonts w:eastAsia="Arial"/>
                <w:color w:val="000000" w:themeColor="text1"/>
              </w:rPr>
            </w:pPr>
            <w:r w:rsidRPr="009F676B">
              <w:t>5:30</w:t>
            </w:r>
          </w:p>
        </w:tc>
      </w:tr>
    </w:tbl>
    <w:p w14:paraId="7FFAAC36" w14:textId="77777777" w:rsidR="008C511F" w:rsidRPr="005909AA" w:rsidRDefault="008C511F" w:rsidP="009F676B">
      <w:pPr>
        <w:spacing w:before="360" w:after="60"/>
        <w:rPr>
          <w:b/>
          <w:bCs/>
        </w:rPr>
      </w:pPr>
      <w:r w:rsidRPr="005909AA">
        <w:rPr>
          <w:b/>
          <w:bCs/>
        </w:rPr>
        <w:t>Table 4. Estimated Testing Times for Non-Smarter Balanced CAASPP Summative Assessments</w:t>
      </w:r>
    </w:p>
    <w:tbl>
      <w:tblPr>
        <w:tblStyle w:val="TableGrid"/>
        <w:tblW w:w="9465" w:type="dxa"/>
        <w:tblLayout w:type="fixed"/>
        <w:tblLook w:val="0420" w:firstRow="1" w:lastRow="0" w:firstColumn="0" w:lastColumn="0" w:noHBand="0" w:noVBand="1"/>
        <w:tblCaption w:val="Table 4. Estimated Testing Times for Non-Smarter Balanced CAASPP Summative Assessments"/>
        <w:tblDescription w:val="Table 4 provides the estimated testing times for these Non-Smarter Balanced CAASPP summative assessments: CAA for ELA, CAA for Mathematics, CAA for Science, CSA, and CAST.  "/>
      </w:tblPr>
      <w:tblGrid>
        <w:gridCol w:w="2340"/>
        <w:gridCol w:w="2340"/>
        <w:gridCol w:w="2475"/>
        <w:gridCol w:w="2310"/>
      </w:tblGrid>
      <w:tr w:rsidR="008C511F" w:rsidRPr="005909AA" w14:paraId="11412A5E" w14:textId="77777777" w:rsidTr="00686B9E">
        <w:trPr>
          <w:cantSplit/>
          <w:trHeight w:val="795"/>
          <w:tblHeader/>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4EADA31B" w14:textId="65982F71" w:rsidR="008C511F" w:rsidRPr="005909AA" w:rsidRDefault="00EF6825" w:rsidP="001C169B">
            <w:pPr>
              <w:spacing w:before="120" w:after="120"/>
              <w:jc w:val="center"/>
              <w:rPr>
                <w:rFonts w:eastAsia="Arial"/>
                <w:b/>
                <w:bCs/>
                <w:color w:val="000000" w:themeColor="text1"/>
              </w:rPr>
            </w:pPr>
            <w:r>
              <w:rPr>
                <w:rFonts w:eastAsia="Arial"/>
                <w:b/>
                <w:bCs/>
                <w:color w:val="000000" w:themeColor="text1"/>
              </w:rPr>
              <w:t>Assessment</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765716A6" w14:textId="77777777" w:rsidR="008C511F" w:rsidRPr="005909AA" w:rsidRDefault="008C511F" w:rsidP="001C169B">
            <w:pPr>
              <w:spacing w:before="120" w:after="120"/>
              <w:jc w:val="center"/>
              <w:rPr>
                <w:rFonts w:eastAsia="Arial"/>
                <w:b/>
                <w:bCs/>
                <w:color w:val="000000" w:themeColor="text1"/>
              </w:rPr>
            </w:pPr>
            <w:r w:rsidRPr="005909AA">
              <w:rPr>
                <w:rFonts w:eastAsia="Arial"/>
                <w:b/>
                <w:bCs/>
                <w:color w:val="000000" w:themeColor="text1"/>
              </w:rPr>
              <w:t>Grades</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060CE854" w14:textId="77777777" w:rsidR="008C511F" w:rsidRPr="005909AA" w:rsidRDefault="008C511F" w:rsidP="001C169B">
            <w:pPr>
              <w:spacing w:before="120" w:after="120"/>
              <w:jc w:val="center"/>
              <w:rPr>
                <w:rFonts w:eastAsia="Arial"/>
                <w:b/>
                <w:bCs/>
                <w:color w:val="000000" w:themeColor="text1"/>
              </w:rPr>
            </w:pPr>
            <w:r w:rsidRPr="005909AA">
              <w:rPr>
                <w:rFonts w:eastAsia="Arial"/>
                <w:b/>
                <w:bCs/>
                <w:color w:val="000000" w:themeColor="text1"/>
              </w:rPr>
              <w:t>Estimated Testing Time</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3839821B" w14:textId="77777777" w:rsidR="008C511F" w:rsidRPr="005909AA" w:rsidRDefault="008C511F" w:rsidP="001C169B">
            <w:pPr>
              <w:spacing w:before="120" w:after="120"/>
              <w:jc w:val="center"/>
              <w:rPr>
                <w:rFonts w:eastAsia="Arial"/>
                <w:b/>
                <w:bCs/>
                <w:color w:val="000000" w:themeColor="text1"/>
              </w:rPr>
            </w:pPr>
            <w:r w:rsidRPr="005909AA">
              <w:rPr>
                <w:rFonts w:eastAsia="Arial"/>
                <w:b/>
                <w:bCs/>
                <w:color w:val="000000" w:themeColor="text1"/>
              </w:rPr>
              <w:t>Total Testing Time</w:t>
            </w:r>
          </w:p>
        </w:tc>
      </w:tr>
      <w:tr w:rsidR="008C511F" w:rsidRPr="005909AA" w14:paraId="43D7894E" w14:textId="77777777" w:rsidTr="00686B9E">
        <w:trPr>
          <w:cantSplit/>
          <w:trHeight w:val="637"/>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03027D" w14:textId="77777777" w:rsidR="008C511F" w:rsidRPr="009F676B" w:rsidRDefault="008C511F" w:rsidP="009F676B">
            <w:pPr>
              <w:spacing w:before="60" w:after="60"/>
              <w:rPr>
                <w:rFonts w:eastAsia="Arial"/>
                <w:color w:val="000000" w:themeColor="text1"/>
              </w:rPr>
            </w:pPr>
            <w:r w:rsidRPr="009F676B">
              <w:rPr>
                <w:rFonts w:eastAsia="Arial"/>
                <w:color w:val="000000" w:themeColor="text1"/>
              </w:rPr>
              <w:t>CAA for ELA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31A93"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9F56D7"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1:00 to 1:40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D33CFC"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1:00 to 1:40</w:t>
            </w:r>
          </w:p>
        </w:tc>
      </w:tr>
      <w:tr w:rsidR="008C511F" w:rsidRPr="005909AA" w14:paraId="2243672C" w14:textId="77777777" w:rsidTr="00686B9E">
        <w:trPr>
          <w:cantSplit/>
          <w:trHeight w:val="79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B559F" w14:textId="77777777" w:rsidR="008C511F" w:rsidRPr="009F676B" w:rsidRDefault="008C511F" w:rsidP="009F676B">
            <w:pPr>
              <w:spacing w:before="60" w:after="60"/>
              <w:rPr>
                <w:rFonts w:eastAsia="Arial"/>
                <w:color w:val="000000" w:themeColor="text1"/>
              </w:rPr>
            </w:pPr>
            <w:r w:rsidRPr="009F676B">
              <w:rPr>
                <w:rFonts w:eastAsia="Arial"/>
                <w:color w:val="000000" w:themeColor="text1"/>
              </w:rPr>
              <w:t>CAA for Mathematics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077E6"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9482CD"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1:00 to 1:40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AE0EA"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1:00 to 1:40</w:t>
            </w:r>
          </w:p>
        </w:tc>
      </w:tr>
      <w:tr w:rsidR="008C511F" w:rsidRPr="005909AA" w14:paraId="601C6688" w14:textId="77777777" w:rsidTr="00686B9E">
        <w:trPr>
          <w:cantSplit/>
          <w:trHeight w:val="808"/>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D9C79F" w14:textId="77777777" w:rsidR="008C511F" w:rsidRPr="009F676B" w:rsidRDefault="008C511F" w:rsidP="009F676B">
            <w:pPr>
              <w:spacing w:before="60" w:after="60"/>
              <w:rPr>
                <w:rFonts w:eastAsia="Arial"/>
                <w:color w:val="000000" w:themeColor="text1"/>
              </w:rPr>
            </w:pPr>
            <w:r w:rsidRPr="009F676B">
              <w:rPr>
                <w:rFonts w:eastAsia="Arial"/>
                <w:color w:val="000000" w:themeColor="text1"/>
              </w:rPr>
              <w:t>CAA for Science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BE0EC"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5, 8, and once in high school</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80A67C" w14:textId="2B58955F" w:rsidR="008C511F" w:rsidRPr="005909AA" w:rsidRDefault="008C511F" w:rsidP="009F676B">
            <w:pPr>
              <w:spacing w:before="60" w:after="60"/>
              <w:rPr>
                <w:rFonts w:eastAsia="Arial"/>
                <w:color w:val="000000" w:themeColor="text1"/>
              </w:rPr>
            </w:pPr>
            <w:r w:rsidRPr="005909AA">
              <w:rPr>
                <w:rFonts w:eastAsia="Arial"/>
                <w:color w:val="000000" w:themeColor="text1"/>
              </w:rPr>
              <w:t>1:00 to 1:40 per PT</w:t>
            </w:r>
            <w:r w:rsidR="004D3FE9">
              <w:rPr>
                <w:rFonts w:eastAsia="Arial"/>
                <w:color w:val="000000" w:themeColor="text1"/>
              </w:rPr>
              <w:t>;</w:t>
            </w:r>
            <w:r w:rsidRPr="005909AA">
              <w:rPr>
                <w:rFonts w:eastAsia="Arial"/>
                <w:color w:val="000000" w:themeColor="text1"/>
              </w:rPr>
              <w:t xml:space="preserve"> 4 PTs total</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FBA57"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4:00 to 6:40</w:t>
            </w:r>
          </w:p>
        </w:tc>
      </w:tr>
      <w:tr w:rsidR="00AC5A3F" w:rsidRPr="005909AA" w14:paraId="15645099" w14:textId="77777777" w:rsidTr="00AC5A3F">
        <w:trPr>
          <w:cantSplit/>
          <w:trHeight w:val="817"/>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BD671" w14:textId="7E213CD0" w:rsidR="00AC5A3F" w:rsidRPr="009F676B" w:rsidRDefault="00EF6825" w:rsidP="009F676B">
            <w:pPr>
              <w:spacing w:before="60" w:after="60"/>
              <w:rPr>
                <w:rFonts w:eastAsia="Arial"/>
                <w:color w:val="000000" w:themeColor="text1"/>
              </w:rPr>
            </w:pPr>
            <w:r>
              <w:rPr>
                <w:rFonts w:eastAsia="Arial"/>
                <w:bCs/>
                <w:color w:val="000000" w:themeColor="text1"/>
              </w:rPr>
              <w:t xml:space="preserve">California Science Test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8E6A44" w14:textId="77777777" w:rsidR="00AC5A3F" w:rsidRPr="005909AA" w:rsidRDefault="00AC5A3F" w:rsidP="009F676B">
            <w:pPr>
              <w:spacing w:before="60" w:after="60"/>
              <w:rPr>
                <w:rFonts w:eastAsia="Arial"/>
                <w:color w:val="000000" w:themeColor="text1"/>
              </w:rPr>
            </w:pPr>
            <w:r w:rsidRPr="005909AA">
              <w:rPr>
                <w:rFonts w:eastAsia="Arial"/>
                <w:color w:val="000000" w:themeColor="text1"/>
              </w:rPr>
              <w:t>5, 8, and once in high school</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F9BE7" w14:textId="77777777" w:rsidR="00AC5A3F" w:rsidRPr="005909AA" w:rsidRDefault="00AC5A3F" w:rsidP="009F676B">
            <w:pPr>
              <w:spacing w:before="60" w:after="60"/>
              <w:rPr>
                <w:rFonts w:eastAsia="Arial"/>
                <w:color w:val="000000" w:themeColor="text1"/>
              </w:rPr>
            </w:pPr>
            <w:r w:rsidRPr="005909AA">
              <w:rPr>
                <w:rFonts w:eastAsia="Arial"/>
                <w:color w:val="000000" w:themeColor="text1"/>
              </w:rPr>
              <w:t>1:00 to 2:00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5CC7A8" w14:textId="77777777" w:rsidR="00AC5A3F" w:rsidRPr="005909AA" w:rsidRDefault="00AC5A3F" w:rsidP="009F676B">
            <w:pPr>
              <w:spacing w:before="60" w:after="60"/>
              <w:rPr>
                <w:rFonts w:eastAsia="Arial"/>
                <w:color w:val="000000" w:themeColor="text1"/>
              </w:rPr>
            </w:pPr>
            <w:r w:rsidRPr="005909AA">
              <w:rPr>
                <w:rFonts w:eastAsia="Arial"/>
                <w:color w:val="000000" w:themeColor="text1"/>
              </w:rPr>
              <w:t>1:00 to 2:00</w:t>
            </w:r>
          </w:p>
        </w:tc>
      </w:tr>
      <w:tr w:rsidR="008C511F" w:rsidRPr="005909AA" w14:paraId="3BF54509" w14:textId="77777777" w:rsidTr="00686B9E">
        <w:trPr>
          <w:cantSplit/>
          <w:trHeight w:val="79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9661D3" w14:textId="5C26EC60" w:rsidR="008C511F" w:rsidRPr="009F676B" w:rsidRDefault="00EF6825" w:rsidP="009F676B">
            <w:pPr>
              <w:spacing w:before="60" w:after="60"/>
              <w:rPr>
                <w:rFonts w:eastAsia="Arial"/>
                <w:color w:val="000000" w:themeColor="text1"/>
              </w:rPr>
            </w:pPr>
            <w:r>
              <w:rPr>
                <w:rFonts w:eastAsia="Arial"/>
                <w:bCs/>
                <w:color w:val="000000" w:themeColor="text1"/>
              </w:rPr>
              <w:t>California Spanish Assessment</w:t>
            </w:r>
            <w:r w:rsidRPr="009F676B">
              <w:rPr>
                <w:rFonts w:eastAsia="Arial"/>
                <w:color w:val="000000" w:themeColor="text1"/>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339D23"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203E7B"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2:00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09A469" w14:textId="77777777" w:rsidR="008C511F" w:rsidRPr="005909AA" w:rsidRDefault="008C511F" w:rsidP="009F676B">
            <w:pPr>
              <w:spacing w:before="60" w:after="60"/>
              <w:rPr>
                <w:rFonts w:eastAsia="Arial"/>
                <w:color w:val="000000" w:themeColor="text1"/>
              </w:rPr>
            </w:pPr>
            <w:r w:rsidRPr="005909AA">
              <w:rPr>
                <w:rFonts w:eastAsia="Arial"/>
                <w:color w:val="000000" w:themeColor="text1"/>
              </w:rPr>
              <w:t>2:00</w:t>
            </w:r>
          </w:p>
        </w:tc>
      </w:tr>
    </w:tbl>
    <w:p w14:paraId="234E0254" w14:textId="65483403" w:rsidR="004527BF" w:rsidRPr="004C7E6E" w:rsidRDefault="004527BF" w:rsidP="006F2381">
      <w:pPr>
        <w:spacing w:before="240" w:after="240"/>
      </w:pPr>
      <w:r w:rsidRPr="00B6126F">
        <w:t xml:space="preserve">In addition, </w:t>
      </w:r>
      <w:r>
        <w:t>the use of the adjusted</w:t>
      </w:r>
      <w:r w:rsidR="007A4FDF">
        <w:t xml:space="preserve"> </w:t>
      </w:r>
      <w:r>
        <w:t>form blueprints</w:t>
      </w:r>
      <w:r w:rsidRPr="005909AA">
        <w:t xml:space="preserve"> </w:t>
      </w:r>
      <w:r w:rsidR="7F3FB164">
        <w:t>reduces</w:t>
      </w:r>
      <w:r w:rsidRPr="00B6126F">
        <w:t xml:space="preserve"> the potential exposure of the items from the item bank as a result of the reduction in the number of test items</w:t>
      </w:r>
      <w:r>
        <w:t>, and</w:t>
      </w:r>
      <w:r w:rsidRPr="005909AA">
        <w:t xml:space="preserve"> </w:t>
      </w:r>
      <w:r>
        <w:t>i</w:t>
      </w:r>
      <w:r w:rsidRPr="005909AA">
        <w:t>ndivi</w:t>
      </w:r>
      <w:r w:rsidRPr="005909AA">
        <w:rPr>
          <w:rFonts w:eastAsia="Arial"/>
        </w:rPr>
        <w:t>dual student</w:t>
      </w:r>
      <w:r>
        <w:rPr>
          <w:rFonts w:eastAsia="Arial"/>
        </w:rPr>
        <w:t>s</w:t>
      </w:r>
      <w:r w:rsidRPr="005909AA">
        <w:rPr>
          <w:rFonts w:eastAsia="Arial"/>
        </w:rPr>
        <w:t xml:space="preserve"> overall scale scores and achievement levels can continue to be reported. These measures can also be used for group reporting to meet state and federal requirements. </w:t>
      </w:r>
    </w:p>
    <w:p w14:paraId="04F54ACC" w14:textId="51757627" w:rsidR="00FB5D57" w:rsidRPr="005909AA" w:rsidRDefault="00FB5D57" w:rsidP="00BB5F51">
      <w:pPr>
        <w:spacing w:before="240" w:after="240"/>
        <w:rPr>
          <w:rFonts w:eastAsia="Arial"/>
          <w:b/>
          <w:sz w:val="28"/>
          <w:szCs w:val="28"/>
        </w:rPr>
      </w:pPr>
      <w:r w:rsidRPr="005909AA">
        <w:rPr>
          <w:rFonts w:eastAsia="Arial"/>
          <w:b/>
          <w:sz w:val="28"/>
          <w:szCs w:val="28"/>
        </w:rPr>
        <w:t xml:space="preserve">Claim and Target Reporting for Adjusted </w:t>
      </w:r>
      <w:r w:rsidR="007A4FDF">
        <w:rPr>
          <w:rFonts w:eastAsia="Arial"/>
          <w:b/>
          <w:sz w:val="28"/>
          <w:szCs w:val="28"/>
        </w:rPr>
        <w:t xml:space="preserve">Form </w:t>
      </w:r>
      <w:r w:rsidRPr="005909AA">
        <w:rPr>
          <w:rFonts w:eastAsia="Arial"/>
          <w:b/>
          <w:sz w:val="28"/>
          <w:szCs w:val="28"/>
        </w:rPr>
        <w:t>Blueprint</w:t>
      </w:r>
    </w:p>
    <w:p w14:paraId="5143177A" w14:textId="64A817CD" w:rsidR="00FB5D57" w:rsidRPr="005909AA" w:rsidRDefault="199CD160" w:rsidP="00FB5D57">
      <w:pPr>
        <w:spacing w:after="240"/>
        <w:rPr>
          <w:rFonts w:eastAsia="Arial"/>
        </w:rPr>
      </w:pPr>
      <w:r w:rsidRPr="7E483798">
        <w:rPr>
          <w:rFonts w:eastAsia="Arial"/>
        </w:rPr>
        <w:t>The</w:t>
      </w:r>
      <w:r w:rsidR="00FB5D57" w:rsidRPr="3C94C2E3">
        <w:rPr>
          <w:rFonts w:eastAsia="Arial"/>
        </w:rPr>
        <w:t xml:space="preserve"> adjusted </w:t>
      </w:r>
      <w:r w:rsidR="007A4FDF">
        <w:rPr>
          <w:rFonts w:eastAsia="Arial"/>
        </w:rPr>
        <w:t xml:space="preserve">form </w:t>
      </w:r>
      <w:r w:rsidR="00FB5D57" w:rsidRPr="3C94C2E3">
        <w:rPr>
          <w:rFonts w:eastAsia="Arial"/>
        </w:rPr>
        <w:t>blueprints do not currently support the reporting of individual student</w:t>
      </w:r>
      <w:r w:rsidR="00312E40" w:rsidRPr="3C94C2E3">
        <w:rPr>
          <w:rFonts w:eastAsia="Arial"/>
        </w:rPr>
        <w:t>s</w:t>
      </w:r>
      <w:r w:rsidR="00FB5D57" w:rsidRPr="3C94C2E3">
        <w:rPr>
          <w:rFonts w:eastAsia="Arial"/>
        </w:rPr>
        <w:t xml:space="preserve"> claim results and target reports due to the reduced number of items associated with each claim</w:t>
      </w:r>
      <w:r w:rsidRPr="7E483798">
        <w:rPr>
          <w:rFonts w:eastAsia="Arial"/>
        </w:rPr>
        <w:t xml:space="preserve"> as shown in table 1 and table 2. The</w:t>
      </w:r>
      <w:r w:rsidR="00FB5D57" w:rsidRPr="3C94C2E3">
        <w:rPr>
          <w:rFonts w:eastAsia="Arial"/>
        </w:rPr>
        <w:t xml:space="preserve"> Consortium continues to pursue the </w:t>
      </w:r>
      <w:r w:rsidR="00FB5D57" w:rsidRPr="3C94C2E3">
        <w:rPr>
          <w:rFonts w:eastAsia="Arial"/>
        </w:rPr>
        <w:lastRenderedPageBreak/>
        <w:t>implementation of composite claim reporting categories for the 2023–24 administration. Instead of four separate claim reporting categories for ELA (Reading</w:t>
      </w:r>
      <w:r w:rsidR="00312E40" w:rsidRPr="3C94C2E3">
        <w:rPr>
          <w:rFonts w:eastAsia="Arial"/>
        </w:rPr>
        <w:t>,</w:t>
      </w:r>
      <w:r w:rsidR="00FB5D57" w:rsidRPr="3C94C2E3">
        <w:rPr>
          <w:rFonts w:eastAsia="Arial"/>
        </w:rPr>
        <w:t xml:space="preserve"> Writing</w:t>
      </w:r>
      <w:r w:rsidR="00312E40" w:rsidRPr="3C94C2E3">
        <w:rPr>
          <w:rFonts w:eastAsia="Arial"/>
        </w:rPr>
        <w:t>,</w:t>
      </w:r>
      <w:r w:rsidR="00FB5D57" w:rsidRPr="3C94C2E3">
        <w:rPr>
          <w:rFonts w:eastAsia="Arial"/>
        </w:rPr>
        <w:t xml:space="preserve"> Listening</w:t>
      </w:r>
      <w:r w:rsidR="00312E40" w:rsidRPr="3C94C2E3">
        <w:rPr>
          <w:rFonts w:eastAsia="Arial"/>
        </w:rPr>
        <w:t>,</w:t>
      </w:r>
      <w:r w:rsidR="00FB5D57" w:rsidRPr="3C94C2E3">
        <w:rPr>
          <w:rFonts w:eastAsia="Arial"/>
        </w:rPr>
        <w:t xml:space="preserve"> and Research/Inquiry) and three separate claim reporting categories for mathematics (Concepts and Procedures</w:t>
      </w:r>
      <w:r w:rsidR="00312E40" w:rsidRPr="3C94C2E3">
        <w:rPr>
          <w:rFonts w:eastAsia="Arial"/>
        </w:rPr>
        <w:t>,</w:t>
      </w:r>
      <w:r w:rsidR="00FB5D57" w:rsidRPr="3C94C2E3">
        <w:rPr>
          <w:rFonts w:eastAsia="Arial"/>
        </w:rPr>
        <w:t xml:space="preserve"> Communicating Reasoning</w:t>
      </w:r>
      <w:r w:rsidR="00312E40" w:rsidRPr="3C94C2E3">
        <w:rPr>
          <w:rFonts w:eastAsia="Arial"/>
        </w:rPr>
        <w:t>,</w:t>
      </w:r>
      <w:r w:rsidR="00FB5D57" w:rsidRPr="3C94C2E3">
        <w:rPr>
          <w:rFonts w:eastAsia="Arial"/>
        </w:rPr>
        <w:t xml:space="preserve"> and Problem Solving and Modeling/Data Analysis) reported prior to </w:t>
      </w:r>
      <w:r w:rsidR="00FB5D57">
        <w:t>2020–21</w:t>
      </w:r>
      <w:r w:rsidR="00FB5D57" w:rsidRPr="3C94C2E3">
        <w:rPr>
          <w:rFonts w:eastAsia="Arial"/>
        </w:rPr>
        <w:t xml:space="preserve">, it is proposed that students will receive two composite claim results for ELA and two composite claim results for mathematics starting in </w:t>
      </w:r>
      <w:r w:rsidR="00FB5D57">
        <w:t>2023–24</w:t>
      </w:r>
      <w:r w:rsidR="00FB5D57" w:rsidRPr="3C94C2E3">
        <w:rPr>
          <w:rFonts w:eastAsia="Arial"/>
        </w:rPr>
        <w:t xml:space="preserve">. </w:t>
      </w:r>
    </w:p>
    <w:p w14:paraId="15E872F9" w14:textId="1DCAED77" w:rsidR="00FB5D57" w:rsidRPr="005909AA" w:rsidRDefault="00FB5D57" w:rsidP="00FB5D57">
      <w:pPr>
        <w:spacing w:after="240"/>
        <w:rPr>
          <w:rFonts w:eastAsia="Arial"/>
        </w:rPr>
      </w:pPr>
      <w:r w:rsidRPr="7D8E11C0">
        <w:rPr>
          <w:rFonts w:eastAsia="Arial"/>
        </w:rPr>
        <w:t xml:space="preserve">The specifics of each of the composite claim reporting categories are under discussion by the Consortium and its technical advisory committee for implementation in the 2023–24 administration year. </w:t>
      </w:r>
      <w:r w:rsidR="00CE6E44" w:rsidRPr="7D8E11C0">
        <w:rPr>
          <w:rFonts w:eastAsia="Arial"/>
        </w:rPr>
        <w:t>The Consortium</w:t>
      </w:r>
      <w:r w:rsidRPr="7D8E11C0">
        <w:rPr>
          <w:rFonts w:eastAsia="Arial"/>
        </w:rPr>
        <w:t xml:space="preserve"> is working with </w:t>
      </w:r>
      <w:proofErr w:type="spellStart"/>
      <w:r w:rsidRPr="7D8E11C0">
        <w:rPr>
          <w:rFonts w:eastAsia="Arial"/>
        </w:rPr>
        <w:t>WestEd</w:t>
      </w:r>
      <w:proofErr w:type="spellEnd"/>
      <w:r w:rsidRPr="7D8E11C0">
        <w:rPr>
          <w:rFonts w:eastAsia="Arial"/>
        </w:rPr>
        <w:t xml:space="preserve"> as well as member states, including California, to collect feedback from state education agencies and </w:t>
      </w:r>
      <w:r w:rsidR="199CD160" w:rsidRPr="7D8E11C0">
        <w:rPr>
          <w:rFonts w:eastAsia="Arial"/>
        </w:rPr>
        <w:t>LEAs</w:t>
      </w:r>
      <w:r w:rsidRPr="7D8E11C0">
        <w:rPr>
          <w:rFonts w:eastAsia="Arial"/>
        </w:rPr>
        <w:t xml:space="preserve"> regarding composite claim categories and descriptions. The CDE will continue to collaborate with the Consortium, as well as </w:t>
      </w:r>
      <w:r w:rsidR="001D1408" w:rsidRPr="7D8E11C0">
        <w:rPr>
          <w:rFonts w:eastAsia="Arial"/>
        </w:rPr>
        <w:t xml:space="preserve">with </w:t>
      </w:r>
      <w:r w:rsidRPr="7D8E11C0">
        <w:rPr>
          <w:rFonts w:eastAsia="Arial"/>
        </w:rPr>
        <w:t xml:space="preserve">the Smarter Balanced </w:t>
      </w:r>
      <w:r w:rsidR="005D04B6" w:rsidRPr="7D8E11C0">
        <w:rPr>
          <w:rFonts w:eastAsia="Arial"/>
        </w:rPr>
        <w:t>Technical Advisory Group</w:t>
      </w:r>
      <w:r w:rsidRPr="7D8E11C0">
        <w:rPr>
          <w:rFonts w:eastAsia="Arial"/>
        </w:rPr>
        <w:t xml:space="preserve">, during this multiyear process to derive composite claim scores based on state and district feedback, analysis of the content standards, </w:t>
      </w:r>
      <w:r w:rsidR="001D1408" w:rsidRPr="7D8E11C0">
        <w:rPr>
          <w:rFonts w:eastAsia="Arial"/>
        </w:rPr>
        <w:t>and</w:t>
      </w:r>
      <w:r w:rsidRPr="7D8E11C0">
        <w:rPr>
          <w:rFonts w:eastAsia="Arial"/>
        </w:rPr>
        <w:t xml:space="preserve"> analysis of Consortium-wide data.</w:t>
      </w:r>
    </w:p>
    <w:p w14:paraId="118F7128" w14:textId="36ED9A39" w:rsidR="00FB5D57" w:rsidRPr="00CB71DD" w:rsidRDefault="00FB5D57" w:rsidP="00F21E7D">
      <w:pPr>
        <w:rPr>
          <w:rFonts w:eastAsia="Arial"/>
        </w:rPr>
      </w:pPr>
      <w:r w:rsidRPr="3C94C2E3">
        <w:rPr>
          <w:rFonts w:eastAsia="Arial"/>
        </w:rPr>
        <w:t xml:space="preserve">While individual student claim results will continue to not be available during the 2022–23 administration, aggregate claim results for student groups of 30 or more will be available on the Test Results </w:t>
      </w:r>
      <w:r w:rsidRPr="00F21E7D">
        <w:rPr>
          <w:rFonts w:eastAsia="Arial"/>
        </w:rPr>
        <w:t>for California’s Assessments website a</w:t>
      </w:r>
      <w:r w:rsidR="00F21E7D" w:rsidRPr="00F21E7D">
        <w:rPr>
          <w:rFonts w:eastAsia="Arial"/>
        </w:rPr>
        <w:t xml:space="preserve">t </w:t>
      </w:r>
      <w:hyperlink r:id="rId16" w:tgtFrame="_blank" w:tooltip="This link opens the Test Results for California's Assessments website." w:history="1">
        <w:r w:rsidR="00F21E7D" w:rsidRPr="00F21E7D">
          <w:rPr>
            <w:rStyle w:val="Hyperlink"/>
            <w:bdr w:val="none" w:sz="0" w:space="0" w:color="auto" w:frame="1"/>
            <w:shd w:val="clear" w:color="auto" w:fill="FFFFFF"/>
          </w:rPr>
          <w:t>https://caaspp-elpac.</w:t>
        </w:r>
        <w:r w:rsidR="00F21E7D" w:rsidRPr="00F21E7D">
          <w:rPr>
            <w:rStyle w:val="markl53lclc1z"/>
            <w:color w:val="0000FF"/>
            <w:u w:val="single"/>
            <w:bdr w:val="none" w:sz="0" w:space="0" w:color="auto" w:frame="1"/>
            <w:shd w:val="clear" w:color="auto" w:fill="FFFFFF"/>
          </w:rPr>
          <w:t>ets</w:t>
        </w:r>
        <w:r w:rsidR="00F21E7D" w:rsidRPr="00F21E7D">
          <w:rPr>
            <w:rStyle w:val="Hyperlink"/>
            <w:bdr w:val="none" w:sz="0" w:space="0" w:color="auto" w:frame="1"/>
            <w:shd w:val="clear" w:color="auto" w:fill="FFFFFF"/>
          </w:rPr>
          <w:t>.org</w:t>
        </w:r>
      </w:hyperlink>
      <w:r w:rsidR="00F21E7D" w:rsidRPr="00F21E7D">
        <w:t xml:space="preserve">. </w:t>
      </w:r>
      <w:r w:rsidRPr="00F21E7D">
        <w:t>Target reports will continue to be unavailable in the California Educator Reporting System for the 2022–23 administration</w:t>
      </w:r>
      <w:r>
        <w:t xml:space="preserve">; however, assessment target reporting will </w:t>
      </w:r>
      <w:r w:rsidR="00225558" w:rsidRPr="00CB71DD">
        <w:t xml:space="preserve">continue to </w:t>
      </w:r>
      <w:r w:rsidRPr="00CB71DD">
        <w:t xml:space="preserve">be investigated for the adjusted </w:t>
      </w:r>
      <w:r w:rsidR="007A4FDF" w:rsidRPr="00CB71DD">
        <w:t xml:space="preserve">form </w:t>
      </w:r>
      <w:r w:rsidRPr="00CB71DD">
        <w:t>blueprints.</w:t>
      </w:r>
    </w:p>
    <w:p w14:paraId="39C019D3" w14:textId="7E1197E4" w:rsidR="00FB5D57" w:rsidRPr="005909AA" w:rsidRDefault="00FB5D57" w:rsidP="00FB5D57">
      <w:pPr>
        <w:spacing w:before="240" w:after="240"/>
      </w:pPr>
      <w:r w:rsidRPr="00CB71DD">
        <w:t>The CDE is recommending that</w:t>
      </w:r>
      <w:r w:rsidRPr="005909AA">
        <w:t xml:space="preserve"> the SBE approve the continued use of the Smarter Balanced Summative Assessments for ELA and </w:t>
      </w:r>
      <w:r w:rsidR="00FE7D9F">
        <w:t>M</w:t>
      </w:r>
      <w:r w:rsidRPr="00B6126F">
        <w:t>athematics</w:t>
      </w:r>
      <w:r w:rsidRPr="005909AA">
        <w:t xml:space="preserve"> blueprints</w:t>
      </w:r>
      <w:r w:rsidR="00FE7D9F">
        <w:t>,</w:t>
      </w:r>
      <w:r w:rsidRPr="005909AA">
        <w:t xml:space="preserve"> as described in tables 1 and 2</w:t>
      </w:r>
      <w:r w:rsidR="00FE7D9F">
        <w:t>,</w:t>
      </w:r>
      <w:r w:rsidRPr="005909AA">
        <w:t xml:space="preserve"> to be used </w:t>
      </w:r>
      <w:r w:rsidR="00EC6914" w:rsidRPr="005909AA">
        <w:t>until the Consortium proposes changes to these blueprints</w:t>
      </w:r>
      <w:r w:rsidRPr="005909AA">
        <w:t>. The CDE is not proposing any changes to the blueprints for any non-Smarter Balanced summative assessment, as the testing times for these assessments is already comparatively shorter.</w:t>
      </w:r>
    </w:p>
    <w:p w14:paraId="303364A1" w14:textId="4447BD50" w:rsidR="004428BE" w:rsidRPr="005909AA" w:rsidRDefault="003A6AB1" w:rsidP="00F41D4B">
      <w:pPr>
        <w:pStyle w:val="Heading3"/>
        <w:spacing w:before="240" w:after="240"/>
        <w:rPr>
          <w:rFonts w:cs="Arial"/>
          <w:sz w:val="32"/>
          <w:szCs w:val="32"/>
        </w:rPr>
      </w:pPr>
      <w:r w:rsidRPr="005909AA">
        <w:rPr>
          <w:rFonts w:cs="Arial"/>
          <w:sz w:val="32"/>
          <w:szCs w:val="32"/>
        </w:rPr>
        <w:t>CAASPP and ELPAC Student Score Reports</w:t>
      </w:r>
    </w:p>
    <w:p w14:paraId="76A7F7E7" w14:textId="5CDE12A5" w:rsidR="00E70306" w:rsidRPr="00EA042C" w:rsidRDefault="00E70306" w:rsidP="004428BE">
      <w:pPr>
        <w:pStyle w:val="CommentText"/>
        <w:spacing w:before="240" w:after="240"/>
        <w:rPr>
          <w:b/>
          <w:bCs/>
          <w:sz w:val="24"/>
          <w:szCs w:val="24"/>
        </w:rPr>
      </w:pPr>
      <w:r w:rsidRPr="00EA042C">
        <w:rPr>
          <w:sz w:val="24"/>
          <w:szCs w:val="24"/>
        </w:rPr>
        <w:t>Th</w:t>
      </w:r>
      <w:r w:rsidR="00EA042C">
        <w:rPr>
          <w:sz w:val="24"/>
          <w:szCs w:val="24"/>
        </w:rPr>
        <w:t>is</w:t>
      </w:r>
      <w:r w:rsidRPr="00EA042C">
        <w:rPr>
          <w:sz w:val="24"/>
          <w:szCs w:val="24"/>
        </w:rPr>
        <w:t xml:space="preserve"> </w:t>
      </w:r>
      <w:r>
        <w:rPr>
          <w:sz w:val="24"/>
          <w:szCs w:val="24"/>
        </w:rPr>
        <w:t>section provid</w:t>
      </w:r>
      <w:r w:rsidR="00EA042C">
        <w:rPr>
          <w:sz w:val="24"/>
          <w:szCs w:val="24"/>
        </w:rPr>
        <w:t>es</w:t>
      </w:r>
      <w:r>
        <w:rPr>
          <w:sz w:val="24"/>
          <w:szCs w:val="24"/>
        </w:rPr>
        <w:t xml:space="preserve"> the background </w:t>
      </w:r>
      <w:r w:rsidR="00B10F39">
        <w:rPr>
          <w:sz w:val="24"/>
          <w:szCs w:val="24"/>
        </w:rPr>
        <w:t xml:space="preserve">and highlights the revisions made to the 2022–23 </w:t>
      </w:r>
      <w:r>
        <w:rPr>
          <w:sz w:val="24"/>
          <w:szCs w:val="24"/>
        </w:rPr>
        <w:t>CAASPP and ELPAC SSRs</w:t>
      </w:r>
      <w:r w:rsidR="00B10F39">
        <w:rPr>
          <w:sz w:val="24"/>
          <w:szCs w:val="24"/>
        </w:rPr>
        <w:t>.</w:t>
      </w:r>
    </w:p>
    <w:p w14:paraId="6C7FD5B2" w14:textId="0CF0382E" w:rsidR="005A3413" w:rsidRPr="0062462C" w:rsidRDefault="005A3413" w:rsidP="0062462C">
      <w:pPr>
        <w:pStyle w:val="Heading4"/>
        <w:spacing w:before="240" w:after="240"/>
        <w:rPr>
          <w:b/>
          <w:i w:val="0"/>
          <w:sz w:val="28"/>
          <w:szCs w:val="28"/>
        </w:rPr>
      </w:pPr>
      <w:r w:rsidRPr="0062462C">
        <w:rPr>
          <w:b/>
          <w:i w:val="0"/>
          <w:sz w:val="28"/>
          <w:szCs w:val="28"/>
        </w:rPr>
        <w:t>Background</w:t>
      </w:r>
    </w:p>
    <w:p w14:paraId="57031E85" w14:textId="1780E927" w:rsidR="004428BE" w:rsidRPr="005909AA" w:rsidRDefault="04C087BB" w:rsidP="6D3C8F2F">
      <w:pPr>
        <w:pStyle w:val="CommentText"/>
        <w:spacing w:after="240"/>
      </w:pPr>
      <w:r w:rsidRPr="005909AA">
        <w:rPr>
          <w:sz w:val="24"/>
          <w:szCs w:val="24"/>
        </w:rPr>
        <w:t xml:space="preserve">In September 2021, </w:t>
      </w:r>
      <w:r w:rsidR="004428BE" w:rsidRPr="005909AA">
        <w:rPr>
          <w:sz w:val="24"/>
          <w:szCs w:val="24"/>
        </w:rPr>
        <w:t>the SBE approved necessary revisions to the CAASPP SSRs for the 2021–22 administration. These changes included the removal of school and state averages. The school and state averages were calculated using the mean of the school and state averages for the prior three administrations. Because state testing was suspended in 2019–20 and testing volumes were significantly lower than usual in 2020–21, th</w:t>
      </w:r>
      <w:r w:rsidR="007A4B05">
        <w:rPr>
          <w:sz w:val="24"/>
          <w:szCs w:val="24"/>
        </w:rPr>
        <w:t>o</w:t>
      </w:r>
      <w:r w:rsidR="004428BE" w:rsidRPr="005909AA">
        <w:rPr>
          <w:sz w:val="24"/>
          <w:szCs w:val="24"/>
        </w:rPr>
        <w:t>se administration years did not provide a meaningful measure from which to compare student performance.</w:t>
      </w:r>
    </w:p>
    <w:p w14:paraId="2DB6A82A" w14:textId="2CBE3C1F" w:rsidR="004428BE" w:rsidRPr="005909AA" w:rsidRDefault="004428BE" w:rsidP="004428BE">
      <w:pPr>
        <w:spacing w:after="240"/>
      </w:pPr>
      <w:r w:rsidRPr="005909AA">
        <w:lastRenderedPageBreak/>
        <w:t xml:space="preserve">In addition to the removal of the school and state averages, the SBE approved revisions to the language regarding claim results on pages </w:t>
      </w:r>
      <w:r w:rsidR="001F070F">
        <w:t>2</w:t>
      </w:r>
      <w:r w:rsidR="001F070F" w:rsidRPr="005909AA">
        <w:t xml:space="preserve"> </w:t>
      </w:r>
      <w:r w:rsidRPr="005909AA">
        <w:t>and</w:t>
      </w:r>
      <w:r w:rsidRPr="005909AA" w:rsidDel="001F070F">
        <w:t xml:space="preserve"> </w:t>
      </w:r>
      <w:r w:rsidR="001F070F">
        <w:t>3</w:t>
      </w:r>
      <w:r w:rsidR="001F070F" w:rsidRPr="005909AA">
        <w:t xml:space="preserve"> </w:t>
      </w:r>
      <w:r w:rsidRPr="005909AA">
        <w:t xml:space="preserve">of the SSRs for the Smarter Balanced </w:t>
      </w:r>
      <w:r w:rsidR="001F070F">
        <w:t>S</w:t>
      </w:r>
      <w:r w:rsidRPr="005909AA">
        <w:t xml:space="preserve">ummative </w:t>
      </w:r>
      <w:r w:rsidR="001F070F">
        <w:t>A</w:t>
      </w:r>
      <w:r w:rsidRPr="005909AA">
        <w:t xml:space="preserve">ssessments for ELA and </w:t>
      </w:r>
      <w:r w:rsidR="001F070F">
        <w:t>M</w:t>
      </w:r>
      <w:r w:rsidRPr="005909AA">
        <w:t xml:space="preserve">athematics. Claim results were not available at the individual student level for the 2021–22 administration due to the SBE’s approval of the adjusted </w:t>
      </w:r>
      <w:r w:rsidR="008E1173">
        <w:t xml:space="preserve">form </w:t>
      </w:r>
      <w:r w:rsidRPr="005909AA">
        <w:t>blueprint in November 2021. As such, the following message was added adjacent to the claim descriptions on pages 2 and 3 of the Smarter Balanced SSRs: “Area performance cannot be reported this year.”</w:t>
      </w:r>
    </w:p>
    <w:p w14:paraId="535E108C" w14:textId="2C81FDC5" w:rsidR="004428BE" w:rsidRPr="005909AA" w:rsidRDefault="004428BE" w:rsidP="004428BE">
      <w:pPr>
        <w:spacing w:after="240"/>
      </w:pPr>
      <w:r w:rsidRPr="005909AA">
        <w:t xml:space="preserve">A detailed description of all </w:t>
      </w:r>
      <w:r w:rsidR="001F070F" w:rsidRPr="005909AA">
        <w:t>SBE</w:t>
      </w:r>
      <w:r w:rsidR="001F070F">
        <w:t>-</w:t>
      </w:r>
      <w:r w:rsidR="001F070F" w:rsidRPr="005909AA">
        <w:t xml:space="preserve">approved </w:t>
      </w:r>
      <w:r w:rsidRPr="005909AA">
        <w:t xml:space="preserve">changes to the CAASPP and ELPAC SSRs can be found in item 03 of the January 2022 SBE meeting at </w:t>
      </w:r>
      <w:hyperlink r:id="rId17" w:tooltip="This link opens the January 2022 SBE Agenda Item." w:history="1">
        <w:r w:rsidRPr="005909AA">
          <w:rPr>
            <w:rStyle w:val="Hyperlink"/>
          </w:rPr>
          <w:t>https://www.cde.ca.gov/be/ag/ag/yr22/documents/jan22item03rev.docx</w:t>
        </w:r>
      </w:hyperlink>
      <w:r w:rsidRPr="005909AA">
        <w:t>.</w:t>
      </w:r>
    </w:p>
    <w:p w14:paraId="5AADBB07" w14:textId="77777777" w:rsidR="004428BE" w:rsidRPr="005909AA" w:rsidRDefault="004428BE" w:rsidP="003762FE">
      <w:pPr>
        <w:spacing w:before="240" w:after="240"/>
        <w:rPr>
          <w:b/>
          <w:sz w:val="28"/>
          <w:szCs w:val="28"/>
        </w:rPr>
      </w:pPr>
      <w:r w:rsidRPr="1DAC9187">
        <w:rPr>
          <w:b/>
          <w:bCs/>
          <w:sz w:val="28"/>
          <w:szCs w:val="28"/>
        </w:rPr>
        <w:t>Proposed Revisions to the 2022–23 CAASPP SSRs</w:t>
      </w:r>
    </w:p>
    <w:p w14:paraId="07B745EE" w14:textId="4824F96C" w:rsidR="004428BE" w:rsidRPr="005909AA" w:rsidRDefault="4C6B4AAF" w:rsidP="1DAC9187">
      <w:pPr>
        <w:spacing w:after="240"/>
      </w:pPr>
      <w:r>
        <w:t xml:space="preserve">The CDE does not propose changes to </w:t>
      </w:r>
      <w:r w:rsidR="622E8E76">
        <w:t>the</w:t>
      </w:r>
      <w:r>
        <w:t xml:space="preserve"> CAASPP or ELPAC SSRs except for the academic year. However, t</w:t>
      </w:r>
      <w:r w:rsidR="04C087BB">
        <w:t xml:space="preserve">he CDE requests that the SBE approve the proposed revisions to the 2022–23 </w:t>
      </w:r>
      <w:r w:rsidR="000D67EF">
        <w:t xml:space="preserve">SSRs for the </w:t>
      </w:r>
      <w:r w:rsidR="0D4ECEF1">
        <w:t xml:space="preserve">Smarter Balanced </w:t>
      </w:r>
      <w:r w:rsidR="00BD4359">
        <w:t>A</w:t>
      </w:r>
      <w:r w:rsidR="0D4ECEF1">
        <w:t>ssessments</w:t>
      </w:r>
      <w:r w:rsidR="00BD4359">
        <w:t xml:space="preserve"> for</w:t>
      </w:r>
      <w:r w:rsidR="0D4ECEF1">
        <w:t xml:space="preserve"> ELA and </w:t>
      </w:r>
      <w:r w:rsidR="00BD4359">
        <w:t>M</w:t>
      </w:r>
      <w:r w:rsidR="0D4ECEF1">
        <w:t>athematics</w:t>
      </w:r>
      <w:r w:rsidR="04C087BB">
        <w:t>. The proposed revisions are necessary to ensure that key information regarding student performance is communicated clearly to parents</w:t>
      </w:r>
      <w:r w:rsidR="00BD4359">
        <w:t xml:space="preserve"> and guardians</w:t>
      </w:r>
      <w:r w:rsidR="04C087BB">
        <w:t xml:space="preserve">. </w:t>
      </w:r>
    </w:p>
    <w:p w14:paraId="0E884812" w14:textId="124629E5" w:rsidR="004428BE" w:rsidRPr="005909AA" w:rsidRDefault="004428BE" w:rsidP="6D3C8F2F">
      <w:pPr>
        <w:spacing w:after="240"/>
      </w:pPr>
      <w:r w:rsidRPr="005909AA">
        <w:t xml:space="preserve">The SSRs for the Smarter Balanced </w:t>
      </w:r>
      <w:r w:rsidR="00D13DF0">
        <w:t>S</w:t>
      </w:r>
      <w:r w:rsidRPr="005909AA">
        <w:t xml:space="preserve">ummative </w:t>
      </w:r>
      <w:r w:rsidR="00D13DF0">
        <w:t>A</w:t>
      </w:r>
      <w:r w:rsidRPr="005909AA">
        <w:t xml:space="preserve">ssessments </w:t>
      </w:r>
      <w:r w:rsidR="00D13DF0">
        <w:t>for</w:t>
      </w:r>
      <w:r w:rsidRPr="005909AA">
        <w:t xml:space="preserve"> ELA and </w:t>
      </w:r>
      <w:r w:rsidR="00D13DF0">
        <w:t>M</w:t>
      </w:r>
      <w:r w:rsidRPr="005909AA">
        <w:t xml:space="preserve">athematics traditionally contain language that helps parents and guardians understand their child’s most recent performance in ELA and mathematics </w:t>
      </w:r>
      <w:r w:rsidR="005A61A4" w:rsidRPr="005909AA">
        <w:t>in relation</w:t>
      </w:r>
      <w:r w:rsidRPr="005909AA">
        <w:t xml:space="preserve"> to their performance the prior year. This language </w:t>
      </w:r>
      <w:r w:rsidR="009D4AB9" w:rsidRPr="005909AA">
        <w:t xml:space="preserve">is unique to the student and </w:t>
      </w:r>
      <w:r w:rsidR="008C399B" w:rsidRPr="005909AA">
        <w:t xml:space="preserve">explains </w:t>
      </w:r>
      <w:r w:rsidRPr="005909AA">
        <w:t xml:space="preserve">the student’s change in scale score as well as any change in achievement level relative to the prior year. </w:t>
      </w:r>
      <w:r w:rsidR="00D823A8" w:rsidRPr="005909AA">
        <w:t>Two</w:t>
      </w:r>
      <w:r w:rsidRPr="005909AA">
        <w:t xml:space="preserve"> example</w:t>
      </w:r>
      <w:r w:rsidR="00B71DC2" w:rsidRPr="005909AA">
        <w:t>s of this language are as follows</w:t>
      </w:r>
      <w:r w:rsidR="04C087BB" w:rsidRPr="005909AA">
        <w:t xml:space="preserve">: </w:t>
      </w:r>
    </w:p>
    <w:p w14:paraId="1EA0B4DA" w14:textId="149A59E4" w:rsidR="004428BE" w:rsidRPr="005909AA" w:rsidRDefault="04C087BB" w:rsidP="68330897">
      <w:pPr>
        <w:pStyle w:val="ListParagraph"/>
        <w:numPr>
          <w:ilvl w:val="0"/>
          <w:numId w:val="32"/>
        </w:numPr>
        <w:spacing w:after="240"/>
        <w:contextualSpacing w:val="0"/>
      </w:pPr>
      <w:r w:rsidRPr="005909AA">
        <w:t>If</w:t>
      </w:r>
      <w:r w:rsidR="004428BE" w:rsidRPr="005909AA">
        <w:t xml:space="preserve"> a student earns a higher scale score and attains a higher achievement level relative to their prior year performance, the SSR will contain language that states, “[Student Name]’s score increased from last year, enough to reach a higher level. See page 4 of this report for [Student Name]’s score history.”</w:t>
      </w:r>
    </w:p>
    <w:p w14:paraId="794747D5" w14:textId="78829A8B" w:rsidR="004428BE" w:rsidRPr="005909AA" w:rsidRDefault="004428BE" w:rsidP="68330897">
      <w:pPr>
        <w:pStyle w:val="ListParagraph"/>
        <w:numPr>
          <w:ilvl w:val="0"/>
          <w:numId w:val="32"/>
        </w:numPr>
        <w:spacing w:after="240"/>
      </w:pPr>
      <w:r w:rsidRPr="005909AA">
        <w:t>If a student’s scale s</w:t>
      </w:r>
      <w:r w:rsidR="004A7805">
        <w:t>c</w:t>
      </w:r>
      <w:r w:rsidRPr="005909AA">
        <w:t>ore decrease</w:t>
      </w:r>
      <w:r w:rsidR="004A7805">
        <w:t>s</w:t>
      </w:r>
      <w:r w:rsidRPr="005909AA">
        <w:t xml:space="preserve"> but the student’s achievement level remains unchanged relative to the prior year, the SSR will contain language that states, “[Student Name]’s score decreased from last year, but is still in the same level. See page 4 of this report for [Student Name]’s score history.” </w:t>
      </w:r>
    </w:p>
    <w:p w14:paraId="3E9BA785" w14:textId="6CFCA45A" w:rsidR="004428BE" w:rsidRPr="005909AA" w:rsidRDefault="004428BE" w:rsidP="004428BE">
      <w:pPr>
        <w:spacing w:after="240"/>
      </w:pPr>
      <w:r w:rsidRPr="005909AA">
        <w:t xml:space="preserve">This </w:t>
      </w:r>
      <w:r w:rsidR="04C087BB" w:rsidRPr="005909AA">
        <w:t>comparative</w:t>
      </w:r>
      <w:r w:rsidRPr="005909AA">
        <w:t xml:space="preserve"> language was removed from SSRs for the 2021–22 administration due to </w:t>
      </w:r>
      <w:r w:rsidR="00937E94" w:rsidRPr="005909AA">
        <w:t xml:space="preserve">the widespread use of local assessments </w:t>
      </w:r>
      <w:r w:rsidR="004A7805">
        <w:t>for</w:t>
      </w:r>
      <w:r w:rsidR="00937E94" w:rsidRPr="005909AA">
        <w:t xml:space="preserve"> ELA and mathematics in 2020–21</w:t>
      </w:r>
      <w:r w:rsidR="00A07D67">
        <w:t>.</w:t>
      </w:r>
      <w:r w:rsidR="00937E94" w:rsidRPr="005909AA">
        <w:t xml:space="preserve"> </w:t>
      </w:r>
      <w:r w:rsidR="00A07D67">
        <w:t>In addition,</w:t>
      </w:r>
      <w:r w:rsidRPr="005909AA">
        <w:t xml:space="preserve"> the inconsistency in learning environments </w:t>
      </w:r>
      <w:r w:rsidR="00A07D67">
        <w:t>during</w:t>
      </w:r>
      <w:r w:rsidR="00A07D67" w:rsidRPr="005909AA">
        <w:t xml:space="preserve"> </w:t>
      </w:r>
      <w:r w:rsidRPr="005909AA">
        <w:t xml:space="preserve">the COVID-19 pandemic </w:t>
      </w:r>
      <w:r w:rsidR="00A07D67">
        <w:t>makes the</w:t>
      </w:r>
      <w:r w:rsidRPr="005909AA">
        <w:t xml:space="preserve"> compar</w:t>
      </w:r>
      <w:r w:rsidR="00A07D67">
        <w:t>ison of</w:t>
      </w:r>
      <w:r w:rsidRPr="005909AA">
        <w:t xml:space="preserve"> </w:t>
      </w:r>
      <w:r w:rsidR="00A07D67" w:rsidRPr="005909AA">
        <w:t xml:space="preserve">2021–22 </w:t>
      </w:r>
      <w:r w:rsidRPr="005909AA">
        <w:t xml:space="preserve">student CAASPP performance </w:t>
      </w:r>
      <w:r w:rsidR="0071621E">
        <w:t>with</w:t>
      </w:r>
      <w:r w:rsidRPr="005909AA">
        <w:t xml:space="preserve"> prior</w:t>
      </w:r>
      <w:r w:rsidR="000D67EF">
        <w:t>-</w:t>
      </w:r>
      <w:r w:rsidRPr="005909AA">
        <w:t>year performance</w:t>
      </w:r>
      <w:r w:rsidR="00A07D67">
        <w:t xml:space="preserve"> unsuitable</w:t>
      </w:r>
      <w:r w:rsidRPr="005909AA">
        <w:t xml:space="preserve">. </w:t>
      </w:r>
    </w:p>
    <w:p w14:paraId="74767DF1" w14:textId="3A1653E5" w:rsidR="004428BE" w:rsidRPr="005909AA" w:rsidRDefault="004428BE" w:rsidP="004428BE">
      <w:pPr>
        <w:spacing w:after="240"/>
      </w:pPr>
      <w:r w:rsidRPr="005909AA">
        <w:t xml:space="preserve">With a significantly larger percentage of students participating in the CAASPP in 2021–22, as well as increased consistency in student learning environments, a comparison between 2021–22 and 2022–23 performance offers a suitable and valid insight into student progress and performance. For this reason, the CDE proposes that the </w:t>
      </w:r>
      <w:r w:rsidRPr="005909AA">
        <w:lastRenderedPageBreak/>
        <w:t xml:space="preserve">comparison language be added back to the design specifications for the SSRs for the </w:t>
      </w:r>
      <w:r w:rsidR="000D67EF" w:rsidRPr="005909AA">
        <w:t xml:space="preserve">Smarter Balanced </w:t>
      </w:r>
      <w:r w:rsidR="000D67EF">
        <w:t>S</w:t>
      </w:r>
      <w:r w:rsidR="000D67EF" w:rsidRPr="005909AA">
        <w:t xml:space="preserve">ummative </w:t>
      </w:r>
      <w:r w:rsidR="000D67EF">
        <w:t>A</w:t>
      </w:r>
      <w:r w:rsidR="000D67EF" w:rsidRPr="005909AA">
        <w:t xml:space="preserve">ssessments </w:t>
      </w:r>
      <w:r w:rsidR="000D67EF">
        <w:t>for</w:t>
      </w:r>
      <w:r w:rsidR="000D67EF" w:rsidRPr="005909AA">
        <w:t xml:space="preserve"> ELA and </w:t>
      </w:r>
      <w:r w:rsidR="000D67EF">
        <w:t>M</w:t>
      </w:r>
      <w:r w:rsidR="000D67EF" w:rsidRPr="005909AA">
        <w:t>athematics</w:t>
      </w:r>
      <w:r w:rsidRPr="005909AA">
        <w:t>.</w:t>
      </w:r>
    </w:p>
    <w:p w14:paraId="00CA8496" w14:textId="3FDE77EA" w:rsidR="004428BE" w:rsidRPr="005909AA" w:rsidRDefault="004428BE" w:rsidP="00655C57">
      <w:pPr>
        <w:spacing w:after="240"/>
      </w:pPr>
      <w:r w:rsidRPr="005909AA">
        <w:t xml:space="preserve">In addition, the CDE proposes that the claim descriptions be removed on the SSRs for the </w:t>
      </w:r>
      <w:r w:rsidR="000D67EF" w:rsidRPr="005909AA">
        <w:t xml:space="preserve">Smarter Balanced </w:t>
      </w:r>
      <w:r w:rsidR="000D67EF">
        <w:t>S</w:t>
      </w:r>
      <w:r w:rsidR="000D67EF" w:rsidRPr="005909AA">
        <w:t xml:space="preserve">ummative </w:t>
      </w:r>
      <w:r w:rsidR="000D67EF">
        <w:t>A</w:t>
      </w:r>
      <w:r w:rsidR="000D67EF" w:rsidRPr="005909AA">
        <w:t xml:space="preserve">ssessments </w:t>
      </w:r>
      <w:r w:rsidR="000D67EF">
        <w:t>for</w:t>
      </w:r>
      <w:r w:rsidR="000D67EF" w:rsidRPr="005909AA">
        <w:t xml:space="preserve"> ELA and </w:t>
      </w:r>
      <w:r w:rsidR="000D67EF">
        <w:t>M</w:t>
      </w:r>
      <w:r w:rsidR="000D67EF" w:rsidRPr="005909AA">
        <w:t>athematics</w:t>
      </w:r>
      <w:r w:rsidRPr="005909AA">
        <w:t>.</w:t>
      </w:r>
      <w:r w:rsidRPr="005909AA" w:rsidDel="00D435DE">
        <w:t xml:space="preserve"> </w:t>
      </w:r>
      <w:r w:rsidR="00D435DE">
        <w:t>Becaus</w:t>
      </w:r>
      <w:r w:rsidR="00D435DE" w:rsidRPr="005909AA">
        <w:t xml:space="preserve">e </w:t>
      </w:r>
      <w:r w:rsidRPr="005909AA">
        <w:t>individual student claim results will not be reported in 2022–23, these claim descriptions along with the message of “Area performance cannot be reported this year” presents information that is not actionable or informative for parents and may even lead to confusion or misinterpretation of student results. For this reason, the CDE proposes that this claim information be removed for the 2022–23 administration</w:t>
      </w:r>
      <w:r w:rsidR="00655C57" w:rsidRPr="005909AA">
        <w:t xml:space="preserve"> to make the SSRs easier to navigate for parents and guardians by removing information not relevant to the 2022–23 administration</w:t>
      </w:r>
      <w:r w:rsidRPr="005909AA">
        <w:t>.</w:t>
      </w:r>
    </w:p>
    <w:p w14:paraId="6D973817" w14:textId="23CD62D6" w:rsidR="00B67651" w:rsidRPr="005909AA" w:rsidRDefault="004428BE" w:rsidP="00574CF9">
      <w:pPr>
        <w:spacing w:after="240"/>
      </w:pPr>
      <w:r>
        <w:t xml:space="preserve">The SSRs for the CAASPP and ELPAC assessments are included in </w:t>
      </w:r>
      <w:r w:rsidR="00686B9E">
        <w:t>A</w:t>
      </w:r>
      <w:r w:rsidR="00980799">
        <w:t>ttachment</w:t>
      </w:r>
      <w:r w:rsidR="00686B9E">
        <w:t xml:space="preserve"> </w:t>
      </w:r>
      <w:r w:rsidR="00B833D3">
        <w:t>4</w:t>
      </w:r>
      <w:r>
        <w:t xml:space="preserve">, including </w:t>
      </w:r>
      <w:r w:rsidR="000D4928">
        <w:t>those</w:t>
      </w:r>
      <w:r>
        <w:t xml:space="preserve"> for the </w:t>
      </w:r>
      <w:r w:rsidR="000D4928">
        <w:t>Smarter Balanced Summative Assessments for ELA and Mathematics</w:t>
      </w:r>
      <w:r>
        <w:t xml:space="preserve"> with the proposed revisions. </w:t>
      </w:r>
      <w:r w:rsidR="007A3F25">
        <w:t xml:space="preserve">SSRs </w:t>
      </w:r>
      <w:r w:rsidR="006F61F7">
        <w:t xml:space="preserve">are available </w:t>
      </w:r>
      <w:r w:rsidR="00CF3671">
        <w:t>to families in English, Spanish, Vietnamese, Traditional Chinese, Fi</w:t>
      </w:r>
      <w:r w:rsidR="00862DC0">
        <w:t>li</w:t>
      </w:r>
      <w:r w:rsidR="00CF3671">
        <w:t>pino, and</w:t>
      </w:r>
      <w:r w:rsidR="000377D1">
        <w:t xml:space="preserve">—starting in </w:t>
      </w:r>
      <w:r w:rsidR="006A710A">
        <w:t>202</w:t>
      </w:r>
      <w:r w:rsidR="00862DC0">
        <w:t>2–23—Korean.</w:t>
      </w:r>
      <w:r w:rsidR="00CF3671">
        <w:t xml:space="preserve"> </w:t>
      </w:r>
    </w:p>
    <w:p w14:paraId="2593283A" w14:textId="6107DB1C" w:rsidR="003E4DF7" w:rsidRPr="005909AA" w:rsidRDefault="00C3277C" w:rsidP="00574CF9">
      <w:pPr>
        <w:pStyle w:val="Heading3"/>
        <w:spacing w:before="240" w:after="240"/>
        <w:rPr>
          <w:rFonts w:cs="Arial"/>
        </w:rPr>
      </w:pPr>
      <w:r>
        <w:rPr>
          <w:rFonts w:eastAsia="Arial" w:cs="Arial"/>
          <w:sz w:val="32"/>
          <w:szCs w:val="32"/>
        </w:rPr>
        <w:t>Updates on Assessment Program Activities</w:t>
      </w:r>
    </w:p>
    <w:p w14:paraId="759ECF58" w14:textId="0A4C27B4" w:rsidR="00686B9E" w:rsidRDefault="69A23C09" w:rsidP="00686B9E">
      <w:pPr>
        <w:spacing w:before="240" w:after="240"/>
        <w:rPr>
          <w:b/>
          <w:i/>
          <w:sz w:val="28"/>
          <w:szCs w:val="28"/>
        </w:rPr>
      </w:pPr>
      <w:r w:rsidRPr="005909AA">
        <w:rPr>
          <w:rFonts w:eastAsia="Arial"/>
        </w:rPr>
        <w:t xml:space="preserve">The following updates include </w:t>
      </w:r>
      <w:r w:rsidR="00D310A0">
        <w:rPr>
          <w:rFonts w:eastAsia="Arial"/>
        </w:rPr>
        <w:t xml:space="preserve">the </w:t>
      </w:r>
      <w:r w:rsidR="00D51707">
        <w:rPr>
          <w:rFonts w:eastAsia="Arial"/>
        </w:rPr>
        <w:t xml:space="preserve">new professional learning series for </w:t>
      </w:r>
      <w:r w:rsidR="0007281C">
        <w:rPr>
          <w:rFonts w:eastAsia="Arial"/>
        </w:rPr>
        <w:t>E</w:t>
      </w:r>
      <w:r w:rsidR="00D51707">
        <w:rPr>
          <w:rFonts w:eastAsia="Arial"/>
        </w:rPr>
        <w:t xml:space="preserve">ffective </w:t>
      </w:r>
      <w:r w:rsidR="0007281C">
        <w:rPr>
          <w:rFonts w:eastAsia="Arial"/>
        </w:rPr>
        <w:t>S</w:t>
      </w:r>
      <w:r w:rsidR="00D51707">
        <w:rPr>
          <w:rFonts w:eastAsia="Arial"/>
        </w:rPr>
        <w:t>chool-</w:t>
      </w:r>
      <w:r w:rsidR="0007281C">
        <w:rPr>
          <w:rFonts w:eastAsia="Arial"/>
        </w:rPr>
        <w:t>H</w:t>
      </w:r>
      <w:r w:rsidR="00D51707">
        <w:rPr>
          <w:rFonts w:eastAsia="Arial"/>
        </w:rPr>
        <w:t xml:space="preserve">ome </w:t>
      </w:r>
      <w:r w:rsidR="0007281C">
        <w:rPr>
          <w:rFonts w:eastAsia="Arial"/>
        </w:rPr>
        <w:t>P</w:t>
      </w:r>
      <w:r w:rsidR="00D51707">
        <w:rPr>
          <w:rFonts w:eastAsia="Arial"/>
        </w:rPr>
        <w:t xml:space="preserve">artnerships, </w:t>
      </w:r>
      <w:r w:rsidR="00F6323A">
        <w:rPr>
          <w:rFonts w:eastAsia="Arial"/>
        </w:rPr>
        <w:t>Science</w:t>
      </w:r>
      <w:r w:rsidR="00F6323A">
        <w:t xml:space="preserve"> and ELPAC </w:t>
      </w:r>
      <w:r w:rsidR="00F6323A">
        <w:rPr>
          <w:rFonts w:eastAsia="Arial"/>
        </w:rPr>
        <w:t xml:space="preserve">interim </w:t>
      </w:r>
      <w:r w:rsidR="00F6323A">
        <w:t>assessments,</w:t>
      </w:r>
      <w:r w:rsidR="00F6323A">
        <w:rPr>
          <w:rFonts w:eastAsia="Arial"/>
        </w:rPr>
        <w:t xml:space="preserve"> </w:t>
      </w:r>
      <w:r w:rsidR="00D51707">
        <w:rPr>
          <w:rFonts w:eastAsia="Arial"/>
        </w:rPr>
        <w:t>and national and international assessments</w:t>
      </w:r>
      <w:r w:rsidR="00D310A0">
        <w:rPr>
          <w:rFonts w:eastAsia="Arial"/>
        </w:rPr>
        <w:t>.</w:t>
      </w:r>
    </w:p>
    <w:p w14:paraId="5CA083D3" w14:textId="4FBCF058" w:rsidR="00C42B1A" w:rsidRPr="005909AA" w:rsidRDefault="2E3F17AD" w:rsidP="2E3F17AD">
      <w:pPr>
        <w:pStyle w:val="Heading4"/>
        <w:rPr>
          <w:rFonts w:cs="Arial"/>
          <w:b/>
          <w:bCs/>
          <w:i w:val="0"/>
          <w:iCs w:val="0"/>
          <w:sz w:val="28"/>
          <w:szCs w:val="28"/>
        </w:rPr>
      </w:pPr>
      <w:r w:rsidRPr="2E3F17AD">
        <w:rPr>
          <w:rFonts w:cs="Arial"/>
          <w:b/>
          <w:bCs/>
          <w:i w:val="0"/>
          <w:iCs w:val="0"/>
          <w:sz w:val="28"/>
          <w:szCs w:val="28"/>
        </w:rPr>
        <w:t>New Professional Learning Series for Effective School-Home Partnerships</w:t>
      </w:r>
    </w:p>
    <w:p w14:paraId="39C43DA0" w14:textId="50996614" w:rsidR="2E3F17AD" w:rsidRDefault="72FBCD6C" w:rsidP="003905AA">
      <w:pPr>
        <w:spacing w:after="240"/>
      </w:pPr>
      <w:r>
        <w:t>A</w:t>
      </w:r>
      <w:r w:rsidR="02E6A8F7">
        <w:t xml:space="preserve"> new professional learning series</w:t>
      </w:r>
      <w:r w:rsidR="52FB18E4">
        <w:t xml:space="preserve"> </w:t>
      </w:r>
      <w:r>
        <w:t>is now</w:t>
      </w:r>
      <w:r w:rsidR="02E6A8F7">
        <w:t xml:space="preserve"> available to </w:t>
      </w:r>
      <w:r w:rsidR="2848353B">
        <w:t xml:space="preserve">support </w:t>
      </w:r>
      <w:r w:rsidR="0ED290C6">
        <w:t xml:space="preserve">California </w:t>
      </w:r>
      <w:r w:rsidR="2848353B">
        <w:t xml:space="preserve">educators in building trust </w:t>
      </w:r>
      <w:r w:rsidR="36443A01">
        <w:t>with families</w:t>
      </w:r>
      <w:r w:rsidR="2848353B">
        <w:t xml:space="preserve"> and effective</w:t>
      </w:r>
      <w:r w:rsidR="36443A01">
        <w:t>ly</w:t>
      </w:r>
      <w:r w:rsidR="2848353B">
        <w:t xml:space="preserve"> communicati</w:t>
      </w:r>
      <w:r w:rsidR="36443A01">
        <w:t xml:space="preserve">ng with families </w:t>
      </w:r>
      <w:r w:rsidR="2848353B">
        <w:t xml:space="preserve">about student data. </w:t>
      </w:r>
      <w:r w:rsidR="43A6EC19">
        <w:t>Th</w:t>
      </w:r>
      <w:r w:rsidR="00422872">
        <w:t>is</w:t>
      </w:r>
      <w:r w:rsidR="43A6EC19">
        <w:t xml:space="preserve"> four-module series—</w:t>
      </w:r>
      <w:r w:rsidR="006B3BD3">
        <w:t>title</w:t>
      </w:r>
      <w:r w:rsidR="43A6EC19">
        <w:t>d Effective School-Home Partnerships—</w:t>
      </w:r>
      <w:r w:rsidR="52FB18E4">
        <w:t>was</w:t>
      </w:r>
      <w:r w:rsidR="02E6A8F7">
        <w:t xml:space="preserve"> developed by Learning Heroes and Technology Access Foundation, in collaboration with the CDE and the Consortium.</w:t>
      </w:r>
      <w:r w:rsidR="34B99DD5">
        <w:t xml:space="preserve"> </w:t>
      </w:r>
      <w:r w:rsidR="70816347">
        <w:t>The modules</w:t>
      </w:r>
      <w:r w:rsidR="770C76FA">
        <w:t xml:space="preserve"> </w:t>
      </w:r>
      <w:r w:rsidR="02E6A8F7">
        <w:t>focus on the following topics:</w:t>
      </w:r>
    </w:p>
    <w:p w14:paraId="42E10A55" w14:textId="31A442CE" w:rsidR="2E3F17AD" w:rsidRDefault="69F1E389" w:rsidP="571BE298">
      <w:pPr>
        <w:pStyle w:val="ListParagraph"/>
        <w:numPr>
          <w:ilvl w:val="0"/>
          <w:numId w:val="42"/>
        </w:numPr>
        <w:spacing w:after="240"/>
        <w:contextualSpacing w:val="0"/>
      </w:pPr>
      <w:r>
        <w:t xml:space="preserve">Building </w:t>
      </w:r>
      <w:r w:rsidR="3AAEA986">
        <w:t>t</w:t>
      </w:r>
      <w:r>
        <w:t xml:space="preserve">rust with </w:t>
      </w:r>
      <w:r w:rsidR="3AAEA986">
        <w:t>f</w:t>
      </w:r>
      <w:r>
        <w:t>amilies</w:t>
      </w:r>
      <w:r w:rsidR="3C0DCE52">
        <w:t xml:space="preserve">—how to establish and continuously build trust as the foundation </w:t>
      </w:r>
      <w:r w:rsidR="3005D681">
        <w:t>of</w:t>
      </w:r>
      <w:r w:rsidR="3C0DCE52">
        <w:t xml:space="preserve"> all school-home partnerships</w:t>
      </w:r>
    </w:p>
    <w:p w14:paraId="5A27C47F" w14:textId="71DEF8EC" w:rsidR="2E3F17AD" w:rsidRDefault="02E6A8F7" w:rsidP="003905AA">
      <w:pPr>
        <w:pStyle w:val="ListParagraph"/>
        <w:numPr>
          <w:ilvl w:val="0"/>
          <w:numId w:val="42"/>
        </w:numPr>
        <w:spacing w:after="240"/>
        <w:contextualSpacing w:val="0"/>
      </w:pPr>
      <w:r>
        <w:t xml:space="preserve">Sharing </w:t>
      </w:r>
      <w:r w:rsidR="6D80E24F">
        <w:t>d</w:t>
      </w:r>
      <w:r>
        <w:t xml:space="preserve">ata with </w:t>
      </w:r>
      <w:r w:rsidR="6D80E24F">
        <w:t>f</w:t>
      </w:r>
      <w:r>
        <w:t>amilies</w:t>
      </w:r>
      <w:r w:rsidR="43A6EC19">
        <w:t>—how to share data in a culturally responsive, respectful, and actionable way</w:t>
      </w:r>
    </w:p>
    <w:p w14:paraId="62D18189" w14:textId="717A5398" w:rsidR="2E3F17AD" w:rsidRDefault="7D582671" w:rsidP="003905AA">
      <w:pPr>
        <w:pStyle w:val="ListParagraph"/>
        <w:numPr>
          <w:ilvl w:val="0"/>
          <w:numId w:val="42"/>
        </w:numPr>
        <w:spacing w:after="240"/>
        <w:contextualSpacing w:val="0"/>
      </w:pPr>
      <w:r>
        <w:t xml:space="preserve">Multiple </w:t>
      </w:r>
      <w:r w:rsidR="4149A1FB">
        <w:t>m</w:t>
      </w:r>
      <w:r>
        <w:t xml:space="preserve">easures and </w:t>
      </w:r>
      <w:r w:rsidR="4149A1FB">
        <w:t>g</w:t>
      </w:r>
      <w:r>
        <w:t xml:space="preserve">oal </w:t>
      </w:r>
      <w:r w:rsidR="4149A1FB">
        <w:t>s</w:t>
      </w:r>
      <w:r>
        <w:t>etting</w:t>
      </w:r>
      <w:r w:rsidR="517C56FE">
        <w:t xml:space="preserve">—how to engage families with multiple measures </w:t>
      </w:r>
      <w:r w:rsidR="52A70755">
        <w:t xml:space="preserve">of student performance </w:t>
      </w:r>
      <w:r w:rsidR="517C56FE">
        <w:t>and goal setting</w:t>
      </w:r>
      <w:r w:rsidR="42A4B3C8">
        <w:t xml:space="preserve">, and </w:t>
      </w:r>
    </w:p>
    <w:p w14:paraId="2351DB41" w14:textId="4F67D8B5" w:rsidR="2E3F17AD" w:rsidRDefault="02E6A8F7" w:rsidP="003905AA">
      <w:pPr>
        <w:pStyle w:val="ListParagraph"/>
        <w:numPr>
          <w:ilvl w:val="0"/>
          <w:numId w:val="42"/>
        </w:numPr>
        <w:spacing w:after="240"/>
        <w:contextualSpacing w:val="0"/>
      </w:pPr>
      <w:r>
        <w:t xml:space="preserve">Navigating </w:t>
      </w:r>
      <w:r w:rsidR="6D80E24F">
        <w:t>d</w:t>
      </w:r>
      <w:r>
        <w:t xml:space="preserve">ifficult </w:t>
      </w:r>
      <w:r w:rsidR="6D80E24F">
        <w:t>c</w:t>
      </w:r>
      <w:r>
        <w:t>onversations</w:t>
      </w:r>
      <w:r w:rsidR="43A6EC19">
        <w:t xml:space="preserve">—how to navigate difficult conversations </w:t>
      </w:r>
      <w:r w:rsidR="00B73633">
        <w:t>and</w:t>
      </w:r>
      <w:r w:rsidR="00994C53">
        <w:t xml:space="preserve"> partner with families</w:t>
      </w:r>
      <w:r w:rsidR="00B73633">
        <w:t xml:space="preserve"> to create plans for subsequent follow up</w:t>
      </w:r>
      <w:r w:rsidR="00223253">
        <w:t>.</w:t>
      </w:r>
    </w:p>
    <w:p w14:paraId="4B358F0E" w14:textId="77777777" w:rsidR="00F6323A" w:rsidRDefault="02E6A8F7" w:rsidP="2E3F17AD">
      <w:r>
        <w:t xml:space="preserve">Each module </w:t>
      </w:r>
      <w:r w:rsidR="008B12DD">
        <w:t>includes</w:t>
      </w:r>
      <w:r>
        <w:t xml:space="preserve"> a set of </w:t>
      </w:r>
      <w:r w:rsidR="49F068A3">
        <w:t>“unlearn”</w:t>
      </w:r>
      <w:r>
        <w:t xml:space="preserve"> and </w:t>
      </w:r>
      <w:r w:rsidR="49F068A3">
        <w:t>“learn”</w:t>
      </w:r>
      <w:r>
        <w:t xml:space="preserve"> videos</w:t>
      </w:r>
      <w:r w:rsidR="14609971">
        <w:t xml:space="preserve"> that</w:t>
      </w:r>
      <w:r>
        <w:t xml:space="preserve"> demonstrat</w:t>
      </w:r>
      <w:r w:rsidR="14609971">
        <w:t>e</w:t>
      </w:r>
      <w:r>
        <w:t xml:space="preserve"> examples of less effective and more effective communication styles</w:t>
      </w:r>
      <w:r w:rsidR="00117ADF">
        <w:t xml:space="preserve">. In addition, each module </w:t>
      </w:r>
      <w:r w:rsidR="00117ADF">
        <w:lastRenderedPageBreak/>
        <w:t>includes</w:t>
      </w:r>
      <w:r>
        <w:t xml:space="preserve"> a </w:t>
      </w:r>
      <w:r w:rsidR="365CEB1A">
        <w:t>f</w:t>
      </w:r>
      <w:r>
        <w:t xml:space="preserve">acilitator’s </w:t>
      </w:r>
      <w:r w:rsidR="365CEB1A">
        <w:t>g</w:t>
      </w:r>
      <w:r>
        <w:t>uide and video notes to help facilitate self-reflection and small group activities</w:t>
      </w:r>
      <w:r w:rsidR="008B12DD">
        <w:t xml:space="preserve"> as well as</w:t>
      </w:r>
      <w:r>
        <w:t xml:space="preserve"> a </w:t>
      </w:r>
      <w:r w:rsidR="14609971">
        <w:t>learning guide</w:t>
      </w:r>
      <w:r>
        <w:t xml:space="preserve"> for participants to use with all module activities.</w:t>
      </w:r>
      <w:r w:rsidR="508377AD">
        <w:t xml:space="preserve"> </w:t>
      </w:r>
      <w:r w:rsidR="03FAE574">
        <w:t xml:space="preserve">Each module </w:t>
      </w:r>
      <w:r w:rsidR="0D66A46B">
        <w:t>in the series</w:t>
      </w:r>
      <w:r w:rsidR="03FAE574">
        <w:t xml:space="preserve"> is designed to be used by individual educators or as part of a professional learning community. </w:t>
      </w:r>
      <w:r w:rsidR="0D66A46B">
        <w:t xml:space="preserve">All </w:t>
      </w:r>
      <w:r w:rsidR="00624E52">
        <w:t>four</w:t>
      </w:r>
      <w:r w:rsidR="0D66A46B">
        <w:t xml:space="preserve"> </w:t>
      </w:r>
      <w:r w:rsidR="67215617">
        <w:t xml:space="preserve">modules </w:t>
      </w:r>
      <w:r w:rsidR="00341B7E">
        <w:t xml:space="preserve">in the “Effective School-Home Partnerships” series </w:t>
      </w:r>
      <w:r w:rsidR="67215617">
        <w:t>are</w:t>
      </w:r>
      <w:r w:rsidR="508377AD">
        <w:t xml:space="preserve"> available to </w:t>
      </w:r>
      <w:r w:rsidR="06E8707A">
        <w:t>LEA staff</w:t>
      </w:r>
      <w:r w:rsidR="508377AD">
        <w:t xml:space="preserve"> through the Smarter Balanced Tools for Teachers website</w:t>
      </w:r>
      <w:r w:rsidR="00A40138">
        <w:t xml:space="preserve">, </w:t>
      </w:r>
      <w:r w:rsidR="00A40138" w:rsidRPr="00C35F8B" w:rsidDel="00C91F86">
        <w:t>which is located at</w:t>
      </w:r>
      <w:r w:rsidR="00183D89">
        <w:t xml:space="preserve"> </w:t>
      </w:r>
      <w:hyperlink r:id="rId18" w:tooltip="This opens the link for Smarter Balanced Tools for Teachers' home web page.">
        <w:r w:rsidR="00F95705" w:rsidRPr="00C35F8B" w:rsidDel="00C91F86">
          <w:rPr>
            <w:rStyle w:val="Hyperlink"/>
          </w:rPr>
          <w:t>https://www.smartertoolsforteachers.org/</w:t>
        </w:r>
      </w:hyperlink>
      <w:r w:rsidR="508377AD">
        <w:t>.</w:t>
      </w:r>
    </w:p>
    <w:p w14:paraId="7343E313" w14:textId="1217055E" w:rsidR="00F6323A" w:rsidRPr="00686B9E" w:rsidRDefault="00F6323A" w:rsidP="00F6323A">
      <w:pPr>
        <w:pStyle w:val="Heading4"/>
        <w:spacing w:before="240" w:after="240"/>
        <w:rPr>
          <w:b/>
          <w:i w:val="0"/>
          <w:sz w:val="28"/>
          <w:szCs w:val="28"/>
        </w:rPr>
      </w:pPr>
      <w:r w:rsidRPr="00686B9E">
        <w:rPr>
          <w:b/>
          <w:i w:val="0"/>
          <w:sz w:val="28"/>
          <w:szCs w:val="28"/>
        </w:rPr>
        <w:t>Science and ELPAC Interim Assessment</w:t>
      </w:r>
      <w:r>
        <w:rPr>
          <w:b/>
          <w:i w:val="0"/>
          <w:sz w:val="28"/>
          <w:szCs w:val="28"/>
        </w:rPr>
        <w:t>s</w:t>
      </w:r>
      <w:r w:rsidRPr="00686B9E">
        <w:rPr>
          <w:b/>
          <w:i w:val="0"/>
          <w:sz w:val="28"/>
          <w:szCs w:val="28"/>
        </w:rPr>
        <w:t xml:space="preserve"> </w:t>
      </w:r>
    </w:p>
    <w:p w14:paraId="6B73D49E" w14:textId="6EFB8738" w:rsidR="2E3F17AD" w:rsidRDefault="00F6323A" w:rsidP="00F6323A">
      <w:pPr>
        <w:spacing w:before="240" w:after="240"/>
      </w:pPr>
      <w:r>
        <w:t xml:space="preserve">The CDE and ETS are discussing the high-level design of the interim assessments for both the California Science Test (CAST) and ELPAC. The purpose of these interims is to improve teaching and learning in the classroom. The first set of interims will be released in 2023–24, and the second set in 2024–25. For the science interims, there will be three assessment blocks per grade—one for each of the assessed science domains, which are Earth and Space Sciences, Life Sciences, and Physical Sciences. For the ELPAC, there will be two interim assessments developed per grade/grade span for each of the Listening, Speaking, Reading, and Writing domains. The CDE will provide the SBE more information regarding the development of these interim assessments in subsequent agenda items. </w:t>
      </w:r>
    </w:p>
    <w:p w14:paraId="59F50BD5" w14:textId="63F6878F" w:rsidR="004E04AD" w:rsidRPr="003726FC" w:rsidRDefault="004E04AD" w:rsidP="003726FC">
      <w:pPr>
        <w:pStyle w:val="Heading4"/>
        <w:spacing w:before="240" w:after="240"/>
        <w:rPr>
          <w:b/>
          <w:i w:val="0"/>
          <w:sz w:val="28"/>
          <w:szCs w:val="28"/>
        </w:rPr>
      </w:pPr>
      <w:r w:rsidRPr="1DE40ACC">
        <w:rPr>
          <w:b/>
          <w:i w:val="0"/>
          <w:sz w:val="28"/>
          <w:szCs w:val="28"/>
        </w:rPr>
        <w:t>National and International Assessments</w:t>
      </w:r>
    </w:p>
    <w:p w14:paraId="16F1B044" w14:textId="749E060B" w:rsidR="0083786B" w:rsidRPr="00B6126F" w:rsidRDefault="0083786B" w:rsidP="0083786B">
      <w:pPr>
        <w:spacing w:after="240" w:line="257" w:lineRule="auto"/>
      </w:pPr>
      <w:r w:rsidRPr="00B6126F">
        <w:rPr>
          <w:rFonts w:eastAsia="Arial"/>
        </w:rPr>
        <w:t>California public schools participate in several national and international assessments annually. For</w:t>
      </w:r>
      <w:r w:rsidR="000D3EE5">
        <w:rPr>
          <w:rFonts w:eastAsia="Arial"/>
        </w:rPr>
        <w:t xml:space="preserve"> school year </w:t>
      </w:r>
      <w:r w:rsidRPr="00B6126F">
        <w:rPr>
          <w:rFonts w:eastAsia="Arial"/>
        </w:rPr>
        <w:t>202</w:t>
      </w:r>
      <w:r w:rsidR="000D3EE5">
        <w:rPr>
          <w:rFonts w:eastAsia="Arial"/>
        </w:rPr>
        <w:t>2</w:t>
      </w:r>
      <w:r w:rsidRPr="00B6126F">
        <w:rPr>
          <w:rFonts w:eastAsia="Arial"/>
        </w:rPr>
        <w:t>–2</w:t>
      </w:r>
      <w:r w:rsidR="000D3EE5">
        <w:rPr>
          <w:rFonts w:eastAsia="Arial"/>
        </w:rPr>
        <w:t>3</w:t>
      </w:r>
      <w:r w:rsidRPr="00B6126F">
        <w:rPr>
          <w:rFonts w:eastAsia="Arial"/>
        </w:rPr>
        <w:t>, a sample of California public schools plan to participate in the National Assessment of Educational Progress (NAEP), the</w:t>
      </w:r>
      <w:r w:rsidR="00D00032">
        <w:rPr>
          <w:rFonts w:eastAsia="Arial"/>
        </w:rPr>
        <w:t xml:space="preserve"> International</w:t>
      </w:r>
      <w:r w:rsidRPr="00B6126F">
        <w:rPr>
          <w:rFonts w:eastAsia="Arial"/>
        </w:rPr>
        <w:t xml:space="preserve"> </w:t>
      </w:r>
      <w:r w:rsidR="00D00032">
        <w:rPr>
          <w:rFonts w:eastAsia="Arial"/>
        </w:rPr>
        <w:t xml:space="preserve">Computer and Information Literacy Assessment, </w:t>
      </w:r>
      <w:r w:rsidR="008E639B">
        <w:rPr>
          <w:rFonts w:eastAsia="Arial"/>
        </w:rPr>
        <w:t xml:space="preserve">the </w:t>
      </w:r>
      <w:r w:rsidRPr="00B6126F">
        <w:rPr>
          <w:rFonts w:eastAsia="Arial"/>
        </w:rPr>
        <w:t>Program for International Student Assessment, and the Trends in International Mathematics and Science Study. These assessments are conducted by field staff under contract with the National Center for Education Statistics (NCES), within the U.S. Department of Education’s Institute of Education Sciences.</w:t>
      </w:r>
    </w:p>
    <w:p w14:paraId="5103E15E" w14:textId="77777777" w:rsidR="0083786B" w:rsidRPr="003726FC" w:rsidRDefault="0083786B" w:rsidP="003726FC">
      <w:pPr>
        <w:pStyle w:val="Heading5"/>
        <w:spacing w:before="240" w:after="240"/>
        <w:rPr>
          <w:b/>
          <w:bCs/>
          <w:color w:val="333333"/>
        </w:rPr>
      </w:pPr>
      <w:r w:rsidRPr="003726FC">
        <w:rPr>
          <w:b/>
        </w:rPr>
        <w:t>National Assessment of Educational Progress</w:t>
      </w:r>
    </w:p>
    <w:p w14:paraId="1CE9A3A0" w14:textId="77777777" w:rsidR="0083786B" w:rsidRPr="002212F9" w:rsidRDefault="0083786B" w:rsidP="0083786B">
      <w:pPr>
        <w:spacing w:after="240" w:line="257" w:lineRule="auto"/>
        <w:rPr>
          <w:rFonts w:eastAsia="Arial"/>
        </w:rPr>
      </w:pPr>
      <w:r w:rsidRPr="002212F9">
        <w:rPr>
          <w:rFonts w:eastAsia="Arial"/>
        </w:rPr>
        <w:t xml:space="preserve">NAEP, which also is known as “The Nation’s Report Card,” is a congressionally mandated project of the NCES. It is the largest nationally representative and continuing assessment of what students in the United States know and can do, providing a common measure of student achievement in mathematics, reading, science, and other subjects. </w:t>
      </w:r>
    </w:p>
    <w:p w14:paraId="4A36E7BF" w14:textId="0D26F0FD" w:rsidR="0083786B" w:rsidRPr="002212F9" w:rsidRDefault="0083786B" w:rsidP="0083786B">
      <w:pPr>
        <w:spacing w:after="240" w:line="257" w:lineRule="auto"/>
        <w:rPr>
          <w:rFonts w:eastAsia="Arial"/>
        </w:rPr>
      </w:pPr>
      <w:r w:rsidRPr="002212F9">
        <w:rPr>
          <w:rFonts w:eastAsia="Arial"/>
        </w:rPr>
        <w:t xml:space="preserve">Depending on the assessment, NAEP report cards provide national, state, and some district-level results—in California, for Los Angeles and San Diego Unified School Districts—as well as results for different demographic student groups. NAEP data also is used in special studies conducted by the NCES, including comparisons of proficiency standards across state assessments; insights from high school transcripts, including </w:t>
      </w:r>
      <w:r w:rsidRPr="002212F9">
        <w:rPr>
          <w:rFonts w:eastAsia="Arial"/>
        </w:rPr>
        <w:lastRenderedPageBreak/>
        <w:t>courses taken and credits earned; and in-depth studies of how different demographic groups perform across different types of schools.</w:t>
      </w:r>
    </w:p>
    <w:p w14:paraId="37657430" w14:textId="68D2AAA4" w:rsidR="0083786B" w:rsidRPr="00B6126F" w:rsidRDefault="0083786B" w:rsidP="0083786B">
      <w:pPr>
        <w:spacing w:after="240" w:line="257" w:lineRule="auto"/>
        <w:rPr>
          <w:rFonts w:eastAsia="Arial"/>
        </w:rPr>
      </w:pPr>
      <w:r w:rsidRPr="00B6126F">
        <w:rPr>
          <w:rFonts w:eastAsia="Arial"/>
        </w:rPr>
        <w:t xml:space="preserve">Plans for NAEP </w:t>
      </w:r>
      <w:r w:rsidR="008A67E1" w:rsidRPr="00B6126F">
        <w:rPr>
          <w:rFonts w:eastAsia="Arial"/>
        </w:rPr>
        <w:t>202</w:t>
      </w:r>
      <w:r w:rsidR="008A67E1">
        <w:rPr>
          <w:rFonts w:eastAsia="Arial"/>
        </w:rPr>
        <w:t>2</w:t>
      </w:r>
      <w:r w:rsidR="008A67E1" w:rsidRPr="00B6126F">
        <w:rPr>
          <w:rFonts w:eastAsia="Arial"/>
        </w:rPr>
        <w:t>–2</w:t>
      </w:r>
      <w:r w:rsidR="008A67E1">
        <w:rPr>
          <w:rFonts w:eastAsia="Arial"/>
        </w:rPr>
        <w:t>3</w:t>
      </w:r>
      <w:r w:rsidRPr="00B6126F">
        <w:rPr>
          <w:rFonts w:eastAsia="Arial"/>
        </w:rPr>
        <w:t xml:space="preserve"> include the following two assessments: (1) </w:t>
      </w:r>
      <w:r w:rsidR="008A67E1">
        <w:rPr>
          <w:rFonts w:eastAsia="Arial"/>
        </w:rPr>
        <w:t xml:space="preserve">age </w:t>
      </w:r>
      <w:r w:rsidR="00F51D39">
        <w:rPr>
          <w:rFonts w:eastAsia="Arial"/>
        </w:rPr>
        <w:t>thirteen</w:t>
      </w:r>
      <w:r w:rsidRPr="00B6126F">
        <w:rPr>
          <w:rFonts w:eastAsia="Arial"/>
        </w:rPr>
        <w:t xml:space="preserve"> </w:t>
      </w:r>
      <w:r w:rsidR="002D0B22" w:rsidRPr="00B6126F">
        <w:rPr>
          <w:rFonts w:eastAsia="Arial"/>
        </w:rPr>
        <w:t>long-term trend (LTT) mathematics and reading;</w:t>
      </w:r>
      <w:r w:rsidR="002D0B22">
        <w:rPr>
          <w:rFonts w:eastAsia="Arial"/>
        </w:rPr>
        <w:t xml:space="preserve"> and (2) a field test for </w:t>
      </w:r>
      <w:r w:rsidR="008B2CA6">
        <w:rPr>
          <w:rFonts w:eastAsia="Arial"/>
        </w:rPr>
        <w:t xml:space="preserve">grades </w:t>
      </w:r>
      <w:r w:rsidRPr="00B6126F">
        <w:rPr>
          <w:rFonts w:eastAsia="Arial"/>
        </w:rPr>
        <w:t>four</w:t>
      </w:r>
      <w:r w:rsidR="008B2CA6">
        <w:rPr>
          <w:rFonts w:eastAsia="Arial"/>
        </w:rPr>
        <w:t>, eight, and twelve</w:t>
      </w:r>
      <w:r w:rsidRPr="00B6126F">
        <w:rPr>
          <w:rFonts w:eastAsia="Arial"/>
        </w:rPr>
        <w:t xml:space="preserve"> mathematics and reading</w:t>
      </w:r>
      <w:r w:rsidR="008B2CA6">
        <w:rPr>
          <w:rFonts w:eastAsia="Arial"/>
        </w:rPr>
        <w:t xml:space="preserve"> and</w:t>
      </w:r>
      <w:r w:rsidRPr="00B6126F">
        <w:rPr>
          <w:rFonts w:eastAsia="Arial"/>
        </w:rPr>
        <w:t xml:space="preserve"> grade eight </w:t>
      </w:r>
      <w:r w:rsidR="008B2CA6">
        <w:rPr>
          <w:rFonts w:eastAsia="Arial"/>
        </w:rPr>
        <w:t xml:space="preserve">science. </w:t>
      </w:r>
      <w:r w:rsidRPr="00B6126F">
        <w:rPr>
          <w:rFonts w:eastAsia="Arial"/>
        </w:rPr>
        <w:t xml:space="preserve">A representative sample of schools—in California, approximately </w:t>
      </w:r>
      <w:r w:rsidR="008B2CA6">
        <w:rPr>
          <w:rFonts w:eastAsia="Arial"/>
        </w:rPr>
        <w:t>10</w:t>
      </w:r>
      <w:r w:rsidRPr="00B6126F">
        <w:rPr>
          <w:rFonts w:eastAsia="Arial"/>
        </w:rPr>
        <w:t xml:space="preserve">0 schools—have been selected by NAEP on the basis of location, size, demographics, and achievement. Approximately 50 students will be randomly selected from each school. Each student will take a portion of the assessment in a single subject. NAEP testing takes students approximately two hours. </w:t>
      </w:r>
    </w:p>
    <w:p w14:paraId="4A271B32" w14:textId="184EDC27" w:rsidR="0083786B" w:rsidRPr="00B6126F" w:rsidRDefault="0083786B" w:rsidP="0083786B">
      <w:pPr>
        <w:spacing w:after="240" w:line="257" w:lineRule="auto"/>
        <w:rPr>
          <w:rFonts w:eastAsia="Arial"/>
        </w:rPr>
      </w:pPr>
      <w:r w:rsidRPr="00B6126F">
        <w:rPr>
          <w:rFonts w:eastAsia="Arial"/>
        </w:rPr>
        <w:t xml:space="preserve">The assessment window for NAEP </w:t>
      </w:r>
      <w:r w:rsidR="00E52BD9">
        <w:rPr>
          <w:rFonts w:eastAsia="Arial"/>
        </w:rPr>
        <w:t xml:space="preserve">LTT </w:t>
      </w:r>
      <w:r w:rsidRPr="00B6126F">
        <w:rPr>
          <w:rFonts w:eastAsia="Arial"/>
        </w:rPr>
        <w:t xml:space="preserve">is </w:t>
      </w:r>
      <w:r w:rsidR="00E52BD9" w:rsidRPr="0066638C">
        <w:rPr>
          <w:rFonts w:eastAsia="Arial"/>
        </w:rPr>
        <w:t>October</w:t>
      </w:r>
      <w:r w:rsidRPr="0066638C">
        <w:rPr>
          <w:rFonts w:eastAsia="Arial"/>
        </w:rPr>
        <w:t xml:space="preserve"> </w:t>
      </w:r>
      <w:r w:rsidR="0066638C" w:rsidRPr="0066638C">
        <w:rPr>
          <w:rFonts w:eastAsia="Arial"/>
        </w:rPr>
        <w:t>10</w:t>
      </w:r>
      <w:r w:rsidRPr="0066638C">
        <w:rPr>
          <w:rFonts w:eastAsia="Arial"/>
        </w:rPr>
        <w:t xml:space="preserve"> through </w:t>
      </w:r>
      <w:r w:rsidR="0066638C" w:rsidRPr="0066638C">
        <w:rPr>
          <w:rFonts w:eastAsia="Arial"/>
        </w:rPr>
        <w:t>December 16</w:t>
      </w:r>
      <w:r w:rsidRPr="0066638C">
        <w:rPr>
          <w:rFonts w:eastAsia="Arial"/>
        </w:rPr>
        <w:t>, 2022,</w:t>
      </w:r>
      <w:r w:rsidRPr="00B6126F">
        <w:rPr>
          <w:rFonts w:eastAsia="Arial"/>
        </w:rPr>
        <w:t xml:space="preserve"> and the assessment window </w:t>
      </w:r>
      <w:r w:rsidR="009F3FC5">
        <w:rPr>
          <w:rFonts w:eastAsia="Arial"/>
        </w:rPr>
        <w:t>for the</w:t>
      </w:r>
      <w:r w:rsidRPr="00B6126F">
        <w:rPr>
          <w:rFonts w:eastAsia="Arial"/>
        </w:rPr>
        <w:t xml:space="preserve"> </w:t>
      </w:r>
      <w:r w:rsidR="00947CC3">
        <w:rPr>
          <w:rFonts w:eastAsia="Arial"/>
        </w:rPr>
        <w:t xml:space="preserve">NAEP field test </w:t>
      </w:r>
      <w:r w:rsidRPr="00B6126F">
        <w:rPr>
          <w:rFonts w:eastAsia="Arial"/>
        </w:rPr>
        <w:t xml:space="preserve">is </w:t>
      </w:r>
      <w:r w:rsidR="00D223AD">
        <w:rPr>
          <w:rFonts w:eastAsia="Arial"/>
        </w:rPr>
        <w:t>March</w:t>
      </w:r>
      <w:r w:rsidRPr="00B6126F">
        <w:rPr>
          <w:rFonts w:eastAsia="Arial"/>
        </w:rPr>
        <w:t xml:space="preserve"> </w:t>
      </w:r>
      <w:r w:rsidR="00D223AD">
        <w:rPr>
          <w:rFonts w:eastAsia="Arial"/>
        </w:rPr>
        <w:t>2</w:t>
      </w:r>
      <w:r w:rsidRPr="00B6126F">
        <w:rPr>
          <w:rFonts w:eastAsia="Arial"/>
        </w:rPr>
        <w:t xml:space="preserve">0 through </w:t>
      </w:r>
      <w:r w:rsidR="00D223AD">
        <w:rPr>
          <w:rFonts w:eastAsia="Arial"/>
        </w:rPr>
        <w:t>April</w:t>
      </w:r>
      <w:r w:rsidRPr="00B6126F">
        <w:rPr>
          <w:rFonts w:eastAsia="Arial"/>
        </w:rPr>
        <w:t xml:space="preserve"> 1</w:t>
      </w:r>
      <w:r w:rsidR="00D223AD">
        <w:rPr>
          <w:rFonts w:eastAsia="Arial"/>
        </w:rPr>
        <w:t>4</w:t>
      </w:r>
      <w:r w:rsidRPr="00B6126F">
        <w:rPr>
          <w:rFonts w:eastAsia="Arial"/>
        </w:rPr>
        <w:t>, 202</w:t>
      </w:r>
      <w:r w:rsidR="00947CC3">
        <w:rPr>
          <w:rFonts w:eastAsia="Arial"/>
        </w:rPr>
        <w:t>3</w:t>
      </w:r>
      <w:r w:rsidRPr="00B6126F">
        <w:rPr>
          <w:rFonts w:eastAsia="Arial"/>
        </w:rPr>
        <w:t xml:space="preserve">. </w:t>
      </w:r>
    </w:p>
    <w:p w14:paraId="594B2B1F" w14:textId="7EFB0172" w:rsidR="0083786B" w:rsidRPr="00B6126F" w:rsidRDefault="0083786B" w:rsidP="0083786B">
      <w:pPr>
        <w:spacing w:after="240" w:line="257" w:lineRule="auto"/>
      </w:pPr>
      <w:r>
        <w:t xml:space="preserve">Participation in NAEP </w:t>
      </w:r>
      <w:r w:rsidRPr="0083214F">
        <w:t xml:space="preserve">mathematics and reading </w:t>
      </w:r>
      <w:r w:rsidR="0054514B" w:rsidRPr="0083214F">
        <w:t xml:space="preserve">assessments </w:t>
      </w:r>
      <w:r w:rsidR="00C87FD4">
        <w:t>in</w:t>
      </w:r>
      <w:r w:rsidR="0054514B" w:rsidRPr="0083214F">
        <w:t xml:space="preserve"> grades </w:t>
      </w:r>
      <w:r w:rsidR="0054514B">
        <w:t>four</w:t>
      </w:r>
      <w:r w:rsidR="0054514B" w:rsidRPr="0083214F">
        <w:t xml:space="preserve"> and </w:t>
      </w:r>
      <w:r w:rsidR="0054514B">
        <w:t>eight</w:t>
      </w:r>
      <w:r w:rsidR="0054514B" w:rsidRPr="005D5316">
        <w:t xml:space="preserve"> </w:t>
      </w:r>
      <w:r>
        <w:t>is</w:t>
      </w:r>
      <w:r w:rsidRPr="005D5316">
        <w:t xml:space="preserve"> required for </w:t>
      </w:r>
      <w:r w:rsidR="0054514B" w:rsidRPr="005D5316">
        <w:t>schools in districts that accept</w:t>
      </w:r>
      <w:r w:rsidRPr="005D5316">
        <w:t xml:space="preserve"> Title I</w:t>
      </w:r>
      <w:r>
        <w:t xml:space="preserve"> </w:t>
      </w:r>
      <w:r w:rsidR="0054514B" w:rsidRPr="005D5316">
        <w:t>funds</w:t>
      </w:r>
      <w:r w:rsidR="009B12C5">
        <w:rPr>
          <w:rFonts w:eastAsia="Arial"/>
        </w:rPr>
        <w:t>.</w:t>
      </w:r>
      <w:r w:rsidRPr="00B6126F">
        <w:rPr>
          <w:rFonts w:eastAsia="Arial"/>
        </w:rPr>
        <w:t xml:space="preserve"> Additional information about NAEP can be found on the Nation’s Report Card website at </w:t>
      </w:r>
      <w:hyperlink r:id="rId19">
        <w:r w:rsidRPr="6CBF1751">
          <w:rPr>
            <w:rStyle w:val="Hyperlink"/>
            <w:rFonts w:eastAsia="Arial"/>
          </w:rPr>
          <w:t>https://nces.ed.gov/nationsreportcard/</w:t>
        </w:r>
      </w:hyperlink>
      <w:r w:rsidRPr="00B6126F">
        <w:rPr>
          <w:rFonts w:eastAsia="Arial"/>
        </w:rPr>
        <w:t>.</w:t>
      </w:r>
    </w:p>
    <w:p w14:paraId="71A0E8F3" w14:textId="77777777" w:rsidR="00D63801" w:rsidRPr="003726FC" w:rsidRDefault="00D63801" w:rsidP="003726FC">
      <w:pPr>
        <w:pStyle w:val="Heading5"/>
        <w:spacing w:before="240" w:after="240"/>
        <w:rPr>
          <w:b/>
        </w:rPr>
      </w:pPr>
      <w:r w:rsidRPr="003726FC">
        <w:rPr>
          <w:b/>
        </w:rPr>
        <w:t>International Computer and Information Literacy Study</w:t>
      </w:r>
    </w:p>
    <w:p w14:paraId="5ECA7C1E" w14:textId="66CC707E" w:rsidR="00F96DFB" w:rsidRDefault="002131B8" w:rsidP="005A2E62">
      <w:pPr>
        <w:spacing w:after="240"/>
        <w:rPr>
          <w:rFonts w:eastAsia="Arial"/>
        </w:rPr>
      </w:pPr>
      <w:r>
        <w:rPr>
          <w:rFonts w:eastAsia="Arial"/>
        </w:rPr>
        <w:t>The International Computer and Information Literacy Study (</w:t>
      </w:r>
      <w:r w:rsidR="005A2E62">
        <w:rPr>
          <w:rFonts w:eastAsia="Arial"/>
        </w:rPr>
        <w:t>ICILS</w:t>
      </w:r>
      <w:r>
        <w:rPr>
          <w:rFonts w:eastAsia="Arial"/>
        </w:rPr>
        <w:t>)</w:t>
      </w:r>
      <w:r w:rsidR="005A2E62">
        <w:rPr>
          <w:rFonts w:eastAsia="Arial"/>
        </w:rPr>
        <w:t xml:space="preserve"> is an international assessment and research project designed to measure</w:t>
      </w:r>
      <w:r w:rsidR="009F38F7" w:rsidRPr="009F38F7">
        <w:rPr>
          <w:rFonts w:eastAsia="Arial"/>
        </w:rPr>
        <w:t xml:space="preserve"> information management, communication, and computational thinking</w:t>
      </w:r>
      <w:r w:rsidR="002A3FCA">
        <w:rPr>
          <w:rFonts w:eastAsia="Arial"/>
        </w:rPr>
        <w:t xml:space="preserve"> skills </w:t>
      </w:r>
      <w:r w:rsidR="00337A0E">
        <w:rPr>
          <w:rFonts w:eastAsia="Arial"/>
        </w:rPr>
        <w:t xml:space="preserve">of </w:t>
      </w:r>
      <w:r w:rsidR="005A2E62">
        <w:rPr>
          <w:rFonts w:eastAsia="Arial"/>
        </w:rPr>
        <w:t xml:space="preserve">eighth grade </w:t>
      </w:r>
      <w:r w:rsidR="001722C7">
        <w:rPr>
          <w:rFonts w:eastAsia="Arial"/>
        </w:rPr>
        <w:t xml:space="preserve">students </w:t>
      </w:r>
      <w:r w:rsidR="005A2E62">
        <w:rPr>
          <w:rFonts w:eastAsia="Arial"/>
        </w:rPr>
        <w:t xml:space="preserve">as well as school and teacher practices related to instruction. It is coordinated by the International Association for the Evaluation of Educational Achievement (IEA), managed in the United States by the NCES, and administered every five years since 2013. </w:t>
      </w:r>
    </w:p>
    <w:p w14:paraId="78A912E7" w14:textId="70638608" w:rsidR="00F611EA" w:rsidRDefault="005A2E62" w:rsidP="002131B8">
      <w:pPr>
        <w:spacing w:after="240"/>
        <w:rPr>
          <w:rFonts w:eastAsia="Arial"/>
        </w:rPr>
      </w:pPr>
      <w:r>
        <w:rPr>
          <w:rFonts w:eastAsia="Arial"/>
        </w:rPr>
        <w:t>The next operational round of ICILS, planned for spring 2023, will draw students from approximately 30 countries and education systems around the world.</w:t>
      </w:r>
      <w:r w:rsidR="0019674A">
        <w:t xml:space="preserve"> </w:t>
      </w:r>
      <w:r>
        <w:rPr>
          <w:rFonts w:eastAsia="Arial"/>
        </w:rPr>
        <w:t xml:space="preserve">Approximately </w:t>
      </w:r>
      <w:r w:rsidR="00E4394D">
        <w:rPr>
          <w:rFonts w:eastAsia="Arial"/>
        </w:rPr>
        <w:t>25</w:t>
      </w:r>
      <w:r>
        <w:rPr>
          <w:rFonts w:eastAsia="Arial"/>
        </w:rPr>
        <w:t xml:space="preserve"> California public schools</w:t>
      </w:r>
      <w:r w:rsidR="00A65244">
        <w:rPr>
          <w:rFonts w:eastAsia="Arial"/>
        </w:rPr>
        <w:t xml:space="preserve"> have been</w:t>
      </w:r>
      <w:r w:rsidR="005B4626">
        <w:rPr>
          <w:rFonts w:eastAsia="Arial"/>
        </w:rPr>
        <w:t xml:space="preserve"> </w:t>
      </w:r>
      <w:r w:rsidR="00E4394D">
        <w:rPr>
          <w:rFonts w:eastAsia="Arial"/>
        </w:rPr>
        <w:t>selected</w:t>
      </w:r>
      <w:r>
        <w:rPr>
          <w:rFonts w:eastAsia="Arial"/>
        </w:rPr>
        <w:t xml:space="preserve"> to represent the United States in the ICILS </w:t>
      </w:r>
      <w:r w:rsidR="001722C7">
        <w:rPr>
          <w:rFonts w:eastAsia="Arial"/>
        </w:rPr>
        <w:t>2023</w:t>
      </w:r>
      <w:r>
        <w:rPr>
          <w:rFonts w:eastAsia="Arial"/>
        </w:rPr>
        <w:t xml:space="preserve">, and up to two classes of grade eight students will be assessed from each school. </w:t>
      </w:r>
    </w:p>
    <w:p w14:paraId="6D3EC0EA" w14:textId="304338B6" w:rsidR="00D63801" w:rsidRDefault="00190C53" w:rsidP="002131B8">
      <w:pPr>
        <w:spacing w:after="240"/>
      </w:pPr>
      <w:r>
        <w:rPr>
          <w:rFonts w:eastAsia="Arial"/>
        </w:rPr>
        <w:t xml:space="preserve">ICILS </w:t>
      </w:r>
      <w:r w:rsidR="001722C7">
        <w:rPr>
          <w:rFonts w:eastAsia="Arial"/>
        </w:rPr>
        <w:t xml:space="preserve">testing </w:t>
      </w:r>
      <w:r>
        <w:rPr>
          <w:rFonts w:eastAsia="Arial"/>
        </w:rPr>
        <w:t xml:space="preserve">takes students approximately </w:t>
      </w:r>
      <w:r w:rsidR="00973487">
        <w:rPr>
          <w:rFonts w:eastAsia="Arial"/>
        </w:rPr>
        <w:t>three and one-half</w:t>
      </w:r>
      <w:r w:rsidR="00603AE5">
        <w:rPr>
          <w:rFonts w:eastAsia="Arial"/>
        </w:rPr>
        <w:t xml:space="preserve"> hours to complete. </w:t>
      </w:r>
      <w:r w:rsidR="005A2E62">
        <w:rPr>
          <w:rFonts w:eastAsia="Arial"/>
        </w:rPr>
        <w:t xml:space="preserve">Additional information about ICILS can be found on the NCES ICILS web page at </w:t>
      </w:r>
      <w:hyperlink r:id="rId20" w:tooltip="This link opens the NCES ICILS web page." w:history="1">
        <w:r w:rsidR="005A2E62">
          <w:rPr>
            <w:rStyle w:val="Hyperlink"/>
            <w:rFonts w:eastAsia="Arial"/>
          </w:rPr>
          <w:t>https://nces.ed.gov/surveys/icils/</w:t>
        </w:r>
      </w:hyperlink>
      <w:r w:rsidR="005A2E62">
        <w:rPr>
          <w:rFonts w:eastAsia="Arial"/>
        </w:rPr>
        <w:t xml:space="preserve">. </w:t>
      </w:r>
    </w:p>
    <w:p w14:paraId="288ED2D0" w14:textId="40773E24" w:rsidR="0083786B" w:rsidRPr="003726FC" w:rsidRDefault="0083786B" w:rsidP="003726FC">
      <w:pPr>
        <w:pStyle w:val="Heading5"/>
        <w:spacing w:before="240" w:after="240"/>
        <w:rPr>
          <w:b/>
        </w:rPr>
      </w:pPr>
      <w:r w:rsidRPr="003726FC">
        <w:rPr>
          <w:b/>
        </w:rPr>
        <w:t>Program for International Student Assessment</w:t>
      </w:r>
    </w:p>
    <w:p w14:paraId="4CE1AEF8" w14:textId="77777777" w:rsidR="00DA4912" w:rsidRDefault="0083786B" w:rsidP="0083786B">
      <w:pPr>
        <w:spacing w:after="240" w:line="257" w:lineRule="auto"/>
        <w:rPr>
          <w:rFonts w:eastAsia="Arial"/>
        </w:rPr>
      </w:pPr>
      <w:r w:rsidRPr="00B6126F">
        <w:rPr>
          <w:rFonts w:eastAsia="Arial"/>
        </w:rPr>
        <w:t xml:space="preserve">The Program for International Student Assessment (PISA) is an international assessment of fifteen-year-old students that measures how well these students apply their knowledge and skills in reading, mathematics, science, and financial literacy to problems set in real-life contexts. It is coordinated by the Organization for Economic Cooperation and Development, managed in the United States by the NCES, and administered every three years. </w:t>
      </w:r>
    </w:p>
    <w:p w14:paraId="06E0A45B" w14:textId="77777777" w:rsidR="00F611EA" w:rsidRDefault="0083786B" w:rsidP="00DA4912">
      <w:pPr>
        <w:spacing w:after="240" w:line="257" w:lineRule="auto"/>
        <w:rPr>
          <w:rFonts w:eastAsia="Arial"/>
        </w:rPr>
      </w:pPr>
      <w:r w:rsidRPr="00B6126F">
        <w:rPr>
          <w:rFonts w:eastAsia="Arial"/>
        </w:rPr>
        <w:lastRenderedPageBreak/>
        <w:t>PISA</w:t>
      </w:r>
      <w:r w:rsidR="007F6AD0">
        <w:rPr>
          <w:rFonts w:eastAsia="Arial"/>
        </w:rPr>
        <w:t xml:space="preserve"> 2022</w:t>
      </w:r>
      <w:r w:rsidRPr="00B6126F">
        <w:rPr>
          <w:rFonts w:eastAsia="Arial"/>
        </w:rPr>
        <w:t xml:space="preserve">, planned for October 2022, will draw students from more than 80 countries and education systems around the world. Approximately </w:t>
      </w:r>
      <w:r w:rsidR="00F611EA">
        <w:rPr>
          <w:rFonts w:eastAsia="Arial"/>
        </w:rPr>
        <w:t>30</w:t>
      </w:r>
      <w:r w:rsidRPr="00B6126F">
        <w:rPr>
          <w:rFonts w:eastAsia="Arial"/>
        </w:rPr>
        <w:t xml:space="preserve"> California public schools have been selected to represent the United States in the PISA, and up to 60 fifteen-year-old students will be assessed from each school. </w:t>
      </w:r>
    </w:p>
    <w:p w14:paraId="74D4EFD6" w14:textId="075299BD" w:rsidR="0083786B" w:rsidRPr="00B6126F" w:rsidRDefault="0083786B" w:rsidP="00DA4912">
      <w:pPr>
        <w:spacing w:after="240" w:line="257" w:lineRule="auto"/>
        <w:rPr>
          <w:rFonts w:eastAsia="Arial"/>
        </w:rPr>
      </w:pPr>
      <w:r w:rsidRPr="00B6126F">
        <w:rPr>
          <w:rFonts w:eastAsia="Arial"/>
        </w:rPr>
        <w:t xml:space="preserve">PISA testing takes students approximately four hours, including breaks. Additional information about PISA can be found on the NCES PISA web page at </w:t>
      </w:r>
      <w:hyperlink r:id="rId21" w:tooltip="NCES PISA web page ">
        <w:r w:rsidRPr="00B6126F">
          <w:rPr>
            <w:rStyle w:val="Hyperlink"/>
            <w:rFonts w:eastAsia="Arial"/>
          </w:rPr>
          <w:t>https://nces.ed.gov/surveys/pisa/</w:t>
        </w:r>
      </w:hyperlink>
      <w:r w:rsidRPr="00B6126F">
        <w:rPr>
          <w:rFonts w:eastAsia="Arial"/>
        </w:rPr>
        <w:t>.</w:t>
      </w:r>
    </w:p>
    <w:p w14:paraId="2801D643" w14:textId="77777777" w:rsidR="0083786B" w:rsidRPr="003726FC" w:rsidRDefault="0083786B" w:rsidP="003726FC">
      <w:pPr>
        <w:pStyle w:val="Heading5"/>
        <w:spacing w:before="240" w:after="240"/>
        <w:rPr>
          <w:b/>
        </w:rPr>
      </w:pPr>
      <w:r w:rsidRPr="003726FC">
        <w:rPr>
          <w:b/>
        </w:rPr>
        <w:t>Trends in International Mathematics and Science Study</w:t>
      </w:r>
    </w:p>
    <w:p w14:paraId="2614B22B" w14:textId="77777777" w:rsidR="007F40E0" w:rsidRDefault="0083786B" w:rsidP="0083786B">
      <w:pPr>
        <w:spacing w:after="240" w:line="257" w:lineRule="auto"/>
        <w:rPr>
          <w:rFonts w:eastAsia="Arial"/>
        </w:rPr>
      </w:pPr>
      <w:r w:rsidRPr="00B6126F">
        <w:t>The Trends in International Mathematics and Science Study (TIMSS)</w:t>
      </w:r>
      <w:r w:rsidRPr="00B6126F">
        <w:rPr>
          <w:rFonts w:eastAsia="Arial"/>
        </w:rPr>
        <w:t xml:space="preserve"> is an international assessment and research project designed to measure trends in the mathematics and science achievement of students in grades four and eight as well as school and teacher practices related to instruction. It is coordinated by the IEA, managed in the United States by the NCES, and administered every four years. </w:t>
      </w:r>
    </w:p>
    <w:p w14:paraId="41FFC62F" w14:textId="1BB9B274" w:rsidR="0083786B" w:rsidRPr="00B6126F" w:rsidRDefault="0083786B" w:rsidP="0083786B">
      <w:pPr>
        <w:spacing w:after="240" w:line="257" w:lineRule="auto"/>
        <w:rPr>
          <w:rFonts w:eastAsia="Arial"/>
        </w:rPr>
      </w:pPr>
      <w:r w:rsidRPr="00B6126F">
        <w:rPr>
          <w:rFonts w:eastAsia="Arial"/>
        </w:rPr>
        <w:t>The next operational round of TIMSS, planned for spring 2023, will involve students from approximately 65 countries and educational systems throughout the world.</w:t>
      </w:r>
      <w:r w:rsidR="00120880">
        <w:rPr>
          <w:rFonts w:eastAsia="Arial"/>
        </w:rPr>
        <w:t xml:space="preserve"> </w:t>
      </w:r>
      <w:r w:rsidRPr="00B6126F">
        <w:rPr>
          <w:rFonts w:eastAsia="Arial"/>
        </w:rPr>
        <w:t xml:space="preserve">Approximately </w:t>
      </w:r>
      <w:r w:rsidR="0036043A">
        <w:rPr>
          <w:rFonts w:eastAsia="Arial"/>
        </w:rPr>
        <w:t>6</w:t>
      </w:r>
      <w:r w:rsidRPr="00B6126F">
        <w:rPr>
          <w:rFonts w:eastAsia="Arial"/>
        </w:rPr>
        <w:t xml:space="preserve">0 California public schools have been selected to represent the United States for </w:t>
      </w:r>
      <w:r w:rsidR="0036043A">
        <w:rPr>
          <w:rFonts w:eastAsia="Arial"/>
        </w:rPr>
        <w:t>the TIMSS</w:t>
      </w:r>
      <w:r w:rsidRPr="00B6126F">
        <w:rPr>
          <w:rFonts w:eastAsia="Arial"/>
        </w:rPr>
        <w:t xml:space="preserve">, and students from up to two classrooms from each of those schools will be administered the </w:t>
      </w:r>
      <w:r w:rsidR="0036043A">
        <w:rPr>
          <w:rFonts w:eastAsia="Arial"/>
        </w:rPr>
        <w:t>TIMSS</w:t>
      </w:r>
      <w:r w:rsidRPr="00B6126F">
        <w:rPr>
          <w:rFonts w:eastAsia="Arial"/>
        </w:rPr>
        <w:t xml:space="preserve">. </w:t>
      </w:r>
    </w:p>
    <w:p w14:paraId="1CD2B1A0" w14:textId="512F087F" w:rsidR="004E04AD" w:rsidRDefault="0083786B" w:rsidP="003905AA">
      <w:pPr>
        <w:spacing w:after="480"/>
      </w:pPr>
      <w:r w:rsidRPr="00B6126F">
        <w:rPr>
          <w:rFonts w:eastAsia="Arial"/>
        </w:rPr>
        <w:t>The TIMSS assessment takes students approximately three hours, including breaks, to complete.</w:t>
      </w:r>
      <w:r w:rsidR="007F40E0">
        <w:rPr>
          <w:rFonts w:eastAsia="Arial"/>
        </w:rPr>
        <w:t xml:space="preserve"> </w:t>
      </w:r>
      <w:r w:rsidRPr="00B6126F">
        <w:rPr>
          <w:rFonts w:eastAsia="Arial"/>
        </w:rPr>
        <w:t xml:space="preserve">Additional information about TIMSS can be found on the NCES TIMSS web page at </w:t>
      </w:r>
      <w:hyperlink r:id="rId22" w:tooltip="NCES TIMSS web page ">
        <w:r w:rsidRPr="00B6126F">
          <w:rPr>
            <w:rStyle w:val="Hyperlink"/>
            <w:rFonts w:eastAsia="Arial"/>
          </w:rPr>
          <w:t>https://nces.ed.gov/timss/</w:t>
        </w:r>
      </w:hyperlink>
      <w:r w:rsidR="003905AA">
        <w:rPr>
          <w:rFonts w:eastAsia="Arial"/>
        </w:rPr>
        <w:t>.</w:t>
      </w:r>
    </w:p>
    <w:p w14:paraId="4D2C57F9" w14:textId="04203AB6" w:rsidR="003E4DF7" w:rsidRPr="005909AA" w:rsidRDefault="003E4DF7" w:rsidP="003762FE">
      <w:pPr>
        <w:pStyle w:val="Heading2"/>
        <w:spacing w:before="240" w:after="240"/>
        <w:rPr>
          <w:rFonts w:cs="Arial"/>
          <w:sz w:val="36"/>
          <w:szCs w:val="36"/>
        </w:rPr>
      </w:pPr>
      <w:r w:rsidRPr="005909AA">
        <w:rPr>
          <w:rFonts w:cs="Arial"/>
          <w:sz w:val="36"/>
          <w:szCs w:val="36"/>
        </w:rPr>
        <w:t>Summary of Previous State Board of Education Discussion and Action</w:t>
      </w:r>
    </w:p>
    <w:p w14:paraId="32FC4F4B" w14:textId="4DCE25C2" w:rsidR="00837DC1" w:rsidRDefault="00837DC1" w:rsidP="00CD6086">
      <w:pPr>
        <w:spacing w:after="240"/>
      </w:pPr>
      <w:r>
        <w:t xml:space="preserve">In August 2022, the CDE provided the </w:t>
      </w:r>
      <w:r w:rsidR="00ED1A2D">
        <w:t xml:space="preserve">SBE with the </w:t>
      </w:r>
      <w:r>
        <w:t xml:space="preserve">CAA for Science standard setting plan </w:t>
      </w:r>
      <w:r w:rsidR="00E710B1" w:rsidRPr="00E710B1">
        <w:t>(</w:t>
      </w:r>
      <w:hyperlink r:id="rId23" w:tooltip="This link opens the August 2022 SBE Information Memorandum." w:history="1">
        <w:r w:rsidR="009E5925" w:rsidRPr="009E5925">
          <w:rPr>
            <w:rStyle w:val="Hyperlink"/>
          </w:rPr>
          <w:t>https://www.cde.ca.gov/be/pn/im/documents/aug22memoadad01.docx</w:t>
        </w:r>
      </w:hyperlink>
      <w:r w:rsidR="00E710B1" w:rsidRPr="00CE677F">
        <w:t xml:space="preserve">). </w:t>
      </w:r>
    </w:p>
    <w:p w14:paraId="7A3AE35F" w14:textId="3B3DF59A" w:rsidR="004F2A39" w:rsidRDefault="004F2A39" w:rsidP="00CD6086">
      <w:pPr>
        <w:spacing w:after="240"/>
      </w:pPr>
      <w:r>
        <w:t>In May 2022, the CDE provided an update on national and international assessments (</w:t>
      </w:r>
      <w:hyperlink r:id="rId24" w:tooltip="This link opens the May 2022 SBE Agenda Item." w:history="1">
        <w:r w:rsidRPr="00AA2F71">
          <w:rPr>
            <w:rStyle w:val="Hyperlink"/>
          </w:rPr>
          <w:t>https://www.cde.ca.gov/be/ag/ag/yr22/documents/may22item03.docx</w:t>
        </w:r>
      </w:hyperlink>
      <w:r>
        <w:t>).</w:t>
      </w:r>
    </w:p>
    <w:p w14:paraId="6E6ABA97" w14:textId="7793C008" w:rsidR="00D614DD" w:rsidRDefault="006A5BD4" w:rsidP="00CD6086">
      <w:pPr>
        <w:spacing w:after="240"/>
      </w:pPr>
      <w:r>
        <w:t xml:space="preserve">In January 2022, the SBE approved the proposed contract amendment to the University of California, Santa Cruz </w:t>
      </w:r>
      <w:r w:rsidR="00741844">
        <w:t xml:space="preserve">(UCSC) </w:t>
      </w:r>
      <w:r>
        <w:t>for the California Educator Reporting System (CERS), the revisions to the student score reports for the CAASPP and the ELPAC (</w:t>
      </w:r>
      <w:hyperlink r:id="rId25" w:tooltip="This link opens the January 2022 SBE Agenda Item." w:history="1">
        <w:r w:rsidRPr="00CF6CB2">
          <w:rPr>
            <w:rStyle w:val="Hyperlink"/>
          </w:rPr>
          <w:t>https://www.cde.ca.gov/be/ag/ag/yr22/documents/jan22item03rev.docx</w:t>
        </w:r>
      </w:hyperlink>
      <w:r>
        <w:t>).</w:t>
      </w:r>
    </w:p>
    <w:p w14:paraId="7570D17D" w14:textId="3ABDED8D" w:rsidR="00CD6086" w:rsidRPr="005909AA" w:rsidRDefault="00CD6086" w:rsidP="00CD6086">
      <w:pPr>
        <w:spacing w:after="240"/>
        <w:rPr>
          <w:b/>
        </w:rPr>
      </w:pPr>
      <w:r w:rsidRPr="005909AA">
        <w:t xml:space="preserve">In September 2021, the SBE approved </w:t>
      </w:r>
      <w:r w:rsidR="00EF6825">
        <w:t xml:space="preserve">the </w:t>
      </w:r>
      <w:r w:rsidRPr="005909AA">
        <w:t xml:space="preserve">use of the adjusted form blueprints for the Smarter Balanced Summative Assessments for ELA and </w:t>
      </w:r>
      <w:r w:rsidR="00EF6825">
        <w:t>M</w:t>
      </w:r>
      <w:r w:rsidRPr="005909AA">
        <w:t>athematics for the 2021–22 administration (</w:t>
      </w:r>
      <w:hyperlink r:id="rId26" w:tooltip="This link opens the September 2021 SBE Item." w:history="1">
        <w:r w:rsidRPr="005909AA">
          <w:rPr>
            <w:rStyle w:val="Hyperlink"/>
          </w:rPr>
          <w:t>https://www.cde.ca.gov/be/ag/ag/yr21/documents/sep21item02.docx</w:t>
        </w:r>
      </w:hyperlink>
      <w:r w:rsidRPr="005909AA">
        <w:t>).</w:t>
      </w:r>
    </w:p>
    <w:p w14:paraId="0D42FE0C" w14:textId="3E52B808" w:rsidR="006E72E5" w:rsidRDefault="006E72E5" w:rsidP="0093018F">
      <w:pPr>
        <w:spacing w:before="240" w:after="240"/>
      </w:pPr>
      <w:r>
        <w:lastRenderedPageBreak/>
        <w:t xml:space="preserve">In July 2021, </w:t>
      </w:r>
      <w:r w:rsidR="006A311E">
        <w:t>the CDE provided</w:t>
      </w:r>
      <w:r w:rsidR="006A311E" w:rsidRPr="006A311E">
        <w:t xml:space="preserve"> a summary of </w:t>
      </w:r>
      <w:r w:rsidR="006A311E">
        <w:t xml:space="preserve">CAASPP and ELPAC </w:t>
      </w:r>
      <w:r w:rsidR="006A311E" w:rsidRPr="006A311E">
        <w:t xml:space="preserve">developments, </w:t>
      </w:r>
      <w:r w:rsidR="006A311E">
        <w:t xml:space="preserve">including updates on the CAST, CAA for Science standard setting, </w:t>
      </w:r>
      <w:r w:rsidR="006A311E" w:rsidRPr="006A311E">
        <w:t>Initial ELPAC</w:t>
      </w:r>
      <w:r w:rsidR="00EF6825">
        <w:t>,</w:t>
      </w:r>
      <w:r w:rsidR="006A311E" w:rsidRPr="006A311E">
        <w:t xml:space="preserve"> and the California High School Proficiency Examination</w:t>
      </w:r>
      <w:r w:rsidR="00686B9E">
        <w:t xml:space="preserve"> </w:t>
      </w:r>
      <w:r>
        <w:t>(</w:t>
      </w:r>
      <w:hyperlink r:id="rId27" w:tooltip="This link opens the July 2021 SBE Agenda Item." w:history="1">
        <w:r w:rsidRPr="00093345">
          <w:rPr>
            <w:rStyle w:val="Hyperlink"/>
          </w:rPr>
          <w:t>https://www.cde.ca.gov/be/ag/ag/yr21/documents/jul21item03.docx</w:t>
        </w:r>
      </w:hyperlink>
      <w:r>
        <w:t>)</w:t>
      </w:r>
      <w:r w:rsidR="006A5BD4">
        <w:t>.</w:t>
      </w:r>
    </w:p>
    <w:p w14:paraId="6DBACDCA" w14:textId="5E3195AC" w:rsidR="0093018F" w:rsidRPr="005909AA" w:rsidRDefault="0093018F" w:rsidP="0093018F">
      <w:pPr>
        <w:spacing w:before="240" w:after="240"/>
      </w:pPr>
      <w:r w:rsidRPr="005909AA">
        <w:t>In November 2020, the SBE approved the use of the adjusted</w:t>
      </w:r>
      <w:r w:rsidR="008E1173">
        <w:t xml:space="preserve"> </w:t>
      </w:r>
      <w:r w:rsidRPr="005909AA">
        <w:t xml:space="preserve">form blueprint for the Smarter Balanced Summative Assessments for ELA and </w:t>
      </w:r>
      <w:r w:rsidR="00EF6825">
        <w:t>M</w:t>
      </w:r>
      <w:r w:rsidRPr="005909AA">
        <w:t xml:space="preserve">athematics </w:t>
      </w:r>
      <w:r w:rsidR="006A5BD4">
        <w:t>(</w:t>
      </w:r>
      <w:hyperlink r:id="rId28" w:tooltip="This link opens the November 2020 SBE Agenda Item." w:history="1">
        <w:r w:rsidR="006A5BD4" w:rsidRPr="00CF6CB2">
          <w:rPr>
            <w:rStyle w:val="Hyperlink"/>
          </w:rPr>
          <w:t>https://www.cde.ca.gov/be/ag/ag/yr20/documents/nov20item04.docx</w:t>
        </w:r>
      </w:hyperlink>
      <w:r w:rsidR="006A5BD4">
        <w:rPr>
          <w:rStyle w:val="Hyperlink"/>
        </w:rPr>
        <w:t>)</w:t>
      </w:r>
      <w:r w:rsidRPr="005909AA">
        <w:t>.</w:t>
      </w:r>
    </w:p>
    <w:p w14:paraId="3275AF60" w14:textId="41B47106" w:rsidR="0093018F" w:rsidRPr="005909AA" w:rsidRDefault="0093018F" w:rsidP="0093018F">
      <w:pPr>
        <w:spacing w:before="240" w:after="240"/>
      </w:pPr>
      <w:r w:rsidRPr="005909AA">
        <w:t>In July 2020, the CDE provided the SBE with a summary of developments and updates related to the CAASPP and the ELPAC, including summary data for the 2019–20 test administration year, an update on CERS, the launch of Tools for Teachers, and the development of formative assessments for science (</w:t>
      </w:r>
      <w:hyperlink r:id="rId29" w:tooltip="This link opens the July 2020 SBE Agenda Item.">
        <w:r w:rsidRPr="005909AA">
          <w:rPr>
            <w:color w:val="0000FF"/>
            <w:u w:val="single"/>
          </w:rPr>
          <w:t>https://www.cde.ca.gov/be/ag/ag/yr20/documents/jul20item05.docx</w:t>
        </w:r>
      </w:hyperlink>
      <w:r w:rsidRPr="005909AA">
        <w:t>).</w:t>
      </w:r>
    </w:p>
    <w:p w14:paraId="1CCE0D1B" w14:textId="760F02CA" w:rsidR="00700E50" w:rsidRPr="005909AA" w:rsidRDefault="00700E50" w:rsidP="00700E50">
      <w:pPr>
        <w:spacing w:after="240"/>
        <w:rPr>
          <w:b/>
        </w:rPr>
      </w:pPr>
      <w:r w:rsidRPr="005909AA">
        <w:t>In September 2019, the SBE approved revisions to the CAASPP and Summative ELPAC SSRs to improve the design and format in order to make the SSRs more engaging to stakeholders (</w:t>
      </w:r>
      <w:hyperlink r:id="rId30" w:tooltip="This link opens the September 2019 SBE Item." w:history="1">
        <w:r w:rsidRPr="005909AA">
          <w:rPr>
            <w:rStyle w:val="Hyperlink"/>
          </w:rPr>
          <w:t>https://www.cde.ca.gov/be/ag/ag/yr19/documents/sep19item01.docx</w:t>
        </w:r>
      </w:hyperlink>
      <w:r w:rsidRPr="005909AA">
        <w:t>).</w:t>
      </w:r>
    </w:p>
    <w:p w14:paraId="6F6DF010" w14:textId="20A88FEA" w:rsidR="00CD6086" w:rsidRPr="005909AA" w:rsidRDefault="00CD6086" w:rsidP="00CD6086">
      <w:pPr>
        <w:spacing w:after="240"/>
      </w:pPr>
      <w:r w:rsidRPr="005909AA">
        <w:t>At its January 2019 meeting, the SBE approved the Finding of Emergency and emergency regulations to allow for the timely preparations for the administration and reporting of the spring 2019 CAASPP administration. In addition, the SBE approved the commencement of permanent rulemaking for the proposed amendments to the CAASPP regulations (</w:t>
      </w:r>
      <w:hyperlink r:id="rId31" w:tooltip="This link opens the January 2019 SBE Agenda Item." w:history="1">
        <w:r w:rsidR="007466CA" w:rsidRPr="00A00F1D">
          <w:rPr>
            <w:rStyle w:val="Hyperlink"/>
          </w:rPr>
          <w:t>https://www.cde.ca.gov/be/ag/ag/yr19/documents/jan19item15.docx</w:t>
        </w:r>
      </w:hyperlink>
      <w:r w:rsidR="007466CA">
        <w:t>).</w:t>
      </w:r>
    </w:p>
    <w:p w14:paraId="796DFF08" w14:textId="066AD204" w:rsidR="00CD6086" w:rsidRPr="005909AA" w:rsidRDefault="00CD6086" w:rsidP="00CD6086">
      <w:pPr>
        <w:spacing w:after="240"/>
      </w:pPr>
      <w:r w:rsidRPr="005909AA">
        <w:t xml:space="preserve">In November 2018, the SBE approved the ETS CAASPP contract to include the integration of the ELPAC and the CDE-UCSC interagency contract amendment </w:t>
      </w:r>
      <w:r w:rsidR="007954AA">
        <w:t>(</w:t>
      </w:r>
      <w:hyperlink r:id="rId32" w:tooltip="This link opens the November 2018 SBE Agenda Item." w:history="1">
        <w:r w:rsidR="00AA7BA3" w:rsidRPr="00CF6CB2">
          <w:rPr>
            <w:rStyle w:val="Hyperlink"/>
          </w:rPr>
          <w:t>https://www.cde.ca.gov/be/ag/ag/yr18/documents/nov18item08.docx</w:t>
        </w:r>
      </w:hyperlink>
      <w:r w:rsidR="007954AA">
        <w:t>).</w:t>
      </w:r>
    </w:p>
    <w:p w14:paraId="0BDDCC12" w14:textId="38EAFF49" w:rsidR="00CD6086" w:rsidRPr="005909AA" w:rsidRDefault="00CD6086" w:rsidP="00CD6086">
      <w:pPr>
        <w:spacing w:after="240"/>
      </w:pPr>
      <w:r w:rsidRPr="005909AA">
        <w:t>In September 2018, the CDE provided the SBE with updates on the CAASPP System, including a presentation on the electronic reporting pilot (</w:t>
      </w:r>
      <w:hyperlink r:id="rId33" w:tooltip="This link opens the September 2018 SBE Item" w:history="1">
        <w:r w:rsidRPr="005909AA">
          <w:rPr>
            <w:rStyle w:val="Hyperlink"/>
          </w:rPr>
          <w:t>https://www.cde.ca.gov/be/ag/ag/yr18/documents/sep18item03.docx</w:t>
        </w:r>
      </w:hyperlink>
      <w:r w:rsidRPr="005909AA">
        <w:t>).</w:t>
      </w:r>
    </w:p>
    <w:p w14:paraId="56EA933F" w14:textId="2A506FC2" w:rsidR="00CD6086" w:rsidRPr="005909AA" w:rsidRDefault="00CD6086" w:rsidP="00CD6086">
      <w:pPr>
        <w:spacing w:after="240"/>
      </w:pPr>
      <w:r w:rsidRPr="005909AA">
        <w:t xml:space="preserve">In July 2018, the SBE approved a </w:t>
      </w:r>
      <w:r w:rsidRPr="005909AA">
        <w:rPr>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5909AA">
        <w:t>(</w:t>
      </w:r>
      <w:hyperlink r:id="rId34" w:tooltip="This link opens the July 2018 SBE Item." w:history="1">
        <w:r w:rsidRPr="005909AA">
          <w:rPr>
            <w:rStyle w:val="Hyperlink"/>
          </w:rPr>
          <w:t>https://www.cde.ca.gov/be/ag/ag/yr18/documents/jul18item03.docx</w:t>
        </w:r>
      </w:hyperlink>
      <w:r w:rsidRPr="005909AA">
        <w:t>).</w:t>
      </w:r>
    </w:p>
    <w:p w14:paraId="001FC762" w14:textId="6ADC2FF4" w:rsidR="00CD6086" w:rsidRPr="005909AA" w:rsidRDefault="00CD6086" w:rsidP="00CD6086">
      <w:pPr>
        <w:spacing w:after="240"/>
      </w:pPr>
      <w:r w:rsidRPr="005909AA">
        <w:t>In December 2017, the SBE approved summative SSRs for the ELPAC (</w:t>
      </w:r>
      <w:hyperlink r:id="rId35" w:tooltip="This link opens the December 2017 SBE Information Memorandum" w:history="1">
        <w:r w:rsidRPr="005909AA">
          <w:rPr>
            <w:rStyle w:val="Hyperlink"/>
          </w:rPr>
          <w:t>https://www.cde.ca.gov/be/pn/im/documents/memo-pptb-adad-dec17item03.docx</w:t>
        </w:r>
      </w:hyperlink>
      <w:r w:rsidRPr="005909AA">
        <w:t>) (</w:t>
      </w:r>
      <w:hyperlink r:id="rId36" w:tooltip="This link opens the December 2017 SBE Information Memorandum" w:history="1">
        <w:r w:rsidRPr="005909AA">
          <w:rPr>
            <w:rStyle w:val="Hyperlink"/>
          </w:rPr>
          <w:t>https://www.cde.ca.gov/be/pn/im/documents/memo-pptb-adad-dec17item03a01.pdf</w:t>
        </w:r>
      </w:hyperlink>
      <w:r w:rsidRPr="005909AA">
        <w:t>) (</w:t>
      </w:r>
      <w:hyperlink r:id="rId37" w:tooltip="This link opens the December 2017 SBE Information Memorandum" w:history="1">
        <w:r w:rsidRPr="005909AA">
          <w:rPr>
            <w:rStyle w:val="Hyperlink"/>
          </w:rPr>
          <w:t>https://www.cde.ca.gov/be/pn/im/documents/memo-pptb-adad-dec17item03a03.pdf</w:t>
        </w:r>
      </w:hyperlink>
      <w:r w:rsidRPr="005909AA">
        <w:t xml:space="preserve">). </w:t>
      </w:r>
    </w:p>
    <w:p w14:paraId="5E30B8DE" w14:textId="77777777" w:rsidR="00CD6086" w:rsidRPr="005909AA" w:rsidRDefault="00CD6086" w:rsidP="00CD6086">
      <w:r w:rsidRPr="005909AA">
        <w:t xml:space="preserve">In May 2015, the SBE designated ETS as the CAASPP contractor for the 2015–16, 2016–17, and 2017–18 test administrations, including the </w:t>
      </w:r>
      <w:r w:rsidRPr="005909AA">
        <w:rPr>
          <w:snapToGrid w:val="0"/>
          <w:szCs w:val="20"/>
        </w:rPr>
        <w:t xml:space="preserve">development, pilot testing, </w:t>
      </w:r>
      <w:r w:rsidRPr="005909AA">
        <w:rPr>
          <w:snapToGrid w:val="0"/>
          <w:szCs w:val="20"/>
        </w:rPr>
        <w:lastRenderedPageBreak/>
        <w:t xml:space="preserve">and field testing of three new CA NGSS science assessments </w:t>
      </w:r>
      <w:r w:rsidRPr="005909AA">
        <w:t xml:space="preserve">(including the CA NGSS alternate assessment for students with the most significant cognitive disabilities) </w:t>
      </w:r>
      <w:r w:rsidRPr="005909AA">
        <w:rPr>
          <w:rFonts w:eastAsia="Calibri"/>
        </w:rPr>
        <w:t>in the grades and content areas to be approved by the SBE. This included a new primary language assessment aligned with Common Core State Standards</w:t>
      </w:r>
    </w:p>
    <w:p w14:paraId="0E30F452" w14:textId="1C28929D" w:rsidR="00CD6086" w:rsidRPr="005909AA" w:rsidRDefault="00CD6086" w:rsidP="005A4EB4">
      <w:pPr>
        <w:spacing w:after="240"/>
        <w:rPr>
          <w:rFonts w:eastAsia="Calibri"/>
        </w:rPr>
      </w:pPr>
      <w:r w:rsidRPr="005909AA">
        <w:rPr>
          <w:rFonts w:eastAsia="Calibri"/>
        </w:rPr>
        <w:t>(</w:t>
      </w:r>
      <w:hyperlink r:id="rId38" w:tooltip="This link opens the May 2015 SBE Item" w:history="1">
        <w:r w:rsidRPr="005909AA">
          <w:rPr>
            <w:rStyle w:val="Hyperlink"/>
            <w:rFonts w:eastAsia="Calibri"/>
          </w:rPr>
          <w:t>https://www.cde.ca.gov/be/ag/ag/yr15/documents/may15item01.doc</w:t>
        </w:r>
      </w:hyperlink>
      <w:r w:rsidRPr="005909AA">
        <w:rPr>
          <w:rFonts w:eastAsia="Calibri"/>
        </w:rPr>
        <w:t>).</w:t>
      </w:r>
    </w:p>
    <w:p w14:paraId="3351CB0C" w14:textId="4E026D5F" w:rsidR="00CD6086" w:rsidRPr="005909AA" w:rsidRDefault="00CD6086" w:rsidP="00B24E56">
      <w:pPr>
        <w:spacing w:after="480"/>
      </w:pPr>
      <w:r w:rsidRPr="005909AA">
        <w:t>In November 2014, the SBE approved the CDE’s recommendations for the full implementation of a technology-enabled assessment system and the administration of the Smarter Balanced Summative</w:t>
      </w:r>
      <w:r w:rsidRPr="005909AA" w:rsidDel="00EB767A">
        <w:t xml:space="preserve"> </w:t>
      </w:r>
      <w:r w:rsidRPr="005909AA">
        <w:t>Assessments in 2014–15 (</w:t>
      </w:r>
      <w:hyperlink r:id="rId39" w:tooltip="This link opens the 2014 November California State Board of Education Agenda Item 03." w:history="1">
        <w:r w:rsidRPr="005909AA">
          <w:rPr>
            <w:rStyle w:val="Hyperlink"/>
          </w:rPr>
          <w:t>http://www.cde.ca.gov/be/ag/ag/yr14/documents/nov14item03.doc</w:t>
        </w:r>
      </w:hyperlink>
      <w:r w:rsidRPr="005909AA">
        <w:t>).</w:t>
      </w:r>
    </w:p>
    <w:p w14:paraId="5E6B385F" w14:textId="77777777" w:rsidR="003E4DF7" w:rsidRPr="005909AA" w:rsidRDefault="003E4DF7" w:rsidP="002B4B14">
      <w:pPr>
        <w:pStyle w:val="Heading2"/>
        <w:spacing w:before="240" w:after="240"/>
        <w:rPr>
          <w:rFonts w:cs="Arial"/>
          <w:sz w:val="36"/>
          <w:szCs w:val="36"/>
        </w:rPr>
      </w:pPr>
      <w:r w:rsidRPr="005909AA">
        <w:rPr>
          <w:rFonts w:cs="Arial"/>
          <w:sz w:val="36"/>
          <w:szCs w:val="36"/>
        </w:rPr>
        <w:t>Fiscal Analysis (as appropriate)</w:t>
      </w:r>
    </w:p>
    <w:p w14:paraId="0486D154" w14:textId="483B7005" w:rsidR="00C468AF" w:rsidRPr="005909AA" w:rsidRDefault="00C468AF" w:rsidP="00C468AF">
      <w:pPr>
        <w:spacing w:after="480"/>
      </w:pPr>
      <w:r>
        <w:t xml:space="preserve">The </w:t>
      </w:r>
      <w:r w:rsidR="0009214D">
        <w:t>f</w:t>
      </w:r>
      <w:r>
        <w:t xml:space="preserve">iscal </w:t>
      </w:r>
      <w:r w:rsidR="0009214D">
        <w:t>y</w:t>
      </w:r>
      <w:r>
        <w:t>ear 2022–23 Budget Act provides a total of $</w:t>
      </w:r>
      <w:r w:rsidR="007634C2">
        <w:t>67</w:t>
      </w:r>
      <w:r w:rsidR="00AA7BA3">
        <w:t>,</w:t>
      </w:r>
      <w:r w:rsidR="007634C2">
        <w:t>806</w:t>
      </w:r>
      <w:r w:rsidR="00AA7BA3">
        <w:t>,</w:t>
      </w:r>
      <w:r w:rsidR="007634C2">
        <w:t xml:space="preserve">000 </w:t>
      </w:r>
      <w:r>
        <w:t>for CAASPP contract activities and $25,855,000</w:t>
      </w:r>
      <w:r w:rsidR="007634C2">
        <w:t xml:space="preserve"> </w:t>
      </w:r>
      <w:r w:rsidR="0009214D">
        <w:t xml:space="preserve">in </w:t>
      </w:r>
      <w:r>
        <w:t>funding for ELPAC contract activities. Funding for 2023–24 and beyond will be contingent on an annual appropriation being made available from the Legislature in future fiscal years.</w:t>
      </w:r>
    </w:p>
    <w:p w14:paraId="679B1EC2" w14:textId="77777777" w:rsidR="00406F50" w:rsidRPr="005909AA" w:rsidRDefault="00406F50" w:rsidP="002B4B14">
      <w:pPr>
        <w:pStyle w:val="Heading2"/>
        <w:spacing w:before="240" w:after="240"/>
        <w:rPr>
          <w:rFonts w:cs="Arial"/>
          <w:sz w:val="36"/>
          <w:szCs w:val="36"/>
        </w:rPr>
      </w:pPr>
      <w:r w:rsidRPr="005909AA">
        <w:rPr>
          <w:rFonts w:cs="Arial"/>
          <w:sz w:val="36"/>
          <w:szCs w:val="36"/>
        </w:rPr>
        <w:t>Attachment(s)</w:t>
      </w:r>
    </w:p>
    <w:p w14:paraId="436A4970" w14:textId="63C5DB0D" w:rsidR="00E97513" w:rsidRPr="003E3FD0" w:rsidRDefault="002D4BFF" w:rsidP="00E97513">
      <w:pPr>
        <w:pStyle w:val="ListParagraph"/>
        <w:numPr>
          <w:ilvl w:val="0"/>
          <w:numId w:val="8"/>
        </w:numPr>
        <w:spacing w:after="240"/>
        <w:contextualSpacing w:val="0"/>
        <w:rPr>
          <w:rFonts w:eastAsiaTheme="minorEastAsia"/>
        </w:rPr>
      </w:pPr>
      <w:r w:rsidRPr="005909AA">
        <w:rPr>
          <w:rFonts w:eastAsia="Arial"/>
        </w:rPr>
        <w:t xml:space="preserve">Attachment 1: Outreach and Professional Development </w:t>
      </w:r>
      <w:r w:rsidRPr="003E3FD0">
        <w:rPr>
          <w:rFonts w:eastAsia="Arial"/>
        </w:rPr>
        <w:t>Activities (</w:t>
      </w:r>
      <w:r w:rsidR="0017797B" w:rsidRPr="003E3FD0">
        <w:rPr>
          <w:rFonts w:eastAsia="Arial"/>
        </w:rPr>
        <w:t>1</w:t>
      </w:r>
      <w:r w:rsidR="00DC7657" w:rsidRPr="003E3FD0">
        <w:rPr>
          <w:rFonts w:eastAsia="Arial"/>
        </w:rPr>
        <w:t>0</w:t>
      </w:r>
      <w:r w:rsidRPr="003E3FD0">
        <w:rPr>
          <w:rFonts w:eastAsia="Arial"/>
        </w:rPr>
        <w:t xml:space="preserve"> Pages)</w:t>
      </w:r>
    </w:p>
    <w:p w14:paraId="3E6DA7F5" w14:textId="2ED533A4" w:rsidR="00E97513" w:rsidRPr="003E3FD0" w:rsidRDefault="00E97513" w:rsidP="008C20A9">
      <w:pPr>
        <w:pStyle w:val="ListParagraph"/>
        <w:numPr>
          <w:ilvl w:val="0"/>
          <w:numId w:val="8"/>
        </w:numPr>
        <w:spacing w:after="240"/>
        <w:contextualSpacing w:val="0"/>
        <w:rPr>
          <w:rFonts w:eastAsiaTheme="minorEastAsia"/>
        </w:rPr>
      </w:pPr>
      <w:r w:rsidRPr="003E3FD0">
        <w:rPr>
          <w:rFonts w:eastAsia="Arial"/>
        </w:rPr>
        <w:t xml:space="preserve">Attachment 2: State Superintendent of Public Instruction’s Threshold Score Recommendations </w:t>
      </w:r>
      <w:r w:rsidR="000119A0" w:rsidRPr="003E3FD0">
        <w:rPr>
          <w:rFonts w:eastAsia="Arial"/>
        </w:rPr>
        <w:t xml:space="preserve">and </w:t>
      </w:r>
      <w:r w:rsidRPr="003E3FD0">
        <w:rPr>
          <w:rFonts w:eastAsia="Arial"/>
        </w:rPr>
        <w:t>Standard Setting Panel’s Recommended Judgments</w:t>
      </w:r>
      <w:r w:rsidR="00D776B9" w:rsidRPr="003E3FD0">
        <w:rPr>
          <w:rFonts w:eastAsia="Arial"/>
        </w:rPr>
        <w:t xml:space="preserve"> for the California Alternate Assessment for Science</w:t>
      </w:r>
      <w:r w:rsidRPr="003E3FD0">
        <w:rPr>
          <w:rFonts w:eastAsia="Arial"/>
        </w:rPr>
        <w:t xml:space="preserve"> (</w:t>
      </w:r>
      <w:r w:rsidR="00F0704C" w:rsidRPr="003E3FD0">
        <w:rPr>
          <w:rFonts w:eastAsia="Arial"/>
        </w:rPr>
        <w:t>2</w:t>
      </w:r>
      <w:r w:rsidRPr="003E3FD0">
        <w:rPr>
          <w:rFonts w:eastAsia="Arial"/>
        </w:rPr>
        <w:t xml:space="preserve"> Pages)</w:t>
      </w:r>
    </w:p>
    <w:p w14:paraId="600C014B" w14:textId="442AE0C9" w:rsidR="00E97513" w:rsidRPr="003E3FD0" w:rsidRDefault="00E97513" w:rsidP="00640028">
      <w:pPr>
        <w:pStyle w:val="ListParagraph"/>
        <w:numPr>
          <w:ilvl w:val="0"/>
          <w:numId w:val="15"/>
        </w:numPr>
        <w:spacing w:after="240"/>
        <w:contextualSpacing w:val="0"/>
        <w:rPr>
          <w:rFonts w:eastAsiaTheme="minorEastAsia"/>
        </w:rPr>
      </w:pPr>
      <w:r w:rsidRPr="003E3FD0">
        <w:rPr>
          <w:rFonts w:eastAsia="Arial"/>
        </w:rPr>
        <w:t xml:space="preserve">Attachment </w:t>
      </w:r>
      <w:r w:rsidR="000119A0" w:rsidRPr="003E3FD0">
        <w:rPr>
          <w:rFonts w:eastAsia="Arial"/>
        </w:rPr>
        <w:t>3</w:t>
      </w:r>
      <w:r w:rsidRPr="003E3FD0">
        <w:rPr>
          <w:rFonts w:eastAsia="Arial"/>
        </w:rPr>
        <w:t xml:space="preserve">: </w:t>
      </w:r>
      <w:r w:rsidR="00683181" w:rsidRPr="003E3FD0">
        <w:rPr>
          <w:rFonts w:eastAsia="Arial"/>
        </w:rPr>
        <w:t xml:space="preserve">California Alternate Assessment </w:t>
      </w:r>
      <w:r w:rsidRPr="003E3FD0">
        <w:rPr>
          <w:rFonts w:eastAsia="Arial"/>
        </w:rPr>
        <w:t>for Science Standard Setting</w:t>
      </w:r>
      <w:r w:rsidR="00653D9C" w:rsidRPr="003E3FD0">
        <w:rPr>
          <w:rFonts w:eastAsia="Arial"/>
        </w:rPr>
        <w:t>:</w:t>
      </w:r>
      <w:r w:rsidRPr="003E3FD0">
        <w:rPr>
          <w:rFonts w:eastAsia="Arial"/>
        </w:rPr>
        <w:t xml:space="preserve"> Panelist</w:t>
      </w:r>
      <w:r w:rsidR="00653D9C" w:rsidRPr="003E3FD0">
        <w:rPr>
          <w:rFonts w:eastAsia="Arial"/>
        </w:rPr>
        <w:t>s’</w:t>
      </w:r>
      <w:r w:rsidRPr="003E3FD0">
        <w:rPr>
          <w:rFonts w:eastAsia="Arial"/>
        </w:rPr>
        <w:t xml:space="preserve"> Composition (</w:t>
      </w:r>
      <w:r w:rsidR="00F0704C" w:rsidRPr="003E3FD0">
        <w:rPr>
          <w:rFonts w:eastAsia="Arial"/>
        </w:rPr>
        <w:t xml:space="preserve">3 </w:t>
      </w:r>
      <w:r w:rsidRPr="003E3FD0">
        <w:rPr>
          <w:rFonts w:eastAsia="Arial"/>
        </w:rPr>
        <w:t>Pages)</w:t>
      </w:r>
    </w:p>
    <w:p w14:paraId="2C364343" w14:textId="78523A37" w:rsidR="008530EA" w:rsidRPr="005909AA" w:rsidRDefault="008530EA" w:rsidP="00640028">
      <w:pPr>
        <w:pStyle w:val="ListParagraph"/>
        <w:numPr>
          <w:ilvl w:val="0"/>
          <w:numId w:val="15"/>
        </w:numPr>
        <w:spacing w:after="240"/>
        <w:contextualSpacing w:val="0"/>
        <w:rPr>
          <w:rFonts w:eastAsiaTheme="minorEastAsia"/>
        </w:rPr>
      </w:pPr>
      <w:r>
        <w:rPr>
          <w:rFonts w:eastAsiaTheme="minorEastAsia"/>
        </w:rPr>
        <w:t xml:space="preserve">Attachment </w:t>
      </w:r>
      <w:r w:rsidR="00B24E56">
        <w:rPr>
          <w:rFonts w:eastAsiaTheme="minorEastAsia"/>
        </w:rPr>
        <w:t>4</w:t>
      </w:r>
      <w:r w:rsidRPr="00024944">
        <w:rPr>
          <w:rFonts w:eastAsiaTheme="minorEastAsia"/>
        </w:rPr>
        <w:t>: CAASPP and ELPAC Student Score Reports for the 2022–23 Administration (</w:t>
      </w:r>
      <w:r w:rsidR="00780CA6" w:rsidRPr="00780CA6">
        <w:rPr>
          <w:rFonts w:eastAsiaTheme="minorEastAsia"/>
        </w:rPr>
        <w:t>32</w:t>
      </w:r>
      <w:r w:rsidRPr="00024944">
        <w:rPr>
          <w:rFonts w:eastAsiaTheme="minorEastAsia"/>
        </w:rPr>
        <w:t xml:space="preserve"> Pages)</w:t>
      </w:r>
    </w:p>
    <w:p w14:paraId="0A2E7B78" w14:textId="77777777" w:rsidR="00E97513" w:rsidRDefault="00E97513" w:rsidP="002D4BFF">
      <w:pPr>
        <w:spacing w:after="480"/>
        <w:rPr>
          <w:highlight w:val="lightGray"/>
        </w:rPr>
      </w:pPr>
    </w:p>
    <w:p w14:paraId="02EB378F" w14:textId="6E9FF95E" w:rsidR="00E97513" w:rsidRPr="005909AA" w:rsidRDefault="00E97513" w:rsidP="002D4BFF">
      <w:pPr>
        <w:spacing w:after="480"/>
        <w:rPr>
          <w:highlight w:val="lightGray"/>
        </w:rPr>
        <w:sectPr w:rsidR="00E97513" w:rsidRPr="005909AA" w:rsidSect="00407E9B">
          <w:headerReference w:type="default" r:id="rId40"/>
          <w:type w:val="continuous"/>
          <w:pgSz w:w="12240" w:h="15840"/>
          <w:pgMar w:top="720" w:right="1440" w:bottom="1440" w:left="1440" w:header="720" w:footer="720" w:gutter="0"/>
          <w:cols w:space="720"/>
          <w:docGrid w:linePitch="360"/>
        </w:sectPr>
      </w:pPr>
    </w:p>
    <w:p w14:paraId="29B77BD9" w14:textId="1193CDC8" w:rsidR="002D4BFF" w:rsidRPr="007A01B5" w:rsidRDefault="007A01B5" w:rsidP="007A01B5">
      <w:pPr>
        <w:pStyle w:val="Heading1"/>
        <w:jc w:val="center"/>
        <w:rPr>
          <w:sz w:val="36"/>
        </w:rPr>
      </w:pPr>
      <w:r w:rsidRPr="007A01B5">
        <w:rPr>
          <w:sz w:val="36"/>
        </w:rPr>
        <w:lastRenderedPageBreak/>
        <w:t xml:space="preserve">Attachment 1: </w:t>
      </w:r>
      <w:r w:rsidR="002D4BFF" w:rsidRPr="007A01B5">
        <w:rPr>
          <w:sz w:val="36"/>
        </w:rPr>
        <w:t>Outreach and Professional Development Activities</w:t>
      </w:r>
    </w:p>
    <w:p w14:paraId="664A3F0A" w14:textId="16876DA3" w:rsidR="002D4BFF" w:rsidRPr="005909AA" w:rsidRDefault="002D4BFF" w:rsidP="002D4BFF">
      <w:pPr>
        <w:spacing w:after="240"/>
      </w:pPr>
      <w:r w:rsidRPr="005909AA">
        <w:t>The California Department of Education (CDE), in coordination with California Assessment of Student Performance and Progress (CAASPP) and English Language Proficiency Assessments for California (ELPAC) contractors, ETS and the Sacramento County Office of Education (SCOE), have provided a variety of virtual outreach activities, including workshops, focus group meetings, and presentations</w:t>
      </w:r>
      <w:r w:rsidR="004479B0" w:rsidRPr="005909AA">
        <w:t>,</w:t>
      </w:r>
      <w:r w:rsidRPr="005909AA">
        <w:t xml:space="preserve">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802ED7" w:rsidRPr="005909AA">
        <w:t>July</w:t>
      </w:r>
      <w:r w:rsidRPr="005909AA">
        <w:t xml:space="preserve"> and </w:t>
      </w:r>
      <w:r w:rsidR="00802ED7" w:rsidRPr="005909AA">
        <w:t>August</w:t>
      </w:r>
      <w:r w:rsidRPr="005909AA">
        <w:t xml:space="preserve"> 202</w:t>
      </w:r>
      <w:r w:rsidR="00BE2E40" w:rsidRPr="005909AA">
        <w:t>2</w:t>
      </w:r>
      <w:r w:rsidRPr="005909AA">
        <w:t>.</w:t>
      </w:r>
    </w:p>
    <w:p w14:paraId="53DB7450" w14:textId="77777777" w:rsidR="002D4BFF" w:rsidRPr="007A01B5" w:rsidRDefault="002D4BFF" w:rsidP="007A01B5">
      <w:pPr>
        <w:pStyle w:val="Heading2"/>
      </w:pPr>
      <w:r w:rsidRPr="007A01B5">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30"/>
        <w:gridCol w:w="1440"/>
        <w:gridCol w:w="5456"/>
      </w:tblGrid>
      <w:tr w:rsidR="002D4BFF" w:rsidRPr="00635A55" w14:paraId="39D80484" w14:textId="77777777" w:rsidTr="0256B56D">
        <w:trPr>
          <w:cantSplit/>
          <w:tblHeader/>
        </w:trPr>
        <w:tc>
          <w:tcPr>
            <w:tcW w:w="1165" w:type="dxa"/>
            <w:shd w:val="clear" w:color="auto" w:fill="D9D9D9" w:themeFill="background1" w:themeFillShade="D9"/>
            <w:tcMar>
              <w:top w:w="43" w:type="dxa"/>
              <w:left w:w="115" w:type="dxa"/>
              <w:bottom w:w="43" w:type="dxa"/>
              <w:right w:w="115" w:type="dxa"/>
            </w:tcMar>
            <w:vAlign w:val="center"/>
          </w:tcPr>
          <w:p w14:paraId="05AD9146" w14:textId="77777777" w:rsidR="002D4BFF" w:rsidRPr="00635A55" w:rsidRDefault="002D4BFF" w:rsidP="00635A55">
            <w:pPr>
              <w:spacing w:before="120" w:after="120"/>
              <w:jc w:val="center"/>
              <w:rPr>
                <w:b/>
              </w:rPr>
            </w:pPr>
            <w:r w:rsidRPr="00635A55">
              <w:rPr>
                <w:b/>
              </w:rPr>
              <w:t>Date(s)</w:t>
            </w:r>
          </w:p>
        </w:tc>
        <w:tc>
          <w:tcPr>
            <w:tcW w:w="1530" w:type="dxa"/>
            <w:shd w:val="clear" w:color="auto" w:fill="D9D9D9" w:themeFill="background1" w:themeFillShade="D9"/>
            <w:tcMar>
              <w:top w:w="43" w:type="dxa"/>
              <w:left w:w="115" w:type="dxa"/>
              <w:bottom w:w="43" w:type="dxa"/>
              <w:right w:w="115" w:type="dxa"/>
            </w:tcMar>
            <w:vAlign w:val="center"/>
          </w:tcPr>
          <w:p w14:paraId="1D2B207C" w14:textId="77777777" w:rsidR="002D4BFF" w:rsidRPr="00635A55" w:rsidRDefault="002D4BFF" w:rsidP="00635A55">
            <w:pPr>
              <w:spacing w:before="120" w:after="120"/>
              <w:jc w:val="center"/>
              <w:rPr>
                <w:b/>
              </w:rPr>
            </w:pPr>
            <w:r w:rsidRPr="00635A55">
              <w:rPr>
                <w:b/>
              </w:rPr>
              <w:t>Location</w:t>
            </w:r>
          </w:p>
        </w:tc>
        <w:tc>
          <w:tcPr>
            <w:tcW w:w="1440" w:type="dxa"/>
            <w:shd w:val="clear" w:color="auto" w:fill="D9D9D9" w:themeFill="background1" w:themeFillShade="D9"/>
            <w:tcMar>
              <w:top w:w="43" w:type="dxa"/>
              <w:left w:w="115" w:type="dxa"/>
              <w:bottom w:w="43" w:type="dxa"/>
              <w:right w:w="115" w:type="dxa"/>
            </w:tcMar>
            <w:vAlign w:val="center"/>
          </w:tcPr>
          <w:p w14:paraId="3622CE8A" w14:textId="77777777" w:rsidR="002D4BFF" w:rsidRPr="00635A55" w:rsidRDefault="002D4BFF" w:rsidP="00635A55">
            <w:pPr>
              <w:tabs>
                <w:tab w:val="decimal" w:pos="785"/>
              </w:tabs>
              <w:spacing w:before="120" w:after="120"/>
              <w:rPr>
                <w:color w:val="000000"/>
                <w:lang w:val="en"/>
              </w:rPr>
            </w:pPr>
            <w:r w:rsidRPr="00635A55">
              <w:rPr>
                <w:b/>
              </w:rPr>
              <w:t>Estimated Number of Attendees</w:t>
            </w:r>
          </w:p>
        </w:tc>
        <w:tc>
          <w:tcPr>
            <w:tcW w:w="5456" w:type="dxa"/>
            <w:shd w:val="clear" w:color="auto" w:fill="D9D9D9" w:themeFill="background1" w:themeFillShade="D9"/>
            <w:tcMar>
              <w:top w:w="43" w:type="dxa"/>
              <w:left w:w="115" w:type="dxa"/>
              <w:bottom w:w="43" w:type="dxa"/>
              <w:right w:w="115" w:type="dxa"/>
            </w:tcMar>
            <w:vAlign w:val="center"/>
          </w:tcPr>
          <w:p w14:paraId="31FF54C8" w14:textId="77777777" w:rsidR="002D4BFF" w:rsidRPr="00635A55" w:rsidRDefault="002D4BFF" w:rsidP="00635A55">
            <w:pPr>
              <w:spacing w:before="120" w:after="120"/>
              <w:jc w:val="center"/>
              <w:rPr>
                <w:b/>
              </w:rPr>
            </w:pPr>
            <w:r w:rsidRPr="00635A55">
              <w:rPr>
                <w:b/>
              </w:rPr>
              <w:t>Description</w:t>
            </w:r>
          </w:p>
        </w:tc>
      </w:tr>
      <w:tr w:rsidR="00EB406A" w:rsidRPr="00635A55" w:rsidDel="00C434CE" w14:paraId="6677D66E" w14:textId="77777777" w:rsidTr="0256B56D">
        <w:trPr>
          <w:cantSplit/>
        </w:trPr>
        <w:tc>
          <w:tcPr>
            <w:tcW w:w="1165" w:type="dxa"/>
            <w:tcMar>
              <w:top w:w="43" w:type="dxa"/>
              <w:left w:w="115" w:type="dxa"/>
              <w:bottom w:w="43" w:type="dxa"/>
              <w:right w:w="115" w:type="dxa"/>
            </w:tcMar>
            <w:vAlign w:val="center"/>
          </w:tcPr>
          <w:p w14:paraId="78BFFC31" w14:textId="2B0F93D0" w:rsidR="00EB406A" w:rsidRPr="00635A55" w:rsidRDefault="00EB406A" w:rsidP="00635A55">
            <w:pPr>
              <w:spacing w:before="120" w:after="120"/>
              <w:contextualSpacing/>
              <w:jc w:val="center"/>
            </w:pPr>
            <w:r w:rsidRPr="00635A55">
              <w:t>7/</w:t>
            </w:r>
            <w:r w:rsidR="00823E81" w:rsidRPr="00635A55">
              <w:t>6</w:t>
            </w:r>
          </w:p>
        </w:tc>
        <w:tc>
          <w:tcPr>
            <w:tcW w:w="1530" w:type="dxa"/>
            <w:tcMar>
              <w:top w:w="43" w:type="dxa"/>
              <w:left w:w="115" w:type="dxa"/>
              <w:bottom w:w="43" w:type="dxa"/>
              <w:right w:w="115" w:type="dxa"/>
            </w:tcMar>
            <w:vAlign w:val="center"/>
          </w:tcPr>
          <w:p w14:paraId="783ADFF4" w14:textId="567A1EDE"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5AE9319" w14:textId="0A8B8192" w:rsidR="00EB406A" w:rsidRPr="00635A55" w:rsidRDefault="728C5846" w:rsidP="00635A55">
            <w:pPr>
              <w:tabs>
                <w:tab w:val="decimal" w:pos="785"/>
              </w:tabs>
              <w:spacing w:before="120" w:after="120"/>
              <w:contextualSpacing/>
            </w:pPr>
            <w:r w:rsidRPr="007814D0">
              <w:t>575</w:t>
            </w:r>
          </w:p>
        </w:tc>
        <w:tc>
          <w:tcPr>
            <w:tcW w:w="5456" w:type="dxa"/>
            <w:tcMar>
              <w:top w:w="43" w:type="dxa"/>
              <w:left w:w="115" w:type="dxa"/>
              <w:bottom w:w="43" w:type="dxa"/>
              <w:right w:w="115" w:type="dxa"/>
            </w:tcMar>
          </w:tcPr>
          <w:p w14:paraId="25FF1858" w14:textId="0EDF78A2" w:rsidR="00EB406A" w:rsidRPr="00635A55" w:rsidRDefault="00EB406A" w:rsidP="00635A55">
            <w:pPr>
              <w:pStyle w:val="Heading4"/>
              <w:shd w:val="clear" w:color="auto" w:fill="FFFFFF"/>
              <w:spacing w:before="120"/>
              <w:contextualSpacing/>
              <w:outlineLvl w:val="3"/>
              <w:rPr>
                <w:rFonts w:eastAsia="Times New Roman" w:cs="Arial"/>
                <w:i w:val="0"/>
              </w:rPr>
            </w:pPr>
            <w:r w:rsidRPr="00635A55">
              <w:rPr>
                <w:rFonts w:cs="Arial"/>
                <w:i w:val="0"/>
              </w:rPr>
              <w:t>Interim and Formative Assessment Training Series</w:t>
            </w:r>
            <w:r w:rsidR="008530EA" w:rsidRPr="00635A55">
              <w:rPr>
                <w:rFonts w:cs="Arial"/>
                <w:bCs/>
                <w:i w:val="0"/>
              </w:rPr>
              <w:t>—</w:t>
            </w:r>
            <w:r w:rsidRPr="00635A55">
              <w:rPr>
                <w:rFonts w:eastAsia="Times New Roman" w:cs="Arial"/>
                <w:i w:val="0"/>
              </w:rPr>
              <w:t>Module 1: Using the Formative Assessment Process and Tools for Teachers Website to Boost Instruction</w:t>
            </w:r>
          </w:p>
          <w:p w14:paraId="4655BED0" w14:textId="28F013A2" w:rsidR="00EB406A" w:rsidRPr="00635A55" w:rsidRDefault="00EB406A" w:rsidP="00635A55">
            <w:pPr>
              <w:pStyle w:val="NormalWeb"/>
              <w:shd w:val="clear" w:color="auto" w:fill="FFFFFF"/>
              <w:spacing w:before="120" w:beforeAutospacing="0" w:after="120" w:afterAutospacing="0"/>
              <w:contextualSpacing/>
              <w:rPr>
                <w:color w:val="363636"/>
              </w:rPr>
            </w:pPr>
            <w:r w:rsidRPr="00635A55">
              <w:rPr>
                <w:color w:val="363636"/>
              </w:rPr>
              <w:t>This training series provide</w:t>
            </w:r>
            <w:r w:rsidR="000B28F9">
              <w:rPr>
                <w:color w:val="363636"/>
              </w:rPr>
              <w:t>d</w:t>
            </w:r>
            <w:r w:rsidRPr="00635A55">
              <w:rPr>
                <w:color w:val="363636"/>
              </w:rPr>
              <w:t xml:space="preserve"> direct, online training on leveraging the interim and formative components of the Smarter Balanced comprehensive system of assessments to inform teaching and learning. It </w:t>
            </w:r>
            <w:r w:rsidR="000B28F9">
              <w:rPr>
                <w:color w:val="363636"/>
              </w:rPr>
              <w:t>wa</w:t>
            </w:r>
            <w:r w:rsidRPr="00635A55">
              <w:rPr>
                <w:color w:val="363636"/>
              </w:rPr>
              <w:t>s designed for teachers, instructional coaches, and educators on special assignment</w:t>
            </w:r>
            <w:r w:rsidR="000B28F9">
              <w:rPr>
                <w:color w:val="363636"/>
              </w:rPr>
              <w:t>.</w:t>
            </w:r>
            <w:r w:rsidRPr="00635A55">
              <w:rPr>
                <w:color w:val="363636"/>
              </w:rPr>
              <w:t xml:space="preserve"> </w:t>
            </w:r>
            <w:r w:rsidR="000B28F9">
              <w:rPr>
                <w:color w:val="363636"/>
              </w:rPr>
              <w:t>LEA</w:t>
            </w:r>
            <w:r w:rsidRPr="00635A55">
              <w:rPr>
                <w:color w:val="363636"/>
              </w:rPr>
              <w:t xml:space="preserve"> CAASPP and ELPAC coordinators and administrators also </w:t>
            </w:r>
            <w:r w:rsidR="000B28F9">
              <w:rPr>
                <w:color w:val="363636"/>
              </w:rPr>
              <w:t>were welcome</w:t>
            </w:r>
            <w:r w:rsidRPr="00635A55">
              <w:rPr>
                <w:color w:val="363636"/>
              </w:rPr>
              <w:t>.</w:t>
            </w:r>
          </w:p>
          <w:p w14:paraId="154DD883" w14:textId="677D0C15" w:rsidR="00EB406A" w:rsidRPr="00635A55" w:rsidRDefault="000B28F9" w:rsidP="00635A55">
            <w:pPr>
              <w:spacing w:before="120" w:after="120"/>
            </w:pPr>
            <w:r>
              <w:rPr>
                <w:color w:val="363636"/>
                <w:shd w:val="clear" w:color="auto" w:fill="FFFFFF"/>
              </w:rPr>
              <w:t>Module</w:t>
            </w:r>
            <w:r w:rsidR="00875BCC">
              <w:rPr>
                <w:color w:val="363636"/>
                <w:shd w:val="clear" w:color="auto" w:fill="FFFFFF"/>
              </w:rPr>
              <w:t xml:space="preserve"> </w:t>
            </w:r>
            <w:r>
              <w:rPr>
                <w:color w:val="363636"/>
                <w:shd w:val="clear" w:color="auto" w:fill="FFFFFF"/>
              </w:rPr>
              <w:t>1 delved</w:t>
            </w:r>
            <w:r w:rsidR="00EB406A" w:rsidRPr="00635A55">
              <w:rPr>
                <w:color w:val="363636"/>
                <w:shd w:val="clear" w:color="auto" w:fill="FFFFFF"/>
              </w:rPr>
              <w:t xml:space="preserve"> into formative assessment practices and resources</w:t>
            </w:r>
            <w:r w:rsidR="0000016E">
              <w:rPr>
                <w:color w:val="363636"/>
                <w:shd w:val="clear" w:color="auto" w:fill="FFFFFF"/>
              </w:rPr>
              <w:t xml:space="preserve"> and</w:t>
            </w:r>
            <w:r w:rsidR="00EB406A" w:rsidRPr="00635A55">
              <w:rPr>
                <w:color w:val="363636"/>
                <w:shd w:val="clear" w:color="auto" w:fill="FFFFFF"/>
              </w:rPr>
              <w:t xml:space="preserve"> includ</w:t>
            </w:r>
            <w:r w:rsidR="00257607">
              <w:rPr>
                <w:color w:val="363636"/>
                <w:shd w:val="clear" w:color="auto" w:fill="FFFFFF"/>
              </w:rPr>
              <w:t>ed</w:t>
            </w:r>
            <w:r w:rsidR="00EB406A" w:rsidRPr="00635A55">
              <w:rPr>
                <w:color w:val="363636"/>
                <w:shd w:val="clear" w:color="auto" w:fill="FFFFFF"/>
              </w:rPr>
              <w:t xml:space="preserve"> an exploration of the Tools for Teachers website</w:t>
            </w:r>
            <w:r w:rsidR="00257607">
              <w:rPr>
                <w:color w:val="363636"/>
                <w:shd w:val="clear" w:color="auto" w:fill="FFFFFF"/>
              </w:rPr>
              <w:t>.</w:t>
            </w:r>
          </w:p>
        </w:tc>
      </w:tr>
      <w:tr w:rsidR="00EB406A" w:rsidRPr="00635A55" w:rsidDel="00C434CE" w14:paraId="71CA5DBB" w14:textId="77777777" w:rsidTr="0256B56D">
        <w:trPr>
          <w:cantSplit/>
        </w:trPr>
        <w:tc>
          <w:tcPr>
            <w:tcW w:w="1165" w:type="dxa"/>
            <w:tcMar>
              <w:top w:w="43" w:type="dxa"/>
              <w:left w:w="115" w:type="dxa"/>
              <w:bottom w:w="43" w:type="dxa"/>
              <w:right w:w="115" w:type="dxa"/>
            </w:tcMar>
            <w:vAlign w:val="center"/>
          </w:tcPr>
          <w:p w14:paraId="2C9A3124" w14:textId="08355DB3" w:rsidR="00EB406A" w:rsidRPr="00635A55" w:rsidRDefault="00EB406A" w:rsidP="00635A55">
            <w:pPr>
              <w:spacing w:before="120" w:after="120"/>
              <w:contextualSpacing/>
              <w:jc w:val="center"/>
            </w:pPr>
            <w:r w:rsidRPr="00635A55">
              <w:lastRenderedPageBreak/>
              <w:t>7/7</w:t>
            </w:r>
          </w:p>
        </w:tc>
        <w:tc>
          <w:tcPr>
            <w:tcW w:w="1530" w:type="dxa"/>
            <w:tcMar>
              <w:top w:w="43" w:type="dxa"/>
              <w:left w:w="115" w:type="dxa"/>
              <w:bottom w:w="43" w:type="dxa"/>
              <w:right w:w="115" w:type="dxa"/>
            </w:tcMar>
            <w:vAlign w:val="center"/>
          </w:tcPr>
          <w:p w14:paraId="325BFF8E" w14:textId="22F43489"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E67BD63" w14:textId="1C30B359" w:rsidR="00EB406A" w:rsidRPr="007814D0" w:rsidRDefault="21E8B6D3" w:rsidP="00635A55">
            <w:pPr>
              <w:tabs>
                <w:tab w:val="decimal" w:pos="785"/>
              </w:tabs>
              <w:spacing w:before="120" w:after="120"/>
              <w:contextualSpacing/>
            </w:pPr>
            <w:r w:rsidRPr="007814D0">
              <w:t>532</w:t>
            </w:r>
          </w:p>
        </w:tc>
        <w:tc>
          <w:tcPr>
            <w:tcW w:w="5456" w:type="dxa"/>
            <w:tcMar>
              <w:top w:w="43" w:type="dxa"/>
              <w:left w:w="115" w:type="dxa"/>
              <w:bottom w:w="43" w:type="dxa"/>
              <w:right w:w="115" w:type="dxa"/>
            </w:tcMar>
          </w:tcPr>
          <w:p w14:paraId="0D902AF0" w14:textId="246F80AD" w:rsidR="00EB406A" w:rsidRPr="00635A55" w:rsidRDefault="00EB406A" w:rsidP="00635A55">
            <w:pPr>
              <w:pStyle w:val="Heading4"/>
              <w:shd w:val="clear" w:color="auto" w:fill="FFFFFF"/>
              <w:spacing w:before="120"/>
              <w:contextualSpacing/>
              <w:outlineLvl w:val="3"/>
              <w:rPr>
                <w:rFonts w:cs="Arial"/>
                <w:i w:val="0"/>
              </w:rPr>
            </w:pPr>
            <w:r w:rsidRPr="00635A55">
              <w:rPr>
                <w:rFonts w:cs="Arial"/>
                <w:i w:val="0"/>
              </w:rPr>
              <w:t>Interim and Formative Assessment Training Series</w:t>
            </w:r>
            <w:r w:rsidR="008530EA" w:rsidRPr="00635A55">
              <w:rPr>
                <w:rFonts w:cs="Arial"/>
                <w:bCs/>
                <w:i w:val="0"/>
              </w:rPr>
              <w:t>—</w:t>
            </w:r>
            <w:r w:rsidRPr="00635A55">
              <w:rPr>
                <w:rFonts w:cs="Arial"/>
                <w:i w:val="0"/>
              </w:rPr>
              <w:t>Module 2: Gauging Student Progress with the Smarter Balanced Interim Assessments and Related Online Systems</w:t>
            </w:r>
          </w:p>
          <w:p w14:paraId="3CD9276D" w14:textId="3E0DDA39" w:rsidR="00EB406A" w:rsidRPr="00635A55" w:rsidRDefault="00D17234" w:rsidP="00635A55">
            <w:pPr>
              <w:spacing w:before="120" w:after="120"/>
            </w:pPr>
            <w:r>
              <w:t>Module 2 delved</w:t>
            </w:r>
            <w:r w:rsidR="00EB406A" w:rsidRPr="00635A55">
              <w:t xml:space="preserve"> into the Smarter Balanced Interim Assessments and associated online systems and how to use the</w:t>
            </w:r>
            <w:r>
              <w:t>m</w:t>
            </w:r>
            <w:r w:rsidR="00875BCC">
              <w:t>.</w:t>
            </w:r>
            <w:r w:rsidR="00EB406A" w:rsidRPr="00635A55">
              <w:t xml:space="preserve"> </w:t>
            </w:r>
          </w:p>
        </w:tc>
      </w:tr>
      <w:tr w:rsidR="005043EB" w:rsidRPr="00635A55" w:rsidDel="00C434CE" w14:paraId="5C5287FF" w14:textId="77777777" w:rsidTr="0256B56D">
        <w:trPr>
          <w:cantSplit/>
        </w:trPr>
        <w:tc>
          <w:tcPr>
            <w:tcW w:w="1165" w:type="dxa"/>
            <w:tcMar>
              <w:top w:w="43" w:type="dxa"/>
              <w:left w:w="115" w:type="dxa"/>
              <w:bottom w:w="43" w:type="dxa"/>
              <w:right w:w="115" w:type="dxa"/>
            </w:tcMar>
            <w:vAlign w:val="center"/>
          </w:tcPr>
          <w:p w14:paraId="3AAA19E6" w14:textId="08059FEC" w:rsidR="005043EB" w:rsidRPr="00635A55" w:rsidRDefault="005043EB" w:rsidP="00635A55">
            <w:pPr>
              <w:spacing w:before="120" w:after="120"/>
              <w:contextualSpacing/>
              <w:jc w:val="center"/>
            </w:pPr>
            <w:r w:rsidRPr="00635A55">
              <w:t>7/11</w:t>
            </w:r>
          </w:p>
        </w:tc>
        <w:tc>
          <w:tcPr>
            <w:tcW w:w="1530" w:type="dxa"/>
            <w:tcMar>
              <w:top w:w="43" w:type="dxa"/>
              <w:left w:w="115" w:type="dxa"/>
              <w:bottom w:w="43" w:type="dxa"/>
              <w:right w:w="115" w:type="dxa"/>
            </w:tcMar>
            <w:vAlign w:val="center"/>
          </w:tcPr>
          <w:p w14:paraId="2AB05C35" w14:textId="655EAB56" w:rsidR="005043EB" w:rsidRPr="00635A55" w:rsidRDefault="005043EB"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4ACE13F4" w14:textId="2F6589BE" w:rsidR="005043EB" w:rsidRPr="007814D0" w:rsidRDefault="005043EB" w:rsidP="00635A55">
            <w:pPr>
              <w:tabs>
                <w:tab w:val="decimal" w:pos="785"/>
              </w:tabs>
              <w:spacing w:before="120" w:after="120"/>
              <w:contextualSpacing/>
            </w:pPr>
            <w:r w:rsidRPr="007814D0">
              <w:t>292</w:t>
            </w:r>
          </w:p>
        </w:tc>
        <w:tc>
          <w:tcPr>
            <w:tcW w:w="5456" w:type="dxa"/>
            <w:tcMar>
              <w:top w:w="43" w:type="dxa"/>
              <w:left w:w="115" w:type="dxa"/>
              <w:bottom w:w="43" w:type="dxa"/>
              <w:right w:w="115" w:type="dxa"/>
            </w:tcMar>
          </w:tcPr>
          <w:p w14:paraId="52706153" w14:textId="64A82112" w:rsidR="005043EB" w:rsidRPr="00635A55" w:rsidRDefault="005043EB" w:rsidP="00635A55">
            <w:pPr>
              <w:pStyle w:val="Heading4"/>
              <w:shd w:val="clear" w:color="auto" w:fill="FFFFFF"/>
              <w:spacing w:before="120"/>
              <w:contextualSpacing/>
              <w:outlineLvl w:val="3"/>
              <w:rPr>
                <w:rFonts w:eastAsia="Times New Roman" w:cs="Arial"/>
                <w:i w:val="0"/>
              </w:rPr>
            </w:pPr>
            <w:r w:rsidRPr="00635A55">
              <w:rPr>
                <w:rFonts w:cs="Arial"/>
                <w:i w:val="0"/>
              </w:rPr>
              <w:t>Interim and Formative Assessment Training Series</w:t>
            </w:r>
            <w:r w:rsidR="008530EA" w:rsidRPr="00635A55">
              <w:rPr>
                <w:rFonts w:cs="Arial"/>
                <w:bCs/>
                <w:i w:val="0"/>
              </w:rPr>
              <w:t>—</w:t>
            </w:r>
            <w:r w:rsidRPr="00635A55">
              <w:rPr>
                <w:rFonts w:eastAsia="Times New Roman" w:cs="Arial"/>
                <w:i w:val="0"/>
              </w:rPr>
              <w:t>Module 1: Using the Formative Assessment Process and Tools for Teachers Website to Boost Instruction</w:t>
            </w:r>
          </w:p>
          <w:p w14:paraId="5EE0420B" w14:textId="2CC22C33" w:rsidR="005043EB" w:rsidRPr="00875BCC" w:rsidRDefault="00875BCC" w:rsidP="00635A55">
            <w:pPr>
              <w:pStyle w:val="Heading3"/>
              <w:spacing w:before="120"/>
              <w:contextualSpacing/>
              <w:textAlignment w:val="baseline"/>
              <w:outlineLvl w:val="2"/>
              <w:rPr>
                <w:rFonts w:cs="Arial"/>
                <w:b w:val="0"/>
              </w:rPr>
            </w:pPr>
            <w:r w:rsidRPr="00745064">
              <w:rPr>
                <w:b w:val="0"/>
                <w:color w:val="363636"/>
                <w:shd w:val="clear" w:color="auto" w:fill="FFFFFF"/>
              </w:rPr>
              <w:t>Module</w:t>
            </w:r>
            <w:r>
              <w:rPr>
                <w:b w:val="0"/>
                <w:color w:val="363636"/>
                <w:shd w:val="clear" w:color="auto" w:fill="FFFFFF"/>
              </w:rPr>
              <w:t xml:space="preserve"> </w:t>
            </w:r>
            <w:r w:rsidRPr="00745064">
              <w:rPr>
                <w:b w:val="0"/>
                <w:color w:val="363636"/>
                <w:shd w:val="clear" w:color="auto" w:fill="FFFFFF"/>
              </w:rPr>
              <w:t>1 delved into formative assessment practices and resources and included an exploration of the Tools for Teachers website.</w:t>
            </w:r>
          </w:p>
        </w:tc>
      </w:tr>
      <w:tr w:rsidR="00EB406A" w:rsidRPr="00635A55" w:rsidDel="00C434CE" w14:paraId="2A195A64" w14:textId="77777777" w:rsidTr="0256B56D">
        <w:trPr>
          <w:cantSplit/>
        </w:trPr>
        <w:tc>
          <w:tcPr>
            <w:tcW w:w="1165" w:type="dxa"/>
            <w:tcMar>
              <w:top w:w="43" w:type="dxa"/>
              <w:left w:w="115" w:type="dxa"/>
              <w:bottom w:w="43" w:type="dxa"/>
              <w:right w:w="115" w:type="dxa"/>
            </w:tcMar>
            <w:vAlign w:val="center"/>
          </w:tcPr>
          <w:p w14:paraId="161D51B0" w14:textId="20F81F49" w:rsidR="00EB406A" w:rsidRPr="00635A55" w:rsidRDefault="00EB406A" w:rsidP="00635A55">
            <w:pPr>
              <w:spacing w:before="120" w:after="120"/>
              <w:contextualSpacing/>
              <w:jc w:val="center"/>
            </w:pPr>
            <w:r w:rsidRPr="00635A55">
              <w:t>7/12</w:t>
            </w:r>
          </w:p>
        </w:tc>
        <w:tc>
          <w:tcPr>
            <w:tcW w:w="1530" w:type="dxa"/>
            <w:tcMar>
              <w:top w:w="43" w:type="dxa"/>
              <w:left w:w="115" w:type="dxa"/>
              <w:bottom w:w="43" w:type="dxa"/>
              <w:right w:w="115" w:type="dxa"/>
            </w:tcMar>
            <w:vAlign w:val="center"/>
          </w:tcPr>
          <w:p w14:paraId="7DD38535" w14:textId="69D4EF89"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36AA2BE7" w14:textId="6858A2CA" w:rsidR="00EB406A" w:rsidRPr="007814D0" w:rsidRDefault="64A4F7E6" w:rsidP="00635A55">
            <w:pPr>
              <w:tabs>
                <w:tab w:val="decimal" w:pos="785"/>
              </w:tabs>
              <w:spacing w:before="120" w:after="120"/>
              <w:contextualSpacing/>
            </w:pPr>
            <w:r>
              <w:t>249</w:t>
            </w:r>
          </w:p>
        </w:tc>
        <w:tc>
          <w:tcPr>
            <w:tcW w:w="5456" w:type="dxa"/>
            <w:tcMar>
              <w:top w:w="43" w:type="dxa"/>
              <w:left w:w="115" w:type="dxa"/>
              <w:bottom w:w="43" w:type="dxa"/>
              <w:right w:w="115" w:type="dxa"/>
            </w:tcMar>
          </w:tcPr>
          <w:p w14:paraId="28F64791" w14:textId="77777777" w:rsidR="00EB406A" w:rsidRPr="00635A55" w:rsidRDefault="00EB406A" w:rsidP="00635A55">
            <w:pPr>
              <w:pStyle w:val="Heading3"/>
              <w:spacing w:before="120"/>
              <w:contextualSpacing/>
              <w:textAlignment w:val="baseline"/>
              <w:outlineLvl w:val="2"/>
              <w:rPr>
                <w:rFonts w:cs="Arial"/>
                <w:b w:val="0"/>
              </w:rPr>
            </w:pPr>
            <w:r w:rsidRPr="00635A55">
              <w:rPr>
                <w:rFonts w:cs="Arial"/>
                <w:b w:val="0"/>
              </w:rPr>
              <w:t>Introduction to CERS for Coordinators and Administrators</w:t>
            </w:r>
          </w:p>
          <w:p w14:paraId="0B2455A1" w14:textId="407BD700" w:rsidR="00EB406A" w:rsidRPr="00635A55" w:rsidRDefault="00EB406A" w:rsidP="00635A55">
            <w:pPr>
              <w:spacing w:before="120" w:after="120"/>
              <w:textAlignment w:val="baseline"/>
              <w:rPr>
                <w:color w:val="151515"/>
              </w:rPr>
            </w:pPr>
            <w:r w:rsidRPr="00635A55">
              <w:rPr>
                <w:color w:val="151515"/>
              </w:rPr>
              <w:t>This three-hour online training support</w:t>
            </w:r>
            <w:r w:rsidR="00E6237C">
              <w:rPr>
                <w:color w:val="151515"/>
              </w:rPr>
              <w:t>ed</w:t>
            </w:r>
            <w:r w:rsidRPr="00635A55">
              <w:rPr>
                <w:color w:val="151515"/>
              </w:rPr>
              <w:t xml:space="preserve"> the implementation of the California Educator Reporting System (CERS)</w:t>
            </w:r>
            <w:r w:rsidR="00E6237C">
              <w:rPr>
                <w:color w:val="151515"/>
              </w:rPr>
              <w:t>.</w:t>
            </w:r>
            <w:r w:rsidRPr="00635A55">
              <w:rPr>
                <w:color w:val="151515"/>
              </w:rPr>
              <w:t xml:space="preserve"> Topics include</w:t>
            </w:r>
            <w:r w:rsidR="00E6237C">
              <w:rPr>
                <w:color w:val="151515"/>
              </w:rPr>
              <w:t>d</w:t>
            </w:r>
            <w:r w:rsidRPr="00635A55">
              <w:rPr>
                <w:color w:val="151515"/>
              </w:rPr>
              <w:t>:</w:t>
            </w:r>
          </w:p>
          <w:p w14:paraId="0BF5ADB3" w14:textId="77777777" w:rsidR="00EB406A" w:rsidRPr="00635A55" w:rsidRDefault="00EB406A" w:rsidP="355899BB">
            <w:pPr>
              <w:pStyle w:val="ListParagraph"/>
              <w:numPr>
                <w:ilvl w:val="0"/>
                <w:numId w:val="43"/>
              </w:numPr>
              <w:spacing w:before="120" w:after="120"/>
              <w:contextualSpacing w:val="0"/>
              <w:textAlignment w:val="baseline"/>
              <w:rPr>
                <w:color w:val="151515"/>
              </w:rPr>
            </w:pPr>
            <w:r w:rsidRPr="00635A55">
              <w:rPr>
                <w:color w:val="151515"/>
              </w:rPr>
              <w:t>Overview of CERS features for viewing assessment results</w:t>
            </w:r>
          </w:p>
          <w:p w14:paraId="6B1565F2" w14:textId="77777777" w:rsidR="00EB406A" w:rsidRPr="00635A55" w:rsidRDefault="00EB406A" w:rsidP="355899BB">
            <w:pPr>
              <w:pStyle w:val="ListParagraph"/>
              <w:numPr>
                <w:ilvl w:val="0"/>
                <w:numId w:val="43"/>
              </w:numPr>
              <w:spacing w:before="120" w:after="120"/>
              <w:contextualSpacing w:val="0"/>
              <w:textAlignment w:val="baseline"/>
              <w:rPr>
                <w:color w:val="151515"/>
              </w:rPr>
            </w:pPr>
            <w:r w:rsidRPr="00635A55">
              <w:rPr>
                <w:color w:val="151515"/>
              </w:rPr>
              <w:t>Accessing individual and group results from CAASPP and ELPAC summative assessment results</w:t>
            </w:r>
          </w:p>
          <w:p w14:paraId="2EF4DE6A" w14:textId="77777777" w:rsidR="00EB406A" w:rsidRPr="00635A55" w:rsidRDefault="00EB406A" w:rsidP="355899BB">
            <w:pPr>
              <w:pStyle w:val="ListParagraph"/>
              <w:numPr>
                <w:ilvl w:val="0"/>
                <w:numId w:val="43"/>
              </w:numPr>
              <w:spacing w:before="120" w:after="120"/>
              <w:contextualSpacing w:val="0"/>
              <w:textAlignment w:val="baseline"/>
              <w:rPr>
                <w:color w:val="151515"/>
              </w:rPr>
            </w:pPr>
            <w:r w:rsidRPr="00635A55">
              <w:rPr>
                <w:color w:val="151515"/>
              </w:rPr>
              <w:t>Options for viewing Smarter Balanced Interim Assessment Results</w:t>
            </w:r>
          </w:p>
          <w:p w14:paraId="030558C3" w14:textId="69F404DF" w:rsidR="00EB406A" w:rsidRPr="00635A55" w:rsidRDefault="00EB406A" w:rsidP="355899BB">
            <w:pPr>
              <w:pStyle w:val="ListParagraph"/>
              <w:numPr>
                <w:ilvl w:val="0"/>
                <w:numId w:val="43"/>
              </w:numPr>
              <w:spacing w:before="120" w:after="120"/>
              <w:contextualSpacing w:val="0"/>
              <w:textAlignment w:val="baseline"/>
              <w:rPr>
                <w:color w:val="151515"/>
              </w:rPr>
            </w:pPr>
            <w:r w:rsidRPr="00635A55">
              <w:rPr>
                <w:color w:val="151515"/>
              </w:rPr>
              <w:t xml:space="preserve">How to Manage CERS </w:t>
            </w:r>
            <w:r w:rsidR="00E6237C">
              <w:rPr>
                <w:color w:val="151515"/>
              </w:rPr>
              <w:t>u</w:t>
            </w:r>
            <w:r w:rsidRPr="00635A55">
              <w:rPr>
                <w:color w:val="151515"/>
              </w:rPr>
              <w:t>sers</w:t>
            </w:r>
          </w:p>
          <w:p w14:paraId="7F2AD28E" w14:textId="30680949" w:rsidR="00EB406A" w:rsidRPr="00635A55" w:rsidRDefault="00E6237C" w:rsidP="355899BB">
            <w:pPr>
              <w:pStyle w:val="ListParagraph"/>
              <w:numPr>
                <w:ilvl w:val="0"/>
                <w:numId w:val="43"/>
              </w:numPr>
              <w:spacing w:before="120" w:after="120"/>
              <w:contextualSpacing w:val="0"/>
              <w:textAlignment w:val="baseline"/>
              <w:rPr>
                <w:color w:val="151515"/>
              </w:rPr>
            </w:pPr>
            <w:r>
              <w:rPr>
                <w:color w:val="151515"/>
              </w:rPr>
              <w:t>A</w:t>
            </w:r>
            <w:r w:rsidRPr="00635A55">
              <w:rPr>
                <w:color w:val="151515"/>
              </w:rPr>
              <w:t xml:space="preserve">vailable </w:t>
            </w:r>
            <w:r>
              <w:rPr>
                <w:color w:val="151515"/>
              </w:rPr>
              <w:t>r</w:t>
            </w:r>
            <w:r w:rsidR="00EB406A" w:rsidRPr="00635A55">
              <w:rPr>
                <w:color w:val="151515"/>
              </w:rPr>
              <w:t>esources to support staff</w:t>
            </w:r>
          </w:p>
          <w:p w14:paraId="39631B41" w14:textId="198032B9" w:rsidR="00F6767B" w:rsidRPr="00635A55" w:rsidRDefault="00EB406A" w:rsidP="355899BB">
            <w:pPr>
              <w:pStyle w:val="ListParagraph"/>
              <w:numPr>
                <w:ilvl w:val="0"/>
                <w:numId w:val="43"/>
              </w:numPr>
              <w:spacing w:before="120" w:after="120"/>
              <w:rPr>
                <w:color w:val="151515"/>
              </w:rPr>
            </w:pPr>
            <w:r w:rsidRPr="00635A55">
              <w:rPr>
                <w:color w:val="151515"/>
              </w:rPr>
              <w:t xml:space="preserve">Assigning </w:t>
            </w:r>
            <w:r w:rsidR="57A03A0A" w:rsidRPr="65086BFA">
              <w:rPr>
                <w:color w:val="151515"/>
              </w:rPr>
              <w:t xml:space="preserve">students to </w:t>
            </w:r>
            <w:r w:rsidRPr="00635A55">
              <w:rPr>
                <w:color w:val="151515"/>
              </w:rPr>
              <w:t xml:space="preserve">teachers </w:t>
            </w:r>
          </w:p>
        </w:tc>
      </w:tr>
      <w:tr w:rsidR="00B3170E" w:rsidRPr="00635A55" w:rsidDel="00C434CE" w14:paraId="22D8467D" w14:textId="77777777" w:rsidTr="0256B56D">
        <w:trPr>
          <w:cantSplit/>
        </w:trPr>
        <w:tc>
          <w:tcPr>
            <w:tcW w:w="1165" w:type="dxa"/>
            <w:tcMar>
              <w:top w:w="43" w:type="dxa"/>
              <w:left w:w="115" w:type="dxa"/>
              <w:bottom w:w="43" w:type="dxa"/>
              <w:right w:w="115" w:type="dxa"/>
            </w:tcMar>
            <w:vAlign w:val="center"/>
          </w:tcPr>
          <w:p w14:paraId="7F99887A" w14:textId="1544E028" w:rsidR="00B3170E" w:rsidRPr="00635A55" w:rsidRDefault="00B3170E" w:rsidP="00635A55">
            <w:pPr>
              <w:spacing w:before="120" w:after="120"/>
              <w:contextualSpacing/>
              <w:jc w:val="center"/>
            </w:pPr>
            <w:r w:rsidRPr="00635A55">
              <w:lastRenderedPageBreak/>
              <w:t>7/13</w:t>
            </w:r>
          </w:p>
        </w:tc>
        <w:tc>
          <w:tcPr>
            <w:tcW w:w="1530" w:type="dxa"/>
            <w:tcMar>
              <w:top w:w="43" w:type="dxa"/>
              <w:left w:w="115" w:type="dxa"/>
              <w:bottom w:w="43" w:type="dxa"/>
              <w:right w:w="115" w:type="dxa"/>
            </w:tcMar>
            <w:vAlign w:val="center"/>
          </w:tcPr>
          <w:p w14:paraId="4015AFEC" w14:textId="234877F9" w:rsidR="00B3170E" w:rsidRPr="00635A55" w:rsidRDefault="00B3170E"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1B0AD777" w14:textId="68A533F4" w:rsidR="00B3170E" w:rsidRPr="007814D0" w:rsidRDefault="00B3170E" w:rsidP="00635A55">
            <w:pPr>
              <w:tabs>
                <w:tab w:val="decimal" w:pos="785"/>
              </w:tabs>
              <w:spacing w:before="120" w:after="120"/>
              <w:contextualSpacing/>
            </w:pPr>
            <w:r w:rsidRPr="007814D0">
              <w:t>307</w:t>
            </w:r>
          </w:p>
        </w:tc>
        <w:tc>
          <w:tcPr>
            <w:tcW w:w="5456" w:type="dxa"/>
            <w:tcMar>
              <w:top w:w="43" w:type="dxa"/>
              <w:left w:w="115" w:type="dxa"/>
              <w:bottom w:w="43" w:type="dxa"/>
              <w:right w:w="115" w:type="dxa"/>
            </w:tcMar>
          </w:tcPr>
          <w:p w14:paraId="686E0763" w14:textId="642772E8" w:rsidR="00B3170E" w:rsidRPr="00635A55" w:rsidRDefault="00B3170E" w:rsidP="00635A55">
            <w:pPr>
              <w:pStyle w:val="Heading4"/>
              <w:shd w:val="clear" w:color="auto" w:fill="FFFFFF"/>
              <w:spacing w:before="120"/>
              <w:contextualSpacing/>
              <w:outlineLvl w:val="3"/>
              <w:rPr>
                <w:rFonts w:cs="Arial"/>
                <w:i w:val="0"/>
              </w:rPr>
            </w:pPr>
            <w:r w:rsidRPr="00635A55">
              <w:rPr>
                <w:rFonts w:cs="Arial"/>
                <w:i w:val="0"/>
              </w:rPr>
              <w:t>Interim and Formative Assessment Training Series</w:t>
            </w:r>
            <w:r w:rsidR="00F77172" w:rsidRPr="00635A55">
              <w:rPr>
                <w:rFonts w:cs="Arial"/>
                <w:bCs/>
                <w:i w:val="0"/>
              </w:rPr>
              <w:t>—</w:t>
            </w:r>
            <w:r w:rsidRPr="00635A55">
              <w:rPr>
                <w:rFonts w:cs="Arial"/>
                <w:i w:val="0"/>
              </w:rPr>
              <w:t>Module 2: Gauging Student Progress with the Smarter Balanced Interim Assessments and Related Online Systems</w:t>
            </w:r>
          </w:p>
          <w:p w14:paraId="09F8A4D5" w14:textId="6D1C3516" w:rsidR="00B3170E" w:rsidRPr="00E6237C" w:rsidRDefault="00E6237C" w:rsidP="00635A55">
            <w:pPr>
              <w:pStyle w:val="Heading3"/>
              <w:spacing w:before="120"/>
              <w:contextualSpacing/>
              <w:textAlignment w:val="baseline"/>
              <w:outlineLvl w:val="2"/>
              <w:rPr>
                <w:rFonts w:cs="Arial"/>
                <w:b w:val="0"/>
              </w:rPr>
            </w:pPr>
            <w:r w:rsidRPr="003D13D5">
              <w:rPr>
                <w:b w:val="0"/>
              </w:rPr>
              <w:t>Module 2 delved into the Smarter Balanced Interim Assessments and associated online systems and how to use them.</w:t>
            </w:r>
          </w:p>
        </w:tc>
      </w:tr>
      <w:tr w:rsidR="00EB406A" w:rsidRPr="00635A55" w:rsidDel="00C434CE" w14:paraId="449ECBB6" w14:textId="77777777" w:rsidTr="0256B56D">
        <w:trPr>
          <w:cantSplit/>
        </w:trPr>
        <w:tc>
          <w:tcPr>
            <w:tcW w:w="1165" w:type="dxa"/>
            <w:tcMar>
              <w:top w:w="43" w:type="dxa"/>
              <w:left w:w="115" w:type="dxa"/>
              <w:bottom w:w="43" w:type="dxa"/>
              <w:right w:w="115" w:type="dxa"/>
            </w:tcMar>
            <w:vAlign w:val="center"/>
          </w:tcPr>
          <w:p w14:paraId="1EAE78E0" w14:textId="2F50AC63" w:rsidR="00EB406A" w:rsidRPr="00635A55" w:rsidRDefault="00EB406A" w:rsidP="00635A55">
            <w:pPr>
              <w:spacing w:before="120" w:after="120"/>
              <w:contextualSpacing/>
              <w:jc w:val="center"/>
            </w:pPr>
            <w:r w:rsidRPr="00635A55">
              <w:t>7/14</w:t>
            </w:r>
          </w:p>
        </w:tc>
        <w:tc>
          <w:tcPr>
            <w:tcW w:w="1530" w:type="dxa"/>
            <w:tcMar>
              <w:top w:w="43" w:type="dxa"/>
              <w:left w:w="115" w:type="dxa"/>
              <w:bottom w:w="43" w:type="dxa"/>
              <w:right w:w="115" w:type="dxa"/>
            </w:tcMar>
            <w:vAlign w:val="center"/>
          </w:tcPr>
          <w:p w14:paraId="265FEE89" w14:textId="44F2316C"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494ECA59" w14:textId="7CF5A9A1" w:rsidR="00EB406A" w:rsidRPr="007814D0" w:rsidRDefault="00271235" w:rsidP="00635A55">
            <w:pPr>
              <w:tabs>
                <w:tab w:val="decimal" w:pos="785"/>
              </w:tabs>
              <w:spacing w:before="120" w:after="120"/>
              <w:contextualSpacing/>
            </w:pPr>
            <w:r w:rsidRPr="007814D0">
              <w:t>155</w:t>
            </w:r>
          </w:p>
        </w:tc>
        <w:tc>
          <w:tcPr>
            <w:tcW w:w="5456" w:type="dxa"/>
            <w:tcMar>
              <w:top w:w="43" w:type="dxa"/>
              <w:left w:w="115" w:type="dxa"/>
              <w:bottom w:w="43" w:type="dxa"/>
              <w:right w:w="115" w:type="dxa"/>
            </w:tcMar>
          </w:tcPr>
          <w:p w14:paraId="1A5EE5D0" w14:textId="77777777" w:rsidR="00EB406A" w:rsidRPr="00635A55" w:rsidRDefault="00EB406A" w:rsidP="00635A55">
            <w:pPr>
              <w:pStyle w:val="Heading3"/>
              <w:spacing w:before="120"/>
              <w:ind w:left="495" w:hanging="495"/>
              <w:contextualSpacing/>
              <w:textAlignment w:val="baseline"/>
              <w:outlineLvl w:val="2"/>
              <w:rPr>
                <w:rFonts w:cs="Arial"/>
                <w:b w:val="0"/>
              </w:rPr>
            </w:pPr>
            <w:r w:rsidRPr="00635A55">
              <w:rPr>
                <w:rFonts w:cs="Arial"/>
                <w:b w:val="0"/>
              </w:rPr>
              <w:t>New CAASPP Coordinator Welcome Webinar</w:t>
            </w:r>
          </w:p>
          <w:p w14:paraId="45A30D6A" w14:textId="620EF5B9" w:rsidR="00EB406A" w:rsidRPr="00635A55" w:rsidRDefault="00EB406A" w:rsidP="00635A55">
            <w:pPr>
              <w:pStyle w:val="NormalWeb"/>
              <w:spacing w:before="120" w:beforeAutospacing="0" w:after="120" w:afterAutospacing="0"/>
              <w:contextualSpacing/>
              <w:textAlignment w:val="baseline"/>
              <w:rPr>
                <w:color w:val="151515"/>
              </w:rPr>
            </w:pPr>
            <w:r w:rsidRPr="00635A55">
              <w:rPr>
                <w:color w:val="151515"/>
              </w:rPr>
              <w:t xml:space="preserve">This webinar, hosted by </w:t>
            </w:r>
            <w:r w:rsidR="0078165C">
              <w:rPr>
                <w:color w:val="151515"/>
              </w:rPr>
              <w:t>SCOE</w:t>
            </w:r>
            <w:r w:rsidRPr="00635A55">
              <w:rPr>
                <w:color w:val="151515"/>
              </w:rPr>
              <w:t>, provide</w:t>
            </w:r>
            <w:r w:rsidR="0078165C">
              <w:rPr>
                <w:color w:val="151515"/>
              </w:rPr>
              <w:t>d</w:t>
            </w:r>
            <w:r w:rsidRPr="00635A55">
              <w:rPr>
                <w:color w:val="151515"/>
              </w:rPr>
              <w:t xml:space="preserve"> information about the following:</w:t>
            </w:r>
          </w:p>
          <w:p w14:paraId="1B4685D5" w14:textId="47016543" w:rsidR="00EB406A" w:rsidRPr="00635A55" w:rsidRDefault="0078165C" w:rsidP="7DDD8D19">
            <w:pPr>
              <w:pStyle w:val="ListParagraph"/>
              <w:numPr>
                <w:ilvl w:val="0"/>
                <w:numId w:val="44"/>
              </w:numPr>
              <w:spacing w:before="120" w:after="120"/>
              <w:contextualSpacing w:val="0"/>
              <w:textAlignment w:val="baseline"/>
              <w:rPr>
                <w:color w:val="151515"/>
              </w:rPr>
            </w:pPr>
            <w:r>
              <w:rPr>
                <w:color w:val="151515"/>
              </w:rPr>
              <w:t>A</w:t>
            </w:r>
            <w:r w:rsidRPr="00635A55">
              <w:rPr>
                <w:color w:val="151515"/>
              </w:rPr>
              <w:t>vailable</w:t>
            </w:r>
            <w:r w:rsidR="00EB406A" w:rsidRPr="00635A55">
              <w:rPr>
                <w:color w:val="151515"/>
              </w:rPr>
              <w:t xml:space="preserve"> training opportunities for new coordinators</w:t>
            </w:r>
          </w:p>
          <w:p w14:paraId="7B890C8D" w14:textId="1B96909C" w:rsidR="00EB406A" w:rsidRPr="00635A55" w:rsidRDefault="00EB406A" w:rsidP="7DDD8D19">
            <w:pPr>
              <w:pStyle w:val="ListParagraph"/>
              <w:numPr>
                <w:ilvl w:val="0"/>
                <w:numId w:val="44"/>
              </w:numPr>
              <w:spacing w:before="120" w:after="120"/>
              <w:contextualSpacing w:val="0"/>
              <w:textAlignment w:val="baseline"/>
              <w:rPr>
                <w:color w:val="151515"/>
              </w:rPr>
            </w:pPr>
            <w:r w:rsidRPr="00635A55">
              <w:rPr>
                <w:color w:val="151515"/>
              </w:rPr>
              <w:t>The various assessments included in California's assessment system</w:t>
            </w:r>
          </w:p>
          <w:p w14:paraId="53B364B3" w14:textId="279767DF" w:rsidR="00EB406A" w:rsidRPr="00635A55" w:rsidRDefault="00EB406A" w:rsidP="7DDD8D19">
            <w:pPr>
              <w:pStyle w:val="ListParagraph"/>
              <w:numPr>
                <w:ilvl w:val="0"/>
                <w:numId w:val="44"/>
              </w:numPr>
              <w:spacing w:before="120" w:after="120"/>
              <w:contextualSpacing w:val="0"/>
              <w:textAlignment w:val="baseline"/>
              <w:rPr>
                <w:color w:val="151515"/>
              </w:rPr>
            </w:pPr>
            <w:r w:rsidRPr="00635A55">
              <w:rPr>
                <w:color w:val="151515"/>
              </w:rPr>
              <w:t>Coordinator checklist</w:t>
            </w:r>
            <w:r w:rsidR="0078165C">
              <w:rPr>
                <w:color w:val="151515"/>
              </w:rPr>
              <w:t>,</w:t>
            </w:r>
            <w:r w:rsidRPr="00635A55">
              <w:rPr>
                <w:color w:val="151515"/>
              </w:rPr>
              <w:t xml:space="preserve"> where to find more information to help </w:t>
            </w:r>
            <w:r w:rsidR="0078165C">
              <w:rPr>
                <w:color w:val="151515"/>
              </w:rPr>
              <w:t>new coordinators in their</w:t>
            </w:r>
            <w:r w:rsidRPr="00635A55">
              <w:rPr>
                <w:color w:val="151515"/>
              </w:rPr>
              <w:t xml:space="preserve"> role, </w:t>
            </w:r>
            <w:r w:rsidR="0078165C">
              <w:rPr>
                <w:color w:val="151515"/>
              </w:rPr>
              <w:t>and</w:t>
            </w:r>
            <w:r w:rsidRPr="00635A55">
              <w:rPr>
                <w:color w:val="151515"/>
              </w:rPr>
              <w:t xml:space="preserve"> existing resources that </w:t>
            </w:r>
            <w:r w:rsidR="0078165C">
              <w:rPr>
                <w:color w:val="151515"/>
              </w:rPr>
              <w:t>coordinators</w:t>
            </w:r>
            <w:r w:rsidR="0078165C" w:rsidRPr="00635A55">
              <w:rPr>
                <w:color w:val="151515"/>
              </w:rPr>
              <w:t xml:space="preserve"> </w:t>
            </w:r>
            <w:r w:rsidRPr="00635A55">
              <w:rPr>
                <w:color w:val="151515"/>
              </w:rPr>
              <w:t xml:space="preserve">can share with </w:t>
            </w:r>
            <w:r w:rsidR="0078165C">
              <w:rPr>
                <w:color w:val="151515"/>
              </w:rPr>
              <w:t>their</w:t>
            </w:r>
            <w:r w:rsidR="0078165C" w:rsidRPr="00635A55">
              <w:rPr>
                <w:color w:val="151515"/>
              </w:rPr>
              <w:t xml:space="preserve"> </w:t>
            </w:r>
            <w:r w:rsidRPr="00635A55">
              <w:rPr>
                <w:color w:val="151515"/>
              </w:rPr>
              <w:t>administrators and teachers</w:t>
            </w:r>
          </w:p>
          <w:p w14:paraId="6EB5843B" w14:textId="0D52C324" w:rsidR="00EB406A" w:rsidRPr="00635A55" w:rsidRDefault="00EB406A" w:rsidP="7DDD8D19">
            <w:pPr>
              <w:pStyle w:val="ListParagraph"/>
              <w:numPr>
                <w:ilvl w:val="0"/>
                <w:numId w:val="44"/>
              </w:numPr>
              <w:spacing w:before="120" w:after="120"/>
              <w:rPr>
                <w:color w:val="151515"/>
              </w:rPr>
            </w:pPr>
            <w:r w:rsidRPr="00635A55">
              <w:rPr>
                <w:color w:val="151515"/>
              </w:rPr>
              <w:t xml:space="preserve">Question and </w:t>
            </w:r>
            <w:r w:rsidR="0078165C">
              <w:rPr>
                <w:color w:val="151515"/>
              </w:rPr>
              <w:t>a</w:t>
            </w:r>
            <w:r w:rsidRPr="00635A55">
              <w:rPr>
                <w:color w:val="151515"/>
              </w:rPr>
              <w:t>nswer session with experienced coordinators</w:t>
            </w:r>
          </w:p>
        </w:tc>
      </w:tr>
      <w:tr w:rsidR="00EB406A" w:rsidRPr="00635A55" w:rsidDel="00C434CE" w14:paraId="031F2691" w14:textId="77777777" w:rsidTr="0256B56D">
        <w:trPr>
          <w:cantSplit/>
        </w:trPr>
        <w:tc>
          <w:tcPr>
            <w:tcW w:w="1165" w:type="dxa"/>
            <w:tcMar>
              <w:top w:w="43" w:type="dxa"/>
              <w:left w:w="115" w:type="dxa"/>
              <w:bottom w:w="43" w:type="dxa"/>
              <w:right w:w="115" w:type="dxa"/>
            </w:tcMar>
            <w:vAlign w:val="center"/>
          </w:tcPr>
          <w:p w14:paraId="7250CD93" w14:textId="17B171AC" w:rsidR="00EB406A" w:rsidRPr="00635A55" w:rsidRDefault="00EB406A" w:rsidP="00635A55">
            <w:pPr>
              <w:spacing w:before="120" w:after="120"/>
              <w:contextualSpacing/>
              <w:jc w:val="center"/>
            </w:pPr>
            <w:r w:rsidRPr="00635A55">
              <w:t>7/18</w:t>
            </w:r>
          </w:p>
        </w:tc>
        <w:tc>
          <w:tcPr>
            <w:tcW w:w="1530" w:type="dxa"/>
            <w:tcMar>
              <w:top w:w="43" w:type="dxa"/>
              <w:left w:w="115" w:type="dxa"/>
              <w:bottom w:w="43" w:type="dxa"/>
              <w:right w:w="115" w:type="dxa"/>
            </w:tcMar>
            <w:vAlign w:val="center"/>
          </w:tcPr>
          <w:p w14:paraId="20EB7704" w14:textId="5D69DDB5"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4419C9D" w14:textId="0D62A1DD" w:rsidR="00EB406A" w:rsidRPr="007814D0" w:rsidRDefault="21E8B6D3" w:rsidP="00635A55">
            <w:pPr>
              <w:tabs>
                <w:tab w:val="decimal" w:pos="785"/>
              </w:tabs>
              <w:spacing w:before="120" w:after="120"/>
              <w:contextualSpacing/>
            </w:pPr>
            <w:r w:rsidRPr="007814D0">
              <w:t>375</w:t>
            </w:r>
          </w:p>
        </w:tc>
        <w:tc>
          <w:tcPr>
            <w:tcW w:w="5456" w:type="dxa"/>
            <w:tcMar>
              <w:top w:w="43" w:type="dxa"/>
              <w:left w:w="115" w:type="dxa"/>
              <w:bottom w:w="43" w:type="dxa"/>
              <w:right w:w="115" w:type="dxa"/>
            </w:tcMar>
          </w:tcPr>
          <w:p w14:paraId="416B401F" w14:textId="1132C680" w:rsidR="00EB406A" w:rsidRPr="00635A55" w:rsidRDefault="00EB406A" w:rsidP="00635A55">
            <w:pPr>
              <w:pStyle w:val="Heading4"/>
              <w:shd w:val="clear" w:color="auto" w:fill="FFFFFF"/>
              <w:spacing w:before="120"/>
              <w:contextualSpacing/>
              <w:outlineLvl w:val="3"/>
              <w:rPr>
                <w:rFonts w:cs="Arial"/>
                <w:i w:val="0"/>
              </w:rPr>
            </w:pPr>
            <w:r w:rsidRPr="00635A55">
              <w:rPr>
                <w:rFonts w:cs="Arial"/>
                <w:i w:val="0"/>
              </w:rPr>
              <w:t>Interim and Formative Assessment Training Series</w:t>
            </w:r>
            <w:r w:rsidR="00F77172" w:rsidRPr="00635A55">
              <w:rPr>
                <w:rFonts w:cs="Arial"/>
                <w:bCs/>
                <w:i w:val="0"/>
              </w:rPr>
              <w:t>—</w:t>
            </w:r>
            <w:r w:rsidRPr="00635A55">
              <w:rPr>
                <w:rFonts w:cs="Arial"/>
                <w:i w:val="0"/>
              </w:rPr>
              <w:t>Module 3A: Interim Assessment Hand Scoring for ELA</w:t>
            </w:r>
          </w:p>
          <w:p w14:paraId="6421E370" w14:textId="3B14EF68" w:rsidR="00EB406A" w:rsidRPr="00635A55" w:rsidRDefault="0078165C" w:rsidP="00635A55">
            <w:pPr>
              <w:spacing w:before="120" w:after="120"/>
            </w:pPr>
            <w:r>
              <w:rPr>
                <w:rFonts w:eastAsiaTheme="majorEastAsia"/>
              </w:rPr>
              <w:t>Module 3A provided i</w:t>
            </w:r>
            <w:r w:rsidR="00EB406A" w:rsidRPr="00635A55">
              <w:rPr>
                <w:rFonts w:eastAsiaTheme="majorEastAsia"/>
              </w:rPr>
              <w:t>n-depth instruction and practice in hand scoring for Smarter Balanced English language arts/literacy (ELA) or Smarter Balanced mathematics performance tasks and constructed-response items, including reflection on implications for teaching and learning</w:t>
            </w:r>
            <w:r>
              <w:rPr>
                <w:rFonts w:eastAsiaTheme="majorEastAsia"/>
              </w:rPr>
              <w:t>.</w:t>
            </w:r>
          </w:p>
        </w:tc>
      </w:tr>
      <w:tr w:rsidR="00EB406A" w:rsidRPr="00635A55" w:rsidDel="00C434CE" w14:paraId="0635D1A2" w14:textId="77777777" w:rsidTr="0256B56D">
        <w:trPr>
          <w:cantSplit/>
        </w:trPr>
        <w:tc>
          <w:tcPr>
            <w:tcW w:w="1165" w:type="dxa"/>
            <w:tcMar>
              <w:top w:w="43" w:type="dxa"/>
              <w:left w:w="115" w:type="dxa"/>
              <w:bottom w:w="43" w:type="dxa"/>
              <w:right w:w="115" w:type="dxa"/>
            </w:tcMar>
            <w:vAlign w:val="center"/>
          </w:tcPr>
          <w:p w14:paraId="659550DC" w14:textId="381C9CA7" w:rsidR="00EB406A" w:rsidRPr="00635A55" w:rsidRDefault="00EB406A" w:rsidP="00635A55">
            <w:pPr>
              <w:spacing w:before="120" w:after="120"/>
              <w:contextualSpacing/>
              <w:jc w:val="center"/>
            </w:pPr>
            <w:r w:rsidRPr="00635A55">
              <w:lastRenderedPageBreak/>
              <w:t>7/20</w:t>
            </w:r>
          </w:p>
        </w:tc>
        <w:tc>
          <w:tcPr>
            <w:tcW w:w="1530" w:type="dxa"/>
            <w:tcMar>
              <w:top w:w="43" w:type="dxa"/>
              <w:left w:w="115" w:type="dxa"/>
              <w:bottom w:w="43" w:type="dxa"/>
              <w:right w:w="115" w:type="dxa"/>
            </w:tcMar>
            <w:vAlign w:val="center"/>
          </w:tcPr>
          <w:p w14:paraId="2C4BE3A3" w14:textId="7FBDF1E0"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7668A447" w14:textId="4BEF3810" w:rsidR="00EB406A" w:rsidRPr="007814D0" w:rsidRDefault="21E8B6D3" w:rsidP="00635A55">
            <w:pPr>
              <w:tabs>
                <w:tab w:val="decimal" w:pos="785"/>
              </w:tabs>
              <w:spacing w:before="120" w:after="120"/>
              <w:contextualSpacing/>
            </w:pPr>
            <w:r w:rsidRPr="007814D0">
              <w:t>359</w:t>
            </w:r>
          </w:p>
        </w:tc>
        <w:tc>
          <w:tcPr>
            <w:tcW w:w="5456" w:type="dxa"/>
            <w:tcMar>
              <w:top w:w="43" w:type="dxa"/>
              <w:left w:w="115" w:type="dxa"/>
              <w:bottom w:w="43" w:type="dxa"/>
              <w:right w:w="115" w:type="dxa"/>
            </w:tcMar>
          </w:tcPr>
          <w:p w14:paraId="34F5119E" w14:textId="4A90CFF1" w:rsidR="00EB406A" w:rsidRPr="00635A55" w:rsidRDefault="00EB406A" w:rsidP="00635A55">
            <w:pPr>
              <w:pStyle w:val="Heading4"/>
              <w:shd w:val="clear" w:color="auto" w:fill="FFFFFF"/>
              <w:spacing w:before="120"/>
              <w:contextualSpacing/>
              <w:outlineLvl w:val="3"/>
              <w:rPr>
                <w:rFonts w:cs="Arial"/>
                <w:i w:val="0"/>
              </w:rPr>
            </w:pPr>
            <w:r w:rsidRPr="00635A55">
              <w:rPr>
                <w:rFonts w:cs="Arial"/>
                <w:i w:val="0"/>
              </w:rPr>
              <w:t>Interim and Formative Assessment Training Series</w:t>
            </w:r>
            <w:r w:rsidR="00F77172" w:rsidRPr="00635A55">
              <w:rPr>
                <w:rFonts w:cs="Arial"/>
                <w:bCs/>
                <w:i w:val="0"/>
              </w:rPr>
              <w:t>—</w:t>
            </w:r>
            <w:r w:rsidRPr="00635A55">
              <w:rPr>
                <w:rFonts w:cs="Arial"/>
                <w:i w:val="0"/>
              </w:rPr>
              <w:t>Module 3</w:t>
            </w:r>
            <w:r w:rsidR="00713DD0" w:rsidRPr="00635A55">
              <w:rPr>
                <w:rFonts w:cs="Arial"/>
                <w:i w:val="0"/>
              </w:rPr>
              <w:t>B</w:t>
            </w:r>
            <w:r w:rsidRPr="00635A55">
              <w:rPr>
                <w:rFonts w:cs="Arial"/>
                <w:i w:val="0"/>
              </w:rPr>
              <w:t>: Interim Assessment Hand Scoring for Mathematics</w:t>
            </w:r>
          </w:p>
          <w:p w14:paraId="27731D3F" w14:textId="6C2E38F7" w:rsidR="00EB406A" w:rsidRPr="00635A55" w:rsidRDefault="004D5FAA" w:rsidP="00635A55">
            <w:pPr>
              <w:spacing w:before="120" w:after="120"/>
            </w:pPr>
            <w:r>
              <w:rPr>
                <w:rFonts w:eastAsiaTheme="majorEastAsia"/>
              </w:rPr>
              <w:t>Module 3</w:t>
            </w:r>
            <w:r w:rsidR="007443F4">
              <w:rPr>
                <w:rFonts w:eastAsiaTheme="majorEastAsia"/>
              </w:rPr>
              <w:t>B</w:t>
            </w:r>
            <w:r>
              <w:rPr>
                <w:rFonts w:eastAsiaTheme="majorEastAsia"/>
              </w:rPr>
              <w:t xml:space="preserve"> provided </w:t>
            </w:r>
            <w:r>
              <w:t>i</w:t>
            </w:r>
            <w:r w:rsidR="00EB406A" w:rsidRPr="00635A55">
              <w:t>n-depth instruction and practice in hand scoring for Smarter Balanced ELA or Smarter Balanced mathematics performance tasks and constructed-response items, including reflection on implications for teaching and learning</w:t>
            </w:r>
            <w:r w:rsidR="00804812">
              <w:t>.</w:t>
            </w:r>
          </w:p>
        </w:tc>
      </w:tr>
      <w:tr w:rsidR="00EB406A" w:rsidRPr="00635A55" w:rsidDel="00C434CE" w14:paraId="0E90C930" w14:textId="77777777" w:rsidTr="0256B56D">
        <w:trPr>
          <w:cantSplit/>
        </w:trPr>
        <w:tc>
          <w:tcPr>
            <w:tcW w:w="1165" w:type="dxa"/>
            <w:tcMar>
              <w:top w:w="43" w:type="dxa"/>
              <w:left w:w="115" w:type="dxa"/>
              <w:bottom w:w="43" w:type="dxa"/>
              <w:right w:w="115" w:type="dxa"/>
            </w:tcMar>
            <w:vAlign w:val="center"/>
          </w:tcPr>
          <w:p w14:paraId="5BEA3ED1" w14:textId="10B903BD" w:rsidR="00EB406A" w:rsidRPr="00635A55" w:rsidRDefault="00EB406A" w:rsidP="00635A55">
            <w:pPr>
              <w:spacing w:before="120" w:after="120"/>
              <w:contextualSpacing/>
              <w:jc w:val="center"/>
            </w:pPr>
            <w:r w:rsidRPr="00635A55">
              <w:t>7/21</w:t>
            </w:r>
          </w:p>
        </w:tc>
        <w:tc>
          <w:tcPr>
            <w:tcW w:w="1530" w:type="dxa"/>
            <w:tcMar>
              <w:top w:w="43" w:type="dxa"/>
              <w:left w:w="115" w:type="dxa"/>
              <w:bottom w:w="43" w:type="dxa"/>
              <w:right w:w="115" w:type="dxa"/>
            </w:tcMar>
            <w:vAlign w:val="center"/>
          </w:tcPr>
          <w:p w14:paraId="4478D116" w14:textId="24D11532"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69FA07D1" w14:textId="590C8290" w:rsidR="00EB406A" w:rsidRPr="007814D0" w:rsidRDefault="64A4F7E6" w:rsidP="00635A55">
            <w:pPr>
              <w:tabs>
                <w:tab w:val="decimal" w:pos="785"/>
              </w:tabs>
              <w:spacing w:before="120" w:after="120"/>
              <w:contextualSpacing/>
            </w:pPr>
            <w:r>
              <w:t>179</w:t>
            </w:r>
          </w:p>
        </w:tc>
        <w:tc>
          <w:tcPr>
            <w:tcW w:w="5456" w:type="dxa"/>
            <w:tcMar>
              <w:top w:w="43" w:type="dxa"/>
              <w:left w:w="115" w:type="dxa"/>
              <w:bottom w:w="43" w:type="dxa"/>
              <w:right w:w="115" w:type="dxa"/>
            </w:tcMar>
          </w:tcPr>
          <w:p w14:paraId="55D613DE" w14:textId="77777777" w:rsidR="00935A10" w:rsidRPr="00635A55" w:rsidRDefault="00935A10" w:rsidP="00935A10">
            <w:pPr>
              <w:pStyle w:val="Heading3"/>
              <w:spacing w:before="120"/>
              <w:contextualSpacing/>
              <w:textAlignment w:val="baseline"/>
              <w:outlineLvl w:val="2"/>
              <w:rPr>
                <w:rFonts w:cs="Arial"/>
                <w:b w:val="0"/>
              </w:rPr>
            </w:pPr>
            <w:r w:rsidRPr="00635A55">
              <w:rPr>
                <w:rFonts w:cs="Arial"/>
                <w:b w:val="0"/>
              </w:rPr>
              <w:t>Introduction to CERS for Coordinators and Administrators</w:t>
            </w:r>
          </w:p>
          <w:p w14:paraId="10C51EF7" w14:textId="3289BA94" w:rsidR="00935A10" w:rsidRPr="00635A55" w:rsidRDefault="00935A10" w:rsidP="00935A10">
            <w:pPr>
              <w:spacing w:before="120" w:after="120"/>
              <w:textAlignment w:val="baseline"/>
              <w:rPr>
                <w:color w:val="151515"/>
              </w:rPr>
            </w:pPr>
            <w:r w:rsidRPr="00635A55">
              <w:rPr>
                <w:color w:val="151515"/>
              </w:rPr>
              <w:t>This three-hour online training support</w:t>
            </w:r>
            <w:r>
              <w:rPr>
                <w:color w:val="151515"/>
              </w:rPr>
              <w:t>ed</w:t>
            </w:r>
            <w:r w:rsidRPr="00635A55">
              <w:rPr>
                <w:color w:val="151515"/>
              </w:rPr>
              <w:t xml:space="preserve"> the implementation of CERS</w:t>
            </w:r>
            <w:r>
              <w:rPr>
                <w:color w:val="151515"/>
              </w:rPr>
              <w:t>.</w:t>
            </w:r>
            <w:r w:rsidRPr="00635A55">
              <w:rPr>
                <w:color w:val="151515"/>
              </w:rPr>
              <w:t xml:space="preserve"> Topics include</w:t>
            </w:r>
            <w:r>
              <w:rPr>
                <w:color w:val="151515"/>
              </w:rPr>
              <w:t>d</w:t>
            </w:r>
            <w:r w:rsidRPr="00635A55">
              <w:rPr>
                <w:color w:val="151515"/>
              </w:rPr>
              <w:t>:</w:t>
            </w:r>
          </w:p>
          <w:p w14:paraId="7541B21C" w14:textId="77777777" w:rsidR="00935A10" w:rsidRPr="00635A55" w:rsidRDefault="00935A10" w:rsidP="003D13D5">
            <w:pPr>
              <w:numPr>
                <w:ilvl w:val="0"/>
                <w:numId w:val="40"/>
              </w:numPr>
              <w:spacing w:before="120" w:after="120"/>
              <w:ind w:left="600" w:hanging="270"/>
              <w:textAlignment w:val="baseline"/>
              <w:rPr>
                <w:color w:val="151515"/>
              </w:rPr>
            </w:pPr>
            <w:r w:rsidRPr="00635A55">
              <w:rPr>
                <w:color w:val="151515"/>
              </w:rPr>
              <w:t>Overview of CERS features for viewing assessment results</w:t>
            </w:r>
          </w:p>
          <w:p w14:paraId="745AC7D7" w14:textId="77777777" w:rsidR="00935A10" w:rsidRPr="00635A55" w:rsidRDefault="00935A10" w:rsidP="003D13D5">
            <w:pPr>
              <w:numPr>
                <w:ilvl w:val="0"/>
                <w:numId w:val="40"/>
              </w:numPr>
              <w:spacing w:before="120" w:after="120"/>
              <w:ind w:left="600" w:hanging="270"/>
              <w:textAlignment w:val="baseline"/>
              <w:rPr>
                <w:color w:val="151515"/>
              </w:rPr>
            </w:pPr>
            <w:r w:rsidRPr="00635A55">
              <w:rPr>
                <w:color w:val="151515"/>
              </w:rPr>
              <w:t>Accessing individual and group results from CAASPP and ELPAC summative assessment results</w:t>
            </w:r>
          </w:p>
          <w:p w14:paraId="59B1840E" w14:textId="77777777" w:rsidR="00935A10" w:rsidRPr="00635A55" w:rsidRDefault="00935A10" w:rsidP="003D13D5">
            <w:pPr>
              <w:numPr>
                <w:ilvl w:val="0"/>
                <w:numId w:val="40"/>
              </w:numPr>
              <w:spacing w:before="120" w:after="120"/>
              <w:ind w:left="600" w:hanging="270"/>
              <w:textAlignment w:val="baseline"/>
              <w:rPr>
                <w:color w:val="151515"/>
              </w:rPr>
            </w:pPr>
            <w:r w:rsidRPr="00635A55">
              <w:rPr>
                <w:color w:val="151515"/>
              </w:rPr>
              <w:t>Options for viewing Smarter Balanced Interim Assessment Results</w:t>
            </w:r>
          </w:p>
          <w:p w14:paraId="0A23FE28" w14:textId="77777777" w:rsidR="00935A10" w:rsidRPr="00635A55" w:rsidRDefault="00935A10" w:rsidP="003D13D5">
            <w:pPr>
              <w:numPr>
                <w:ilvl w:val="0"/>
                <w:numId w:val="40"/>
              </w:numPr>
              <w:spacing w:before="120" w:after="120"/>
              <w:ind w:left="600" w:hanging="270"/>
              <w:textAlignment w:val="baseline"/>
              <w:rPr>
                <w:color w:val="151515"/>
              </w:rPr>
            </w:pPr>
            <w:r w:rsidRPr="00635A55">
              <w:rPr>
                <w:color w:val="151515"/>
              </w:rPr>
              <w:t xml:space="preserve">How to Manage CERS </w:t>
            </w:r>
            <w:r>
              <w:rPr>
                <w:color w:val="151515"/>
              </w:rPr>
              <w:t>u</w:t>
            </w:r>
            <w:r w:rsidRPr="00635A55">
              <w:rPr>
                <w:color w:val="151515"/>
              </w:rPr>
              <w:t>sers</w:t>
            </w:r>
          </w:p>
          <w:p w14:paraId="21D9FBAE" w14:textId="77777777" w:rsidR="00935A10" w:rsidRPr="00635A55" w:rsidRDefault="00935A10" w:rsidP="003D13D5">
            <w:pPr>
              <w:numPr>
                <w:ilvl w:val="0"/>
                <w:numId w:val="40"/>
              </w:numPr>
              <w:spacing w:before="120" w:after="120"/>
              <w:ind w:left="600" w:hanging="270"/>
              <w:textAlignment w:val="baseline"/>
              <w:rPr>
                <w:color w:val="151515"/>
              </w:rPr>
            </w:pPr>
            <w:r>
              <w:rPr>
                <w:color w:val="151515"/>
              </w:rPr>
              <w:t>A</w:t>
            </w:r>
            <w:r w:rsidRPr="00635A55">
              <w:rPr>
                <w:color w:val="151515"/>
              </w:rPr>
              <w:t xml:space="preserve">vailable </w:t>
            </w:r>
            <w:r>
              <w:rPr>
                <w:color w:val="151515"/>
              </w:rPr>
              <w:t>r</w:t>
            </w:r>
            <w:r w:rsidRPr="00635A55">
              <w:rPr>
                <w:color w:val="151515"/>
              </w:rPr>
              <w:t>esources to support staff</w:t>
            </w:r>
          </w:p>
          <w:p w14:paraId="380ABA10" w14:textId="16167C78" w:rsidR="00EB406A" w:rsidRPr="00635A55" w:rsidRDefault="00935A10" w:rsidP="00D526EE">
            <w:pPr>
              <w:pStyle w:val="ListParagraph"/>
              <w:numPr>
                <w:ilvl w:val="0"/>
                <w:numId w:val="41"/>
              </w:numPr>
              <w:spacing w:before="120" w:after="120"/>
              <w:ind w:left="601" w:hanging="241"/>
              <w:rPr>
                <w:color w:val="151515"/>
              </w:rPr>
            </w:pPr>
            <w:r w:rsidRPr="00635A55">
              <w:rPr>
                <w:color w:val="151515"/>
              </w:rPr>
              <w:t xml:space="preserve">Assigning </w:t>
            </w:r>
            <w:r w:rsidR="65E3CE7C" w:rsidRPr="65086BFA">
              <w:rPr>
                <w:color w:val="151515"/>
              </w:rPr>
              <w:t xml:space="preserve">students to </w:t>
            </w:r>
            <w:r w:rsidRPr="00635A55">
              <w:rPr>
                <w:color w:val="151515"/>
              </w:rPr>
              <w:t>teachers</w:t>
            </w:r>
          </w:p>
        </w:tc>
      </w:tr>
      <w:tr w:rsidR="00EB406A" w:rsidRPr="00635A55" w:rsidDel="00C434CE" w14:paraId="4379B59B" w14:textId="77777777" w:rsidTr="0256B56D">
        <w:trPr>
          <w:cantSplit/>
        </w:trPr>
        <w:tc>
          <w:tcPr>
            <w:tcW w:w="1165" w:type="dxa"/>
            <w:tcMar>
              <w:top w:w="43" w:type="dxa"/>
              <w:left w:w="115" w:type="dxa"/>
              <w:bottom w:w="43" w:type="dxa"/>
              <w:right w:w="115" w:type="dxa"/>
            </w:tcMar>
            <w:vAlign w:val="center"/>
          </w:tcPr>
          <w:p w14:paraId="4159F50C" w14:textId="5E44AC72" w:rsidR="00EB406A" w:rsidRPr="00635A55" w:rsidRDefault="00EB406A" w:rsidP="00635A55">
            <w:pPr>
              <w:spacing w:before="120" w:after="120"/>
              <w:contextualSpacing/>
              <w:jc w:val="center"/>
            </w:pPr>
            <w:r w:rsidRPr="00635A55">
              <w:lastRenderedPageBreak/>
              <w:t>7/21</w:t>
            </w:r>
          </w:p>
        </w:tc>
        <w:tc>
          <w:tcPr>
            <w:tcW w:w="1530" w:type="dxa"/>
            <w:tcMar>
              <w:top w:w="43" w:type="dxa"/>
              <w:left w:w="115" w:type="dxa"/>
              <w:bottom w:w="43" w:type="dxa"/>
              <w:right w:w="115" w:type="dxa"/>
            </w:tcMar>
            <w:vAlign w:val="center"/>
          </w:tcPr>
          <w:p w14:paraId="331AB24A" w14:textId="0B987C6A"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22368E10" w14:textId="0A4F97C8" w:rsidR="00EB406A" w:rsidRPr="007814D0" w:rsidRDefault="00970852" w:rsidP="00635A55">
            <w:pPr>
              <w:tabs>
                <w:tab w:val="decimal" w:pos="785"/>
              </w:tabs>
              <w:spacing w:before="120" w:after="120"/>
              <w:contextualSpacing/>
            </w:pPr>
            <w:r w:rsidRPr="007814D0">
              <w:t>202</w:t>
            </w:r>
          </w:p>
        </w:tc>
        <w:tc>
          <w:tcPr>
            <w:tcW w:w="5456" w:type="dxa"/>
            <w:tcMar>
              <w:top w:w="43" w:type="dxa"/>
              <w:left w:w="115" w:type="dxa"/>
              <w:bottom w:w="43" w:type="dxa"/>
              <w:right w:w="115" w:type="dxa"/>
            </w:tcMar>
          </w:tcPr>
          <w:p w14:paraId="73E9B0AB" w14:textId="77777777" w:rsidR="00EB406A" w:rsidRPr="00635A55" w:rsidRDefault="00EB406A" w:rsidP="00635A55">
            <w:pPr>
              <w:pStyle w:val="Heading3"/>
              <w:spacing w:before="120"/>
              <w:ind w:left="495" w:hanging="495"/>
              <w:contextualSpacing/>
              <w:textAlignment w:val="baseline"/>
              <w:outlineLvl w:val="2"/>
              <w:rPr>
                <w:rFonts w:cs="Arial"/>
                <w:b w:val="0"/>
              </w:rPr>
            </w:pPr>
            <w:r w:rsidRPr="00635A55">
              <w:rPr>
                <w:rFonts w:cs="Arial"/>
                <w:b w:val="0"/>
              </w:rPr>
              <w:t>New Coordinator Webinar #1</w:t>
            </w:r>
          </w:p>
          <w:p w14:paraId="672B78DE" w14:textId="77777777" w:rsidR="00EB406A" w:rsidRPr="00635A55" w:rsidRDefault="00EB406A" w:rsidP="00635A55">
            <w:pPr>
              <w:spacing w:before="120" w:after="120"/>
              <w:textAlignment w:val="baseline"/>
              <w:rPr>
                <w:color w:val="151515"/>
              </w:rPr>
            </w:pPr>
            <w:r w:rsidRPr="00635A55">
              <w:rPr>
                <w:color w:val="151515"/>
              </w:rPr>
              <w:t>This webinar, hosted by the Sacramento County Office of Education, provides information about the following:</w:t>
            </w:r>
          </w:p>
          <w:p w14:paraId="09C8DA75" w14:textId="77777777" w:rsidR="00EB406A" w:rsidRPr="00635A55" w:rsidRDefault="00EB406A" w:rsidP="00635A55">
            <w:pPr>
              <w:numPr>
                <w:ilvl w:val="0"/>
                <w:numId w:val="23"/>
              </w:numPr>
              <w:spacing w:before="120" w:after="120"/>
              <w:textAlignment w:val="baseline"/>
              <w:rPr>
                <w:color w:val="151515"/>
              </w:rPr>
            </w:pPr>
            <w:r w:rsidRPr="00635A55">
              <w:rPr>
                <w:color w:val="151515"/>
              </w:rPr>
              <w:t>A review of upcoming coordinator checklist tasks.</w:t>
            </w:r>
          </w:p>
          <w:p w14:paraId="7F1D69EE" w14:textId="77777777" w:rsidR="00B050AA" w:rsidRPr="00635A55" w:rsidRDefault="00EB406A" w:rsidP="00635A55">
            <w:pPr>
              <w:numPr>
                <w:ilvl w:val="0"/>
                <w:numId w:val="23"/>
              </w:numPr>
              <w:spacing w:before="120" w:after="120"/>
              <w:textAlignment w:val="baseline"/>
              <w:rPr>
                <w:color w:val="151515"/>
              </w:rPr>
            </w:pPr>
            <w:r w:rsidRPr="00635A55">
              <w:rPr>
                <w:color w:val="151515"/>
              </w:rPr>
              <w:t>A deep dive into assessment results and the coordinator role in sharing those results.</w:t>
            </w:r>
          </w:p>
          <w:p w14:paraId="21F4B2BD" w14:textId="6F3C8093" w:rsidR="00EB406A" w:rsidRPr="00635A55" w:rsidRDefault="00EB406A" w:rsidP="00635A55">
            <w:pPr>
              <w:numPr>
                <w:ilvl w:val="0"/>
                <w:numId w:val="23"/>
              </w:numPr>
              <w:spacing w:before="120" w:after="120"/>
              <w:textAlignment w:val="baseline"/>
              <w:rPr>
                <w:color w:val="151515"/>
              </w:rPr>
            </w:pPr>
            <w:r w:rsidRPr="00635A55">
              <w:rPr>
                <w:color w:val="151515"/>
              </w:rPr>
              <w:t>Question and Answer session with experienced coordinators.</w:t>
            </w:r>
          </w:p>
        </w:tc>
      </w:tr>
      <w:tr w:rsidR="008F199D" w:rsidRPr="00635A55" w:rsidDel="00C434CE" w14:paraId="2D0DFC5C" w14:textId="77777777" w:rsidTr="0256B56D">
        <w:trPr>
          <w:cantSplit/>
        </w:trPr>
        <w:tc>
          <w:tcPr>
            <w:tcW w:w="1165" w:type="dxa"/>
            <w:tcMar>
              <w:top w:w="43" w:type="dxa"/>
              <w:left w:w="115" w:type="dxa"/>
              <w:bottom w:w="43" w:type="dxa"/>
              <w:right w:w="115" w:type="dxa"/>
            </w:tcMar>
            <w:vAlign w:val="center"/>
          </w:tcPr>
          <w:p w14:paraId="645083E9" w14:textId="1B42E946" w:rsidR="008F199D" w:rsidRPr="00635A55" w:rsidRDefault="008F199D" w:rsidP="00635A55">
            <w:pPr>
              <w:spacing w:before="120" w:after="120"/>
              <w:contextualSpacing/>
              <w:jc w:val="center"/>
            </w:pPr>
            <w:r w:rsidRPr="00635A55">
              <w:t>7/25</w:t>
            </w:r>
          </w:p>
        </w:tc>
        <w:tc>
          <w:tcPr>
            <w:tcW w:w="1530" w:type="dxa"/>
            <w:tcMar>
              <w:top w:w="43" w:type="dxa"/>
              <w:left w:w="115" w:type="dxa"/>
              <w:bottom w:w="43" w:type="dxa"/>
              <w:right w:w="115" w:type="dxa"/>
            </w:tcMar>
            <w:vAlign w:val="center"/>
          </w:tcPr>
          <w:p w14:paraId="7FE17BD9" w14:textId="2DD60773" w:rsidR="008F199D" w:rsidRPr="00635A55" w:rsidRDefault="008F199D"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8593DDB" w14:textId="00A3FDCB" w:rsidR="008F199D" w:rsidRPr="007814D0" w:rsidRDefault="00917C58" w:rsidP="00635A55">
            <w:pPr>
              <w:tabs>
                <w:tab w:val="decimal" w:pos="785"/>
              </w:tabs>
              <w:spacing w:before="120" w:after="120"/>
              <w:contextualSpacing/>
            </w:pPr>
            <w:r w:rsidRPr="007814D0">
              <w:t>167</w:t>
            </w:r>
          </w:p>
        </w:tc>
        <w:tc>
          <w:tcPr>
            <w:tcW w:w="5456" w:type="dxa"/>
            <w:tcMar>
              <w:top w:w="43" w:type="dxa"/>
              <w:left w:w="115" w:type="dxa"/>
              <w:bottom w:w="43" w:type="dxa"/>
              <w:right w:w="115" w:type="dxa"/>
            </w:tcMar>
          </w:tcPr>
          <w:p w14:paraId="20F45249" w14:textId="22B3A6AB" w:rsidR="008F199D" w:rsidRPr="00635A55" w:rsidRDefault="008F199D" w:rsidP="007443F4">
            <w:pPr>
              <w:pStyle w:val="Heading4"/>
              <w:shd w:val="clear" w:color="auto" w:fill="FFFFFF"/>
              <w:spacing w:before="120"/>
              <w:contextualSpacing/>
              <w:outlineLvl w:val="3"/>
              <w:rPr>
                <w:rFonts w:cs="Arial"/>
                <w:i w:val="0"/>
              </w:rPr>
            </w:pPr>
            <w:r w:rsidRPr="00635A55">
              <w:rPr>
                <w:rFonts w:cs="Arial"/>
                <w:i w:val="0"/>
              </w:rPr>
              <w:t>Interim and Formative Assessment Training Series</w:t>
            </w:r>
            <w:r w:rsidR="00F77172" w:rsidRPr="00635A55">
              <w:rPr>
                <w:rFonts w:cs="Arial"/>
                <w:bCs/>
                <w:i w:val="0"/>
              </w:rPr>
              <w:t>—</w:t>
            </w:r>
            <w:r w:rsidRPr="00635A55">
              <w:rPr>
                <w:rFonts w:cs="Arial"/>
                <w:i w:val="0"/>
              </w:rPr>
              <w:t>Module 3A: Interim Assessment Hand Scoring for ELA</w:t>
            </w:r>
          </w:p>
          <w:p w14:paraId="62A69E26" w14:textId="494D3433" w:rsidR="008F199D" w:rsidRPr="00635A55" w:rsidRDefault="007443F4" w:rsidP="00635A55">
            <w:pPr>
              <w:pStyle w:val="Heading3"/>
              <w:spacing w:before="120"/>
              <w:contextualSpacing/>
              <w:textAlignment w:val="baseline"/>
              <w:outlineLvl w:val="2"/>
              <w:rPr>
                <w:rFonts w:cs="Arial"/>
                <w:b w:val="0"/>
              </w:rPr>
            </w:pPr>
            <w:r>
              <w:rPr>
                <w:rFonts w:cs="Arial"/>
                <w:b w:val="0"/>
              </w:rPr>
              <w:t>Module 3A provided i</w:t>
            </w:r>
            <w:r w:rsidR="008F199D" w:rsidRPr="00635A55">
              <w:rPr>
                <w:rFonts w:cs="Arial"/>
                <w:b w:val="0"/>
              </w:rPr>
              <w:t>n-depth instruction and practice in hand scoring for Smarter Balanced ELA or Smarter Balanced mathematics performance tasks and constructed-response items, including reflection on implications for teaching and learning</w:t>
            </w:r>
            <w:r w:rsidR="00F77172" w:rsidRPr="00635A55">
              <w:rPr>
                <w:rFonts w:cs="Arial"/>
                <w:b w:val="0"/>
                <w:bCs/>
                <w:iCs/>
              </w:rPr>
              <w:t>.</w:t>
            </w:r>
          </w:p>
        </w:tc>
      </w:tr>
      <w:tr w:rsidR="030E54D5" w:rsidRPr="00635A55" w14:paraId="61F0B0EB" w14:textId="77777777" w:rsidTr="0256B56D">
        <w:trPr>
          <w:cantSplit/>
        </w:trPr>
        <w:tc>
          <w:tcPr>
            <w:tcW w:w="1165" w:type="dxa"/>
            <w:tcMar>
              <w:top w:w="43" w:type="dxa"/>
              <w:left w:w="115" w:type="dxa"/>
              <w:bottom w:w="43" w:type="dxa"/>
              <w:right w:w="115" w:type="dxa"/>
            </w:tcMar>
            <w:vAlign w:val="center"/>
          </w:tcPr>
          <w:p w14:paraId="51E50B48" w14:textId="2FB71AC4" w:rsidR="030E54D5" w:rsidRPr="00635A55" w:rsidRDefault="00DE24C9" w:rsidP="00635A55">
            <w:pPr>
              <w:spacing w:before="120" w:after="120"/>
              <w:contextualSpacing/>
            </w:pPr>
            <w:r w:rsidRPr="00635A55">
              <w:t>7/26–29</w:t>
            </w:r>
          </w:p>
        </w:tc>
        <w:tc>
          <w:tcPr>
            <w:tcW w:w="1530" w:type="dxa"/>
            <w:tcMar>
              <w:top w:w="43" w:type="dxa"/>
              <w:left w:w="115" w:type="dxa"/>
              <w:bottom w:w="43" w:type="dxa"/>
              <w:right w:w="115" w:type="dxa"/>
            </w:tcMar>
            <w:vAlign w:val="center"/>
          </w:tcPr>
          <w:p w14:paraId="27CC3FB9" w14:textId="14BA3F8F" w:rsidR="030E54D5" w:rsidRPr="00635A55" w:rsidRDefault="030E54D5" w:rsidP="00635A55">
            <w:pPr>
              <w:spacing w:before="120" w:after="120"/>
              <w:contextualSpacing/>
            </w:pPr>
            <w:r w:rsidRPr="00635A55">
              <w:t>Folsom</w:t>
            </w:r>
          </w:p>
        </w:tc>
        <w:tc>
          <w:tcPr>
            <w:tcW w:w="1440" w:type="dxa"/>
            <w:tcMar>
              <w:top w:w="43" w:type="dxa"/>
              <w:left w:w="115" w:type="dxa"/>
              <w:bottom w:w="43" w:type="dxa"/>
              <w:right w:w="115" w:type="dxa"/>
            </w:tcMar>
            <w:vAlign w:val="center"/>
          </w:tcPr>
          <w:p w14:paraId="1F52F24A" w14:textId="24B37D48" w:rsidR="030E54D5" w:rsidRPr="007814D0" w:rsidRDefault="030E54D5" w:rsidP="00635A55">
            <w:pPr>
              <w:tabs>
                <w:tab w:val="decimal" w:pos="785"/>
              </w:tabs>
              <w:spacing w:before="120" w:after="120"/>
              <w:contextualSpacing/>
            </w:pPr>
            <w:r w:rsidRPr="007814D0">
              <w:t>19</w:t>
            </w:r>
          </w:p>
        </w:tc>
        <w:tc>
          <w:tcPr>
            <w:tcW w:w="5456" w:type="dxa"/>
            <w:tcMar>
              <w:top w:w="43" w:type="dxa"/>
              <w:left w:w="115" w:type="dxa"/>
              <w:bottom w:w="43" w:type="dxa"/>
              <w:right w:w="115" w:type="dxa"/>
            </w:tcMar>
            <w:vAlign w:val="center"/>
          </w:tcPr>
          <w:p w14:paraId="3C10E82F" w14:textId="7C54C44B" w:rsidR="00DE24C9" w:rsidRDefault="00DE24C9" w:rsidP="00040C39">
            <w:pPr>
              <w:spacing w:before="120" w:after="120"/>
            </w:pPr>
            <w:r w:rsidRPr="00635A55">
              <w:t>2022 Science Instructional Resource Development Workshop</w:t>
            </w:r>
          </w:p>
          <w:p w14:paraId="07198A84" w14:textId="2EF47E43" w:rsidR="030E54D5" w:rsidRPr="00635A55" w:rsidRDefault="007443F4" w:rsidP="00635A55">
            <w:pPr>
              <w:spacing w:before="120" w:after="120"/>
            </w:pPr>
            <w:r>
              <w:t>This was a</w:t>
            </w:r>
            <w:r w:rsidR="00B07FC9" w:rsidRPr="00635A55">
              <w:t xml:space="preserve"> </w:t>
            </w:r>
            <w:r w:rsidR="5444AF1C" w:rsidRPr="00635A55">
              <w:t xml:space="preserve">hybrid workshop </w:t>
            </w:r>
            <w:r>
              <w:t xml:space="preserve">that </w:t>
            </w:r>
            <w:r w:rsidR="5444AF1C" w:rsidRPr="00635A55">
              <w:t>includ</w:t>
            </w:r>
            <w:r>
              <w:t>ed</w:t>
            </w:r>
            <w:r w:rsidR="5444AF1C" w:rsidRPr="00635A55">
              <w:t xml:space="preserve"> asynchronous training and three days</w:t>
            </w:r>
            <w:r>
              <w:t xml:space="preserve"> of</w:t>
            </w:r>
            <w:r w:rsidR="5444AF1C" w:rsidRPr="00635A55">
              <w:t xml:space="preserve"> in-person</w:t>
            </w:r>
            <w:r w:rsidR="00B07FC9" w:rsidRPr="00635A55">
              <w:t xml:space="preserve"> </w:t>
            </w:r>
            <w:r>
              <w:t>training.</w:t>
            </w:r>
            <w:r w:rsidR="009B5559" w:rsidRPr="00635A55">
              <w:t xml:space="preserve"> </w:t>
            </w:r>
            <w:r w:rsidR="009A6798" w:rsidRPr="00635A55">
              <w:t>California</w:t>
            </w:r>
            <w:r w:rsidR="009B5559" w:rsidRPr="00635A55">
              <w:t xml:space="preserve"> science educators</w:t>
            </w:r>
            <w:r w:rsidR="00F7296C" w:rsidRPr="00635A55">
              <w:t xml:space="preserve"> work</w:t>
            </w:r>
            <w:r w:rsidR="004A7A2A" w:rsidRPr="00635A55">
              <w:t>ed</w:t>
            </w:r>
            <w:r w:rsidR="00F7296C" w:rsidRPr="00635A55">
              <w:t xml:space="preserve"> to develop</w:t>
            </w:r>
            <w:r w:rsidR="00661AE8" w:rsidRPr="00635A55">
              <w:t xml:space="preserve"> </w:t>
            </w:r>
            <w:r w:rsidR="004A7A2A" w:rsidRPr="00635A55">
              <w:t xml:space="preserve">14 additional </w:t>
            </w:r>
            <w:r w:rsidR="00661AE8" w:rsidRPr="00635A55">
              <w:t>science instructional resources for the Tools for Teachers website</w:t>
            </w:r>
            <w:r w:rsidR="009A6798" w:rsidRPr="00635A55">
              <w:t>.</w:t>
            </w:r>
          </w:p>
        </w:tc>
      </w:tr>
      <w:tr w:rsidR="00326145" w:rsidRPr="00635A55" w:rsidDel="00C434CE" w14:paraId="01CAEB83" w14:textId="77777777" w:rsidTr="0256B56D">
        <w:trPr>
          <w:cantSplit/>
        </w:trPr>
        <w:tc>
          <w:tcPr>
            <w:tcW w:w="1165" w:type="dxa"/>
            <w:tcMar>
              <w:top w:w="43" w:type="dxa"/>
              <w:left w:w="115" w:type="dxa"/>
              <w:bottom w:w="43" w:type="dxa"/>
              <w:right w:w="115" w:type="dxa"/>
            </w:tcMar>
            <w:vAlign w:val="center"/>
          </w:tcPr>
          <w:p w14:paraId="2A5D2ED2" w14:textId="3970A4EB" w:rsidR="00326145" w:rsidRPr="00635A55" w:rsidRDefault="00326145" w:rsidP="00635A55">
            <w:pPr>
              <w:spacing w:before="120" w:after="120"/>
              <w:contextualSpacing/>
              <w:jc w:val="center"/>
            </w:pPr>
            <w:r w:rsidRPr="00635A55">
              <w:lastRenderedPageBreak/>
              <w:t>7/27</w:t>
            </w:r>
          </w:p>
        </w:tc>
        <w:tc>
          <w:tcPr>
            <w:tcW w:w="1530" w:type="dxa"/>
            <w:tcMar>
              <w:top w:w="43" w:type="dxa"/>
              <w:left w:w="115" w:type="dxa"/>
              <w:bottom w:w="43" w:type="dxa"/>
              <w:right w:w="115" w:type="dxa"/>
            </w:tcMar>
            <w:vAlign w:val="center"/>
          </w:tcPr>
          <w:p w14:paraId="53DA07D4" w14:textId="3FBCA14B" w:rsidR="00326145" w:rsidRPr="00635A55" w:rsidRDefault="00326145"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6E6B2C2D" w14:textId="23958088" w:rsidR="00326145" w:rsidRPr="007814D0" w:rsidRDefault="00326145" w:rsidP="00635A55">
            <w:pPr>
              <w:tabs>
                <w:tab w:val="decimal" w:pos="785"/>
              </w:tabs>
              <w:spacing w:before="120" w:after="120"/>
              <w:contextualSpacing/>
            </w:pPr>
            <w:r w:rsidRPr="007814D0">
              <w:t>144</w:t>
            </w:r>
          </w:p>
        </w:tc>
        <w:tc>
          <w:tcPr>
            <w:tcW w:w="5456" w:type="dxa"/>
            <w:tcMar>
              <w:top w:w="43" w:type="dxa"/>
              <w:left w:w="115" w:type="dxa"/>
              <w:bottom w:w="43" w:type="dxa"/>
              <w:right w:w="115" w:type="dxa"/>
            </w:tcMar>
          </w:tcPr>
          <w:p w14:paraId="70913FEC" w14:textId="31D85E8C" w:rsidR="00326145" w:rsidRPr="00635A55" w:rsidRDefault="00326145" w:rsidP="00635A55">
            <w:pPr>
              <w:pStyle w:val="Heading4"/>
              <w:shd w:val="clear" w:color="auto" w:fill="FFFFFF"/>
              <w:spacing w:before="120"/>
              <w:outlineLvl w:val="3"/>
              <w:rPr>
                <w:rFonts w:cs="Arial"/>
                <w:i w:val="0"/>
              </w:rPr>
            </w:pPr>
            <w:r w:rsidRPr="00635A55">
              <w:rPr>
                <w:rFonts w:cs="Arial"/>
                <w:i w:val="0"/>
              </w:rPr>
              <w:t>Interim and Formative Assessment Training Series</w:t>
            </w:r>
            <w:r w:rsidR="00A8438E">
              <w:rPr>
                <w:rFonts w:cs="Arial"/>
                <w:i w:val="0"/>
              </w:rPr>
              <w:t>—</w:t>
            </w:r>
            <w:r w:rsidRPr="00635A55">
              <w:rPr>
                <w:rFonts w:cs="Arial"/>
                <w:i w:val="0"/>
              </w:rPr>
              <w:t>Module 3B: Interim Assessment Hand Scoring for Mathematics</w:t>
            </w:r>
          </w:p>
          <w:p w14:paraId="208AA439" w14:textId="2F869D19" w:rsidR="00326145" w:rsidRPr="00635A55" w:rsidRDefault="00A8438E" w:rsidP="00635A55">
            <w:pPr>
              <w:pStyle w:val="Heading4"/>
              <w:shd w:val="clear" w:color="auto" w:fill="FFFFFF"/>
              <w:spacing w:before="120"/>
              <w:contextualSpacing/>
              <w:outlineLvl w:val="3"/>
              <w:rPr>
                <w:rFonts w:cs="Arial"/>
                <w:i w:val="0"/>
              </w:rPr>
            </w:pPr>
            <w:r>
              <w:rPr>
                <w:rFonts w:cs="Arial"/>
                <w:i w:val="0"/>
              </w:rPr>
              <w:t>Module 3B provided i</w:t>
            </w:r>
            <w:r w:rsidR="00326145" w:rsidRPr="00635A55">
              <w:rPr>
                <w:rFonts w:cs="Arial"/>
                <w:i w:val="0"/>
              </w:rPr>
              <w:t>n-depth instruction and practice in hand scoring for Smarter Balanced ELA or Smarter Balanced mathematics performance tasks and constructed-response items, including reflection on implications for teaching and learning</w:t>
            </w:r>
            <w:r w:rsidR="00154C49" w:rsidRPr="00635A55">
              <w:rPr>
                <w:rFonts w:cs="Arial"/>
                <w:bCs/>
                <w:i w:val="0"/>
              </w:rPr>
              <w:t>.</w:t>
            </w:r>
          </w:p>
        </w:tc>
      </w:tr>
      <w:tr w:rsidR="00EB406A" w:rsidRPr="00635A55" w:rsidDel="00C434CE" w14:paraId="661504DD" w14:textId="77777777" w:rsidTr="0256B56D">
        <w:trPr>
          <w:cantSplit/>
        </w:trPr>
        <w:tc>
          <w:tcPr>
            <w:tcW w:w="1165" w:type="dxa"/>
            <w:tcMar>
              <w:top w:w="43" w:type="dxa"/>
              <w:left w:w="115" w:type="dxa"/>
              <w:bottom w:w="43" w:type="dxa"/>
              <w:right w:w="115" w:type="dxa"/>
            </w:tcMar>
            <w:vAlign w:val="center"/>
          </w:tcPr>
          <w:p w14:paraId="368BE48A" w14:textId="49C7D572" w:rsidR="00EB406A" w:rsidRPr="00635A55" w:rsidRDefault="00EB406A" w:rsidP="00635A55">
            <w:pPr>
              <w:spacing w:before="120" w:after="120"/>
              <w:contextualSpacing/>
              <w:jc w:val="center"/>
            </w:pPr>
            <w:r w:rsidRPr="00635A55">
              <w:t>8/3</w:t>
            </w:r>
          </w:p>
        </w:tc>
        <w:tc>
          <w:tcPr>
            <w:tcW w:w="1530" w:type="dxa"/>
            <w:tcMar>
              <w:top w:w="43" w:type="dxa"/>
              <w:left w:w="115" w:type="dxa"/>
              <w:bottom w:w="43" w:type="dxa"/>
              <w:right w:w="115" w:type="dxa"/>
            </w:tcMar>
            <w:vAlign w:val="center"/>
          </w:tcPr>
          <w:p w14:paraId="2FCB4652" w14:textId="125446BE"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24557682" w14:textId="7ED98289" w:rsidR="00EB406A" w:rsidRPr="007814D0" w:rsidRDefault="0256B56D" w:rsidP="00635A55">
            <w:pPr>
              <w:tabs>
                <w:tab w:val="decimal" w:pos="785"/>
              </w:tabs>
              <w:spacing w:before="120" w:after="120"/>
              <w:contextualSpacing/>
            </w:pPr>
            <w:r>
              <w:t>243</w:t>
            </w:r>
          </w:p>
        </w:tc>
        <w:tc>
          <w:tcPr>
            <w:tcW w:w="5456" w:type="dxa"/>
            <w:tcMar>
              <w:top w:w="43" w:type="dxa"/>
              <w:left w:w="115" w:type="dxa"/>
              <w:bottom w:w="43" w:type="dxa"/>
              <w:right w:w="115" w:type="dxa"/>
            </w:tcMar>
          </w:tcPr>
          <w:p w14:paraId="462A8FB6" w14:textId="77777777" w:rsidR="00EB406A" w:rsidRPr="00635A55" w:rsidRDefault="00EB406A" w:rsidP="00635A55">
            <w:pPr>
              <w:pStyle w:val="Heading3"/>
              <w:spacing w:before="120"/>
              <w:contextualSpacing/>
              <w:textAlignment w:val="baseline"/>
              <w:outlineLvl w:val="2"/>
              <w:rPr>
                <w:rFonts w:cs="Arial"/>
                <w:b w:val="0"/>
              </w:rPr>
            </w:pPr>
            <w:r w:rsidRPr="00635A55">
              <w:rPr>
                <w:rFonts w:cs="Arial"/>
                <w:b w:val="0"/>
              </w:rPr>
              <w:t>Introduction to CERS for Teachers</w:t>
            </w:r>
          </w:p>
          <w:p w14:paraId="69D804CB" w14:textId="03381E3F" w:rsidR="00EB406A" w:rsidRPr="00635A55" w:rsidRDefault="00EB406A" w:rsidP="00635A55">
            <w:pPr>
              <w:spacing w:before="120" w:after="120"/>
              <w:textAlignment w:val="baseline"/>
              <w:rPr>
                <w:color w:val="151515"/>
              </w:rPr>
            </w:pPr>
            <w:r w:rsidRPr="00635A55">
              <w:rPr>
                <w:color w:val="151515"/>
              </w:rPr>
              <w:t>This two-hour online training engage</w:t>
            </w:r>
            <w:r w:rsidR="00CA1A9C">
              <w:rPr>
                <w:color w:val="151515"/>
              </w:rPr>
              <w:t>d</w:t>
            </w:r>
            <w:r w:rsidRPr="00635A55">
              <w:rPr>
                <w:color w:val="151515"/>
              </w:rPr>
              <w:t xml:space="preserve"> attendees in CERS and cover</w:t>
            </w:r>
            <w:r w:rsidR="00CA1A9C">
              <w:rPr>
                <w:color w:val="151515"/>
              </w:rPr>
              <w:t>ed</w:t>
            </w:r>
            <w:r w:rsidRPr="00635A55">
              <w:rPr>
                <w:color w:val="151515"/>
              </w:rPr>
              <w:t xml:space="preserve"> the following topics:</w:t>
            </w:r>
          </w:p>
          <w:p w14:paraId="1F3CCB1F" w14:textId="77777777" w:rsidR="00EB406A" w:rsidRPr="00635A55" w:rsidRDefault="00EB406A" w:rsidP="00635A55">
            <w:pPr>
              <w:numPr>
                <w:ilvl w:val="0"/>
                <w:numId w:val="22"/>
              </w:numPr>
              <w:spacing w:before="120" w:after="120"/>
              <w:textAlignment w:val="baseline"/>
              <w:rPr>
                <w:color w:val="151515"/>
              </w:rPr>
            </w:pPr>
            <w:r w:rsidRPr="00635A55">
              <w:rPr>
                <w:color w:val="151515"/>
              </w:rPr>
              <w:t>Overview of CERS features and assessment results</w:t>
            </w:r>
          </w:p>
          <w:p w14:paraId="7A4922E6" w14:textId="77777777" w:rsidR="00EB406A" w:rsidRPr="00635A55" w:rsidRDefault="00EB406A" w:rsidP="00635A55">
            <w:pPr>
              <w:numPr>
                <w:ilvl w:val="0"/>
                <w:numId w:val="22"/>
              </w:numPr>
              <w:spacing w:before="120" w:after="120"/>
              <w:textAlignment w:val="baseline"/>
              <w:rPr>
                <w:color w:val="151515"/>
              </w:rPr>
            </w:pPr>
            <w:r w:rsidRPr="00635A55">
              <w:rPr>
                <w:color w:val="151515"/>
              </w:rPr>
              <w:t>Accessing individual and group results from CAASPP and ELPAC summative assessment results</w:t>
            </w:r>
          </w:p>
          <w:p w14:paraId="36917EDF" w14:textId="7859FA51" w:rsidR="00EB406A" w:rsidRPr="00CA1A9C" w:rsidRDefault="00EB406A" w:rsidP="003D13D5">
            <w:pPr>
              <w:numPr>
                <w:ilvl w:val="0"/>
                <w:numId w:val="22"/>
              </w:numPr>
              <w:spacing w:before="120" w:after="120"/>
              <w:textAlignment w:val="baseline"/>
              <w:rPr>
                <w:color w:val="151515"/>
              </w:rPr>
            </w:pPr>
            <w:r w:rsidRPr="00635A55">
              <w:rPr>
                <w:color w:val="151515"/>
              </w:rPr>
              <w:t>Features of the Smarter Balanced Interim Assessment Results, including</w:t>
            </w:r>
            <w:r w:rsidR="00CA1A9C">
              <w:rPr>
                <w:color w:val="151515"/>
              </w:rPr>
              <w:t xml:space="preserve"> k</w:t>
            </w:r>
            <w:r w:rsidRPr="00CA1A9C">
              <w:rPr>
                <w:color w:val="151515"/>
              </w:rPr>
              <w:t>ey distractor analysis</w:t>
            </w:r>
            <w:r w:rsidR="00CA1A9C">
              <w:rPr>
                <w:color w:val="151515"/>
              </w:rPr>
              <w:t>, i</w:t>
            </w:r>
            <w:r w:rsidRPr="00CA1A9C">
              <w:rPr>
                <w:color w:val="151515"/>
              </w:rPr>
              <w:t>tem</w:t>
            </w:r>
            <w:r w:rsidR="00CA1A9C">
              <w:rPr>
                <w:color w:val="151515"/>
              </w:rPr>
              <w:t>-</w:t>
            </w:r>
            <w:r w:rsidRPr="00CA1A9C">
              <w:rPr>
                <w:color w:val="151515"/>
              </w:rPr>
              <w:t>level analysis</w:t>
            </w:r>
            <w:r w:rsidR="00CA1A9C">
              <w:rPr>
                <w:color w:val="151515"/>
              </w:rPr>
              <w:t xml:space="preserve">, and </w:t>
            </w:r>
            <w:r w:rsidR="00CA1A9C" w:rsidRPr="00CA1A9C">
              <w:rPr>
                <w:color w:val="151515"/>
              </w:rPr>
              <w:t>r</w:t>
            </w:r>
            <w:r w:rsidRPr="00CA1A9C">
              <w:rPr>
                <w:color w:val="151515"/>
              </w:rPr>
              <w:t>ubric and exemplar information</w:t>
            </w:r>
          </w:p>
          <w:p w14:paraId="7DB00DF9" w14:textId="06BCFC3E" w:rsidR="00EB406A" w:rsidRPr="00635A55" w:rsidRDefault="00EB406A" w:rsidP="00635A55">
            <w:pPr>
              <w:pStyle w:val="ListParagraph"/>
              <w:numPr>
                <w:ilvl w:val="0"/>
                <w:numId w:val="20"/>
              </w:numPr>
              <w:spacing w:before="120" w:after="120"/>
              <w:rPr>
                <w:color w:val="151515"/>
              </w:rPr>
            </w:pPr>
            <w:r w:rsidRPr="00635A55">
              <w:rPr>
                <w:color w:val="151515"/>
              </w:rPr>
              <w:t>Resources to support classroom instruction, including links to lesson plans in Tools for Teachers based on CERS results</w:t>
            </w:r>
          </w:p>
        </w:tc>
      </w:tr>
      <w:tr w:rsidR="00EB406A" w:rsidRPr="00635A55" w:rsidDel="00C434CE" w14:paraId="4DA8AF61" w14:textId="77777777" w:rsidTr="0256B56D">
        <w:trPr>
          <w:cantSplit/>
        </w:trPr>
        <w:tc>
          <w:tcPr>
            <w:tcW w:w="1165" w:type="dxa"/>
            <w:tcMar>
              <w:top w:w="43" w:type="dxa"/>
              <w:left w:w="115" w:type="dxa"/>
              <w:bottom w:w="43" w:type="dxa"/>
              <w:right w:w="115" w:type="dxa"/>
            </w:tcMar>
            <w:vAlign w:val="center"/>
          </w:tcPr>
          <w:p w14:paraId="3522DD78" w14:textId="1B259817" w:rsidR="00EB406A" w:rsidRPr="00635A55" w:rsidRDefault="00EB406A" w:rsidP="00635A55">
            <w:pPr>
              <w:spacing w:before="120" w:after="120"/>
              <w:contextualSpacing/>
              <w:jc w:val="center"/>
            </w:pPr>
            <w:r w:rsidRPr="00635A55">
              <w:t>8/4</w:t>
            </w:r>
          </w:p>
        </w:tc>
        <w:tc>
          <w:tcPr>
            <w:tcW w:w="1530" w:type="dxa"/>
            <w:tcMar>
              <w:top w:w="43" w:type="dxa"/>
              <w:left w:w="115" w:type="dxa"/>
              <w:bottom w:w="43" w:type="dxa"/>
              <w:right w:w="115" w:type="dxa"/>
            </w:tcMar>
            <w:vAlign w:val="center"/>
          </w:tcPr>
          <w:p w14:paraId="159713F2" w14:textId="0C485B5D"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5FE4EC1A" w14:textId="65D0ACCE" w:rsidR="00EB406A" w:rsidRPr="007814D0" w:rsidRDefault="00271235" w:rsidP="007814D0">
            <w:pPr>
              <w:spacing w:before="120" w:after="120"/>
              <w:contextualSpacing/>
              <w:jc w:val="center"/>
            </w:pPr>
            <w:r w:rsidRPr="007814D0">
              <w:t>1,000</w:t>
            </w:r>
          </w:p>
        </w:tc>
        <w:tc>
          <w:tcPr>
            <w:tcW w:w="5456" w:type="dxa"/>
            <w:tcMar>
              <w:top w:w="43" w:type="dxa"/>
              <w:left w:w="115" w:type="dxa"/>
              <w:bottom w:w="43" w:type="dxa"/>
              <w:right w:w="115" w:type="dxa"/>
            </w:tcMar>
          </w:tcPr>
          <w:p w14:paraId="4EE5AA51" w14:textId="2EE4EB70" w:rsidR="00EB406A" w:rsidRPr="00635A55" w:rsidRDefault="00EB406A" w:rsidP="00635A55">
            <w:pPr>
              <w:pStyle w:val="Heading3"/>
              <w:spacing w:before="120"/>
              <w:contextualSpacing/>
              <w:textAlignment w:val="baseline"/>
              <w:outlineLvl w:val="2"/>
              <w:rPr>
                <w:rFonts w:cs="Arial"/>
                <w:b w:val="0"/>
              </w:rPr>
            </w:pPr>
            <w:r w:rsidRPr="00635A55">
              <w:rPr>
                <w:rFonts w:cs="Arial"/>
                <w:b w:val="0"/>
              </w:rPr>
              <w:t>Assessment and Accountability Information Meeting</w:t>
            </w:r>
            <w:r w:rsidR="00994B75">
              <w:rPr>
                <w:rFonts w:cs="Arial"/>
                <w:b w:val="0"/>
              </w:rPr>
              <w:t>—</w:t>
            </w:r>
            <w:r w:rsidRPr="00635A55">
              <w:rPr>
                <w:rFonts w:cs="Arial"/>
                <w:b w:val="0"/>
              </w:rPr>
              <w:t>Part 1</w:t>
            </w:r>
          </w:p>
          <w:p w14:paraId="6C427C55" w14:textId="228E8429" w:rsidR="00EB406A" w:rsidRPr="00635A55" w:rsidRDefault="00994B75" w:rsidP="003D13D5">
            <w:pPr>
              <w:spacing w:before="120" w:after="120"/>
            </w:pPr>
            <w:r>
              <w:t>Pat 1 covered g</w:t>
            </w:r>
            <w:r w:rsidR="32ABFE67">
              <w:t xml:space="preserve">eneral assessment updates, national and international tests, </w:t>
            </w:r>
            <w:r>
              <w:t xml:space="preserve">the </w:t>
            </w:r>
            <w:r w:rsidR="32ABFE67">
              <w:t xml:space="preserve">ELPAC, </w:t>
            </w:r>
            <w:r>
              <w:t xml:space="preserve">the </w:t>
            </w:r>
            <w:r w:rsidR="32ABFE67">
              <w:t xml:space="preserve">Physical Fitness Test, </w:t>
            </w:r>
            <w:r>
              <w:t xml:space="preserve">and </w:t>
            </w:r>
            <w:r w:rsidR="32ABFE67">
              <w:t>high school equivalency</w:t>
            </w:r>
          </w:p>
        </w:tc>
      </w:tr>
      <w:tr w:rsidR="00CE2A31" w:rsidRPr="00635A55" w:rsidDel="00C434CE" w14:paraId="086448A7" w14:textId="77777777" w:rsidTr="0256B56D">
        <w:trPr>
          <w:cantSplit/>
        </w:trPr>
        <w:tc>
          <w:tcPr>
            <w:tcW w:w="1165" w:type="dxa"/>
            <w:tcMar>
              <w:top w:w="43" w:type="dxa"/>
              <w:left w:w="115" w:type="dxa"/>
              <w:bottom w:w="43" w:type="dxa"/>
              <w:right w:w="115" w:type="dxa"/>
            </w:tcMar>
            <w:vAlign w:val="center"/>
          </w:tcPr>
          <w:p w14:paraId="08296CC6" w14:textId="4C0D2016" w:rsidR="00CE2A31" w:rsidRPr="00635A55" w:rsidRDefault="00CE2A31" w:rsidP="00635A55">
            <w:pPr>
              <w:spacing w:before="120" w:after="120"/>
              <w:contextualSpacing/>
              <w:jc w:val="center"/>
            </w:pPr>
            <w:r w:rsidRPr="00635A55">
              <w:lastRenderedPageBreak/>
              <w:t>8/9</w:t>
            </w:r>
          </w:p>
        </w:tc>
        <w:tc>
          <w:tcPr>
            <w:tcW w:w="1530" w:type="dxa"/>
            <w:tcMar>
              <w:top w:w="43" w:type="dxa"/>
              <w:left w:w="115" w:type="dxa"/>
              <w:bottom w:w="43" w:type="dxa"/>
              <w:right w:w="115" w:type="dxa"/>
            </w:tcMar>
            <w:vAlign w:val="center"/>
          </w:tcPr>
          <w:p w14:paraId="383E9111" w14:textId="55C5C6D6" w:rsidR="00CE2A31" w:rsidRPr="00635A55" w:rsidRDefault="00CE2A31"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5350084D" w14:textId="373DB3E9" w:rsidR="00CE2A31" w:rsidRPr="007814D0" w:rsidRDefault="00CE2A31"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1EBF497A" w14:textId="77777777" w:rsidR="00CE2A31" w:rsidRPr="00635A55" w:rsidRDefault="00CE2A31" w:rsidP="00635A55">
            <w:pPr>
              <w:pStyle w:val="NormalWeb"/>
              <w:spacing w:before="120" w:beforeAutospacing="0" w:after="120" w:afterAutospacing="0"/>
              <w:contextualSpacing/>
              <w:textAlignment w:val="baseline"/>
            </w:pPr>
            <w:r w:rsidRPr="00635A55">
              <w:t>Quantile Virtual Training</w:t>
            </w:r>
          </w:p>
          <w:p w14:paraId="405B449E" w14:textId="39E25797" w:rsidR="000B6327" w:rsidRPr="00635A55" w:rsidRDefault="75917E80" w:rsidP="00635A55">
            <w:pPr>
              <w:pStyle w:val="Heading4"/>
              <w:shd w:val="clear" w:color="auto" w:fill="FFFFFF"/>
              <w:spacing w:before="120"/>
              <w:contextualSpacing/>
              <w:outlineLvl w:val="3"/>
              <w:rPr>
                <w:rFonts w:cs="Arial"/>
                <w:color w:val="363636"/>
              </w:rPr>
            </w:pPr>
            <w:r w:rsidRPr="00635A55">
              <w:rPr>
                <w:rFonts w:cs="Arial"/>
                <w:i w:val="0"/>
              </w:rPr>
              <w:t>The Quantile</w:t>
            </w:r>
            <w:r w:rsidRPr="00635A55">
              <w:rPr>
                <w:rFonts w:cs="Arial"/>
                <w:i w:val="0"/>
                <w:vertAlign w:val="superscript"/>
              </w:rPr>
              <w:t>®</w:t>
            </w:r>
            <w:r w:rsidRPr="00635A55">
              <w:rPr>
                <w:rFonts w:cs="Arial"/>
                <w:i w:val="0"/>
              </w:rPr>
              <w:t xml:space="preserve"> Virtual Training focus</w:t>
            </w:r>
            <w:r w:rsidR="00C15BF9">
              <w:rPr>
                <w:rFonts w:cs="Arial"/>
                <w:i w:val="0"/>
              </w:rPr>
              <w:t>ed</w:t>
            </w:r>
            <w:r w:rsidRPr="00635A55">
              <w:rPr>
                <w:rFonts w:cs="Arial"/>
                <w:i w:val="0"/>
              </w:rPr>
              <w:t xml:space="preserve"> on the Quantile</w:t>
            </w:r>
            <w:r w:rsidRPr="00635A55">
              <w:rPr>
                <w:rFonts w:cs="Arial"/>
                <w:i w:val="0"/>
                <w:vertAlign w:val="superscript"/>
              </w:rPr>
              <w:t>®</w:t>
            </w:r>
            <w:r w:rsidRPr="00635A55">
              <w:rPr>
                <w:rFonts w:cs="Arial"/>
                <w:i w:val="0"/>
              </w:rPr>
              <w:t xml:space="preserve"> measures and the associated tools that educators an</w:t>
            </w:r>
            <w:r w:rsidR="00C15BF9">
              <w:rPr>
                <w:rFonts w:cs="Arial"/>
                <w:i w:val="0"/>
              </w:rPr>
              <w:t>d</w:t>
            </w:r>
            <w:r w:rsidRPr="00635A55">
              <w:rPr>
                <w:rFonts w:cs="Arial"/>
                <w:i w:val="0"/>
              </w:rPr>
              <w:t xml:space="preserve"> families across California</w:t>
            </w:r>
            <w:r w:rsidR="00C15BF9">
              <w:rPr>
                <w:rFonts w:cs="Arial"/>
                <w:i w:val="0"/>
              </w:rPr>
              <w:t xml:space="preserve"> can leverage</w:t>
            </w:r>
            <w:r w:rsidRPr="00635A55">
              <w:rPr>
                <w:rFonts w:cs="Arial"/>
                <w:i w:val="0"/>
              </w:rPr>
              <w:t xml:space="preserve"> to fuel student learning. </w:t>
            </w:r>
            <w:r w:rsidR="00C15BF9">
              <w:rPr>
                <w:rFonts w:cs="Arial"/>
                <w:i w:val="0"/>
              </w:rPr>
              <w:t>Participating</w:t>
            </w:r>
            <w:r w:rsidRPr="00635A55">
              <w:rPr>
                <w:rFonts w:cs="Arial"/>
                <w:i w:val="0"/>
              </w:rPr>
              <w:t xml:space="preserve"> educators learn</w:t>
            </w:r>
            <w:r w:rsidR="00C15BF9">
              <w:rPr>
                <w:rFonts w:cs="Arial"/>
                <w:i w:val="0"/>
              </w:rPr>
              <w:t>ed</w:t>
            </w:r>
            <w:r w:rsidRPr="00635A55">
              <w:rPr>
                <w:rFonts w:cs="Arial"/>
                <w:i w:val="0"/>
              </w:rPr>
              <w:t xml:space="preserve"> how to use the tools and resources available in the Lexile &amp; Quantile Hub and how these tools can contribute to teaching and learning.</w:t>
            </w:r>
          </w:p>
        </w:tc>
      </w:tr>
      <w:tr w:rsidR="008B7D0C" w:rsidRPr="00635A55" w:rsidDel="00C434CE" w14:paraId="2CCD1D3A" w14:textId="77777777" w:rsidTr="0256B56D">
        <w:trPr>
          <w:cantSplit/>
        </w:trPr>
        <w:tc>
          <w:tcPr>
            <w:tcW w:w="1165" w:type="dxa"/>
            <w:tcMar>
              <w:top w:w="43" w:type="dxa"/>
              <w:left w:w="115" w:type="dxa"/>
              <w:bottom w:w="43" w:type="dxa"/>
              <w:right w:w="115" w:type="dxa"/>
            </w:tcMar>
            <w:vAlign w:val="center"/>
          </w:tcPr>
          <w:p w14:paraId="57CA8787" w14:textId="2632BAD1" w:rsidR="008B7D0C" w:rsidRPr="00635A55" w:rsidRDefault="008B7D0C" w:rsidP="00635A55">
            <w:pPr>
              <w:spacing w:before="120" w:after="120"/>
              <w:contextualSpacing/>
              <w:jc w:val="center"/>
            </w:pPr>
            <w:r w:rsidRPr="00635A55">
              <w:t>8/10</w:t>
            </w:r>
          </w:p>
        </w:tc>
        <w:tc>
          <w:tcPr>
            <w:tcW w:w="1530" w:type="dxa"/>
            <w:tcMar>
              <w:top w:w="43" w:type="dxa"/>
              <w:left w:w="115" w:type="dxa"/>
              <w:bottom w:w="43" w:type="dxa"/>
              <w:right w:w="115" w:type="dxa"/>
            </w:tcMar>
            <w:vAlign w:val="center"/>
          </w:tcPr>
          <w:p w14:paraId="0FBE1ACA" w14:textId="77777777" w:rsidR="008B7D0C" w:rsidRPr="00635A55" w:rsidRDefault="008B7D0C"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B167B92" w14:textId="65029BBE" w:rsidR="008B7D0C" w:rsidRPr="007814D0" w:rsidRDefault="08413A31"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788F4EC0" w14:textId="68B7AD2C" w:rsidR="000B6327" w:rsidRPr="00635A55" w:rsidRDefault="00745064" w:rsidP="00635A55">
            <w:pPr>
              <w:pStyle w:val="Heading4"/>
              <w:shd w:val="clear" w:color="auto" w:fill="FFFFFF"/>
              <w:spacing w:before="120"/>
              <w:contextualSpacing/>
              <w:outlineLvl w:val="3"/>
              <w:rPr>
                <w:rFonts w:cs="Arial"/>
              </w:rPr>
            </w:pPr>
            <w:r w:rsidRPr="00635A55">
              <w:rPr>
                <w:i w:val="0"/>
              </w:rPr>
              <w:t>The Quantile</w:t>
            </w:r>
            <w:r w:rsidRPr="00635A55">
              <w:rPr>
                <w:i w:val="0"/>
                <w:vertAlign w:val="superscript"/>
              </w:rPr>
              <w:t>®</w:t>
            </w:r>
            <w:r w:rsidRPr="00635A55">
              <w:rPr>
                <w:i w:val="0"/>
              </w:rPr>
              <w:t xml:space="preserve"> Virtual Training focus</w:t>
            </w:r>
            <w:r>
              <w:rPr>
                <w:i w:val="0"/>
              </w:rPr>
              <w:t>ed</w:t>
            </w:r>
            <w:r w:rsidRPr="00635A55">
              <w:rPr>
                <w:i w:val="0"/>
              </w:rPr>
              <w:t xml:space="preserve"> on the Quantile</w:t>
            </w:r>
            <w:r w:rsidRPr="00635A55">
              <w:rPr>
                <w:i w:val="0"/>
                <w:vertAlign w:val="superscript"/>
              </w:rPr>
              <w:t>®</w:t>
            </w:r>
            <w:r w:rsidRPr="00635A55">
              <w:rPr>
                <w:i w:val="0"/>
              </w:rPr>
              <w:t xml:space="preserve"> measures and the associated tools that educators an</w:t>
            </w:r>
            <w:r>
              <w:rPr>
                <w:i w:val="0"/>
              </w:rPr>
              <w:t>d</w:t>
            </w:r>
            <w:r w:rsidRPr="00635A55">
              <w:rPr>
                <w:i w:val="0"/>
              </w:rPr>
              <w:t xml:space="preserve"> families across California</w:t>
            </w:r>
            <w:r>
              <w:rPr>
                <w:i w:val="0"/>
              </w:rPr>
              <w:t xml:space="preserve"> can leverage</w:t>
            </w:r>
            <w:r w:rsidRPr="00635A55">
              <w:rPr>
                <w:i w:val="0"/>
              </w:rPr>
              <w:t xml:space="preserve"> to fuel student learning. </w:t>
            </w:r>
            <w:r>
              <w:rPr>
                <w:i w:val="0"/>
              </w:rPr>
              <w:t>Participating</w:t>
            </w:r>
            <w:r w:rsidRPr="00635A55">
              <w:rPr>
                <w:i w:val="0"/>
              </w:rPr>
              <w:t xml:space="preserve"> educators learn</w:t>
            </w:r>
            <w:r>
              <w:rPr>
                <w:i w:val="0"/>
              </w:rPr>
              <w:t>ed</w:t>
            </w:r>
            <w:r w:rsidRPr="00635A55">
              <w:rPr>
                <w:i w:val="0"/>
              </w:rPr>
              <w:t xml:space="preserve"> how to use the tools and resources available in the Lexile &amp; Quantile Hub and how these tools can contribute to teaching and learning.</w:t>
            </w:r>
          </w:p>
        </w:tc>
      </w:tr>
      <w:tr w:rsidR="00EB406A" w:rsidRPr="00635A55" w:rsidDel="00C434CE" w14:paraId="6EFC281B" w14:textId="77777777" w:rsidTr="0256B56D">
        <w:trPr>
          <w:cantSplit/>
        </w:trPr>
        <w:tc>
          <w:tcPr>
            <w:tcW w:w="1165" w:type="dxa"/>
            <w:tcMar>
              <w:top w:w="43" w:type="dxa"/>
              <w:left w:w="115" w:type="dxa"/>
              <w:bottom w:w="43" w:type="dxa"/>
              <w:right w:w="115" w:type="dxa"/>
            </w:tcMar>
            <w:vAlign w:val="center"/>
          </w:tcPr>
          <w:p w14:paraId="24C32856" w14:textId="39659C6B" w:rsidR="00EB406A" w:rsidRPr="00635A55" w:rsidRDefault="00EB406A" w:rsidP="00635A55">
            <w:pPr>
              <w:spacing w:before="120" w:after="120"/>
              <w:contextualSpacing/>
              <w:jc w:val="center"/>
            </w:pPr>
            <w:r w:rsidRPr="00635A55">
              <w:t>8/11</w:t>
            </w:r>
          </w:p>
        </w:tc>
        <w:tc>
          <w:tcPr>
            <w:tcW w:w="1530" w:type="dxa"/>
            <w:tcMar>
              <w:top w:w="43" w:type="dxa"/>
              <w:left w:w="115" w:type="dxa"/>
              <w:bottom w:w="43" w:type="dxa"/>
              <w:right w:w="115" w:type="dxa"/>
            </w:tcMar>
            <w:vAlign w:val="center"/>
          </w:tcPr>
          <w:p w14:paraId="6DEF1FD7" w14:textId="67DA9F49"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9A56894" w14:textId="76087ABF" w:rsidR="00EB406A" w:rsidRPr="007814D0" w:rsidRDefault="00271235" w:rsidP="007814D0">
            <w:pPr>
              <w:spacing w:before="120" w:after="120"/>
              <w:contextualSpacing/>
              <w:jc w:val="center"/>
            </w:pPr>
            <w:r w:rsidRPr="007814D0">
              <w:t>1,000</w:t>
            </w:r>
          </w:p>
        </w:tc>
        <w:tc>
          <w:tcPr>
            <w:tcW w:w="5456" w:type="dxa"/>
            <w:tcMar>
              <w:top w:w="43" w:type="dxa"/>
              <w:left w:w="115" w:type="dxa"/>
              <w:bottom w:w="43" w:type="dxa"/>
              <w:right w:w="115" w:type="dxa"/>
            </w:tcMar>
          </w:tcPr>
          <w:p w14:paraId="491D93F1" w14:textId="2D252EA8" w:rsidR="00EB406A" w:rsidRPr="00635A55" w:rsidRDefault="00EB406A" w:rsidP="00635A55">
            <w:pPr>
              <w:pStyle w:val="Heading3"/>
              <w:spacing w:before="120"/>
              <w:contextualSpacing/>
              <w:textAlignment w:val="baseline"/>
              <w:outlineLvl w:val="2"/>
              <w:rPr>
                <w:rFonts w:cs="Arial"/>
                <w:b w:val="0"/>
              </w:rPr>
            </w:pPr>
            <w:r w:rsidRPr="00635A55">
              <w:rPr>
                <w:rFonts w:cs="Arial"/>
                <w:b w:val="0"/>
              </w:rPr>
              <w:t>Assessment and Accountability Information Meeting</w:t>
            </w:r>
            <w:r w:rsidR="00154C49" w:rsidRPr="00635A55">
              <w:rPr>
                <w:rFonts w:cs="Arial"/>
                <w:b w:val="0"/>
              </w:rPr>
              <w:t>—</w:t>
            </w:r>
            <w:r w:rsidRPr="00635A55">
              <w:rPr>
                <w:rFonts w:cs="Arial"/>
                <w:b w:val="0"/>
              </w:rPr>
              <w:t>Part 2</w:t>
            </w:r>
          </w:p>
          <w:p w14:paraId="29A9B7C7" w14:textId="1192A16C" w:rsidR="00EB406A" w:rsidRPr="00635A55" w:rsidRDefault="00745064" w:rsidP="00794CF0">
            <w:pPr>
              <w:spacing w:before="120" w:after="120"/>
            </w:pPr>
            <w:r>
              <w:t xml:space="preserve">Part 2 covered </w:t>
            </w:r>
            <w:r w:rsidR="32ABFE67">
              <w:t xml:space="preserve">ELA and mathematics summative assessments, </w:t>
            </w:r>
            <w:r>
              <w:t xml:space="preserve">the </w:t>
            </w:r>
            <w:r w:rsidR="32ABFE67">
              <w:t xml:space="preserve">California Science Test, California </w:t>
            </w:r>
            <w:r w:rsidR="6D5098F5">
              <w:t xml:space="preserve">Alternate Assessment </w:t>
            </w:r>
            <w:r>
              <w:t xml:space="preserve">(CAA) </w:t>
            </w:r>
            <w:r w:rsidR="6D5098F5">
              <w:t>for Science</w:t>
            </w:r>
            <w:r w:rsidR="32ABFE67">
              <w:t xml:space="preserve">, California Spanish Assessment (CSA), </w:t>
            </w:r>
            <w:r w:rsidR="6D5098F5">
              <w:t xml:space="preserve">and </w:t>
            </w:r>
            <w:r w:rsidR="32ABFE67">
              <w:t>interim and formative assessments</w:t>
            </w:r>
          </w:p>
        </w:tc>
      </w:tr>
      <w:tr w:rsidR="005954F2" w:rsidRPr="00635A55" w:rsidDel="00C434CE" w14:paraId="2283C148" w14:textId="77777777" w:rsidTr="0256B56D">
        <w:trPr>
          <w:cantSplit/>
        </w:trPr>
        <w:tc>
          <w:tcPr>
            <w:tcW w:w="1165" w:type="dxa"/>
            <w:tcMar>
              <w:top w:w="43" w:type="dxa"/>
              <w:left w:w="115" w:type="dxa"/>
              <w:bottom w:w="43" w:type="dxa"/>
              <w:right w:w="115" w:type="dxa"/>
            </w:tcMar>
            <w:vAlign w:val="center"/>
          </w:tcPr>
          <w:p w14:paraId="01925A49" w14:textId="0CCC1E8E" w:rsidR="005954F2" w:rsidRPr="00635A55" w:rsidRDefault="005954F2" w:rsidP="00635A55">
            <w:pPr>
              <w:spacing w:before="120" w:after="120"/>
              <w:contextualSpacing/>
              <w:jc w:val="center"/>
            </w:pPr>
            <w:r w:rsidRPr="00635A55">
              <w:t>8/15</w:t>
            </w:r>
          </w:p>
        </w:tc>
        <w:tc>
          <w:tcPr>
            <w:tcW w:w="1530" w:type="dxa"/>
            <w:tcMar>
              <w:top w:w="43" w:type="dxa"/>
              <w:left w:w="115" w:type="dxa"/>
              <w:bottom w:w="43" w:type="dxa"/>
              <w:right w:w="115" w:type="dxa"/>
            </w:tcMar>
            <w:vAlign w:val="center"/>
          </w:tcPr>
          <w:p w14:paraId="669E631B" w14:textId="4FAB0192" w:rsidR="005954F2" w:rsidRPr="00635A55" w:rsidRDefault="005954F2"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654CF2AD" w14:textId="7CD14C05" w:rsidR="005954F2" w:rsidRPr="007814D0" w:rsidRDefault="08413A31"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549EF875" w14:textId="446D846A" w:rsidR="00551C97" w:rsidRPr="00635A55" w:rsidRDefault="005954F2" w:rsidP="00635A55">
            <w:pPr>
              <w:pStyle w:val="Heading3"/>
              <w:spacing w:before="120"/>
              <w:contextualSpacing/>
              <w:textAlignment w:val="baseline"/>
              <w:outlineLvl w:val="2"/>
              <w:rPr>
                <w:rFonts w:cs="Arial"/>
                <w:b w:val="0"/>
              </w:rPr>
            </w:pPr>
            <w:r w:rsidRPr="00635A55">
              <w:rPr>
                <w:rFonts w:cs="Arial"/>
                <w:b w:val="0"/>
              </w:rPr>
              <w:t>Lexile &amp; Quantile Deeper Dive 1</w:t>
            </w:r>
            <w:r w:rsidR="00F33EA3" w:rsidRPr="00635A55">
              <w:rPr>
                <w:rFonts w:cs="Arial"/>
                <w:b w:val="0"/>
              </w:rPr>
              <w:t>: Tools to Monitor Student Progress Toward College and Career Readiness</w:t>
            </w:r>
            <w:r w:rsidR="00752CBA" w:rsidRPr="00635A55">
              <w:rPr>
                <w:rFonts w:cs="Arial"/>
                <w:b w:val="0"/>
              </w:rPr>
              <w:t>—</w:t>
            </w:r>
            <w:r w:rsidR="00F33EA3" w:rsidRPr="00635A55">
              <w:rPr>
                <w:rFonts w:cs="Arial"/>
                <w:b w:val="0"/>
              </w:rPr>
              <w:t>Part I</w:t>
            </w:r>
          </w:p>
          <w:p w14:paraId="5406C36B" w14:textId="3522DE06" w:rsidR="005954F2" w:rsidRPr="00635A55" w:rsidRDefault="00615BC0" w:rsidP="00635A55">
            <w:pPr>
              <w:spacing w:before="120" w:after="120"/>
            </w:pPr>
            <w:r w:rsidRPr="00635A55">
              <w:t xml:space="preserve">This session </w:t>
            </w:r>
            <w:r w:rsidR="0044617C">
              <w:t>explored the</w:t>
            </w:r>
            <w:r w:rsidRPr="00635A55">
              <w:t xml:space="preserve"> tools that identify the reading and mathematical demands of individual occupations </w:t>
            </w:r>
            <w:r w:rsidR="0044617C">
              <w:t>examined</w:t>
            </w:r>
            <w:r w:rsidR="0044617C" w:rsidRPr="00635A55">
              <w:t xml:space="preserve"> </w:t>
            </w:r>
            <w:r w:rsidRPr="00635A55">
              <w:t>national normative information to describe student performance at each grade level.</w:t>
            </w:r>
          </w:p>
        </w:tc>
      </w:tr>
      <w:tr w:rsidR="00551C97" w:rsidRPr="00635A55" w:rsidDel="00C434CE" w14:paraId="56D29150" w14:textId="77777777" w:rsidTr="0256B56D">
        <w:trPr>
          <w:cantSplit/>
        </w:trPr>
        <w:tc>
          <w:tcPr>
            <w:tcW w:w="1165" w:type="dxa"/>
            <w:tcMar>
              <w:top w:w="43" w:type="dxa"/>
              <w:left w:w="115" w:type="dxa"/>
              <w:bottom w:w="43" w:type="dxa"/>
              <w:right w:w="115" w:type="dxa"/>
            </w:tcMar>
            <w:vAlign w:val="center"/>
          </w:tcPr>
          <w:p w14:paraId="55F21C92" w14:textId="725446D9" w:rsidR="00551C97" w:rsidRPr="00635A55" w:rsidRDefault="00551C97" w:rsidP="00635A55">
            <w:pPr>
              <w:spacing w:before="120" w:after="120"/>
              <w:contextualSpacing/>
              <w:jc w:val="center"/>
            </w:pPr>
            <w:r w:rsidRPr="00635A55">
              <w:lastRenderedPageBreak/>
              <w:t>8/17</w:t>
            </w:r>
          </w:p>
        </w:tc>
        <w:tc>
          <w:tcPr>
            <w:tcW w:w="1530" w:type="dxa"/>
            <w:tcMar>
              <w:top w:w="43" w:type="dxa"/>
              <w:left w:w="115" w:type="dxa"/>
              <w:bottom w:w="43" w:type="dxa"/>
              <w:right w:w="115" w:type="dxa"/>
            </w:tcMar>
            <w:vAlign w:val="center"/>
          </w:tcPr>
          <w:p w14:paraId="443EDF3C" w14:textId="77777777" w:rsidR="00551C97" w:rsidRPr="00635A55" w:rsidRDefault="00551C97"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3B06E49A" w14:textId="68DC9433" w:rsidR="00551C97" w:rsidRPr="00635A55" w:rsidRDefault="1850CC3D" w:rsidP="00635A55">
            <w:pPr>
              <w:tabs>
                <w:tab w:val="decimal" w:pos="785"/>
              </w:tabs>
              <w:spacing w:before="120" w:after="120"/>
              <w:contextualSpacing/>
              <w:rPr>
                <w:highlight w:val="green"/>
              </w:rPr>
            </w:pPr>
            <w:r w:rsidRPr="007814D0">
              <w:t>50</w:t>
            </w:r>
          </w:p>
        </w:tc>
        <w:tc>
          <w:tcPr>
            <w:tcW w:w="5456" w:type="dxa"/>
            <w:tcMar>
              <w:top w:w="43" w:type="dxa"/>
              <w:left w:w="115" w:type="dxa"/>
              <w:bottom w:w="43" w:type="dxa"/>
              <w:right w:w="115" w:type="dxa"/>
            </w:tcMar>
          </w:tcPr>
          <w:p w14:paraId="5E92E217" w14:textId="0BC5C8CF" w:rsidR="00551C97" w:rsidRPr="00635A55" w:rsidRDefault="00551C97" w:rsidP="00635A55">
            <w:pPr>
              <w:spacing w:before="120" w:after="120"/>
            </w:pPr>
            <w:r w:rsidRPr="00635A55">
              <w:t>Lexile &amp; Quantile Deeper Dive 2</w:t>
            </w:r>
            <w:r w:rsidR="008A361E" w:rsidRPr="00635A55">
              <w:t>: Tools to Monitor Student Progress Toward College and Career Readiness</w:t>
            </w:r>
            <w:r w:rsidR="00752CBA" w:rsidRPr="00635A55">
              <w:t>—</w:t>
            </w:r>
            <w:r w:rsidR="008A361E" w:rsidRPr="00635A55">
              <w:t>Part II</w:t>
            </w:r>
          </w:p>
          <w:p w14:paraId="127CBFB0" w14:textId="741EE465" w:rsidR="00551C97" w:rsidRPr="00635A55" w:rsidRDefault="00B40029" w:rsidP="00635A55">
            <w:pPr>
              <w:spacing w:before="120" w:after="120"/>
            </w:pPr>
            <w:r w:rsidRPr="00635A55">
              <w:t>This session continue</w:t>
            </w:r>
            <w:r w:rsidR="0044617C">
              <w:t>d</w:t>
            </w:r>
            <w:r w:rsidRPr="00635A55">
              <w:t xml:space="preserve"> </w:t>
            </w:r>
            <w:r w:rsidR="0044617C">
              <w:t>the</w:t>
            </w:r>
            <w:r w:rsidR="0044617C" w:rsidRPr="00635A55">
              <w:t xml:space="preserve"> </w:t>
            </w:r>
            <w:r w:rsidRPr="00635A55">
              <w:t>examination of college and career readiness monitoring tools and provide</w:t>
            </w:r>
            <w:r w:rsidR="0044617C">
              <w:t>d</w:t>
            </w:r>
            <w:r w:rsidRPr="00635A55">
              <w:t xml:space="preserve"> a hands-on demonstration of two of the </w:t>
            </w:r>
            <w:proofErr w:type="gramStart"/>
            <w:r w:rsidRPr="00635A55">
              <w:t>tools</w:t>
            </w:r>
            <w:proofErr w:type="gramEnd"/>
            <w:r w:rsidRPr="00635A55">
              <w:t xml:space="preserve"> educators, families, and students can use to gauge the level of math and reading preparation for </w:t>
            </w:r>
            <w:r w:rsidR="0044617C">
              <w:t>the</w:t>
            </w:r>
            <w:r w:rsidR="0044617C" w:rsidRPr="00635A55">
              <w:t xml:space="preserve"> </w:t>
            </w:r>
            <w:r w:rsidRPr="00635A55">
              <w:t>student’s post-secondary plans.</w:t>
            </w:r>
          </w:p>
        </w:tc>
      </w:tr>
      <w:tr w:rsidR="00EB406A" w:rsidRPr="00635A55" w:rsidDel="00C434CE" w14:paraId="07DEDC94" w14:textId="77777777" w:rsidTr="0256B56D">
        <w:trPr>
          <w:cantSplit/>
        </w:trPr>
        <w:tc>
          <w:tcPr>
            <w:tcW w:w="1165" w:type="dxa"/>
            <w:tcMar>
              <w:top w:w="43" w:type="dxa"/>
              <w:left w:w="115" w:type="dxa"/>
              <w:bottom w:w="43" w:type="dxa"/>
              <w:right w:w="115" w:type="dxa"/>
            </w:tcMar>
            <w:vAlign w:val="center"/>
          </w:tcPr>
          <w:p w14:paraId="05FCE012" w14:textId="557C7E81" w:rsidR="00EB406A" w:rsidRPr="00635A55" w:rsidRDefault="00EB406A" w:rsidP="00635A55">
            <w:pPr>
              <w:spacing w:before="120" w:after="120"/>
              <w:contextualSpacing/>
              <w:jc w:val="center"/>
            </w:pPr>
            <w:r w:rsidRPr="00635A55">
              <w:t>8/18</w:t>
            </w:r>
          </w:p>
        </w:tc>
        <w:tc>
          <w:tcPr>
            <w:tcW w:w="1530" w:type="dxa"/>
            <w:tcMar>
              <w:top w:w="43" w:type="dxa"/>
              <w:left w:w="115" w:type="dxa"/>
              <w:bottom w:w="43" w:type="dxa"/>
              <w:right w:w="115" w:type="dxa"/>
            </w:tcMar>
            <w:vAlign w:val="center"/>
          </w:tcPr>
          <w:p w14:paraId="512CD8D2" w14:textId="240E0A49" w:rsidR="00EB406A" w:rsidRPr="00635A55" w:rsidRDefault="00EB406A"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4086D8AA" w14:textId="32BE0E2B" w:rsidR="00EB406A" w:rsidRPr="007814D0" w:rsidRDefault="00271235" w:rsidP="007814D0">
            <w:pPr>
              <w:spacing w:before="120" w:after="120"/>
              <w:contextualSpacing/>
              <w:jc w:val="center"/>
            </w:pPr>
            <w:r w:rsidRPr="007814D0">
              <w:t>1,000</w:t>
            </w:r>
          </w:p>
        </w:tc>
        <w:tc>
          <w:tcPr>
            <w:tcW w:w="5456" w:type="dxa"/>
            <w:tcMar>
              <w:top w:w="43" w:type="dxa"/>
              <w:left w:w="115" w:type="dxa"/>
              <w:bottom w:w="43" w:type="dxa"/>
              <w:right w:w="115" w:type="dxa"/>
            </w:tcMar>
          </w:tcPr>
          <w:p w14:paraId="49AD49D1" w14:textId="18EC84FC" w:rsidR="00EB406A" w:rsidRPr="00635A55" w:rsidRDefault="00EB406A" w:rsidP="00635A55">
            <w:pPr>
              <w:pStyle w:val="Heading3"/>
              <w:spacing w:before="120"/>
              <w:contextualSpacing/>
              <w:textAlignment w:val="baseline"/>
              <w:outlineLvl w:val="2"/>
              <w:rPr>
                <w:rFonts w:cs="Arial"/>
                <w:b w:val="0"/>
              </w:rPr>
            </w:pPr>
            <w:r w:rsidRPr="00635A55">
              <w:rPr>
                <w:rFonts w:cs="Arial"/>
                <w:b w:val="0"/>
              </w:rPr>
              <w:t>Assessment and Accountability Information Meeting</w:t>
            </w:r>
            <w:r w:rsidR="00154C49" w:rsidRPr="00635A55">
              <w:rPr>
                <w:rFonts w:cs="Arial"/>
                <w:b w:val="0"/>
              </w:rPr>
              <w:t>—</w:t>
            </w:r>
            <w:r w:rsidRPr="00635A55">
              <w:rPr>
                <w:rFonts w:cs="Arial"/>
                <w:b w:val="0"/>
              </w:rPr>
              <w:t>Part 3</w:t>
            </w:r>
          </w:p>
          <w:p w14:paraId="1032CC93" w14:textId="0377CBB2" w:rsidR="00EB406A" w:rsidRPr="00635A55" w:rsidRDefault="0044617C" w:rsidP="003D13D5">
            <w:pPr>
              <w:spacing w:before="120" w:after="120"/>
            </w:pPr>
            <w:r>
              <w:t xml:space="preserve">Part 3 covered CERS </w:t>
            </w:r>
            <w:r w:rsidR="6D5098F5">
              <w:t>and</w:t>
            </w:r>
            <w:r w:rsidR="32ABFE67">
              <w:t xml:space="preserve"> accountability</w:t>
            </w:r>
            <w:r>
              <w:t>.</w:t>
            </w:r>
          </w:p>
        </w:tc>
      </w:tr>
      <w:tr w:rsidR="00551C97" w:rsidRPr="00635A55" w:rsidDel="00C434CE" w14:paraId="1242FFE7" w14:textId="77777777" w:rsidTr="0256B56D">
        <w:trPr>
          <w:cantSplit/>
        </w:trPr>
        <w:tc>
          <w:tcPr>
            <w:tcW w:w="1165" w:type="dxa"/>
            <w:tcMar>
              <w:top w:w="43" w:type="dxa"/>
              <w:left w:w="115" w:type="dxa"/>
              <w:bottom w:w="43" w:type="dxa"/>
              <w:right w:w="115" w:type="dxa"/>
            </w:tcMar>
            <w:vAlign w:val="center"/>
          </w:tcPr>
          <w:p w14:paraId="4561489A" w14:textId="78295B6C" w:rsidR="00551C97" w:rsidRPr="00635A55" w:rsidRDefault="00551C97" w:rsidP="00635A55">
            <w:pPr>
              <w:spacing w:before="120" w:after="120"/>
              <w:contextualSpacing/>
              <w:jc w:val="center"/>
            </w:pPr>
            <w:r w:rsidRPr="00635A55">
              <w:t>8/22</w:t>
            </w:r>
          </w:p>
        </w:tc>
        <w:tc>
          <w:tcPr>
            <w:tcW w:w="1530" w:type="dxa"/>
            <w:tcMar>
              <w:top w:w="43" w:type="dxa"/>
              <w:left w:w="115" w:type="dxa"/>
              <w:bottom w:w="43" w:type="dxa"/>
              <w:right w:w="115" w:type="dxa"/>
            </w:tcMar>
            <w:vAlign w:val="center"/>
          </w:tcPr>
          <w:p w14:paraId="402B0FA4" w14:textId="77777777" w:rsidR="00551C97" w:rsidRPr="00635A55" w:rsidRDefault="00551C97"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4F03DC4C" w14:textId="09CB75CE" w:rsidR="00551C97" w:rsidRPr="007814D0" w:rsidRDefault="08413A31"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415C60A6" w14:textId="57329799" w:rsidR="000A45C0" w:rsidRPr="00635A55" w:rsidRDefault="00551C97" w:rsidP="00635A55">
            <w:pPr>
              <w:pStyle w:val="NormalWeb"/>
              <w:spacing w:before="120" w:beforeAutospacing="0" w:after="120" w:afterAutospacing="0"/>
              <w:contextualSpacing/>
              <w:textAlignment w:val="baseline"/>
            </w:pPr>
            <w:r w:rsidRPr="00635A55">
              <w:t>Lexile &amp; Quantile Deeper Dive 3</w:t>
            </w:r>
            <w:r w:rsidR="000A45C0" w:rsidRPr="00635A55">
              <w:t>: Finding Freely</w:t>
            </w:r>
            <w:r w:rsidR="00F71FE9">
              <w:t xml:space="preserve"> </w:t>
            </w:r>
            <w:r w:rsidR="000A45C0" w:rsidRPr="00635A55">
              <w:t>Available Lexile-Measured Text</w:t>
            </w:r>
          </w:p>
          <w:p w14:paraId="622721A7" w14:textId="3FD6FB09" w:rsidR="00551C97" w:rsidRPr="00635A55" w:rsidRDefault="00752CBA" w:rsidP="00635A55">
            <w:pPr>
              <w:spacing w:before="120" w:after="120"/>
            </w:pPr>
            <w:r w:rsidRPr="00635A55">
              <w:t xml:space="preserve">In this hands-on demonstration, </w:t>
            </w:r>
            <w:r w:rsidR="006B76B6" w:rsidRPr="00635A55">
              <w:t xml:space="preserve">educators </w:t>
            </w:r>
            <w:r w:rsidRPr="00635A55">
              <w:t>learn</w:t>
            </w:r>
            <w:r w:rsidR="00F71FE9">
              <w:t>ed</w:t>
            </w:r>
            <w:r w:rsidRPr="00635A55">
              <w:t xml:space="preserve"> how to identify and access a variety of free, Lexile-measured texts from sources that can be used to teach grade-level topics and concepts.</w:t>
            </w:r>
          </w:p>
        </w:tc>
      </w:tr>
      <w:tr w:rsidR="00551C97" w:rsidRPr="00635A55" w:rsidDel="00C434CE" w14:paraId="3FA4746A" w14:textId="77777777" w:rsidTr="0256B56D">
        <w:trPr>
          <w:cantSplit/>
        </w:trPr>
        <w:tc>
          <w:tcPr>
            <w:tcW w:w="1165" w:type="dxa"/>
            <w:tcMar>
              <w:top w:w="43" w:type="dxa"/>
              <w:left w:w="115" w:type="dxa"/>
              <w:bottom w:w="43" w:type="dxa"/>
              <w:right w:w="115" w:type="dxa"/>
            </w:tcMar>
            <w:vAlign w:val="center"/>
          </w:tcPr>
          <w:p w14:paraId="2F5FFA8A" w14:textId="71D12FFD" w:rsidR="00551C97" w:rsidRPr="00635A55" w:rsidRDefault="00551C97" w:rsidP="00635A55">
            <w:pPr>
              <w:spacing w:before="120" w:after="120"/>
              <w:contextualSpacing/>
              <w:jc w:val="center"/>
            </w:pPr>
            <w:r w:rsidRPr="00635A55">
              <w:t>8/24</w:t>
            </w:r>
          </w:p>
        </w:tc>
        <w:tc>
          <w:tcPr>
            <w:tcW w:w="1530" w:type="dxa"/>
            <w:tcMar>
              <w:top w:w="43" w:type="dxa"/>
              <w:left w:w="115" w:type="dxa"/>
              <w:bottom w:w="43" w:type="dxa"/>
              <w:right w:w="115" w:type="dxa"/>
            </w:tcMar>
            <w:vAlign w:val="center"/>
          </w:tcPr>
          <w:p w14:paraId="101B4DC3" w14:textId="77777777" w:rsidR="00551C97" w:rsidRPr="00635A55" w:rsidRDefault="00551C97"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282EC37" w14:textId="22D153EF" w:rsidR="00551C97" w:rsidRPr="007814D0" w:rsidRDefault="1850CC3D"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10D7F20E" w14:textId="5FEDF78E" w:rsidR="00BF2B56" w:rsidRPr="00635A55" w:rsidRDefault="00551C97" w:rsidP="00635A55">
            <w:pPr>
              <w:pStyle w:val="Heading3"/>
              <w:spacing w:before="120"/>
              <w:contextualSpacing/>
              <w:textAlignment w:val="baseline"/>
              <w:outlineLvl w:val="2"/>
              <w:rPr>
                <w:rFonts w:cs="Arial"/>
                <w:b w:val="0"/>
              </w:rPr>
            </w:pPr>
            <w:r w:rsidRPr="00635A55">
              <w:rPr>
                <w:rFonts w:cs="Arial"/>
                <w:b w:val="0"/>
              </w:rPr>
              <w:t>Lexile &amp; Quantile Deeper Dive 4</w:t>
            </w:r>
            <w:r w:rsidR="00BF2B56" w:rsidRPr="00635A55">
              <w:rPr>
                <w:rFonts w:cs="Arial"/>
                <w:b w:val="0"/>
              </w:rPr>
              <w:t>: Discovering Aligned Mathematics Materials</w:t>
            </w:r>
            <w:r w:rsidR="0006555A" w:rsidRPr="00635A55">
              <w:rPr>
                <w:rFonts w:cs="Arial"/>
                <w:b w:val="0"/>
              </w:rPr>
              <w:t>—</w:t>
            </w:r>
            <w:r w:rsidR="00BF2B56" w:rsidRPr="00635A55">
              <w:rPr>
                <w:rFonts w:cs="Arial"/>
                <w:b w:val="0"/>
              </w:rPr>
              <w:t>Part I</w:t>
            </w:r>
          </w:p>
          <w:p w14:paraId="73AC9A32" w14:textId="356965C8" w:rsidR="00551C97" w:rsidRPr="00635A55" w:rsidRDefault="00D919B7" w:rsidP="00635A55">
            <w:pPr>
              <w:spacing w:before="120" w:after="120"/>
              <w:rPr>
                <w:b/>
              </w:rPr>
            </w:pPr>
            <w:r w:rsidRPr="00635A55">
              <w:t>This session offer</w:t>
            </w:r>
            <w:r w:rsidR="00F71FE9">
              <w:t>ed</w:t>
            </w:r>
            <w:r w:rsidRPr="00635A55">
              <w:t xml:space="preserve"> a hands-on demonstration of tools to explore the connections between mathematics learning standards, Quantile Skills and Concepts, and the free Quantile-calibrated resources </w:t>
            </w:r>
            <w:r w:rsidR="006B76B6" w:rsidRPr="00635A55">
              <w:t>educators</w:t>
            </w:r>
            <w:r w:rsidRPr="00635A55">
              <w:t xml:space="preserve"> can use to plan </w:t>
            </w:r>
            <w:r w:rsidR="006B76B6" w:rsidRPr="00635A55">
              <w:t>their</w:t>
            </w:r>
            <w:r w:rsidRPr="00635A55">
              <w:t xml:space="preserve"> instruction.</w:t>
            </w:r>
          </w:p>
        </w:tc>
      </w:tr>
      <w:tr w:rsidR="00551C97" w:rsidRPr="00635A55" w:rsidDel="00C434CE" w14:paraId="01756744" w14:textId="77777777" w:rsidTr="0256B56D">
        <w:trPr>
          <w:cantSplit/>
        </w:trPr>
        <w:tc>
          <w:tcPr>
            <w:tcW w:w="1165" w:type="dxa"/>
            <w:tcMar>
              <w:top w:w="43" w:type="dxa"/>
              <w:left w:w="115" w:type="dxa"/>
              <w:bottom w:w="43" w:type="dxa"/>
              <w:right w:w="115" w:type="dxa"/>
            </w:tcMar>
            <w:vAlign w:val="center"/>
          </w:tcPr>
          <w:p w14:paraId="2312E7D7" w14:textId="4C4EF683" w:rsidR="00551C97" w:rsidRPr="00635A55" w:rsidRDefault="00551C97" w:rsidP="00635A55">
            <w:pPr>
              <w:spacing w:before="120" w:after="120"/>
              <w:contextualSpacing/>
              <w:jc w:val="center"/>
            </w:pPr>
            <w:r w:rsidRPr="00635A55">
              <w:lastRenderedPageBreak/>
              <w:t>8/29</w:t>
            </w:r>
          </w:p>
        </w:tc>
        <w:tc>
          <w:tcPr>
            <w:tcW w:w="1530" w:type="dxa"/>
            <w:tcMar>
              <w:top w:w="43" w:type="dxa"/>
              <w:left w:w="115" w:type="dxa"/>
              <w:bottom w:w="43" w:type="dxa"/>
              <w:right w:w="115" w:type="dxa"/>
            </w:tcMar>
            <w:vAlign w:val="center"/>
          </w:tcPr>
          <w:p w14:paraId="2754FB13" w14:textId="77777777" w:rsidR="00551C97" w:rsidRPr="00635A55" w:rsidRDefault="00551C97"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230C4D3" w14:textId="3FA41A8D" w:rsidR="00551C97" w:rsidRPr="007814D0" w:rsidRDefault="08413A31"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3DA05FF5" w14:textId="76512B7D" w:rsidR="003452C9" w:rsidRPr="00635A55" w:rsidRDefault="00551C97" w:rsidP="00635A55">
            <w:pPr>
              <w:pStyle w:val="Heading3"/>
              <w:spacing w:before="120"/>
              <w:contextualSpacing/>
              <w:textAlignment w:val="baseline"/>
              <w:outlineLvl w:val="2"/>
              <w:rPr>
                <w:rFonts w:cs="Arial"/>
                <w:b w:val="0"/>
              </w:rPr>
            </w:pPr>
            <w:r w:rsidRPr="00635A55">
              <w:rPr>
                <w:rFonts w:cs="Arial"/>
                <w:b w:val="0"/>
              </w:rPr>
              <w:t>Lexile &amp; Quantile Deeper Dive 5</w:t>
            </w:r>
            <w:r w:rsidR="003452C9" w:rsidRPr="00635A55">
              <w:rPr>
                <w:rFonts w:cs="Arial"/>
                <w:b w:val="0"/>
              </w:rPr>
              <w:t>: Discovering Aligned Mathematics Materials</w:t>
            </w:r>
            <w:r w:rsidR="00154C49" w:rsidRPr="00635A55">
              <w:rPr>
                <w:rFonts w:cs="Arial"/>
                <w:b w:val="0"/>
              </w:rPr>
              <w:t>—</w:t>
            </w:r>
            <w:r w:rsidR="003452C9" w:rsidRPr="00635A55">
              <w:rPr>
                <w:rFonts w:cs="Arial"/>
                <w:b w:val="0"/>
              </w:rPr>
              <w:t>Part II</w:t>
            </w:r>
          </w:p>
          <w:p w14:paraId="23FB799E" w14:textId="27727782" w:rsidR="00551C97" w:rsidRPr="00635A55" w:rsidRDefault="00A64BEC" w:rsidP="00635A55">
            <w:pPr>
              <w:spacing w:before="120" w:after="120"/>
            </w:pPr>
            <w:r w:rsidRPr="00635A55">
              <w:t>This session continue</w:t>
            </w:r>
            <w:r w:rsidR="00E84231">
              <w:t>d</w:t>
            </w:r>
            <w:r w:rsidRPr="00635A55">
              <w:t xml:space="preserve"> </w:t>
            </w:r>
            <w:r w:rsidR="006B76B6" w:rsidRPr="00635A55">
              <w:t>the</w:t>
            </w:r>
            <w:r w:rsidRPr="00635A55">
              <w:t xml:space="preserve"> examination of tools for the mathematics classroom that help </w:t>
            </w:r>
            <w:r w:rsidR="252B44E3" w:rsidRPr="00635A55">
              <w:t>educators</w:t>
            </w:r>
            <w:r w:rsidRPr="00635A55">
              <w:t xml:space="preserve"> to differentiate </w:t>
            </w:r>
            <w:r w:rsidR="252B44E3" w:rsidRPr="00635A55">
              <w:t>their</w:t>
            </w:r>
            <w:r w:rsidRPr="00635A55">
              <w:t xml:space="preserve"> instruction while still teaching the grade-level mathematics topics our learning standards require.</w:t>
            </w:r>
          </w:p>
        </w:tc>
      </w:tr>
      <w:tr w:rsidR="00551C97" w:rsidRPr="00635A55" w:rsidDel="00C434CE" w14:paraId="4F1467AC" w14:textId="77777777" w:rsidTr="0256B56D">
        <w:trPr>
          <w:cantSplit/>
        </w:trPr>
        <w:tc>
          <w:tcPr>
            <w:tcW w:w="1165" w:type="dxa"/>
            <w:tcMar>
              <w:top w:w="43" w:type="dxa"/>
              <w:left w:w="115" w:type="dxa"/>
              <w:bottom w:w="43" w:type="dxa"/>
              <w:right w:w="115" w:type="dxa"/>
            </w:tcMar>
            <w:vAlign w:val="center"/>
          </w:tcPr>
          <w:p w14:paraId="10073D0D" w14:textId="60FA3202" w:rsidR="00551C97" w:rsidRPr="00635A55" w:rsidRDefault="00551C97" w:rsidP="00635A55">
            <w:pPr>
              <w:spacing w:before="120" w:after="120"/>
              <w:contextualSpacing/>
              <w:jc w:val="center"/>
            </w:pPr>
            <w:r w:rsidRPr="00635A55">
              <w:t>8/31</w:t>
            </w:r>
          </w:p>
        </w:tc>
        <w:tc>
          <w:tcPr>
            <w:tcW w:w="1530" w:type="dxa"/>
            <w:tcMar>
              <w:top w:w="43" w:type="dxa"/>
              <w:left w:w="115" w:type="dxa"/>
              <w:bottom w:w="43" w:type="dxa"/>
              <w:right w:w="115" w:type="dxa"/>
            </w:tcMar>
            <w:vAlign w:val="center"/>
          </w:tcPr>
          <w:p w14:paraId="00BDC8AF" w14:textId="77777777" w:rsidR="00551C97" w:rsidRPr="00635A55" w:rsidRDefault="00551C97" w:rsidP="00635A55">
            <w:pPr>
              <w:spacing w:before="120" w:after="120"/>
              <w:contextualSpacing/>
              <w:jc w:val="center"/>
            </w:pPr>
            <w:r w:rsidRPr="00635A55">
              <w:t>Virtual</w:t>
            </w:r>
          </w:p>
        </w:tc>
        <w:tc>
          <w:tcPr>
            <w:tcW w:w="1440" w:type="dxa"/>
            <w:tcMar>
              <w:top w:w="43" w:type="dxa"/>
              <w:left w:w="115" w:type="dxa"/>
              <w:bottom w:w="43" w:type="dxa"/>
              <w:right w:w="115" w:type="dxa"/>
            </w:tcMar>
            <w:vAlign w:val="center"/>
          </w:tcPr>
          <w:p w14:paraId="0BC89FF5" w14:textId="46467FE0" w:rsidR="00551C97" w:rsidRPr="007814D0" w:rsidRDefault="1850CC3D" w:rsidP="00635A55">
            <w:pPr>
              <w:tabs>
                <w:tab w:val="decimal" w:pos="785"/>
              </w:tabs>
              <w:spacing w:before="120" w:after="120"/>
              <w:contextualSpacing/>
            </w:pPr>
            <w:r w:rsidRPr="007814D0">
              <w:t>50</w:t>
            </w:r>
          </w:p>
        </w:tc>
        <w:tc>
          <w:tcPr>
            <w:tcW w:w="5456" w:type="dxa"/>
            <w:tcMar>
              <w:top w:w="43" w:type="dxa"/>
              <w:left w:w="115" w:type="dxa"/>
              <w:bottom w:w="43" w:type="dxa"/>
              <w:right w:w="115" w:type="dxa"/>
            </w:tcMar>
          </w:tcPr>
          <w:p w14:paraId="09C0939B" w14:textId="77777777" w:rsidR="009758D4" w:rsidRPr="00635A55" w:rsidRDefault="00551C97" w:rsidP="00635A55">
            <w:pPr>
              <w:pStyle w:val="Heading3"/>
              <w:spacing w:before="120"/>
              <w:contextualSpacing/>
              <w:textAlignment w:val="baseline"/>
              <w:outlineLvl w:val="2"/>
              <w:rPr>
                <w:rFonts w:cs="Arial"/>
                <w:b w:val="0"/>
              </w:rPr>
            </w:pPr>
            <w:r w:rsidRPr="00635A55">
              <w:rPr>
                <w:rFonts w:cs="Arial"/>
                <w:b w:val="0"/>
              </w:rPr>
              <w:t>Lexile &amp; Quantile Deeper Dive 6</w:t>
            </w:r>
            <w:r w:rsidR="00A64BEC" w:rsidRPr="00635A55">
              <w:rPr>
                <w:rFonts w:cs="Arial"/>
                <w:b w:val="0"/>
              </w:rPr>
              <w:t xml:space="preserve">: </w:t>
            </w:r>
            <w:r w:rsidR="009758D4" w:rsidRPr="00635A55">
              <w:rPr>
                <w:rFonts w:cs="Arial"/>
                <w:b w:val="0"/>
              </w:rPr>
              <w:t>Lexile and Quantile Tools to Promote with Parents and Guardians</w:t>
            </w:r>
          </w:p>
          <w:p w14:paraId="2AAD2295" w14:textId="04916016" w:rsidR="00551C97" w:rsidRPr="00635A55" w:rsidRDefault="008F1FE6" w:rsidP="00635A55">
            <w:pPr>
              <w:spacing w:before="120" w:after="120"/>
            </w:pPr>
            <w:r w:rsidRPr="00635A55">
              <w:t xml:space="preserve">This hands-on session </w:t>
            </w:r>
            <w:r w:rsidR="0089730C" w:rsidRPr="00635A55">
              <w:t xml:space="preserve">for </w:t>
            </w:r>
            <w:r w:rsidR="00154C49" w:rsidRPr="00635A55">
              <w:t>educators</w:t>
            </w:r>
            <w:r w:rsidR="0089730C" w:rsidRPr="00635A55">
              <w:t xml:space="preserve"> </w:t>
            </w:r>
            <w:r w:rsidRPr="00635A55">
              <w:t>share</w:t>
            </w:r>
            <w:r w:rsidR="00D11B9B">
              <w:t>d</w:t>
            </w:r>
            <w:r w:rsidRPr="00635A55">
              <w:t xml:space="preserve"> reading and math tools </w:t>
            </w:r>
            <w:r w:rsidR="00D11B9B">
              <w:t xml:space="preserve">that </w:t>
            </w:r>
            <w:r w:rsidR="0089730C" w:rsidRPr="00635A55">
              <w:t xml:space="preserve">educators and </w:t>
            </w:r>
            <w:r w:rsidRPr="00635A55">
              <w:t>families can use to explore reading and mathematics resources at each child’s unique ability level.</w:t>
            </w:r>
          </w:p>
        </w:tc>
      </w:tr>
    </w:tbl>
    <w:p w14:paraId="4C4ADF31" w14:textId="77777777" w:rsidR="002D4BFF" w:rsidRPr="007A01B5" w:rsidRDefault="002D4BFF" w:rsidP="007A01B5">
      <w:pPr>
        <w:pStyle w:val="Heading2"/>
        <w:spacing w:before="240" w:after="240"/>
      </w:pPr>
      <w:r w:rsidRPr="007A01B5">
        <w:t>Table 2. Advisory Panel/Review Committee Meetings</w:t>
      </w:r>
    </w:p>
    <w:tbl>
      <w:tblPr>
        <w:tblStyle w:val="TableGrid"/>
        <w:tblW w:w="9591"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30"/>
        <w:gridCol w:w="1440"/>
        <w:gridCol w:w="5456"/>
      </w:tblGrid>
      <w:tr w:rsidR="002D4BFF" w:rsidRPr="00635A55" w14:paraId="510F9A73" w14:textId="77777777" w:rsidTr="2663A0BF">
        <w:trPr>
          <w:cantSplit/>
          <w:tblHeader/>
        </w:trPr>
        <w:tc>
          <w:tcPr>
            <w:tcW w:w="1165" w:type="dxa"/>
            <w:shd w:val="clear" w:color="auto" w:fill="D9D9D9" w:themeFill="background1" w:themeFillShade="D9"/>
            <w:vAlign w:val="center"/>
          </w:tcPr>
          <w:p w14:paraId="7BAD3034" w14:textId="77777777" w:rsidR="002D4BFF" w:rsidRPr="00635A55" w:rsidRDefault="002D4BFF" w:rsidP="002D4BFF">
            <w:pPr>
              <w:spacing w:before="120" w:after="120"/>
              <w:jc w:val="center"/>
              <w:rPr>
                <w:b/>
              </w:rPr>
            </w:pPr>
            <w:r w:rsidRPr="00635A55">
              <w:rPr>
                <w:b/>
              </w:rPr>
              <w:t>Date(s)</w:t>
            </w:r>
          </w:p>
        </w:tc>
        <w:tc>
          <w:tcPr>
            <w:tcW w:w="1530" w:type="dxa"/>
            <w:shd w:val="clear" w:color="auto" w:fill="D9D9D9" w:themeFill="background1" w:themeFillShade="D9"/>
            <w:vAlign w:val="center"/>
          </w:tcPr>
          <w:p w14:paraId="54395E17" w14:textId="77777777" w:rsidR="002D4BFF" w:rsidRPr="00635A55" w:rsidRDefault="002D4BFF" w:rsidP="002D4BFF">
            <w:pPr>
              <w:spacing w:before="120" w:after="120"/>
              <w:jc w:val="center"/>
              <w:rPr>
                <w:b/>
              </w:rPr>
            </w:pPr>
            <w:r w:rsidRPr="00635A55">
              <w:rPr>
                <w:b/>
              </w:rPr>
              <w:t>Location</w:t>
            </w:r>
          </w:p>
        </w:tc>
        <w:tc>
          <w:tcPr>
            <w:tcW w:w="1440" w:type="dxa"/>
            <w:shd w:val="clear" w:color="auto" w:fill="D9D9D9" w:themeFill="background1" w:themeFillShade="D9"/>
            <w:vAlign w:val="center"/>
          </w:tcPr>
          <w:p w14:paraId="317C5F40" w14:textId="77777777" w:rsidR="002D4BFF" w:rsidRPr="00635A55" w:rsidRDefault="002D4BFF" w:rsidP="002D4BFF">
            <w:pPr>
              <w:spacing w:before="120" w:after="120"/>
              <w:jc w:val="center"/>
              <w:rPr>
                <w:color w:val="000000"/>
                <w:lang w:val="en"/>
              </w:rPr>
            </w:pPr>
            <w:r w:rsidRPr="00635A55">
              <w:rPr>
                <w:b/>
              </w:rPr>
              <w:t>Estimated Number of Attendees</w:t>
            </w:r>
          </w:p>
        </w:tc>
        <w:tc>
          <w:tcPr>
            <w:tcW w:w="5456" w:type="dxa"/>
            <w:shd w:val="clear" w:color="auto" w:fill="D9D9D9" w:themeFill="background1" w:themeFillShade="D9"/>
            <w:vAlign w:val="center"/>
          </w:tcPr>
          <w:p w14:paraId="02F99ED9" w14:textId="77777777" w:rsidR="002D4BFF" w:rsidRPr="00635A55" w:rsidRDefault="002D4BFF" w:rsidP="002D4BFF">
            <w:pPr>
              <w:spacing w:before="120" w:after="120"/>
              <w:jc w:val="center"/>
              <w:rPr>
                <w:b/>
              </w:rPr>
            </w:pPr>
            <w:r w:rsidRPr="00635A55">
              <w:rPr>
                <w:b/>
              </w:rPr>
              <w:t>Description</w:t>
            </w:r>
          </w:p>
        </w:tc>
      </w:tr>
      <w:tr w:rsidR="00DA5337" w:rsidRPr="00635A55" w:rsidDel="00C434CE" w14:paraId="2E526E55" w14:textId="77777777" w:rsidTr="2663A0BF">
        <w:trPr>
          <w:cantSplit/>
        </w:trPr>
        <w:tc>
          <w:tcPr>
            <w:tcW w:w="1165" w:type="dxa"/>
            <w:vAlign w:val="center"/>
          </w:tcPr>
          <w:p w14:paraId="1A7D41DF" w14:textId="2A2535BD" w:rsidR="00DA5337" w:rsidRPr="00635A55" w:rsidRDefault="00DA5337" w:rsidP="00DA5337">
            <w:pPr>
              <w:spacing w:before="120" w:after="120" w:line="259" w:lineRule="auto"/>
              <w:jc w:val="center"/>
            </w:pPr>
            <w:r w:rsidRPr="00635A55">
              <w:t>7/11–12</w:t>
            </w:r>
          </w:p>
        </w:tc>
        <w:tc>
          <w:tcPr>
            <w:tcW w:w="1530" w:type="dxa"/>
            <w:vAlign w:val="center"/>
          </w:tcPr>
          <w:p w14:paraId="5254D39D" w14:textId="708B6D1F" w:rsidR="00DA5337" w:rsidRPr="00635A55" w:rsidRDefault="00DA5337" w:rsidP="00DA5337">
            <w:pPr>
              <w:spacing w:before="120" w:after="120"/>
              <w:jc w:val="center"/>
            </w:pPr>
            <w:r w:rsidRPr="00635A55">
              <w:t>Virtual</w:t>
            </w:r>
          </w:p>
        </w:tc>
        <w:tc>
          <w:tcPr>
            <w:tcW w:w="1440" w:type="dxa"/>
            <w:vAlign w:val="center"/>
          </w:tcPr>
          <w:p w14:paraId="1B471271" w14:textId="2B3B07AD" w:rsidR="00DA5337" w:rsidRPr="007814D0" w:rsidRDefault="5D604B71" w:rsidP="00DA5337">
            <w:pPr>
              <w:spacing w:before="120" w:after="120" w:line="259" w:lineRule="auto"/>
              <w:jc w:val="center"/>
            </w:pPr>
            <w:r w:rsidRPr="007814D0">
              <w:t>20</w:t>
            </w:r>
          </w:p>
        </w:tc>
        <w:tc>
          <w:tcPr>
            <w:tcW w:w="5456" w:type="dxa"/>
          </w:tcPr>
          <w:p w14:paraId="2FE639D2" w14:textId="77777777" w:rsidR="00DA5337" w:rsidRPr="00635A55" w:rsidRDefault="00DA5337" w:rsidP="00DA5337">
            <w:pPr>
              <w:spacing w:before="120" w:after="120"/>
              <w:textAlignment w:val="baseline"/>
            </w:pPr>
            <w:r w:rsidRPr="00635A55">
              <w:t>CSA Data Review Meeting</w:t>
            </w:r>
          </w:p>
          <w:p w14:paraId="109B3BD1" w14:textId="2E44F4FF" w:rsidR="00DA5337" w:rsidRPr="00635A55" w:rsidRDefault="00DA5337" w:rsidP="00DA5337">
            <w:pPr>
              <w:spacing w:before="120" w:after="120"/>
            </w:pPr>
            <w:r w:rsidRPr="00635A55">
              <w:t>Participants reviewed data on the performance of live items.</w:t>
            </w:r>
          </w:p>
        </w:tc>
      </w:tr>
      <w:tr w:rsidR="002D4BFF" w:rsidRPr="00635A55" w:rsidDel="00C434CE" w14:paraId="4101652C" w14:textId="77777777" w:rsidTr="2663A0BF">
        <w:trPr>
          <w:cantSplit/>
        </w:trPr>
        <w:tc>
          <w:tcPr>
            <w:tcW w:w="1165" w:type="dxa"/>
            <w:vAlign w:val="center"/>
          </w:tcPr>
          <w:p w14:paraId="4B99056E" w14:textId="2677ADF5" w:rsidR="002D4BFF" w:rsidRPr="00635A55" w:rsidRDefault="00DA5337" w:rsidP="002D4BFF">
            <w:pPr>
              <w:spacing w:before="120" w:after="120" w:line="259" w:lineRule="auto"/>
              <w:jc w:val="center"/>
            </w:pPr>
            <w:r w:rsidRPr="00635A55">
              <w:t>7/19–20</w:t>
            </w:r>
          </w:p>
        </w:tc>
        <w:tc>
          <w:tcPr>
            <w:tcW w:w="1530" w:type="dxa"/>
            <w:vAlign w:val="center"/>
          </w:tcPr>
          <w:p w14:paraId="1299C43A" w14:textId="5859693E" w:rsidR="002D4BFF" w:rsidRPr="00635A55" w:rsidRDefault="00DA5337" w:rsidP="002D4BFF">
            <w:pPr>
              <w:spacing w:before="120" w:after="120"/>
              <w:jc w:val="center"/>
            </w:pPr>
            <w:r w:rsidRPr="00635A55">
              <w:t>Virtual</w:t>
            </w:r>
          </w:p>
        </w:tc>
        <w:tc>
          <w:tcPr>
            <w:tcW w:w="1440" w:type="dxa"/>
            <w:vAlign w:val="center"/>
          </w:tcPr>
          <w:p w14:paraId="4DDBEF00" w14:textId="1962BD66" w:rsidR="002D4BFF" w:rsidRPr="007814D0" w:rsidRDefault="375E2DC2" w:rsidP="002D4BFF">
            <w:pPr>
              <w:spacing w:before="120" w:after="120" w:line="259" w:lineRule="auto"/>
              <w:jc w:val="center"/>
            </w:pPr>
            <w:r w:rsidRPr="007814D0">
              <w:t>12</w:t>
            </w:r>
          </w:p>
        </w:tc>
        <w:tc>
          <w:tcPr>
            <w:tcW w:w="5456" w:type="dxa"/>
          </w:tcPr>
          <w:p w14:paraId="7927562C" w14:textId="77777777" w:rsidR="00DA5337" w:rsidRPr="00635A55" w:rsidRDefault="00DA5337" w:rsidP="00DA5337">
            <w:pPr>
              <w:spacing w:before="120" w:after="120"/>
              <w:textAlignment w:val="baseline"/>
            </w:pPr>
            <w:r w:rsidRPr="00635A55">
              <w:t>CAA for ELA/Math Data Review Meeting</w:t>
            </w:r>
          </w:p>
          <w:p w14:paraId="3461D779" w14:textId="7521D057" w:rsidR="002D4BFF" w:rsidRPr="00635A55" w:rsidRDefault="00DA5337" w:rsidP="002D4BFF">
            <w:pPr>
              <w:spacing w:before="120" w:after="120"/>
            </w:pPr>
            <w:r w:rsidRPr="00635A55">
              <w:t>Educators reviewed test items for content, bias, and sensitivity.</w:t>
            </w:r>
          </w:p>
        </w:tc>
      </w:tr>
    </w:tbl>
    <w:p w14:paraId="5E58EEBC" w14:textId="77777777" w:rsidR="002D4BFF" w:rsidRPr="007A01B5" w:rsidRDefault="002D4BFF" w:rsidP="007A01B5">
      <w:pPr>
        <w:pStyle w:val="Heading2"/>
        <w:spacing w:before="240" w:after="240"/>
      </w:pPr>
      <w:r w:rsidRPr="007A01B5">
        <w:lastRenderedPageBreak/>
        <w:t>Table 3. Presentations by CDE 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530"/>
        <w:gridCol w:w="1440"/>
        <w:gridCol w:w="5456"/>
      </w:tblGrid>
      <w:tr w:rsidR="002D4BFF" w:rsidRPr="005909AA" w14:paraId="22383A58" w14:textId="77777777" w:rsidTr="5C7029B2">
        <w:trPr>
          <w:cantSplit/>
          <w:tblHeader/>
        </w:trPr>
        <w:tc>
          <w:tcPr>
            <w:tcW w:w="1165" w:type="dxa"/>
            <w:shd w:val="clear" w:color="auto" w:fill="D9D9D9" w:themeFill="background1" w:themeFillShade="D9"/>
            <w:vAlign w:val="center"/>
          </w:tcPr>
          <w:p w14:paraId="567A570E" w14:textId="77777777" w:rsidR="002D4BFF" w:rsidRPr="005909AA" w:rsidRDefault="002D4BFF" w:rsidP="002D4BFF">
            <w:pPr>
              <w:spacing w:before="120" w:after="120"/>
              <w:jc w:val="center"/>
              <w:rPr>
                <w:b/>
              </w:rPr>
            </w:pPr>
            <w:r w:rsidRPr="005909AA">
              <w:rPr>
                <w:b/>
              </w:rPr>
              <w:t>Date(s)</w:t>
            </w:r>
          </w:p>
        </w:tc>
        <w:tc>
          <w:tcPr>
            <w:tcW w:w="1530" w:type="dxa"/>
            <w:shd w:val="clear" w:color="auto" w:fill="D9D9D9" w:themeFill="background1" w:themeFillShade="D9"/>
            <w:vAlign w:val="center"/>
          </w:tcPr>
          <w:p w14:paraId="12403541" w14:textId="77777777" w:rsidR="002D4BFF" w:rsidRPr="005909AA" w:rsidRDefault="002D4BFF" w:rsidP="002D4BFF">
            <w:pPr>
              <w:spacing w:before="120" w:after="120"/>
              <w:jc w:val="center"/>
              <w:rPr>
                <w:b/>
              </w:rPr>
            </w:pPr>
            <w:r w:rsidRPr="005909AA">
              <w:rPr>
                <w:b/>
              </w:rPr>
              <w:t>Location</w:t>
            </w:r>
          </w:p>
        </w:tc>
        <w:tc>
          <w:tcPr>
            <w:tcW w:w="1440" w:type="dxa"/>
            <w:shd w:val="clear" w:color="auto" w:fill="D9D9D9" w:themeFill="background1" w:themeFillShade="D9"/>
            <w:vAlign w:val="center"/>
          </w:tcPr>
          <w:p w14:paraId="704B9945" w14:textId="77777777" w:rsidR="002D4BFF" w:rsidRPr="005909AA" w:rsidRDefault="002D4BFF" w:rsidP="002D4BFF">
            <w:pPr>
              <w:spacing w:before="120" w:after="120"/>
              <w:jc w:val="center"/>
              <w:rPr>
                <w:color w:val="000000"/>
                <w:lang w:val="en"/>
              </w:rPr>
            </w:pPr>
            <w:r w:rsidRPr="005909AA">
              <w:rPr>
                <w:b/>
              </w:rPr>
              <w:t>Estimated Number of Attendees</w:t>
            </w:r>
          </w:p>
        </w:tc>
        <w:tc>
          <w:tcPr>
            <w:tcW w:w="5456" w:type="dxa"/>
            <w:shd w:val="clear" w:color="auto" w:fill="D9D9D9" w:themeFill="background1" w:themeFillShade="D9"/>
            <w:vAlign w:val="center"/>
          </w:tcPr>
          <w:p w14:paraId="513D93E2" w14:textId="77777777" w:rsidR="002D4BFF" w:rsidRPr="005909AA" w:rsidRDefault="002D4BFF" w:rsidP="002D4BFF">
            <w:pPr>
              <w:spacing w:before="120" w:after="120"/>
              <w:jc w:val="center"/>
              <w:rPr>
                <w:b/>
              </w:rPr>
            </w:pPr>
            <w:r w:rsidRPr="005909AA">
              <w:rPr>
                <w:b/>
              </w:rPr>
              <w:t>Description</w:t>
            </w:r>
          </w:p>
        </w:tc>
      </w:tr>
      <w:tr w:rsidR="00C226EE" w:rsidRPr="005909AA" w:rsidDel="00C434CE" w14:paraId="18A7F9DB" w14:textId="77777777" w:rsidTr="5C7029B2">
        <w:trPr>
          <w:cantSplit/>
        </w:trPr>
        <w:tc>
          <w:tcPr>
            <w:tcW w:w="1165" w:type="dxa"/>
            <w:vAlign w:val="center"/>
          </w:tcPr>
          <w:p w14:paraId="345B6CD3" w14:textId="77777777" w:rsidR="00C226EE" w:rsidRPr="005909AA" w:rsidRDefault="00C226EE" w:rsidP="008537AC">
            <w:pPr>
              <w:spacing w:before="120" w:after="120" w:line="259" w:lineRule="auto"/>
              <w:jc w:val="center"/>
            </w:pPr>
            <w:r w:rsidRPr="005909AA">
              <w:t>8/17–18</w:t>
            </w:r>
          </w:p>
        </w:tc>
        <w:tc>
          <w:tcPr>
            <w:tcW w:w="1530" w:type="dxa"/>
            <w:vAlign w:val="center"/>
          </w:tcPr>
          <w:p w14:paraId="326AB0E5" w14:textId="77777777" w:rsidR="00C226EE" w:rsidRPr="005909AA" w:rsidRDefault="00C226EE" w:rsidP="008537AC">
            <w:pPr>
              <w:spacing w:before="120" w:after="120"/>
              <w:jc w:val="center"/>
            </w:pPr>
            <w:r w:rsidRPr="005909AA">
              <w:t>Virtual</w:t>
            </w:r>
          </w:p>
        </w:tc>
        <w:tc>
          <w:tcPr>
            <w:tcW w:w="1440" w:type="dxa"/>
            <w:vAlign w:val="center"/>
          </w:tcPr>
          <w:p w14:paraId="42111DA7" w14:textId="77777777" w:rsidR="00C226EE" w:rsidRPr="007814D0" w:rsidRDefault="00C226EE" w:rsidP="008537AC">
            <w:pPr>
              <w:spacing w:before="120" w:after="120" w:line="259" w:lineRule="auto"/>
              <w:jc w:val="center"/>
            </w:pPr>
            <w:r w:rsidRPr="007814D0">
              <w:t>25</w:t>
            </w:r>
          </w:p>
        </w:tc>
        <w:tc>
          <w:tcPr>
            <w:tcW w:w="5456" w:type="dxa"/>
          </w:tcPr>
          <w:p w14:paraId="25AB6F0E" w14:textId="77777777" w:rsidR="00C226EE" w:rsidRPr="005909AA" w:rsidRDefault="00C226EE" w:rsidP="008537AC">
            <w:pPr>
              <w:spacing w:before="120" w:after="120"/>
            </w:pPr>
            <w:r w:rsidRPr="005909AA">
              <w:t>Advisory Commission on Special Education</w:t>
            </w:r>
          </w:p>
          <w:p w14:paraId="3CD02854" w14:textId="19A9D228" w:rsidR="00C226EE" w:rsidRPr="005909AA" w:rsidRDefault="00C226EE" w:rsidP="008537AC">
            <w:pPr>
              <w:spacing w:before="120" w:after="120"/>
            </w:pPr>
            <w:r w:rsidRPr="005909AA">
              <w:t xml:space="preserve">In conjunction with the Special Education Division, the </w:t>
            </w:r>
            <w:r w:rsidR="00DE24E2">
              <w:t>Assessment Development and Administration Division</w:t>
            </w:r>
            <w:r w:rsidR="00DE24E2" w:rsidRPr="005909AA">
              <w:t xml:space="preserve"> </w:t>
            </w:r>
            <w:r w:rsidRPr="005909AA">
              <w:t xml:space="preserve">provided updates on assessment and test development. </w:t>
            </w:r>
          </w:p>
        </w:tc>
      </w:tr>
    </w:tbl>
    <w:p w14:paraId="378B1CF1" w14:textId="0BE87862" w:rsidR="0FF69568" w:rsidRDefault="0FF69568"/>
    <w:p w14:paraId="29F32984" w14:textId="77777777" w:rsidR="00BA1ADC" w:rsidRDefault="00BA1ADC" w:rsidP="00D017D3">
      <w:pPr>
        <w:spacing w:before="240" w:after="240"/>
        <w:ind w:left="720" w:firstLine="446"/>
        <w:jc w:val="center"/>
        <w:rPr>
          <w:rFonts w:eastAsia="SimSun"/>
          <w:b/>
          <w:sz w:val="32"/>
          <w:szCs w:val="32"/>
          <w:lang w:eastAsia="zh-CN"/>
        </w:rPr>
        <w:sectPr w:rsidR="00BA1ADC" w:rsidSect="002D4BFF">
          <w:headerReference w:type="default" r:id="rId41"/>
          <w:pgSz w:w="12240" w:h="15840"/>
          <w:pgMar w:top="720" w:right="1440" w:bottom="1440" w:left="1440" w:header="720" w:footer="720" w:gutter="0"/>
          <w:pgNumType w:start="1"/>
          <w:cols w:space="720"/>
          <w:docGrid w:linePitch="360"/>
        </w:sectPr>
      </w:pPr>
    </w:p>
    <w:p w14:paraId="378FBF19" w14:textId="0ED1F91A" w:rsidR="003802C7" w:rsidRPr="007A01B5" w:rsidRDefault="007A01B5" w:rsidP="007A01B5">
      <w:pPr>
        <w:pStyle w:val="Heading1"/>
        <w:jc w:val="center"/>
        <w:rPr>
          <w:sz w:val="28"/>
        </w:rPr>
      </w:pPr>
      <w:r w:rsidRPr="007A01B5">
        <w:rPr>
          <w:sz w:val="28"/>
        </w:rPr>
        <w:lastRenderedPageBreak/>
        <w:t xml:space="preserve">Attachment 2: </w:t>
      </w:r>
      <w:r w:rsidR="4EA95387" w:rsidRPr="007A01B5">
        <w:rPr>
          <w:sz w:val="28"/>
        </w:rPr>
        <w:t xml:space="preserve">State Superintendent of Public Instruction’s </w:t>
      </w:r>
      <w:r w:rsidR="6A737047" w:rsidRPr="007A01B5">
        <w:rPr>
          <w:sz w:val="28"/>
        </w:rPr>
        <w:t xml:space="preserve">Recommendations for </w:t>
      </w:r>
      <w:r w:rsidR="4EA95387" w:rsidRPr="007A01B5">
        <w:rPr>
          <w:sz w:val="28"/>
        </w:rPr>
        <w:t>Threshold Score</w:t>
      </w:r>
      <w:r w:rsidR="6A737047" w:rsidRPr="007A01B5">
        <w:rPr>
          <w:sz w:val="28"/>
        </w:rPr>
        <w:t>s</w:t>
      </w:r>
      <w:r w:rsidR="4EA95387" w:rsidRPr="007A01B5">
        <w:rPr>
          <w:sz w:val="28"/>
        </w:rPr>
        <w:t xml:space="preserve"> </w:t>
      </w:r>
      <w:r w:rsidR="1C9B063A" w:rsidRPr="007A01B5">
        <w:rPr>
          <w:sz w:val="28"/>
        </w:rPr>
        <w:t xml:space="preserve">and the Standard Setting Panel’s Recommended Judgments for the California Alternate Assessment for Science </w:t>
      </w:r>
    </w:p>
    <w:p w14:paraId="608896F0" w14:textId="512C6125" w:rsidR="003802C7" w:rsidRPr="00214070" w:rsidRDefault="00214070" w:rsidP="008B193F">
      <w:pPr>
        <w:spacing w:after="120"/>
        <w:rPr>
          <w:rFonts w:eastAsia="SimSun"/>
          <w:lang w:eastAsia="zh-CN"/>
        </w:rPr>
      </w:pPr>
      <w:r>
        <w:rPr>
          <w:lang w:eastAsia="zh-CN"/>
        </w:rPr>
        <w:t xml:space="preserve">The </w:t>
      </w:r>
      <w:r>
        <w:rPr>
          <w:rFonts w:eastAsia="SimSun"/>
          <w:lang w:eastAsia="zh-CN"/>
        </w:rPr>
        <w:t>State Superintendent of Public Instruction’s</w:t>
      </w:r>
      <w:r w:rsidRPr="00154C49">
        <w:rPr>
          <w:rFonts w:eastAsia="SimSun"/>
          <w:lang w:eastAsia="zh-CN"/>
        </w:rPr>
        <w:t xml:space="preserve"> </w:t>
      </w:r>
      <w:r>
        <w:rPr>
          <w:bCs/>
        </w:rPr>
        <w:t>r</w:t>
      </w:r>
      <w:r w:rsidRPr="008B588C">
        <w:rPr>
          <w:bCs/>
        </w:rPr>
        <w:t>ecommendation</w:t>
      </w:r>
      <w:r>
        <w:rPr>
          <w:bCs/>
        </w:rPr>
        <w:t>s</w:t>
      </w:r>
      <w:r>
        <w:t xml:space="preserve"> for the threshold scores for the California Alternate Assessment (CAA) for Science</w:t>
      </w:r>
      <w:r w:rsidRPr="00214070">
        <w:rPr>
          <w:lang w:eastAsia="zh-CN"/>
        </w:rPr>
        <w:t xml:space="preserve"> </w:t>
      </w:r>
      <w:r>
        <w:rPr>
          <w:lang w:eastAsia="zh-CN"/>
        </w:rPr>
        <w:t xml:space="preserve">are presented in </w:t>
      </w:r>
      <w:r w:rsidRPr="00040C39">
        <w:rPr>
          <w:lang w:eastAsia="zh-CN"/>
        </w:rPr>
        <w:t>Table 1, below</w:t>
      </w:r>
      <w:r>
        <w:rPr>
          <w:lang w:eastAsia="zh-CN"/>
        </w:rPr>
        <w:t>.</w:t>
      </w:r>
      <w:r>
        <w:t xml:space="preserve"> Table 2, on the following page, presents the </w:t>
      </w:r>
      <w:r>
        <w:rPr>
          <w:rFonts w:eastAsia="SimSun"/>
          <w:lang w:eastAsia="zh-CN"/>
        </w:rPr>
        <w:t>standard setting panel’s</w:t>
      </w:r>
      <w:r w:rsidRPr="002B1A4D">
        <w:rPr>
          <w:rFonts w:eastAsia="SimSun"/>
          <w:lang w:eastAsia="zh-CN"/>
        </w:rPr>
        <w:t xml:space="preserve"> </w:t>
      </w:r>
      <w:r>
        <w:rPr>
          <w:bCs/>
        </w:rPr>
        <w:t>r</w:t>
      </w:r>
      <w:r w:rsidRPr="002B1A4D">
        <w:rPr>
          <w:bCs/>
        </w:rPr>
        <w:t>ecommendation</w:t>
      </w:r>
      <w:r>
        <w:rPr>
          <w:bCs/>
        </w:rPr>
        <w:t>s for the proposed achievement levels for the assessment.</w:t>
      </w:r>
    </w:p>
    <w:p w14:paraId="172C638E" w14:textId="3E1F7720" w:rsidR="00D017D3" w:rsidRPr="007A01B5" w:rsidRDefault="00D017D3" w:rsidP="007A01B5">
      <w:pPr>
        <w:pStyle w:val="Heading2"/>
        <w:rPr>
          <w:rFonts w:eastAsia="SimSun"/>
          <w:b w:val="0"/>
          <w:sz w:val="24"/>
          <w:lang w:eastAsia="zh-CN"/>
        </w:rPr>
      </w:pPr>
      <w:r w:rsidRPr="007A01B5">
        <w:rPr>
          <w:rFonts w:eastAsia="SimSun"/>
          <w:b w:val="0"/>
          <w:sz w:val="24"/>
          <w:lang w:eastAsia="zh-CN"/>
        </w:rPr>
        <w:t xml:space="preserve">Table 1. </w:t>
      </w:r>
      <w:r w:rsidR="00922BAF" w:rsidRPr="007A01B5">
        <w:rPr>
          <w:rFonts w:eastAsia="SimSun"/>
          <w:b w:val="0"/>
          <w:sz w:val="24"/>
          <w:lang w:eastAsia="zh-CN"/>
        </w:rPr>
        <w:t>State Superintendent of Public Instruction’s</w:t>
      </w:r>
      <w:r w:rsidRPr="007A01B5">
        <w:rPr>
          <w:rFonts w:eastAsia="SimSun"/>
          <w:b w:val="0"/>
          <w:sz w:val="24"/>
          <w:lang w:eastAsia="zh-CN"/>
        </w:rPr>
        <w:t xml:space="preserve"> </w:t>
      </w:r>
      <w:r w:rsidR="00922BAF" w:rsidRPr="007A01B5">
        <w:rPr>
          <w:b w:val="0"/>
          <w:sz w:val="24"/>
        </w:rPr>
        <w:t>Recommendations</w:t>
      </w:r>
      <w:r w:rsidRPr="007A01B5">
        <w:rPr>
          <w:b w:val="0"/>
          <w:sz w:val="24"/>
        </w:rPr>
        <w:t xml:space="preserve"> for the Proposed Achievement </w:t>
      </w:r>
      <w:r w:rsidR="00922BAF" w:rsidRPr="007A01B5">
        <w:rPr>
          <w:b w:val="0"/>
          <w:sz w:val="24"/>
        </w:rPr>
        <w:t>Level on the Overall Score for the California Alternate Assessment for Science</w:t>
      </w:r>
      <w:r w:rsidR="00922BAF" w:rsidRPr="007A01B5">
        <w:rPr>
          <w:b w:val="0"/>
          <w:i/>
          <w:sz w:val="24"/>
        </w:rPr>
        <w:t xml:space="preserve"> </w:t>
      </w:r>
    </w:p>
    <w:tbl>
      <w:tblPr>
        <w:tblStyle w:val="TableGrid1"/>
        <w:tblW w:w="0" w:type="auto"/>
        <w:tblInd w:w="-23" w:type="dxa"/>
        <w:tblBorders>
          <w:top w:val="single" w:sz="12" w:space="0" w:color="1F3864"/>
          <w:left w:val="single" w:sz="12" w:space="0" w:color="1F3864"/>
          <w:bottom w:val="single" w:sz="12" w:space="0" w:color="1F3864"/>
          <w:right w:val="single" w:sz="12" w:space="0" w:color="1F3864"/>
        </w:tblBorders>
        <w:tblLook w:val="04A0" w:firstRow="1" w:lastRow="0" w:firstColumn="1" w:lastColumn="0" w:noHBand="0" w:noVBand="1"/>
        <w:tblCaption w:val="Standard Setting Recommendations for the California Science Test"/>
        <w:tblDescription w:val="Table 1. State Superintendent of Public Instruction’s Recommendations for the Proposed Achievement Level on the Overall Score for the California Alternate Assessment for Science."/>
      </w:tblPr>
      <w:tblGrid>
        <w:gridCol w:w="2160"/>
        <w:gridCol w:w="1642"/>
        <w:gridCol w:w="1642"/>
        <w:gridCol w:w="1643"/>
        <w:gridCol w:w="1642"/>
        <w:gridCol w:w="1643"/>
        <w:gridCol w:w="1642"/>
        <w:gridCol w:w="1643"/>
      </w:tblGrid>
      <w:tr w:rsidR="00D017D3" w:rsidRPr="00D017D3" w14:paraId="0407ED35" w14:textId="77777777" w:rsidTr="1D88D842">
        <w:trPr>
          <w:cantSplit/>
          <w:trHeight w:val="1350"/>
          <w:tblHeader/>
        </w:trPr>
        <w:tc>
          <w:tcPr>
            <w:tcW w:w="2160" w:type="dxa"/>
            <w:tcBorders>
              <w:top w:val="single" w:sz="18" w:space="0" w:color="1F3864" w:themeColor="accent5" w:themeShade="80"/>
              <w:left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1CF3EE18" w14:textId="77777777" w:rsidR="00D017D3" w:rsidRPr="008B588C" w:rsidRDefault="00D017D3" w:rsidP="00D017D3">
            <w:pPr>
              <w:jc w:val="center"/>
              <w:rPr>
                <w:b/>
                <w:color w:val="000000"/>
              </w:rPr>
            </w:pPr>
            <w:r w:rsidRPr="008B588C">
              <w:rPr>
                <w:b/>
                <w:color w:val="000000"/>
              </w:rPr>
              <w:t>Grade</w:t>
            </w:r>
          </w:p>
        </w:tc>
        <w:tc>
          <w:tcPr>
            <w:tcW w:w="1642"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5501C856" w14:textId="2A8E9AA6" w:rsidR="00D017D3" w:rsidRPr="008B588C" w:rsidRDefault="00E21D04" w:rsidP="00D017D3">
            <w:pPr>
              <w:jc w:val="center"/>
              <w:rPr>
                <w:b/>
                <w:color w:val="000000"/>
              </w:rPr>
            </w:pPr>
            <w:r>
              <w:rPr>
                <w:b/>
                <w:bCs/>
                <w:color w:val="000000"/>
              </w:rPr>
              <w:t xml:space="preserve">Level 1 </w:t>
            </w:r>
            <w:r w:rsidR="00D017D3" w:rsidRPr="008B588C">
              <w:rPr>
                <w:b/>
                <w:color w:val="000000"/>
              </w:rPr>
              <w:t>Percentage of Students</w:t>
            </w:r>
          </w:p>
        </w:tc>
        <w:tc>
          <w:tcPr>
            <w:tcW w:w="1642" w:type="dxa"/>
            <w:tcBorders>
              <w:top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406F7F3B" w14:textId="2E97AE58" w:rsidR="00D017D3" w:rsidRPr="008B588C" w:rsidRDefault="001C169B" w:rsidP="00D017D3">
            <w:pPr>
              <w:jc w:val="center"/>
              <w:rPr>
                <w:b/>
                <w:color w:val="000000"/>
              </w:rPr>
            </w:pPr>
            <w:r>
              <w:rPr>
                <w:b/>
                <w:bCs/>
                <w:color w:val="000000"/>
              </w:rPr>
              <w:t xml:space="preserve">Level 1 </w:t>
            </w:r>
            <w:r w:rsidR="00D017D3" w:rsidRPr="008B588C">
              <w:rPr>
                <w:b/>
                <w:color w:val="000000"/>
              </w:rPr>
              <w:t xml:space="preserve">Percentage of Students at or </w:t>
            </w:r>
            <w:r w:rsidR="006F2D09">
              <w:rPr>
                <w:b/>
                <w:color w:val="000000"/>
              </w:rPr>
              <w:t>A</w:t>
            </w:r>
            <w:r w:rsidR="00D017D3" w:rsidRPr="008B588C">
              <w:rPr>
                <w:b/>
                <w:color w:val="000000"/>
              </w:rPr>
              <w:t>bove</w:t>
            </w:r>
          </w:p>
        </w:tc>
        <w:tc>
          <w:tcPr>
            <w:tcW w:w="1643"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1070DB2B" w14:textId="6E335297" w:rsidR="00D017D3" w:rsidRPr="008B588C" w:rsidRDefault="001C169B" w:rsidP="00D017D3">
            <w:pPr>
              <w:jc w:val="center"/>
              <w:rPr>
                <w:b/>
                <w:color w:val="000000"/>
              </w:rPr>
            </w:pPr>
            <w:r>
              <w:rPr>
                <w:b/>
                <w:bCs/>
                <w:color w:val="000000"/>
              </w:rPr>
              <w:t xml:space="preserve">Level 2 </w:t>
            </w:r>
            <w:r w:rsidR="00D017D3" w:rsidRPr="008B588C">
              <w:rPr>
                <w:b/>
                <w:color w:val="000000"/>
              </w:rPr>
              <w:t>Percentage of Students</w:t>
            </w:r>
          </w:p>
        </w:tc>
        <w:tc>
          <w:tcPr>
            <w:tcW w:w="1642" w:type="dxa"/>
            <w:tcBorders>
              <w:top w:val="single" w:sz="18" w:space="0" w:color="1F3864" w:themeColor="accent5" w:themeShade="80"/>
              <w:bottom w:val="single" w:sz="4" w:space="0" w:color="auto"/>
            </w:tcBorders>
            <w:shd w:val="clear" w:color="auto" w:fill="D9D9D9" w:themeFill="background1" w:themeFillShade="D9"/>
            <w:vAlign w:val="center"/>
            <w:hideMark/>
          </w:tcPr>
          <w:p w14:paraId="5494C734" w14:textId="55B992DB" w:rsidR="00D017D3" w:rsidRPr="008B588C" w:rsidRDefault="001C169B" w:rsidP="00D017D3">
            <w:pPr>
              <w:jc w:val="center"/>
              <w:rPr>
                <w:b/>
                <w:color w:val="000000"/>
              </w:rPr>
            </w:pPr>
            <w:r>
              <w:rPr>
                <w:b/>
                <w:bCs/>
                <w:color w:val="000000"/>
              </w:rPr>
              <w:t xml:space="preserve">Level 2 </w:t>
            </w:r>
            <w:r w:rsidR="00D017D3" w:rsidRPr="008B588C">
              <w:rPr>
                <w:b/>
                <w:color w:val="000000"/>
              </w:rPr>
              <w:t>Threshold Scale Score</w:t>
            </w:r>
          </w:p>
        </w:tc>
        <w:tc>
          <w:tcPr>
            <w:tcW w:w="1643" w:type="dxa"/>
            <w:tcBorders>
              <w:top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6AAAF3C6" w14:textId="0C084103" w:rsidR="00D017D3" w:rsidRPr="008B588C" w:rsidRDefault="001C169B" w:rsidP="00D017D3">
            <w:pPr>
              <w:jc w:val="center"/>
              <w:rPr>
                <w:b/>
                <w:color w:val="000000"/>
              </w:rPr>
            </w:pPr>
            <w:r>
              <w:rPr>
                <w:b/>
                <w:bCs/>
                <w:color w:val="000000"/>
              </w:rPr>
              <w:t xml:space="preserve">Level 2 </w:t>
            </w:r>
            <w:r w:rsidR="00D017D3" w:rsidRPr="008B588C">
              <w:rPr>
                <w:b/>
                <w:color w:val="000000"/>
              </w:rPr>
              <w:t xml:space="preserve">Percentage of Students at or </w:t>
            </w:r>
            <w:r w:rsidR="006F2D09">
              <w:rPr>
                <w:b/>
                <w:color w:val="000000"/>
              </w:rPr>
              <w:t>A</w:t>
            </w:r>
            <w:r w:rsidR="00D017D3" w:rsidRPr="008B588C">
              <w:rPr>
                <w:b/>
                <w:color w:val="000000"/>
              </w:rPr>
              <w:t>bove</w:t>
            </w:r>
          </w:p>
        </w:tc>
        <w:tc>
          <w:tcPr>
            <w:tcW w:w="1642"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3B56E39F" w14:textId="7F567E70" w:rsidR="00D017D3" w:rsidRPr="008B588C" w:rsidRDefault="001C169B" w:rsidP="00D017D3">
            <w:pPr>
              <w:jc w:val="center"/>
              <w:rPr>
                <w:b/>
                <w:color w:val="000000"/>
              </w:rPr>
            </w:pPr>
            <w:r>
              <w:rPr>
                <w:b/>
                <w:bCs/>
                <w:color w:val="000000"/>
              </w:rPr>
              <w:t xml:space="preserve">Level 3 </w:t>
            </w:r>
            <w:r w:rsidR="00D017D3" w:rsidRPr="008B588C">
              <w:rPr>
                <w:b/>
                <w:color w:val="000000"/>
              </w:rPr>
              <w:t xml:space="preserve">Percentage of Students </w:t>
            </w:r>
          </w:p>
        </w:tc>
        <w:tc>
          <w:tcPr>
            <w:tcW w:w="1643" w:type="dxa"/>
            <w:tcBorders>
              <w:top w:val="single" w:sz="18" w:space="0" w:color="1F3864" w:themeColor="accent5" w:themeShade="80"/>
              <w:bottom w:val="single" w:sz="4" w:space="0" w:color="auto"/>
            </w:tcBorders>
            <w:shd w:val="clear" w:color="auto" w:fill="D9D9D9" w:themeFill="background1" w:themeFillShade="D9"/>
            <w:vAlign w:val="center"/>
            <w:hideMark/>
          </w:tcPr>
          <w:p w14:paraId="0F672BCC" w14:textId="343D9842" w:rsidR="00D017D3" w:rsidRPr="008B588C" w:rsidRDefault="001C169B" w:rsidP="00D017D3">
            <w:pPr>
              <w:jc w:val="center"/>
              <w:rPr>
                <w:b/>
                <w:color w:val="000000"/>
              </w:rPr>
            </w:pPr>
            <w:r>
              <w:rPr>
                <w:b/>
                <w:bCs/>
                <w:color w:val="000000"/>
              </w:rPr>
              <w:t xml:space="preserve">Level 3 </w:t>
            </w:r>
            <w:r w:rsidR="00D017D3" w:rsidRPr="008B588C">
              <w:rPr>
                <w:b/>
                <w:color w:val="000000"/>
              </w:rPr>
              <w:t>Threshold Scale Score</w:t>
            </w:r>
          </w:p>
        </w:tc>
      </w:tr>
      <w:tr w:rsidR="00D017D3" w:rsidRPr="00D017D3" w14:paraId="2AEEDB88" w14:textId="77777777" w:rsidTr="1D88D842">
        <w:trPr>
          <w:cantSplit/>
          <w:trHeight w:val="315"/>
        </w:trPr>
        <w:tc>
          <w:tcPr>
            <w:tcW w:w="2160" w:type="dxa"/>
            <w:tcBorders>
              <w:top w:val="single" w:sz="4" w:space="0" w:color="auto"/>
              <w:left w:val="single" w:sz="18" w:space="0" w:color="1F3864" w:themeColor="accent5" w:themeShade="80"/>
              <w:bottom w:val="single" w:sz="4" w:space="0" w:color="auto"/>
              <w:right w:val="single" w:sz="18" w:space="0" w:color="1F3864" w:themeColor="accent5" w:themeShade="80"/>
            </w:tcBorders>
          </w:tcPr>
          <w:p w14:paraId="3F23B14B" w14:textId="77777777" w:rsidR="00D017D3" w:rsidRPr="008B588C" w:rsidRDefault="00D017D3" w:rsidP="00D017D3">
            <w:pPr>
              <w:jc w:val="center"/>
              <w:rPr>
                <w:color w:val="000000"/>
              </w:rPr>
            </w:pPr>
            <w:r w:rsidRPr="008B588C">
              <w:rPr>
                <w:color w:val="000000"/>
              </w:rPr>
              <w:t>5</w:t>
            </w:r>
          </w:p>
        </w:tc>
        <w:tc>
          <w:tcPr>
            <w:tcW w:w="1642" w:type="dxa"/>
            <w:tcBorders>
              <w:top w:val="single" w:sz="4" w:space="0" w:color="auto"/>
              <w:left w:val="single" w:sz="18" w:space="0" w:color="1F3864" w:themeColor="accent5" w:themeShade="80"/>
              <w:bottom w:val="single" w:sz="4" w:space="0" w:color="auto"/>
            </w:tcBorders>
          </w:tcPr>
          <w:p w14:paraId="57555613" w14:textId="5D3CB2E2" w:rsidR="00D017D3" w:rsidRPr="008B588C" w:rsidRDefault="1D88D842">
            <w:pPr>
              <w:tabs>
                <w:tab w:val="decimal" w:pos="703"/>
              </w:tabs>
              <w:rPr>
                <w:color w:val="000000" w:themeColor="text1"/>
              </w:rPr>
            </w:pPr>
            <w:r w:rsidRPr="1D88D842">
              <w:rPr>
                <w:color w:val="000000" w:themeColor="text1"/>
              </w:rPr>
              <w:t>33.7</w:t>
            </w:r>
          </w:p>
        </w:tc>
        <w:tc>
          <w:tcPr>
            <w:tcW w:w="1642" w:type="dxa"/>
            <w:tcBorders>
              <w:top w:val="single" w:sz="4" w:space="0" w:color="auto"/>
              <w:bottom w:val="single" w:sz="4" w:space="0" w:color="auto"/>
              <w:right w:val="single" w:sz="18" w:space="0" w:color="1F3864" w:themeColor="accent5" w:themeShade="80"/>
            </w:tcBorders>
          </w:tcPr>
          <w:p w14:paraId="7FD3E9D8" w14:textId="77777777" w:rsidR="00D017D3" w:rsidRPr="008B588C" w:rsidRDefault="00D017D3" w:rsidP="008B588C">
            <w:pPr>
              <w:tabs>
                <w:tab w:val="decimal" w:pos="864"/>
              </w:tabs>
              <w:rPr>
                <w:color w:val="000000"/>
              </w:rPr>
            </w:pPr>
            <w:r w:rsidRPr="008B588C">
              <w:rPr>
                <w:color w:val="000000"/>
              </w:rPr>
              <w:t>100</w:t>
            </w:r>
          </w:p>
        </w:tc>
        <w:tc>
          <w:tcPr>
            <w:tcW w:w="1643" w:type="dxa"/>
            <w:tcBorders>
              <w:top w:val="single" w:sz="4" w:space="0" w:color="auto"/>
              <w:left w:val="single" w:sz="18" w:space="0" w:color="1F3864" w:themeColor="accent5" w:themeShade="80"/>
              <w:bottom w:val="single" w:sz="4" w:space="0" w:color="auto"/>
            </w:tcBorders>
          </w:tcPr>
          <w:p w14:paraId="7FBF0697" w14:textId="7CA75FB0" w:rsidR="00D017D3" w:rsidRPr="008B588C" w:rsidRDefault="1D88D842">
            <w:pPr>
              <w:tabs>
                <w:tab w:val="decimal" w:pos="752"/>
              </w:tabs>
              <w:rPr>
                <w:color w:val="000000" w:themeColor="text1"/>
              </w:rPr>
            </w:pPr>
            <w:r w:rsidRPr="1D88D842">
              <w:rPr>
                <w:color w:val="000000" w:themeColor="text1"/>
              </w:rPr>
              <w:t>42.9</w:t>
            </w:r>
          </w:p>
        </w:tc>
        <w:tc>
          <w:tcPr>
            <w:tcW w:w="1642" w:type="dxa"/>
            <w:tcBorders>
              <w:top w:val="single" w:sz="4" w:space="0" w:color="auto"/>
              <w:bottom w:val="single" w:sz="4" w:space="0" w:color="auto"/>
            </w:tcBorders>
          </w:tcPr>
          <w:p w14:paraId="5E6CCA43" w14:textId="3C0EF01A" w:rsidR="00D017D3" w:rsidRPr="008B588C" w:rsidRDefault="1D88D842">
            <w:pPr>
              <w:tabs>
                <w:tab w:val="decimal" w:pos="810"/>
              </w:tabs>
              <w:rPr>
                <w:color w:val="000000" w:themeColor="text1"/>
              </w:rPr>
            </w:pPr>
            <w:r w:rsidRPr="1D88D842">
              <w:rPr>
                <w:color w:val="000000" w:themeColor="text1"/>
              </w:rPr>
              <w:t>247</w:t>
            </w:r>
          </w:p>
        </w:tc>
        <w:tc>
          <w:tcPr>
            <w:tcW w:w="1643" w:type="dxa"/>
            <w:tcBorders>
              <w:top w:val="single" w:sz="4" w:space="0" w:color="auto"/>
              <w:bottom w:val="single" w:sz="4" w:space="0" w:color="auto"/>
              <w:right w:val="single" w:sz="18" w:space="0" w:color="1F3864" w:themeColor="accent5" w:themeShade="80"/>
            </w:tcBorders>
          </w:tcPr>
          <w:p w14:paraId="0E984C7A" w14:textId="241DF761" w:rsidR="00D017D3" w:rsidRPr="008B588C" w:rsidRDefault="1D88D842">
            <w:pPr>
              <w:tabs>
                <w:tab w:val="decimal" w:pos="700"/>
              </w:tabs>
              <w:rPr>
                <w:color w:val="000000" w:themeColor="text1"/>
              </w:rPr>
            </w:pPr>
            <w:r w:rsidRPr="1D88D842">
              <w:rPr>
                <w:color w:val="000000" w:themeColor="text1"/>
              </w:rPr>
              <w:t>66.3</w:t>
            </w:r>
          </w:p>
        </w:tc>
        <w:tc>
          <w:tcPr>
            <w:tcW w:w="1642" w:type="dxa"/>
            <w:tcBorders>
              <w:top w:val="single" w:sz="4" w:space="0" w:color="auto"/>
              <w:left w:val="single" w:sz="18" w:space="0" w:color="1F3864" w:themeColor="accent5" w:themeShade="80"/>
              <w:bottom w:val="single" w:sz="4" w:space="0" w:color="auto"/>
            </w:tcBorders>
          </w:tcPr>
          <w:p w14:paraId="03BA9986" w14:textId="2CA8073A" w:rsidR="00D017D3" w:rsidRPr="008B588C" w:rsidRDefault="1D88D842">
            <w:pPr>
              <w:tabs>
                <w:tab w:val="decimal" w:pos="769"/>
              </w:tabs>
              <w:rPr>
                <w:color w:val="000000" w:themeColor="text1"/>
              </w:rPr>
            </w:pPr>
            <w:r w:rsidRPr="1D88D842">
              <w:rPr>
                <w:color w:val="000000" w:themeColor="text1"/>
              </w:rPr>
              <w:t>23.4</w:t>
            </w:r>
          </w:p>
        </w:tc>
        <w:tc>
          <w:tcPr>
            <w:tcW w:w="1643" w:type="dxa"/>
            <w:tcBorders>
              <w:top w:val="single" w:sz="4" w:space="0" w:color="auto"/>
              <w:bottom w:val="single" w:sz="4" w:space="0" w:color="auto"/>
            </w:tcBorders>
          </w:tcPr>
          <w:p w14:paraId="28A05BCF" w14:textId="4529FE62" w:rsidR="00D017D3" w:rsidRPr="008B588C" w:rsidRDefault="1D88D842">
            <w:pPr>
              <w:tabs>
                <w:tab w:val="decimal" w:pos="839"/>
              </w:tabs>
              <w:rPr>
                <w:color w:val="000000" w:themeColor="text1"/>
              </w:rPr>
            </w:pPr>
            <w:r w:rsidRPr="1D88D842">
              <w:rPr>
                <w:color w:val="000000" w:themeColor="text1"/>
              </w:rPr>
              <w:t>266</w:t>
            </w:r>
          </w:p>
        </w:tc>
      </w:tr>
      <w:tr w:rsidR="00D017D3" w:rsidRPr="00D017D3" w14:paraId="64FA3621" w14:textId="77777777" w:rsidTr="1D88D842">
        <w:trPr>
          <w:cantSplit/>
          <w:trHeight w:val="315"/>
        </w:trPr>
        <w:tc>
          <w:tcPr>
            <w:tcW w:w="2160" w:type="dxa"/>
            <w:tcBorders>
              <w:top w:val="single" w:sz="4" w:space="0" w:color="auto"/>
              <w:left w:val="single" w:sz="18" w:space="0" w:color="1F3864" w:themeColor="accent5" w:themeShade="80"/>
              <w:bottom w:val="single" w:sz="4" w:space="0" w:color="auto"/>
              <w:right w:val="single" w:sz="18" w:space="0" w:color="1F3864" w:themeColor="accent5" w:themeShade="80"/>
            </w:tcBorders>
            <w:hideMark/>
          </w:tcPr>
          <w:p w14:paraId="2868C740" w14:textId="77777777" w:rsidR="00D017D3" w:rsidRPr="008B588C" w:rsidRDefault="00D017D3" w:rsidP="00D017D3">
            <w:pPr>
              <w:jc w:val="center"/>
              <w:rPr>
                <w:color w:val="000000"/>
              </w:rPr>
            </w:pPr>
            <w:r w:rsidRPr="008B588C">
              <w:rPr>
                <w:color w:val="000000"/>
              </w:rPr>
              <w:t>8</w:t>
            </w:r>
          </w:p>
        </w:tc>
        <w:tc>
          <w:tcPr>
            <w:tcW w:w="1642" w:type="dxa"/>
            <w:tcBorders>
              <w:top w:val="single" w:sz="4" w:space="0" w:color="auto"/>
              <w:left w:val="single" w:sz="18" w:space="0" w:color="1F3864" w:themeColor="accent5" w:themeShade="80"/>
              <w:bottom w:val="single" w:sz="4" w:space="0" w:color="auto"/>
            </w:tcBorders>
            <w:hideMark/>
          </w:tcPr>
          <w:p w14:paraId="56B0A9BB" w14:textId="7710C5EC" w:rsidR="00D017D3" w:rsidRPr="008B588C" w:rsidRDefault="1D88D842">
            <w:pPr>
              <w:tabs>
                <w:tab w:val="decimal" w:pos="703"/>
              </w:tabs>
              <w:rPr>
                <w:color w:val="000000" w:themeColor="text1"/>
              </w:rPr>
            </w:pPr>
            <w:r w:rsidRPr="1D88D842">
              <w:rPr>
                <w:color w:val="000000" w:themeColor="text1"/>
              </w:rPr>
              <w:t>27.7</w:t>
            </w:r>
          </w:p>
        </w:tc>
        <w:tc>
          <w:tcPr>
            <w:tcW w:w="1642" w:type="dxa"/>
            <w:tcBorders>
              <w:top w:val="single" w:sz="4" w:space="0" w:color="auto"/>
              <w:bottom w:val="single" w:sz="4" w:space="0" w:color="auto"/>
              <w:right w:val="single" w:sz="18" w:space="0" w:color="1F3864" w:themeColor="accent5" w:themeShade="80"/>
            </w:tcBorders>
            <w:hideMark/>
          </w:tcPr>
          <w:p w14:paraId="526C4FB6" w14:textId="77777777" w:rsidR="00D017D3" w:rsidRPr="008B588C" w:rsidRDefault="00D017D3" w:rsidP="008B588C">
            <w:pPr>
              <w:tabs>
                <w:tab w:val="decimal" w:pos="864"/>
              </w:tabs>
              <w:rPr>
                <w:color w:val="000000"/>
              </w:rPr>
            </w:pPr>
            <w:r w:rsidRPr="008B588C">
              <w:rPr>
                <w:color w:val="000000"/>
              </w:rPr>
              <w:t>100</w:t>
            </w:r>
          </w:p>
        </w:tc>
        <w:tc>
          <w:tcPr>
            <w:tcW w:w="1643" w:type="dxa"/>
            <w:tcBorders>
              <w:top w:val="single" w:sz="4" w:space="0" w:color="auto"/>
              <w:left w:val="single" w:sz="18" w:space="0" w:color="1F3864" w:themeColor="accent5" w:themeShade="80"/>
              <w:bottom w:val="single" w:sz="4" w:space="0" w:color="auto"/>
            </w:tcBorders>
            <w:hideMark/>
          </w:tcPr>
          <w:p w14:paraId="203ADEB9" w14:textId="5985E425" w:rsidR="00D017D3" w:rsidRPr="008B588C" w:rsidRDefault="1D88D842">
            <w:pPr>
              <w:tabs>
                <w:tab w:val="decimal" w:pos="752"/>
              </w:tabs>
              <w:rPr>
                <w:color w:val="000000" w:themeColor="text1"/>
              </w:rPr>
            </w:pPr>
            <w:r w:rsidRPr="1D88D842">
              <w:rPr>
                <w:color w:val="000000" w:themeColor="text1"/>
              </w:rPr>
              <w:t>42.2</w:t>
            </w:r>
          </w:p>
        </w:tc>
        <w:tc>
          <w:tcPr>
            <w:tcW w:w="1642" w:type="dxa"/>
            <w:tcBorders>
              <w:top w:val="single" w:sz="4" w:space="0" w:color="auto"/>
              <w:bottom w:val="single" w:sz="4" w:space="0" w:color="auto"/>
            </w:tcBorders>
            <w:hideMark/>
          </w:tcPr>
          <w:p w14:paraId="0D7F1E60" w14:textId="008E5190" w:rsidR="00D017D3" w:rsidRPr="008B588C" w:rsidRDefault="1D88D842">
            <w:pPr>
              <w:tabs>
                <w:tab w:val="decimal" w:pos="810"/>
              </w:tabs>
              <w:rPr>
                <w:color w:val="000000" w:themeColor="text1"/>
              </w:rPr>
            </w:pPr>
            <w:r w:rsidRPr="1D88D842">
              <w:rPr>
                <w:color w:val="000000" w:themeColor="text1"/>
              </w:rPr>
              <w:t>244</w:t>
            </w:r>
          </w:p>
        </w:tc>
        <w:tc>
          <w:tcPr>
            <w:tcW w:w="1643" w:type="dxa"/>
            <w:tcBorders>
              <w:top w:val="single" w:sz="4" w:space="0" w:color="auto"/>
              <w:bottom w:val="single" w:sz="4" w:space="0" w:color="auto"/>
              <w:right w:val="single" w:sz="18" w:space="0" w:color="1F3864" w:themeColor="accent5" w:themeShade="80"/>
            </w:tcBorders>
            <w:hideMark/>
          </w:tcPr>
          <w:p w14:paraId="60BD0112" w14:textId="6EDBA6ED" w:rsidR="00D017D3" w:rsidRPr="008B588C" w:rsidRDefault="1D88D842">
            <w:pPr>
              <w:tabs>
                <w:tab w:val="decimal" w:pos="700"/>
              </w:tabs>
              <w:rPr>
                <w:color w:val="000000" w:themeColor="text1"/>
              </w:rPr>
            </w:pPr>
            <w:r w:rsidRPr="1D88D842">
              <w:rPr>
                <w:color w:val="000000" w:themeColor="text1"/>
              </w:rPr>
              <w:t>72.3</w:t>
            </w:r>
          </w:p>
        </w:tc>
        <w:tc>
          <w:tcPr>
            <w:tcW w:w="1642" w:type="dxa"/>
            <w:tcBorders>
              <w:top w:val="single" w:sz="4" w:space="0" w:color="auto"/>
              <w:left w:val="single" w:sz="18" w:space="0" w:color="1F3864" w:themeColor="accent5" w:themeShade="80"/>
              <w:bottom w:val="single" w:sz="4" w:space="0" w:color="auto"/>
            </w:tcBorders>
            <w:hideMark/>
          </w:tcPr>
          <w:p w14:paraId="4DDEF238" w14:textId="7B9FB2FA" w:rsidR="00D017D3" w:rsidRPr="008B588C" w:rsidRDefault="1D88D842">
            <w:pPr>
              <w:tabs>
                <w:tab w:val="decimal" w:pos="769"/>
              </w:tabs>
              <w:rPr>
                <w:color w:val="000000" w:themeColor="text1"/>
              </w:rPr>
            </w:pPr>
            <w:r w:rsidRPr="1D88D842">
              <w:rPr>
                <w:color w:val="000000" w:themeColor="text1"/>
              </w:rPr>
              <w:t>30.1</w:t>
            </w:r>
          </w:p>
        </w:tc>
        <w:tc>
          <w:tcPr>
            <w:tcW w:w="1643" w:type="dxa"/>
            <w:tcBorders>
              <w:top w:val="single" w:sz="4" w:space="0" w:color="auto"/>
              <w:bottom w:val="single" w:sz="4" w:space="0" w:color="auto"/>
            </w:tcBorders>
            <w:hideMark/>
          </w:tcPr>
          <w:p w14:paraId="7CFF30A5" w14:textId="38A22751" w:rsidR="00D017D3" w:rsidRPr="008B588C" w:rsidRDefault="1D88D842">
            <w:pPr>
              <w:tabs>
                <w:tab w:val="decimal" w:pos="839"/>
              </w:tabs>
              <w:rPr>
                <w:color w:val="000000" w:themeColor="text1"/>
              </w:rPr>
            </w:pPr>
            <w:r w:rsidRPr="1D88D842">
              <w:rPr>
                <w:color w:val="000000" w:themeColor="text1"/>
              </w:rPr>
              <w:t>263</w:t>
            </w:r>
          </w:p>
        </w:tc>
      </w:tr>
      <w:tr w:rsidR="00D017D3" w:rsidRPr="00D017D3" w14:paraId="258812EB" w14:textId="77777777" w:rsidTr="1D88D842">
        <w:trPr>
          <w:cantSplit/>
          <w:trHeight w:val="315"/>
        </w:trPr>
        <w:tc>
          <w:tcPr>
            <w:tcW w:w="2160" w:type="dxa"/>
            <w:tcBorders>
              <w:top w:val="single" w:sz="4" w:space="0" w:color="auto"/>
              <w:left w:val="single" w:sz="18" w:space="0" w:color="1F3864" w:themeColor="accent5" w:themeShade="80"/>
              <w:bottom w:val="single" w:sz="18" w:space="0" w:color="1F3864" w:themeColor="accent5" w:themeShade="80"/>
              <w:right w:val="single" w:sz="18" w:space="0" w:color="1F3864" w:themeColor="accent5" w:themeShade="80"/>
            </w:tcBorders>
            <w:hideMark/>
          </w:tcPr>
          <w:p w14:paraId="6DFB8A7E" w14:textId="33B2B7CE" w:rsidR="00D017D3" w:rsidRPr="008B588C" w:rsidRDefault="00D017D3" w:rsidP="00D017D3">
            <w:pPr>
              <w:jc w:val="center"/>
              <w:rPr>
                <w:color w:val="000000"/>
              </w:rPr>
            </w:pPr>
            <w:r w:rsidRPr="008B588C">
              <w:rPr>
                <w:color w:val="000000"/>
              </w:rPr>
              <w:t xml:space="preserve">High </w:t>
            </w:r>
            <w:r w:rsidR="00214070">
              <w:rPr>
                <w:color w:val="000000"/>
              </w:rPr>
              <w:t>s</w:t>
            </w:r>
            <w:r w:rsidRPr="008B588C">
              <w:rPr>
                <w:color w:val="000000"/>
              </w:rPr>
              <w:t>chool</w:t>
            </w:r>
          </w:p>
        </w:tc>
        <w:tc>
          <w:tcPr>
            <w:tcW w:w="1642" w:type="dxa"/>
            <w:tcBorders>
              <w:top w:val="single" w:sz="4" w:space="0" w:color="auto"/>
              <w:left w:val="single" w:sz="18" w:space="0" w:color="1F3864" w:themeColor="accent5" w:themeShade="80"/>
              <w:bottom w:val="single" w:sz="18" w:space="0" w:color="1F3864" w:themeColor="accent5" w:themeShade="80"/>
            </w:tcBorders>
            <w:hideMark/>
          </w:tcPr>
          <w:p w14:paraId="65FD034D" w14:textId="3FCB2A10" w:rsidR="00D017D3" w:rsidRPr="008B588C" w:rsidRDefault="1D88D842">
            <w:pPr>
              <w:tabs>
                <w:tab w:val="decimal" w:pos="703"/>
              </w:tabs>
              <w:rPr>
                <w:color w:val="000000" w:themeColor="text1"/>
              </w:rPr>
            </w:pPr>
            <w:r w:rsidRPr="1D88D842">
              <w:rPr>
                <w:color w:val="000000" w:themeColor="text1"/>
              </w:rPr>
              <w:t>30.5</w:t>
            </w:r>
          </w:p>
        </w:tc>
        <w:tc>
          <w:tcPr>
            <w:tcW w:w="1642" w:type="dxa"/>
            <w:tcBorders>
              <w:top w:val="single" w:sz="4" w:space="0" w:color="auto"/>
              <w:bottom w:val="single" w:sz="18" w:space="0" w:color="1F3864" w:themeColor="accent5" w:themeShade="80"/>
              <w:right w:val="single" w:sz="18" w:space="0" w:color="1F3864" w:themeColor="accent5" w:themeShade="80"/>
            </w:tcBorders>
            <w:hideMark/>
          </w:tcPr>
          <w:p w14:paraId="367480CF" w14:textId="77777777" w:rsidR="00D017D3" w:rsidRPr="008B588C" w:rsidRDefault="00D017D3" w:rsidP="008B588C">
            <w:pPr>
              <w:tabs>
                <w:tab w:val="decimal" w:pos="864"/>
              </w:tabs>
              <w:rPr>
                <w:color w:val="000000"/>
              </w:rPr>
            </w:pPr>
            <w:r w:rsidRPr="008B588C">
              <w:rPr>
                <w:color w:val="000000"/>
              </w:rPr>
              <w:t>100</w:t>
            </w:r>
          </w:p>
        </w:tc>
        <w:tc>
          <w:tcPr>
            <w:tcW w:w="1643" w:type="dxa"/>
            <w:tcBorders>
              <w:top w:val="single" w:sz="4" w:space="0" w:color="auto"/>
              <w:left w:val="single" w:sz="18" w:space="0" w:color="1F3864" w:themeColor="accent5" w:themeShade="80"/>
              <w:bottom w:val="single" w:sz="18" w:space="0" w:color="1F3864" w:themeColor="accent5" w:themeShade="80"/>
            </w:tcBorders>
            <w:hideMark/>
          </w:tcPr>
          <w:p w14:paraId="2E7E44E4" w14:textId="70198745" w:rsidR="00D017D3" w:rsidRPr="008B588C" w:rsidRDefault="1D88D842">
            <w:pPr>
              <w:tabs>
                <w:tab w:val="decimal" w:pos="752"/>
              </w:tabs>
              <w:rPr>
                <w:color w:val="000000" w:themeColor="text1"/>
              </w:rPr>
            </w:pPr>
            <w:r w:rsidRPr="1D88D842">
              <w:rPr>
                <w:color w:val="000000" w:themeColor="text1"/>
              </w:rPr>
              <w:t>40.6</w:t>
            </w:r>
          </w:p>
        </w:tc>
        <w:tc>
          <w:tcPr>
            <w:tcW w:w="1642" w:type="dxa"/>
            <w:tcBorders>
              <w:top w:val="single" w:sz="4" w:space="0" w:color="auto"/>
              <w:bottom w:val="single" w:sz="18" w:space="0" w:color="1F3864" w:themeColor="accent5" w:themeShade="80"/>
            </w:tcBorders>
            <w:hideMark/>
          </w:tcPr>
          <w:p w14:paraId="3D25A171" w14:textId="1E674BA5" w:rsidR="00D017D3" w:rsidRPr="008B588C" w:rsidRDefault="1D88D842">
            <w:pPr>
              <w:tabs>
                <w:tab w:val="decimal" w:pos="810"/>
              </w:tabs>
              <w:rPr>
                <w:color w:val="000000" w:themeColor="text1"/>
              </w:rPr>
            </w:pPr>
            <w:r w:rsidRPr="1D88D842">
              <w:rPr>
                <w:color w:val="000000" w:themeColor="text1"/>
              </w:rPr>
              <w:t>246</w:t>
            </w:r>
          </w:p>
        </w:tc>
        <w:tc>
          <w:tcPr>
            <w:tcW w:w="1643" w:type="dxa"/>
            <w:tcBorders>
              <w:top w:val="single" w:sz="4" w:space="0" w:color="auto"/>
              <w:bottom w:val="single" w:sz="18" w:space="0" w:color="1F3864" w:themeColor="accent5" w:themeShade="80"/>
              <w:right w:val="single" w:sz="18" w:space="0" w:color="1F3864" w:themeColor="accent5" w:themeShade="80"/>
            </w:tcBorders>
            <w:hideMark/>
          </w:tcPr>
          <w:p w14:paraId="67AF31E2" w14:textId="7BCDA9DE" w:rsidR="00D017D3" w:rsidRPr="008B588C" w:rsidRDefault="1D88D842">
            <w:pPr>
              <w:tabs>
                <w:tab w:val="decimal" w:pos="700"/>
              </w:tabs>
              <w:rPr>
                <w:color w:val="000000" w:themeColor="text1"/>
              </w:rPr>
            </w:pPr>
            <w:r w:rsidRPr="1D88D842">
              <w:rPr>
                <w:color w:val="000000" w:themeColor="text1"/>
              </w:rPr>
              <w:t>69.5</w:t>
            </w:r>
          </w:p>
        </w:tc>
        <w:tc>
          <w:tcPr>
            <w:tcW w:w="1642" w:type="dxa"/>
            <w:tcBorders>
              <w:top w:val="single" w:sz="4" w:space="0" w:color="auto"/>
              <w:left w:val="single" w:sz="18" w:space="0" w:color="1F3864" w:themeColor="accent5" w:themeShade="80"/>
              <w:bottom w:val="single" w:sz="18" w:space="0" w:color="1F3864" w:themeColor="accent5" w:themeShade="80"/>
            </w:tcBorders>
            <w:hideMark/>
          </w:tcPr>
          <w:p w14:paraId="47199008" w14:textId="1BFA9AF1" w:rsidR="00D017D3" w:rsidRPr="008B588C" w:rsidRDefault="1D88D842">
            <w:pPr>
              <w:tabs>
                <w:tab w:val="decimal" w:pos="769"/>
              </w:tabs>
              <w:rPr>
                <w:color w:val="000000" w:themeColor="text1"/>
              </w:rPr>
            </w:pPr>
            <w:r w:rsidRPr="1D88D842">
              <w:rPr>
                <w:color w:val="000000" w:themeColor="text1"/>
              </w:rPr>
              <w:t>28.9</w:t>
            </w:r>
          </w:p>
        </w:tc>
        <w:tc>
          <w:tcPr>
            <w:tcW w:w="1643" w:type="dxa"/>
            <w:tcBorders>
              <w:top w:val="single" w:sz="4" w:space="0" w:color="auto"/>
              <w:bottom w:val="single" w:sz="18" w:space="0" w:color="1F3864" w:themeColor="accent5" w:themeShade="80"/>
            </w:tcBorders>
            <w:hideMark/>
          </w:tcPr>
          <w:p w14:paraId="3AB75015" w14:textId="7816DB9A" w:rsidR="00D017D3" w:rsidRPr="008B588C" w:rsidRDefault="3F19B2A7" w:rsidP="008B588C">
            <w:pPr>
              <w:tabs>
                <w:tab w:val="decimal" w:pos="839"/>
              </w:tabs>
              <w:rPr>
                <w:color w:val="000000"/>
              </w:rPr>
            </w:pPr>
            <w:r w:rsidRPr="1D88D842">
              <w:rPr>
                <w:color w:val="000000" w:themeColor="text1"/>
              </w:rPr>
              <w:t>264</w:t>
            </w:r>
          </w:p>
        </w:tc>
      </w:tr>
    </w:tbl>
    <w:p w14:paraId="1DC9E0EB" w14:textId="0AF96046" w:rsidR="00922BAF" w:rsidRPr="00040C39" w:rsidRDefault="00922BAF" w:rsidP="00040C39">
      <w:pPr>
        <w:tabs>
          <w:tab w:val="left" w:pos="3960"/>
        </w:tabs>
        <w:spacing w:before="60" w:after="60"/>
        <w:ind w:left="273" w:hanging="86"/>
        <w:jc w:val="center"/>
        <w:rPr>
          <w:iCs/>
          <w:color w:val="000000"/>
          <w:sz w:val="22"/>
          <w:szCs w:val="22"/>
          <w:lang w:eastAsia="ko-KR"/>
        </w:rPr>
      </w:pPr>
      <w:r w:rsidRPr="00040C39">
        <w:rPr>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922BAF" w:rsidRPr="006F2D09" w14:paraId="5DB6B5EE" w14:textId="77777777" w:rsidTr="00CF67C0">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auto"/>
            </w:tcBorders>
            <w:vAlign w:val="center"/>
          </w:tcPr>
          <w:p w14:paraId="64C654A9" w14:textId="77777777" w:rsidR="00922BAF" w:rsidRPr="00040C39" w:rsidRDefault="00922BAF" w:rsidP="008B588C">
            <w:pPr>
              <w:keepNext/>
              <w:rPr>
                <w:b w:val="0"/>
                <w:iCs/>
                <w:color w:val="000000"/>
                <w:lang w:eastAsia="ko-KR"/>
              </w:rPr>
            </w:pPr>
            <w:r w:rsidRPr="006F2D09">
              <w:rPr>
                <w:rFonts w:eastAsia="SimSun" w:cs="Calibri"/>
              </w:rPr>
              <w:t>Percentage of Students</w:t>
            </w:r>
          </w:p>
        </w:tc>
        <w:tc>
          <w:tcPr>
            <w:tcW w:w="9980" w:type="dxa"/>
            <w:tcBorders>
              <w:top w:val="single" w:sz="12" w:space="0" w:color="auto"/>
            </w:tcBorders>
            <w:vAlign w:val="center"/>
          </w:tcPr>
          <w:p w14:paraId="27AAC790" w14:textId="668A73FE" w:rsidR="00922BAF" w:rsidRPr="006F2D09" w:rsidRDefault="00922BAF" w:rsidP="008B588C">
            <w:pPr>
              <w:keepNext/>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6F2D09">
              <w:rPr>
                <w:rFonts w:eastAsia="SimSun" w:cs="Calibri"/>
              </w:rPr>
              <w:t xml:space="preserve">Percent of students statewide who would be placed at this achievement level </w:t>
            </w:r>
            <w:r w:rsidRPr="006F2D09">
              <w:rPr>
                <w:rFonts w:eastAsia="SimSun" w:cs="Calibri"/>
                <w:noProof/>
              </w:rPr>
              <w:t>on the basis of</w:t>
            </w:r>
            <w:r w:rsidRPr="006F2D09">
              <w:rPr>
                <w:rFonts w:eastAsia="SimSun" w:cs="Calibri"/>
              </w:rPr>
              <w:t xml:space="preserve"> the results of the 2021–22 operational field test administration.</w:t>
            </w:r>
          </w:p>
        </w:tc>
      </w:tr>
      <w:tr w:rsidR="00922BAF" w:rsidRPr="006F2D09" w14:paraId="4CB8D8A4" w14:textId="77777777" w:rsidTr="001C16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456E4467" w14:textId="77777777" w:rsidR="00922BAF" w:rsidRPr="00040C39" w:rsidRDefault="00922BAF" w:rsidP="00922BAF">
            <w:pPr>
              <w:rPr>
                <w:b w:val="0"/>
                <w:iCs/>
                <w:color w:val="000000"/>
                <w:lang w:eastAsia="ko-KR"/>
              </w:rPr>
            </w:pPr>
            <w:r w:rsidRPr="006F2D09">
              <w:rPr>
                <w:rFonts w:eastAsia="SimSun" w:cs="Calibri"/>
              </w:rPr>
              <w:t>Standard-Setting Scale Threshold Score</w:t>
            </w:r>
          </w:p>
        </w:tc>
        <w:tc>
          <w:tcPr>
            <w:tcW w:w="9980" w:type="dxa"/>
            <w:vAlign w:val="center"/>
          </w:tcPr>
          <w:p w14:paraId="3242EE33" w14:textId="73CABF01" w:rsidR="00922BAF" w:rsidRPr="006F2D09" w:rsidRDefault="00922BAF" w:rsidP="00922BAF">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6F2D09">
              <w:rPr>
                <w:rFonts w:eastAsia="SimSun" w:cs="Calibri"/>
              </w:rPr>
              <w:t xml:space="preserve">Minimum standard-setting scale score needed to achieve this achievement level </w:t>
            </w:r>
            <w:r w:rsidRPr="006F2D09">
              <w:rPr>
                <w:rFonts w:eastAsia="SimSun" w:cs="Calibri"/>
                <w:noProof/>
              </w:rPr>
              <w:t>on the basis of</w:t>
            </w:r>
            <w:r w:rsidRPr="006F2D09">
              <w:rPr>
                <w:rFonts w:eastAsia="SimSun" w:cs="Calibri"/>
              </w:rPr>
              <w:t xml:space="preserve"> the results of the 2021–22 operational field test administration. See note below.</w:t>
            </w:r>
          </w:p>
        </w:tc>
      </w:tr>
      <w:tr w:rsidR="00922BAF" w:rsidRPr="006F2D09" w14:paraId="61E18669" w14:textId="77777777" w:rsidTr="001C16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6A5BFBAB" w14:textId="77777777" w:rsidR="00922BAF" w:rsidRPr="00040C39" w:rsidRDefault="00922BAF" w:rsidP="00922BAF">
            <w:pPr>
              <w:rPr>
                <w:b w:val="0"/>
                <w:iCs/>
                <w:color w:val="000000"/>
                <w:lang w:eastAsia="ko-KR"/>
              </w:rPr>
            </w:pPr>
            <w:r w:rsidRPr="006F2D09">
              <w:rPr>
                <w:rFonts w:eastAsia="SimSun" w:cs="Calibri"/>
              </w:rPr>
              <w:t>Percentage at or above</w:t>
            </w:r>
          </w:p>
        </w:tc>
        <w:tc>
          <w:tcPr>
            <w:tcW w:w="9980" w:type="dxa"/>
            <w:vAlign w:val="center"/>
          </w:tcPr>
          <w:p w14:paraId="65D2C522" w14:textId="238A5D86" w:rsidR="00922BAF" w:rsidRPr="006F2D09" w:rsidRDefault="00922BAF" w:rsidP="00922BAF">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6F2D09">
              <w:rPr>
                <w:rFonts w:eastAsia="SimSun" w:cs="Calibri"/>
              </w:rPr>
              <w:t xml:space="preserve">Percent of students statewide who would be at and above this achievement level </w:t>
            </w:r>
            <w:r w:rsidRPr="006F2D09">
              <w:rPr>
                <w:rFonts w:eastAsia="SimSun" w:cs="Calibri"/>
                <w:noProof/>
              </w:rPr>
              <w:t>on the basis of</w:t>
            </w:r>
            <w:r w:rsidRPr="006F2D09">
              <w:rPr>
                <w:rFonts w:eastAsia="SimSun" w:cs="Calibri"/>
              </w:rPr>
              <w:t xml:space="preserve"> the results of the 2021–22 operational field test administration.</w:t>
            </w:r>
          </w:p>
        </w:tc>
      </w:tr>
    </w:tbl>
    <w:p w14:paraId="23EE5AEA" w14:textId="77777777" w:rsidR="00922BAF" w:rsidRPr="00922BAF" w:rsidRDefault="00922BAF" w:rsidP="00040C39">
      <w:pPr>
        <w:spacing w:before="60"/>
        <w:rPr>
          <w:iCs/>
          <w:color w:val="000000"/>
          <w:lang w:eastAsia="ko-KR"/>
        </w:rPr>
      </w:pPr>
      <w:r w:rsidRPr="00922BAF">
        <w:rPr>
          <w:iCs/>
          <w:color w:val="000000"/>
          <w:lang w:eastAsia="ko-KR"/>
        </w:rPr>
        <w:t>Notes:</w:t>
      </w:r>
    </w:p>
    <w:p w14:paraId="0A2284A6" w14:textId="39D214A8" w:rsidR="00922BAF" w:rsidRPr="00922BAF" w:rsidRDefault="00922BAF" w:rsidP="00040C39">
      <w:pPr>
        <w:numPr>
          <w:ilvl w:val="0"/>
          <w:numId w:val="37"/>
        </w:numPr>
        <w:spacing w:after="60"/>
        <w:ind w:left="360"/>
      </w:pPr>
      <w:r w:rsidRPr="00922BAF">
        <w:t>Threshold scores are presented on a score scale generated solely for the standard-setting process. Reporting scales will be developed to report scores on the Student Score Report and public reporting.</w:t>
      </w:r>
    </w:p>
    <w:p w14:paraId="69478C46" w14:textId="049235E4" w:rsidR="00922BAF" w:rsidRPr="00922BAF" w:rsidRDefault="5A192D03" w:rsidP="00922BAF">
      <w:pPr>
        <w:numPr>
          <w:ilvl w:val="0"/>
          <w:numId w:val="37"/>
        </w:numPr>
        <w:spacing w:after="120"/>
        <w:ind w:left="360"/>
      </w:pPr>
      <w:r>
        <w:t>The</w:t>
      </w:r>
      <w:r w:rsidR="12A54376">
        <w:t xml:space="preserve"> percentages </w:t>
      </w:r>
      <w:r w:rsidR="1570844E">
        <w:t xml:space="preserve">at each level </w:t>
      </w:r>
      <w:r w:rsidR="12A54376">
        <w:t xml:space="preserve">may not sum to 100 </w:t>
      </w:r>
      <w:proofErr w:type="gramStart"/>
      <w:r w:rsidR="12A54376">
        <w:t>due</w:t>
      </w:r>
      <w:proofErr w:type="gramEnd"/>
      <w:r w:rsidR="12A54376">
        <w:t xml:space="preserve"> to rounding.</w:t>
      </w:r>
    </w:p>
    <w:p w14:paraId="24A0CBC5" w14:textId="4B74487A" w:rsidR="001C169B" w:rsidRPr="007A01B5" w:rsidRDefault="001C169B" w:rsidP="007A01B5">
      <w:pPr>
        <w:pStyle w:val="Heading2"/>
        <w:rPr>
          <w:rFonts w:eastAsia="SimSun"/>
          <w:b w:val="0"/>
          <w:sz w:val="24"/>
          <w:lang w:eastAsia="zh-CN"/>
        </w:rPr>
      </w:pPr>
      <w:r w:rsidRPr="007A01B5">
        <w:rPr>
          <w:rFonts w:eastAsia="SimSun"/>
          <w:b w:val="0"/>
          <w:sz w:val="24"/>
          <w:lang w:eastAsia="zh-CN"/>
        </w:rPr>
        <w:lastRenderedPageBreak/>
        <w:t xml:space="preserve">Table 2. Standard Setting Panel Recommendations for the Proposed Achievement Level on the Overall Score for the California Alternate Assessment for Science </w:t>
      </w:r>
    </w:p>
    <w:tbl>
      <w:tblPr>
        <w:tblStyle w:val="TableGrid1"/>
        <w:tblW w:w="0" w:type="auto"/>
        <w:tblInd w:w="-23" w:type="dxa"/>
        <w:tblBorders>
          <w:top w:val="single" w:sz="12" w:space="0" w:color="1F3864"/>
          <w:left w:val="single" w:sz="12" w:space="0" w:color="1F3864"/>
          <w:bottom w:val="single" w:sz="12" w:space="0" w:color="1F3864"/>
          <w:right w:val="single" w:sz="12" w:space="0" w:color="1F3864"/>
        </w:tblBorders>
        <w:tblLook w:val="04A0" w:firstRow="1" w:lastRow="0" w:firstColumn="1" w:lastColumn="0" w:noHBand="0" w:noVBand="1"/>
        <w:tblCaption w:val="Standard Setting Recommendations for the California Science Test"/>
        <w:tblDescription w:val="Table 2. Standard Setting Panel Recommendations for the Proposed Achievement Level on the Overall Score for the California Alternate Assessment for Science "/>
      </w:tblPr>
      <w:tblGrid>
        <w:gridCol w:w="2160"/>
        <w:gridCol w:w="1642"/>
        <w:gridCol w:w="1642"/>
        <w:gridCol w:w="1643"/>
        <w:gridCol w:w="1642"/>
        <w:gridCol w:w="1643"/>
        <w:gridCol w:w="1642"/>
        <w:gridCol w:w="1643"/>
      </w:tblGrid>
      <w:tr w:rsidR="001C169B" w:rsidRPr="002B1A4D" w14:paraId="5E31AEB4" w14:textId="77777777" w:rsidTr="1D88D842">
        <w:trPr>
          <w:cantSplit/>
          <w:trHeight w:val="1350"/>
          <w:tblHeader/>
        </w:trPr>
        <w:tc>
          <w:tcPr>
            <w:tcW w:w="2160" w:type="dxa"/>
            <w:tcBorders>
              <w:top w:val="single" w:sz="18" w:space="0" w:color="1F3864" w:themeColor="accent5" w:themeShade="80"/>
              <w:left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47B6072D" w14:textId="77777777" w:rsidR="001C169B" w:rsidRPr="002B1A4D" w:rsidRDefault="001C169B" w:rsidP="001C169B">
            <w:pPr>
              <w:jc w:val="center"/>
              <w:rPr>
                <w:b/>
                <w:bCs/>
                <w:color w:val="000000"/>
              </w:rPr>
            </w:pPr>
            <w:r w:rsidRPr="002B1A4D">
              <w:rPr>
                <w:b/>
                <w:bCs/>
                <w:color w:val="000000"/>
              </w:rPr>
              <w:t>Grade</w:t>
            </w:r>
          </w:p>
        </w:tc>
        <w:tc>
          <w:tcPr>
            <w:tcW w:w="1642"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2D3E358C" w14:textId="77777777" w:rsidR="001C169B" w:rsidRPr="002B1A4D" w:rsidRDefault="001C169B" w:rsidP="001C169B">
            <w:pPr>
              <w:jc w:val="center"/>
              <w:rPr>
                <w:b/>
                <w:bCs/>
                <w:color w:val="000000"/>
              </w:rPr>
            </w:pPr>
            <w:r>
              <w:rPr>
                <w:b/>
                <w:bCs/>
                <w:color w:val="000000"/>
              </w:rPr>
              <w:t xml:space="preserve">Level 1 </w:t>
            </w:r>
            <w:r w:rsidRPr="002B1A4D">
              <w:rPr>
                <w:b/>
                <w:bCs/>
                <w:color w:val="000000"/>
              </w:rPr>
              <w:t>Percentage of Students</w:t>
            </w:r>
          </w:p>
        </w:tc>
        <w:tc>
          <w:tcPr>
            <w:tcW w:w="1642" w:type="dxa"/>
            <w:tcBorders>
              <w:top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4698FA6D" w14:textId="68641F48" w:rsidR="001C169B" w:rsidRPr="002B1A4D" w:rsidRDefault="001C169B" w:rsidP="001C169B">
            <w:pPr>
              <w:jc w:val="center"/>
              <w:rPr>
                <w:b/>
                <w:bCs/>
                <w:color w:val="000000"/>
              </w:rPr>
            </w:pPr>
            <w:r>
              <w:rPr>
                <w:b/>
                <w:bCs/>
                <w:color w:val="000000"/>
              </w:rPr>
              <w:t xml:space="preserve">Level 1 </w:t>
            </w:r>
            <w:r w:rsidRPr="002B1A4D">
              <w:rPr>
                <w:b/>
                <w:bCs/>
                <w:color w:val="000000"/>
              </w:rPr>
              <w:t xml:space="preserve">Percentage of Students at or </w:t>
            </w:r>
            <w:r w:rsidR="00F73F48">
              <w:rPr>
                <w:b/>
                <w:bCs/>
                <w:color w:val="000000"/>
              </w:rPr>
              <w:t>A</w:t>
            </w:r>
            <w:r w:rsidRPr="002B1A4D">
              <w:rPr>
                <w:b/>
                <w:bCs/>
                <w:color w:val="000000"/>
              </w:rPr>
              <w:t>bove</w:t>
            </w:r>
          </w:p>
        </w:tc>
        <w:tc>
          <w:tcPr>
            <w:tcW w:w="1643"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75CBF4C5" w14:textId="77777777" w:rsidR="001C169B" w:rsidRPr="002B1A4D" w:rsidRDefault="001C169B" w:rsidP="001C169B">
            <w:pPr>
              <w:jc w:val="center"/>
              <w:rPr>
                <w:b/>
                <w:bCs/>
                <w:color w:val="000000"/>
              </w:rPr>
            </w:pPr>
            <w:r>
              <w:rPr>
                <w:b/>
                <w:bCs/>
                <w:color w:val="000000"/>
              </w:rPr>
              <w:t xml:space="preserve">Level 2 </w:t>
            </w:r>
            <w:r w:rsidRPr="002B1A4D">
              <w:rPr>
                <w:b/>
                <w:bCs/>
                <w:color w:val="000000"/>
              </w:rPr>
              <w:t>Percentage of Students</w:t>
            </w:r>
          </w:p>
        </w:tc>
        <w:tc>
          <w:tcPr>
            <w:tcW w:w="1642" w:type="dxa"/>
            <w:tcBorders>
              <w:top w:val="single" w:sz="18" w:space="0" w:color="1F3864" w:themeColor="accent5" w:themeShade="80"/>
              <w:bottom w:val="single" w:sz="4" w:space="0" w:color="auto"/>
            </w:tcBorders>
            <w:shd w:val="clear" w:color="auto" w:fill="D9D9D9" w:themeFill="background1" w:themeFillShade="D9"/>
            <w:vAlign w:val="center"/>
            <w:hideMark/>
          </w:tcPr>
          <w:p w14:paraId="2C7A2D38" w14:textId="77777777" w:rsidR="001C169B" w:rsidRPr="002B1A4D" w:rsidRDefault="001C169B" w:rsidP="001C169B">
            <w:pPr>
              <w:jc w:val="center"/>
              <w:rPr>
                <w:b/>
                <w:bCs/>
                <w:color w:val="000000"/>
              </w:rPr>
            </w:pPr>
            <w:r>
              <w:rPr>
                <w:b/>
                <w:bCs/>
                <w:color w:val="000000"/>
              </w:rPr>
              <w:t xml:space="preserve">Level 2 </w:t>
            </w:r>
            <w:r w:rsidRPr="002B1A4D">
              <w:rPr>
                <w:b/>
                <w:bCs/>
                <w:color w:val="000000"/>
              </w:rPr>
              <w:t>Threshold Scale Score</w:t>
            </w:r>
          </w:p>
        </w:tc>
        <w:tc>
          <w:tcPr>
            <w:tcW w:w="1643" w:type="dxa"/>
            <w:tcBorders>
              <w:top w:val="single" w:sz="18" w:space="0" w:color="1F3864" w:themeColor="accent5" w:themeShade="80"/>
              <w:bottom w:val="single" w:sz="4" w:space="0" w:color="auto"/>
              <w:right w:val="single" w:sz="18" w:space="0" w:color="1F3864" w:themeColor="accent5" w:themeShade="80"/>
            </w:tcBorders>
            <w:shd w:val="clear" w:color="auto" w:fill="D9D9D9" w:themeFill="background1" w:themeFillShade="D9"/>
            <w:vAlign w:val="center"/>
            <w:hideMark/>
          </w:tcPr>
          <w:p w14:paraId="6625765D" w14:textId="6410FFB8" w:rsidR="001C169B" w:rsidRPr="002B1A4D" w:rsidRDefault="001C169B" w:rsidP="001C169B">
            <w:pPr>
              <w:jc w:val="center"/>
              <w:rPr>
                <w:b/>
                <w:bCs/>
                <w:color w:val="000000"/>
              </w:rPr>
            </w:pPr>
            <w:r>
              <w:rPr>
                <w:b/>
                <w:bCs/>
                <w:color w:val="000000"/>
              </w:rPr>
              <w:t xml:space="preserve">Level 2 </w:t>
            </w:r>
            <w:r w:rsidRPr="002B1A4D">
              <w:rPr>
                <w:b/>
                <w:bCs/>
                <w:color w:val="000000"/>
              </w:rPr>
              <w:t xml:space="preserve">Percentage of Students at or </w:t>
            </w:r>
            <w:r w:rsidR="00F73F48">
              <w:rPr>
                <w:b/>
                <w:bCs/>
                <w:color w:val="000000"/>
              </w:rPr>
              <w:t>A</w:t>
            </w:r>
            <w:r w:rsidRPr="002B1A4D">
              <w:rPr>
                <w:b/>
                <w:bCs/>
                <w:color w:val="000000"/>
              </w:rPr>
              <w:t>bove</w:t>
            </w:r>
          </w:p>
        </w:tc>
        <w:tc>
          <w:tcPr>
            <w:tcW w:w="1642" w:type="dxa"/>
            <w:tcBorders>
              <w:top w:val="single" w:sz="18" w:space="0" w:color="1F3864" w:themeColor="accent5" w:themeShade="80"/>
              <w:left w:val="single" w:sz="18" w:space="0" w:color="1F3864" w:themeColor="accent5" w:themeShade="80"/>
              <w:bottom w:val="single" w:sz="4" w:space="0" w:color="auto"/>
            </w:tcBorders>
            <w:shd w:val="clear" w:color="auto" w:fill="D9D9D9" w:themeFill="background1" w:themeFillShade="D9"/>
            <w:vAlign w:val="center"/>
            <w:hideMark/>
          </w:tcPr>
          <w:p w14:paraId="463AB064" w14:textId="77777777" w:rsidR="001C169B" w:rsidRPr="002B1A4D" w:rsidRDefault="001C169B" w:rsidP="001C169B">
            <w:pPr>
              <w:jc w:val="center"/>
              <w:rPr>
                <w:b/>
                <w:bCs/>
                <w:color w:val="000000"/>
              </w:rPr>
            </w:pPr>
            <w:r>
              <w:rPr>
                <w:b/>
                <w:bCs/>
                <w:color w:val="000000"/>
              </w:rPr>
              <w:t xml:space="preserve">Level 3 </w:t>
            </w:r>
            <w:r w:rsidRPr="002B1A4D">
              <w:rPr>
                <w:b/>
                <w:bCs/>
                <w:color w:val="000000"/>
              </w:rPr>
              <w:t xml:space="preserve">Percentage of Students </w:t>
            </w:r>
          </w:p>
        </w:tc>
        <w:tc>
          <w:tcPr>
            <w:tcW w:w="1643" w:type="dxa"/>
            <w:tcBorders>
              <w:top w:val="single" w:sz="18" w:space="0" w:color="1F3864" w:themeColor="accent5" w:themeShade="80"/>
              <w:bottom w:val="single" w:sz="4" w:space="0" w:color="auto"/>
            </w:tcBorders>
            <w:shd w:val="clear" w:color="auto" w:fill="D9D9D9" w:themeFill="background1" w:themeFillShade="D9"/>
            <w:vAlign w:val="center"/>
            <w:hideMark/>
          </w:tcPr>
          <w:p w14:paraId="548DC7AA" w14:textId="77777777" w:rsidR="001C169B" w:rsidRPr="002B1A4D" w:rsidRDefault="001C169B" w:rsidP="001C169B">
            <w:pPr>
              <w:jc w:val="center"/>
              <w:rPr>
                <w:b/>
                <w:bCs/>
                <w:color w:val="000000"/>
              </w:rPr>
            </w:pPr>
            <w:r>
              <w:rPr>
                <w:b/>
                <w:bCs/>
                <w:color w:val="000000"/>
              </w:rPr>
              <w:t xml:space="preserve">Level 3 </w:t>
            </w:r>
            <w:r w:rsidRPr="002B1A4D">
              <w:rPr>
                <w:b/>
                <w:bCs/>
                <w:color w:val="000000"/>
              </w:rPr>
              <w:t>Threshold Scale Score</w:t>
            </w:r>
          </w:p>
        </w:tc>
      </w:tr>
      <w:tr w:rsidR="001C169B" w:rsidRPr="002B1A4D" w14:paraId="146F5799" w14:textId="77777777" w:rsidTr="1D88D842">
        <w:trPr>
          <w:cantSplit/>
          <w:trHeight w:val="315"/>
        </w:trPr>
        <w:tc>
          <w:tcPr>
            <w:tcW w:w="2160" w:type="dxa"/>
            <w:tcBorders>
              <w:top w:val="single" w:sz="4" w:space="0" w:color="auto"/>
              <w:left w:val="single" w:sz="18" w:space="0" w:color="1F3864" w:themeColor="accent5" w:themeShade="80"/>
              <w:bottom w:val="single" w:sz="4" w:space="0" w:color="auto"/>
              <w:right w:val="single" w:sz="18" w:space="0" w:color="1F3864" w:themeColor="accent5" w:themeShade="80"/>
            </w:tcBorders>
          </w:tcPr>
          <w:p w14:paraId="33082973" w14:textId="77777777" w:rsidR="001C169B" w:rsidRPr="002B1A4D" w:rsidRDefault="001C169B" w:rsidP="001C169B">
            <w:pPr>
              <w:jc w:val="center"/>
              <w:rPr>
                <w:color w:val="000000"/>
              </w:rPr>
            </w:pPr>
            <w:r w:rsidRPr="002B1A4D">
              <w:rPr>
                <w:color w:val="000000"/>
              </w:rPr>
              <w:t>5</w:t>
            </w:r>
          </w:p>
        </w:tc>
        <w:tc>
          <w:tcPr>
            <w:tcW w:w="1642" w:type="dxa"/>
            <w:tcBorders>
              <w:top w:val="single" w:sz="4" w:space="0" w:color="auto"/>
              <w:left w:val="single" w:sz="18" w:space="0" w:color="1F3864" w:themeColor="accent5" w:themeShade="80"/>
              <w:bottom w:val="single" w:sz="4" w:space="0" w:color="auto"/>
            </w:tcBorders>
          </w:tcPr>
          <w:p w14:paraId="5B2AF67E" w14:textId="1FF38ACC" w:rsidR="001C169B" w:rsidRPr="002B1A4D" w:rsidRDefault="1D88D842">
            <w:pPr>
              <w:tabs>
                <w:tab w:val="decimal" w:pos="703"/>
              </w:tabs>
              <w:rPr>
                <w:color w:val="000000" w:themeColor="text1"/>
              </w:rPr>
            </w:pPr>
            <w:r w:rsidRPr="1D88D842">
              <w:rPr>
                <w:color w:val="000000" w:themeColor="text1"/>
              </w:rPr>
              <w:t>38.1</w:t>
            </w:r>
          </w:p>
        </w:tc>
        <w:tc>
          <w:tcPr>
            <w:tcW w:w="1642" w:type="dxa"/>
            <w:tcBorders>
              <w:top w:val="single" w:sz="4" w:space="0" w:color="auto"/>
              <w:bottom w:val="single" w:sz="4" w:space="0" w:color="auto"/>
              <w:right w:val="single" w:sz="18" w:space="0" w:color="1F3864" w:themeColor="accent5" w:themeShade="80"/>
            </w:tcBorders>
          </w:tcPr>
          <w:p w14:paraId="1A3F3830" w14:textId="77777777" w:rsidR="001C169B" w:rsidRPr="002B1A4D" w:rsidRDefault="001C169B" w:rsidP="001C169B">
            <w:pPr>
              <w:tabs>
                <w:tab w:val="decimal" w:pos="864"/>
              </w:tabs>
              <w:rPr>
                <w:color w:val="000000"/>
              </w:rPr>
            </w:pPr>
            <w:r w:rsidRPr="002B1A4D">
              <w:rPr>
                <w:color w:val="000000"/>
              </w:rPr>
              <w:t>100</w:t>
            </w:r>
          </w:p>
        </w:tc>
        <w:tc>
          <w:tcPr>
            <w:tcW w:w="1643" w:type="dxa"/>
            <w:tcBorders>
              <w:top w:val="single" w:sz="4" w:space="0" w:color="auto"/>
              <w:left w:val="single" w:sz="18" w:space="0" w:color="1F3864" w:themeColor="accent5" w:themeShade="80"/>
              <w:bottom w:val="single" w:sz="4" w:space="0" w:color="auto"/>
            </w:tcBorders>
          </w:tcPr>
          <w:p w14:paraId="065B38F2" w14:textId="5D2084A8" w:rsidR="001C169B" w:rsidRPr="002B1A4D" w:rsidRDefault="1D88D842">
            <w:pPr>
              <w:tabs>
                <w:tab w:val="decimal" w:pos="752"/>
              </w:tabs>
              <w:rPr>
                <w:color w:val="000000" w:themeColor="text1"/>
              </w:rPr>
            </w:pPr>
            <w:r w:rsidRPr="1D88D842">
              <w:rPr>
                <w:color w:val="000000" w:themeColor="text1"/>
              </w:rPr>
              <w:t>44.1</w:t>
            </w:r>
          </w:p>
        </w:tc>
        <w:tc>
          <w:tcPr>
            <w:tcW w:w="1642" w:type="dxa"/>
            <w:tcBorders>
              <w:top w:val="single" w:sz="4" w:space="0" w:color="auto"/>
              <w:bottom w:val="single" w:sz="4" w:space="0" w:color="auto"/>
            </w:tcBorders>
          </w:tcPr>
          <w:p w14:paraId="74A45588" w14:textId="438E04FC" w:rsidR="001C169B" w:rsidRPr="002B1A4D" w:rsidRDefault="6A28E392" w:rsidP="001C169B">
            <w:pPr>
              <w:tabs>
                <w:tab w:val="decimal" w:pos="810"/>
              </w:tabs>
              <w:rPr>
                <w:color w:val="000000"/>
              </w:rPr>
            </w:pPr>
            <w:r w:rsidRPr="1D88D842">
              <w:rPr>
                <w:color w:val="000000" w:themeColor="text1"/>
              </w:rPr>
              <w:t>249</w:t>
            </w:r>
          </w:p>
        </w:tc>
        <w:tc>
          <w:tcPr>
            <w:tcW w:w="1643" w:type="dxa"/>
            <w:tcBorders>
              <w:top w:val="single" w:sz="4" w:space="0" w:color="auto"/>
              <w:bottom w:val="single" w:sz="4" w:space="0" w:color="auto"/>
              <w:right w:val="single" w:sz="18" w:space="0" w:color="1F3864" w:themeColor="accent5" w:themeShade="80"/>
            </w:tcBorders>
          </w:tcPr>
          <w:p w14:paraId="5F723665" w14:textId="3A621D3A" w:rsidR="001C169B" w:rsidRPr="002B1A4D" w:rsidRDefault="6A28E392" w:rsidP="001C169B">
            <w:pPr>
              <w:tabs>
                <w:tab w:val="decimal" w:pos="700"/>
              </w:tabs>
              <w:rPr>
                <w:color w:val="000000"/>
              </w:rPr>
            </w:pPr>
            <w:r w:rsidRPr="1D88D842">
              <w:rPr>
                <w:color w:val="000000" w:themeColor="text1"/>
              </w:rPr>
              <w:t>61.9</w:t>
            </w:r>
          </w:p>
        </w:tc>
        <w:tc>
          <w:tcPr>
            <w:tcW w:w="1642" w:type="dxa"/>
            <w:tcBorders>
              <w:top w:val="single" w:sz="4" w:space="0" w:color="auto"/>
              <w:left w:val="single" w:sz="18" w:space="0" w:color="1F3864" w:themeColor="accent5" w:themeShade="80"/>
              <w:bottom w:val="single" w:sz="4" w:space="0" w:color="auto"/>
            </w:tcBorders>
          </w:tcPr>
          <w:p w14:paraId="3B9DA16D" w14:textId="61080034" w:rsidR="001C169B" w:rsidRPr="002B1A4D" w:rsidRDefault="6A28E392" w:rsidP="001C169B">
            <w:pPr>
              <w:tabs>
                <w:tab w:val="decimal" w:pos="769"/>
              </w:tabs>
              <w:rPr>
                <w:color w:val="000000"/>
              </w:rPr>
            </w:pPr>
            <w:r w:rsidRPr="1D88D842">
              <w:rPr>
                <w:color w:val="000000" w:themeColor="text1"/>
              </w:rPr>
              <w:t>17.9</w:t>
            </w:r>
          </w:p>
        </w:tc>
        <w:tc>
          <w:tcPr>
            <w:tcW w:w="1643" w:type="dxa"/>
            <w:tcBorders>
              <w:top w:val="single" w:sz="4" w:space="0" w:color="auto"/>
              <w:bottom w:val="single" w:sz="4" w:space="0" w:color="auto"/>
            </w:tcBorders>
          </w:tcPr>
          <w:p w14:paraId="2946992F" w14:textId="0AFCA555" w:rsidR="001C169B" w:rsidRPr="002B1A4D" w:rsidRDefault="6A28E392" w:rsidP="001C169B">
            <w:pPr>
              <w:tabs>
                <w:tab w:val="decimal" w:pos="839"/>
              </w:tabs>
              <w:rPr>
                <w:color w:val="000000"/>
              </w:rPr>
            </w:pPr>
            <w:r w:rsidRPr="1D88D842">
              <w:rPr>
                <w:color w:val="000000" w:themeColor="text1"/>
              </w:rPr>
              <w:t>269</w:t>
            </w:r>
          </w:p>
        </w:tc>
      </w:tr>
      <w:tr w:rsidR="001C169B" w:rsidRPr="002B1A4D" w14:paraId="0FA7206B" w14:textId="77777777" w:rsidTr="1D88D842">
        <w:trPr>
          <w:cantSplit/>
          <w:trHeight w:val="315"/>
        </w:trPr>
        <w:tc>
          <w:tcPr>
            <w:tcW w:w="2160" w:type="dxa"/>
            <w:tcBorders>
              <w:top w:val="single" w:sz="4" w:space="0" w:color="auto"/>
              <w:left w:val="single" w:sz="18" w:space="0" w:color="1F3864" w:themeColor="accent5" w:themeShade="80"/>
              <w:bottom w:val="single" w:sz="4" w:space="0" w:color="auto"/>
              <w:right w:val="single" w:sz="18" w:space="0" w:color="1F3864" w:themeColor="accent5" w:themeShade="80"/>
            </w:tcBorders>
            <w:hideMark/>
          </w:tcPr>
          <w:p w14:paraId="0E8052EA" w14:textId="77777777" w:rsidR="001C169B" w:rsidRPr="002B1A4D" w:rsidRDefault="001C169B" w:rsidP="001C169B">
            <w:pPr>
              <w:jc w:val="center"/>
              <w:rPr>
                <w:color w:val="000000"/>
              </w:rPr>
            </w:pPr>
            <w:r w:rsidRPr="002B1A4D">
              <w:rPr>
                <w:color w:val="000000"/>
              </w:rPr>
              <w:t>8</w:t>
            </w:r>
          </w:p>
        </w:tc>
        <w:tc>
          <w:tcPr>
            <w:tcW w:w="1642" w:type="dxa"/>
            <w:tcBorders>
              <w:top w:val="single" w:sz="4" w:space="0" w:color="auto"/>
              <w:left w:val="single" w:sz="18" w:space="0" w:color="1F3864" w:themeColor="accent5" w:themeShade="80"/>
              <w:bottom w:val="single" w:sz="4" w:space="0" w:color="auto"/>
            </w:tcBorders>
            <w:hideMark/>
          </w:tcPr>
          <w:p w14:paraId="6BF995AD" w14:textId="195F6A93" w:rsidR="001C169B" w:rsidRPr="002B1A4D" w:rsidRDefault="1D88D842">
            <w:pPr>
              <w:tabs>
                <w:tab w:val="decimal" w:pos="703"/>
              </w:tabs>
              <w:rPr>
                <w:color w:val="000000" w:themeColor="text1"/>
              </w:rPr>
            </w:pPr>
            <w:r w:rsidRPr="1D88D842">
              <w:rPr>
                <w:color w:val="000000" w:themeColor="text1"/>
              </w:rPr>
              <w:t>27.7</w:t>
            </w:r>
          </w:p>
        </w:tc>
        <w:tc>
          <w:tcPr>
            <w:tcW w:w="1642" w:type="dxa"/>
            <w:tcBorders>
              <w:top w:val="single" w:sz="4" w:space="0" w:color="auto"/>
              <w:bottom w:val="single" w:sz="4" w:space="0" w:color="auto"/>
              <w:right w:val="single" w:sz="18" w:space="0" w:color="1F3864" w:themeColor="accent5" w:themeShade="80"/>
            </w:tcBorders>
            <w:hideMark/>
          </w:tcPr>
          <w:p w14:paraId="60EFF04D" w14:textId="77777777" w:rsidR="001C169B" w:rsidRPr="002B1A4D" w:rsidRDefault="001C169B" w:rsidP="001C169B">
            <w:pPr>
              <w:tabs>
                <w:tab w:val="decimal" w:pos="864"/>
              </w:tabs>
              <w:rPr>
                <w:color w:val="000000"/>
              </w:rPr>
            </w:pPr>
            <w:r w:rsidRPr="002B1A4D">
              <w:rPr>
                <w:color w:val="000000"/>
              </w:rPr>
              <w:t>100</w:t>
            </w:r>
          </w:p>
        </w:tc>
        <w:tc>
          <w:tcPr>
            <w:tcW w:w="1643" w:type="dxa"/>
            <w:tcBorders>
              <w:top w:val="single" w:sz="4" w:space="0" w:color="auto"/>
              <w:left w:val="single" w:sz="18" w:space="0" w:color="1F3864" w:themeColor="accent5" w:themeShade="80"/>
              <w:bottom w:val="single" w:sz="4" w:space="0" w:color="auto"/>
            </w:tcBorders>
            <w:hideMark/>
          </w:tcPr>
          <w:p w14:paraId="6FE2ADE2" w14:textId="7C8841D2" w:rsidR="001C169B" w:rsidRPr="002B1A4D" w:rsidRDefault="1D88D842">
            <w:pPr>
              <w:tabs>
                <w:tab w:val="decimal" w:pos="752"/>
              </w:tabs>
              <w:rPr>
                <w:color w:val="000000" w:themeColor="text1"/>
              </w:rPr>
            </w:pPr>
            <w:r w:rsidRPr="1D88D842">
              <w:rPr>
                <w:color w:val="000000" w:themeColor="text1"/>
              </w:rPr>
              <w:t>38.2</w:t>
            </w:r>
          </w:p>
        </w:tc>
        <w:tc>
          <w:tcPr>
            <w:tcW w:w="1642" w:type="dxa"/>
            <w:tcBorders>
              <w:top w:val="single" w:sz="4" w:space="0" w:color="auto"/>
              <w:bottom w:val="single" w:sz="4" w:space="0" w:color="auto"/>
            </w:tcBorders>
            <w:hideMark/>
          </w:tcPr>
          <w:p w14:paraId="6635B73A" w14:textId="12520CE1" w:rsidR="001C169B" w:rsidRPr="002B1A4D" w:rsidRDefault="6A28E392" w:rsidP="001C169B">
            <w:pPr>
              <w:tabs>
                <w:tab w:val="decimal" w:pos="810"/>
              </w:tabs>
              <w:rPr>
                <w:color w:val="000000"/>
              </w:rPr>
            </w:pPr>
            <w:r w:rsidRPr="1D88D842">
              <w:rPr>
                <w:color w:val="000000" w:themeColor="text1"/>
              </w:rPr>
              <w:t>244</w:t>
            </w:r>
          </w:p>
        </w:tc>
        <w:tc>
          <w:tcPr>
            <w:tcW w:w="1643" w:type="dxa"/>
            <w:tcBorders>
              <w:top w:val="single" w:sz="4" w:space="0" w:color="auto"/>
              <w:bottom w:val="single" w:sz="4" w:space="0" w:color="auto"/>
              <w:right w:val="single" w:sz="18" w:space="0" w:color="1F3864" w:themeColor="accent5" w:themeShade="80"/>
            </w:tcBorders>
            <w:hideMark/>
          </w:tcPr>
          <w:p w14:paraId="35C31D4A" w14:textId="70C4C351" w:rsidR="001C169B" w:rsidRPr="002B1A4D" w:rsidRDefault="6A28E392" w:rsidP="001C169B">
            <w:pPr>
              <w:tabs>
                <w:tab w:val="decimal" w:pos="700"/>
              </w:tabs>
              <w:rPr>
                <w:color w:val="000000"/>
              </w:rPr>
            </w:pPr>
            <w:r w:rsidRPr="1D88D842">
              <w:rPr>
                <w:color w:val="000000" w:themeColor="text1"/>
              </w:rPr>
              <w:t>72.3</w:t>
            </w:r>
          </w:p>
        </w:tc>
        <w:tc>
          <w:tcPr>
            <w:tcW w:w="1642" w:type="dxa"/>
            <w:tcBorders>
              <w:top w:val="single" w:sz="4" w:space="0" w:color="auto"/>
              <w:left w:val="single" w:sz="18" w:space="0" w:color="1F3864" w:themeColor="accent5" w:themeShade="80"/>
              <w:bottom w:val="single" w:sz="4" w:space="0" w:color="auto"/>
            </w:tcBorders>
            <w:hideMark/>
          </w:tcPr>
          <w:p w14:paraId="194764F8" w14:textId="4785E161" w:rsidR="001C169B" w:rsidRPr="002B1A4D" w:rsidRDefault="6A28E392" w:rsidP="001C169B">
            <w:pPr>
              <w:tabs>
                <w:tab w:val="decimal" w:pos="769"/>
              </w:tabs>
              <w:rPr>
                <w:color w:val="000000"/>
              </w:rPr>
            </w:pPr>
            <w:r w:rsidRPr="1D88D842">
              <w:rPr>
                <w:color w:val="000000" w:themeColor="text1"/>
              </w:rPr>
              <w:t>34.1</w:t>
            </w:r>
          </w:p>
        </w:tc>
        <w:tc>
          <w:tcPr>
            <w:tcW w:w="1643" w:type="dxa"/>
            <w:tcBorders>
              <w:top w:val="single" w:sz="4" w:space="0" w:color="auto"/>
              <w:bottom w:val="single" w:sz="4" w:space="0" w:color="auto"/>
            </w:tcBorders>
            <w:hideMark/>
          </w:tcPr>
          <w:p w14:paraId="62F943B3" w14:textId="76240FE4" w:rsidR="001C169B" w:rsidRPr="002B1A4D" w:rsidRDefault="6A28E392" w:rsidP="001C169B">
            <w:pPr>
              <w:tabs>
                <w:tab w:val="decimal" w:pos="839"/>
              </w:tabs>
              <w:rPr>
                <w:color w:val="000000"/>
              </w:rPr>
            </w:pPr>
            <w:r w:rsidRPr="1D88D842">
              <w:rPr>
                <w:color w:val="000000" w:themeColor="text1"/>
              </w:rPr>
              <w:t>261</w:t>
            </w:r>
          </w:p>
        </w:tc>
      </w:tr>
      <w:tr w:rsidR="001C169B" w:rsidRPr="002B1A4D" w14:paraId="5A233913" w14:textId="77777777" w:rsidTr="1D88D842">
        <w:trPr>
          <w:cantSplit/>
          <w:trHeight w:val="315"/>
        </w:trPr>
        <w:tc>
          <w:tcPr>
            <w:tcW w:w="2160" w:type="dxa"/>
            <w:tcBorders>
              <w:top w:val="single" w:sz="4" w:space="0" w:color="auto"/>
              <w:left w:val="single" w:sz="18" w:space="0" w:color="1F3864" w:themeColor="accent5" w:themeShade="80"/>
              <w:bottom w:val="single" w:sz="18" w:space="0" w:color="1F3864" w:themeColor="accent5" w:themeShade="80"/>
              <w:right w:val="single" w:sz="18" w:space="0" w:color="1F3864" w:themeColor="accent5" w:themeShade="80"/>
            </w:tcBorders>
            <w:hideMark/>
          </w:tcPr>
          <w:p w14:paraId="19935C0D" w14:textId="77777777" w:rsidR="001C169B" w:rsidRPr="002B1A4D" w:rsidRDefault="001C169B" w:rsidP="001C169B">
            <w:pPr>
              <w:jc w:val="center"/>
              <w:rPr>
                <w:color w:val="000000"/>
              </w:rPr>
            </w:pPr>
            <w:r w:rsidRPr="002B1A4D">
              <w:rPr>
                <w:color w:val="000000"/>
              </w:rPr>
              <w:t>High School</w:t>
            </w:r>
          </w:p>
        </w:tc>
        <w:tc>
          <w:tcPr>
            <w:tcW w:w="1642" w:type="dxa"/>
            <w:tcBorders>
              <w:top w:val="single" w:sz="4" w:space="0" w:color="auto"/>
              <w:left w:val="single" w:sz="18" w:space="0" w:color="1F3864" w:themeColor="accent5" w:themeShade="80"/>
              <w:bottom w:val="single" w:sz="18" w:space="0" w:color="1F3864" w:themeColor="accent5" w:themeShade="80"/>
            </w:tcBorders>
            <w:hideMark/>
          </w:tcPr>
          <w:p w14:paraId="453F1485" w14:textId="60828CDF" w:rsidR="001C169B" w:rsidRPr="002B1A4D" w:rsidRDefault="1D88D842">
            <w:pPr>
              <w:tabs>
                <w:tab w:val="decimal" w:pos="703"/>
              </w:tabs>
              <w:rPr>
                <w:color w:val="000000" w:themeColor="text1"/>
              </w:rPr>
            </w:pPr>
            <w:r w:rsidRPr="1D88D842">
              <w:rPr>
                <w:color w:val="000000" w:themeColor="text1"/>
              </w:rPr>
              <w:t>30.5</w:t>
            </w:r>
          </w:p>
        </w:tc>
        <w:tc>
          <w:tcPr>
            <w:tcW w:w="1642" w:type="dxa"/>
            <w:tcBorders>
              <w:top w:val="single" w:sz="4" w:space="0" w:color="auto"/>
              <w:bottom w:val="single" w:sz="18" w:space="0" w:color="1F3864" w:themeColor="accent5" w:themeShade="80"/>
              <w:right w:val="single" w:sz="18" w:space="0" w:color="1F3864" w:themeColor="accent5" w:themeShade="80"/>
            </w:tcBorders>
            <w:hideMark/>
          </w:tcPr>
          <w:p w14:paraId="20031C31" w14:textId="77777777" w:rsidR="001C169B" w:rsidRPr="002B1A4D" w:rsidRDefault="001C169B" w:rsidP="001C169B">
            <w:pPr>
              <w:tabs>
                <w:tab w:val="decimal" w:pos="864"/>
              </w:tabs>
              <w:rPr>
                <w:color w:val="000000"/>
              </w:rPr>
            </w:pPr>
            <w:r w:rsidRPr="002B1A4D">
              <w:rPr>
                <w:color w:val="000000"/>
              </w:rPr>
              <w:t>100</w:t>
            </w:r>
          </w:p>
        </w:tc>
        <w:tc>
          <w:tcPr>
            <w:tcW w:w="1643" w:type="dxa"/>
            <w:tcBorders>
              <w:top w:val="single" w:sz="4" w:space="0" w:color="auto"/>
              <w:left w:val="single" w:sz="18" w:space="0" w:color="1F3864" w:themeColor="accent5" w:themeShade="80"/>
              <w:bottom w:val="single" w:sz="18" w:space="0" w:color="1F3864" w:themeColor="accent5" w:themeShade="80"/>
            </w:tcBorders>
            <w:hideMark/>
          </w:tcPr>
          <w:p w14:paraId="325D5087" w14:textId="0B632859" w:rsidR="001C169B" w:rsidRPr="002B1A4D" w:rsidRDefault="1D88D842">
            <w:pPr>
              <w:tabs>
                <w:tab w:val="decimal" w:pos="752"/>
              </w:tabs>
              <w:rPr>
                <w:color w:val="000000" w:themeColor="text1"/>
              </w:rPr>
            </w:pPr>
            <w:r w:rsidRPr="1D88D842">
              <w:rPr>
                <w:color w:val="000000" w:themeColor="text1"/>
              </w:rPr>
              <w:t>41.8</w:t>
            </w:r>
          </w:p>
        </w:tc>
        <w:tc>
          <w:tcPr>
            <w:tcW w:w="1642" w:type="dxa"/>
            <w:tcBorders>
              <w:top w:val="single" w:sz="4" w:space="0" w:color="auto"/>
              <w:bottom w:val="single" w:sz="18" w:space="0" w:color="1F3864" w:themeColor="accent5" w:themeShade="80"/>
            </w:tcBorders>
            <w:hideMark/>
          </w:tcPr>
          <w:p w14:paraId="40E724E2" w14:textId="760F8FEE" w:rsidR="001C169B" w:rsidRPr="002B1A4D" w:rsidRDefault="6A28E392" w:rsidP="001C169B">
            <w:pPr>
              <w:tabs>
                <w:tab w:val="decimal" w:pos="810"/>
              </w:tabs>
              <w:rPr>
                <w:color w:val="000000"/>
              </w:rPr>
            </w:pPr>
            <w:r w:rsidRPr="1D88D842">
              <w:rPr>
                <w:color w:val="000000" w:themeColor="text1"/>
              </w:rPr>
              <w:t>246</w:t>
            </w:r>
          </w:p>
        </w:tc>
        <w:tc>
          <w:tcPr>
            <w:tcW w:w="1643" w:type="dxa"/>
            <w:tcBorders>
              <w:top w:val="single" w:sz="4" w:space="0" w:color="auto"/>
              <w:bottom w:val="single" w:sz="18" w:space="0" w:color="1F3864" w:themeColor="accent5" w:themeShade="80"/>
              <w:right w:val="single" w:sz="18" w:space="0" w:color="1F3864" w:themeColor="accent5" w:themeShade="80"/>
            </w:tcBorders>
            <w:hideMark/>
          </w:tcPr>
          <w:p w14:paraId="7E7EC3C5" w14:textId="4E11A71B" w:rsidR="001C169B" w:rsidRPr="002B1A4D" w:rsidRDefault="6A28E392" w:rsidP="001C169B">
            <w:pPr>
              <w:tabs>
                <w:tab w:val="decimal" w:pos="700"/>
              </w:tabs>
              <w:rPr>
                <w:color w:val="000000"/>
              </w:rPr>
            </w:pPr>
            <w:r w:rsidRPr="1D88D842">
              <w:rPr>
                <w:color w:val="000000" w:themeColor="text1"/>
              </w:rPr>
              <w:t>69.5</w:t>
            </w:r>
          </w:p>
        </w:tc>
        <w:tc>
          <w:tcPr>
            <w:tcW w:w="1642" w:type="dxa"/>
            <w:tcBorders>
              <w:top w:val="single" w:sz="4" w:space="0" w:color="auto"/>
              <w:left w:val="single" w:sz="18" w:space="0" w:color="1F3864" w:themeColor="accent5" w:themeShade="80"/>
              <w:bottom w:val="single" w:sz="18" w:space="0" w:color="1F3864" w:themeColor="accent5" w:themeShade="80"/>
            </w:tcBorders>
            <w:hideMark/>
          </w:tcPr>
          <w:p w14:paraId="60295C51" w14:textId="16448436" w:rsidR="001C169B" w:rsidRPr="002B1A4D" w:rsidRDefault="6A28E392" w:rsidP="001C169B">
            <w:pPr>
              <w:tabs>
                <w:tab w:val="decimal" w:pos="769"/>
              </w:tabs>
              <w:rPr>
                <w:color w:val="000000"/>
              </w:rPr>
            </w:pPr>
            <w:r w:rsidRPr="1D88D842">
              <w:rPr>
                <w:color w:val="000000" w:themeColor="text1"/>
              </w:rPr>
              <w:t>27.7</w:t>
            </w:r>
          </w:p>
        </w:tc>
        <w:tc>
          <w:tcPr>
            <w:tcW w:w="1643" w:type="dxa"/>
            <w:tcBorders>
              <w:top w:val="single" w:sz="4" w:space="0" w:color="auto"/>
              <w:bottom w:val="single" w:sz="18" w:space="0" w:color="1F3864" w:themeColor="accent5" w:themeShade="80"/>
            </w:tcBorders>
            <w:hideMark/>
          </w:tcPr>
          <w:p w14:paraId="2DC78417" w14:textId="5D90D771" w:rsidR="001C169B" w:rsidRPr="002B1A4D" w:rsidRDefault="6A28E392" w:rsidP="001C169B">
            <w:pPr>
              <w:tabs>
                <w:tab w:val="decimal" w:pos="839"/>
              </w:tabs>
              <w:rPr>
                <w:color w:val="000000"/>
              </w:rPr>
            </w:pPr>
            <w:r w:rsidRPr="1D88D842">
              <w:rPr>
                <w:color w:val="000000" w:themeColor="text1"/>
              </w:rPr>
              <w:t>265</w:t>
            </w:r>
          </w:p>
        </w:tc>
      </w:tr>
    </w:tbl>
    <w:p w14:paraId="14517C20" w14:textId="77777777" w:rsidR="001C169B" w:rsidRPr="00922BAF" w:rsidRDefault="001C169B" w:rsidP="00040C39">
      <w:pPr>
        <w:tabs>
          <w:tab w:val="left" w:pos="3960"/>
        </w:tabs>
        <w:spacing w:before="60" w:after="60"/>
        <w:ind w:left="273" w:hanging="86"/>
        <w:jc w:val="center"/>
        <w:rPr>
          <w:b/>
          <w:iCs/>
          <w:color w:val="000000"/>
          <w:sz w:val="22"/>
          <w:szCs w:val="22"/>
          <w:lang w:eastAsia="ko-KR"/>
        </w:rPr>
      </w:pPr>
      <w:r w:rsidRPr="00922BAF">
        <w:rPr>
          <w:b/>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1C169B" w:rsidRPr="00922BAF" w14:paraId="3F7FE977" w14:textId="77777777" w:rsidTr="00CF67C0">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auto"/>
            </w:tcBorders>
            <w:vAlign w:val="center"/>
          </w:tcPr>
          <w:p w14:paraId="15139286" w14:textId="77777777" w:rsidR="001C169B" w:rsidRPr="00040C39" w:rsidRDefault="001C169B" w:rsidP="001C169B">
            <w:pPr>
              <w:keepNext/>
              <w:rPr>
                <w:b w:val="0"/>
                <w:iCs/>
                <w:color w:val="000000"/>
                <w:lang w:eastAsia="ko-KR"/>
              </w:rPr>
            </w:pPr>
            <w:r w:rsidRPr="00F73F48">
              <w:rPr>
                <w:rFonts w:eastAsia="SimSun" w:cs="Calibri"/>
              </w:rPr>
              <w:t>Percentage of Students</w:t>
            </w:r>
          </w:p>
        </w:tc>
        <w:tc>
          <w:tcPr>
            <w:tcW w:w="9980" w:type="dxa"/>
            <w:tcBorders>
              <w:top w:val="single" w:sz="12" w:space="0" w:color="auto"/>
            </w:tcBorders>
            <w:vAlign w:val="center"/>
          </w:tcPr>
          <w:p w14:paraId="2AE8C951" w14:textId="77777777" w:rsidR="001C169B" w:rsidRPr="002B1A4D" w:rsidRDefault="001C169B" w:rsidP="001C169B">
            <w:pPr>
              <w:keepNext/>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2B1A4D">
              <w:rPr>
                <w:rFonts w:eastAsia="SimSun" w:cs="Calibri"/>
                <w:b w:val="0"/>
              </w:rPr>
              <w:t xml:space="preserve">Percent of students statewide who would be placed at this achievement level </w:t>
            </w:r>
            <w:r w:rsidRPr="002B1A4D">
              <w:rPr>
                <w:rFonts w:eastAsia="SimSun" w:cs="Calibri"/>
                <w:b w:val="0"/>
                <w:noProof/>
              </w:rPr>
              <w:t>on the basis of</w:t>
            </w:r>
            <w:r w:rsidRPr="002B1A4D">
              <w:rPr>
                <w:rFonts w:eastAsia="SimSun" w:cs="Calibri"/>
                <w:b w:val="0"/>
              </w:rPr>
              <w:t xml:space="preserve"> the results of the 2021–22 operational field test administration.</w:t>
            </w:r>
          </w:p>
        </w:tc>
      </w:tr>
      <w:tr w:rsidR="001C169B" w:rsidRPr="00922BAF" w14:paraId="5FD2B3D0" w14:textId="77777777" w:rsidTr="001C16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292C472F" w14:textId="77777777" w:rsidR="001C169B" w:rsidRPr="00040C39" w:rsidRDefault="001C169B" w:rsidP="001C169B">
            <w:pPr>
              <w:rPr>
                <w:b w:val="0"/>
                <w:iCs/>
                <w:color w:val="000000"/>
                <w:lang w:eastAsia="ko-KR"/>
              </w:rPr>
            </w:pPr>
            <w:r w:rsidRPr="00F73F48">
              <w:rPr>
                <w:rFonts w:eastAsia="SimSun" w:cs="Calibri"/>
              </w:rPr>
              <w:t>Standard-Setting Scale Threshold Score</w:t>
            </w:r>
          </w:p>
        </w:tc>
        <w:tc>
          <w:tcPr>
            <w:tcW w:w="9980" w:type="dxa"/>
            <w:vAlign w:val="center"/>
          </w:tcPr>
          <w:p w14:paraId="22B39E75" w14:textId="77777777" w:rsidR="001C169B" w:rsidRPr="002B1A4D" w:rsidRDefault="001C169B" w:rsidP="001C169B">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2B1A4D">
              <w:rPr>
                <w:rFonts w:eastAsia="SimSun" w:cs="Calibri"/>
                <w:b w:val="0"/>
              </w:rPr>
              <w:t xml:space="preserve">Minimum standard-setting scale score needed to achieve this achievement level </w:t>
            </w:r>
            <w:r w:rsidRPr="002B1A4D">
              <w:rPr>
                <w:rFonts w:eastAsia="SimSun" w:cs="Calibri"/>
                <w:b w:val="0"/>
                <w:noProof/>
              </w:rPr>
              <w:t>on the basis of</w:t>
            </w:r>
            <w:r w:rsidRPr="002B1A4D">
              <w:rPr>
                <w:rFonts w:eastAsia="SimSun" w:cs="Calibri"/>
                <w:b w:val="0"/>
              </w:rPr>
              <w:t xml:space="preserve"> the results of the 2021–22 operational field test administration. See note below.</w:t>
            </w:r>
          </w:p>
        </w:tc>
      </w:tr>
      <w:tr w:rsidR="001C169B" w:rsidRPr="00922BAF" w14:paraId="1AAA0DC3" w14:textId="77777777" w:rsidTr="001C16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31490D14" w14:textId="77777777" w:rsidR="001C169B" w:rsidRPr="00040C39" w:rsidRDefault="001C169B" w:rsidP="001C169B">
            <w:pPr>
              <w:rPr>
                <w:b w:val="0"/>
                <w:iCs/>
                <w:color w:val="000000"/>
                <w:lang w:eastAsia="ko-KR"/>
              </w:rPr>
            </w:pPr>
            <w:r w:rsidRPr="00F73F48">
              <w:rPr>
                <w:rFonts w:eastAsia="SimSun" w:cs="Calibri"/>
              </w:rPr>
              <w:t>Percentage at or above</w:t>
            </w:r>
          </w:p>
        </w:tc>
        <w:tc>
          <w:tcPr>
            <w:tcW w:w="9980" w:type="dxa"/>
            <w:vAlign w:val="center"/>
          </w:tcPr>
          <w:p w14:paraId="5A877BED" w14:textId="77777777" w:rsidR="001C169B" w:rsidRPr="002B1A4D" w:rsidRDefault="001C169B" w:rsidP="001C169B">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2B1A4D">
              <w:rPr>
                <w:rFonts w:eastAsia="SimSun" w:cs="Calibri"/>
                <w:b w:val="0"/>
              </w:rPr>
              <w:t xml:space="preserve">Percent of students statewide who would be at and above this achievement level </w:t>
            </w:r>
            <w:r w:rsidRPr="002B1A4D">
              <w:rPr>
                <w:rFonts w:eastAsia="SimSun" w:cs="Calibri"/>
                <w:b w:val="0"/>
                <w:noProof/>
              </w:rPr>
              <w:t>on the basis of</w:t>
            </w:r>
            <w:r w:rsidRPr="002B1A4D">
              <w:rPr>
                <w:rFonts w:eastAsia="SimSun" w:cs="Calibri"/>
                <w:b w:val="0"/>
              </w:rPr>
              <w:t xml:space="preserve"> the results of the 2021–22 operational field test administration.</w:t>
            </w:r>
          </w:p>
        </w:tc>
      </w:tr>
    </w:tbl>
    <w:p w14:paraId="08DEC371" w14:textId="77777777" w:rsidR="001C169B" w:rsidRPr="00922BAF" w:rsidRDefault="001C169B" w:rsidP="00040C39">
      <w:pPr>
        <w:spacing w:before="60"/>
        <w:rPr>
          <w:iCs/>
          <w:color w:val="000000"/>
          <w:lang w:eastAsia="ko-KR"/>
        </w:rPr>
      </w:pPr>
      <w:r w:rsidRPr="00922BAF">
        <w:rPr>
          <w:iCs/>
          <w:color w:val="000000"/>
          <w:lang w:eastAsia="ko-KR"/>
        </w:rPr>
        <w:t>Notes:</w:t>
      </w:r>
    </w:p>
    <w:p w14:paraId="64FC721B" w14:textId="4FA64C83" w:rsidR="001C169B" w:rsidRPr="00922BAF" w:rsidRDefault="001C169B" w:rsidP="00454F9A">
      <w:pPr>
        <w:numPr>
          <w:ilvl w:val="0"/>
          <w:numId w:val="38"/>
        </w:numPr>
        <w:spacing w:after="120"/>
      </w:pPr>
      <w:r w:rsidRPr="00922BAF">
        <w:t>Threshold scores are presented on a score scale generated solely for the standard-setting process. Reporting scales will be developed to report scores on the Student Score Report and public reporting.</w:t>
      </w:r>
    </w:p>
    <w:p w14:paraId="43B26E85" w14:textId="17855992" w:rsidR="001C169B" w:rsidRPr="00922BAF" w:rsidRDefault="17F38C38" w:rsidP="00454F9A">
      <w:pPr>
        <w:numPr>
          <w:ilvl w:val="0"/>
          <w:numId w:val="38"/>
        </w:numPr>
        <w:spacing w:after="120"/>
        <w:ind w:left="360" w:firstLine="0"/>
      </w:pPr>
      <w:r>
        <w:t xml:space="preserve">The </w:t>
      </w:r>
      <w:r w:rsidR="001C169B">
        <w:t xml:space="preserve">percentages </w:t>
      </w:r>
      <w:r>
        <w:t xml:space="preserve">at each level </w:t>
      </w:r>
      <w:r w:rsidR="001C169B">
        <w:t xml:space="preserve">may not sum to 100 </w:t>
      </w:r>
      <w:proofErr w:type="gramStart"/>
      <w:r w:rsidR="001C169B">
        <w:t>due</w:t>
      </w:r>
      <w:proofErr w:type="gramEnd"/>
      <w:r w:rsidR="001C169B">
        <w:t xml:space="preserve"> to rounding.</w:t>
      </w:r>
    </w:p>
    <w:p w14:paraId="6EF2B140" w14:textId="77777777" w:rsidR="001C169B" w:rsidRDefault="001C169B" w:rsidP="002D4BFF">
      <w:pPr>
        <w:spacing w:after="480"/>
        <w:rPr>
          <w:highlight w:val="lightGray"/>
        </w:rPr>
      </w:pPr>
    </w:p>
    <w:p w14:paraId="2EF5B825" w14:textId="42090431" w:rsidR="00207ACD" w:rsidRDefault="00207ACD" w:rsidP="002D4BFF">
      <w:pPr>
        <w:spacing w:after="480"/>
        <w:rPr>
          <w:highlight w:val="lightGray"/>
        </w:rPr>
        <w:sectPr w:rsidR="00207ACD" w:rsidSect="00207ACD">
          <w:headerReference w:type="default" r:id="rId42"/>
          <w:pgSz w:w="15840" w:h="12240" w:orient="landscape"/>
          <w:pgMar w:top="1440" w:right="720" w:bottom="1440" w:left="1440" w:header="720" w:footer="720" w:gutter="0"/>
          <w:pgNumType w:start="1"/>
          <w:cols w:space="720"/>
          <w:docGrid w:linePitch="360"/>
        </w:sectPr>
      </w:pPr>
    </w:p>
    <w:p w14:paraId="6B699379" w14:textId="266CECE8" w:rsidR="002D4BFF" w:rsidRPr="007A01B5" w:rsidRDefault="007A01B5" w:rsidP="007A01B5">
      <w:pPr>
        <w:pStyle w:val="Heading1"/>
        <w:jc w:val="center"/>
        <w:rPr>
          <w:sz w:val="36"/>
        </w:rPr>
      </w:pPr>
      <w:bookmarkStart w:id="2" w:name="_Hlk106300656"/>
      <w:bookmarkStart w:id="3" w:name="_Hlk106882028"/>
      <w:r w:rsidRPr="007A01B5">
        <w:rPr>
          <w:sz w:val="36"/>
        </w:rPr>
        <w:lastRenderedPageBreak/>
        <w:t xml:space="preserve">Attachment 3: </w:t>
      </w:r>
      <w:r w:rsidR="00207ACD" w:rsidRPr="007A01B5">
        <w:rPr>
          <w:sz w:val="36"/>
        </w:rPr>
        <w:t xml:space="preserve">California Alternate Assessment </w:t>
      </w:r>
      <w:r w:rsidR="00920338" w:rsidRPr="007A01B5">
        <w:rPr>
          <w:sz w:val="36"/>
        </w:rPr>
        <w:t xml:space="preserve">(CAA) </w:t>
      </w:r>
      <w:r w:rsidR="00207ACD" w:rsidRPr="007A01B5">
        <w:rPr>
          <w:sz w:val="36"/>
        </w:rPr>
        <w:t xml:space="preserve">for </w:t>
      </w:r>
      <w:r w:rsidR="00AC5A3F" w:rsidRPr="007A01B5">
        <w:rPr>
          <w:sz w:val="36"/>
        </w:rPr>
        <w:t>Science</w:t>
      </w:r>
      <w:r w:rsidRPr="007A01B5">
        <w:rPr>
          <w:sz w:val="36"/>
        </w:rPr>
        <w:t xml:space="preserve"> </w:t>
      </w:r>
      <w:r w:rsidR="00207ACD" w:rsidRPr="007A01B5">
        <w:rPr>
          <w:sz w:val="36"/>
        </w:rPr>
        <w:t>Standard Setting</w:t>
      </w:r>
      <w:r w:rsidR="00C87F4B" w:rsidRPr="007A01B5">
        <w:rPr>
          <w:sz w:val="36"/>
        </w:rPr>
        <w:t>:</w:t>
      </w:r>
      <w:r w:rsidR="00207ACD" w:rsidRPr="007A01B5">
        <w:rPr>
          <w:sz w:val="36"/>
        </w:rPr>
        <w:t xml:space="preserve"> Panelist</w:t>
      </w:r>
      <w:r w:rsidR="00C87F4B" w:rsidRPr="007A01B5">
        <w:rPr>
          <w:sz w:val="36"/>
        </w:rPr>
        <w:t>s’</w:t>
      </w:r>
      <w:r w:rsidR="00207ACD" w:rsidRPr="007A01B5">
        <w:rPr>
          <w:sz w:val="36"/>
        </w:rPr>
        <w:t xml:space="preserve"> Composition</w:t>
      </w:r>
    </w:p>
    <w:p w14:paraId="368CF118" w14:textId="0494B7B2" w:rsidR="001C169B" w:rsidRPr="001C169B" w:rsidRDefault="009212AB" w:rsidP="001C169B">
      <w:pPr>
        <w:spacing w:after="240"/>
        <w:rPr>
          <w:rFonts w:eastAsia="Arial"/>
          <w:color w:val="000000"/>
        </w:rPr>
      </w:pPr>
      <w:bookmarkStart w:id="4" w:name="_Ref99372082"/>
      <w:bookmarkEnd w:id="2"/>
      <w:r>
        <w:t>P</w:t>
      </w:r>
      <w:r w:rsidRPr="001C169B">
        <w:t xml:space="preserve">rior to the </w:t>
      </w:r>
      <w:r w:rsidR="00972BF7">
        <w:t xml:space="preserve">August </w:t>
      </w:r>
      <w:r>
        <w:t xml:space="preserve">2021 California </w:t>
      </w:r>
      <w:r w:rsidRPr="001C169B">
        <w:t xml:space="preserve">Alternate </w:t>
      </w:r>
      <w:r>
        <w:t xml:space="preserve">Assessment (CAA) for Science </w:t>
      </w:r>
      <w:r w:rsidRPr="001C169B">
        <w:t>Standard Setting Workshop</w:t>
      </w:r>
      <w:r>
        <w:t>,</w:t>
      </w:r>
      <w:r w:rsidRPr="001C169B" w:rsidDel="00C87F4B">
        <w:rPr>
          <w:b/>
          <w:sz w:val="32"/>
          <w:szCs w:val="32"/>
        </w:rPr>
        <w:t xml:space="preserve"> </w:t>
      </w:r>
      <w:r>
        <w:t xml:space="preserve">the </w:t>
      </w:r>
      <w:r w:rsidR="008727BD">
        <w:t>28</w:t>
      </w:r>
      <w:r>
        <w:t xml:space="preserve"> educator</w:t>
      </w:r>
      <w:r w:rsidR="001C169B" w:rsidRPr="001C169B">
        <w:t xml:space="preserve"> panelists provided the California Department of Education </w:t>
      </w:r>
      <w:r w:rsidR="00C87F4B">
        <w:t xml:space="preserve">with information </w:t>
      </w:r>
      <w:r w:rsidR="001C169B" w:rsidRPr="001C169B">
        <w:t xml:space="preserve">about their experience and background. As </w:t>
      </w:r>
      <w:r w:rsidR="00C87F4B">
        <w:t>shown</w:t>
      </w:r>
      <w:r w:rsidR="00C87F4B" w:rsidRPr="001C169B">
        <w:t xml:space="preserve"> </w:t>
      </w:r>
      <w:r w:rsidR="001C169B" w:rsidRPr="001C169B">
        <w:t xml:space="preserve">in </w:t>
      </w:r>
      <w:r w:rsidR="001C169B" w:rsidRPr="00A65F68">
        <w:t>table</w:t>
      </w:r>
      <w:r w:rsidR="00E666CB" w:rsidRPr="00A65F68">
        <w:t>s</w:t>
      </w:r>
      <w:r w:rsidR="001C169B" w:rsidRPr="00A65F68">
        <w:t xml:space="preserve"> 1 through 8</w:t>
      </w:r>
      <w:r w:rsidR="001C169B" w:rsidRPr="001C169B">
        <w:t xml:space="preserve">, the panelists were a diverse group and representative of the state of California. </w:t>
      </w:r>
      <w:r w:rsidR="00C87F4B" w:rsidRPr="001D0004">
        <w:t xml:space="preserve">They </w:t>
      </w:r>
      <w:r w:rsidR="001C169B" w:rsidRPr="001D0004">
        <w:t xml:space="preserve">represented </w:t>
      </w:r>
      <w:r w:rsidR="001D0004" w:rsidRPr="001D0004">
        <w:t>science educators across California teaching students taking the CAA for Science</w:t>
      </w:r>
      <w:r w:rsidR="001C169B" w:rsidRPr="001D0004">
        <w:t xml:space="preserve">, had varied ethnicities, and included perspectives of special education teachers, </w:t>
      </w:r>
      <w:r w:rsidR="001D0004" w:rsidRPr="001D0004">
        <w:t xml:space="preserve">educators teaching English learners and </w:t>
      </w:r>
      <w:r w:rsidR="001C169B" w:rsidRPr="001D0004">
        <w:t>classroom teachers</w:t>
      </w:r>
      <w:r w:rsidR="001D0004" w:rsidRPr="001D0004">
        <w:t>. Most educators had more than 10 years teaching experience.</w:t>
      </w:r>
      <w:r w:rsidR="001C169B" w:rsidRPr="001C169B">
        <w:t xml:space="preserve"> </w:t>
      </w:r>
      <w:r w:rsidR="00C87F4B">
        <w:t>In a</w:t>
      </w:r>
      <w:r w:rsidR="001C169B" w:rsidRPr="001C169B">
        <w:t xml:space="preserve">ddition, these panelists brought their familiarity with the breadth and depth of the </w:t>
      </w:r>
      <w:r w:rsidR="00187472" w:rsidRPr="00920338">
        <w:t>California Next Generation Science Standards</w:t>
      </w:r>
      <w:r w:rsidR="001C169B" w:rsidRPr="00920338">
        <w:t xml:space="preserve"> and</w:t>
      </w:r>
      <w:r w:rsidR="00C87F4B" w:rsidRPr="00920338">
        <w:t xml:space="preserve"> their</w:t>
      </w:r>
      <w:r w:rsidR="001C169B" w:rsidRPr="00920338">
        <w:t xml:space="preserve"> experience in teaching students eligible to take the </w:t>
      </w:r>
      <w:r w:rsidR="00920338" w:rsidRPr="00920338">
        <w:t>CAA for Science</w:t>
      </w:r>
      <w:r w:rsidR="001C169B" w:rsidRPr="00920338">
        <w:t xml:space="preserve"> to the work conducted during the standard setting workshop.</w:t>
      </w:r>
    </w:p>
    <w:p w14:paraId="2CB31B27" w14:textId="75067845" w:rsidR="0011170A" w:rsidRPr="007A01B5" w:rsidRDefault="001C169B" w:rsidP="007A01B5">
      <w:pPr>
        <w:pStyle w:val="Heading2"/>
        <w:spacing w:before="240"/>
        <w:rPr>
          <w:b w:val="0"/>
          <w:sz w:val="24"/>
        </w:rPr>
      </w:pPr>
      <w:r w:rsidRPr="007A01B5">
        <w:rPr>
          <w:b w:val="0"/>
          <w:sz w:val="24"/>
        </w:rPr>
        <w:t xml:space="preserve">Table </w:t>
      </w:r>
      <w:r w:rsidRPr="007A01B5">
        <w:rPr>
          <w:b w:val="0"/>
          <w:sz w:val="24"/>
        </w:rPr>
        <w:fldChar w:fldCharType="begin"/>
      </w:r>
      <w:r w:rsidRPr="007A01B5">
        <w:rPr>
          <w:b w:val="0"/>
          <w:sz w:val="24"/>
        </w:rPr>
        <w:instrText xml:space="preserve"> SEQ Table \* ARABIC </w:instrText>
      </w:r>
      <w:r w:rsidRPr="007A01B5">
        <w:rPr>
          <w:b w:val="0"/>
          <w:sz w:val="24"/>
        </w:rPr>
        <w:fldChar w:fldCharType="separate"/>
      </w:r>
      <w:r w:rsidRPr="007A01B5">
        <w:rPr>
          <w:b w:val="0"/>
          <w:noProof/>
          <w:sz w:val="24"/>
        </w:rPr>
        <w:t>1</w:t>
      </w:r>
      <w:r w:rsidRPr="007A01B5">
        <w:rPr>
          <w:b w:val="0"/>
          <w:sz w:val="24"/>
        </w:rPr>
        <w:fldChar w:fldCharType="end"/>
      </w:r>
      <w:bookmarkEnd w:id="4"/>
      <w:r w:rsidRPr="007A01B5">
        <w:rPr>
          <w:b w:val="0"/>
          <w:sz w:val="24"/>
        </w:rPr>
        <w:t>. Number of Panelists</w:t>
      </w:r>
    </w:p>
    <w:tbl>
      <w:tblPr>
        <w:tblStyle w:val="TableGrid3"/>
        <w:tblpPr w:leftFromText="180" w:rightFromText="180" w:vertAnchor="text" w:tblpY="1"/>
        <w:tblOverlap w:val="never"/>
        <w:tblW w:w="0" w:type="auto"/>
        <w:tblInd w:w="0" w:type="dxa"/>
        <w:tblLayout w:type="fixed"/>
        <w:tblLook w:val="04A0" w:firstRow="1" w:lastRow="0" w:firstColumn="1" w:lastColumn="0" w:noHBand="0" w:noVBand="1"/>
        <w:tblDescription w:val="This table displays number of panelists."/>
      </w:tblPr>
      <w:tblGrid>
        <w:gridCol w:w="1608"/>
        <w:gridCol w:w="2427"/>
      </w:tblGrid>
      <w:tr w:rsidR="00F73417" w:rsidRPr="001C169B" w14:paraId="785ED7F7" w14:textId="77777777" w:rsidTr="00953B60">
        <w:trPr>
          <w:cantSplit/>
          <w:trHeight w:val="206"/>
          <w:tblHeader/>
        </w:trPr>
        <w:tc>
          <w:tcPr>
            <w:tcW w:w="1608"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373B5892" w14:textId="49DC6FA4" w:rsidR="00F73417" w:rsidRPr="001C169B" w:rsidRDefault="00F73417" w:rsidP="00E1674E">
            <w:pPr>
              <w:spacing w:before="0"/>
              <w:jc w:val="center"/>
              <w:rPr>
                <w:b/>
                <w:color w:val="D9D9D9"/>
              </w:rPr>
            </w:pPr>
            <w:r>
              <w:rPr>
                <w:b/>
                <w:color w:val="000000"/>
              </w:rPr>
              <w:t>Panel</w:t>
            </w:r>
          </w:p>
        </w:tc>
        <w:tc>
          <w:tcPr>
            <w:tcW w:w="2427"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7AC1AF34" w14:textId="77777777" w:rsidR="00F73417" w:rsidRPr="001C169B" w:rsidRDefault="00F73417" w:rsidP="00E1674E">
            <w:pPr>
              <w:spacing w:before="0"/>
              <w:jc w:val="center"/>
              <w:rPr>
                <w:b/>
                <w:color w:val="000000"/>
              </w:rPr>
            </w:pPr>
            <w:r w:rsidRPr="001C169B">
              <w:rPr>
                <w:b/>
                <w:color w:val="000000"/>
              </w:rPr>
              <w:t>Number of Panelists</w:t>
            </w:r>
          </w:p>
        </w:tc>
      </w:tr>
      <w:tr w:rsidR="00F73417" w:rsidRPr="001C169B" w14:paraId="2E341A1D" w14:textId="77777777" w:rsidTr="00953B60">
        <w:trPr>
          <w:cantSplit/>
        </w:trPr>
        <w:tc>
          <w:tcPr>
            <w:tcW w:w="160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69900801" w14:textId="3D1AB444" w:rsidR="00F73417" w:rsidRPr="001C169B" w:rsidRDefault="00F73417" w:rsidP="00E1674E">
            <w:pPr>
              <w:spacing w:before="0"/>
              <w:rPr>
                <w:color w:val="000000"/>
              </w:rPr>
            </w:pPr>
            <w:r>
              <w:rPr>
                <w:color w:val="000000"/>
              </w:rPr>
              <w:t>Grade Five</w:t>
            </w:r>
          </w:p>
        </w:tc>
        <w:tc>
          <w:tcPr>
            <w:tcW w:w="2427"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558FF025" w14:textId="3F5A243F" w:rsidR="00F73417" w:rsidRPr="001C169B" w:rsidRDefault="00F73417" w:rsidP="00E1674E">
            <w:pPr>
              <w:tabs>
                <w:tab w:val="decimal" w:pos="1162"/>
              </w:tabs>
              <w:spacing w:before="0"/>
              <w:rPr>
                <w:color w:val="000000"/>
              </w:rPr>
            </w:pPr>
            <w:r>
              <w:rPr>
                <w:color w:val="000000"/>
              </w:rPr>
              <w:t>9</w:t>
            </w:r>
          </w:p>
        </w:tc>
      </w:tr>
      <w:tr w:rsidR="00F73417" w:rsidRPr="001C169B" w14:paraId="7D2685B1" w14:textId="77777777" w:rsidTr="00953B60">
        <w:trPr>
          <w:cantSplit/>
        </w:trPr>
        <w:tc>
          <w:tcPr>
            <w:tcW w:w="160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1FDA9A1C" w14:textId="1EDBB343" w:rsidR="00F73417" w:rsidRPr="001C169B" w:rsidRDefault="00F73417" w:rsidP="00E1674E">
            <w:pPr>
              <w:spacing w:before="0"/>
              <w:rPr>
                <w:color w:val="000000"/>
              </w:rPr>
            </w:pPr>
            <w:r>
              <w:rPr>
                <w:color w:val="000000"/>
              </w:rPr>
              <w:t>Grade Eight</w:t>
            </w:r>
          </w:p>
        </w:tc>
        <w:tc>
          <w:tcPr>
            <w:tcW w:w="2427"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2056FA44" w14:textId="66AC21D8" w:rsidR="00F73417" w:rsidRPr="001C169B" w:rsidRDefault="00F73417" w:rsidP="00E1674E">
            <w:pPr>
              <w:tabs>
                <w:tab w:val="decimal" w:pos="1162"/>
              </w:tabs>
              <w:spacing w:before="0"/>
              <w:rPr>
                <w:color w:val="000000"/>
              </w:rPr>
            </w:pPr>
            <w:r>
              <w:rPr>
                <w:color w:val="000000"/>
              </w:rPr>
              <w:t>9</w:t>
            </w:r>
          </w:p>
        </w:tc>
      </w:tr>
      <w:tr w:rsidR="00F73417" w:rsidRPr="001C169B" w14:paraId="7A5080AA" w14:textId="77777777" w:rsidTr="00953B60">
        <w:trPr>
          <w:cantSplit/>
        </w:trPr>
        <w:tc>
          <w:tcPr>
            <w:tcW w:w="160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26033009" w14:textId="34B9769E" w:rsidR="00F73417" w:rsidRPr="001C169B" w:rsidRDefault="00F73417" w:rsidP="00E1674E">
            <w:pPr>
              <w:spacing w:before="0"/>
              <w:rPr>
                <w:color w:val="000000"/>
              </w:rPr>
            </w:pPr>
            <w:r>
              <w:rPr>
                <w:color w:val="000000"/>
              </w:rPr>
              <w:t>High School</w:t>
            </w:r>
          </w:p>
        </w:tc>
        <w:tc>
          <w:tcPr>
            <w:tcW w:w="2427"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14:paraId="63567EEB" w14:textId="05EDC2FF" w:rsidR="00F73417" w:rsidRDefault="00F73417" w:rsidP="00E1674E">
            <w:pPr>
              <w:tabs>
                <w:tab w:val="decimal" w:pos="1162"/>
              </w:tabs>
              <w:spacing w:before="0"/>
              <w:rPr>
                <w:color w:val="000000"/>
              </w:rPr>
            </w:pPr>
            <w:r>
              <w:rPr>
                <w:color w:val="000000"/>
              </w:rPr>
              <w:t>10</w:t>
            </w:r>
          </w:p>
        </w:tc>
      </w:tr>
      <w:tr w:rsidR="00F73417" w:rsidRPr="001C169B" w14:paraId="30C29299" w14:textId="77777777" w:rsidTr="00953B60">
        <w:trPr>
          <w:cantSplit/>
        </w:trPr>
        <w:tc>
          <w:tcPr>
            <w:tcW w:w="160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49E3DF85" w14:textId="77777777" w:rsidR="00F73417" w:rsidRPr="00D9515C" w:rsidRDefault="00F73417" w:rsidP="00E1674E">
            <w:pPr>
              <w:spacing w:before="0"/>
              <w:rPr>
                <w:b/>
                <w:color w:val="000000"/>
              </w:rPr>
            </w:pPr>
            <w:r w:rsidRPr="00D9515C">
              <w:rPr>
                <w:b/>
                <w:color w:val="000000"/>
              </w:rPr>
              <w:t>Total</w:t>
            </w:r>
          </w:p>
        </w:tc>
        <w:tc>
          <w:tcPr>
            <w:tcW w:w="2427"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4602D3D9" w14:textId="77777777" w:rsidR="00F73417" w:rsidRPr="007409D2" w:rsidRDefault="00F73417" w:rsidP="00E1674E">
            <w:pPr>
              <w:tabs>
                <w:tab w:val="decimal" w:pos="1162"/>
              </w:tabs>
              <w:spacing w:before="0"/>
              <w:rPr>
                <w:color w:val="000000"/>
              </w:rPr>
            </w:pPr>
            <w:r w:rsidRPr="007409D2">
              <w:rPr>
                <w:color w:val="000000"/>
              </w:rPr>
              <w:t>28</w:t>
            </w:r>
          </w:p>
        </w:tc>
      </w:tr>
    </w:tbl>
    <w:p w14:paraId="17C58370" w14:textId="77777777" w:rsidR="001E1AB2" w:rsidRDefault="001E1AB2" w:rsidP="001C169B">
      <w:pPr>
        <w:tabs>
          <w:tab w:val="left" w:pos="2520"/>
        </w:tabs>
        <w:spacing w:before="240" w:after="120"/>
      </w:pPr>
      <w:r>
        <w:br w:type="textWrapping" w:clear="all"/>
      </w:r>
    </w:p>
    <w:p w14:paraId="7A25D359" w14:textId="5B48ED54" w:rsidR="001C169B" w:rsidRPr="007A01B5" w:rsidRDefault="001C169B" w:rsidP="007A01B5">
      <w:pPr>
        <w:pStyle w:val="Heading2"/>
        <w:spacing w:before="240"/>
        <w:rPr>
          <w:b w:val="0"/>
          <w:sz w:val="24"/>
        </w:rPr>
      </w:pPr>
      <w:r w:rsidRPr="007A01B5">
        <w:rPr>
          <w:b w:val="0"/>
          <w:sz w:val="24"/>
        </w:rPr>
        <w:t xml:space="preserve">Table </w:t>
      </w:r>
      <w:r w:rsidR="7BE1C994" w:rsidRPr="007A01B5">
        <w:rPr>
          <w:b w:val="0"/>
          <w:sz w:val="24"/>
        </w:rPr>
        <w:t>2</w:t>
      </w:r>
      <w:r w:rsidRPr="007A01B5">
        <w:rPr>
          <w:b w:val="0"/>
          <w:sz w:val="24"/>
        </w:rPr>
        <w:t xml:space="preserve">. </w:t>
      </w:r>
      <w:r w:rsidR="1375B323" w:rsidRPr="007A01B5">
        <w:rPr>
          <w:b w:val="0"/>
          <w:sz w:val="24"/>
        </w:rPr>
        <w:t>Panelist</w:t>
      </w:r>
      <w:r w:rsidRPr="007A01B5">
        <w:rPr>
          <w:b w:val="0"/>
          <w:sz w:val="24"/>
        </w:rPr>
        <w:t xml:space="preserve"> Gender</w:t>
      </w:r>
    </w:p>
    <w:tbl>
      <w:tblPr>
        <w:tblStyle w:val="TableGrid3"/>
        <w:tblW w:w="10248" w:type="dxa"/>
        <w:tblInd w:w="7" w:type="dxa"/>
        <w:tblLayout w:type="fixed"/>
        <w:tblLook w:val="04A0" w:firstRow="1" w:lastRow="0" w:firstColumn="1" w:lastColumn="0" w:noHBand="0" w:noVBand="1"/>
        <w:tblDescription w:val="Number and Percent of Panelists by Gender"/>
      </w:tblPr>
      <w:tblGrid>
        <w:gridCol w:w="1788"/>
        <w:gridCol w:w="2160"/>
        <w:gridCol w:w="2160"/>
        <w:gridCol w:w="1980"/>
        <w:gridCol w:w="2160"/>
      </w:tblGrid>
      <w:tr w:rsidR="001C169B" w:rsidRPr="001C169B" w14:paraId="5CBA2FC4" w14:textId="7098AD1F" w:rsidTr="00392350">
        <w:trPr>
          <w:cantSplit/>
          <w:trHeight w:val="206"/>
          <w:tblHeader/>
        </w:trPr>
        <w:tc>
          <w:tcPr>
            <w:tcW w:w="1788"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182A02EF" w14:textId="77777777" w:rsidR="001C169B" w:rsidRPr="001C169B" w:rsidRDefault="001C169B" w:rsidP="00392350">
            <w:pPr>
              <w:spacing w:before="0"/>
              <w:jc w:val="center"/>
              <w:rPr>
                <w:b/>
                <w:color w:val="D9D9D9"/>
              </w:rPr>
            </w:pPr>
            <w:bookmarkStart w:id="5" w:name="_Hlk99128247"/>
            <w:r w:rsidRPr="001C169B">
              <w:rPr>
                <w:b/>
                <w:color w:val="000000"/>
              </w:rPr>
              <w:t>Gender</w:t>
            </w:r>
          </w:p>
        </w:tc>
        <w:tc>
          <w:tcPr>
            <w:tcW w:w="216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1EBF3935" w14:textId="573E1D03" w:rsidR="001C169B" w:rsidRPr="001C169B" w:rsidRDefault="00F73417" w:rsidP="00392350">
            <w:pPr>
              <w:spacing w:before="0"/>
              <w:jc w:val="center"/>
              <w:rPr>
                <w:b/>
                <w:color w:val="000000"/>
              </w:rPr>
            </w:pPr>
            <w:r>
              <w:rPr>
                <w:b/>
                <w:color w:val="000000"/>
              </w:rPr>
              <w:t>Grade Five</w:t>
            </w:r>
          </w:p>
        </w:tc>
        <w:tc>
          <w:tcPr>
            <w:tcW w:w="216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29026A71" w14:textId="7411F3FB" w:rsidR="001C169B" w:rsidRPr="001C169B" w:rsidRDefault="00F73417" w:rsidP="00392350">
            <w:pPr>
              <w:spacing w:before="0"/>
              <w:jc w:val="center"/>
              <w:rPr>
                <w:b/>
                <w:color w:val="000000"/>
              </w:rPr>
            </w:pPr>
            <w:r>
              <w:rPr>
                <w:b/>
                <w:color w:val="000000"/>
              </w:rPr>
              <w:t>Grade Eight</w:t>
            </w:r>
          </w:p>
        </w:tc>
        <w:tc>
          <w:tcPr>
            <w:tcW w:w="198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2EB4925D" w14:textId="236639A1" w:rsidR="00F73417" w:rsidRDefault="00F73417" w:rsidP="00392350">
            <w:pPr>
              <w:spacing w:before="0"/>
              <w:jc w:val="center"/>
              <w:rPr>
                <w:b/>
                <w:color w:val="000000"/>
              </w:rPr>
            </w:pPr>
            <w:r>
              <w:rPr>
                <w:b/>
                <w:color w:val="000000"/>
              </w:rPr>
              <w:t>High School</w:t>
            </w:r>
          </w:p>
        </w:tc>
        <w:tc>
          <w:tcPr>
            <w:tcW w:w="216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2F0A311C" w14:textId="715497E2" w:rsidR="00F73417" w:rsidRDefault="00F73417" w:rsidP="00392350">
            <w:pPr>
              <w:spacing w:before="0"/>
              <w:jc w:val="center"/>
              <w:rPr>
                <w:b/>
                <w:color w:val="000000"/>
              </w:rPr>
            </w:pPr>
            <w:r>
              <w:rPr>
                <w:b/>
                <w:color w:val="000000"/>
              </w:rPr>
              <w:t>Total</w:t>
            </w:r>
          </w:p>
        </w:tc>
      </w:tr>
      <w:tr w:rsidR="006622EB" w:rsidRPr="001C169B" w14:paraId="179F8323" w14:textId="24C49D0A" w:rsidTr="00392350">
        <w:trPr>
          <w:cantSplit/>
        </w:trPr>
        <w:tc>
          <w:tcPr>
            <w:tcW w:w="178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6DC74D50" w14:textId="77777777" w:rsidR="006622EB" w:rsidRPr="001C169B" w:rsidRDefault="006622EB" w:rsidP="00392350">
            <w:pPr>
              <w:spacing w:before="0"/>
              <w:rPr>
                <w:color w:val="000000"/>
              </w:rPr>
            </w:pPr>
            <w:r w:rsidRPr="001C169B">
              <w:rPr>
                <w:color w:val="000000"/>
              </w:rPr>
              <w:t>Female</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11EDF179" w14:textId="2DF3F334" w:rsidR="006622EB" w:rsidRPr="001C169B" w:rsidRDefault="00F73417" w:rsidP="00392350">
            <w:pPr>
              <w:tabs>
                <w:tab w:val="decimal" w:pos="1155"/>
              </w:tabs>
              <w:spacing w:before="0"/>
              <w:rPr>
                <w:color w:val="000000"/>
              </w:rPr>
            </w:pPr>
            <w:r>
              <w:rPr>
                <w:color w:val="000000"/>
              </w:rPr>
              <w:t>8</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705568B9" w14:textId="128539FC" w:rsidR="006622EB" w:rsidRPr="001C169B" w:rsidRDefault="00F73417" w:rsidP="00392350">
            <w:pPr>
              <w:tabs>
                <w:tab w:val="decimal" w:pos="1066"/>
              </w:tabs>
              <w:spacing w:before="0"/>
              <w:rPr>
                <w:color w:val="000000"/>
              </w:rPr>
            </w:pPr>
            <w:r>
              <w:rPr>
                <w:color w:val="000000"/>
              </w:rPr>
              <w:t>6</w:t>
            </w:r>
          </w:p>
        </w:tc>
        <w:tc>
          <w:tcPr>
            <w:tcW w:w="198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53AB70" w14:textId="656B732F" w:rsidR="00F73417" w:rsidRDefault="00F73417" w:rsidP="00392350">
            <w:pPr>
              <w:tabs>
                <w:tab w:val="decimal" w:pos="976"/>
              </w:tabs>
              <w:spacing w:before="0"/>
              <w:rPr>
                <w:color w:val="000000"/>
              </w:rPr>
            </w:pPr>
            <w:r>
              <w:rPr>
                <w:color w:val="000000"/>
              </w:rPr>
              <w:t>10</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313E35E" w14:textId="48E033D4" w:rsidR="00F73417" w:rsidRPr="00F73417" w:rsidRDefault="00F73417" w:rsidP="00392350">
            <w:pPr>
              <w:tabs>
                <w:tab w:val="decimal" w:pos="1066"/>
              </w:tabs>
              <w:spacing w:before="0"/>
              <w:rPr>
                <w:b/>
                <w:color w:val="000000"/>
              </w:rPr>
            </w:pPr>
            <w:r w:rsidRPr="00F73417">
              <w:rPr>
                <w:b/>
                <w:color w:val="000000"/>
              </w:rPr>
              <w:t>24</w:t>
            </w:r>
          </w:p>
        </w:tc>
      </w:tr>
      <w:tr w:rsidR="006622EB" w:rsidRPr="001C169B" w14:paraId="6F4A2E4F" w14:textId="5A8B5744" w:rsidTr="00392350">
        <w:trPr>
          <w:cantSplit/>
        </w:trPr>
        <w:tc>
          <w:tcPr>
            <w:tcW w:w="178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5D7687FE" w14:textId="77777777" w:rsidR="006622EB" w:rsidRPr="001C169B" w:rsidRDefault="006622EB" w:rsidP="00392350">
            <w:pPr>
              <w:spacing w:before="0"/>
              <w:rPr>
                <w:color w:val="000000"/>
              </w:rPr>
            </w:pPr>
            <w:r w:rsidRPr="001C169B">
              <w:rPr>
                <w:color w:val="000000"/>
              </w:rPr>
              <w:t>Male</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274BF08B" w14:textId="7DFF95F5" w:rsidR="006622EB" w:rsidRPr="001C169B" w:rsidRDefault="00F73417" w:rsidP="00392350">
            <w:pPr>
              <w:tabs>
                <w:tab w:val="decimal" w:pos="1155"/>
              </w:tabs>
              <w:spacing w:before="0"/>
              <w:rPr>
                <w:color w:val="000000"/>
              </w:rPr>
            </w:pPr>
            <w:r>
              <w:rPr>
                <w:color w:val="000000"/>
              </w:rPr>
              <w:t>1</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hideMark/>
          </w:tcPr>
          <w:p w14:paraId="2757D319" w14:textId="693CB702" w:rsidR="006622EB" w:rsidRPr="001C169B" w:rsidRDefault="00F73417" w:rsidP="00392350">
            <w:pPr>
              <w:tabs>
                <w:tab w:val="decimal" w:pos="1066"/>
              </w:tabs>
              <w:spacing w:before="0"/>
              <w:rPr>
                <w:color w:val="000000"/>
              </w:rPr>
            </w:pPr>
            <w:r>
              <w:rPr>
                <w:color w:val="000000"/>
              </w:rPr>
              <w:t>3</w:t>
            </w:r>
          </w:p>
        </w:tc>
        <w:tc>
          <w:tcPr>
            <w:tcW w:w="198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CEB649B" w14:textId="662EC024" w:rsidR="00F73417" w:rsidRDefault="00F73417" w:rsidP="00392350">
            <w:pPr>
              <w:tabs>
                <w:tab w:val="decimal" w:pos="976"/>
              </w:tabs>
              <w:spacing w:before="0"/>
              <w:rPr>
                <w:color w:val="000000"/>
              </w:rPr>
            </w:pPr>
            <w:r>
              <w:rPr>
                <w:color w:val="000000"/>
              </w:rPr>
              <w:t>0</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092A4C9" w14:textId="5C311897" w:rsidR="00F73417" w:rsidRPr="00F73417" w:rsidRDefault="00F73417" w:rsidP="00392350">
            <w:pPr>
              <w:tabs>
                <w:tab w:val="decimal" w:pos="1066"/>
              </w:tabs>
              <w:spacing w:before="0"/>
              <w:rPr>
                <w:b/>
                <w:color w:val="000000"/>
              </w:rPr>
            </w:pPr>
            <w:r w:rsidRPr="00F73417">
              <w:rPr>
                <w:b/>
                <w:color w:val="000000"/>
              </w:rPr>
              <w:t>4</w:t>
            </w:r>
          </w:p>
        </w:tc>
      </w:tr>
      <w:tr w:rsidR="00F73417" w:rsidRPr="001C169B" w14:paraId="6B055AC9" w14:textId="5CB02A1D" w:rsidTr="00392350">
        <w:trPr>
          <w:cantSplit/>
        </w:trPr>
        <w:tc>
          <w:tcPr>
            <w:tcW w:w="178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45509675" w14:textId="70746240" w:rsidR="00F73417" w:rsidRPr="001C169B" w:rsidRDefault="00F73417" w:rsidP="00392350">
            <w:pPr>
              <w:spacing w:before="0"/>
              <w:rPr>
                <w:color w:val="000000"/>
              </w:rPr>
            </w:pPr>
            <w:r>
              <w:rPr>
                <w:color w:val="000000"/>
              </w:rPr>
              <w:t>Non-binary</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14:paraId="3FA8F03A" w14:textId="5128C327" w:rsidR="00F73417" w:rsidRDefault="00F73417" w:rsidP="00392350">
            <w:pPr>
              <w:tabs>
                <w:tab w:val="decimal" w:pos="1155"/>
              </w:tabs>
              <w:spacing w:before="0"/>
              <w:rPr>
                <w:color w:val="000000"/>
              </w:rPr>
            </w:pPr>
            <w:r>
              <w:rPr>
                <w:color w:val="000000"/>
              </w:rPr>
              <w:t>0</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14:paraId="4F14C639" w14:textId="5945C934" w:rsidR="00F73417" w:rsidRDefault="00F73417" w:rsidP="00392350">
            <w:pPr>
              <w:tabs>
                <w:tab w:val="decimal" w:pos="1066"/>
              </w:tabs>
              <w:spacing w:before="0"/>
              <w:rPr>
                <w:color w:val="000000"/>
              </w:rPr>
            </w:pPr>
            <w:r>
              <w:rPr>
                <w:color w:val="000000"/>
              </w:rPr>
              <w:t>0</w:t>
            </w:r>
          </w:p>
        </w:tc>
        <w:tc>
          <w:tcPr>
            <w:tcW w:w="198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6A82CA" w14:textId="2A8E1EC3" w:rsidR="00F73417" w:rsidRDefault="00F73417" w:rsidP="00392350">
            <w:pPr>
              <w:tabs>
                <w:tab w:val="decimal" w:pos="976"/>
              </w:tabs>
              <w:spacing w:before="0"/>
              <w:rPr>
                <w:color w:val="000000"/>
              </w:rPr>
            </w:pPr>
            <w:r>
              <w:rPr>
                <w:color w:val="000000"/>
              </w:rPr>
              <w:t>0</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D4C7353" w14:textId="62894B1F" w:rsidR="00F73417" w:rsidRPr="00F73417" w:rsidRDefault="00F73417" w:rsidP="00392350">
            <w:pPr>
              <w:tabs>
                <w:tab w:val="decimal" w:pos="1066"/>
              </w:tabs>
              <w:spacing w:before="0"/>
              <w:rPr>
                <w:b/>
                <w:color w:val="000000"/>
              </w:rPr>
            </w:pPr>
            <w:r w:rsidRPr="00F73417">
              <w:rPr>
                <w:b/>
                <w:color w:val="000000"/>
              </w:rPr>
              <w:t>0</w:t>
            </w:r>
          </w:p>
        </w:tc>
      </w:tr>
      <w:tr w:rsidR="00F73417" w:rsidRPr="001C169B" w14:paraId="3F2E14D6" w14:textId="708A1EA2" w:rsidTr="00392350">
        <w:trPr>
          <w:cantSplit/>
        </w:trPr>
        <w:tc>
          <w:tcPr>
            <w:tcW w:w="178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347F91BC" w14:textId="06DD3389" w:rsidR="00F73417" w:rsidRPr="001C169B" w:rsidRDefault="00F73417" w:rsidP="00392350">
            <w:pPr>
              <w:spacing w:before="0"/>
              <w:rPr>
                <w:color w:val="000000"/>
              </w:rPr>
            </w:pPr>
            <w:r>
              <w:rPr>
                <w:color w:val="000000"/>
              </w:rPr>
              <w:t>No Response</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14:paraId="1D06B011" w14:textId="23D39659" w:rsidR="00F73417" w:rsidRDefault="00F73417" w:rsidP="00392350">
            <w:pPr>
              <w:tabs>
                <w:tab w:val="decimal" w:pos="1155"/>
              </w:tabs>
              <w:spacing w:before="0"/>
              <w:rPr>
                <w:color w:val="000000"/>
              </w:rPr>
            </w:pPr>
            <w:r>
              <w:rPr>
                <w:color w:val="000000"/>
              </w:rPr>
              <w:t>0</w:t>
            </w:r>
          </w:p>
        </w:tc>
        <w:tc>
          <w:tcPr>
            <w:tcW w:w="216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14:paraId="249D3CB1" w14:textId="6544A4EF" w:rsidR="00F73417" w:rsidRDefault="00F73417" w:rsidP="00392350">
            <w:pPr>
              <w:tabs>
                <w:tab w:val="decimal" w:pos="1066"/>
              </w:tabs>
              <w:spacing w:before="0"/>
              <w:rPr>
                <w:color w:val="000000"/>
              </w:rPr>
            </w:pPr>
            <w:r>
              <w:rPr>
                <w:color w:val="000000"/>
              </w:rPr>
              <w:t>0</w:t>
            </w:r>
          </w:p>
        </w:tc>
        <w:tc>
          <w:tcPr>
            <w:tcW w:w="198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B8397A1" w14:textId="293EF815" w:rsidR="00F73417" w:rsidRDefault="00F73417" w:rsidP="00392350">
            <w:pPr>
              <w:tabs>
                <w:tab w:val="decimal" w:pos="976"/>
              </w:tabs>
              <w:spacing w:before="0"/>
              <w:rPr>
                <w:color w:val="000000"/>
              </w:rPr>
            </w:pPr>
            <w:r>
              <w:rPr>
                <w:color w:val="000000"/>
              </w:rPr>
              <w:t>0</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DC629E7" w14:textId="4813BE2D" w:rsidR="00F73417" w:rsidRPr="00F73417" w:rsidRDefault="00F73417" w:rsidP="00392350">
            <w:pPr>
              <w:tabs>
                <w:tab w:val="decimal" w:pos="1066"/>
              </w:tabs>
              <w:spacing w:before="0"/>
              <w:rPr>
                <w:b/>
                <w:color w:val="000000"/>
              </w:rPr>
            </w:pPr>
            <w:r w:rsidRPr="00F73417">
              <w:rPr>
                <w:b/>
                <w:color w:val="000000"/>
              </w:rPr>
              <w:t>0</w:t>
            </w:r>
          </w:p>
        </w:tc>
      </w:tr>
      <w:bookmarkEnd w:id="5"/>
    </w:tbl>
    <w:p w14:paraId="43ED5409" w14:textId="77777777" w:rsidR="001E1AB2" w:rsidRDefault="001E1AB2" w:rsidP="001C169B">
      <w:pPr>
        <w:keepNext/>
        <w:tabs>
          <w:tab w:val="left" w:pos="2520"/>
        </w:tabs>
        <w:spacing w:before="240" w:after="120"/>
      </w:pPr>
      <w:r>
        <w:br w:type="page"/>
      </w:r>
    </w:p>
    <w:p w14:paraId="57DF57AD" w14:textId="1A8037E7" w:rsidR="001C169B" w:rsidRPr="007A01B5" w:rsidRDefault="001C169B" w:rsidP="007A01B5">
      <w:pPr>
        <w:pStyle w:val="Heading2"/>
        <w:spacing w:before="240"/>
        <w:rPr>
          <w:b w:val="0"/>
          <w:sz w:val="24"/>
        </w:rPr>
      </w:pPr>
      <w:r w:rsidRPr="007A01B5">
        <w:rPr>
          <w:b w:val="0"/>
          <w:sz w:val="24"/>
        </w:rPr>
        <w:lastRenderedPageBreak/>
        <w:t xml:space="preserve">Table </w:t>
      </w:r>
      <w:r w:rsidR="006504B1" w:rsidRPr="007A01B5">
        <w:rPr>
          <w:b w:val="0"/>
          <w:sz w:val="24"/>
        </w:rPr>
        <w:t>3</w:t>
      </w:r>
      <w:r w:rsidRPr="007A01B5">
        <w:rPr>
          <w:b w:val="0"/>
          <w:sz w:val="24"/>
        </w:rPr>
        <w:t xml:space="preserve">. </w:t>
      </w:r>
      <w:r w:rsidR="00160FB9" w:rsidRPr="007A01B5">
        <w:rPr>
          <w:b w:val="0"/>
          <w:sz w:val="24"/>
        </w:rPr>
        <w:t>Panelist Primary Ethnicity/Race</w:t>
      </w:r>
    </w:p>
    <w:tbl>
      <w:tblPr>
        <w:tblStyle w:val="TableGrid3"/>
        <w:tblW w:w="10248" w:type="dxa"/>
        <w:tblInd w:w="7" w:type="dxa"/>
        <w:tblLayout w:type="fixed"/>
        <w:tblLook w:val="04A0" w:firstRow="1" w:lastRow="0" w:firstColumn="1" w:lastColumn="0" w:noHBand="0" w:noVBand="1"/>
        <w:tblDescription w:val="This table displays Panelist Primary Ethnicity/Race."/>
      </w:tblPr>
      <w:tblGrid>
        <w:gridCol w:w="3768"/>
        <w:gridCol w:w="1620"/>
        <w:gridCol w:w="1710"/>
        <w:gridCol w:w="1620"/>
        <w:gridCol w:w="1530"/>
      </w:tblGrid>
      <w:tr w:rsidR="00830889" w:rsidRPr="00830889" w14:paraId="6954C904" w14:textId="77777777" w:rsidTr="00272F14">
        <w:trPr>
          <w:cantSplit/>
          <w:trHeight w:val="206"/>
          <w:tblHeader/>
        </w:trPr>
        <w:tc>
          <w:tcPr>
            <w:tcW w:w="3768"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5CA5BE62" w14:textId="77777777" w:rsidR="00830889" w:rsidRPr="00830889" w:rsidRDefault="00830889" w:rsidP="00C07580">
            <w:pPr>
              <w:spacing w:before="0"/>
              <w:jc w:val="center"/>
              <w:rPr>
                <w:b/>
                <w:color w:val="D9D9D9"/>
              </w:rPr>
            </w:pPr>
            <w:r w:rsidRPr="00830889">
              <w:rPr>
                <w:b/>
                <w:color w:val="000000"/>
              </w:rPr>
              <w:t>Gender</w:t>
            </w:r>
          </w:p>
        </w:tc>
        <w:tc>
          <w:tcPr>
            <w:tcW w:w="162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5D8597FB" w14:textId="77777777" w:rsidR="00830889" w:rsidRPr="00830889" w:rsidRDefault="00830889" w:rsidP="00C07580">
            <w:pPr>
              <w:spacing w:before="0"/>
              <w:jc w:val="center"/>
              <w:rPr>
                <w:b/>
                <w:color w:val="000000"/>
              </w:rPr>
            </w:pPr>
            <w:r w:rsidRPr="00830889">
              <w:rPr>
                <w:b/>
                <w:color w:val="000000"/>
              </w:rPr>
              <w:t>Grade Five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692464FA" w14:textId="77777777" w:rsidR="00830889" w:rsidRPr="00830889" w:rsidRDefault="00830889" w:rsidP="00C07580">
            <w:pPr>
              <w:spacing w:before="0"/>
              <w:jc w:val="center"/>
              <w:rPr>
                <w:b/>
                <w:color w:val="000000"/>
              </w:rPr>
            </w:pPr>
            <w:r w:rsidRPr="00830889">
              <w:rPr>
                <w:b/>
                <w:color w:val="000000"/>
              </w:rPr>
              <w:t>Grade Eight</w:t>
            </w:r>
          </w:p>
        </w:tc>
        <w:tc>
          <w:tcPr>
            <w:tcW w:w="162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3442C122" w14:textId="77777777" w:rsidR="00830889" w:rsidRPr="00830889" w:rsidRDefault="00830889" w:rsidP="00C07580">
            <w:pPr>
              <w:spacing w:before="0"/>
              <w:jc w:val="center"/>
              <w:rPr>
                <w:b/>
                <w:color w:val="000000"/>
              </w:rPr>
            </w:pPr>
            <w:r w:rsidRPr="00830889">
              <w:rPr>
                <w:b/>
                <w:color w:val="000000"/>
              </w:rPr>
              <w:t>High School</w:t>
            </w:r>
          </w:p>
        </w:tc>
        <w:tc>
          <w:tcPr>
            <w:tcW w:w="153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7FF807EB" w14:textId="77777777" w:rsidR="00830889" w:rsidRPr="00830889" w:rsidRDefault="00830889" w:rsidP="00C07580">
            <w:pPr>
              <w:spacing w:before="0"/>
              <w:jc w:val="center"/>
              <w:rPr>
                <w:b/>
                <w:color w:val="000000"/>
              </w:rPr>
            </w:pPr>
            <w:r w:rsidRPr="00830889">
              <w:rPr>
                <w:b/>
                <w:color w:val="000000"/>
              </w:rPr>
              <w:t>Total</w:t>
            </w:r>
          </w:p>
        </w:tc>
      </w:tr>
      <w:tr w:rsidR="00830889" w:rsidRPr="00830889" w14:paraId="2EEF48CB" w14:textId="77777777" w:rsidTr="00272F14">
        <w:trPr>
          <w:cantSplit/>
          <w:trHeight w:val="395"/>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74B08806" w14:textId="314EB5F7" w:rsidR="00830889" w:rsidRPr="00830889" w:rsidRDefault="00830889" w:rsidP="00272F14">
            <w:pPr>
              <w:spacing w:before="0"/>
              <w:rPr>
                <w:color w:val="000000"/>
              </w:rPr>
            </w:pPr>
            <w:r w:rsidRPr="00830889">
              <w:t>America Indian or Alaska Native</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335F4BC3" w14:textId="44735FF7" w:rsidR="00830889" w:rsidRPr="00830889" w:rsidRDefault="00830889" w:rsidP="00272F14">
            <w:pPr>
              <w:tabs>
                <w:tab w:val="decimal" w:pos="796"/>
              </w:tabs>
              <w:spacing w:before="0"/>
              <w:rPr>
                <w:color w:val="000000"/>
              </w:rPr>
            </w:pPr>
            <w:r w:rsidRPr="00830889">
              <w:rPr>
                <w:color w:val="000000"/>
              </w:rPr>
              <w:t>0</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69EA3BCC" w14:textId="2DC129FE" w:rsidR="00830889" w:rsidRPr="00830889" w:rsidRDefault="00830889" w:rsidP="00272F14">
            <w:pPr>
              <w:tabs>
                <w:tab w:val="decimal" w:pos="796"/>
              </w:tabs>
              <w:spacing w:before="0"/>
              <w:rPr>
                <w:color w:val="000000"/>
              </w:rPr>
            </w:pPr>
            <w:r w:rsidRPr="00830889">
              <w:rPr>
                <w:color w:val="000000"/>
              </w:rPr>
              <w:t>1</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A04F7A5" w14:textId="2657C9F5" w:rsidR="00830889" w:rsidRPr="00830889" w:rsidRDefault="00830889" w:rsidP="00272F14">
            <w:pPr>
              <w:tabs>
                <w:tab w:val="decimal" w:pos="796"/>
              </w:tabs>
              <w:spacing w:before="0"/>
              <w:rPr>
                <w:color w:val="000000"/>
              </w:rPr>
            </w:pPr>
            <w:r w:rsidRPr="00830889">
              <w:rPr>
                <w:color w:val="000000"/>
              </w:rPr>
              <w:t>0</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B9D5C6C" w14:textId="34068903" w:rsidR="00830889" w:rsidRPr="00830889" w:rsidRDefault="00830889" w:rsidP="002A45E8">
            <w:pPr>
              <w:tabs>
                <w:tab w:val="decimal" w:pos="700"/>
              </w:tabs>
              <w:spacing w:before="0"/>
              <w:rPr>
                <w:b/>
                <w:color w:val="000000"/>
              </w:rPr>
            </w:pPr>
            <w:r w:rsidRPr="00830889">
              <w:rPr>
                <w:b/>
                <w:color w:val="000000"/>
              </w:rPr>
              <w:t>1</w:t>
            </w:r>
          </w:p>
        </w:tc>
      </w:tr>
      <w:tr w:rsidR="00830889" w:rsidRPr="00830889" w14:paraId="224C4BE5" w14:textId="77777777" w:rsidTr="00272F14">
        <w:trPr>
          <w:cantSplit/>
          <w:trHeight w:val="323"/>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2CC85802" w14:textId="3DA6B94D" w:rsidR="00830889" w:rsidRPr="00830889" w:rsidRDefault="00830889" w:rsidP="00272F14">
            <w:pPr>
              <w:spacing w:before="0"/>
              <w:rPr>
                <w:color w:val="000000"/>
              </w:rPr>
            </w:pPr>
            <w:r w:rsidRPr="00830889">
              <w:t>Asian</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1CE50A6A" w14:textId="77777777" w:rsidR="00830889" w:rsidRPr="00830889" w:rsidRDefault="00830889" w:rsidP="00272F14">
            <w:pPr>
              <w:tabs>
                <w:tab w:val="decimal" w:pos="796"/>
              </w:tabs>
              <w:spacing w:before="0"/>
              <w:rPr>
                <w:color w:val="000000"/>
              </w:rPr>
            </w:pPr>
            <w:r w:rsidRPr="00830889">
              <w:rPr>
                <w:color w:val="000000"/>
              </w:rPr>
              <w:t>1</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hideMark/>
          </w:tcPr>
          <w:p w14:paraId="19CD3524" w14:textId="48189139" w:rsidR="00830889" w:rsidRPr="00830889" w:rsidRDefault="00830889" w:rsidP="00272F14">
            <w:pPr>
              <w:tabs>
                <w:tab w:val="decimal" w:pos="796"/>
              </w:tabs>
              <w:spacing w:before="0"/>
              <w:rPr>
                <w:color w:val="000000"/>
              </w:rPr>
            </w:pPr>
            <w:r w:rsidRPr="00830889">
              <w:rPr>
                <w:color w:val="000000"/>
              </w:rPr>
              <w:t>0</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07C5521" w14:textId="0DBF6665" w:rsidR="00830889" w:rsidRPr="00830889" w:rsidRDefault="00830889" w:rsidP="00272F14">
            <w:pPr>
              <w:tabs>
                <w:tab w:val="decimal" w:pos="796"/>
              </w:tabs>
              <w:spacing w:before="0"/>
              <w:rPr>
                <w:color w:val="000000"/>
              </w:rPr>
            </w:pPr>
            <w:r w:rsidRPr="00830889">
              <w:rPr>
                <w:color w:val="000000"/>
              </w:rPr>
              <w:t>1</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6CDAD5E3" w14:textId="4A131116" w:rsidR="00830889" w:rsidRPr="00830889" w:rsidRDefault="00830889" w:rsidP="002A45E8">
            <w:pPr>
              <w:tabs>
                <w:tab w:val="decimal" w:pos="700"/>
              </w:tabs>
              <w:spacing w:before="0"/>
              <w:rPr>
                <w:b/>
                <w:color w:val="000000"/>
              </w:rPr>
            </w:pPr>
            <w:r w:rsidRPr="00830889">
              <w:rPr>
                <w:b/>
                <w:color w:val="000000"/>
              </w:rPr>
              <w:t>2</w:t>
            </w:r>
          </w:p>
        </w:tc>
      </w:tr>
      <w:tr w:rsidR="00830889" w:rsidRPr="00830889" w14:paraId="123EFF39" w14:textId="77777777" w:rsidTr="00272F14">
        <w:trPr>
          <w:cantSplit/>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64084F5B" w14:textId="178C715B" w:rsidR="00830889" w:rsidRPr="00830889" w:rsidRDefault="00830889" w:rsidP="00272F14">
            <w:pPr>
              <w:spacing w:before="0"/>
              <w:rPr>
                <w:color w:val="000000"/>
              </w:rPr>
            </w:pPr>
            <w:r w:rsidRPr="00830889">
              <w:t>Black or African American</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2DD9349F" w14:textId="4016692D" w:rsidR="00830889" w:rsidRPr="00830889" w:rsidRDefault="00830889" w:rsidP="00272F14">
            <w:pPr>
              <w:tabs>
                <w:tab w:val="decimal" w:pos="796"/>
              </w:tabs>
              <w:spacing w:before="0"/>
              <w:rPr>
                <w:color w:val="000000"/>
              </w:rPr>
            </w:pPr>
            <w:r w:rsidRPr="00830889">
              <w:rPr>
                <w:color w:val="000000"/>
              </w:rPr>
              <w:t>1</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00C47415" w14:textId="77777777" w:rsidR="00830889" w:rsidRPr="00830889" w:rsidRDefault="00830889" w:rsidP="00272F14">
            <w:pPr>
              <w:tabs>
                <w:tab w:val="decimal" w:pos="796"/>
              </w:tabs>
              <w:spacing w:before="0"/>
              <w:rPr>
                <w:color w:val="000000"/>
              </w:rPr>
            </w:pPr>
            <w:r w:rsidRPr="00830889">
              <w:rPr>
                <w:color w:val="000000"/>
              </w:rPr>
              <w:t>0</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BA60593" w14:textId="0DD14CC2" w:rsidR="00830889" w:rsidRPr="00830889" w:rsidRDefault="00830889" w:rsidP="00272F14">
            <w:pPr>
              <w:tabs>
                <w:tab w:val="decimal" w:pos="796"/>
              </w:tabs>
              <w:spacing w:before="0"/>
              <w:rPr>
                <w:color w:val="000000"/>
              </w:rPr>
            </w:pPr>
            <w:r w:rsidRPr="00830889">
              <w:rPr>
                <w:color w:val="000000"/>
              </w:rPr>
              <w:t>1</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B3097DD" w14:textId="4211DC86" w:rsidR="00830889" w:rsidRPr="00830889" w:rsidRDefault="00830889" w:rsidP="002A45E8">
            <w:pPr>
              <w:tabs>
                <w:tab w:val="decimal" w:pos="700"/>
              </w:tabs>
              <w:spacing w:before="0"/>
              <w:rPr>
                <w:b/>
                <w:color w:val="000000"/>
              </w:rPr>
            </w:pPr>
            <w:r w:rsidRPr="00830889">
              <w:rPr>
                <w:b/>
                <w:color w:val="000000"/>
              </w:rPr>
              <w:t>2</w:t>
            </w:r>
          </w:p>
        </w:tc>
      </w:tr>
      <w:tr w:rsidR="00830889" w:rsidRPr="00830889" w14:paraId="448682B9" w14:textId="77777777" w:rsidTr="00272F14">
        <w:trPr>
          <w:cantSplit/>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15D1E83B" w14:textId="5C8F1DBF" w:rsidR="00830889" w:rsidRPr="00830889" w:rsidRDefault="00830889" w:rsidP="00272F14">
            <w:pPr>
              <w:spacing w:before="0"/>
              <w:rPr>
                <w:color w:val="000000"/>
              </w:rPr>
            </w:pPr>
            <w:r w:rsidRPr="00830889">
              <w:t>Filipino</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30C6CD97" w14:textId="77777777" w:rsidR="00830889" w:rsidRPr="00830889" w:rsidRDefault="00830889" w:rsidP="00272F14">
            <w:pPr>
              <w:tabs>
                <w:tab w:val="decimal" w:pos="796"/>
              </w:tabs>
              <w:spacing w:before="0"/>
              <w:rPr>
                <w:color w:val="000000"/>
              </w:rPr>
            </w:pPr>
            <w:r w:rsidRPr="00830889">
              <w:rPr>
                <w:color w:val="000000"/>
              </w:rPr>
              <w:t>0</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55C9EF7F" w14:textId="77777777" w:rsidR="00830889" w:rsidRPr="00830889" w:rsidRDefault="00830889" w:rsidP="00272F14">
            <w:pPr>
              <w:tabs>
                <w:tab w:val="decimal" w:pos="796"/>
              </w:tabs>
              <w:spacing w:before="0"/>
              <w:rPr>
                <w:color w:val="000000"/>
              </w:rPr>
            </w:pPr>
            <w:r w:rsidRPr="00830889">
              <w:rPr>
                <w:color w:val="000000"/>
              </w:rPr>
              <w:t>0</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EF5CC94" w14:textId="77777777" w:rsidR="00830889" w:rsidRPr="00830889" w:rsidRDefault="00830889" w:rsidP="00272F14">
            <w:pPr>
              <w:tabs>
                <w:tab w:val="decimal" w:pos="796"/>
              </w:tabs>
              <w:spacing w:before="0"/>
              <w:rPr>
                <w:color w:val="000000"/>
              </w:rPr>
            </w:pPr>
            <w:r w:rsidRPr="00830889">
              <w:rPr>
                <w:color w:val="000000"/>
              </w:rPr>
              <w:t>0</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6B623C0" w14:textId="77777777" w:rsidR="00830889" w:rsidRPr="00830889" w:rsidRDefault="00830889" w:rsidP="002A45E8">
            <w:pPr>
              <w:tabs>
                <w:tab w:val="decimal" w:pos="700"/>
              </w:tabs>
              <w:spacing w:before="0"/>
              <w:rPr>
                <w:b/>
                <w:color w:val="000000"/>
              </w:rPr>
            </w:pPr>
            <w:r w:rsidRPr="00830889">
              <w:rPr>
                <w:b/>
                <w:color w:val="000000"/>
              </w:rPr>
              <w:t>0</w:t>
            </w:r>
          </w:p>
        </w:tc>
      </w:tr>
      <w:tr w:rsidR="00830889" w:rsidRPr="00830889" w14:paraId="784BDCF5" w14:textId="77777777" w:rsidTr="00272F14">
        <w:trPr>
          <w:cantSplit/>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7FF2373B" w14:textId="7974FD94" w:rsidR="00830889" w:rsidRPr="00830889" w:rsidRDefault="00830889" w:rsidP="00272F14">
            <w:pPr>
              <w:spacing w:before="0"/>
              <w:rPr>
                <w:color w:val="000000"/>
              </w:rPr>
            </w:pPr>
            <w:r w:rsidRPr="00830889">
              <w:t>Hispanic or Latino</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0A3DC334" w14:textId="4245DE0A" w:rsidR="00830889" w:rsidRPr="00830889" w:rsidRDefault="00830889" w:rsidP="00272F14">
            <w:pPr>
              <w:tabs>
                <w:tab w:val="decimal" w:pos="796"/>
              </w:tabs>
              <w:spacing w:before="0"/>
              <w:rPr>
                <w:color w:val="000000"/>
              </w:rPr>
            </w:pPr>
            <w:r>
              <w:rPr>
                <w:color w:val="000000"/>
              </w:rPr>
              <w:t>1</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7E766399" w14:textId="0D640BEA" w:rsidR="00830889" w:rsidRPr="00830889" w:rsidRDefault="00830889" w:rsidP="00272F14">
            <w:pPr>
              <w:tabs>
                <w:tab w:val="decimal" w:pos="796"/>
              </w:tabs>
              <w:spacing w:before="0"/>
              <w:rPr>
                <w:color w:val="000000"/>
              </w:rPr>
            </w:pPr>
            <w:r>
              <w:rPr>
                <w:color w:val="000000"/>
              </w:rPr>
              <w:t>1</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ED7F040" w14:textId="5229C129" w:rsidR="00830889" w:rsidRPr="00830889" w:rsidRDefault="00830889" w:rsidP="00272F14">
            <w:pPr>
              <w:tabs>
                <w:tab w:val="decimal" w:pos="796"/>
              </w:tabs>
              <w:spacing w:before="0"/>
              <w:rPr>
                <w:color w:val="000000"/>
              </w:rPr>
            </w:pPr>
            <w:r>
              <w:rPr>
                <w:color w:val="000000"/>
              </w:rPr>
              <w:t>1</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D2890E7" w14:textId="26E421BB" w:rsidR="00830889" w:rsidRPr="00830889" w:rsidRDefault="00830889" w:rsidP="002A45E8">
            <w:pPr>
              <w:tabs>
                <w:tab w:val="decimal" w:pos="700"/>
              </w:tabs>
              <w:spacing w:before="0"/>
              <w:rPr>
                <w:b/>
                <w:color w:val="000000"/>
              </w:rPr>
            </w:pPr>
            <w:r>
              <w:rPr>
                <w:b/>
                <w:color w:val="000000"/>
              </w:rPr>
              <w:t>3</w:t>
            </w:r>
          </w:p>
        </w:tc>
      </w:tr>
      <w:tr w:rsidR="00830889" w:rsidRPr="00830889" w14:paraId="4D629139" w14:textId="77777777" w:rsidTr="00272F14">
        <w:trPr>
          <w:cantSplit/>
          <w:trHeight w:val="70"/>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73E26D45" w14:textId="18311BC4" w:rsidR="00830889" w:rsidRPr="00830889" w:rsidRDefault="00830889" w:rsidP="00272F14">
            <w:pPr>
              <w:spacing w:before="0"/>
              <w:rPr>
                <w:color w:val="000000"/>
              </w:rPr>
            </w:pPr>
            <w:r w:rsidRPr="00830889">
              <w:t>White</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5086DA8A" w14:textId="18EEC2A0" w:rsidR="00830889" w:rsidRPr="00830889" w:rsidRDefault="00830889" w:rsidP="00272F14">
            <w:pPr>
              <w:tabs>
                <w:tab w:val="decimal" w:pos="796"/>
              </w:tabs>
              <w:spacing w:before="0"/>
              <w:rPr>
                <w:color w:val="000000"/>
              </w:rPr>
            </w:pPr>
            <w:r>
              <w:rPr>
                <w:color w:val="000000"/>
              </w:rPr>
              <w:t>6</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607ABE51" w14:textId="1AAD36BD" w:rsidR="00830889" w:rsidRPr="00830889" w:rsidRDefault="00830889" w:rsidP="00272F14">
            <w:pPr>
              <w:tabs>
                <w:tab w:val="decimal" w:pos="796"/>
              </w:tabs>
              <w:spacing w:before="0"/>
              <w:rPr>
                <w:color w:val="000000"/>
              </w:rPr>
            </w:pPr>
            <w:r>
              <w:rPr>
                <w:color w:val="000000"/>
              </w:rPr>
              <w:t>6</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FE40FA0" w14:textId="0219B67F" w:rsidR="00830889" w:rsidRPr="00830889" w:rsidRDefault="00830889" w:rsidP="00272F14">
            <w:pPr>
              <w:tabs>
                <w:tab w:val="decimal" w:pos="796"/>
              </w:tabs>
              <w:spacing w:before="0"/>
              <w:rPr>
                <w:color w:val="000000"/>
              </w:rPr>
            </w:pPr>
            <w:r>
              <w:rPr>
                <w:color w:val="000000"/>
              </w:rPr>
              <w:t>7</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B386409" w14:textId="18A49A92" w:rsidR="00830889" w:rsidRPr="00830889" w:rsidRDefault="00830889" w:rsidP="002A45E8">
            <w:pPr>
              <w:tabs>
                <w:tab w:val="decimal" w:pos="700"/>
              </w:tabs>
              <w:spacing w:before="0"/>
              <w:rPr>
                <w:b/>
                <w:color w:val="000000"/>
              </w:rPr>
            </w:pPr>
            <w:r>
              <w:rPr>
                <w:b/>
                <w:color w:val="000000"/>
              </w:rPr>
              <w:t>19</w:t>
            </w:r>
          </w:p>
        </w:tc>
      </w:tr>
      <w:tr w:rsidR="00830889" w:rsidRPr="00830889" w14:paraId="62234DD3" w14:textId="77777777" w:rsidTr="00272F14">
        <w:trPr>
          <w:cantSplit/>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31B64ED6" w14:textId="2F02F191" w:rsidR="00830889" w:rsidRPr="00830889" w:rsidRDefault="00830889" w:rsidP="00272F14">
            <w:pPr>
              <w:spacing w:before="0"/>
              <w:rPr>
                <w:color w:val="000000"/>
              </w:rPr>
            </w:pPr>
            <w:r w:rsidRPr="00830889">
              <w:t>Two or More Races</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39FB2E66" w14:textId="7DCAA0F6" w:rsidR="00830889" w:rsidRPr="00830889" w:rsidRDefault="00830889" w:rsidP="00272F14">
            <w:pPr>
              <w:tabs>
                <w:tab w:val="decimal" w:pos="796"/>
              </w:tabs>
              <w:spacing w:before="0"/>
              <w:rPr>
                <w:color w:val="000000"/>
              </w:rPr>
            </w:pPr>
            <w:r>
              <w:rPr>
                <w:color w:val="000000"/>
              </w:rPr>
              <w:t>0</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742FE3E8" w14:textId="618DF9F9" w:rsidR="00830889" w:rsidRPr="00830889" w:rsidRDefault="00830889" w:rsidP="00272F14">
            <w:pPr>
              <w:tabs>
                <w:tab w:val="decimal" w:pos="796"/>
              </w:tabs>
              <w:spacing w:before="0"/>
              <w:rPr>
                <w:color w:val="000000"/>
              </w:rPr>
            </w:pPr>
            <w:r>
              <w:rPr>
                <w:color w:val="000000"/>
              </w:rPr>
              <w:t>1</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6C4727DA" w14:textId="1EBBA1FF" w:rsidR="00830889" w:rsidRPr="00830889" w:rsidRDefault="00830889" w:rsidP="00272F14">
            <w:pPr>
              <w:tabs>
                <w:tab w:val="decimal" w:pos="796"/>
              </w:tabs>
              <w:spacing w:before="0"/>
              <w:rPr>
                <w:color w:val="000000"/>
              </w:rPr>
            </w:pPr>
            <w:r>
              <w:rPr>
                <w:color w:val="000000"/>
              </w:rPr>
              <w:t>0</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0D0B7AE" w14:textId="1F4273A1" w:rsidR="00830889" w:rsidRPr="00830889" w:rsidRDefault="00830889" w:rsidP="002A45E8">
            <w:pPr>
              <w:tabs>
                <w:tab w:val="decimal" w:pos="700"/>
              </w:tabs>
              <w:spacing w:before="0"/>
              <w:rPr>
                <w:b/>
                <w:color w:val="000000"/>
              </w:rPr>
            </w:pPr>
            <w:r>
              <w:rPr>
                <w:b/>
                <w:color w:val="000000"/>
              </w:rPr>
              <w:t>1</w:t>
            </w:r>
          </w:p>
        </w:tc>
      </w:tr>
      <w:tr w:rsidR="00830889" w:rsidRPr="00830889" w14:paraId="1FFCDD87" w14:textId="77777777" w:rsidTr="00272F14">
        <w:trPr>
          <w:cantSplit/>
        </w:trPr>
        <w:tc>
          <w:tcPr>
            <w:tcW w:w="3768"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25B103E0" w14:textId="66BB799A" w:rsidR="00830889" w:rsidRPr="00830889" w:rsidRDefault="00830889" w:rsidP="00272F14">
            <w:pPr>
              <w:spacing w:before="0"/>
            </w:pPr>
            <w:r>
              <w:t>No Response</w:t>
            </w:r>
          </w:p>
        </w:tc>
        <w:tc>
          <w:tcPr>
            <w:tcW w:w="162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12EE63F2" w14:textId="4134FC09" w:rsidR="00830889" w:rsidRDefault="00830889" w:rsidP="00272F14">
            <w:pPr>
              <w:tabs>
                <w:tab w:val="decimal" w:pos="796"/>
              </w:tabs>
              <w:spacing w:before="0"/>
              <w:rPr>
                <w:color w:val="000000"/>
              </w:rPr>
            </w:pPr>
            <w:r>
              <w:rPr>
                <w:color w:val="000000"/>
              </w:rPr>
              <w:t>0</w:t>
            </w:r>
          </w:p>
        </w:tc>
        <w:tc>
          <w:tcPr>
            <w:tcW w:w="1710"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center"/>
          </w:tcPr>
          <w:p w14:paraId="5E7CFDE6" w14:textId="28B5BF1C" w:rsidR="00830889" w:rsidRDefault="00830889" w:rsidP="00272F14">
            <w:pPr>
              <w:tabs>
                <w:tab w:val="decimal" w:pos="796"/>
              </w:tabs>
              <w:spacing w:before="0"/>
              <w:rPr>
                <w:color w:val="000000"/>
              </w:rPr>
            </w:pPr>
            <w:r>
              <w:rPr>
                <w:color w:val="000000"/>
              </w:rPr>
              <w:t>0</w:t>
            </w:r>
          </w:p>
        </w:tc>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C25493A" w14:textId="5F7166D8" w:rsidR="00830889" w:rsidRDefault="00830889" w:rsidP="00272F14">
            <w:pPr>
              <w:tabs>
                <w:tab w:val="decimal" w:pos="796"/>
              </w:tabs>
              <w:spacing w:before="0"/>
              <w:rPr>
                <w:color w:val="000000"/>
              </w:rPr>
            </w:pPr>
            <w:r>
              <w:rPr>
                <w:color w:val="000000"/>
              </w:rPr>
              <w:t>0</w:t>
            </w:r>
          </w:p>
        </w:tc>
        <w:tc>
          <w:tcPr>
            <w:tcW w:w="15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D772CC2" w14:textId="1C8345DC" w:rsidR="00830889" w:rsidRDefault="00830889" w:rsidP="002A45E8">
            <w:pPr>
              <w:tabs>
                <w:tab w:val="decimal" w:pos="700"/>
              </w:tabs>
              <w:spacing w:before="0"/>
              <w:rPr>
                <w:b/>
                <w:color w:val="000000"/>
              </w:rPr>
            </w:pPr>
            <w:r>
              <w:rPr>
                <w:b/>
                <w:color w:val="000000"/>
              </w:rPr>
              <w:t>0</w:t>
            </w:r>
          </w:p>
        </w:tc>
      </w:tr>
    </w:tbl>
    <w:p w14:paraId="4CFE81B7" w14:textId="5B055A13" w:rsidR="001C169B" w:rsidRPr="007A01B5" w:rsidRDefault="001C169B" w:rsidP="007A01B5">
      <w:pPr>
        <w:pStyle w:val="Heading2"/>
        <w:spacing w:before="240"/>
        <w:rPr>
          <w:b w:val="0"/>
          <w:sz w:val="24"/>
        </w:rPr>
      </w:pPr>
      <w:r w:rsidRPr="007A01B5">
        <w:rPr>
          <w:b w:val="0"/>
          <w:sz w:val="24"/>
        </w:rPr>
        <w:t xml:space="preserve">Table </w:t>
      </w:r>
      <w:r w:rsidR="006504B1" w:rsidRPr="007A01B5">
        <w:rPr>
          <w:b w:val="0"/>
          <w:sz w:val="24"/>
        </w:rPr>
        <w:t>4</w:t>
      </w:r>
      <w:r w:rsidRPr="007A01B5">
        <w:rPr>
          <w:b w:val="0"/>
          <w:sz w:val="24"/>
        </w:rPr>
        <w:t xml:space="preserve">. </w:t>
      </w:r>
      <w:r w:rsidR="006504B1" w:rsidRPr="007A01B5">
        <w:rPr>
          <w:b w:val="0"/>
          <w:sz w:val="24"/>
        </w:rPr>
        <w:t>Panelist Years of Experience Teaching Special Education</w:t>
      </w:r>
    </w:p>
    <w:tbl>
      <w:tblPr>
        <w:tblStyle w:val="TableGrid21"/>
        <w:tblW w:w="10255" w:type="dxa"/>
        <w:tblInd w:w="0" w:type="dxa"/>
        <w:tblLayout w:type="fixed"/>
        <w:tblLook w:val="04A0" w:firstRow="1" w:lastRow="0" w:firstColumn="1" w:lastColumn="0" w:noHBand="0" w:noVBand="1"/>
        <w:tblDescription w:val="This table displays Panelist Years of Experience Teaching Special Education."/>
      </w:tblPr>
      <w:tblGrid>
        <w:gridCol w:w="2065"/>
        <w:gridCol w:w="1890"/>
        <w:gridCol w:w="2250"/>
        <w:gridCol w:w="1800"/>
        <w:gridCol w:w="2250"/>
      </w:tblGrid>
      <w:tr w:rsidR="001C169B" w:rsidRPr="001C169B" w14:paraId="40C90FAB" w14:textId="0C221BC1" w:rsidTr="00712A25">
        <w:trPr>
          <w:trHeight w:val="293"/>
          <w:tblHeader/>
        </w:trPr>
        <w:tc>
          <w:tcPr>
            <w:tcW w:w="2065"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5AC32A83" w14:textId="1EFF1413" w:rsidR="001C169B" w:rsidRPr="001C169B" w:rsidRDefault="00DF20CE" w:rsidP="001C169B">
            <w:pPr>
              <w:keepNext/>
              <w:keepLines/>
              <w:jc w:val="center"/>
              <w:rPr>
                <w:rFonts w:ascii="Arial" w:hAnsi="Arial" w:cs="Arial"/>
                <w:b/>
                <w:bCs/>
                <w:color w:val="000000"/>
                <w:vertAlign w:val="superscript"/>
              </w:rPr>
            </w:pPr>
            <w:r w:rsidRPr="00C65BC0">
              <w:rPr>
                <w:rFonts w:ascii="Arial" w:hAnsi="Arial" w:cs="Arial"/>
                <w:b/>
                <w:bCs/>
                <w:color w:val="000000"/>
              </w:rPr>
              <w:t>Experience</w:t>
            </w:r>
          </w:p>
        </w:tc>
        <w:tc>
          <w:tcPr>
            <w:tcW w:w="189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14:paraId="0C42C60D" w14:textId="3A5C0DFD" w:rsidR="001C169B" w:rsidRPr="001C169B" w:rsidRDefault="00DF20CE" w:rsidP="001C169B">
            <w:pPr>
              <w:keepNext/>
              <w:keepLines/>
              <w:jc w:val="center"/>
              <w:rPr>
                <w:rFonts w:ascii="Arial" w:hAnsi="Arial" w:cs="Arial"/>
                <w:b/>
                <w:bCs/>
                <w:color w:val="000000"/>
              </w:rPr>
            </w:pPr>
            <w:r w:rsidRPr="00C65BC0">
              <w:rPr>
                <w:rFonts w:ascii="Arial" w:hAnsi="Arial" w:cs="Arial"/>
                <w:b/>
                <w:bCs/>
                <w:color w:val="000000"/>
              </w:rPr>
              <w:t>Grade Five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bottom"/>
            <w:hideMark/>
          </w:tcPr>
          <w:p w14:paraId="78B487C2" w14:textId="20C037DF" w:rsidR="001C169B" w:rsidRPr="001C169B" w:rsidRDefault="00DF20CE" w:rsidP="001C169B">
            <w:pPr>
              <w:keepNext/>
              <w:keepLines/>
              <w:jc w:val="center"/>
              <w:rPr>
                <w:rFonts w:ascii="Arial" w:hAnsi="Arial" w:cs="Arial"/>
                <w:b/>
                <w:bCs/>
                <w:color w:val="000000"/>
              </w:rPr>
            </w:pPr>
            <w:r w:rsidRPr="00C65BC0">
              <w:rPr>
                <w:rFonts w:ascii="Arial" w:hAnsi="Arial" w:cs="Arial"/>
                <w:b/>
                <w:bCs/>
                <w:color w:val="000000"/>
              </w:rPr>
              <w:t>Grade Eight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bottom"/>
          </w:tcPr>
          <w:p w14:paraId="7CF95BBF" w14:textId="535A4F92" w:rsidR="00DF20CE" w:rsidRPr="00C65BC0" w:rsidRDefault="00DF20CE" w:rsidP="0019624E">
            <w:pPr>
              <w:keepNext/>
              <w:keepLines/>
              <w:jc w:val="center"/>
              <w:rPr>
                <w:b/>
                <w:bCs/>
                <w:color w:val="000000"/>
              </w:rPr>
            </w:pPr>
            <w:r w:rsidRPr="00C65BC0">
              <w:rPr>
                <w:rFonts w:ascii="Arial" w:hAnsi="Arial" w:cs="Arial"/>
                <w:b/>
                <w:bCs/>
                <w:color w:val="000000"/>
              </w:rPr>
              <w:t>High School</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tcPr>
          <w:p w14:paraId="2A45441D" w14:textId="512CDE7A" w:rsidR="00DF20CE" w:rsidRPr="00C65BC0" w:rsidRDefault="00DF20CE" w:rsidP="0019624E">
            <w:pPr>
              <w:keepNext/>
              <w:keepLines/>
              <w:jc w:val="center"/>
              <w:rPr>
                <w:b/>
                <w:bCs/>
                <w:color w:val="000000"/>
              </w:rPr>
            </w:pPr>
            <w:r w:rsidRPr="00C65BC0">
              <w:rPr>
                <w:rFonts w:ascii="Arial" w:hAnsi="Arial" w:cs="Arial"/>
                <w:b/>
                <w:bCs/>
                <w:color w:val="000000"/>
              </w:rPr>
              <w:t>Total</w:t>
            </w:r>
          </w:p>
        </w:tc>
      </w:tr>
      <w:tr w:rsidR="006622EB" w:rsidRPr="001C169B" w14:paraId="74BEF97D" w14:textId="6B40C72D" w:rsidTr="00712A25">
        <w:trPr>
          <w:trHeight w:val="253"/>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7C6AE610" w14:textId="13BEAE1C" w:rsidR="006622EB" w:rsidRPr="001C169B" w:rsidRDefault="00DF20CE" w:rsidP="006622EB">
            <w:pPr>
              <w:keepNext/>
              <w:keepLines/>
              <w:rPr>
                <w:rFonts w:ascii="Arial" w:hAnsi="Arial" w:cs="Arial"/>
                <w:color w:val="000000"/>
              </w:rPr>
            </w:pPr>
            <w:r w:rsidRPr="00C65BC0">
              <w:rPr>
                <w:rFonts w:ascii="Arial" w:hAnsi="Arial" w:cs="Arial"/>
                <w:color w:val="000000"/>
              </w:rPr>
              <w:t>Not Applicable</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C08F6F0" w14:textId="09DB5A64" w:rsidR="006622EB" w:rsidRPr="001C169B" w:rsidRDefault="00DF20CE" w:rsidP="002D68C7">
            <w:pPr>
              <w:keepNext/>
              <w:keepLines/>
              <w:tabs>
                <w:tab w:val="decimal" w:pos="886"/>
              </w:tabs>
              <w:ind w:right="705"/>
              <w:rPr>
                <w:rFonts w:ascii="Arial" w:hAnsi="Arial" w:cs="Arial"/>
                <w:color w:val="000000"/>
              </w:rPr>
            </w:pPr>
            <w:r w:rsidRPr="00C65BC0">
              <w:rPr>
                <w:rFonts w:ascii="Arial" w:hAnsi="Arial" w:cs="Arial"/>
                <w:color w:val="000000"/>
              </w:rPr>
              <w:t>0</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6EF62A3B" w14:textId="36F5B29E" w:rsidR="006622EB" w:rsidRPr="001C169B" w:rsidRDefault="00DF20CE" w:rsidP="002D68C7">
            <w:pPr>
              <w:keepNext/>
              <w:keepLines/>
              <w:tabs>
                <w:tab w:val="decimal" w:pos="1156"/>
              </w:tabs>
              <w:rPr>
                <w:rFonts w:ascii="Arial" w:hAnsi="Arial" w:cs="Arial"/>
                <w:color w:val="000000"/>
              </w:rPr>
            </w:pPr>
            <w:r w:rsidRPr="00C65BC0">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F41814F" w14:textId="0AB5D6FC" w:rsidR="00DF20CE" w:rsidRPr="00C65BC0" w:rsidRDefault="00DF20CE" w:rsidP="002D68C7">
            <w:pPr>
              <w:keepNext/>
              <w:keepLines/>
              <w:tabs>
                <w:tab w:val="decimal" w:pos="886"/>
              </w:tabs>
              <w:rPr>
                <w:color w:val="000000"/>
              </w:rPr>
            </w:pPr>
            <w:r w:rsidRPr="00C65BC0">
              <w:rPr>
                <w:rFonts w:ascii="Arial" w:hAnsi="Arial" w:cs="Arial"/>
                <w:color w:val="000000"/>
              </w:rPr>
              <w:t>2</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968791" w14:textId="4BABCAB5" w:rsidR="00246815" w:rsidRPr="00C65BC0" w:rsidRDefault="00246815" w:rsidP="001E1AB2">
            <w:pPr>
              <w:keepNext/>
              <w:keepLines/>
              <w:tabs>
                <w:tab w:val="decimal" w:pos="1156"/>
              </w:tabs>
              <w:rPr>
                <w:b/>
                <w:color w:val="000000"/>
              </w:rPr>
            </w:pPr>
            <w:r w:rsidRPr="00C65BC0">
              <w:rPr>
                <w:rFonts w:ascii="Arial" w:hAnsi="Arial" w:cs="Arial"/>
                <w:b/>
                <w:color w:val="000000"/>
              </w:rPr>
              <w:t>2</w:t>
            </w:r>
          </w:p>
        </w:tc>
      </w:tr>
      <w:tr w:rsidR="006622EB" w:rsidRPr="001C169B" w14:paraId="7ADEF2C4" w14:textId="084D94A1" w:rsidTr="00712A25">
        <w:trPr>
          <w:trHeight w:val="253"/>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5D762B84" w14:textId="1C3E1771" w:rsidR="006622EB" w:rsidRPr="001C169B" w:rsidRDefault="00DF20CE" w:rsidP="006622EB">
            <w:pPr>
              <w:keepNext/>
              <w:keepLines/>
              <w:rPr>
                <w:rFonts w:ascii="Arial" w:hAnsi="Arial" w:cs="Arial"/>
                <w:color w:val="000000"/>
              </w:rPr>
            </w:pPr>
            <w:r w:rsidRPr="00C65BC0">
              <w:rPr>
                <w:rFonts w:ascii="Arial" w:hAnsi="Arial" w:cs="Arial"/>
                <w:color w:val="000000"/>
              </w:rPr>
              <w:t>1 to 3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9705194" w14:textId="62CC256E" w:rsidR="006622EB" w:rsidRPr="001C169B" w:rsidRDefault="00DF20CE" w:rsidP="002D68C7">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04F66074" w14:textId="398D32C4" w:rsidR="006622EB" w:rsidRPr="001C169B" w:rsidRDefault="00DF20CE" w:rsidP="002D68C7">
            <w:pPr>
              <w:keepNext/>
              <w:keepLines/>
              <w:tabs>
                <w:tab w:val="decimal" w:pos="1156"/>
              </w:tabs>
              <w:rPr>
                <w:rFonts w:ascii="Arial" w:hAnsi="Arial" w:cs="Arial"/>
                <w:color w:val="000000"/>
              </w:rPr>
            </w:pPr>
            <w:r w:rsidRPr="00C65BC0">
              <w:rPr>
                <w:rFonts w:ascii="Arial" w:hAnsi="Arial" w:cs="Arial"/>
                <w:color w:val="000000"/>
              </w:rPr>
              <w:t>1</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17F3FDE" w14:textId="4D9064AD" w:rsidR="00DF20CE" w:rsidRPr="00C65BC0" w:rsidRDefault="00DF20CE" w:rsidP="002D68C7">
            <w:pPr>
              <w:keepNext/>
              <w:keepLines/>
              <w:tabs>
                <w:tab w:val="decimal" w:pos="886"/>
              </w:tabs>
              <w:rPr>
                <w:color w:val="000000"/>
              </w:rPr>
            </w:pPr>
            <w:r w:rsidRPr="00C65BC0">
              <w:rPr>
                <w:rFonts w:ascii="Arial" w:hAnsi="Arial" w:cs="Arial"/>
                <w:color w:val="000000"/>
              </w:rPr>
              <w:t>0</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C27C6F9" w14:textId="188C670F" w:rsidR="00246815" w:rsidRPr="00C65BC0" w:rsidRDefault="00246815" w:rsidP="001E1AB2">
            <w:pPr>
              <w:keepNext/>
              <w:keepLines/>
              <w:tabs>
                <w:tab w:val="decimal" w:pos="1156"/>
              </w:tabs>
              <w:rPr>
                <w:b/>
                <w:color w:val="000000"/>
              </w:rPr>
            </w:pPr>
            <w:r w:rsidRPr="00C65BC0">
              <w:rPr>
                <w:rFonts w:ascii="Arial" w:hAnsi="Arial" w:cs="Arial"/>
                <w:b/>
                <w:color w:val="000000"/>
              </w:rPr>
              <w:t>2</w:t>
            </w:r>
          </w:p>
        </w:tc>
      </w:tr>
      <w:tr w:rsidR="006622EB" w:rsidRPr="001C169B" w14:paraId="7C0D6EAA" w14:textId="17266D17" w:rsidTr="00712A25">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561444FC" w14:textId="628A2050" w:rsidR="006622EB" w:rsidRPr="001C169B" w:rsidRDefault="00DF20CE" w:rsidP="006622EB">
            <w:pPr>
              <w:keepNext/>
              <w:keepLines/>
              <w:rPr>
                <w:rFonts w:ascii="Arial" w:hAnsi="Arial" w:cs="Arial"/>
                <w:color w:val="000000"/>
              </w:rPr>
            </w:pPr>
            <w:r w:rsidRPr="00C65BC0">
              <w:rPr>
                <w:rFonts w:ascii="Arial" w:hAnsi="Arial" w:cs="Arial"/>
                <w:color w:val="000000"/>
              </w:rPr>
              <w:t>4 to 6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62A75415" w14:textId="5C2A18C9" w:rsidR="006622EB" w:rsidRPr="001C169B" w:rsidRDefault="00DF20CE" w:rsidP="002D68C7">
            <w:pPr>
              <w:keepNext/>
              <w:keepLines/>
              <w:tabs>
                <w:tab w:val="decimal" w:pos="886"/>
              </w:tabs>
              <w:rPr>
                <w:rFonts w:ascii="Arial" w:hAnsi="Arial" w:cs="Arial"/>
                <w:color w:val="000000"/>
              </w:rPr>
            </w:pPr>
            <w:r w:rsidRPr="00C65BC0">
              <w:rPr>
                <w:rFonts w:ascii="Arial" w:hAnsi="Arial" w:cs="Arial"/>
                <w:color w:val="000000"/>
              </w:rPr>
              <w:t>0</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48518FFB" w14:textId="7A0BC9E1" w:rsidR="006622EB" w:rsidRPr="001C169B" w:rsidRDefault="00DF20CE" w:rsidP="002D68C7">
            <w:pPr>
              <w:keepNext/>
              <w:keepLines/>
              <w:tabs>
                <w:tab w:val="decimal" w:pos="1156"/>
              </w:tabs>
              <w:rPr>
                <w:rFonts w:ascii="Arial" w:hAnsi="Arial" w:cs="Arial"/>
                <w:color w:val="000000"/>
              </w:rPr>
            </w:pPr>
            <w:r w:rsidRPr="00C65BC0">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3FDACA5" w14:textId="572C9417" w:rsidR="00DF20CE" w:rsidRPr="00C65BC0" w:rsidRDefault="00DF20CE" w:rsidP="002D68C7">
            <w:pPr>
              <w:keepNext/>
              <w:keepLines/>
              <w:tabs>
                <w:tab w:val="decimal" w:pos="886"/>
              </w:tabs>
              <w:rPr>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499D4AE" w14:textId="5D5A741A" w:rsidR="00246815" w:rsidRPr="00C65BC0" w:rsidRDefault="00246815" w:rsidP="001E1AB2">
            <w:pPr>
              <w:keepNext/>
              <w:keepLines/>
              <w:tabs>
                <w:tab w:val="decimal" w:pos="1156"/>
              </w:tabs>
              <w:rPr>
                <w:b/>
                <w:color w:val="000000"/>
              </w:rPr>
            </w:pPr>
            <w:r w:rsidRPr="00C65BC0">
              <w:rPr>
                <w:rFonts w:ascii="Arial" w:hAnsi="Arial" w:cs="Arial"/>
                <w:b/>
                <w:color w:val="000000"/>
              </w:rPr>
              <w:t>1</w:t>
            </w:r>
          </w:p>
        </w:tc>
      </w:tr>
      <w:tr w:rsidR="00DF20CE" w:rsidRPr="00C65BC0" w14:paraId="39C7CFF3" w14:textId="16F774CB" w:rsidTr="00712A25">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B417EE9" w14:textId="2818821D" w:rsidR="00DF20CE" w:rsidRPr="00C65BC0" w:rsidRDefault="00DF20CE" w:rsidP="0019624E">
            <w:pPr>
              <w:keepNext/>
              <w:keepLines/>
              <w:rPr>
                <w:rFonts w:ascii="Arial" w:hAnsi="Arial" w:cs="Arial"/>
                <w:color w:val="000000"/>
              </w:rPr>
            </w:pPr>
            <w:r w:rsidRPr="00C65BC0">
              <w:rPr>
                <w:rFonts w:ascii="Arial" w:hAnsi="Arial" w:cs="Arial"/>
                <w:color w:val="000000"/>
              </w:rPr>
              <w:t>7 to 10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AAE72CF" w14:textId="2E59669D" w:rsidR="00DF20CE" w:rsidRPr="00C65BC0" w:rsidRDefault="00DF20CE" w:rsidP="002D68C7">
            <w:pPr>
              <w:keepNext/>
              <w:keepLines/>
              <w:tabs>
                <w:tab w:val="decimal" w:pos="886"/>
              </w:tabs>
              <w:rPr>
                <w:rFonts w:ascii="Arial" w:hAnsi="Arial" w:cs="Arial"/>
                <w:color w:val="000000"/>
              </w:rPr>
            </w:pPr>
            <w:r w:rsidRPr="00C65BC0">
              <w:rPr>
                <w:rFonts w:ascii="Arial" w:hAnsi="Arial" w:cs="Arial"/>
                <w:color w:val="000000"/>
              </w:rPr>
              <w:t>3</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1773196" w14:textId="314CBD8B" w:rsidR="00DF20CE" w:rsidRPr="00C65BC0" w:rsidRDefault="00DF20CE" w:rsidP="002D68C7">
            <w:pPr>
              <w:keepNext/>
              <w:keepLines/>
              <w:tabs>
                <w:tab w:val="decimal" w:pos="1156"/>
              </w:tabs>
              <w:rPr>
                <w:rFonts w:ascii="Arial" w:hAnsi="Arial" w:cs="Arial"/>
                <w:color w:val="000000"/>
              </w:rPr>
            </w:pPr>
            <w:r w:rsidRPr="00C65BC0">
              <w:rPr>
                <w:rFonts w:ascii="Arial" w:hAnsi="Arial" w:cs="Arial"/>
                <w:color w:val="000000"/>
              </w:rPr>
              <w:t>1</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4B61EC8" w14:textId="643A13F0" w:rsidR="00DF20CE" w:rsidRPr="00C65BC0" w:rsidRDefault="00DF20CE" w:rsidP="002D68C7">
            <w:pPr>
              <w:keepNext/>
              <w:keepLines/>
              <w:tabs>
                <w:tab w:val="decimal" w:pos="886"/>
              </w:tabs>
              <w:rPr>
                <w:rFonts w:ascii="Arial" w:hAnsi="Arial" w:cs="Arial"/>
                <w:color w:val="000000"/>
              </w:rPr>
            </w:pPr>
            <w:r w:rsidRPr="00C65BC0">
              <w:rPr>
                <w:rFonts w:ascii="Arial" w:hAnsi="Arial" w:cs="Arial"/>
                <w:color w:val="000000"/>
              </w:rPr>
              <w:t>3</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E483E0E" w14:textId="7224F87C" w:rsidR="00DF20CE" w:rsidRPr="00C65BC0" w:rsidRDefault="00246815" w:rsidP="001E1AB2">
            <w:pPr>
              <w:keepNext/>
              <w:keepLines/>
              <w:tabs>
                <w:tab w:val="decimal" w:pos="1156"/>
              </w:tabs>
              <w:rPr>
                <w:rFonts w:ascii="Arial" w:hAnsi="Arial" w:cs="Arial"/>
                <w:b/>
                <w:color w:val="000000"/>
              </w:rPr>
            </w:pPr>
            <w:r w:rsidRPr="00C65BC0">
              <w:rPr>
                <w:rFonts w:ascii="Arial" w:hAnsi="Arial" w:cs="Arial"/>
                <w:b/>
                <w:color w:val="000000"/>
              </w:rPr>
              <w:t>7</w:t>
            </w:r>
          </w:p>
        </w:tc>
      </w:tr>
      <w:tr w:rsidR="00DF20CE" w:rsidRPr="00C65BC0" w14:paraId="2308E2CA" w14:textId="628475B9" w:rsidTr="00712A25">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93F0D7E" w14:textId="1D81B2BA" w:rsidR="00DF20CE" w:rsidRPr="00C65BC0" w:rsidRDefault="00DF20CE" w:rsidP="0019624E">
            <w:pPr>
              <w:keepNext/>
              <w:keepLines/>
              <w:rPr>
                <w:rFonts w:ascii="Arial" w:hAnsi="Arial" w:cs="Arial"/>
                <w:color w:val="000000"/>
              </w:rPr>
            </w:pPr>
            <w:r w:rsidRPr="00C65BC0">
              <w:rPr>
                <w:rFonts w:ascii="Arial" w:hAnsi="Arial" w:cs="Arial"/>
                <w:color w:val="000000"/>
              </w:rPr>
              <w:t>10 +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02F5A0AD" w14:textId="36C26F06" w:rsidR="00DF20CE" w:rsidRPr="00C65BC0" w:rsidRDefault="00DF20CE" w:rsidP="002D68C7">
            <w:pPr>
              <w:keepNext/>
              <w:keepLines/>
              <w:tabs>
                <w:tab w:val="decimal" w:pos="886"/>
              </w:tabs>
              <w:rPr>
                <w:rFonts w:ascii="Arial" w:hAnsi="Arial" w:cs="Arial"/>
                <w:color w:val="000000"/>
              </w:rPr>
            </w:pPr>
            <w:r w:rsidRPr="00C65BC0">
              <w:rPr>
                <w:rFonts w:ascii="Arial" w:hAnsi="Arial" w:cs="Arial"/>
                <w:color w:val="000000"/>
              </w:rPr>
              <w:t>5</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421B0BE" w14:textId="023F1C35" w:rsidR="00DF20CE" w:rsidRPr="00C65BC0" w:rsidRDefault="00DF20CE" w:rsidP="002D68C7">
            <w:pPr>
              <w:keepNext/>
              <w:keepLines/>
              <w:tabs>
                <w:tab w:val="decimal" w:pos="1156"/>
              </w:tabs>
              <w:rPr>
                <w:rFonts w:ascii="Arial" w:hAnsi="Arial" w:cs="Arial"/>
                <w:color w:val="000000"/>
              </w:rPr>
            </w:pPr>
            <w:r w:rsidRPr="00C65BC0">
              <w:rPr>
                <w:rFonts w:ascii="Arial" w:hAnsi="Arial" w:cs="Arial"/>
                <w:color w:val="000000"/>
              </w:rPr>
              <w:t>7</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B861CBA" w14:textId="231BD95F" w:rsidR="00DF20CE" w:rsidRPr="00C65BC0" w:rsidRDefault="00DF20CE" w:rsidP="002D68C7">
            <w:pPr>
              <w:keepNext/>
              <w:keepLines/>
              <w:tabs>
                <w:tab w:val="decimal" w:pos="886"/>
              </w:tabs>
              <w:rPr>
                <w:rFonts w:ascii="Arial" w:hAnsi="Arial" w:cs="Arial"/>
                <w:color w:val="000000"/>
              </w:rPr>
            </w:pPr>
            <w:r w:rsidRPr="00C65BC0">
              <w:rPr>
                <w:rFonts w:ascii="Arial" w:hAnsi="Arial" w:cs="Arial"/>
                <w:color w:val="000000"/>
              </w:rPr>
              <w:t>4</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EA512C7" w14:textId="18E5F553" w:rsidR="00DF20CE" w:rsidRPr="00C65BC0" w:rsidRDefault="00246815" w:rsidP="001E1AB2">
            <w:pPr>
              <w:keepNext/>
              <w:keepLines/>
              <w:tabs>
                <w:tab w:val="decimal" w:pos="1156"/>
              </w:tabs>
              <w:rPr>
                <w:rFonts w:ascii="Arial" w:hAnsi="Arial" w:cs="Arial"/>
                <w:b/>
                <w:color w:val="000000"/>
              </w:rPr>
            </w:pPr>
            <w:r w:rsidRPr="00C65BC0">
              <w:rPr>
                <w:rFonts w:ascii="Arial" w:hAnsi="Arial" w:cs="Arial"/>
                <w:b/>
                <w:color w:val="000000"/>
              </w:rPr>
              <w:t>16</w:t>
            </w:r>
          </w:p>
        </w:tc>
      </w:tr>
    </w:tbl>
    <w:p w14:paraId="5C5F0B48" w14:textId="4F970326" w:rsidR="002D68C7" w:rsidRPr="007A01B5" w:rsidRDefault="002D68C7" w:rsidP="007A01B5">
      <w:pPr>
        <w:pStyle w:val="Heading2"/>
        <w:spacing w:before="240"/>
        <w:rPr>
          <w:b w:val="0"/>
          <w:sz w:val="24"/>
        </w:rPr>
      </w:pPr>
      <w:r w:rsidRPr="007A01B5">
        <w:rPr>
          <w:b w:val="0"/>
          <w:sz w:val="24"/>
        </w:rPr>
        <w:t>Table 5. Panelist Years of Experience Teaching Science</w:t>
      </w:r>
    </w:p>
    <w:tbl>
      <w:tblPr>
        <w:tblStyle w:val="TableGrid21"/>
        <w:tblW w:w="10255" w:type="dxa"/>
        <w:tblInd w:w="0" w:type="dxa"/>
        <w:tblLayout w:type="fixed"/>
        <w:tblLook w:val="04A0" w:firstRow="1" w:lastRow="0" w:firstColumn="1" w:lastColumn="0" w:noHBand="0" w:noVBand="1"/>
        <w:tblDescription w:val="This table displays Panelist Years of Experience Teaching Science."/>
      </w:tblPr>
      <w:tblGrid>
        <w:gridCol w:w="2065"/>
        <w:gridCol w:w="1890"/>
        <w:gridCol w:w="2250"/>
        <w:gridCol w:w="1800"/>
        <w:gridCol w:w="2250"/>
      </w:tblGrid>
      <w:tr w:rsidR="002D68C7" w:rsidRPr="00C65BC0" w14:paraId="7AF401A9" w14:textId="77777777" w:rsidTr="001806C8">
        <w:trPr>
          <w:trHeight w:val="293"/>
          <w:tblHeader/>
        </w:trPr>
        <w:tc>
          <w:tcPr>
            <w:tcW w:w="2065"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4540AC23" w14:textId="77777777" w:rsidR="002D68C7" w:rsidRPr="00C65BC0" w:rsidRDefault="002D68C7" w:rsidP="00D061F5">
            <w:pPr>
              <w:keepNext/>
              <w:keepLines/>
              <w:jc w:val="center"/>
              <w:rPr>
                <w:rFonts w:ascii="Arial" w:hAnsi="Arial" w:cs="Arial"/>
                <w:b/>
                <w:bCs/>
                <w:color w:val="000000"/>
                <w:vertAlign w:val="superscript"/>
              </w:rPr>
            </w:pPr>
            <w:r w:rsidRPr="00C65BC0">
              <w:rPr>
                <w:rFonts w:ascii="Arial" w:hAnsi="Arial" w:cs="Arial"/>
                <w:b/>
                <w:bCs/>
                <w:color w:val="000000"/>
              </w:rPr>
              <w:t>Experience</w:t>
            </w:r>
          </w:p>
        </w:tc>
        <w:tc>
          <w:tcPr>
            <w:tcW w:w="189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bottom"/>
            <w:hideMark/>
          </w:tcPr>
          <w:p w14:paraId="5D189288" w14:textId="77777777" w:rsidR="002D68C7" w:rsidRPr="00C65BC0" w:rsidRDefault="002D68C7" w:rsidP="00D061F5">
            <w:pPr>
              <w:keepNext/>
              <w:keepLines/>
              <w:jc w:val="center"/>
              <w:rPr>
                <w:rFonts w:ascii="Arial" w:hAnsi="Arial" w:cs="Arial"/>
                <w:b/>
                <w:bCs/>
                <w:color w:val="000000"/>
              </w:rPr>
            </w:pPr>
            <w:r w:rsidRPr="00C65BC0">
              <w:rPr>
                <w:rFonts w:ascii="Arial" w:hAnsi="Arial" w:cs="Arial"/>
                <w:b/>
                <w:bCs/>
                <w:color w:val="000000"/>
              </w:rPr>
              <w:t>Grade Five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bottom"/>
            <w:hideMark/>
          </w:tcPr>
          <w:p w14:paraId="12BA40C1" w14:textId="77777777" w:rsidR="002D68C7" w:rsidRPr="00C65BC0" w:rsidRDefault="002D68C7" w:rsidP="00D061F5">
            <w:pPr>
              <w:keepNext/>
              <w:keepLines/>
              <w:jc w:val="center"/>
              <w:rPr>
                <w:rFonts w:ascii="Arial" w:hAnsi="Arial" w:cs="Arial"/>
                <w:b/>
                <w:bCs/>
                <w:color w:val="000000"/>
              </w:rPr>
            </w:pPr>
            <w:r w:rsidRPr="00C65BC0">
              <w:rPr>
                <w:rFonts w:ascii="Arial" w:hAnsi="Arial" w:cs="Arial"/>
                <w:b/>
                <w:bCs/>
                <w:color w:val="000000"/>
              </w:rPr>
              <w:t>Grade Eight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bottom"/>
          </w:tcPr>
          <w:p w14:paraId="0E52DB52" w14:textId="77777777" w:rsidR="002D68C7" w:rsidRPr="00C65BC0" w:rsidRDefault="002D68C7" w:rsidP="00D061F5">
            <w:pPr>
              <w:keepNext/>
              <w:keepLines/>
              <w:jc w:val="center"/>
              <w:rPr>
                <w:rFonts w:ascii="Arial" w:hAnsi="Arial" w:cs="Arial"/>
                <w:b/>
                <w:color w:val="000000"/>
              </w:rPr>
            </w:pPr>
            <w:r w:rsidRPr="00C65BC0">
              <w:rPr>
                <w:rFonts w:ascii="Arial" w:hAnsi="Arial" w:cs="Arial"/>
                <w:b/>
                <w:bCs/>
                <w:color w:val="000000"/>
              </w:rPr>
              <w:t>High School</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tcPr>
          <w:p w14:paraId="1BB49CE7" w14:textId="77777777" w:rsidR="002D68C7" w:rsidRPr="00C65BC0" w:rsidRDefault="002D68C7" w:rsidP="00D061F5">
            <w:pPr>
              <w:keepNext/>
              <w:keepLines/>
              <w:jc w:val="center"/>
              <w:rPr>
                <w:rFonts w:ascii="Arial" w:hAnsi="Arial" w:cs="Arial"/>
                <w:b/>
                <w:bCs/>
                <w:color w:val="000000"/>
              </w:rPr>
            </w:pPr>
            <w:r w:rsidRPr="00C65BC0">
              <w:rPr>
                <w:rFonts w:ascii="Arial" w:hAnsi="Arial" w:cs="Arial"/>
                <w:b/>
                <w:bCs/>
                <w:color w:val="000000"/>
              </w:rPr>
              <w:t>Total</w:t>
            </w:r>
          </w:p>
        </w:tc>
      </w:tr>
      <w:tr w:rsidR="002D68C7" w:rsidRPr="00C65BC0" w14:paraId="7E8DC78E" w14:textId="77777777" w:rsidTr="001806C8">
        <w:trPr>
          <w:trHeight w:val="253"/>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7DF0B5FD" w14:textId="77777777" w:rsidR="002D68C7" w:rsidRPr="00C65BC0" w:rsidRDefault="002D68C7" w:rsidP="00D061F5">
            <w:pPr>
              <w:keepNext/>
              <w:keepLines/>
              <w:rPr>
                <w:rFonts w:ascii="Arial" w:hAnsi="Arial" w:cs="Arial"/>
                <w:color w:val="000000"/>
              </w:rPr>
            </w:pPr>
            <w:r w:rsidRPr="00C65BC0">
              <w:rPr>
                <w:rFonts w:ascii="Arial" w:hAnsi="Arial" w:cs="Arial"/>
                <w:color w:val="000000"/>
              </w:rPr>
              <w:t>Not Applicable</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682A605" w14:textId="77777777" w:rsidR="002D68C7" w:rsidRPr="00C65BC0" w:rsidRDefault="002D68C7" w:rsidP="00D061F5">
            <w:pPr>
              <w:keepNext/>
              <w:keepLines/>
              <w:tabs>
                <w:tab w:val="decimal" w:pos="886"/>
              </w:tabs>
              <w:ind w:right="705"/>
              <w:rPr>
                <w:rFonts w:ascii="Arial" w:hAnsi="Arial" w:cs="Arial"/>
                <w:color w:val="000000"/>
              </w:rPr>
            </w:pPr>
            <w:r w:rsidRPr="00C65BC0">
              <w:rPr>
                <w:rFonts w:ascii="Arial" w:hAnsi="Arial" w:cs="Arial"/>
                <w:color w:val="000000"/>
              </w:rPr>
              <w:t>0</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D27D214" w14:textId="77777777" w:rsidR="002D68C7" w:rsidRPr="00C65BC0" w:rsidRDefault="002D68C7" w:rsidP="00D061F5">
            <w:pPr>
              <w:keepNext/>
              <w:keepLines/>
              <w:tabs>
                <w:tab w:val="decimal" w:pos="1156"/>
              </w:tabs>
              <w:rPr>
                <w:rFonts w:ascii="Arial" w:hAnsi="Arial" w:cs="Arial"/>
                <w:color w:val="000000"/>
              </w:rPr>
            </w:pPr>
            <w:r w:rsidRPr="00C65BC0">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BB30EF2" w14:textId="31056F49"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0</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515745" w14:textId="3839C0B8" w:rsidR="002D68C7" w:rsidRPr="00C65BC0" w:rsidRDefault="00975861" w:rsidP="001E1AB2">
            <w:pPr>
              <w:keepNext/>
              <w:keepLines/>
              <w:tabs>
                <w:tab w:val="decimal" w:pos="1066"/>
              </w:tabs>
              <w:rPr>
                <w:rFonts w:ascii="Arial" w:hAnsi="Arial" w:cs="Arial"/>
                <w:b/>
                <w:color w:val="000000"/>
              </w:rPr>
            </w:pPr>
            <w:r w:rsidRPr="00C65BC0">
              <w:rPr>
                <w:rFonts w:ascii="Arial" w:hAnsi="Arial" w:cs="Arial"/>
                <w:b/>
                <w:color w:val="000000"/>
              </w:rPr>
              <w:t>0</w:t>
            </w:r>
          </w:p>
        </w:tc>
      </w:tr>
      <w:tr w:rsidR="002D68C7" w:rsidRPr="00C65BC0" w14:paraId="2A2CE8F2" w14:textId="77777777" w:rsidTr="001806C8">
        <w:trPr>
          <w:trHeight w:val="253"/>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02D9C75" w14:textId="77777777" w:rsidR="002D68C7" w:rsidRPr="00C65BC0" w:rsidRDefault="002D68C7" w:rsidP="00D061F5">
            <w:pPr>
              <w:keepNext/>
              <w:keepLines/>
              <w:rPr>
                <w:rFonts w:ascii="Arial" w:hAnsi="Arial" w:cs="Arial"/>
                <w:color w:val="000000"/>
              </w:rPr>
            </w:pPr>
            <w:r w:rsidRPr="00C65BC0">
              <w:rPr>
                <w:rFonts w:ascii="Arial" w:hAnsi="Arial" w:cs="Arial"/>
                <w:color w:val="000000"/>
              </w:rPr>
              <w:t>1 to 3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0D7F060" w14:textId="77777777" w:rsidR="002D68C7" w:rsidRPr="00C65BC0" w:rsidRDefault="002D68C7" w:rsidP="00D061F5">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472D4B5F" w14:textId="4F233E08" w:rsidR="002D68C7" w:rsidRPr="00C65BC0" w:rsidRDefault="00975861" w:rsidP="00D061F5">
            <w:pPr>
              <w:keepNext/>
              <w:keepLines/>
              <w:tabs>
                <w:tab w:val="decimal" w:pos="1156"/>
              </w:tabs>
              <w:rPr>
                <w:rFonts w:ascii="Arial" w:hAnsi="Arial" w:cs="Arial"/>
                <w:color w:val="000000"/>
              </w:rPr>
            </w:pPr>
            <w:r w:rsidRPr="00C65BC0">
              <w:rPr>
                <w:rFonts w:ascii="Arial" w:hAnsi="Arial" w:cs="Arial"/>
                <w:color w:val="000000"/>
              </w:rPr>
              <w:t>2</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FB153B4" w14:textId="4ACFD128"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0E4F236" w14:textId="01B69E96" w:rsidR="002D68C7" w:rsidRPr="00C65BC0" w:rsidRDefault="00975861" w:rsidP="001E1AB2">
            <w:pPr>
              <w:keepNext/>
              <w:keepLines/>
              <w:tabs>
                <w:tab w:val="decimal" w:pos="1066"/>
              </w:tabs>
              <w:rPr>
                <w:rFonts w:ascii="Arial" w:hAnsi="Arial" w:cs="Arial"/>
                <w:b/>
                <w:color w:val="000000"/>
              </w:rPr>
            </w:pPr>
            <w:r w:rsidRPr="00C65BC0">
              <w:rPr>
                <w:rFonts w:ascii="Arial" w:hAnsi="Arial" w:cs="Arial"/>
                <w:b/>
                <w:color w:val="000000"/>
              </w:rPr>
              <w:t>4</w:t>
            </w:r>
          </w:p>
        </w:tc>
      </w:tr>
      <w:tr w:rsidR="002D68C7" w:rsidRPr="00C65BC0" w14:paraId="06E3A27A" w14:textId="77777777" w:rsidTr="001806C8">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17F151E6" w14:textId="77777777" w:rsidR="002D68C7" w:rsidRPr="00C65BC0" w:rsidRDefault="002D68C7" w:rsidP="00D061F5">
            <w:pPr>
              <w:keepNext/>
              <w:keepLines/>
              <w:rPr>
                <w:rFonts w:ascii="Arial" w:hAnsi="Arial" w:cs="Arial"/>
                <w:color w:val="000000"/>
              </w:rPr>
            </w:pPr>
            <w:r w:rsidRPr="00C65BC0">
              <w:rPr>
                <w:rFonts w:ascii="Arial" w:hAnsi="Arial" w:cs="Arial"/>
                <w:color w:val="000000"/>
              </w:rPr>
              <w:t>4 to 6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FDFB10F" w14:textId="54704842"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63985162" w14:textId="77777777" w:rsidR="002D68C7" w:rsidRPr="00C65BC0" w:rsidRDefault="002D68C7" w:rsidP="00D061F5">
            <w:pPr>
              <w:keepNext/>
              <w:keepLines/>
              <w:tabs>
                <w:tab w:val="decimal" w:pos="1156"/>
              </w:tabs>
              <w:rPr>
                <w:rFonts w:ascii="Arial" w:hAnsi="Arial" w:cs="Arial"/>
                <w:color w:val="000000"/>
              </w:rPr>
            </w:pPr>
            <w:r w:rsidRPr="00C65BC0">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576FAA2" w14:textId="77777777" w:rsidR="002D68C7" w:rsidRPr="00C65BC0" w:rsidRDefault="002D68C7" w:rsidP="00D061F5">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07A177C" w14:textId="3B7BD09B" w:rsidR="002D68C7" w:rsidRPr="00C65BC0" w:rsidRDefault="00975861" w:rsidP="001E1AB2">
            <w:pPr>
              <w:keepNext/>
              <w:keepLines/>
              <w:tabs>
                <w:tab w:val="decimal" w:pos="1066"/>
              </w:tabs>
              <w:rPr>
                <w:rFonts w:ascii="Arial" w:hAnsi="Arial" w:cs="Arial"/>
                <w:b/>
                <w:color w:val="000000"/>
              </w:rPr>
            </w:pPr>
            <w:r w:rsidRPr="00C65BC0">
              <w:rPr>
                <w:rFonts w:ascii="Arial" w:hAnsi="Arial" w:cs="Arial"/>
                <w:b/>
                <w:color w:val="000000"/>
              </w:rPr>
              <w:t>2</w:t>
            </w:r>
          </w:p>
        </w:tc>
      </w:tr>
      <w:tr w:rsidR="002D68C7" w:rsidRPr="00C65BC0" w14:paraId="4E665E2B" w14:textId="77777777" w:rsidTr="001806C8">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5DCDF29" w14:textId="77777777" w:rsidR="002D68C7" w:rsidRPr="00C65BC0" w:rsidRDefault="002D68C7" w:rsidP="00D061F5">
            <w:pPr>
              <w:keepNext/>
              <w:keepLines/>
              <w:rPr>
                <w:rFonts w:ascii="Arial" w:hAnsi="Arial" w:cs="Arial"/>
                <w:color w:val="000000"/>
              </w:rPr>
            </w:pPr>
            <w:r w:rsidRPr="00C65BC0">
              <w:rPr>
                <w:rFonts w:ascii="Arial" w:hAnsi="Arial" w:cs="Arial"/>
                <w:color w:val="000000"/>
              </w:rPr>
              <w:t>7 to 10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56A149D" w14:textId="3BFE3266"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1</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1A5BA61" w14:textId="6D7DA691" w:rsidR="002D68C7" w:rsidRPr="00C65BC0" w:rsidRDefault="00975861" w:rsidP="00D061F5">
            <w:pPr>
              <w:keepNext/>
              <w:keepLines/>
              <w:tabs>
                <w:tab w:val="decimal" w:pos="1156"/>
              </w:tabs>
              <w:rPr>
                <w:rFonts w:ascii="Arial" w:hAnsi="Arial" w:cs="Arial"/>
                <w:color w:val="000000"/>
              </w:rPr>
            </w:pPr>
            <w:r w:rsidRPr="00C65BC0">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DEBF1EE" w14:textId="558D09EB"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2</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FAD175F" w14:textId="1F64D20C" w:rsidR="002D68C7" w:rsidRPr="00C65BC0" w:rsidRDefault="00975861" w:rsidP="001E1AB2">
            <w:pPr>
              <w:keepNext/>
              <w:keepLines/>
              <w:tabs>
                <w:tab w:val="decimal" w:pos="1066"/>
              </w:tabs>
              <w:rPr>
                <w:rFonts w:ascii="Arial" w:hAnsi="Arial" w:cs="Arial"/>
                <w:b/>
                <w:color w:val="000000"/>
              </w:rPr>
            </w:pPr>
            <w:r w:rsidRPr="00C65BC0">
              <w:rPr>
                <w:rFonts w:ascii="Arial" w:hAnsi="Arial" w:cs="Arial"/>
                <w:b/>
                <w:color w:val="000000"/>
              </w:rPr>
              <w:t>3</w:t>
            </w:r>
          </w:p>
        </w:tc>
      </w:tr>
      <w:tr w:rsidR="002D68C7" w:rsidRPr="00C65BC0" w14:paraId="16EF127F" w14:textId="77777777" w:rsidTr="001806C8">
        <w:trPr>
          <w:trHeight w:val="235"/>
        </w:trPr>
        <w:tc>
          <w:tcPr>
            <w:tcW w:w="206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377C79" w14:textId="77777777" w:rsidR="002D68C7" w:rsidRPr="00C65BC0" w:rsidRDefault="002D68C7" w:rsidP="00D061F5">
            <w:pPr>
              <w:keepNext/>
              <w:keepLines/>
              <w:rPr>
                <w:rFonts w:ascii="Arial" w:hAnsi="Arial" w:cs="Arial"/>
                <w:color w:val="000000"/>
              </w:rPr>
            </w:pPr>
            <w:r w:rsidRPr="00C65BC0">
              <w:rPr>
                <w:rFonts w:ascii="Arial" w:hAnsi="Arial" w:cs="Arial"/>
                <w:color w:val="000000"/>
              </w:rPr>
              <w:t>10 + years</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3AF1A88" w14:textId="35E43400"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6</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F998E73" w14:textId="77777777" w:rsidR="002D68C7" w:rsidRPr="00C65BC0" w:rsidRDefault="002D68C7" w:rsidP="00D061F5">
            <w:pPr>
              <w:keepNext/>
              <w:keepLines/>
              <w:tabs>
                <w:tab w:val="decimal" w:pos="1156"/>
              </w:tabs>
              <w:rPr>
                <w:rFonts w:ascii="Arial" w:hAnsi="Arial" w:cs="Arial"/>
                <w:color w:val="000000"/>
              </w:rPr>
            </w:pPr>
            <w:r w:rsidRPr="00C65BC0">
              <w:rPr>
                <w:rFonts w:ascii="Arial" w:hAnsi="Arial" w:cs="Arial"/>
                <w:color w:val="000000"/>
              </w:rPr>
              <w:t>7</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00FAB0B7" w14:textId="1FE54DA1" w:rsidR="002D68C7" w:rsidRPr="00C65BC0" w:rsidRDefault="00975861" w:rsidP="00D061F5">
            <w:pPr>
              <w:keepNext/>
              <w:keepLines/>
              <w:tabs>
                <w:tab w:val="decimal" w:pos="886"/>
              </w:tabs>
              <w:rPr>
                <w:rFonts w:ascii="Arial" w:hAnsi="Arial" w:cs="Arial"/>
                <w:color w:val="000000"/>
              </w:rPr>
            </w:pPr>
            <w:r w:rsidRPr="00C65BC0">
              <w:rPr>
                <w:rFonts w:ascii="Arial" w:hAnsi="Arial" w:cs="Arial"/>
                <w:color w:val="000000"/>
              </w:rPr>
              <w:t>6</w:t>
            </w:r>
          </w:p>
        </w:tc>
        <w:tc>
          <w:tcPr>
            <w:tcW w:w="22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5A1547" w14:textId="6C8E4545" w:rsidR="002D68C7" w:rsidRPr="00C65BC0" w:rsidRDefault="002D68C7" w:rsidP="001E1AB2">
            <w:pPr>
              <w:keepNext/>
              <w:keepLines/>
              <w:tabs>
                <w:tab w:val="decimal" w:pos="1066"/>
              </w:tabs>
              <w:rPr>
                <w:rFonts w:ascii="Arial" w:hAnsi="Arial" w:cs="Arial"/>
                <w:b/>
                <w:color w:val="000000"/>
              </w:rPr>
            </w:pPr>
            <w:r w:rsidRPr="00C65BC0">
              <w:rPr>
                <w:rFonts w:ascii="Arial" w:hAnsi="Arial" w:cs="Arial"/>
                <w:b/>
                <w:color w:val="000000"/>
              </w:rPr>
              <w:t>1</w:t>
            </w:r>
            <w:r w:rsidR="00EF1594" w:rsidRPr="00C65BC0">
              <w:rPr>
                <w:rFonts w:ascii="Arial" w:hAnsi="Arial" w:cs="Arial"/>
                <w:b/>
                <w:color w:val="000000"/>
              </w:rPr>
              <w:t>9</w:t>
            </w:r>
          </w:p>
        </w:tc>
      </w:tr>
    </w:tbl>
    <w:p w14:paraId="50179E2F" w14:textId="77777777" w:rsidR="001E1AB2" w:rsidRDefault="001E1AB2" w:rsidP="001C169B">
      <w:pPr>
        <w:keepNext/>
        <w:tabs>
          <w:tab w:val="left" w:pos="2520"/>
        </w:tabs>
        <w:spacing w:before="240" w:after="120"/>
      </w:pPr>
      <w:r>
        <w:br w:type="page"/>
      </w:r>
    </w:p>
    <w:p w14:paraId="2E7BB8C3" w14:textId="47101C39" w:rsidR="001C169B" w:rsidRPr="007A01B5" w:rsidRDefault="001C169B" w:rsidP="007A01B5">
      <w:pPr>
        <w:pStyle w:val="Heading2"/>
        <w:spacing w:before="240"/>
        <w:rPr>
          <w:b w:val="0"/>
          <w:sz w:val="24"/>
        </w:rPr>
      </w:pPr>
      <w:r w:rsidRPr="007A01B5">
        <w:rPr>
          <w:b w:val="0"/>
          <w:sz w:val="24"/>
        </w:rPr>
        <w:lastRenderedPageBreak/>
        <w:t>Table</w:t>
      </w:r>
      <w:r w:rsidR="006A5AE1" w:rsidRPr="007A01B5">
        <w:rPr>
          <w:b w:val="0"/>
          <w:sz w:val="24"/>
        </w:rPr>
        <w:t xml:space="preserve"> 6</w:t>
      </w:r>
      <w:r w:rsidRPr="007A01B5">
        <w:rPr>
          <w:b w:val="0"/>
          <w:sz w:val="24"/>
        </w:rPr>
        <w:t xml:space="preserve">. </w:t>
      </w:r>
      <w:r w:rsidR="007D546F" w:rsidRPr="007A01B5">
        <w:rPr>
          <w:b w:val="0"/>
          <w:sz w:val="24"/>
        </w:rPr>
        <w:t>Panelist Subject(s) Currently Teaching</w:t>
      </w:r>
    </w:p>
    <w:tbl>
      <w:tblPr>
        <w:tblStyle w:val="TableGrid21"/>
        <w:tblW w:w="8995" w:type="dxa"/>
        <w:tblInd w:w="0" w:type="dxa"/>
        <w:tblLayout w:type="fixed"/>
        <w:tblLook w:val="04A0" w:firstRow="1" w:lastRow="0" w:firstColumn="1" w:lastColumn="0" w:noHBand="0" w:noVBand="1"/>
        <w:tblDescription w:val="This table displays Panelist Subject(s) Currently Teaching."/>
      </w:tblPr>
      <w:tblGrid>
        <w:gridCol w:w="3235"/>
        <w:gridCol w:w="1260"/>
        <w:gridCol w:w="1350"/>
        <w:gridCol w:w="1350"/>
        <w:gridCol w:w="1800"/>
      </w:tblGrid>
      <w:tr w:rsidR="001C169B" w:rsidRPr="001C169B" w14:paraId="4F9C2F15" w14:textId="4FCAC1A3" w:rsidTr="002F40C6">
        <w:trPr>
          <w:trHeight w:val="413"/>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5B6BCC68" w14:textId="5DB98339" w:rsidR="001C169B" w:rsidRPr="001C169B" w:rsidRDefault="00CE5CDC" w:rsidP="001C169B">
            <w:pPr>
              <w:jc w:val="center"/>
              <w:rPr>
                <w:rFonts w:ascii="Arial" w:hAnsi="Arial" w:cs="Arial"/>
                <w:b/>
                <w:bCs/>
                <w:color w:val="000000"/>
              </w:rPr>
            </w:pPr>
            <w:r>
              <w:rPr>
                <w:rFonts w:ascii="Arial" w:hAnsi="Arial" w:cs="Arial"/>
                <w:b/>
                <w:bCs/>
                <w:color w:val="000000"/>
              </w:rPr>
              <w:t>Subject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518D9B21" w14:textId="12D22D25" w:rsidR="001C169B" w:rsidRPr="001C169B" w:rsidRDefault="00810ACC" w:rsidP="001C169B">
            <w:pPr>
              <w:jc w:val="center"/>
              <w:rPr>
                <w:rFonts w:ascii="Arial" w:hAnsi="Arial" w:cs="Arial"/>
                <w:b/>
                <w:bCs/>
                <w:color w:val="000000"/>
              </w:rPr>
            </w:pPr>
            <w:r>
              <w:rPr>
                <w:rFonts w:ascii="Arial" w:hAnsi="Arial" w:cs="Arial"/>
                <w:b/>
                <w:bCs/>
                <w:color w:val="000000"/>
              </w:rPr>
              <w:t>Grade Five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408529AA" w14:textId="7C0ACECE" w:rsidR="001C169B" w:rsidRPr="001C169B" w:rsidRDefault="00810ACC" w:rsidP="001C169B">
            <w:pPr>
              <w:jc w:val="center"/>
              <w:rPr>
                <w:rFonts w:ascii="Arial" w:hAnsi="Arial" w:cs="Arial"/>
                <w:b/>
                <w:bCs/>
                <w:color w:val="000000"/>
              </w:rPr>
            </w:pPr>
            <w:r>
              <w:rPr>
                <w:rFonts w:ascii="Arial" w:hAnsi="Arial" w:cs="Arial"/>
                <w:b/>
                <w:bCs/>
                <w:color w:val="000000"/>
              </w:rPr>
              <w:t xml:space="preserve">Grade Eight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56D16778" w14:textId="7867BD18" w:rsidR="00810ACC" w:rsidRPr="00810ACC" w:rsidRDefault="00810ACC" w:rsidP="00810ACC">
            <w:pPr>
              <w:jc w:val="center"/>
              <w:rPr>
                <w:b/>
                <w:bCs/>
                <w:color w:val="000000"/>
              </w:rPr>
            </w:pPr>
            <w:r w:rsidRPr="00810ACC">
              <w:rPr>
                <w:rFonts w:ascii="Arial" w:hAnsi="Arial" w:cs="Arial"/>
                <w:b/>
                <w:bCs/>
                <w:color w:val="000000"/>
              </w:rPr>
              <w:t>High School</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15353E5E" w14:textId="12839EFB" w:rsidR="00810ACC" w:rsidRPr="00810ACC" w:rsidRDefault="00810ACC" w:rsidP="00810ACC">
            <w:pPr>
              <w:jc w:val="center"/>
              <w:rPr>
                <w:b/>
                <w:bCs/>
                <w:color w:val="000000"/>
              </w:rPr>
            </w:pPr>
            <w:r w:rsidRPr="00810ACC">
              <w:rPr>
                <w:rFonts w:ascii="Arial" w:hAnsi="Arial" w:cs="Arial"/>
                <w:b/>
                <w:bCs/>
                <w:color w:val="000000"/>
              </w:rPr>
              <w:t>Total</w:t>
            </w:r>
          </w:p>
        </w:tc>
      </w:tr>
      <w:tr w:rsidR="006622EB" w:rsidRPr="001C169B" w14:paraId="67793ABE" w14:textId="768F4080" w:rsidTr="002F40C6">
        <w:tc>
          <w:tcPr>
            <w:tcW w:w="323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5C707AE" w14:textId="1CEECD1F" w:rsidR="006622EB" w:rsidRPr="001C169B" w:rsidRDefault="00810ACC" w:rsidP="006622EB">
            <w:pPr>
              <w:rPr>
                <w:rFonts w:ascii="Arial" w:hAnsi="Arial" w:cs="Arial"/>
                <w:color w:val="000000"/>
              </w:rPr>
            </w:pPr>
            <w:r w:rsidRPr="001C169B">
              <w:rPr>
                <w:rFonts w:ascii="Arial" w:hAnsi="Arial" w:cs="Arial"/>
                <w:color w:val="000000"/>
              </w:rPr>
              <w:t xml:space="preserve">Special </w:t>
            </w:r>
            <w:r>
              <w:rPr>
                <w:rFonts w:ascii="Arial" w:hAnsi="Arial" w:cs="Arial"/>
                <w:color w:val="000000"/>
              </w:rPr>
              <w:t>E</w:t>
            </w:r>
            <w:r w:rsidRPr="001C169B">
              <w:rPr>
                <w:rFonts w:ascii="Arial" w:hAnsi="Arial" w:cs="Arial"/>
                <w:color w:val="000000"/>
              </w:rPr>
              <w:t xml:space="preserve">ducation </w:t>
            </w:r>
            <w:r>
              <w:rPr>
                <w:rFonts w:ascii="Arial" w:hAnsi="Arial" w:cs="Arial"/>
                <w:color w:val="000000"/>
              </w:rPr>
              <w:t>Moderate</w:t>
            </w: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F7E69E4" w14:textId="7651CD81" w:rsidR="006622EB" w:rsidRPr="001C169B" w:rsidRDefault="00810ACC" w:rsidP="002F40C6">
            <w:pPr>
              <w:tabs>
                <w:tab w:val="decimal" w:pos="610"/>
              </w:tabs>
              <w:rPr>
                <w:rFonts w:ascii="Arial" w:hAnsi="Arial" w:cs="Arial"/>
                <w:color w:val="000000"/>
              </w:rPr>
            </w:pPr>
            <w:r>
              <w:rPr>
                <w:rFonts w:ascii="Arial" w:hAnsi="Arial" w:cs="Arial"/>
                <w:color w:val="000000" w:themeColor="text1"/>
              </w:rPr>
              <w:t>6</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FB114D7" w14:textId="3ECC2793" w:rsidR="006622EB" w:rsidRPr="001C169B" w:rsidRDefault="00717F21" w:rsidP="0029424D">
            <w:pPr>
              <w:tabs>
                <w:tab w:val="decimal" w:pos="603"/>
              </w:tabs>
              <w:rPr>
                <w:rFonts w:ascii="Arial" w:hAnsi="Arial" w:cs="Arial"/>
                <w:color w:val="000000"/>
              </w:rPr>
            </w:pPr>
            <w:r>
              <w:rPr>
                <w:rFonts w:ascii="Arial" w:hAnsi="Arial" w:cs="Arial"/>
                <w:color w:val="000000"/>
              </w:rPr>
              <w:t>8</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AD69D83" w14:textId="7F6363EE" w:rsidR="00741F6B" w:rsidRPr="00741F6B" w:rsidRDefault="00741F6B" w:rsidP="00810ACC">
            <w:pPr>
              <w:tabs>
                <w:tab w:val="decimal" w:pos="616"/>
              </w:tabs>
              <w:rPr>
                <w:color w:val="000000"/>
              </w:rPr>
            </w:pPr>
            <w:r w:rsidRPr="00741F6B">
              <w:rPr>
                <w:rFonts w:ascii="Arial" w:hAnsi="Arial" w:cs="Arial"/>
                <w:color w:val="000000"/>
              </w:rPr>
              <w:t>5</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93AEC96" w14:textId="05C601D0" w:rsidR="00741F6B" w:rsidRPr="00883ABA" w:rsidRDefault="00741F6B" w:rsidP="00741F6B">
            <w:pPr>
              <w:tabs>
                <w:tab w:val="decimal" w:pos="886"/>
              </w:tabs>
              <w:rPr>
                <w:b/>
                <w:color w:val="000000"/>
              </w:rPr>
            </w:pPr>
            <w:r w:rsidRPr="00883ABA">
              <w:rPr>
                <w:rFonts w:ascii="Arial" w:hAnsi="Arial" w:cs="Arial"/>
                <w:b/>
                <w:color w:val="000000"/>
              </w:rPr>
              <w:t>19</w:t>
            </w:r>
          </w:p>
        </w:tc>
      </w:tr>
      <w:tr w:rsidR="006622EB" w:rsidRPr="001C169B" w14:paraId="6D267452" w14:textId="1500E265" w:rsidTr="002F40C6">
        <w:tc>
          <w:tcPr>
            <w:tcW w:w="323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0CF8588" w14:textId="002412AC" w:rsidR="006622EB" w:rsidRPr="001C169B" w:rsidRDefault="00810ACC" w:rsidP="006622EB">
            <w:pPr>
              <w:rPr>
                <w:rFonts w:ascii="Arial" w:hAnsi="Arial" w:cs="Arial"/>
                <w:color w:val="000000"/>
              </w:rPr>
            </w:pPr>
            <w:r w:rsidRPr="001C169B">
              <w:rPr>
                <w:rFonts w:ascii="Arial" w:hAnsi="Arial" w:cs="Arial"/>
                <w:color w:val="000000"/>
              </w:rPr>
              <w:t xml:space="preserve">Special </w:t>
            </w:r>
            <w:r>
              <w:rPr>
                <w:rFonts w:ascii="Arial" w:hAnsi="Arial" w:cs="Arial"/>
                <w:color w:val="000000"/>
              </w:rPr>
              <w:t>E</w:t>
            </w:r>
            <w:r w:rsidRPr="001C169B">
              <w:rPr>
                <w:rFonts w:ascii="Arial" w:hAnsi="Arial" w:cs="Arial"/>
                <w:color w:val="000000"/>
              </w:rPr>
              <w:t xml:space="preserve">ducation </w:t>
            </w:r>
            <w:r>
              <w:rPr>
                <w:rFonts w:ascii="Arial" w:hAnsi="Arial" w:cs="Arial"/>
                <w:color w:val="000000"/>
              </w:rPr>
              <w:t>Severe</w:t>
            </w: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4428B93" w14:textId="00BFCB56" w:rsidR="006622EB" w:rsidRPr="001C169B" w:rsidRDefault="00902678" w:rsidP="002F40C6">
            <w:pPr>
              <w:tabs>
                <w:tab w:val="decimal" w:pos="610"/>
              </w:tabs>
              <w:rPr>
                <w:rFonts w:ascii="Arial" w:hAnsi="Arial" w:cs="Arial"/>
                <w:color w:val="000000" w:themeColor="text1"/>
              </w:rPr>
            </w:pPr>
            <w:r>
              <w:rPr>
                <w:rFonts w:ascii="Arial" w:hAnsi="Arial" w:cs="Arial"/>
                <w:color w:val="000000" w:themeColor="text1"/>
              </w:rPr>
              <w:t>3</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7F13FB9" w14:textId="4115D38A" w:rsidR="006622EB" w:rsidRPr="001C169B" w:rsidRDefault="00717F21" w:rsidP="0029424D">
            <w:pPr>
              <w:tabs>
                <w:tab w:val="decimal" w:pos="603"/>
              </w:tabs>
              <w:rPr>
                <w:rFonts w:ascii="Arial" w:hAnsi="Arial" w:cs="Arial"/>
                <w:color w:val="000000"/>
              </w:rPr>
            </w:pPr>
            <w:r>
              <w:rPr>
                <w:rFonts w:ascii="Arial" w:hAnsi="Arial" w:cs="Arial"/>
                <w:color w:val="000000"/>
              </w:rPr>
              <w:t>6</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56F1C84" w14:textId="22FDA7CF" w:rsidR="00741F6B" w:rsidRPr="00741F6B" w:rsidRDefault="00741F6B" w:rsidP="00741F6B">
            <w:pPr>
              <w:tabs>
                <w:tab w:val="decimal" w:pos="616"/>
              </w:tabs>
              <w:rPr>
                <w:color w:val="000000"/>
              </w:rPr>
            </w:pPr>
            <w:r w:rsidRPr="00741F6B">
              <w:rPr>
                <w:rFonts w:ascii="Arial" w:hAnsi="Arial" w:cs="Arial"/>
                <w:color w:val="000000"/>
              </w:rPr>
              <w:t>4</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CD8E761" w14:textId="71665328" w:rsidR="00741F6B" w:rsidRPr="00883ABA" w:rsidRDefault="00741F6B" w:rsidP="00741F6B">
            <w:pPr>
              <w:tabs>
                <w:tab w:val="decimal" w:pos="886"/>
              </w:tabs>
              <w:rPr>
                <w:b/>
                <w:color w:val="000000"/>
              </w:rPr>
            </w:pPr>
            <w:r w:rsidRPr="00883ABA">
              <w:rPr>
                <w:rFonts w:ascii="Arial" w:hAnsi="Arial" w:cs="Arial"/>
                <w:b/>
                <w:color w:val="000000"/>
              </w:rPr>
              <w:t>13</w:t>
            </w:r>
          </w:p>
        </w:tc>
      </w:tr>
      <w:tr w:rsidR="006622EB" w:rsidRPr="001C169B" w14:paraId="0669E994" w14:textId="3A956A99" w:rsidTr="002F40C6">
        <w:tc>
          <w:tcPr>
            <w:tcW w:w="323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6132C55C" w14:textId="76F3A247" w:rsidR="006622EB" w:rsidRPr="001C169B" w:rsidRDefault="00810ACC" w:rsidP="006622EB">
            <w:pPr>
              <w:rPr>
                <w:rFonts w:ascii="Arial" w:hAnsi="Arial" w:cs="Arial"/>
                <w:color w:val="000000"/>
              </w:rPr>
            </w:pPr>
            <w:r>
              <w:rPr>
                <w:rFonts w:ascii="Arial" w:hAnsi="Arial" w:cs="Arial"/>
                <w:color w:val="000000"/>
              </w:rPr>
              <w:t>General Education</w:t>
            </w: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73CA3382" w14:textId="45C2FEA6" w:rsidR="006622EB" w:rsidRPr="00615A5D" w:rsidRDefault="00372CC4" w:rsidP="002F40C6">
            <w:pPr>
              <w:tabs>
                <w:tab w:val="decimal" w:pos="610"/>
              </w:tabs>
              <w:rPr>
                <w:rFonts w:ascii="Arial" w:hAnsi="Arial" w:cs="Arial"/>
                <w:color w:val="000000" w:themeColor="text1"/>
              </w:rPr>
            </w:pPr>
            <w:r>
              <w:rPr>
                <w:rFonts w:ascii="Arial" w:hAnsi="Arial" w:cs="Arial"/>
                <w:color w:val="000000" w:themeColor="text1"/>
              </w:rPr>
              <w:t>3</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2F27014E" w14:textId="13F7DC45" w:rsidR="006622EB" w:rsidRPr="001C169B" w:rsidRDefault="00717F21" w:rsidP="0029424D">
            <w:pPr>
              <w:tabs>
                <w:tab w:val="decimal" w:pos="603"/>
              </w:tabs>
              <w:rPr>
                <w:rFonts w:ascii="Arial" w:hAnsi="Arial" w:cs="Arial"/>
                <w:color w:val="000000"/>
              </w:rPr>
            </w:pPr>
            <w:r>
              <w:rPr>
                <w:rFonts w:ascii="Arial" w:hAnsi="Arial" w:cs="Arial"/>
                <w:color w:val="000000"/>
              </w:rPr>
              <w:t>3</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19904DF" w14:textId="781B7DE6" w:rsidR="00741F6B" w:rsidRPr="00741F6B" w:rsidRDefault="00741F6B" w:rsidP="00741F6B">
            <w:pPr>
              <w:tabs>
                <w:tab w:val="decimal" w:pos="616"/>
              </w:tabs>
              <w:rPr>
                <w:color w:val="000000"/>
              </w:rPr>
            </w:pPr>
            <w:r w:rsidRPr="00741F6B">
              <w:rPr>
                <w:rFonts w:ascii="Arial" w:hAnsi="Arial" w:cs="Arial"/>
                <w:color w:val="000000"/>
              </w:rPr>
              <w:t>7</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64D5CBE" w14:textId="45334587" w:rsidR="00741F6B" w:rsidRPr="00883ABA" w:rsidRDefault="00741F6B" w:rsidP="00741F6B">
            <w:pPr>
              <w:tabs>
                <w:tab w:val="decimal" w:pos="886"/>
              </w:tabs>
              <w:rPr>
                <w:b/>
                <w:color w:val="000000"/>
              </w:rPr>
            </w:pPr>
            <w:r w:rsidRPr="00883ABA">
              <w:rPr>
                <w:rFonts w:ascii="Arial" w:hAnsi="Arial" w:cs="Arial"/>
                <w:b/>
                <w:color w:val="000000"/>
              </w:rPr>
              <w:t>13</w:t>
            </w:r>
          </w:p>
        </w:tc>
      </w:tr>
      <w:tr w:rsidR="006622EB" w:rsidRPr="001C169B" w14:paraId="01081140" w14:textId="2481AD76" w:rsidTr="002F40C6">
        <w:tc>
          <w:tcPr>
            <w:tcW w:w="323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83276E2" w14:textId="5109C27B" w:rsidR="006622EB" w:rsidRPr="001C169B" w:rsidRDefault="00810ACC" w:rsidP="006622EB">
            <w:pPr>
              <w:rPr>
                <w:rFonts w:ascii="Arial" w:hAnsi="Arial" w:cs="Arial"/>
                <w:color w:val="000000"/>
              </w:rPr>
            </w:pPr>
            <w:r>
              <w:rPr>
                <w:rFonts w:ascii="Arial" w:hAnsi="Arial" w:cs="Arial"/>
                <w:color w:val="000000"/>
              </w:rPr>
              <w:t>English Learners</w:t>
            </w: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330784B5" w14:textId="737FA08A" w:rsidR="006622EB" w:rsidRPr="00615A5D" w:rsidRDefault="00717F21" w:rsidP="002F40C6">
            <w:pPr>
              <w:tabs>
                <w:tab w:val="decimal" w:pos="610"/>
              </w:tabs>
              <w:rPr>
                <w:rFonts w:ascii="Arial" w:hAnsi="Arial" w:cs="Arial"/>
                <w:color w:val="000000" w:themeColor="text1"/>
              </w:rPr>
            </w:pPr>
            <w:r>
              <w:rPr>
                <w:rFonts w:ascii="Arial" w:hAnsi="Arial" w:cs="Arial"/>
                <w:color w:val="000000" w:themeColor="text1"/>
              </w:rPr>
              <w:t>6</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427AEDF8" w14:textId="6EE190EC" w:rsidR="006622EB" w:rsidRPr="001C169B" w:rsidRDefault="00717F21" w:rsidP="0029424D">
            <w:pPr>
              <w:tabs>
                <w:tab w:val="decimal" w:pos="603"/>
              </w:tabs>
              <w:rPr>
                <w:rFonts w:ascii="Arial" w:hAnsi="Arial" w:cs="Arial"/>
                <w:color w:val="000000"/>
              </w:rPr>
            </w:pPr>
            <w:r>
              <w:rPr>
                <w:rFonts w:ascii="Arial" w:hAnsi="Arial" w:cs="Arial"/>
                <w:color w:val="000000"/>
              </w:rPr>
              <w:t>4</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05FE8B5" w14:textId="51B9C841" w:rsidR="00741F6B" w:rsidRPr="00741F6B" w:rsidRDefault="00741F6B" w:rsidP="00741F6B">
            <w:pPr>
              <w:tabs>
                <w:tab w:val="decimal" w:pos="616"/>
              </w:tabs>
              <w:rPr>
                <w:color w:val="000000"/>
              </w:rPr>
            </w:pPr>
            <w:r w:rsidRPr="00741F6B">
              <w:rPr>
                <w:rFonts w:ascii="Arial" w:hAnsi="Arial" w:cs="Arial"/>
                <w:color w:val="000000"/>
              </w:rPr>
              <w:t>7</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0C258349" w14:textId="0A3796F3" w:rsidR="00741F6B" w:rsidRPr="00883ABA" w:rsidRDefault="00741F6B" w:rsidP="00741F6B">
            <w:pPr>
              <w:tabs>
                <w:tab w:val="decimal" w:pos="886"/>
              </w:tabs>
              <w:rPr>
                <w:b/>
                <w:color w:val="000000"/>
              </w:rPr>
            </w:pPr>
            <w:r w:rsidRPr="00883ABA">
              <w:rPr>
                <w:rFonts w:ascii="Arial" w:hAnsi="Arial" w:cs="Arial"/>
                <w:b/>
                <w:color w:val="000000"/>
              </w:rPr>
              <w:t>17</w:t>
            </w:r>
          </w:p>
        </w:tc>
      </w:tr>
      <w:tr w:rsidR="00810ACC" w:rsidRPr="001C169B" w14:paraId="7153D082" w14:textId="773B7BA4" w:rsidTr="002F40C6">
        <w:tc>
          <w:tcPr>
            <w:tcW w:w="323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DF5FF7F" w14:textId="24984C4C" w:rsidR="00810ACC" w:rsidRDefault="00810ACC" w:rsidP="006622EB">
            <w:pPr>
              <w:rPr>
                <w:color w:val="000000"/>
              </w:rPr>
            </w:pPr>
            <w:r w:rsidRPr="00A27718">
              <w:rPr>
                <w:rFonts w:ascii="Arial" w:hAnsi="Arial" w:cs="Arial"/>
                <w:color w:val="000000"/>
              </w:rPr>
              <w:t>Other</w:t>
            </w:r>
          </w:p>
        </w:tc>
        <w:tc>
          <w:tcPr>
            <w:tcW w:w="126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71579070" w14:textId="77371156" w:rsidR="00810ACC" w:rsidRPr="00615A5D" w:rsidRDefault="00902678" w:rsidP="002F40C6">
            <w:pPr>
              <w:tabs>
                <w:tab w:val="decimal" w:pos="610"/>
              </w:tabs>
              <w:rPr>
                <w:rFonts w:ascii="Arial" w:hAnsi="Arial" w:cs="Arial"/>
                <w:color w:val="000000" w:themeColor="text1"/>
              </w:rPr>
            </w:pPr>
            <w:r w:rsidRPr="00615A5D">
              <w:rPr>
                <w:rFonts w:ascii="Arial" w:hAnsi="Arial" w:cs="Arial"/>
                <w:color w:val="000000" w:themeColor="text1"/>
              </w:rPr>
              <w:t>2</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74D08B5" w14:textId="5E81985B" w:rsidR="00810ACC" w:rsidRPr="00A27718" w:rsidRDefault="00717F21" w:rsidP="0029424D">
            <w:pPr>
              <w:tabs>
                <w:tab w:val="decimal" w:pos="603"/>
              </w:tabs>
              <w:rPr>
                <w:rFonts w:ascii="Arial" w:hAnsi="Arial" w:cs="Arial"/>
                <w:color w:val="000000"/>
              </w:rPr>
            </w:pPr>
            <w:r>
              <w:rPr>
                <w:rFonts w:ascii="Arial" w:hAnsi="Arial" w:cs="Arial"/>
                <w:color w:val="000000"/>
              </w:rPr>
              <w:t>2</w:t>
            </w:r>
          </w:p>
        </w:tc>
        <w:tc>
          <w:tcPr>
            <w:tcW w:w="135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03820AD6" w14:textId="5F444E70" w:rsidR="00810ACC" w:rsidRPr="00741F6B" w:rsidRDefault="00741F6B" w:rsidP="00741F6B">
            <w:pPr>
              <w:tabs>
                <w:tab w:val="decimal" w:pos="616"/>
              </w:tabs>
              <w:rPr>
                <w:rFonts w:ascii="Arial" w:hAnsi="Arial" w:cs="Arial"/>
                <w:color w:val="000000"/>
              </w:rPr>
            </w:pPr>
            <w:r w:rsidRPr="00741F6B">
              <w:rPr>
                <w:rFonts w:ascii="Arial" w:hAnsi="Arial" w:cs="Arial"/>
                <w:color w:val="000000"/>
              </w:rPr>
              <w:t>5</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0033080" w14:textId="11A69503" w:rsidR="00810ACC" w:rsidRPr="00883ABA" w:rsidRDefault="00741F6B" w:rsidP="00741F6B">
            <w:pPr>
              <w:tabs>
                <w:tab w:val="decimal" w:pos="886"/>
              </w:tabs>
              <w:rPr>
                <w:rFonts w:ascii="Arial" w:hAnsi="Arial" w:cs="Arial"/>
                <w:b/>
                <w:color w:val="000000"/>
              </w:rPr>
            </w:pPr>
            <w:r w:rsidRPr="00883ABA">
              <w:rPr>
                <w:rFonts w:ascii="Arial" w:hAnsi="Arial" w:cs="Arial"/>
                <w:b/>
                <w:color w:val="000000"/>
              </w:rPr>
              <w:t>9</w:t>
            </w:r>
          </w:p>
        </w:tc>
      </w:tr>
    </w:tbl>
    <w:p w14:paraId="6DF52DA0" w14:textId="2CEC9B14" w:rsidR="00CE5CDC" w:rsidRPr="001C169B" w:rsidRDefault="00CE5CDC" w:rsidP="00CE5CDC">
      <w:pPr>
        <w:spacing w:before="120" w:after="240"/>
      </w:pPr>
      <w:r w:rsidRPr="0028663C">
        <w:rPr>
          <w:bCs/>
          <w:i/>
        </w:rPr>
        <w:t>Note:</w:t>
      </w:r>
      <w:r w:rsidRPr="0028663C">
        <w:t xml:space="preserve"> Panelists </w:t>
      </w:r>
      <w:r>
        <w:t>may be teaching in more than one subject area</w:t>
      </w:r>
      <w:r w:rsidR="007D546F">
        <w:t>.</w:t>
      </w:r>
    </w:p>
    <w:p w14:paraId="2177FB1E" w14:textId="08129E8C" w:rsidR="001C169B" w:rsidRPr="007A01B5" w:rsidRDefault="001C169B" w:rsidP="007A01B5">
      <w:pPr>
        <w:pStyle w:val="Heading2"/>
        <w:spacing w:before="240"/>
        <w:rPr>
          <w:b w:val="0"/>
          <w:sz w:val="24"/>
        </w:rPr>
      </w:pPr>
      <w:r w:rsidRPr="007A01B5">
        <w:rPr>
          <w:b w:val="0"/>
          <w:sz w:val="24"/>
        </w:rPr>
        <w:t xml:space="preserve">Table </w:t>
      </w:r>
      <w:r w:rsidR="00CE5CDC" w:rsidRPr="007A01B5">
        <w:rPr>
          <w:b w:val="0"/>
          <w:sz w:val="24"/>
        </w:rPr>
        <w:t>7</w:t>
      </w:r>
      <w:r w:rsidRPr="007A01B5">
        <w:rPr>
          <w:b w:val="0"/>
          <w:sz w:val="24"/>
        </w:rPr>
        <w:t xml:space="preserve">. </w:t>
      </w:r>
      <w:r w:rsidR="00F73417" w:rsidRPr="007A01B5">
        <w:rPr>
          <w:b w:val="0"/>
          <w:sz w:val="24"/>
        </w:rPr>
        <w:t>Panelist Grade(s) Currently Taught</w:t>
      </w:r>
    </w:p>
    <w:tbl>
      <w:tblPr>
        <w:tblStyle w:val="TableGrid21"/>
        <w:tblW w:w="8995" w:type="dxa"/>
        <w:tblInd w:w="0" w:type="dxa"/>
        <w:tblLayout w:type="fixed"/>
        <w:tblLook w:val="04A0" w:firstRow="1" w:lastRow="0" w:firstColumn="1" w:lastColumn="0" w:noHBand="0" w:noVBand="1"/>
        <w:tblDescription w:val="This table displays Panelist Grade(s) Currently Taught."/>
      </w:tblPr>
      <w:tblGrid>
        <w:gridCol w:w="1885"/>
        <w:gridCol w:w="1710"/>
        <w:gridCol w:w="1890"/>
        <w:gridCol w:w="1710"/>
        <w:gridCol w:w="1800"/>
      </w:tblGrid>
      <w:tr w:rsidR="007D546F" w:rsidRPr="001C169B" w14:paraId="236F7758" w14:textId="77777777" w:rsidTr="00CE34FC">
        <w:trPr>
          <w:trHeight w:val="413"/>
          <w:tblHead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6371D402" w14:textId="6B66F476" w:rsidR="007D546F" w:rsidRPr="001C169B" w:rsidRDefault="007D546F" w:rsidP="00D061F5">
            <w:pPr>
              <w:jc w:val="center"/>
              <w:rPr>
                <w:rFonts w:ascii="Arial" w:hAnsi="Arial" w:cs="Arial"/>
                <w:b/>
                <w:bCs/>
                <w:color w:val="000000"/>
              </w:rPr>
            </w:pPr>
            <w:r>
              <w:rPr>
                <w:rFonts w:ascii="Arial" w:hAnsi="Arial" w:cs="Arial"/>
                <w:b/>
                <w:bCs/>
                <w:color w:val="000000"/>
              </w:rPr>
              <w:t>Grade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20DF3C7A" w14:textId="77777777" w:rsidR="007D546F" w:rsidRPr="001C169B" w:rsidRDefault="007D546F" w:rsidP="00D061F5">
            <w:pPr>
              <w:jc w:val="center"/>
              <w:rPr>
                <w:rFonts w:ascii="Arial" w:hAnsi="Arial" w:cs="Arial"/>
                <w:b/>
                <w:bCs/>
                <w:color w:val="000000"/>
              </w:rPr>
            </w:pPr>
            <w:r>
              <w:rPr>
                <w:rFonts w:ascii="Arial" w:hAnsi="Arial" w:cs="Arial"/>
                <w:b/>
                <w:bCs/>
                <w:color w:val="000000"/>
              </w:rPr>
              <w:t>Grade Five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hideMark/>
          </w:tcPr>
          <w:p w14:paraId="2F1FCF71" w14:textId="77777777" w:rsidR="007D546F" w:rsidRPr="001C169B" w:rsidRDefault="007D546F" w:rsidP="00D061F5">
            <w:pPr>
              <w:jc w:val="center"/>
              <w:rPr>
                <w:rFonts w:ascii="Arial" w:hAnsi="Arial" w:cs="Arial"/>
                <w:b/>
                <w:bCs/>
                <w:color w:val="000000"/>
              </w:rPr>
            </w:pPr>
            <w:r>
              <w:rPr>
                <w:rFonts w:ascii="Arial" w:hAnsi="Arial" w:cs="Arial"/>
                <w:b/>
                <w:bCs/>
                <w:color w:val="000000"/>
              </w:rPr>
              <w:t xml:space="preserve">Grade Eight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7265E196" w14:textId="77777777" w:rsidR="007D546F" w:rsidRDefault="007D546F" w:rsidP="00D061F5">
            <w:pPr>
              <w:jc w:val="center"/>
              <w:rPr>
                <w:b/>
                <w:bCs/>
                <w:color w:val="000000"/>
              </w:rPr>
            </w:pPr>
            <w:r w:rsidRPr="00810ACC">
              <w:rPr>
                <w:rFonts w:ascii="Arial" w:hAnsi="Arial" w:cs="Arial"/>
                <w:b/>
                <w:bCs/>
                <w:color w:val="000000"/>
              </w:rPr>
              <w:t>High School</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498C38E5" w14:textId="77777777" w:rsidR="007D546F" w:rsidRPr="00810ACC" w:rsidRDefault="007D546F" w:rsidP="00D061F5">
            <w:pPr>
              <w:jc w:val="center"/>
              <w:rPr>
                <w:b/>
                <w:color w:val="000000"/>
              </w:rPr>
            </w:pPr>
            <w:r w:rsidRPr="00810ACC">
              <w:rPr>
                <w:rFonts w:ascii="Arial" w:hAnsi="Arial" w:cs="Arial"/>
                <w:b/>
                <w:bCs/>
                <w:color w:val="000000"/>
              </w:rPr>
              <w:t>Total</w:t>
            </w:r>
          </w:p>
        </w:tc>
      </w:tr>
      <w:tr w:rsidR="007D546F" w:rsidRPr="001C169B" w14:paraId="2EB052ED"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06422FC2" w14:textId="55ACFA5E"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3</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42ECF36" w14:textId="57017482" w:rsidR="007D546F" w:rsidRPr="007D546F" w:rsidRDefault="007D546F" w:rsidP="00CE34FC">
            <w:pPr>
              <w:tabs>
                <w:tab w:val="decimal" w:pos="787"/>
              </w:tabs>
              <w:rPr>
                <w:rFonts w:ascii="Arial" w:hAnsi="Arial" w:cs="Arial"/>
                <w:color w:val="000000"/>
              </w:rPr>
            </w:pPr>
            <w:r>
              <w:rPr>
                <w:rFonts w:ascii="Arial" w:hAnsi="Arial" w:cs="Arial"/>
                <w:color w:val="000000"/>
              </w:rPr>
              <w:t>2</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02D02B21" w14:textId="32D17479" w:rsidR="007D546F" w:rsidRPr="007D546F" w:rsidRDefault="007D546F" w:rsidP="00CE34FC">
            <w:pPr>
              <w:tabs>
                <w:tab w:val="decimal" w:pos="871"/>
              </w:tabs>
              <w:rPr>
                <w:rFonts w:ascii="Arial" w:hAnsi="Arial" w:cs="Arial"/>
                <w:color w:val="000000"/>
              </w:rPr>
            </w:pPr>
            <w:r>
              <w:rPr>
                <w:rFonts w:ascii="Arial" w:hAnsi="Arial" w:cs="Arial"/>
                <w:color w:val="000000"/>
              </w:rPr>
              <w:t>3</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71342AB" w14:textId="3F2ECDCB"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8F15E03" w14:textId="5AC38270" w:rsidR="007D546F" w:rsidRPr="007D546F" w:rsidRDefault="007D546F" w:rsidP="00CE34FC">
            <w:pPr>
              <w:tabs>
                <w:tab w:val="decimal" w:pos="878"/>
              </w:tabs>
              <w:rPr>
                <w:rFonts w:ascii="Arial" w:hAnsi="Arial" w:cs="Arial"/>
                <w:b/>
                <w:color w:val="000000"/>
              </w:rPr>
            </w:pPr>
            <w:r>
              <w:rPr>
                <w:rFonts w:ascii="Arial" w:hAnsi="Arial" w:cs="Arial"/>
                <w:b/>
                <w:color w:val="000000"/>
              </w:rPr>
              <w:t>5</w:t>
            </w:r>
          </w:p>
        </w:tc>
      </w:tr>
      <w:tr w:rsidR="007D546F" w:rsidRPr="001C169B" w14:paraId="3BEAA270"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D6A215F" w14:textId="71709722"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4</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B8F1334" w14:textId="6DDF916A"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6</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AE075A1" w14:textId="286E25B8" w:rsidR="007D546F" w:rsidRPr="007D546F" w:rsidRDefault="007D546F" w:rsidP="00CE34FC">
            <w:pPr>
              <w:tabs>
                <w:tab w:val="decimal" w:pos="871"/>
              </w:tabs>
              <w:rPr>
                <w:rFonts w:ascii="Arial" w:hAnsi="Arial" w:cs="Arial"/>
                <w:color w:val="000000"/>
              </w:rPr>
            </w:pPr>
            <w:r>
              <w:rPr>
                <w:rFonts w:ascii="Arial" w:hAnsi="Arial" w:cs="Arial"/>
                <w:color w:val="000000"/>
              </w:rPr>
              <w:t>3</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00D5CC3" w14:textId="0199B7EC"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BAC4BF4" w14:textId="196FE080" w:rsidR="007D546F" w:rsidRPr="007D546F" w:rsidRDefault="007D546F" w:rsidP="00CE34FC">
            <w:pPr>
              <w:tabs>
                <w:tab w:val="decimal" w:pos="878"/>
              </w:tabs>
              <w:rPr>
                <w:rFonts w:ascii="Arial" w:hAnsi="Arial" w:cs="Arial"/>
                <w:b/>
                <w:color w:val="000000"/>
              </w:rPr>
            </w:pPr>
            <w:r>
              <w:rPr>
                <w:rFonts w:ascii="Arial" w:hAnsi="Arial" w:cs="Arial"/>
                <w:b/>
                <w:color w:val="000000"/>
              </w:rPr>
              <w:t>9</w:t>
            </w:r>
          </w:p>
        </w:tc>
      </w:tr>
      <w:tr w:rsidR="007D546F" w:rsidRPr="001C169B" w14:paraId="07706796"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3667F26" w14:textId="7612EF33"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5</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7E28B42F" w14:textId="50459CEF" w:rsidR="007D546F" w:rsidRPr="007D546F" w:rsidRDefault="00D46FFE" w:rsidP="00CE34FC">
            <w:pPr>
              <w:tabs>
                <w:tab w:val="decimal" w:pos="787"/>
              </w:tabs>
              <w:rPr>
                <w:rFonts w:ascii="Arial" w:hAnsi="Arial" w:cs="Arial"/>
                <w:color w:val="000000" w:themeColor="text1"/>
              </w:rPr>
            </w:pPr>
            <w:r>
              <w:rPr>
                <w:rFonts w:ascii="Arial" w:hAnsi="Arial" w:cs="Arial"/>
                <w:color w:val="000000" w:themeColor="text1"/>
              </w:rPr>
              <w:t>6</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7A95780A" w14:textId="24A9BC91" w:rsidR="007D546F" w:rsidRPr="007D546F" w:rsidRDefault="007D546F" w:rsidP="00CE34FC">
            <w:pPr>
              <w:tabs>
                <w:tab w:val="decimal" w:pos="871"/>
              </w:tabs>
              <w:rPr>
                <w:rFonts w:ascii="Arial" w:hAnsi="Arial" w:cs="Arial"/>
                <w:color w:val="000000"/>
              </w:rPr>
            </w:pPr>
            <w:r>
              <w:rPr>
                <w:rFonts w:ascii="Arial" w:hAnsi="Arial" w:cs="Arial"/>
                <w:color w:val="000000"/>
              </w:rPr>
              <w:t>3</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2B1955" w14:textId="01317DAE"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777BBE7" w14:textId="740451DC" w:rsidR="007D546F" w:rsidRPr="007D546F" w:rsidRDefault="007D546F" w:rsidP="00CE34FC">
            <w:pPr>
              <w:tabs>
                <w:tab w:val="decimal" w:pos="878"/>
              </w:tabs>
              <w:rPr>
                <w:rFonts w:ascii="Arial" w:hAnsi="Arial" w:cs="Arial"/>
                <w:b/>
                <w:color w:val="000000"/>
              </w:rPr>
            </w:pPr>
            <w:r>
              <w:rPr>
                <w:rFonts w:ascii="Arial" w:hAnsi="Arial" w:cs="Arial"/>
                <w:b/>
                <w:color w:val="000000"/>
              </w:rPr>
              <w:t>9</w:t>
            </w:r>
          </w:p>
        </w:tc>
      </w:tr>
      <w:tr w:rsidR="007D546F" w:rsidRPr="001C169B" w14:paraId="7DF8F2E3"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7E4290B9" w14:textId="023733EC"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6</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5AB701FD" w14:textId="34DA88D1"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6</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9D43F9F" w14:textId="1EB3CD69" w:rsidR="007D546F" w:rsidRPr="007D546F" w:rsidRDefault="007D546F" w:rsidP="00CE34FC">
            <w:pPr>
              <w:tabs>
                <w:tab w:val="decimal" w:pos="871"/>
              </w:tabs>
              <w:rPr>
                <w:rFonts w:ascii="Arial" w:hAnsi="Arial" w:cs="Arial"/>
                <w:color w:val="000000"/>
              </w:rPr>
            </w:pPr>
            <w:r>
              <w:rPr>
                <w:rFonts w:ascii="Arial" w:hAnsi="Arial" w:cs="Arial"/>
                <w:color w:val="000000"/>
              </w:rPr>
              <w:t>4</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E998224" w14:textId="62AF1E61"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2226E95" w14:textId="64C54A13" w:rsidR="007D546F" w:rsidRPr="007D546F" w:rsidRDefault="007D546F" w:rsidP="00CE34FC">
            <w:pPr>
              <w:tabs>
                <w:tab w:val="decimal" w:pos="878"/>
              </w:tabs>
              <w:rPr>
                <w:rFonts w:ascii="Arial" w:hAnsi="Arial" w:cs="Arial"/>
                <w:b/>
                <w:color w:val="000000"/>
              </w:rPr>
            </w:pPr>
            <w:r>
              <w:rPr>
                <w:rFonts w:ascii="Arial" w:hAnsi="Arial" w:cs="Arial"/>
                <w:b/>
                <w:color w:val="000000"/>
              </w:rPr>
              <w:t>8</w:t>
            </w:r>
          </w:p>
        </w:tc>
      </w:tr>
      <w:tr w:rsidR="007D546F" w:rsidRPr="001C169B" w14:paraId="3F03AC94"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28AE77A" w14:textId="2AE3AC36"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7</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5DF0B36" w14:textId="3EBF96C3"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4</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8BDF2EE" w14:textId="72DBFA9A" w:rsidR="007D546F" w:rsidRPr="007D546F" w:rsidRDefault="007D546F" w:rsidP="00CE34FC">
            <w:pPr>
              <w:tabs>
                <w:tab w:val="decimal" w:pos="871"/>
              </w:tabs>
              <w:rPr>
                <w:rFonts w:ascii="Arial" w:hAnsi="Arial" w:cs="Arial"/>
                <w:color w:val="000000"/>
              </w:rPr>
            </w:pPr>
            <w:r>
              <w:rPr>
                <w:rFonts w:ascii="Arial" w:hAnsi="Arial" w:cs="Arial"/>
                <w:color w:val="000000"/>
              </w:rPr>
              <w:t>5</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1D65E9" w14:textId="732D4DFB"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4DB6022" w14:textId="7FB79D21" w:rsidR="007D546F" w:rsidRPr="007D546F" w:rsidRDefault="007D546F" w:rsidP="00CE34FC">
            <w:pPr>
              <w:tabs>
                <w:tab w:val="decimal" w:pos="878"/>
              </w:tabs>
              <w:rPr>
                <w:rFonts w:ascii="Arial" w:hAnsi="Arial" w:cs="Arial"/>
                <w:b/>
                <w:color w:val="000000"/>
              </w:rPr>
            </w:pPr>
            <w:r>
              <w:rPr>
                <w:rFonts w:ascii="Arial" w:hAnsi="Arial" w:cs="Arial"/>
                <w:b/>
                <w:color w:val="000000"/>
              </w:rPr>
              <w:t>6</w:t>
            </w:r>
          </w:p>
        </w:tc>
      </w:tr>
      <w:tr w:rsidR="007D546F" w:rsidRPr="001C169B" w14:paraId="36CCB9C5"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17CCD00" w14:textId="7B527073" w:rsidR="007D546F" w:rsidRPr="007D546F" w:rsidRDefault="007D546F" w:rsidP="00CE34FC">
            <w:pPr>
              <w:tabs>
                <w:tab w:val="decimal" w:pos="865"/>
              </w:tabs>
              <w:ind w:left="-30" w:firstLine="30"/>
              <w:rPr>
                <w:rFonts w:ascii="Arial" w:hAnsi="Arial" w:cs="Arial"/>
                <w:color w:val="000000"/>
              </w:rPr>
            </w:pPr>
            <w:r w:rsidRPr="007D546F">
              <w:rPr>
                <w:rFonts w:ascii="Arial" w:hAnsi="Arial" w:cs="Arial"/>
                <w:color w:val="000000"/>
              </w:rPr>
              <w:t>8</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BD14760" w14:textId="570792B3"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1</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6AC0791" w14:textId="7C29CE64" w:rsidR="007D546F" w:rsidRPr="007D546F" w:rsidRDefault="007D546F" w:rsidP="00CE34FC">
            <w:pPr>
              <w:tabs>
                <w:tab w:val="decimal" w:pos="871"/>
              </w:tabs>
              <w:rPr>
                <w:rFonts w:ascii="Arial" w:hAnsi="Arial" w:cs="Arial"/>
                <w:color w:val="000000"/>
              </w:rPr>
            </w:pPr>
            <w:r>
              <w:rPr>
                <w:rFonts w:ascii="Arial" w:hAnsi="Arial" w:cs="Arial"/>
                <w:color w:val="000000"/>
              </w:rPr>
              <w:t>5</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0AB096A" w14:textId="2C158681" w:rsidR="007D546F" w:rsidRPr="007D546F" w:rsidRDefault="007D546F" w:rsidP="002F40C6">
            <w:pPr>
              <w:tabs>
                <w:tab w:val="decimal" w:pos="787"/>
              </w:tabs>
              <w:rPr>
                <w:rFonts w:ascii="Arial" w:hAnsi="Arial" w:cs="Arial"/>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C94E2C7" w14:textId="42140036" w:rsidR="007D546F" w:rsidRPr="007D546F" w:rsidRDefault="007D546F" w:rsidP="00CE34FC">
            <w:pPr>
              <w:tabs>
                <w:tab w:val="decimal" w:pos="878"/>
              </w:tabs>
              <w:rPr>
                <w:rFonts w:ascii="Arial" w:hAnsi="Arial" w:cs="Arial"/>
                <w:b/>
                <w:color w:val="000000"/>
              </w:rPr>
            </w:pPr>
            <w:r>
              <w:rPr>
                <w:rFonts w:ascii="Arial" w:hAnsi="Arial" w:cs="Arial"/>
                <w:b/>
                <w:color w:val="000000"/>
              </w:rPr>
              <w:t>6</w:t>
            </w:r>
          </w:p>
        </w:tc>
      </w:tr>
      <w:tr w:rsidR="007D546F" w:rsidRPr="001C169B" w14:paraId="5F3624EA"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F98D3" w14:textId="3F7838C2" w:rsidR="007D546F" w:rsidRPr="007D546F" w:rsidRDefault="007D546F" w:rsidP="00CE34FC">
            <w:pPr>
              <w:tabs>
                <w:tab w:val="decimal" w:pos="685"/>
              </w:tabs>
              <w:ind w:left="-30" w:firstLine="30"/>
              <w:rPr>
                <w:rFonts w:ascii="Arial" w:hAnsi="Arial" w:cs="Arial"/>
                <w:color w:val="000000"/>
              </w:rPr>
            </w:pPr>
            <w:r w:rsidRPr="007D546F">
              <w:rPr>
                <w:rFonts w:ascii="Arial" w:hAnsi="Arial" w:cs="Arial"/>
                <w:color w:val="000000"/>
              </w:rPr>
              <w:t>9–12</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7696C3D2" w14:textId="5893D164"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1</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10E34215" w14:textId="6ADFDA9F" w:rsidR="007D546F" w:rsidRPr="007D546F" w:rsidRDefault="007D546F" w:rsidP="00CE34FC">
            <w:pPr>
              <w:tabs>
                <w:tab w:val="decimal" w:pos="871"/>
              </w:tabs>
              <w:rPr>
                <w:rFonts w:ascii="Arial" w:hAnsi="Arial" w:cs="Arial"/>
                <w:color w:val="000000"/>
              </w:rPr>
            </w:pPr>
            <w:r>
              <w:rPr>
                <w:rFonts w:ascii="Arial" w:hAnsi="Arial" w:cs="Arial"/>
                <w:color w:val="000000"/>
              </w:rPr>
              <w:t>1</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96ADD97" w14:textId="50D5C121" w:rsidR="007D546F" w:rsidRPr="007D546F" w:rsidRDefault="007D546F" w:rsidP="002F40C6">
            <w:pPr>
              <w:tabs>
                <w:tab w:val="decimal" w:pos="787"/>
              </w:tabs>
              <w:rPr>
                <w:rFonts w:ascii="Arial" w:hAnsi="Arial" w:cs="Arial"/>
                <w:color w:val="000000"/>
              </w:rPr>
            </w:pPr>
            <w:r>
              <w:rPr>
                <w:rFonts w:ascii="Arial" w:hAnsi="Arial" w:cs="Arial"/>
                <w:color w:val="000000"/>
              </w:rPr>
              <w:t>7</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C3F261" w14:textId="1458EFF6" w:rsidR="007D546F" w:rsidRPr="007D546F" w:rsidRDefault="007D546F" w:rsidP="00CE34FC">
            <w:pPr>
              <w:tabs>
                <w:tab w:val="decimal" w:pos="878"/>
              </w:tabs>
              <w:rPr>
                <w:rFonts w:ascii="Arial" w:hAnsi="Arial" w:cs="Arial"/>
                <w:b/>
                <w:color w:val="000000"/>
              </w:rPr>
            </w:pPr>
            <w:r>
              <w:rPr>
                <w:rFonts w:ascii="Arial" w:hAnsi="Arial" w:cs="Arial"/>
                <w:b/>
                <w:color w:val="000000"/>
              </w:rPr>
              <w:t>9</w:t>
            </w:r>
          </w:p>
        </w:tc>
      </w:tr>
      <w:tr w:rsidR="007D546F" w:rsidRPr="001C169B" w14:paraId="5EB27C68" w14:textId="77777777" w:rsidTr="00CE34FC">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330F42" w14:textId="630C03F6" w:rsidR="007D546F" w:rsidRPr="007D546F" w:rsidRDefault="007D546F" w:rsidP="00CE34FC">
            <w:pPr>
              <w:tabs>
                <w:tab w:val="decimal" w:pos="581"/>
              </w:tabs>
              <w:ind w:left="-30" w:firstLine="30"/>
              <w:jc w:val="center"/>
              <w:rPr>
                <w:rFonts w:ascii="Arial" w:hAnsi="Arial" w:cs="Arial"/>
                <w:color w:val="000000"/>
              </w:rPr>
            </w:pPr>
            <w:r w:rsidRPr="007D546F">
              <w:rPr>
                <w:rFonts w:ascii="Arial" w:hAnsi="Arial" w:cs="Arial"/>
                <w:color w:val="000000"/>
              </w:rPr>
              <w:t>Other</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0DD202F" w14:textId="39D4C68A" w:rsidR="007D546F" w:rsidRPr="007D546F" w:rsidRDefault="007D546F" w:rsidP="00CE34FC">
            <w:pPr>
              <w:tabs>
                <w:tab w:val="decimal" w:pos="787"/>
              </w:tabs>
              <w:rPr>
                <w:rFonts w:ascii="Arial" w:hAnsi="Arial" w:cs="Arial"/>
                <w:color w:val="000000" w:themeColor="text1"/>
              </w:rPr>
            </w:pPr>
            <w:r>
              <w:rPr>
                <w:rFonts w:ascii="Arial" w:hAnsi="Arial" w:cs="Arial"/>
                <w:color w:val="000000" w:themeColor="text1"/>
              </w:rPr>
              <w:t>4</w:t>
            </w:r>
          </w:p>
        </w:tc>
        <w:tc>
          <w:tcPr>
            <w:tcW w:w="18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2E28704F" w14:textId="28D2EF30" w:rsidR="007D546F" w:rsidRPr="007D546F" w:rsidRDefault="007D546F" w:rsidP="00CE34FC">
            <w:pPr>
              <w:tabs>
                <w:tab w:val="decimal" w:pos="871"/>
              </w:tabs>
              <w:rPr>
                <w:rFonts w:ascii="Arial" w:hAnsi="Arial" w:cs="Arial"/>
                <w:color w:val="000000"/>
              </w:rPr>
            </w:pPr>
            <w:r>
              <w:rPr>
                <w:rFonts w:ascii="Arial" w:hAnsi="Arial" w:cs="Arial"/>
                <w:color w:val="000000"/>
              </w:rPr>
              <w:t>3</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0695A3E" w14:textId="335EE6A8" w:rsidR="007D546F" w:rsidRPr="007D546F" w:rsidRDefault="007D546F" w:rsidP="002F40C6">
            <w:pPr>
              <w:tabs>
                <w:tab w:val="decimal" w:pos="787"/>
              </w:tabs>
              <w:rPr>
                <w:rFonts w:ascii="Arial" w:hAnsi="Arial" w:cs="Arial"/>
                <w:color w:val="000000"/>
              </w:rPr>
            </w:pPr>
            <w:r>
              <w:rPr>
                <w:rFonts w:ascii="Arial" w:hAnsi="Arial" w:cs="Arial"/>
                <w:color w:val="000000"/>
              </w:rPr>
              <w:t>4</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B7EAAB" w14:textId="4BB83CEC" w:rsidR="007D546F" w:rsidRPr="007D546F" w:rsidRDefault="007D546F" w:rsidP="00CE34FC">
            <w:pPr>
              <w:tabs>
                <w:tab w:val="decimal" w:pos="878"/>
              </w:tabs>
              <w:rPr>
                <w:rFonts w:ascii="Arial" w:hAnsi="Arial" w:cs="Arial"/>
                <w:b/>
                <w:color w:val="000000"/>
              </w:rPr>
            </w:pPr>
            <w:r>
              <w:rPr>
                <w:rFonts w:ascii="Arial" w:hAnsi="Arial" w:cs="Arial"/>
                <w:b/>
                <w:color w:val="000000"/>
              </w:rPr>
              <w:t>11</w:t>
            </w:r>
          </w:p>
        </w:tc>
      </w:tr>
    </w:tbl>
    <w:p w14:paraId="66F76A24" w14:textId="0F8A2699" w:rsidR="001C169B" w:rsidRPr="007A01B5" w:rsidRDefault="001C169B" w:rsidP="007A01B5">
      <w:pPr>
        <w:pStyle w:val="Heading2"/>
        <w:spacing w:before="240"/>
        <w:rPr>
          <w:b w:val="0"/>
          <w:sz w:val="24"/>
        </w:rPr>
      </w:pPr>
      <w:r w:rsidRPr="007A01B5">
        <w:rPr>
          <w:b w:val="0"/>
          <w:sz w:val="24"/>
        </w:rPr>
        <w:t xml:space="preserve">Table </w:t>
      </w:r>
      <w:r w:rsidR="008D7CDD" w:rsidRPr="007A01B5">
        <w:rPr>
          <w:b w:val="0"/>
          <w:sz w:val="24"/>
        </w:rPr>
        <w:t>8</w:t>
      </w:r>
      <w:r w:rsidRPr="007A01B5">
        <w:rPr>
          <w:b w:val="0"/>
          <w:sz w:val="24"/>
        </w:rPr>
        <w:t xml:space="preserve">. </w:t>
      </w:r>
      <w:r w:rsidR="008D7CDD" w:rsidRPr="007A01B5">
        <w:rPr>
          <w:b w:val="0"/>
          <w:sz w:val="24"/>
        </w:rPr>
        <w:t>Panelist Experience Working with the CA NGSS</w:t>
      </w:r>
    </w:p>
    <w:tbl>
      <w:tblPr>
        <w:tblStyle w:val="TableGrid21"/>
        <w:tblW w:w="8995" w:type="dxa"/>
        <w:tblInd w:w="0" w:type="dxa"/>
        <w:tblLayout w:type="fixed"/>
        <w:tblLook w:val="04A0" w:firstRow="1" w:lastRow="0" w:firstColumn="1" w:lastColumn="0" w:noHBand="0" w:noVBand="1"/>
        <w:tblDescription w:val="This table displays Panelist Experience Working with the CA NGSS."/>
      </w:tblPr>
      <w:tblGrid>
        <w:gridCol w:w="1885"/>
        <w:gridCol w:w="1746"/>
        <w:gridCol w:w="1856"/>
        <w:gridCol w:w="1708"/>
        <w:gridCol w:w="1800"/>
      </w:tblGrid>
      <w:tr w:rsidR="001C169B" w:rsidRPr="0028663C" w14:paraId="36FD95C7" w14:textId="42AF59F6" w:rsidTr="00CE34FC">
        <w:trPr>
          <w:trHeight w:val="212"/>
          <w:tblHeader/>
        </w:trPr>
        <w:tc>
          <w:tcPr>
            <w:tcW w:w="1885"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3CAFC5F0" w14:textId="62DA09BE" w:rsidR="001C169B" w:rsidRPr="0028663C" w:rsidRDefault="003E2754" w:rsidP="0028663C">
            <w:pPr>
              <w:jc w:val="center"/>
              <w:rPr>
                <w:rFonts w:ascii="Arial" w:hAnsi="Arial" w:cs="Arial"/>
                <w:b/>
                <w:bCs/>
                <w:color w:val="000000"/>
              </w:rPr>
            </w:pPr>
            <w:r w:rsidRPr="001C7B71">
              <w:rPr>
                <w:rFonts w:ascii="Arial" w:eastAsia="Calibri" w:hAnsi="Arial" w:cs="Arial"/>
                <w:b/>
                <w:bCs/>
                <w:color w:val="000000"/>
              </w:rPr>
              <w:t>Years</w:t>
            </w:r>
          </w:p>
        </w:tc>
        <w:tc>
          <w:tcPr>
            <w:tcW w:w="1746"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3E496061" w14:textId="6E9FE939" w:rsidR="001C169B" w:rsidRPr="0028663C" w:rsidRDefault="000046EB" w:rsidP="006D72F6">
            <w:pPr>
              <w:jc w:val="center"/>
              <w:rPr>
                <w:rFonts w:ascii="Arial" w:hAnsi="Arial" w:cs="Arial"/>
                <w:b/>
                <w:bCs/>
                <w:color w:val="000000"/>
              </w:rPr>
            </w:pPr>
            <w:r w:rsidRPr="001C7B71">
              <w:rPr>
                <w:rFonts w:ascii="Arial" w:hAnsi="Arial" w:cs="Arial"/>
                <w:b/>
                <w:bCs/>
                <w:color w:val="000000"/>
              </w:rPr>
              <w:t>Grade Five</w:t>
            </w:r>
          </w:p>
        </w:tc>
        <w:tc>
          <w:tcPr>
            <w:tcW w:w="1856"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hideMark/>
          </w:tcPr>
          <w:p w14:paraId="20033B10" w14:textId="169E3931" w:rsidR="001C169B" w:rsidRPr="0028663C" w:rsidRDefault="000046EB" w:rsidP="006D72F6">
            <w:pPr>
              <w:jc w:val="center"/>
              <w:rPr>
                <w:rFonts w:ascii="Arial" w:hAnsi="Arial" w:cs="Arial"/>
                <w:b/>
                <w:bCs/>
                <w:color w:val="000000"/>
              </w:rPr>
            </w:pPr>
            <w:r w:rsidRPr="001C7B71">
              <w:rPr>
                <w:rFonts w:ascii="Arial" w:hAnsi="Arial" w:cs="Arial"/>
                <w:b/>
                <w:bCs/>
                <w:color w:val="000000"/>
              </w:rPr>
              <w:t>Grade Eight</w:t>
            </w:r>
          </w:p>
        </w:tc>
        <w:tc>
          <w:tcPr>
            <w:tcW w:w="1708"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76EE225A" w14:textId="005CD2FE" w:rsidR="006D72F6" w:rsidRPr="001C7B71" w:rsidRDefault="006D72F6" w:rsidP="006D72F6">
            <w:pPr>
              <w:jc w:val="center"/>
              <w:rPr>
                <w:b/>
                <w:bCs/>
                <w:color w:val="000000"/>
              </w:rPr>
            </w:pPr>
            <w:r w:rsidRPr="001C7B71">
              <w:rPr>
                <w:rFonts w:ascii="Arial" w:hAnsi="Arial" w:cs="Arial"/>
                <w:b/>
                <w:bCs/>
                <w:color w:val="000000"/>
              </w:rPr>
              <w:t>High School</w:t>
            </w:r>
          </w:p>
        </w:tc>
        <w:tc>
          <w:tcPr>
            <w:tcW w:w="180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4315379B" w14:textId="522C1258" w:rsidR="006D72F6" w:rsidRPr="001C7B71" w:rsidRDefault="006D72F6" w:rsidP="006D72F6">
            <w:pPr>
              <w:jc w:val="center"/>
              <w:rPr>
                <w:b/>
                <w:bCs/>
                <w:color w:val="000000"/>
              </w:rPr>
            </w:pPr>
            <w:r w:rsidRPr="001C7B71">
              <w:rPr>
                <w:rFonts w:ascii="Arial" w:hAnsi="Arial" w:cs="Arial"/>
                <w:b/>
                <w:bCs/>
                <w:color w:val="000000"/>
              </w:rPr>
              <w:t>Total</w:t>
            </w:r>
          </w:p>
        </w:tc>
      </w:tr>
      <w:tr w:rsidR="001C169B" w:rsidRPr="0028663C" w14:paraId="4E7DC788" w14:textId="73DCDDD2" w:rsidTr="00CE34FC">
        <w:trPr>
          <w:trHeight w:val="199"/>
        </w:trPr>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967B947" w14:textId="71F5A827" w:rsidR="001C169B" w:rsidRPr="0028663C" w:rsidRDefault="003E2754" w:rsidP="0028663C">
            <w:pPr>
              <w:rPr>
                <w:rFonts w:ascii="Arial" w:hAnsi="Arial" w:cs="Arial"/>
                <w:color w:val="000000"/>
              </w:rPr>
            </w:pPr>
            <w:r w:rsidRPr="001C7B71">
              <w:rPr>
                <w:rFonts w:ascii="Arial" w:eastAsia="Calibri" w:hAnsi="Arial" w:cs="Arial"/>
                <w:color w:val="000000"/>
              </w:rPr>
              <w:t>Not Applicable</w:t>
            </w:r>
          </w:p>
        </w:tc>
        <w:tc>
          <w:tcPr>
            <w:tcW w:w="174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5B3BA54B" w14:textId="095C2ECF" w:rsidR="001C169B" w:rsidRPr="0028663C" w:rsidRDefault="001C7B71" w:rsidP="001A1901">
            <w:pPr>
              <w:tabs>
                <w:tab w:val="decimal" w:pos="789"/>
              </w:tabs>
              <w:rPr>
                <w:rFonts w:ascii="Arial" w:hAnsi="Arial" w:cs="Arial"/>
                <w:color w:val="000000"/>
              </w:rPr>
            </w:pPr>
            <w:r w:rsidRPr="001C7B71">
              <w:rPr>
                <w:rFonts w:ascii="Arial" w:eastAsia="Calibri" w:hAnsi="Arial" w:cs="Arial"/>
              </w:rPr>
              <w:t>0</w:t>
            </w:r>
          </w:p>
        </w:tc>
        <w:tc>
          <w:tcPr>
            <w:tcW w:w="185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1A41198C" w14:textId="62E58FE2" w:rsidR="001C169B" w:rsidRPr="0028663C" w:rsidRDefault="001C7B71" w:rsidP="001A1901">
            <w:pPr>
              <w:tabs>
                <w:tab w:val="decimal" w:pos="834"/>
              </w:tabs>
              <w:rPr>
                <w:rFonts w:ascii="Arial" w:hAnsi="Arial" w:cs="Arial"/>
                <w:color w:val="000000"/>
              </w:rPr>
            </w:pPr>
            <w:r>
              <w:rPr>
                <w:rFonts w:ascii="Arial" w:hAnsi="Arial" w:cs="Arial"/>
                <w:color w:val="000000"/>
              </w:rPr>
              <w:t>1</w:t>
            </w:r>
          </w:p>
        </w:tc>
        <w:tc>
          <w:tcPr>
            <w:tcW w:w="170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7D8161" w14:textId="4A0BDC54" w:rsidR="001C7B71" w:rsidRDefault="001C7B71" w:rsidP="002F40C6">
            <w:pPr>
              <w:tabs>
                <w:tab w:val="decimal" w:pos="787"/>
              </w:tabs>
              <w:rPr>
                <w:color w:val="000000"/>
              </w:rPr>
            </w:pPr>
            <w:r>
              <w:rPr>
                <w:rFonts w:ascii="Arial" w:hAnsi="Arial" w:cs="Arial"/>
                <w:color w:val="000000"/>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547340" w14:textId="4C6268AD" w:rsidR="001C7B71" w:rsidRPr="00AA4392" w:rsidRDefault="001C7B71" w:rsidP="00CE34FC">
            <w:pPr>
              <w:tabs>
                <w:tab w:val="decimal" w:pos="878"/>
              </w:tabs>
              <w:rPr>
                <w:b/>
                <w:color w:val="000000"/>
              </w:rPr>
            </w:pPr>
            <w:r w:rsidRPr="00AA4392">
              <w:rPr>
                <w:rFonts w:ascii="Arial" w:hAnsi="Arial" w:cs="Arial"/>
                <w:b/>
                <w:color w:val="000000"/>
              </w:rPr>
              <w:t>1</w:t>
            </w:r>
          </w:p>
        </w:tc>
      </w:tr>
      <w:tr w:rsidR="001C169B" w:rsidRPr="0028663C" w14:paraId="67877E92" w14:textId="3EDEFAB9" w:rsidTr="00CE34FC">
        <w:trPr>
          <w:trHeight w:val="181"/>
        </w:trPr>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4A5C84AC" w14:textId="30F94AEE" w:rsidR="001C169B" w:rsidRPr="0028663C" w:rsidRDefault="00554A08" w:rsidP="0028663C">
            <w:pPr>
              <w:rPr>
                <w:rFonts w:ascii="Arial" w:hAnsi="Arial" w:cs="Arial"/>
                <w:color w:val="000000"/>
              </w:rPr>
            </w:pPr>
            <w:r w:rsidRPr="001C7B71">
              <w:rPr>
                <w:rFonts w:ascii="Arial" w:eastAsia="Calibri" w:hAnsi="Arial" w:cs="Arial"/>
                <w:color w:val="000000"/>
              </w:rPr>
              <w:t>1</w:t>
            </w:r>
            <w:r w:rsidRPr="001C7B71">
              <w:rPr>
                <w:rFonts w:ascii="Arial" w:hAnsi="Arial" w:cs="Arial"/>
                <w:color w:val="000000"/>
              </w:rPr>
              <w:t>–2</w:t>
            </w:r>
          </w:p>
        </w:tc>
        <w:tc>
          <w:tcPr>
            <w:tcW w:w="174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5A5A9346" w14:textId="2E758E21" w:rsidR="001C169B" w:rsidRPr="0028663C" w:rsidRDefault="001C7B71" w:rsidP="001A1901">
            <w:pPr>
              <w:tabs>
                <w:tab w:val="decimal" w:pos="789"/>
              </w:tabs>
              <w:rPr>
                <w:rFonts w:ascii="Arial" w:hAnsi="Arial" w:cs="Arial"/>
                <w:color w:val="000000"/>
              </w:rPr>
            </w:pPr>
            <w:r w:rsidRPr="001C7B71">
              <w:rPr>
                <w:rFonts w:ascii="Arial" w:eastAsia="Calibri" w:hAnsi="Arial" w:cs="Arial"/>
              </w:rPr>
              <w:t>0</w:t>
            </w:r>
          </w:p>
        </w:tc>
        <w:tc>
          <w:tcPr>
            <w:tcW w:w="185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5FD0C7A2" w14:textId="4173540D" w:rsidR="001C169B" w:rsidRPr="0028663C" w:rsidRDefault="001C7B71" w:rsidP="001A1901">
            <w:pPr>
              <w:tabs>
                <w:tab w:val="decimal" w:pos="834"/>
              </w:tabs>
              <w:rPr>
                <w:rFonts w:ascii="Arial" w:hAnsi="Arial" w:cs="Arial"/>
                <w:color w:val="000000"/>
              </w:rPr>
            </w:pPr>
            <w:r w:rsidRPr="001C7B71">
              <w:rPr>
                <w:rFonts w:ascii="Arial" w:hAnsi="Arial" w:cs="Arial"/>
                <w:color w:val="000000"/>
              </w:rPr>
              <w:t>3</w:t>
            </w:r>
          </w:p>
        </w:tc>
        <w:tc>
          <w:tcPr>
            <w:tcW w:w="170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AD1692" w14:textId="44105F0D" w:rsidR="001C7B71" w:rsidRDefault="001C7B71" w:rsidP="002F40C6">
            <w:pPr>
              <w:tabs>
                <w:tab w:val="decimal" w:pos="787"/>
              </w:tabs>
              <w:rPr>
                <w:rFonts w:eastAsia="Calibri"/>
              </w:rPr>
            </w:pPr>
            <w:r>
              <w:rPr>
                <w:rFonts w:ascii="Arial" w:eastAsia="Calibri" w:hAnsi="Arial" w:cs="Arial"/>
              </w:rPr>
              <w:t>2</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3F6E935" w14:textId="76569B46" w:rsidR="001C7B71" w:rsidRPr="00AA4392" w:rsidRDefault="001C7B71" w:rsidP="00CE34FC">
            <w:pPr>
              <w:tabs>
                <w:tab w:val="decimal" w:pos="878"/>
              </w:tabs>
              <w:rPr>
                <w:b/>
                <w:color w:val="000000"/>
              </w:rPr>
            </w:pPr>
            <w:r w:rsidRPr="00AA4392">
              <w:rPr>
                <w:rFonts w:ascii="Arial" w:hAnsi="Arial" w:cs="Arial"/>
                <w:b/>
                <w:color w:val="000000"/>
              </w:rPr>
              <w:t>5</w:t>
            </w:r>
          </w:p>
        </w:tc>
      </w:tr>
      <w:tr w:rsidR="001C169B" w:rsidRPr="0028663C" w14:paraId="0F2B7231" w14:textId="590496DC" w:rsidTr="00CE34FC">
        <w:trPr>
          <w:trHeight w:val="181"/>
        </w:trPr>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540F9662" w14:textId="3F4F0BF6" w:rsidR="001C169B" w:rsidRPr="001C7B71" w:rsidRDefault="00554A08" w:rsidP="0028663C">
            <w:pPr>
              <w:rPr>
                <w:rFonts w:ascii="Arial" w:eastAsia="Calibri" w:hAnsi="Arial" w:cs="Arial"/>
                <w:color w:val="000000"/>
              </w:rPr>
            </w:pPr>
            <w:r w:rsidRPr="001C7B71">
              <w:rPr>
                <w:rFonts w:ascii="Arial" w:eastAsia="Calibri" w:hAnsi="Arial" w:cs="Arial"/>
                <w:color w:val="000000"/>
              </w:rPr>
              <w:t>3–4</w:t>
            </w:r>
          </w:p>
        </w:tc>
        <w:tc>
          <w:tcPr>
            <w:tcW w:w="174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7509044A" w14:textId="46A384D5" w:rsidR="001C169B" w:rsidRPr="0028663C" w:rsidRDefault="001C7B71" w:rsidP="001A1901">
            <w:pPr>
              <w:tabs>
                <w:tab w:val="decimal" w:pos="789"/>
              </w:tabs>
              <w:rPr>
                <w:rFonts w:ascii="Arial" w:hAnsi="Arial" w:cs="Arial"/>
                <w:color w:val="000000"/>
              </w:rPr>
            </w:pPr>
            <w:r w:rsidRPr="001C7B71">
              <w:rPr>
                <w:rFonts w:ascii="Arial" w:eastAsia="Calibri" w:hAnsi="Arial" w:cs="Arial"/>
              </w:rPr>
              <w:t>3</w:t>
            </w:r>
          </w:p>
        </w:tc>
        <w:tc>
          <w:tcPr>
            <w:tcW w:w="185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hideMark/>
          </w:tcPr>
          <w:p w14:paraId="75F69127" w14:textId="57610A37" w:rsidR="001C169B" w:rsidRPr="0028663C" w:rsidRDefault="001C7B71" w:rsidP="001A1901">
            <w:pPr>
              <w:tabs>
                <w:tab w:val="decimal" w:pos="834"/>
              </w:tabs>
              <w:rPr>
                <w:rFonts w:ascii="Arial" w:hAnsi="Arial" w:cs="Arial"/>
                <w:color w:val="000000"/>
              </w:rPr>
            </w:pPr>
            <w:r w:rsidRPr="001C7B71">
              <w:rPr>
                <w:rFonts w:ascii="Arial" w:hAnsi="Arial" w:cs="Arial"/>
                <w:color w:val="000000"/>
              </w:rPr>
              <w:t>0</w:t>
            </w:r>
          </w:p>
        </w:tc>
        <w:tc>
          <w:tcPr>
            <w:tcW w:w="170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80F107" w14:textId="431B5C13" w:rsidR="001C7B71" w:rsidRDefault="001C7B71" w:rsidP="002F40C6">
            <w:pPr>
              <w:tabs>
                <w:tab w:val="decimal" w:pos="787"/>
              </w:tabs>
              <w:rPr>
                <w:rFonts w:eastAsia="Calibri"/>
              </w:rPr>
            </w:pPr>
            <w:r>
              <w:rPr>
                <w:rFonts w:ascii="Arial" w:eastAsia="Calibri" w:hAnsi="Arial" w:cs="Arial"/>
              </w:rPr>
              <w:t>0</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3766B5F" w14:textId="738FB1E1" w:rsidR="001C7B71" w:rsidRPr="00AA4392" w:rsidRDefault="001C7B71" w:rsidP="00CE34FC">
            <w:pPr>
              <w:tabs>
                <w:tab w:val="decimal" w:pos="878"/>
              </w:tabs>
              <w:rPr>
                <w:b/>
                <w:color w:val="000000"/>
              </w:rPr>
            </w:pPr>
            <w:r w:rsidRPr="00AA4392">
              <w:rPr>
                <w:rFonts w:ascii="Arial" w:hAnsi="Arial" w:cs="Arial"/>
                <w:b/>
                <w:color w:val="000000"/>
              </w:rPr>
              <w:t>3</w:t>
            </w:r>
          </w:p>
        </w:tc>
      </w:tr>
      <w:tr w:rsidR="00554A08" w:rsidRPr="001C7B71" w14:paraId="663AC844" w14:textId="77777777" w:rsidTr="00CE34FC">
        <w:trPr>
          <w:trHeight w:val="181"/>
        </w:trPr>
        <w:tc>
          <w:tcPr>
            <w:tcW w:w="18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D909412" w14:textId="6EF36A53" w:rsidR="00554A08" w:rsidRPr="001C7B71" w:rsidRDefault="00DD71C9" w:rsidP="00DD71C9">
            <w:pPr>
              <w:rPr>
                <w:rFonts w:ascii="Arial" w:eastAsia="Calibri" w:hAnsi="Arial" w:cs="Arial"/>
                <w:color w:val="000000"/>
              </w:rPr>
            </w:pPr>
            <w:r w:rsidRPr="001C7B71">
              <w:rPr>
                <w:rFonts w:ascii="Arial" w:eastAsia="Calibri" w:hAnsi="Arial" w:cs="Arial"/>
                <w:color w:val="000000"/>
              </w:rPr>
              <w:t>4 + years</w:t>
            </w:r>
          </w:p>
        </w:tc>
        <w:tc>
          <w:tcPr>
            <w:tcW w:w="174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3E8D51E1" w14:textId="0A2BB207" w:rsidR="00554A08" w:rsidRPr="001C7B71" w:rsidRDefault="001C7B71" w:rsidP="001A1901">
            <w:pPr>
              <w:tabs>
                <w:tab w:val="decimal" w:pos="789"/>
              </w:tabs>
              <w:rPr>
                <w:rFonts w:ascii="Arial" w:eastAsia="Calibri" w:hAnsi="Arial" w:cs="Arial"/>
              </w:rPr>
            </w:pPr>
            <w:r w:rsidRPr="001C7B71">
              <w:rPr>
                <w:rFonts w:ascii="Arial" w:eastAsia="Calibri" w:hAnsi="Arial" w:cs="Arial"/>
              </w:rPr>
              <w:t>6</w:t>
            </w:r>
          </w:p>
        </w:tc>
        <w:tc>
          <w:tcPr>
            <w:tcW w:w="1856"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4E8AE853" w14:textId="40D1C1FD" w:rsidR="00554A08" w:rsidRPr="001C7B71" w:rsidRDefault="001C7B71" w:rsidP="001A1901">
            <w:pPr>
              <w:tabs>
                <w:tab w:val="decimal" w:pos="834"/>
              </w:tabs>
              <w:rPr>
                <w:rFonts w:ascii="Arial" w:hAnsi="Arial" w:cs="Arial"/>
                <w:color w:val="000000"/>
              </w:rPr>
            </w:pPr>
            <w:r w:rsidRPr="001C7B71">
              <w:rPr>
                <w:rFonts w:ascii="Arial" w:hAnsi="Arial" w:cs="Arial"/>
                <w:color w:val="000000"/>
              </w:rPr>
              <w:t>5</w:t>
            </w:r>
          </w:p>
        </w:tc>
        <w:tc>
          <w:tcPr>
            <w:tcW w:w="170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1FF8BD9" w14:textId="3587FD1F" w:rsidR="00554A08" w:rsidRPr="001C7B71" w:rsidRDefault="001C7B71" w:rsidP="002F40C6">
            <w:pPr>
              <w:tabs>
                <w:tab w:val="decimal" w:pos="787"/>
              </w:tabs>
              <w:rPr>
                <w:rFonts w:ascii="Arial" w:eastAsia="Calibri" w:hAnsi="Arial" w:cs="Arial"/>
              </w:rPr>
            </w:pPr>
            <w:r>
              <w:rPr>
                <w:rFonts w:ascii="Arial" w:eastAsia="Calibri" w:hAnsi="Arial" w:cs="Arial"/>
              </w:rPr>
              <w:t>8</w:t>
            </w:r>
          </w:p>
        </w:tc>
        <w:tc>
          <w:tcPr>
            <w:tcW w:w="18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3A4D98E" w14:textId="4A81E6EB" w:rsidR="00554A08" w:rsidRPr="00AA4392" w:rsidRDefault="001C7B71" w:rsidP="00CE34FC">
            <w:pPr>
              <w:tabs>
                <w:tab w:val="decimal" w:pos="878"/>
              </w:tabs>
              <w:rPr>
                <w:rFonts w:ascii="Arial" w:hAnsi="Arial" w:cs="Arial"/>
                <w:b/>
                <w:color w:val="000000"/>
              </w:rPr>
            </w:pPr>
            <w:r w:rsidRPr="00AA4392">
              <w:rPr>
                <w:rFonts w:ascii="Arial" w:hAnsi="Arial" w:cs="Arial"/>
                <w:b/>
                <w:color w:val="000000"/>
              </w:rPr>
              <w:t>19</w:t>
            </w:r>
          </w:p>
        </w:tc>
      </w:tr>
    </w:tbl>
    <w:p w14:paraId="448B0125" w14:textId="7C7FF29F" w:rsidR="002D4BFF" w:rsidRPr="0028663C" w:rsidRDefault="001C169B" w:rsidP="0028663C">
      <w:pPr>
        <w:tabs>
          <w:tab w:val="left" w:pos="720"/>
          <w:tab w:val="left" w:pos="2520"/>
        </w:tabs>
        <w:spacing w:before="120" w:after="120"/>
      </w:pPr>
      <w:bookmarkStart w:id="6" w:name="_Ref99372096"/>
      <w:r w:rsidRPr="0028663C">
        <w:rPr>
          <w:bCs/>
          <w:i/>
        </w:rPr>
        <w:t>Note:</w:t>
      </w:r>
      <w:r w:rsidR="00B10743" w:rsidRPr="0028663C">
        <w:t xml:space="preserve"> </w:t>
      </w:r>
      <w:r w:rsidRPr="0028663C">
        <w:t xml:space="preserve">Panelists self-reported </w:t>
      </w:r>
      <w:r w:rsidR="00B10743" w:rsidRPr="0028663C">
        <w:t xml:space="preserve">their </w:t>
      </w:r>
      <w:r w:rsidRPr="0028663C">
        <w:t xml:space="preserve">experience with </w:t>
      </w:r>
      <w:r w:rsidR="00B10743" w:rsidRPr="0028663C">
        <w:t xml:space="preserve">the </w:t>
      </w:r>
      <w:r w:rsidR="008D7CDD">
        <w:t>CA NGSS</w:t>
      </w:r>
      <w:r w:rsidRPr="0028663C">
        <w:t>.</w:t>
      </w:r>
      <w:bookmarkEnd w:id="3"/>
      <w:bookmarkEnd w:id="6"/>
    </w:p>
    <w:sectPr w:rsidR="002D4BFF" w:rsidRPr="0028663C" w:rsidSect="00207ACD">
      <w:headerReference w:type="default" r:id="rId4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DB80" w14:textId="77777777" w:rsidR="007F2159" w:rsidRDefault="007F2159" w:rsidP="000E09DC">
      <w:r>
        <w:separator/>
      </w:r>
    </w:p>
  </w:endnote>
  <w:endnote w:type="continuationSeparator" w:id="0">
    <w:p w14:paraId="4C61DBA3" w14:textId="77777777" w:rsidR="007F2159" w:rsidRDefault="007F2159" w:rsidP="000E09DC">
      <w:r>
        <w:continuationSeparator/>
      </w:r>
    </w:p>
  </w:endnote>
  <w:endnote w:type="continuationNotice" w:id="1">
    <w:p w14:paraId="1BD8B212" w14:textId="77777777" w:rsidR="007F2159" w:rsidRDefault="007F2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8C50" w14:textId="77777777" w:rsidR="007F2159" w:rsidRDefault="007F2159" w:rsidP="000E09DC">
      <w:r>
        <w:separator/>
      </w:r>
    </w:p>
  </w:footnote>
  <w:footnote w:type="continuationSeparator" w:id="0">
    <w:p w14:paraId="57374B47" w14:textId="77777777" w:rsidR="007F2159" w:rsidRDefault="007F2159" w:rsidP="000E09DC">
      <w:r>
        <w:continuationSeparator/>
      </w:r>
    </w:p>
  </w:footnote>
  <w:footnote w:type="continuationNotice" w:id="1">
    <w:p w14:paraId="33B9255B" w14:textId="77777777" w:rsidR="007F2159" w:rsidRDefault="007F2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9E5925" w:rsidRPr="000E09DC" w:rsidRDefault="009E5925" w:rsidP="000E09DC">
    <w:pPr>
      <w:tabs>
        <w:tab w:val="center" w:pos="4680"/>
        <w:tab w:val="right" w:pos="9360"/>
      </w:tabs>
      <w:autoSpaceDE w:val="0"/>
      <w:autoSpaceDN w:val="0"/>
      <w:adjustRightInd w:val="0"/>
      <w:jc w:val="right"/>
      <w:rPr>
        <w:rFonts w:eastAsia="Calibri"/>
      </w:rPr>
    </w:pPr>
    <w:r>
      <w:rPr>
        <w:rFonts w:eastAsia="Calibri"/>
      </w:rPr>
      <w:t>General Waiver</w:t>
    </w:r>
  </w:p>
  <w:p w14:paraId="03AB83D6" w14:textId="77777777" w:rsidR="009E5925" w:rsidRDefault="009E5925" w:rsidP="000E09DC">
    <w:pPr>
      <w:pStyle w:val="Header"/>
      <w:jc w:val="right"/>
    </w:pPr>
    <w:r w:rsidRPr="000E09DC">
      <w:t xml:space="preserve">Page </w:t>
    </w:r>
    <w:r w:rsidRPr="000E09DC">
      <w:rPr>
        <w:color w:val="2B579A"/>
        <w:shd w:val="clear" w:color="auto" w:fill="E6E6E6"/>
      </w:rPr>
      <w:fldChar w:fldCharType="begin"/>
    </w:r>
    <w:r w:rsidRPr="000E09DC">
      <w:instrText xml:space="preserve"> PAGE   \* MERGEFORMAT </w:instrText>
    </w:r>
    <w:r w:rsidRPr="000E09DC">
      <w:rPr>
        <w:color w:val="2B579A"/>
        <w:shd w:val="clear" w:color="auto" w:fill="E6E6E6"/>
      </w:rPr>
      <w:fldChar w:fldCharType="separate"/>
    </w:r>
    <w:r>
      <w:t>2</w:t>
    </w:r>
    <w:r w:rsidRPr="000E09DC">
      <w:rPr>
        <w:color w:val="2B579A"/>
        <w:shd w:val="clear" w:color="auto" w:fill="E6E6E6"/>
      </w:rPr>
      <w:fldChar w:fldCharType="end"/>
    </w:r>
    <w:r w:rsidRPr="000E09DC">
      <w:t xml:space="preserve"> of </w:t>
    </w:r>
    <w:r>
      <w:t>3</w:t>
    </w:r>
  </w:p>
  <w:p w14:paraId="08CE6F91" w14:textId="77777777" w:rsidR="009E5925" w:rsidRPr="00527B0E" w:rsidRDefault="009E5925" w:rsidP="000E09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77B" w14:textId="1481F247" w:rsidR="009E5925" w:rsidRPr="007848B4" w:rsidRDefault="009E5925" w:rsidP="00120A9E">
    <w:pPr>
      <w:pStyle w:val="Header"/>
      <w:jc w:val="right"/>
    </w:pPr>
    <w:r w:rsidRPr="007848B4">
      <w:t>imab-adad-sep22item01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6CB141C1" w14:textId="6BA19EF5" w:rsidR="009E5925" w:rsidRPr="007848B4" w:rsidRDefault="009E5925" w:rsidP="00120A9E">
        <w:pPr>
          <w:pStyle w:val="Header"/>
          <w:spacing w:after="360"/>
          <w:jc w:val="right"/>
        </w:pPr>
        <w:r w:rsidRPr="007848B4">
          <w:t xml:space="preserve">Page </w:t>
        </w:r>
        <w:r w:rsidRPr="00B24E56">
          <w:rPr>
            <w:color w:val="2B579A"/>
          </w:rPr>
          <w:fldChar w:fldCharType="begin"/>
        </w:r>
        <w:r w:rsidRPr="00B24E56">
          <w:instrText xml:space="preserve"> PAGE </w:instrText>
        </w:r>
        <w:r w:rsidRPr="00B24E56">
          <w:rPr>
            <w:color w:val="2B579A"/>
          </w:rPr>
          <w:fldChar w:fldCharType="separate"/>
        </w:r>
        <w:r w:rsidRPr="00B24E56">
          <w:t>2</w:t>
        </w:r>
        <w:r w:rsidRPr="00B24E56">
          <w:rPr>
            <w:color w:val="2B579A"/>
          </w:rPr>
          <w:fldChar w:fldCharType="end"/>
        </w:r>
        <w:r w:rsidRPr="007848B4">
          <w:t xml:space="preserve"> of 1</w:t>
        </w:r>
        <w:r>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BEC" w14:textId="79B165A5" w:rsidR="009E5925" w:rsidRPr="00CD24DF" w:rsidRDefault="009E5925" w:rsidP="00E45332">
    <w:pPr>
      <w:pStyle w:val="Header"/>
      <w:jc w:val="right"/>
    </w:pPr>
    <w:r w:rsidRPr="00CD24DF">
      <w:t>imab-adad-sep22item01</w:t>
    </w:r>
  </w:p>
  <w:p w14:paraId="79B55ED1" w14:textId="1853DE9B" w:rsidR="009E5925" w:rsidRPr="00CD24DF" w:rsidRDefault="009E5925" w:rsidP="00120A9E">
    <w:pPr>
      <w:pStyle w:val="Header"/>
      <w:jc w:val="right"/>
    </w:pPr>
    <w:r w:rsidRPr="00CD24DF">
      <w:t xml:space="preserve">Attachment </w:t>
    </w:r>
    <w:r>
      <w:t>1</w:t>
    </w:r>
  </w:p>
  <w:sdt>
    <w:sdtPr>
      <w:rPr>
        <w:color w:val="2B579A"/>
        <w:shd w:val="clear" w:color="auto" w:fill="E6E6E6"/>
      </w:rPr>
      <w:id w:val="314070499"/>
      <w:docPartObj>
        <w:docPartGallery w:val="Page Numbers (Top of Page)"/>
        <w:docPartUnique/>
      </w:docPartObj>
    </w:sdtPr>
    <w:sdtEndPr>
      <w:rPr>
        <w:color w:val="auto"/>
        <w:shd w:val="clear" w:color="auto" w:fill="auto"/>
      </w:rPr>
    </w:sdtEndPr>
    <w:sdtContent>
      <w:p w14:paraId="22A8EC49" w14:textId="2EC6E1AD" w:rsidR="009E5925" w:rsidRPr="00CD24DF" w:rsidRDefault="009E5925" w:rsidP="00120A9E">
        <w:pPr>
          <w:pStyle w:val="Header"/>
          <w:spacing w:after="360"/>
          <w:jc w:val="right"/>
        </w:pPr>
        <w:r w:rsidRPr="00CD24DF">
          <w:t xml:space="preserve">Page </w:t>
        </w:r>
        <w:r w:rsidRPr="00CD24DF">
          <w:rPr>
            <w:color w:val="2B579A"/>
          </w:rPr>
          <w:fldChar w:fldCharType="begin"/>
        </w:r>
        <w:r w:rsidRPr="00CD24DF">
          <w:instrText xml:space="preserve"> PAGE </w:instrText>
        </w:r>
        <w:r w:rsidRPr="00CD24DF">
          <w:rPr>
            <w:color w:val="2B579A"/>
          </w:rPr>
          <w:fldChar w:fldCharType="separate"/>
        </w:r>
        <w:r w:rsidRPr="00CD24DF">
          <w:t>2</w:t>
        </w:r>
        <w:r w:rsidRPr="00CD24DF">
          <w:rPr>
            <w:color w:val="2B579A"/>
          </w:rPr>
          <w:fldChar w:fldCharType="end"/>
        </w:r>
        <w:r w:rsidRPr="00CD24DF">
          <w:t xml:space="preserve"> of </w:t>
        </w:r>
        <w:r>
          <w:t>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B67A" w14:textId="77777777" w:rsidR="009E5925" w:rsidRPr="00764AEA" w:rsidRDefault="009E5925" w:rsidP="00E45332">
    <w:pPr>
      <w:pStyle w:val="Header"/>
      <w:jc w:val="right"/>
    </w:pPr>
    <w:r w:rsidRPr="00764AEA">
      <w:t>imab-adad-sep22item01</w:t>
    </w:r>
  </w:p>
  <w:p w14:paraId="629A1A52" w14:textId="10B6915D" w:rsidR="009E5925" w:rsidRPr="00764AEA" w:rsidRDefault="009E5925" w:rsidP="00120A9E">
    <w:pPr>
      <w:pStyle w:val="Header"/>
      <w:jc w:val="right"/>
    </w:pPr>
    <w:r w:rsidRPr="00764AEA">
      <w:t xml:space="preserve">Attachment </w:t>
    </w:r>
    <w:r>
      <w:t>2</w:t>
    </w:r>
  </w:p>
  <w:sdt>
    <w:sdtPr>
      <w:rPr>
        <w:color w:val="2B579A"/>
        <w:shd w:val="clear" w:color="auto" w:fill="E6E6E6"/>
      </w:rPr>
      <w:id w:val="1852212883"/>
      <w:docPartObj>
        <w:docPartGallery w:val="Page Numbers (Top of Page)"/>
        <w:docPartUnique/>
      </w:docPartObj>
    </w:sdtPr>
    <w:sdtEndPr>
      <w:rPr>
        <w:color w:val="auto"/>
        <w:shd w:val="clear" w:color="auto" w:fill="auto"/>
      </w:rPr>
    </w:sdtEndPr>
    <w:sdtContent>
      <w:p w14:paraId="4CF097E0" w14:textId="77777777" w:rsidR="009E5925" w:rsidRPr="00764AEA" w:rsidRDefault="009E5925" w:rsidP="00120A9E">
        <w:pPr>
          <w:pStyle w:val="Header"/>
          <w:spacing w:after="360"/>
          <w:jc w:val="right"/>
        </w:pPr>
        <w:r w:rsidRPr="00764AEA">
          <w:t xml:space="preserve">Page </w:t>
        </w:r>
        <w:r w:rsidRPr="00F0704C">
          <w:rPr>
            <w:color w:val="2B579A"/>
          </w:rPr>
          <w:fldChar w:fldCharType="begin"/>
        </w:r>
        <w:r w:rsidRPr="00F0704C">
          <w:instrText xml:space="preserve"> PAGE </w:instrText>
        </w:r>
        <w:r w:rsidRPr="00F0704C">
          <w:rPr>
            <w:color w:val="2B579A"/>
          </w:rPr>
          <w:fldChar w:fldCharType="separate"/>
        </w:r>
        <w:r w:rsidRPr="00F0704C">
          <w:t>2</w:t>
        </w:r>
        <w:r w:rsidRPr="00F0704C">
          <w:rPr>
            <w:color w:val="2B579A"/>
          </w:rPr>
          <w:fldChar w:fldCharType="end"/>
        </w:r>
        <w:r w:rsidRPr="00764AEA">
          <w:t xml:space="preserve"> of 2</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486463"/>
      <w:docPartObj>
        <w:docPartGallery w:val="Page Numbers (Top of Page)"/>
        <w:docPartUnique/>
      </w:docPartObj>
    </w:sdtPr>
    <w:sdtEndPr/>
    <w:sdtContent>
      <w:p w14:paraId="2E0A20CD" w14:textId="3CA24EC9" w:rsidR="009E5925" w:rsidRDefault="009E5925" w:rsidP="00934E12">
        <w:pPr>
          <w:pStyle w:val="Header"/>
          <w:jc w:val="right"/>
        </w:pPr>
        <w:r>
          <w:t>imab-adad-sep22item01</w:t>
        </w:r>
      </w:p>
      <w:p w14:paraId="46003E23" w14:textId="205BFD82" w:rsidR="009E5925" w:rsidRDefault="009E5925" w:rsidP="00934E12">
        <w:pPr>
          <w:pStyle w:val="Header"/>
          <w:jc w:val="right"/>
        </w:pPr>
        <w:r>
          <w:t>Attachment 3</w:t>
        </w:r>
      </w:p>
      <w:p w14:paraId="5620AB98" w14:textId="2871AB54" w:rsidR="009E5925" w:rsidRPr="00934E12" w:rsidRDefault="009E5925" w:rsidP="001E1AB2">
        <w:pPr>
          <w:pStyle w:val="Header"/>
          <w:spacing w:after="480"/>
          <w:jc w:val="right"/>
        </w:pPr>
        <w:r>
          <w:t xml:space="preserve">Page </w:t>
        </w:r>
        <w:r>
          <w:fldChar w:fldCharType="begin"/>
        </w:r>
        <w:r>
          <w:instrText xml:space="preserve"> PAGE </w:instrText>
        </w:r>
        <w:r>
          <w:fldChar w:fldCharType="separate"/>
        </w:r>
        <w:r w:rsidRPr="1AD10449">
          <w:rPr>
            <w:noProof/>
          </w:rPr>
          <w:t>2</w:t>
        </w:r>
        <w:r>
          <w:fldChar w:fldCharType="end"/>
        </w:r>
        <w:r>
          <w:t xml:space="preserve"> of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058"/>
    <w:multiLevelType w:val="multilevel"/>
    <w:tmpl w:val="CEBE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5561A"/>
    <w:multiLevelType w:val="hybridMultilevel"/>
    <w:tmpl w:val="FFFFFFFF"/>
    <w:lvl w:ilvl="0" w:tplc="FC3AF0A8">
      <w:start w:val="1"/>
      <w:numFmt w:val="bullet"/>
      <w:lvlText w:val=""/>
      <w:lvlJc w:val="left"/>
      <w:pPr>
        <w:ind w:left="720" w:hanging="360"/>
      </w:pPr>
      <w:rPr>
        <w:rFonts w:ascii="Symbol" w:hAnsi="Symbol" w:hint="default"/>
      </w:rPr>
    </w:lvl>
    <w:lvl w:ilvl="1" w:tplc="103C294A">
      <w:start w:val="1"/>
      <w:numFmt w:val="bullet"/>
      <w:lvlText w:val="o"/>
      <w:lvlJc w:val="left"/>
      <w:pPr>
        <w:ind w:left="1440" w:hanging="360"/>
      </w:pPr>
      <w:rPr>
        <w:rFonts w:ascii="Courier New" w:hAnsi="Courier New" w:hint="default"/>
      </w:rPr>
    </w:lvl>
    <w:lvl w:ilvl="2" w:tplc="77B624FA">
      <w:start w:val="1"/>
      <w:numFmt w:val="bullet"/>
      <w:lvlText w:val=""/>
      <w:lvlJc w:val="left"/>
      <w:pPr>
        <w:ind w:left="2160" w:hanging="360"/>
      </w:pPr>
      <w:rPr>
        <w:rFonts w:ascii="Wingdings" w:hAnsi="Wingdings" w:hint="default"/>
      </w:rPr>
    </w:lvl>
    <w:lvl w:ilvl="3" w:tplc="D4E86A2C">
      <w:start w:val="1"/>
      <w:numFmt w:val="bullet"/>
      <w:lvlText w:val=""/>
      <w:lvlJc w:val="left"/>
      <w:pPr>
        <w:ind w:left="2880" w:hanging="360"/>
      </w:pPr>
      <w:rPr>
        <w:rFonts w:ascii="Symbol" w:hAnsi="Symbol" w:hint="default"/>
      </w:rPr>
    </w:lvl>
    <w:lvl w:ilvl="4" w:tplc="73EA479A">
      <w:start w:val="1"/>
      <w:numFmt w:val="bullet"/>
      <w:lvlText w:val="o"/>
      <w:lvlJc w:val="left"/>
      <w:pPr>
        <w:ind w:left="3600" w:hanging="360"/>
      </w:pPr>
      <w:rPr>
        <w:rFonts w:ascii="Courier New" w:hAnsi="Courier New" w:hint="default"/>
      </w:rPr>
    </w:lvl>
    <w:lvl w:ilvl="5" w:tplc="6410152E">
      <w:start w:val="1"/>
      <w:numFmt w:val="bullet"/>
      <w:lvlText w:val=""/>
      <w:lvlJc w:val="left"/>
      <w:pPr>
        <w:ind w:left="4320" w:hanging="360"/>
      </w:pPr>
      <w:rPr>
        <w:rFonts w:ascii="Wingdings" w:hAnsi="Wingdings" w:hint="default"/>
      </w:rPr>
    </w:lvl>
    <w:lvl w:ilvl="6" w:tplc="0360FD18">
      <w:start w:val="1"/>
      <w:numFmt w:val="bullet"/>
      <w:lvlText w:val=""/>
      <w:lvlJc w:val="left"/>
      <w:pPr>
        <w:ind w:left="5040" w:hanging="360"/>
      </w:pPr>
      <w:rPr>
        <w:rFonts w:ascii="Symbol" w:hAnsi="Symbol" w:hint="default"/>
      </w:rPr>
    </w:lvl>
    <w:lvl w:ilvl="7" w:tplc="222428AE">
      <w:start w:val="1"/>
      <w:numFmt w:val="bullet"/>
      <w:lvlText w:val="o"/>
      <w:lvlJc w:val="left"/>
      <w:pPr>
        <w:ind w:left="5760" w:hanging="360"/>
      </w:pPr>
      <w:rPr>
        <w:rFonts w:ascii="Courier New" w:hAnsi="Courier New" w:hint="default"/>
      </w:rPr>
    </w:lvl>
    <w:lvl w:ilvl="8" w:tplc="12768C96">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42AC"/>
    <w:multiLevelType w:val="hybridMultilevel"/>
    <w:tmpl w:val="23F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9E6"/>
    <w:multiLevelType w:val="hybridMultilevel"/>
    <w:tmpl w:val="16A0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5EE"/>
    <w:multiLevelType w:val="multilevel"/>
    <w:tmpl w:val="A4A2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B4C2E"/>
    <w:multiLevelType w:val="multilevel"/>
    <w:tmpl w:val="9FEA58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C26C8"/>
    <w:multiLevelType w:val="hybridMultilevel"/>
    <w:tmpl w:val="1924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06DA"/>
    <w:multiLevelType w:val="hybridMultilevel"/>
    <w:tmpl w:val="36D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A941C6"/>
    <w:multiLevelType w:val="hybridMultilevel"/>
    <w:tmpl w:val="08FC0514"/>
    <w:lvl w:ilvl="0" w:tplc="4818399A">
      <w:start w:val="1"/>
      <w:numFmt w:val="bullet"/>
      <w:lvlText w:val=""/>
      <w:lvlJc w:val="left"/>
      <w:pPr>
        <w:ind w:left="720" w:hanging="360"/>
      </w:pPr>
      <w:rPr>
        <w:rFonts w:ascii="Symbol" w:hAnsi="Symbol" w:hint="default"/>
      </w:rPr>
    </w:lvl>
    <w:lvl w:ilvl="1" w:tplc="2A28B400">
      <w:start w:val="1"/>
      <w:numFmt w:val="bullet"/>
      <w:lvlText w:val="o"/>
      <w:lvlJc w:val="left"/>
      <w:pPr>
        <w:ind w:left="1440" w:hanging="360"/>
      </w:pPr>
      <w:rPr>
        <w:rFonts w:ascii="Courier New" w:hAnsi="Courier New" w:hint="default"/>
      </w:rPr>
    </w:lvl>
    <w:lvl w:ilvl="2" w:tplc="D8A255D6">
      <w:start w:val="1"/>
      <w:numFmt w:val="bullet"/>
      <w:lvlText w:val=""/>
      <w:lvlJc w:val="left"/>
      <w:pPr>
        <w:ind w:left="2160" w:hanging="360"/>
      </w:pPr>
      <w:rPr>
        <w:rFonts w:ascii="Wingdings" w:hAnsi="Wingdings" w:hint="default"/>
      </w:rPr>
    </w:lvl>
    <w:lvl w:ilvl="3" w:tplc="711848BE">
      <w:start w:val="1"/>
      <w:numFmt w:val="bullet"/>
      <w:lvlText w:val=""/>
      <w:lvlJc w:val="left"/>
      <w:pPr>
        <w:ind w:left="2880" w:hanging="360"/>
      </w:pPr>
      <w:rPr>
        <w:rFonts w:ascii="Symbol" w:hAnsi="Symbol" w:hint="default"/>
      </w:rPr>
    </w:lvl>
    <w:lvl w:ilvl="4" w:tplc="2FF4F96A">
      <w:start w:val="1"/>
      <w:numFmt w:val="bullet"/>
      <w:lvlText w:val="o"/>
      <w:lvlJc w:val="left"/>
      <w:pPr>
        <w:ind w:left="3600" w:hanging="360"/>
      </w:pPr>
      <w:rPr>
        <w:rFonts w:ascii="Courier New" w:hAnsi="Courier New" w:hint="default"/>
      </w:rPr>
    </w:lvl>
    <w:lvl w:ilvl="5" w:tplc="E0BC09F6">
      <w:start w:val="1"/>
      <w:numFmt w:val="bullet"/>
      <w:lvlText w:val=""/>
      <w:lvlJc w:val="left"/>
      <w:pPr>
        <w:ind w:left="4320" w:hanging="360"/>
      </w:pPr>
      <w:rPr>
        <w:rFonts w:ascii="Wingdings" w:hAnsi="Wingdings" w:hint="default"/>
      </w:rPr>
    </w:lvl>
    <w:lvl w:ilvl="6" w:tplc="9E84AAA6">
      <w:start w:val="1"/>
      <w:numFmt w:val="bullet"/>
      <w:lvlText w:val=""/>
      <w:lvlJc w:val="left"/>
      <w:pPr>
        <w:ind w:left="5040" w:hanging="360"/>
      </w:pPr>
      <w:rPr>
        <w:rFonts w:ascii="Symbol" w:hAnsi="Symbol" w:hint="default"/>
      </w:rPr>
    </w:lvl>
    <w:lvl w:ilvl="7" w:tplc="385C7CC6">
      <w:start w:val="1"/>
      <w:numFmt w:val="bullet"/>
      <w:lvlText w:val="o"/>
      <w:lvlJc w:val="left"/>
      <w:pPr>
        <w:ind w:left="5760" w:hanging="360"/>
      </w:pPr>
      <w:rPr>
        <w:rFonts w:ascii="Courier New" w:hAnsi="Courier New" w:hint="default"/>
      </w:rPr>
    </w:lvl>
    <w:lvl w:ilvl="8" w:tplc="55A04028">
      <w:start w:val="1"/>
      <w:numFmt w:val="bullet"/>
      <w:lvlText w:val=""/>
      <w:lvlJc w:val="left"/>
      <w:pPr>
        <w:ind w:left="6480" w:hanging="360"/>
      </w:pPr>
      <w:rPr>
        <w:rFonts w:ascii="Wingdings" w:hAnsi="Wingdings" w:hint="default"/>
      </w:rPr>
    </w:lvl>
  </w:abstractNum>
  <w:abstractNum w:abstractNumId="12" w15:restartNumberingAfterBreak="0">
    <w:nsid w:val="1C481BB1"/>
    <w:multiLevelType w:val="hybridMultilevel"/>
    <w:tmpl w:val="3A54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878C7"/>
    <w:multiLevelType w:val="hybridMultilevel"/>
    <w:tmpl w:val="61661F88"/>
    <w:lvl w:ilvl="0" w:tplc="F3EC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BC64D"/>
    <w:multiLevelType w:val="hybridMultilevel"/>
    <w:tmpl w:val="77B86598"/>
    <w:lvl w:ilvl="0" w:tplc="CDFE40A0">
      <w:start w:val="1"/>
      <w:numFmt w:val="bullet"/>
      <w:lvlText w:val=""/>
      <w:lvlJc w:val="left"/>
      <w:pPr>
        <w:ind w:left="720" w:hanging="360"/>
      </w:pPr>
      <w:rPr>
        <w:rFonts w:ascii="Symbol" w:hAnsi="Symbol" w:hint="default"/>
      </w:rPr>
    </w:lvl>
    <w:lvl w:ilvl="1" w:tplc="C81451FA">
      <w:start w:val="1"/>
      <w:numFmt w:val="bullet"/>
      <w:lvlText w:val="o"/>
      <w:lvlJc w:val="left"/>
      <w:pPr>
        <w:ind w:left="1440" w:hanging="360"/>
      </w:pPr>
      <w:rPr>
        <w:rFonts w:ascii="Courier New" w:hAnsi="Courier New" w:hint="default"/>
      </w:rPr>
    </w:lvl>
    <w:lvl w:ilvl="2" w:tplc="43E89B32">
      <w:start w:val="1"/>
      <w:numFmt w:val="bullet"/>
      <w:lvlText w:val=""/>
      <w:lvlJc w:val="left"/>
      <w:pPr>
        <w:ind w:left="2160" w:hanging="360"/>
      </w:pPr>
      <w:rPr>
        <w:rFonts w:ascii="Wingdings" w:hAnsi="Wingdings" w:hint="default"/>
      </w:rPr>
    </w:lvl>
    <w:lvl w:ilvl="3" w:tplc="7C5C5340">
      <w:start w:val="1"/>
      <w:numFmt w:val="bullet"/>
      <w:lvlText w:val=""/>
      <w:lvlJc w:val="left"/>
      <w:pPr>
        <w:ind w:left="2880" w:hanging="360"/>
      </w:pPr>
      <w:rPr>
        <w:rFonts w:ascii="Symbol" w:hAnsi="Symbol" w:hint="default"/>
      </w:rPr>
    </w:lvl>
    <w:lvl w:ilvl="4" w:tplc="3CFE419C">
      <w:start w:val="1"/>
      <w:numFmt w:val="bullet"/>
      <w:lvlText w:val="o"/>
      <w:lvlJc w:val="left"/>
      <w:pPr>
        <w:ind w:left="3600" w:hanging="360"/>
      </w:pPr>
      <w:rPr>
        <w:rFonts w:ascii="Courier New" w:hAnsi="Courier New" w:hint="default"/>
      </w:rPr>
    </w:lvl>
    <w:lvl w:ilvl="5" w:tplc="769467A2">
      <w:start w:val="1"/>
      <w:numFmt w:val="bullet"/>
      <w:lvlText w:val=""/>
      <w:lvlJc w:val="left"/>
      <w:pPr>
        <w:ind w:left="4320" w:hanging="360"/>
      </w:pPr>
      <w:rPr>
        <w:rFonts w:ascii="Wingdings" w:hAnsi="Wingdings" w:hint="default"/>
      </w:rPr>
    </w:lvl>
    <w:lvl w:ilvl="6" w:tplc="405A25A6">
      <w:start w:val="1"/>
      <w:numFmt w:val="bullet"/>
      <w:lvlText w:val=""/>
      <w:lvlJc w:val="left"/>
      <w:pPr>
        <w:ind w:left="5040" w:hanging="360"/>
      </w:pPr>
      <w:rPr>
        <w:rFonts w:ascii="Symbol" w:hAnsi="Symbol" w:hint="default"/>
      </w:rPr>
    </w:lvl>
    <w:lvl w:ilvl="7" w:tplc="D0CE27FA">
      <w:start w:val="1"/>
      <w:numFmt w:val="bullet"/>
      <w:lvlText w:val="o"/>
      <w:lvlJc w:val="left"/>
      <w:pPr>
        <w:ind w:left="5760" w:hanging="360"/>
      </w:pPr>
      <w:rPr>
        <w:rFonts w:ascii="Courier New" w:hAnsi="Courier New" w:hint="default"/>
      </w:rPr>
    </w:lvl>
    <w:lvl w:ilvl="8" w:tplc="16609DC2">
      <w:start w:val="1"/>
      <w:numFmt w:val="bullet"/>
      <w:lvlText w:val=""/>
      <w:lvlJc w:val="left"/>
      <w:pPr>
        <w:ind w:left="6480" w:hanging="360"/>
      </w:pPr>
      <w:rPr>
        <w:rFonts w:ascii="Wingdings" w:hAnsi="Wingdings" w:hint="default"/>
      </w:rPr>
    </w:lvl>
  </w:abstractNum>
  <w:abstractNum w:abstractNumId="15" w15:restartNumberingAfterBreak="0">
    <w:nsid w:val="1F5F2117"/>
    <w:multiLevelType w:val="hybridMultilevel"/>
    <w:tmpl w:val="3BE88578"/>
    <w:lvl w:ilvl="0" w:tplc="FFFFFFFF">
      <w:start w:val="1"/>
      <w:numFmt w:val="bullet"/>
      <w:lvlText w:val=""/>
      <w:lvlJc w:val="left"/>
      <w:pPr>
        <w:ind w:left="720" w:hanging="360"/>
      </w:pPr>
      <w:rPr>
        <w:rFonts w:ascii="Symbol" w:hAnsi="Symbol" w:hint="default"/>
      </w:rPr>
    </w:lvl>
    <w:lvl w:ilvl="1" w:tplc="FC9CBB34">
      <w:start w:val="1"/>
      <w:numFmt w:val="bullet"/>
      <w:lvlText w:val="o"/>
      <w:lvlJc w:val="left"/>
      <w:pPr>
        <w:ind w:left="1440" w:hanging="360"/>
      </w:pPr>
      <w:rPr>
        <w:rFonts w:ascii="Courier New" w:hAnsi="Courier New" w:hint="default"/>
      </w:rPr>
    </w:lvl>
    <w:lvl w:ilvl="2" w:tplc="32F66A7A">
      <w:start w:val="1"/>
      <w:numFmt w:val="bullet"/>
      <w:lvlText w:val=""/>
      <w:lvlJc w:val="left"/>
      <w:pPr>
        <w:ind w:left="2160" w:hanging="360"/>
      </w:pPr>
      <w:rPr>
        <w:rFonts w:ascii="Wingdings" w:hAnsi="Wingdings" w:hint="default"/>
      </w:rPr>
    </w:lvl>
    <w:lvl w:ilvl="3" w:tplc="430C954C">
      <w:start w:val="1"/>
      <w:numFmt w:val="bullet"/>
      <w:lvlText w:val=""/>
      <w:lvlJc w:val="left"/>
      <w:pPr>
        <w:ind w:left="2880" w:hanging="360"/>
      </w:pPr>
      <w:rPr>
        <w:rFonts w:ascii="Symbol" w:hAnsi="Symbol" w:hint="default"/>
      </w:rPr>
    </w:lvl>
    <w:lvl w:ilvl="4" w:tplc="18F8628E">
      <w:start w:val="1"/>
      <w:numFmt w:val="bullet"/>
      <w:lvlText w:val="o"/>
      <w:lvlJc w:val="left"/>
      <w:pPr>
        <w:ind w:left="3600" w:hanging="360"/>
      </w:pPr>
      <w:rPr>
        <w:rFonts w:ascii="Courier New" w:hAnsi="Courier New" w:hint="default"/>
      </w:rPr>
    </w:lvl>
    <w:lvl w:ilvl="5" w:tplc="5590EA82">
      <w:start w:val="1"/>
      <w:numFmt w:val="bullet"/>
      <w:lvlText w:val=""/>
      <w:lvlJc w:val="left"/>
      <w:pPr>
        <w:ind w:left="4320" w:hanging="360"/>
      </w:pPr>
      <w:rPr>
        <w:rFonts w:ascii="Wingdings" w:hAnsi="Wingdings" w:hint="default"/>
      </w:rPr>
    </w:lvl>
    <w:lvl w:ilvl="6" w:tplc="04B2583E">
      <w:start w:val="1"/>
      <w:numFmt w:val="bullet"/>
      <w:lvlText w:val=""/>
      <w:lvlJc w:val="left"/>
      <w:pPr>
        <w:ind w:left="5040" w:hanging="360"/>
      </w:pPr>
      <w:rPr>
        <w:rFonts w:ascii="Symbol" w:hAnsi="Symbol" w:hint="default"/>
      </w:rPr>
    </w:lvl>
    <w:lvl w:ilvl="7" w:tplc="B8F63488">
      <w:start w:val="1"/>
      <w:numFmt w:val="bullet"/>
      <w:lvlText w:val="o"/>
      <w:lvlJc w:val="left"/>
      <w:pPr>
        <w:ind w:left="5760" w:hanging="360"/>
      </w:pPr>
      <w:rPr>
        <w:rFonts w:ascii="Courier New" w:hAnsi="Courier New" w:hint="default"/>
      </w:rPr>
    </w:lvl>
    <w:lvl w:ilvl="8" w:tplc="D0DC35AA">
      <w:start w:val="1"/>
      <w:numFmt w:val="bullet"/>
      <w:lvlText w:val=""/>
      <w:lvlJc w:val="left"/>
      <w:pPr>
        <w:ind w:left="6480" w:hanging="360"/>
      </w:pPr>
      <w:rPr>
        <w:rFonts w:ascii="Wingdings" w:hAnsi="Wingdings" w:hint="default"/>
      </w:rPr>
    </w:lvl>
  </w:abstractNum>
  <w:abstractNum w:abstractNumId="1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53A83"/>
    <w:multiLevelType w:val="hybridMultilevel"/>
    <w:tmpl w:val="F8903D06"/>
    <w:lvl w:ilvl="0" w:tplc="0409000F">
      <w:start w:val="1"/>
      <w:numFmt w:val="decimal"/>
      <w:lvlText w:val="%1."/>
      <w:lvlJc w:val="left"/>
      <w:pPr>
        <w:ind w:left="720" w:hanging="360"/>
      </w:pPr>
      <w:rPr>
        <w:rFonts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8" w15:restartNumberingAfterBreak="0">
    <w:nsid w:val="278F4AB3"/>
    <w:multiLevelType w:val="hybridMultilevel"/>
    <w:tmpl w:val="DD5E0C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D3EF3"/>
    <w:multiLevelType w:val="hybridMultilevel"/>
    <w:tmpl w:val="FBF47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74E2F"/>
    <w:multiLevelType w:val="multilevel"/>
    <w:tmpl w:val="401CD70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E11EF"/>
    <w:multiLevelType w:val="hybridMultilevel"/>
    <w:tmpl w:val="7EA4E21C"/>
    <w:lvl w:ilvl="0" w:tplc="ECB8E432">
      <w:start w:val="1"/>
      <w:numFmt w:val="bullet"/>
      <w:lvlText w:val=""/>
      <w:lvlJc w:val="left"/>
      <w:pPr>
        <w:ind w:left="720" w:hanging="360"/>
      </w:pPr>
      <w:rPr>
        <w:rFonts w:ascii="Symbol" w:hAnsi="Symbol" w:hint="default"/>
      </w:rPr>
    </w:lvl>
    <w:lvl w:ilvl="1" w:tplc="F4643DAE">
      <w:start w:val="1"/>
      <w:numFmt w:val="bullet"/>
      <w:lvlText w:val="o"/>
      <w:lvlJc w:val="left"/>
      <w:pPr>
        <w:ind w:left="1440" w:hanging="360"/>
      </w:pPr>
      <w:rPr>
        <w:rFonts w:ascii="Courier New" w:hAnsi="Courier New" w:hint="default"/>
      </w:rPr>
    </w:lvl>
    <w:lvl w:ilvl="2" w:tplc="99D64D9A">
      <w:start w:val="1"/>
      <w:numFmt w:val="bullet"/>
      <w:lvlText w:val=""/>
      <w:lvlJc w:val="left"/>
      <w:pPr>
        <w:ind w:left="2160" w:hanging="360"/>
      </w:pPr>
      <w:rPr>
        <w:rFonts w:ascii="Wingdings" w:hAnsi="Wingdings" w:hint="default"/>
      </w:rPr>
    </w:lvl>
    <w:lvl w:ilvl="3" w:tplc="A42A4FDE">
      <w:start w:val="1"/>
      <w:numFmt w:val="bullet"/>
      <w:lvlText w:val=""/>
      <w:lvlJc w:val="left"/>
      <w:pPr>
        <w:ind w:left="2880" w:hanging="360"/>
      </w:pPr>
      <w:rPr>
        <w:rFonts w:ascii="Symbol" w:hAnsi="Symbol" w:hint="default"/>
      </w:rPr>
    </w:lvl>
    <w:lvl w:ilvl="4" w:tplc="89B8D60E">
      <w:start w:val="1"/>
      <w:numFmt w:val="bullet"/>
      <w:lvlText w:val="o"/>
      <w:lvlJc w:val="left"/>
      <w:pPr>
        <w:ind w:left="3600" w:hanging="360"/>
      </w:pPr>
      <w:rPr>
        <w:rFonts w:ascii="Courier New" w:hAnsi="Courier New" w:hint="default"/>
      </w:rPr>
    </w:lvl>
    <w:lvl w:ilvl="5" w:tplc="5F909622">
      <w:start w:val="1"/>
      <w:numFmt w:val="bullet"/>
      <w:lvlText w:val=""/>
      <w:lvlJc w:val="left"/>
      <w:pPr>
        <w:ind w:left="4320" w:hanging="360"/>
      </w:pPr>
      <w:rPr>
        <w:rFonts w:ascii="Wingdings" w:hAnsi="Wingdings" w:hint="default"/>
      </w:rPr>
    </w:lvl>
    <w:lvl w:ilvl="6" w:tplc="32B0E648">
      <w:start w:val="1"/>
      <w:numFmt w:val="bullet"/>
      <w:lvlText w:val=""/>
      <w:lvlJc w:val="left"/>
      <w:pPr>
        <w:ind w:left="5040" w:hanging="360"/>
      </w:pPr>
      <w:rPr>
        <w:rFonts w:ascii="Symbol" w:hAnsi="Symbol" w:hint="default"/>
      </w:rPr>
    </w:lvl>
    <w:lvl w:ilvl="7" w:tplc="14BA73D0">
      <w:start w:val="1"/>
      <w:numFmt w:val="bullet"/>
      <w:lvlText w:val="o"/>
      <w:lvlJc w:val="left"/>
      <w:pPr>
        <w:ind w:left="5760" w:hanging="360"/>
      </w:pPr>
      <w:rPr>
        <w:rFonts w:ascii="Courier New" w:hAnsi="Courier New" w:hint="default"/>
      </w:rPr>
    </w:lvl>
    <w:lvl w:ilvl="8" w:tplc="8DD82648">
      <w:start w:val="1"/>
      <w:numFmt w:val="bullet"/>
      <w:lvlText w:val=""/>
      <w:lvlJc w:val="left"/>
      <w:pPr>
        <w:ind w:left="6480" w:hanging="360"/>
      </w:pPr>
      <w:rPr>
        <w:rFonts w:ascii="Wingdings" w:hAnsi="Wingdings" w:hint="default"/>
      </w:rPr>
    </w:lvl>
  </w:abstractNum>
  <w:abstractNum w:abstractNumId="2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6D7A38"/>
    <w:multiLevelType w:val="multilevel"/>
    <w:tmpl w:val="EFDEC1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C4076"/>
    <w:multiLevelType w:val="multilevel"/>
    <w:tmpl w:val="74A674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2D1779"/>
    <w:multiLevelType w:val="multilevel"/>
    <w:tmpl w:val="5CD0F0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28" w15:restartNumberingAfterBreak="0">
    <w:nsid w:val="462C3B8D"/>
    <w:multiLevelType w:val="multilevel"/>
    <w:tmpl w:val="C1B031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560585"/>
    <w:multiLevelType w:val="hybridMultilevel"/>
    <w:tmpl w:val="6D862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27604"/>
    <w:multiLevelType w:val="hybridMultilevel"/>
    <w:tmpl w:val="9AE6035A"/>
    <w:lvl w:ilvl="0" w:tplc="D18C91F8">
      <w:start w:val="1"/>
      <w:numFmt w:val="bullet"/>
      <w:lvlText w:val=""/>
      <w:lvlJc w:val="left"/>
      <w:pPr>
        <w:ind w:left="720" w:hanging="360"/>
      </w:pPr>
      <w:rPr>
        <w:rFonts w:ascii="Symbol" w:hAnsi="Symbol" w:hint="default"/>
      </w:rPr>
    </w:lvl>
    <w:lvl w:ilvl="1" w:tplc="555E7BDC">
      <w:start w:val="1"/>
      <w:numFmt w:val="bullet"/>
      <w:lvlText w:val="o"/>
      <w:lvlJc w:val="left"/>
      <w:pPr>
        <w:ind w:left="1440" w:hanging="360"/>
      </w:pPr>
      <w:rPr>
        <w:rFonts w:ascii="Courier New" w:hAnsi="Courier New" w:hint="default"/>
      </w:rPr>
    </w:lvl>
    <w:lvl w:ilvl="2" w:tplc="0B08A09E">
      <w:start w:val="1"/>
      <w:numFmt w:val="bullet"/>
      <w:lvlText w:val=""/>
      <w:lvlJc w:val="left"/>
      <w:pPr>
        <w:ind w:left="2160" w:hanging="360"/>
      </w:pPr>
      <w:rPr>
        <w:rFonts w:ascii="Wingdings" w:hAnsi="Wingdings" w:hint="default"/>
      </w:rPr>
    </w:lvl>
    <w:lvl w:ilvl="3" w:tplc="5FC8F2F2">
      <w:start w:val="1"/>
      <w:numFmt w:val="bullet"/>
      <w:lvlText w:val=""/>
      <w:lvlJc w:val="left"/>
      <w:pPr>
        <w:ind w:left="2880" w:hanging="360"/>
      </w:pPr>
      <w:rPr>
        <w:rFonts w:ascii="Symbol" w:hAnsi="Symbol" w:hint="default"/>
      </w:rPr>
    </w:lvl>
    <w:lvl w:ilvl="4" w:tplc="E5A22A02">
      <w:start w:val="1"/>
      <w:numFmt w:val="bullet"/>
      <w:lvlText w:val="o"/>
      <w:lvlJc w:val="left"/>
      <w:pPr>
        <w:ind w:left="3600" w:hanging="360"/>
      </w:pPr>
      <w:rPr>
        <w:rFonts w:ascii="Courier New" w:hAnsi="Courier New" w:hint="default"/>
      </w:rPr>
    </w:lvl>
    <w:lvl w:ilvl="5" w:tplc="F1A2922A">
      <w:start w:val="1"/>
      <w:numFmt w:val="bullet"/>
      <w:lvlText w:val=""/>
      <w:lvlJc w:val="left"/>
      <w:pPr>
        <w:ind w:left="4320" w:hanging="360"/>
      </w:pPr>
      <w:rPr>
        <w:rFonts w:ascii="Wingdings" w:hAnsi="Wingdings" w:hint="default"/>
      </w:rPr>
    </w:lvl>
    <w:lvl w:ilvl="6" w:tplc="C24095F4">
      <w:start w:val="1"/>
      <w:numFmt w:val="bullet"/>
      <w:lvlText w:val=""/>
      <w:lvlJc w:val="left"/>
      <w:pPr>
        <w:ind w:left="5040" w:hanging="360"/>
      </w:pPr>
      <w:rPr>
        <w:rFonts w:ascii="Symbol" w:hAnsi="Symbol" w:hint="default"/>
      </w:rPr>
    </w:lvl>
    <w:lvl w:ilvl="7" w:tplc="5AEED832">
      <w:start w:val="1"/>
      <w:numFmt w:val="bullet"/>
      <w:lvlText w:val="o"/>
      <w:lvlJc w:val="left"/>
      <w:pPr>
        <w:ind w:left="5760" w:hanging="360"/>
      </w:pPr>
      <w:rPr>
        <w:rFonts w:ascii="Courier New" w:hAnsi="Courier New" w:hint="default"/>
      </w:rPr>
    </w:lvl>
    <w:lvl w:ilvl="8" w:tplc="89F851F8">
      <w:start w:val="1"/>
      <w:numFmt w:val="bullet"/>
      <w:lvlText w:val=""/>
      <w:lvlJc w:val="left"/>
      <w:pPr>
        <w:ind w:left="6480" w:hanging="360"/>
      </w:pPr>
      <w:rPr>
        <w:rFonts w:ascii="Wingdings" w:hAnsi="Wingdings" w:hint="default"/>
      </w:rPr>
    </w:lvl>
  </w:abstractNum>
  <w:abstractNum w:abstractNumId="31" w15:restartNumberingAfterBreak="0">
    <w:nsid w:val="4767F6EC"/>
    <w:multiLevelType w:val="hybridMultilevel"/>
    <w:tmpl w:val="E078FDBC"/>
    <w:lvl w:ilvl="0" w:tplc="CB0C0A86">
      <w:start w:val="1"/>
      <w:numFmt w:val="bullet"/>
      <w:lvlText w:val=""/>
      <w:lvlJc w:val="left"/>
      <w:pPr>
        <w:ind w:left="720" w:hanging="360"/>
      </w:pPr>
      <w:rPr>
        <w:rFonts w:ascii="Symbol" w:hAnsi="Symbol" w:hint="default"/>
      </w:rPr>
    </w:lvl>
    <w:lvl w:ilvl="1" w:tplc="0DEEB518">
      <w:start w:val="1"/>
      <w:numFmt w:val="bullet"/>
      <w:lvlText w:val="o"/>
      <w:lvlJc w:val="left"/>
      <w:pPr>
        <w:ind w:left="1440" w:hanging="360"/>
      </w:pPr>
      <w:rPr>
        <w:rFonts w:ascii="Courier New" w:hAnsi="Courier New" w:hint="default"/>
      </w:rPr>
    </w:lvl>
    <w:lvl w:ilvl="2" w:tplc="ED6E58F2">
      <w:start w:val="1"/>
      <w:numFmt w:val="bullet"/>
      <w:lvlText w:val=""/>
      <w:lvlJc w:val="left"/>
      <w:pPr>
        <w:ind w:left="2160" w:hanging="360"/>
      </w:pPr>
      <w:rPr>
        <w:rFonts w:ascii="Wingdings" w:hAnsi="Wingdings" w:hint="default"/>
      </w:rPr>
    </w:lvl>
    <w:lvl w:ilvl="3" w:tplc="B89CA652">
      <w:start w:val="1"/>
      <w:numFmt w:val="bullet"/>
      <w:lvlText w:val=""/>
      <w:lvlJc w:val="left"/>
      <w:pPr>
        <w:ind w:left="2880" w:hanging="360"/>
      </w:pPr>
      <w:rPr>
        <w:rFonts w:ascii="Symbol" w:hAnsi="Symbol" w:hint="default"/>
      </w:rPr>
    </w:lvl>
    <w:lvl w:ilvl="4" w:tplc="2F4A70DE">
      <w:start w:val="1"/>
      <w:numFmt w:val="bullet"/>
      <w:lvlText w:val="o"/>
      <w:lvlJc w:val="left"/>
      <w:pPr>
        <w:ind w:left="3600" w:hanging="360"/>
      </w:pPr>
      <w:rPr>
        <w:rFonts w:ascii="Courier New" w:hAnsi="Courier New" w:hint="default"/>
      </w:rPr>
    </w:lvl>
    <w:lvl w:ilvl="5" w:tplc="776ABE08">
      <w:start w:val="1"/>
      <w:numFmt w:val="bullet"/>
      <w:lvlText w:val=""/>
      <w:lvlJc w:val="left"/>
      <w:pPr>
        <w:ind w:left="4320" w:hanging="360"/>
      </w:pPr>
      <w:rPr>
        <w:rFonts w:ascii="Wingdings" w:hAnsi="Wingdings" w:hint="default"/>
      </w:rPr>
    </w:lvl>
    <w:lvl w:ilvl="6" w:tplc="E4205016">
      <w:start w:val="1"/>
      <w:numFmt w:val="bullet"/>
      <w:lvlText w:val=""/>
      <w:lvlJc w:val="left"/>
      <w:pPr>
        <w:ind w:left="5040" w:hanging="360"/>
      </w:pPr>
      <w:rPr>
        <w:rFonts w:ascii="Symbol" w:hAnsi="Symbol" w:hint="default"/>
      </w:rPr>
    </w:lvl>
    <w:lvl w:ilvl="7" w:tplc="C8E6D950">
      <w:start w:val="1"/>
      <w:numFmt w:val="bullet"/>
      <w:lvlText w:val="o"/>
      <w:lvlJc w:val="left"/>
      <w:pPr>
        <w:ind w:left="5760" w:hanging="360"/>
      </w:pPr>
      <w:rPr>
        <w:rFonts w:ascii="Courier New" w:hAnsi="Courier New" w:hint="default"/>
      </w:rPr>
    </w:lvl>
    <w:lvl w:ilvl="8" w:tplc="91CA5BCA">
      <w:start w:val="1"/>
      <w:numFmt w:val="bullet"/>
      <w:lvlText w:val=""/>
      <w:lvlJc w:val="left"/>
      <w:pPr>
        <w:ind w:left="6480" w:hanging="360"/>
      </w:pPr>
      <w:rPr>
        <w:rFonts w:ascii="Wingdings" w:hAnsi="Wingdings" w:hint="default"/>
      </w:rPr>
    </w:lvl>
  </w:abstractNum>
  <w:abstractNum w:abstractNumId="32" w15:restartNumberingAfterBreak="0">
    <w:nsid w:val="47942DB5"/>
    <w:multiLevelType w:val="multilevel"/>
    <w:tmpl w:val="5B4A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2A568F"/>
    <w:multiLevelType w:val="hybridMultilevel"/>
    <w:tmpl w:val="E4C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F6243"/>
    <w:multiLevelType w:val="hybridMultilevel"/>
    <w:tmpl w:val="FFFFFFFF"/>
    <w:lvl w:ilvl="0" w:tplc="D098D006">
      <w:start w:val="1"/>
      <w:numFmt w:val="bullet"/>
      <w:lvlText w:val=""/>
      <w:lvlJc w:val="left"/>
      <w:pPr>
        <w:ind w:left="720" w:hanging="360"/>
      </w:pPr>
      <w:rPr>
        <w:rFonts w:ascii="Symbol" w:hAnsi="Symbol" w:hint="default"/>
      </w:rPr>
    </w:lvl>
    <w:lvl w:ilvl="1" w:tplc="2820B24C">
      <w:start w:val="1"/>
      <w:numFmt w:val="bullet"/>
      <w:lvlText w:val="o"/>
      <w:lvlJc w:val="left"/>
      <w:pPr>
        <w:ind w:left="1440" w:hanging="360"/>
      </w:pPr>
      <w:rPr>
        <w:rFonts w:ascii="Courier New" w:hAnsi="Courier New" w:hint="default"/>
      </w:rPr>
    </w:lvl>
    <w:lvl w:ilvl="2" w:tplc="97E6B8A0">
      <w:start w:val="1"/>
      <w:numFmt w:val="bullet"/>
      <w:lvlText w:val=""/>
      <w:lvlJc w:val="left"/>
      <w:pPr>
        <w:ind w:left="2160" w:hanging="360"/>
      </w:pPr>
      <w:rPr>
        <w:rFonts w:ascii="Wingdings" w:hAnsi="Wingdings" w:hint="default"/>
      </w:rPr>
    </w:lvl>
    <w:lvl w:ilvl="3" w:tplc="482627F8">
      <w:start w:val="1"/>
      <w:numFmt w:val="bullet"/>
      <w:lvlText w:val=""/>
      <w:lvlJc w:val="left"/>
      <w:pPr>
        <w:ind w:left="2880" w:hanging="360"/>
      </w:pPr>
      <w:rPr>
        <w:rFonts w:ascii="Symbol" w:hAnsi="Symbol" w:hint="default"/>
      </w:rPr>
    </w:lvl>
    <w:lvl w:ilvl="4" w:tplc="A642D66C">
      <w:start w:val="1"/>
      <w:numFmt w:val="bullet"/>
      <w:lvlText w:val="o"/>
      <w:lvlJc w:val="left"/>
      <w:pPr>
        <w:ind w:left="3600" w:hanging="360"/>
      </w:pPr>
      <w:rPr>
        <w:rFonts w:ascii="Courier New" w:hAnsi="Courier New" w:hint="default"/>
      </w:rPr>
    </w:lvl>
    <w:lvl w:ilvl="5" w:tplc="8F5430D2">
      <w:start w:val="1"/>
      <w:numFmt w:val="bullet"/>
      <w:lvlText w:val=""/>
      <w:lvlJc w:val="left"/>
      <w:pPr>
        <w:ind w:left="4320" w:hanging="360"/>
      </w:pPr>
      <w:rPr>
        <w:rFonts w:ascii="Wingdings" w:hAnsi="Wingdings" w:hint="default"/>
      </w:rPr>
    </w:lvl>
    <w:lvl w:ilvl="6" w:tplc="455C6226">
      <w:start w:val="1"/>
      <w:numFmt w:val="bullet"/>
      <w:lvlText w:val=""/>
      <w:lvlJc w:val="left"/>
      <w:pPr>
        <w:ind w:left="5040" w:hanging="360"/>
      </w:pPr>
      <w:rPr>
        <w:rFonts w:ascii="Symbol" w:hAnsi="Symbol" w:hint="default"/>
      </w:rPr>
    </w:lvl>
    <w:lvl w:ilvl="7" w:tplc="D92032EA">
      <w:start w:val="1"/>
      <w:numFmt w:val="bullet"/>
      <w:lvlText w:val="o"/>
      <w:lvlJc w:val="left"/>
      <w:pPr>
        <w:ind w:left="5760" w:hanging="360"/>
      </w:pPr>
      <w:rPr>
        <w:rFonts w:ascii="Courier New" w:hAnsi="Courier New" w:hint="default"/>
      </w:rPr>
    </w:lvl>
    <w:lvl w:ilvl="8" w:tplc="B65428DA">
      <w:start w:val="1"/>
      <w:numFmt w:val="bullet"/>
      <w:lvlText w:val=""/>
      <w:lvlJc w:val="left"/>
      <w:pPr>
        <w:ind w:left="6480" w:hanging="360"/>
      </w:pPr>
      <w:rPr>
        <w:rFonts w:ascii="Wingdings" w:hAnsi="Wingdings" w:hint="default"/>
      </w:rPr>
    </w:lvl>
  </w:abstractNum>
  <w:abstractNum w:abstractNumId="3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93122"/>
    <w:multiLevelType w:val="hybridMultilevel"/>
    <w:tmpl w:val="313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B7E49"/>
    <w:multiLevelType w:val="multilevel"/>
    <w:tmpl w:val="F0DCC9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B490D"/>
    <w:multiLevelType w:val="hybridMultilevel"/>
    <w:tmpl w:val="FFFFFFFF"/>
    <w:lvl w:ilvl="0" w:tplc="8A8A635C">
      <w:start w:val="1"/>
      <w:numFmt w:val="bullet"/>
      <w:lvlText w:val=""/>
      <w:lvlJc w:val="left"/>
      <w:pPr>
        <w:ind w:left="720" w:hanging="360"/>
      </w:pPr>
      <w:rPr>
        <w:rFonts w:ascii="Symbol" w:hAnsi="Symbol" w:hint="default"/>
      </w:rPr>
    </w:lvl>
    <w:lvl w:ilvl="1" w:tplc="19289402">
      <w:start w:val="1"/>
      <w:numFmt w:val="bullet"/>
      <w:lvlText w:val="o"/>
      <w:lvlJc w:val="left"/>
      <w:pPr>
        <w:ind w:left="1440" w:hanging="360"/>
      </w:pPr>
      <w:rPr>
        <w:rFonts w:ascii="Courier New" w:hAnsi="Courier New" w:hint="default"/>
      </w:rPr>
    </w:lvl>
    <w:lvl w:ilvl="2" w:tplc="A4FE1562">
      <w:start w:val="1"/>
      <w:numFmt w:val="bullet"/>
      <w:lvlText w:val=""/>
      <w:lvlJc w:val="left"/>
      <w:pPr>
        <w:ind w:left="2160" w:hanging="360"/>
      </w:pPr>
      <w:rPr>
        <w:rFonts w:ascii="Wingdings" w:hAnsi="Wingdings" w:hint="default"/>
      </w:rPr>
    </w:lvl>
    <w:lvl w:ilvl="3" w:tplc="990611CC">
      <w:start w:val="1"/>
      <w:numFmt w:val="bullet"/>
      <w:lvlText w:val=""/>
      <w:lvlJc w:val="left"/>
      <w:pPr>
        <w:ind w:left="2880" w:hanging="360"/>
      </w:pPr>
      <w:rPr>
        <w:rFonts w:ascii="Symbol" w:hAnsi="Symbol" w:hint="default"/>
      </w:rPr>
    </w:lvl>
    <w:lvl w:ilvl="4" w:tplc="FD7652C4">
      <w:start w:val="1"/>
      <w:numFmt w:val="bullet"/>
      <w:lvlText w:val="o"/>
      <w:lvlJc w:val="left"/>
      <w:pPr>
        <w:ind w:left="3600" w:hanging="360"/>
      </w:pPr>
      <w:rPr>
        <w:rFonts w:ascii="Courier New" w:hAnsi="Courier New" w:hint="default"/>
      </w:rPr>
    </w:lvl>
    <w:lvl w:ilvl="5" w:tplc="A07885C4">
      <w:start w:val="1"/>
      <w:numFmt w:val="bullet"/>
      <w:lvlText w:val=""/>
      <w:lvlJc w:val="left"/>
      <w:pPr>
        <w:ind w:left="4320" w:hanging="360"/>
      </w:pPr>
      <w:rPr>
        <w:rFonts w:ascii="Wingdings" w:hAnsi="Wingdings" w:hint="default"/>
      </w:rPr>
    </w:lvl>
    <w:lvl w:ilvl="6" w:tplc="52D2A1A8">
      <w:start w:val="1"/>
      <w:numFmt w:val="bullet"/>
      <w:lvlText w:val=""/>
      <w:lvlJc w:val="left"/>
      <w:pPr>
        <w:ind w:left="5040" w:hanging="360"/>
      </w:pPr>
      <w:rPr>
        <w:rFonts w:ascii="Symbol" w:hAnsi="Symbol" w:hint="default"/>
      </w:rPr>
    </w:lvl>
    <w:lvl w:ilvl="7" w:tplc="2214A628">
      <w:start w:val="1"/>
      <w:numFmt w:val="bullet"/>
      <w:lvlText w:val="o"/>
      <w:lvlJc w:val="left"/>
      <w:pPr>
        <w:ind w:left="5760" w:hanging="360"/>
      </w:pPr>
      <w:rPr>
        <w:rFonts w:ascii="Courier New" w:hAnsi="Courier New" w:hint="default"/>
      </w:rPr>
    </w:lvl>
    <w:lvl w:ilvl="8" w:tplc="CD54853A">
      <w:start w:val="1"/>
      <w:numFmt w:val="bullet"/>
      <w:lvlText w:val=""/>
      <w:lvlJc w:val="left"/>
      <w:pPr>
        <w:ind w:left="6480" w:hanging="360"/>
      </w:pPr>
      <w:rPr>
        <w:rFonts w:ascii="Wingdings" w:hAnsi="Wingdings" w:hint="default"/>
      </w:rPr>
    </w:lvl>
  </w:abstractNum>
  <w:abstractNum w:abstractNumId="40" w15:restartNumberingAfterBreak="0">
    <w:nsid w:val="65CC7D2A"/>
    <w:multiLevelType w:val="hybridMultilevel"/>
    <w:tmpl w:val="F19A3892"/>
    <w:lvl w:ilvl="0" w:tplc="83FCE0C8">
      <w:start w:val="1"/>
      <w:numFmt w:val="bullet"/>
      <w:lvlText w:val=""/>
      <w:lvlJc w:val="left"/>
      <w:pPr>
        <w:ind w:left="720" w:hanging="360"/>
      </w:pPr>
      <w:rPr>
        <w:rFonts w:ascii="Symbol" w:hAnsi="Symbol" w:hint="default"/>
      </w:rPr>
    </w:lvl>
    <w:lvl w:ilvl="1" w:tplc="1D0A6556">
      <w:start w:val="1"/>
      <w:numFmt w:val="bullet"/>
      <w:lvlText w:val="o"/>
      <w:lvlJc w:val="left"/>
      <w:pPr>
        <w:ind w:left="1440" w:hanging="360"/>
      </w:pPr>
      <w:rPr>
        <w:rFonts w:ascii="Courier New" w:hAnsi="Courier New" w:hint="default"/>
      </w:rPr>
    </w:lvl>
    <w:lvl w:ilvl="2" w:tplc="FD9611D2">
      <w:start w:val="1"/>
      <w:numFmt w:val="bullet"/>
      <w:lvlText w:val=""/>
      <w:lvlJc w:val="left"/>
      <w:pPr>
        <w:ind w:left="2160" w:hanging="360"/>
      </w:pPr>
      <w:rPr>
        <w:rFonts w:ascii="Wingdings" w:hAnsi="Wingdings" w:hint="default"/>
      </w:rPr>
    </w:lvl>
    <w:lvl w:ilvl="3" w:tplc="269211A2">
      <w:start w:val="1"/>
      <w:numFmt w:val="bullet"/>
      <w:lvlText w:val=""/>
      <w:lvlJc w:val="left"/>
      <w:pPr>
        <w:ind w:left="2880" w:hanging="360"/>
      </w:pPr>
      <w:rPr>
        <w:rFonts w:ascii="Symbol" w:hAnsi="Symbol" w:hint="default"/>
      </w:rPr>
    </w:lvl>
    <w:lvl w:ilvl="4" w:tplc="EBD876EC">
      <w:start w:val="1"/>
      <w:numFmt w:val="bullet"/>
      <w:lvlText w:val="o"/>
      <w:lvlJc w:val="left"/>
      <w:pPr>
        <w:ind w:left="3600" w:hanging="360"/>
      </w:pPr>
      <w:rPr>
        <w:rFonts w:ascii="Courier New" w:hAnsi="Courier New" w:hint="default"/>
      </w:rPr>
    </w:lvl>
    <w:lvl w:ilvl="5" w:tplc="B414D9AE">
      <w:start w:val="1"/>
      <w:numFmt w:val="bullet"/>
      <w:lvlText w:val=""/>
      <w:lvlJc w:val="left"/>
      <w:pPr>
        <w:ind w:left="4320" w:hanging="360"/>
      </w:pPr>
      <w:rPr>
        <w:rFonts w:ascii="Wingdings" w:hAnsi="Wingdings" w:hint="default"/>
      </w:rPr>
    </w:lvl>
    <w:lvl w:ilvl="6" w:tplc="8DAEE90A">
      <w:start w:val="1"/>
      <w:numFmt w:val="bullet"/>
      <w:lvlText w:val=""/>
      <w:lvlJc w:val="left"/>
      <w:pPr>
        <w:ind w:left="5040" w:hanging="360"/>
      </w:pPr>
      <w:rPr>
        <w:rFonts w:ascii="Symbol" w:hAnsi="Symbol" w:hint="default"/>
      </w:rPr>
    </w:lvl>
    <w:lvl w:ilvl="7" w:tplc="A69AE81C">
      <w:start w:val="1"/>
      <w:numFmt w:val="bullet"/>
      <w:lvlText w:val="o"/>
      <w:lvlJc w:val="left"/>
      <w:pPr>
        <w:ind w:left="5760" w:hanging="360"/>
      </w:pPr>
      <w:rPr>
        <w:rFonts w:ascii="Courier New" w:hAnsi="Courier New" w:hint="default"/>
      </w:rPr>
    </w:lvl>
    <w:lvl w:ilvl="8" w:tplc="26E47762">
      <w:start w:val="1"/>
      <w:numFmt w:val="bullet"/>
      <w:lvlText w:val=""/>
      <w:lvlJc w:val="left"/>
      <w:pPr>
        <w:ind w:left="6480" w:hanging="360"/>
      </w:pPr>
      <w:rPr>
        <w:rFonts w:ascii="Wingdings" w:hAnsi="Wingdings" w:hint="default"/>
      </w:rPr>
    </w:lvl>
  </w:abstractNum>
  <w:abstractNum w:abstractNumId="4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1209F4"/>
    <w:multiLevelType w:val="hybridMultilevel"/>
    <w:tmpl w:val="0AF0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D08B0"/>
    <w:multiLevelType w:val="multilevel"/>
    <w:tmpl w:val="0E14844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7060F"/>
    <w:multiLevelType w:val="hybridMultilevel"/>
    <w:tmpl w:val="1CD0BE24"/>
    <w:lvl w:ilvl="0" w:tplc="DFE265F0">
      <w:start w:val="1"/>
      <w:numFmt w:val="bullet"/>
      <w:lvlText w:val=""/>
      <w:lvlJc w:val="left"/>
      <w:pPr>
        <w:ind w:left="720" w:hanging="360"/>
      </w:pPr>
      <w:rPr>
        <w:rFonts w:ascii="Symbol" w:hAnsi="Symbol" w:hint="default"/>
      </w:rPr>
    </w:lvl>
    <w:lvl w:ilvl="1" w:tplc="1814F592">
      <w:start w:val="1"/>
      <w:numFmt w:val="bullet"/>
      <w:lvlText w:val="o"/>
      <w:lvlJc w:val="left"/>
      <w:pPr>
        <w:ind w:left="1440" w:hanging="360"/>
      </w:pPr>
      <w:rPr>
        <w:rFonts w:ascii="Courier New" w:hAnsi="Courier New" w:hint="default"/>
      </w:rPr>
    </w:lvl>
    <w:lvl w:ilvl="2" w:tplc="9DB00D66">
      <w:start w:val="1"/>
      <w:numFmt w:val="bullet"/>
      <w:lvlText w:val=""/>
      <w:lvlJc w:val="left"/>
      <w:pPr>
        <w:ind w:left="2160" w:hanging="360"/>
      </w:pPr>
      <w:rPr>
        <w:rFonts w:ascii="Wingdings" w:hAnsi="Wingdings" w:hint="default"/>
      </w:rPr>
    </w:lvl>
    <w:lvl w:ilvl="3" w:tplc="48C63676">
      <w:start w:val="1"/>
      <w:numFmt w:val="bullet"/>
      <w:lvlText w:val=""/>
      <w:lvlJc w:val="left"/>
      <w:pPr>
        <w:ind w:left="2880" w:hanging="360"/>
      </w:pPr>
      <w:rPr>
        <w:rFonts w:ascii="Symbol" w:hAnsi="Symbol" w:hint="default"/>
      </w:rPr>
    </w:lvl>
    <w:lvl w:ilvl="4" w:tplc="C00E5C28">
      <w:start w:val="1"/>
      <w:numFmt w:val="bullet"/>
      <w:lvlText w:val="o"/>
      <w:lvlJc w:val="left"/>
      <w:pPr>
        <w:ind w:left="3600" w:hanging="360"/>
      </w:pPr>
      <w:rPr>
        <w:rFonts w:ascii="Courier New" w:hAnsi="Courier New" w:hint="default"/>
      </w:rPr>
    </w:lvl>
    <w:lvl w:ilvl="5" w:tplc="C3123906">
      <w:start w:val="1"/>
      <w:numFmt w:val="bullet"/>
      <w:lvlText w:val=""/>
      <w:lvlJc w:val="left"/>
      <w:pPr>
        <w:ind w:left="4320" w:hanging="360"/>
      </w:pPr>
      <w:rPr>
        <w:rFonts w:ascii="Wingdings" w:hAnsi="Wingdings" w:hint="default"/>
      </w:rPr>
    </w:lvl>
    <w:lvl w:ilvl="6" w:tplc="FCFE5F8C">
      <w:start w:val="1"/>
      <w:numFmt w:val="bullet"/>
      <w:lvlText w:val=""/>
      <w:lvlJc w:val="left"/>
      <w:pPr>
        <w:ind w:left="5040" w:hanging="360"/>
      </w:pPr>
      <w:rPr>
        <w:rFonts w:ascii="Symbol" w:hAnsi="Symbol" w:hint="default"/>
      </w:rPr>
    </w:lvl>
    <w:lvl w:ilvl="7" w:tplc="09C07664">
      <w:start w:val="1"/>
      <w:numFmt w:val="bullet"/>
      <w:lvlText w:val="o"/>
      <w:lvlJc w:val="left"/>
      <w:pPr>
        <w:ind w:left="5760" w:hanging="360"/>
      </w:pPr>
      <w:rPr>
        <w:rFonts w:ascii="Courier New" w:hAnsi="Courier New" w:hint="default"/>
      </w:rPr>
    </w:lvl>
    <w:lvl w:ilvl="8" w:tplc="371699A8">
      <w:start w:val="1"/>
      <w:numFmt w:val="bullet"/>
      <w:lvlText w:val=""/>
      <w:lvlJc w:val="left"/>
      <w:pPr>
        <w:ind w:left="6480" w:hanging="360"/>
      </w:pPr>
      <w:rPr>
        <w:rFonts w:ascii="Wingdings" w:hAnsi="Wingdings" w:hint="default"/>
      </w:rPr>
    </w:lvl>
  </w:abstractNum>
  <w:abstractNum w:abstractNumId="45" w15:restartNumberingAfterBreak="0">
    <w:nsid w:val="76FF71E9"/>
    <w:multiLevelType w:val="multilevel"/>
    <w:tmpl w:val="6B786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C3A51"/>
    <w:multiLevelType w:val="hybridMultilevel"/>
    <w:tmpl w:val="0B4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71E27"/>
    <w:multiLevelType w:val="hybridMultilevel"/>
    <w:tmpl w:val="CAF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16"/>
  </w:num>
  <w:num w:numId="4">
    <w:abstractNumId w:val="35"/>
  </w:num>
  <w:num w:numId="5">
    <w:abstractNumId w:val="36"/>
  </w:num>
  <w:num w:numId="6">
    <w:abstractNumId w:val="2"/>
  </w:num>
  <w:num w:numId="7">
    <w:abstractNumId w:val="19"/>
  </w:num>
  <w:num w:numId="8">
    <w:abstractNumId w:val="27"/>
  </w:num>
  <w:num w:numId="9">
    <w:abstractNumId w:val="10"/>
  </w:num>
  <w:num w:numId="10">
    <w:abstractNumId w:val="32"/>
  </w:num>
  <w:num w:numId="11">
    <w:abstractNumId w:val="5"/>
  </w:num>
  <w:num w:numId="12">
    <w:abstractNumId w:val="17"/>
  </w:num>
  <w:num w:numId="13">
    <w:abstractNumId w:val="47"/>
  </w:num>
  <w:num w:numId="14">
    <w:abstractNumId w:val="3"/>
  </w:num>
  <w:num w:numId="15">
    <w:abstractNumId w:val="33"/>
  </w:num>
  <w:num w:numId="16">
    <w:abstractNumId w:val="30"/>
  </w:num>
  <w:num w:numId="17">
    <w:abstractNumId w:val="45"/>
  </w:num>
  <w:num w:numId="18">
    <w:abstractNumId w:val="6"/>
  </w:num>
  <w:num w:numId="19">
    <w:abstractNumId w:val="38"/>
  </w:num>
  <w:num w:numId="20">
    <w:abstractNumId w:val="21"/>
  </w:num>
  <w:num w:numId="21">
    <w:abstractNumId w:val="25"/>
  </w:num>
  <w:num w:numId="22">
    <w:abstractNumId w:val="43"/>
  </w:num>
  <w:num w:numId="23">
    <w:abstractNumId w:val="7"/>
  </w:num>
  <w:num w:numId="24">
    <w:abstractNumId w:val="29"/>
  </w:num>
  <w:num w:numId="25">
    <w:abstractNumId w:val="0"/>
  </w:num>
  <w:num w:numId="26">
    <w:abstractNumId w:val="42"/>
  </w:num>
  <w:num w:numId="27">
    <w:abstractNumId w:val="34"/>
  </w:num>
  <w:num w:numId="28">
    <w:abstractNumId w:val="44"/>
  </w:num>
  <w:num w:numId="29">
    <w:abstractNumId w:val="11"/>
  </w:num>
  <w:num w:numId="30">
    <w:abstractNumId w:val="39"/>
  </w:num>
  <w:num w:numId="31">
    <w:abstractNumId w:val="1"/>
  </w:num>
  <w:num w:numId="32">
    <w:abstractNumId w:val="40"/>
  </w:num>
  <w:num w:numId="33">
    <w:abstractNumId w:val="22"/>
  </w:num>
  <w:num w:numId="34">
    <w:abstractNumId w:val="9"/>
  </w:num>
  <w:num w:numId="35">
    <w:abstractNumId w:val="8"/>
  </w:num>
  <w:num w:numId="36">
    <w:abstractNumId w:val="37"/>
  </w:num>
  <w:num w:numId="37">
    <w:abstractNumId w:val="12"/>
  </w:num>
  <w:num w:numId="38">
    <w:abstractNumId w:val="13"/>
  </w:num>
  <w:num w:numId="39">
    <w:abstractNumId w:val="4"/>
  </w:num>
  <w:num w:numId="40">
    <w:abstractNumId w:val="18"/>
  </w:num>
  <w:num w:numId="41">
    <w:abstractNumId w:val="20"/>
  </w:num>
  <w:num w:numId="42">
    <w:abstractNumId w:val="15"/>
  </w:num>
  <w:num w:numId="43">
    <w:abstractNumId w:val="14"/>
  </w:num>
  <w:num w:numId="44">
    <w:abstractNumId w:val="31"/>
  </w:num>
  <w:num w:numId="45">
    <w:abstractNumId w:val="26"/>
  </w:num>
  <w:num w:numId="46">
    <w:abstractNumId w:val="28"/>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16E"/>
    <w:rsid w:val="0000101E"/>
    <w:rsid w:val="00002515"/>
    <w:rsid w:val="000040D5"/>
    <w:rsid w:val="000046EB"/>
    <w:rsid w:val="000058DA"/>
    <w:rsid w:val="00007442"/>
    <w:rsid w:val="00007D7F"/>
    <w:rsid w:val="0001163C"/>
    <w:rsid w:val="00011992"/>
    <w:rsid w:val="000119A0"/>
    <w:rsid w:val="000128DB"/>
    <w:rsid w:val="000135D2"/>
    <w:rsid w:val="0001657B"/>
    <w:rsid w:val="000236FC"/>
    <w:rsid w:val="000239CC"/>
    <w:rsid w:val="00024944"/>
    <w:rsid w:val="000253F0"/>
    <w:rsid w:val="00025584"/>
    <w:rsid w:val="0002FF1F"/>
    <w:rsid w:val="00030238"/>
    <w:rsid w:val="00031368"/>
    <w:rsid w:val="0003158E"/>
    <w:rsid w:val="00031F26"/>
    <w:rsid w:val="000324AD"/>
    <w:rsid w:val="00032703"/>
    <w:rsid w:val="000341DB"/>
    <w:rsid w:val="00034800"/>
    <w:rsid w:val="000351FB"/>
    <w:rsid w:val="000377D1"/>
    <w:rsid w:val="00037B60"/>
    <w:rsid w:val="000403F6"/>
    <w:rsid w:val="00040C39"/>
    <w:rsid w:val="00041BCD"/>
    <w:rsid w:val="00041C7C"/>
    <w:rsid w:val="00043FC2"/>
    <w:rsid w:val="00044C47"/>
    <w:rsid w:val="00044CE6"/>
    <w:rsid w:val="0005184A"/>
    <w:rsid w:val="000519BF"/>
    <w:rsid w:val="000519DA"/>
    <w:rsid w:val="000519F2"/>
    <w:rsid w:val="0005365A"/>
    <w:rsid w:val="00055AC1"/>
    <w:rsid w:val="00056CAF"/>
    <w:rsid w:val="00057D39"/>
    <w:rsid w:val="00057DF0"/>
    <w:rsid w:val="00060A0B"/>
    <w:rsid w:val="00060CD6"/>
    <w:rsid w:val="00061624"/>
    <w:rsid w:val="0006555A"/>
    <w:rsid w:val="000720CC"/>
    <w:rsid w:val="00072438"/>
    <w:rsid w:val="0007281C"/>
    <w:rsid w:val="000740BB"/>
    <w:rsid w:val="00076CAF"/>
    <w:rsid w:val="00080E88"/>
    <w:rsid w:val="0008357D"/>
    <w:rsid w:val="00083CAE"/>
    <w:rsid w:val="00084E4C"/>
    <w:rsid w:val="000862D3"/>
    <w:rsid w:val="0009214D"/>
    <w:rsid w:val="0009226D"/>
    <w:rsid w:val="00092A01"/>
    <w:rsid w:val="000933E9"/>
    <w:rsid w:val="00093BE5"/>
    <w:rsid w:val="000958B2"/>
    <w:rsid w:val="00095A11"/>
    <w:rsid w:val="00096814"/>
    <w:rsid w:val="000A45C0"/>
    <w:rsid w:val="000A5F50"/>
    <w:rsid w:val="000A6160"/>
    <w:rsid w:val="000B28F9"/>
    <w:rsid w:val="000B2F88"/>
    <w:rsid w:val="000B302D"/>
    <w:rsid w:val="000B4CF2"/>
    <w:rsid w:val="000B6327"/>
    <w:rsid w:val="000B66D2"/>
    <w:rsid w:val="000B715C"/>
    <w:rsid w:val="000B7348"/>
    <w:rsid w:val="000C15CF"/>
    <w:rsid w:val="000C19F8"/>
    <w:rsid w:val="000D0175"/>
    <w:rsid w:val="000D13AC"/>
    <w:rsid w:val="000D2E4D"/>
    <w:rsid w:val="000D2F87"/>
    <w:rsid w:val="000D332F"/>
    <w:rsid w:val="000D3EE5"/>
    <w:rsid w:val="000D4417"/>
    <w:rsid w:val="000D4928"/>
    <w:rsid w:val="000D67EF"/>
    <w:rsid w:val="000D6999"/>
    <w:rsid w:val="000E09DC"/>
    <w:rsid w:val="000E5134"/>
    <w:rsid w:val="000F0BC0"/>
    <w:rsid w:val="000F490A"/>
    <w:rsid w:val="000F63AF"/>
    <w:rsid w:val="000F6C1F"/>
    <w:rsid w:val="001008D3"/>
    <w:rsid w:val="00100F09"/>
    <w:rsid w:val="001037A6"/>
    <w:rsid w:val="001048F3"/>
    <w:rsid w:val="00104C73"/>
    <w:rsid w:val="00105EF8"/>
    <w:rsid w:val="001060D8"/>
    <w:rsid w:val="001060F3"/>
    <w:rsid w:val="00106D17"/>
    <w:rsid w:val="00110B36"/>
    <w:rsid w:val="00111128"/>
    <w:rsid w:val="0011170A"/>
    <w:rsid w:val="00112ABB"/>
    <w:rsid w:val="00112E8B"/>
    <w:rsid w:val="00113399"/>
    <w:rsid w:val="00114AE7"/>
    <w:rsid w:val="001152E2"/>
    <w:rsid w:val="001168DE"/>
    <w:rsid w:val="00117ADF"/>
    <w:rsid w:val="00120530"/>
    <w:rsid w:val="00120880"/>
    <w:rsid w:val="00120A9E"/>
    <w:rsid w:val="0012212A"/>
    <w:rsid w:val="001231FF"/>
    <w:rsid w:val="001238BC"/>
    <w:rsid w:val="001248FC"/>
    <w:rsid w:val="00124AFD"/>
    <w:rsid w:val="00126726"/>
    <w:rsid w:val="00130059"/>
    <w:rsid w:val="00132338"/>
    <w:rsid w:val="00134F62"/>
    <w:rsid w:val="00136A4B"/>
    <w:rsid w:val="00136DF1"/>
    <w:rsid w:val="001373B7"/>
    <w:rsid w:val="00137980"/>
    <w:rsid w:val="00142BD5"/>
    <w:rsid w:val="00142F36"/>
    <w:rsid w:val="001453AB"/>
    <w:rsid w:val="001464A4"/>
    <w:rsid w:val="00151C14"/>
    <w:rsid w:val="00152E7D"/>
    <w:rsid w:val="00153302"/>
    <w:rsid w:val="00153BC9"/>
    <w:rsid w:val="00154C49"/>
    <w:rsid w:val="00156207"/>
    <w:rsid w:val="00156F94"/>
    <w:rsid w:val="00160FB9"/>
    <w:rsid w:val="0016261E"/>
    <w:rsid w:val="001663B0"/>
    <w:rsid w:val="00166DF0"/>
    <w:rsid w:val="001677CC"/>
    <w:rsid w:val="00167A2D"/>
    <w:rsid w:val="00167CBC"/>
    <w:rsid w:val="001722C7"/>
    <w:rsid w:val="00177372"/>
    <w:rsid w:val="0017797B"/>
    <w:rsid w:val="001806C8"/>
    <w:rsid w:val="00180800"/>
    <w:rsid w:val="0018102C"/>
    <w:rsid w:val="0018148D"/>
    <w:rsid w:val="0018150B"/>
    <w:rsid w:val="001837C1"/>
    <w:rsid w:val="00183D89"/>
    <w:rsid w:val="00187472"/>
    <w:rsid w:val="00190B16"/>
    <w:rsid w:val="00190C53"/>
    <w:rsid w:val="00191C4F"/>
    <w:rsid w:val="001936F0"/>
    <w:rsid w:val="00195E23"/>
    <w:rsid w:val="0019624E"/>
    <w:rsid w:val="0019674A"/>
    <w:rsid w:val="001A0CA5"/>
    <w:rsid w:val="001A0CB7"/>
    <w:rsid w:val="001A0FDF"/>
    <w:rsid w:val="001A1901"/>
    <w:rsid w:val="001A1DF2"/>
    <w:rsid w:val="001A2508"/>
    <w:rsid w:val="001A3EB2"/>
    <w:rsid w:val="001A5A3F"/>
    <w:rsid w:val="001A5A6A"/>
    <w:rsid w:val="001A5DE6"/>
    <w:rsid w:val="001A6D7F"/>
    <w:rsid w:val="001A7EC3"/>
    <w:rsid w:val="001B2C0A"/>
    <w:rsid w:val="001B3958"/>
    <w:rsid w:val="001B6E15"/>
    <w:rsid w:val="001B7983"/>
    <w:rsid w:val="001C169B"/>
    <w:rsid w:val="001C285C"/>
    <w:rsid w:val="001C7B71"/>
    <w:rsid w:val="001D0004"/>
    <w:rsid w:val="001D1408"/>
    <w:rsid w:val="001D2C03"/>
    <w:rsid w:val="001D312B"/>
    <w:rsid w:val="001D4D29"/>
    <w:rsid w:val="001E16B3"/>
    <w:rsid w:val="001E1929"/>
    <w:rsid w:val="001E1AB2"/>
    <w:rsid w:val="001E3B7F"/>
    <w:rsid w:val="001E4E55"/>
    <w:rsid w:val="001E54EC"/>
    <w:rsid w:val="001E7AB8"/>
    <w:rsid w:val="001F070F"/>
    <w:rsid w:val="001F1FF3"/>
    <w:rsid w:val="001F7C3A"/>
    <w:rsid w:val="00200584"/>
    <w:rsid w:val="00201147"/>
    <w:rsid w:val="002011C9"/>
    <w:rsid w:val="002025E5"/>
    <w:rsid w:val="002049CE"/>
    <w:rsid w:val="00207ACD"/>
    <w:rsid w:val="00207E64"/>
    <w:rsid w:val="00210AC7"/>
    <w:rsid w:val="00210E81"/>
    <w:rsid w:val="002131B8"/>
    <w:rsid w:val="002134D1"/>
    <w:rsid w:val="00214070"/>
    <w:rsid w:val="002200C1"/>
    <w:rsid w:val="00220382"/>
    <w:rsid w:val="00220411"/>
    <w:rsid w:val="002205FA"/>
    <w:rsid w:val="00220AC2"/>
    <w:rsid w:val="002212F9"/>
    <w:rsid w:val="00223112"/>
    <w:rsid w:val="00223253"/>
    <w:rsid w:val="002243D8"/>
    <w:rsid w:val="00225558"/>
    <w:rsid w:val="002258EA"/>
    <w:rsid w:val="00226045"/>
    <w:rsid w:val="00227614"/>
    <w:rsid w:val="00237E02"/>
    <w:rsid w:val="00240413"/>
    <w:rsid w:val="00240B26"/>
    <w:rsid w:val="00245819"/>
    <w:rsid w:val="002458D0"/>
    <w:rsid w:val="00246815"/>
    <w:rsid w:val="00250F55"/>
    <w:rsid w:val="00253325"/>
    <w:rsid w:val="00257027"/>
    <w:rsid w:val="00257607"/>
    <w:rsid w:val="002641A6"/>
    <w:rsid w:val="00265498"/>
    <w:rsid w:val="00265B95"/>
    <w:rsid w:val="0026727C"/>
    <w:rsid w:val="00267636"/>
    <w:rsid w:val="00271081"/>
    <w:rsid w:val="002710D8"/>
    <w:rsid w:val="00271235"/>
    <w:rsid w:val="002713BA"/>
    <w:rsid w:val="00272F14"/>
    <w:rsid w:val="00273028"/>
    <w:rsid w:val="0027662D"/>
    <w:rsid w:val="0028506C"/>
    <w:rsid w:val="00285145"/>
    <w:rsid w:val="00285E68"/>
    <w:rsid w:val="0028663C"/>
    <w:rsid w:val="00286DD5"/>
    <w:rsid w:val="00287AD3"/>
    <w:rsid w:val="0028BF89"/>
    <w:rsid w:val="002913D8"/>
    <w:rsid w:val="00291946"/>
    <w:rsid w:val="00293689"/>
    <w:rsid w:val="0029424D"/>
    <w:rsid w:val="00294436"/>
    <w:rsid w:val="0029451B"/>
    <w:rsid w:val="0029483D"/>
    <w:rsid w:val="002953A3"/>
    <w:rsid w:val="00296144"/>
    <w:rsid w:val="00297FFC"/>
    <w:rsid w:val="002A1BED"/>
    <w:rsid w:val="002A302A"/>
    <w:rsid w:val="002A3FCA"/>
    <w:rsid w:val="002A45E8"/>
    <w:rsid w:val="002A539C"/>
    <w:rsid w:val="002B16E9"/>
    <w:rsid w:val="002B19EB"/>
    <w:rsid w:val="002B4B14"/>
    <w:rsid w:val="002B5004"/>
    <w:rsid w:val="002B71CB"/>
    <w:rsid w:val="002C09F5"/>
    <w:rsid w:val="002C10D5"/>
    <w:rsid w:val="002C28A1"/>
    <w:rsid w:val="002C2F9B"/>
    <w:rsid w:val="002D0B22"/>
    <w:rsid w:val="002D1A82"/>
    <w:rsid w:val="002D4951"/>
    <w:rsid w:val="002D4BFF"/>
    <w:rsid w:val="002D58D7"/>
    <w:rsid w:val="002D68C7"/>
    <w:rsid w:val="002D7EAC"/>
    <w:rsid w:val="002E0358"/>
    <w:rsid w:val="002E0653"/>
    <w:rsid w:val="002E0F97"/>
    <w:rsid w:val="002E1051"/>
    <w:rsid w:val="002E24A9"/>
    <w:rsid w:val="002E2EDC"/>
    <w:rsid w:val="002E4CB5"/>
    <w:rsid w:val="002E4D72"/>
    <w:rsid w:val="002E6FCA"/>
    <w:rsid w:val="002F279B"/>
    <w:rsid w:val="002F40C6"/>
    <w:rsid w:val="002F4DFC"/>
    <w:rsid w:val="002F71A1"/>
    <w:rsid w:val="00300DE2"/>
    <w:rsid w:val="0030116E"/>
    <w:rsid w:val="0030215C"/>
    <w:rsid w:val="003026FA"/>
    <w:rsid w:val="00306D99"/>
    <w:rsid w:val="0030748F"/>
    <w:rsid w:val="00310115"/>
    <w:rsid w:val="00312E40"/>
    <w:rsid w:val="00313EDC"/>
    <w:rsid w:val="00315131"/>
    <w:rsid w:val="003203D0"/>
    <w:rsid w:val="00322B75"/>
    <w:rsid w:val="00322B7F"/>
    <w:rsid w:val="00322F5E"/>
    <w:rsid w:val="003250B4"/>
    <w:rsid w:val="00326145"/>
    <w:rsid w:val="00326AFA"/>
    <w:rsid w:val="00326B0C"/>
    <w:rsid w:val="00327FA6"/>
    <w:rsid w:val="00330E7D"/>
    <w:rsid w:val="00331AE9"/>
    <w:rsid w:val="00332796"/>
    <w:rsid w:val="00333AB3"/>
    <w:rsid w:val="003372CE"/>
    <w:rsid w:val="00337A0E"/>
    <w:rsid w:val="00337CF2"/>
    <w:rsid w:val="0034014E"/>
    <w:rsid w:val="00341B7E"/>
    <w:rsid w:val="00341BD0"/>
    <w:rsid w:val="003424F8"/>
    <w:rsid w:val="00342D47"/>
    <w:rsid w:val="00343901"/>
    <w:rsid w:val="003452C9"/>
    <w:rsid w:val="00345A63"/>
    <w:rsid w:val="00347C09"/>
    <w:rsid w:val="00351E8F"/>
    <w:rsid w:val="00352AAE"/>
    <w:rsid w:val="00356748"/>
    <w:rsid w:val="003575F0"/>
    <w:rsid w:val="0036043A"/>
    <w:rsid w:val="00360664"/>
    <w:rsid w:val="00361286"/>
    <w:rsid w:val="00363520"/>
    <w:rsid w:val="003660D3"/>
    <w:rsid w:val="0036765F"/>
    <w:rsid w:val="003705FC"/>
    <w:rsid w:val="00371E39"/>
    <w:rsid w:val="003726FC"/>
    <w:rsid w:val="00372CC4"/>
    <w:rsid w:val="00373272"/>
    <w:rsid w:val="00375C1A"/>
    <w:rsid w:val="003762FE"/>
    <w:rsid w:val="003802C7"/>
    <w:rsid w:val="0038141F"/>
    <w:rsid w:val="003826E9"/>
    <w:rsid w:val="00382AF4"/>
    <w:rsid w:val="00383AB8"/>
    <w:rsid w:val="003842DF"/>
    <w:rsid w:val="00384ACF"/>
    <w:rsid w:val="003858FD"/>
    <w:rsid w:val="003905AA"/>
    <w:rsid w:val="0039076E"/>
    <w:rsid w:val="00392350"/>
    <w:rsid w:val="00392E64"/>
    <w:rsid w:val="00393AD2"/>
    <w:rsid w:val="00393F0D"/>
    <w:rsid w:val="00394E61"/>
    <w:rsid w:val="00396CB4"/>
    <w:rsid w:val="00396CD4"/>
    <w:rsid w:val="00396D88"/>
    <w:rsid w:val="0039778D"/>
    <w:rsid w:val="00397D80"/>
    <w:rsid w:val="00397EB1"/>
    <w:rsid w:val="003A03F9"/>
    <w:rsid w:val="003A0543"/>
    <w:rsid w:val="003A1FF3"/>
    <w:rsid w:val="003A5075"/>
    <w:rsid w:val="003A575D"/>
    <w:rsid w:val="003A6AB1"/>
    <w:rsid w:val="003A7059"/>
    <w:rsid w:val="003A7C2B"/>
    <w:rsid w:val="003C0FE0"/>
    <w:rsid w:val="003C1DCB"/>
    <w:rsid w:val="003C1F26"/>
    <w:rsid w:val="003C1F9A"/>
    <w:rsid w:val="003C3167"/>
    <w:rsid w:val="003C435D"/>
    <w:rsid w:val="003D0280"/>
    <w:rsid w:val="003D13D5"/>
    <w:rsid w:val="003D1ECD"/>
    <w:rsid w:val="003D5339"/>
    <w:rsid w:val="003D5F4B"/>
    <w:rsid w:val="003E1A3F"/>
    <w:rsid w:val="003E1E8D"/>
    <w:rsid w:val="003E227B"/>
    <w:rsid w:val="003E2754"/>
    <w:rsid w:val="003E2F80"/>
    <w:rsid w:val="003E3FD0"/>
    <w:rsid w:val="003E4DF7"/>
    <w:rsid w:val="003E7802"/>
    <w:rsid w:val="003F02B9"/>
    <w:rsid w:val="003F0AE8"/>
    <w:rsid w:val="003F2EBA"/>
    <w:rsid w:val="004049CE"/>
    <w:rsid w:val="00406F50"/>
    <w:rsid w:val="00407E9B"/>
    <w:rsid w:val="004105DC"/>
    <w:rsid w:val="004122C6"/>
    <w:rsid w:val="00413319"/>
    <w:rsid w:val="004149FE"/>
    <w:rsid w:val="00414DAF"/>
    <w:rsid w:val="004157ED"/>
    <w:rsid w:val="00415812"/>
    <w:rsid w:val="004203BC"/>
    <w:rsid w:val="00422872"/>
    <w:rsid w:val="0042581C"/>
    <w:rsid w:val="00425DC6"/>
    <w:rsid w:val="004275CB"/>
    <w:rsid w:val="004325E6"/>
    <w:rsid w:val="0043284C"/>
    <w:rsid w:val="00433AC1"/>
    <w:rsid w:val="004428BE"/>
    <w:rsid w:val="00445F57"/>
    <w:rsid w:val="0044617C"/>
    <w:rsid w:val="0044670C"/>
    <w:rsid w:val="004479B0"/>
    <w:rsid w:val="00450641"/>
    <w:rsid w:val="004511F9"/>
    <w:rsid w:val="004512B3"/>
    <w:rsid w:val="00451F22"/>
    <w:rsid w:val="004527BF"/>
    <w:rsid w:val="004537EF"/>
    <w:rsid w:val="00453D7A"/>
    <w:rsid w:val="00454F9A"/>
    <w:rsid w:val="00455026"/>
    <w:rsid w:val="004560FA"/>
    <w:rsid w:val="00456515"/>
    <w:rsid w:val="00462C7E"/>
    <w:rsid w:val="00463CDB"/>
    <w:rsid w:val="004664E2"/>
    <w:rsid w:val="0046667C"/>
    <w:rsid w:val="00466EFB"/>
    <w:rsid w:val="004707F7"/>
    <w:rsid w:val="00470988"/>
    <w:rsid w:val="00470E63"/>
    <w:rsid w:val="00471092"/>
    <w:rsid w:val="004737F5"/>
    <w:rsid w:val="00473EF6"/>
    <w:rsid w:val="0047534A"/>
    <w:rsid w:val="0048039F"/>
    <w:rsid w:val="004803B7"/>
    <w:rsid w:val="004831BD"/>
    <w:rsid w:val="0048327A"/>
    <w:rsid w:val="0048614B"/>
    <w:rsid w:val="00487BD9"/>
    <w:rsid w:val="00491B6E"/>
    <w:rsid w:val="0049427E"/>
    <w:rsid w:val="00494E07"/>
    <w:rsid w:val="00495131"/>
    <w:rsid w:val="00496CAE"/>
    <w:rsid w:val="00497003"/>
    <w:rsid w:val="00497C65"/>
    <w:rsid w:val="004A1D61"/>
    <w:rsid w:val="004A6616"/>
    <w:rsid w:val="004A7805"/>
    <w:rsid w:val="004A7A2A"/>
    <w:rsid w:val="004B16F0"/>
    <w:rsid w:val="004B1C4F"/>
    <w:rsid w:val="004B385F"/>
    <w:rsid w:val="004B435B"/>
    <w:rsid w:val="004B5C3C"/>
    <w:rsid w:val="004C146E"/>
    <w:rsid w:val="004C2FB6"/>
    <w:rsid w:val="004C31C6"/>
    <w:rsid w:val="004C333F"/>
    <w:rsid w:val="004C4E5A"/>
    <w:rsid w:val="004C64A2"/>
    <w:rsid w:val="004C7250"/>
    <w:rsid w:val="004C7E6E"/>
    <w:rsid w:val="004D059C"/>
    <w:rsid w:val="004D1494"/>
    <w:rsid w:val="004D3FE9"/>
    <w:rsid w:val="004D572C"/>
    <w:rsid w:val="004D5FAA"/>
    <w:rsid w:val="004D6458"/>
    <w:rsid w:val="004D65C8"/>
    <w:rsid w:val="004E029B"/>
    <w:rsid w:val="004E04AD"/>
    <w:rsid w:val="004E43BD"/>
    <w:rsid w:val="004E5E19"/>
    <w:rsid w:val="004E77B2"/>
    <w:rsid w:val="004E7AF8"/>
    <w:rsid w:val="004F2A39"/>
    <w:rsid w:val="004F2ED3"/>
    <w:rsid w:val="004F675E"/>
    <w:rsid w:val="005024BD"/>
    <w:rsid w:val="005025E5"/>
    <w:rsid w:val="00502A1D"/>
    <w:rsid w:val="00502C1B"/>
    <w:rsid w:val="00502E01"/>
    <w:rsid w:val="00503E4D"/>
    <w:rsid w:val="005043EB"/>
    <w:rsid w:val="00504C2A"/>
    <w:rsid w:val="0050641B"/>
    <w:rsid w:val="005150F2"/>
    <w:rsid w:val="00517C00"/>
    <w:rsid w:val="00520D85"/>
    <w:rsid w:val="00527403"/>
    <w:rsid w:val="00527B0E"/>
    <w:rsid w:val="00541C2A"/>
    <w:rsid w:val="00541C74"/>
    <w:rsid w:val="0054357B"/>
    <w:rsid w:val="005441AD"/>
    <w:rsid w:val="0054514B"/>
    <w:rsid w:val="00551742"/>
    <w:rsid w:val="005519E6"/>
    <w:rsid w:val="00551C97"/>
    <w:rsid w:val="00552E4E"/>
    <w:rsid w:val="00553290"/>
    <w:rsid w:val="00554A08"/>
    <w:rsid w:val="005563F6"/>
    <w:rsid w:val="00557FFA"/>
    <w:rsid w:val="00562C84"/>
    <w:rsid w:val="005652A5"/>
    <w:rsid w:val="00565A7D"/>
    <w:rsid w:val="005670AC"/>
    <w:rsid w:val="00570A9A"/>
    <w:rsid w:val="0057350B"/>
    <w:rsid w:val="00574CF9"/>
    <w:rsid w:val="005756A6"/>
    <w:rsid w:val="00580821"/>
    <w:rsid w:val="00581DB7"/>
    <w:rsid w:val="00584F9D"/>
    <w:rsid w:val="005909AA"/>
    <w:rsid w:val="00592B32"/>
    <w:rsid w:val="005931FB"/>
    <w:rsid w:val="005954F2"/>
    <w:rsid w:val="005A18DD"/>
    <w:rsid w:val="005A2E62"/>
    <w:rsid w:val="005A3413"/>
    <w:rsid w:val="005A42EF"/>
    <w:rsid w:val="005A4EB4"/>
    <w:rsid w:val="005A562E"/>
    <w:rsid w:val="005A5BC6"/>
    <w:rsid w:val="005A61A4"/>
    <w:rsid w:val="005A7F4E"/>
    <w:rsid w:val="005B0807"/>
    <w:rsid w:val="005B0DB3"/>
    <w:rsid w:val="005B14F6"/>
    <w:rsid w:val="005B2C0B"/>
    <w:rsid w:val="005B2CED"/>
    <w:rsid w:val="005B2E4A"/>
    <w:rsid w:val="005B3883"/>
    <w:rsid w:val="005B4626"/>
    <w:rsid w:val="005B6010"/>
    <w:rsid w:val="005B6026"/>
    <w:rsid w:val="005C09E1"/>
    <w:rsid w:val="005C304E"/>
    <w:rsid w:val="005C3A5E"/>
    <w:rsid w:val="005C5A51"/>
    <w:rsid w:val="005C5CBC"/>
    <w:rsid w:val="005C6328"/>
    <w:rsid w:val="005C63C4"/>
    <w:rsid w:val="005C678E"/>
    <w:rsid w:val="005C6C8E"/>
    <w:rsid w:val="005C72BC"/>
    <w:rsid w:val="005D04B6"/>
    <w:rsid w:val="005D12CA"/>
    <w:rsid w:val="005D1D67"/>
    <w:rsid w:val="005D225F"/>
    <w:rsid w:val="005D2F10"/>
    <w:rsid w:val="005E2650"/>
    <w:rsid w:val="005E3A10"/>
    <w:rsid w:val="005E58D4"/>
    <w:rsid w:val="005F14F1"/>
    <w:rsid w:val="005F2084"/>
    <w:rsid w:val="005F34B7"/>
    <w:rsid w:val="005F3CE6"/>
    <w:rsid w:val="005F60D0"/>
    <w:rsid w:val="005F7657"/>
    <w:rsid w:val="00601144"/>
    <w:rsid w:val="00602A09"/>
    <w:rsid w:val="00603AE5"/>
    <w:rsid w:val="0060486B"/>
    <w:rsid w:val="00605429"/>
    <w:rsid w:val="006060D5"/>
    <w:rsid w:val="0061000E"/>
    <w:rsid w:val="006118DA"/>
    <w:rsid w:val="00615A5D"/>
    <w:rsid w:val="00615BC0"/>
    <w:rsid w:val="00617DD9"/>
    <w:rsid w:val="00622B8E"/>
    <w:rsid w:val="00622C9E"/>
    <w:rsid w:val="006242F8"/>
    <w:rsid w:val="006244C7"/>
    <w:rsid w:val="0062462C"/>
    <w:rsid w:val="00624E52"/>
    <w:rsid w:val="00626CBC"/>
    <w:rsid w:val="00627D4D"/>
    <w:rsid w:val="0063133B"/>
    <w:rsid w:val="00631BC5"/>
    <w:rsid w:val="00631DFC"/>
    <w:rsid w:val="00632EA5"/>
    <w:rsid w:val="00633397"/>
    <w:rsid w:val="0063466C"/>
    <w:rsid w:val="00635A55"/>
    <w:rsid w:val="00635DE2"/>
    <w:rsid w:val="00640028"/>
    <w:rsid w:val="006408C7"/>
    <w:rsid w:val="00641955"/>
    <w:rsid w:val="0064261C"/>
    <w:rsid w:val="00643888"/>
    <w:rsid w:val="00645225"/>
    <w:rsid w:val="00646C31"/>
    <w:rsid w:val="00647825"/>
    <w:rsid w:val="0065006C"/>
    <w:rsid w:val="006503EC"/>
    <w:rsid w:val="006504B1"/>
    <w:rsid w:val="00651597"/>
    <w:rsid w:val="006525F3"/>
    <w:rsid w:val="00652F56"/>
    <w:rsid w:val="006536AC"/>
    <w:rsid w:val="00653D9C"/>
    <w:rsid w:val="00655C57"/>
    <w:rsid w:val="00657285"/>
    <w:rsid w:val="006577D4"/>
    <w:rsid w:val="0066039B"/>
    <w:rsid w:val="00661AE8"/>
    <w:rsid w:val="006622EB"/>
    <w:rsid w:val="00663911"/>
    <w:rsid w:val="0066638C"/>
    <w:rsid w:val="006667B0"/>
    <w:rsid w:val="00667C68"/>
    <w:rsid w:val="00667F08"/>
    <w:rsid w:val="00671CE2"/>
    <w:rsid w:val="00672F54"/>
    <w:rsid w:val="00673D87"/>
    <w:rsid w:val="00683181"/>
    <w:rsid w:val="00683427"/>
    <w:rsid w:val="00685585"/>
    <w:rsid w:val="00686B9E"/>
    <w:rsid w:val="006872AC"/>
    <w:rsid w:val="00687447"/>
    <w:rsid w:val="0069064D"/>
    <w:rsid w:val="00690FAD"/>
    <w:rsid w:val="00692300"/>
    <w:rsid w:val="00693632"/>
    <w:rsid w:val="00693951"/>
    <w:rsid w:val="00694269"/>
    <w:rsid w:val="00694ACE"/>
    <w:rsid w:val="006953D3"/>
    <w:rsid w:val="006954FD"/>
    <w:rsid w:val="00695513"/>
    <w:rsid w:val="00695934"/>
    <w:rsid w:val="00696AEC"/>
    <w:rsid w:val="00697BA2"/>
    <w:rsid w:val="006A2BD4"/>
    <w:rsid w:val="006A311E"/>
    <w:rsid w:val="006A3411"/>
    <w:rsid w:val="006A4CA7"/>
    <w:rsid w:val="006A5AE1"/>
    <w:rsid w:val="006A5BD4"/>
    <w:rsid w:val="006A710A"/>
    <w:rsid w:val="006A7432"/>
    <w:rsid w:val="006B1F51"/>
    <w:rsid w:val="006B2111"/>
    <w:rsid w:val="006B3BD3"/>
    <w:rsid w:val="006B5F2A"/>
    <w:rsid w:val="006B76B6"/>
    <w:rsid w:val="006B76BC"/>
    <w:rsid w:val="006C1FA5"/>
    <w:rsid w:val="006C206E"/>
    <w:rsid w:val="006C45FF"/>
    <w:rsid w:val="006C516D"/>
    <w:rsid w:val="006C58D1"/>
    <w:rsid w:val="006C6B22"/>
    <w:rsid w:val="006D0223"/>
    <w:rsid w:val="006D3442"/>
    <w:rsid w:val="006D34B6"/>
    <w:rsid w:val="006D40DE"/>
    <w:rsid w:val="006D4D57"/>
    <w:rsid w:val="006D67C8"/>
    <w:rsid w:val="006D72F6"/>
    <w:rsid w:val="006E01C5"/>
    <w:rsid w:val="006E06C6"/>
    <w:rsid w:val="006E0E37"/>
    <w:rsid w:val="006E124F"/>
    <w:rsid w:val="006E282D"/>
    <w:rsid w:val="006E533E"/>
    <w:rsid w:val="006E57B3"/>
    <w:rsid w:val="006E72E5"/>
    <w:rsid w:val="006F2381"/>
    <w:rsid w:val="006F2D09"/>
    <w:rsid w:val="006F2FD0"/>
    <w:rsid w:val="006F3457"/>
    <w:rsid w:val="006F3C13"/>
    <w:rsid w:val="006F566E"/>
    <w:rsid w:val="006F61F7"/>
    <w:rsid w:val="006F6BF9"/>
    <w:rsid w:val="006F75D5"/>
    <w:rsid w:val="006F7633"/>
    <w:rsid w:val="00700E50"/>
    <w:rsid w:val="007011FC"/>
    <w:rsid w:val="00703AE0"/>
    <w:rsid w:val="007043A5"/>
    <w:rsid w:val="00704F45"/>
    <w:rsid w:val="007059C5"/>
    <w:rsid w:val="0070746B"/>
    <w:rsid w:val="00710753"/>
    <w:rsid w:val="00710FF1"/>
    <w:rsid w:val="00711AE2"/>
    <w:rsid w:val="00711CBC"/>
    <w:rsid w:val="00712A25"/>
    <w:rsid w:val="00713B0D"/>
    <w:rsid w:val="00713DD0"/>
    <w:rsid w:val="0071621E"/>
    <w:rsid w:val="00717E24"/>
    <w:rsid w:val="00717F21"/>
    <w:rsid w:val="007235E5"/>
    <w:rsid w:val="00723E56"/>
    <w:rsid w:val="00726EDA"/>
    <w:rsid w:val="007303DD"/>
    <w:rsid w:val="007313A3"/>
    <w:rsid w:val="0073146F"/>
    <w:rsid w:val="00731ABF"/>
    <w:rsid w:val="00732E2C"/>
    <w:rsid w:val="007344AE"/>
    <w:rsid w:val="0073457F"/>
    <w:rsid w:val="007345F7"/>
    <w:rsid w:val="007377EA"/>
    <w:rsid w:val="00740115"/>
    <w:rsid w:val="00740603"/>
    <w:rsid w:val="007409D2"/>
    <w:rsid w:val="00741844"/>
    <w:rsid w:val="00741A11"/>
    <w:rsid w:val="00741E22"/>
    <w:rsid w:val="00741F6B"/>
    <w:rsid w:val="007428B8"/>
    <w:rsid w:val="007443F4"/>
    <w:rsid w:val="00745064"/>
    <w:rsid w:val="00746164"/>
    <w:rsid w:val="007466CA"/>
    <w:rsid w:val="00747D39"/>
    <w:rsid w:val="0075092B"/>
    <w:rsid w:val="00750CD5"/>
    <w:rsid w:val="007524E0"/>
    <w:rsid w:val="00752CBA"/>
    <w:rsid w:val="007531CD"/>
    <w:rsid w:val="00753CC9"/>
    <w:rsid w:val="007545F1"/>
    <w:rsid w:val="00755678"/>
    <w:rsid w:val="00756D4E"/>
    <w:rsid w:val="007574E4"/>
    <w:rsid w:val="007609A2"/>
    <w:rsid w:val="00762645"/>
    <w:rsid w:val="00762AC2"/>
    <w:rsid w:val="007634C2"/>
    <w:rsid w:val="007638CD"/>
    <w:rsid w:val="00763D08"/>
    <w:rsid w:val="00764AEA"/>
    <w:rsid w:val="0076625B"/>
    <w:rsid w:val="00770FB1"/>
    <w:rsid w:val="0077123A"/>
    <w:rsid w:val="00772435"/>
    <w:rsid w:val="00772C6B"/>
    <w:rsid w:val="00774ED2"/>
    <w:rsid w:val="007750EE"/>
    <w:rsid w:val="00780BB6"/>
    <w:rsid w:val="00780CA6"/>
    <w:rsid w:val="007814D0"/>
    <w:rsid w:val="0078165C"/>
    <w:rsid w:val="00782D0B"/>
    <w:rsid w:val="007848B4"/>
    <w:rsid w:val="00784F0B"/>
    <w:rsid w:val="007854FB"/>
    <w:rsid w:val="00786AD8"/>
    <w:rsid w:val="00791395"/>
    <w:rsid w:val="007917C8"/>
    <w:rsid w:val="0079340E"/>
    <w:rsid w:val="00794868"/>
    <w:rsid w:val="00794CF0"/>
    <w:rsid w:val="00795163"/>
    <w:rsid w:val="007954AA"/>
    <w:rsid w:val="00797D2D"/>
    <w:rsid w:val="007A01B5"/>
    <w:rsid w:val="007A10E0"/>
    <w:rsid w:val="007A3F25"/>
    <w:rsid w:val="007A4B05"/>
    <w:rsid w:val="007A4FDF"/>
    <w:rsid w:val="007A6FD2"/>
    <w:rsid w:val="007A7973"/>
    <w:rsid w:val="007B220D"/>
    <w:rsid w:val="007B3104"/>
    <w:rsid w:val="007B37BF"/>
    <w:rsid w:val="007B44B5"/>
    <w:rsid w:val="007B488D"/>
    <w:rsid w:val="007B7BDF"/>
    <w:rsid w:val="007C1A3F"/>
    <w:rsid w:val="007C30E3"/>
    <w:rsid w:val="007C37AD"/>
    <w:rsid w:val="007C3D1F"/>
    <w:rsid w:val="007C404E"/>
    <w:rsid w:val="007C5697"/>
    <w:rsid w:val="007C5B01"/>
    <w:rsid w:val="007C69AB"/>
    <w:rsid w:val="007C725C"/>
    <w:rsid w:val="007D1E6E"/>
    <w:rsid w:val="007D546F"/>
    <w:rsid w:val="007D640A"/>
    <w:rsid w:val="007D6A8F"/>
    <w:rsid w:val="007D6F92"/>
    <w:rsid w:val="007D7440"/>
    <w:rsid w:val="007D79DA"/>
    <w:rsid w:val="007D7FF3"/>
    <w:rsid w:val="007E0960"/>
    <w:rsid w:val="007E253E"/>
    <w:rsid w:val="007E258F"/>
    <w:rsid w:val="007E2BC1"/>
    <w:rsid w:val="007E6D46"/>
    <w:rsid w:val="007E77BA"/>
    <w:rsid w:val="007E7FD9"/>
    <w:rsid w:val="007F0ED2"/>
    <w:rsid w:val="007F2159"/>
    <w:rsid w:val="007F4091"/>
    <w:rsid w:val="007F40E0"/>
    <w:rsid w:val="007F58C6"/>
    <w:rsid w:val="007F65C9"/>
    <w:rsid w:val="007F6AD0"/>
    <w:rsid w:val="007F6D8A"/>
    <w:rsid w:val="0080146C"/>
    <w:rsid w:val="00802ED7"/>
    <w:rsid w:val="0080372D"/>
    <w:rsid w:val="00804122"/>
    <w:rsid w:val="00804217"/>
    <w:rsid w:val="00804812"/>
    <w:rsid w:val="0080506C"/>
    <w:rsid w:val="00807449"/>
    <w:rsid w:val="00810ACC"/>
    <w:rsid w:val="00810DB0"/>
    <w:rsid w:val="00813436"/>
    <w:rsid w:val="0081503D"/>
    <w:rsid w:val="00815344"/>
    <w:rsid w:val="00817CB3"/>
    <w:rsid w:val="008217A7"/>
    <w:rsid w:val="0082376D"/>
    <w:rsid w:val="00823E81"/>
    <w:rsid w:val="0082418A"/>
    <w:rsid w:val="00825A54"/>
    <w:rsid w:val="00830889"/>
    <w:rsid w:val="00831D06"/>
    <w:rsid w:val="00833AB1"/>
    <w:rsid w:val="00833C01"/>
    <w:rsid w:val="008347D7"/>
    <w:rsid w:val="008353F0"/>
    <w:rsid w:val="0083786B"/>
    <w:rsid w:val="00837DC1"/>
    <w:rsid w:val="00841BDA"/>
    <w:rsid w:val="00842A86"/>
    <w:rsid w:val="00845100"/>
    <w:rsid w:val="00845DBF"/>
    <w:rsid w:val="00850B93"/>
    <w:rsid w:val="00852CAE"/>
    <w:rsid w:val="008530EA"/>
    <w:rsid w:val="008537AC"/>
    <w:rsid w:val="00854C38"/>
    <w:rsid w:val="0085542E"/>
    <w:rsid w:val="0085611D"/>
    <w:rsid w:val="00857F12"/>
    <w:rsid w:val="00860C25"/>
    <w:rsid w:val="00862DC0"/>
    <w:rsid w:val="00863F03"/>
    <w:rsid w:val="0086474F"/>
    <w:rsid w:val="008661C7"/>
    <w:rsid w:val="00870E40"/>
    <w:rsid w:val="008715D0"/>
    <w:rsid w:val="00871DD5"/>
    <w:rsid w:val="008727BD"/>
    <w:rsid w:val="008746D0"/>
    <w:rsid w:val="00875BCC"/>
    <w:rsid w:val="00876B41"/>
    <w:rsid w:val="00877CE1"/>
    <w:rsid w:val="00880BC4"/>
    <w:rsid w:val="00880EE4"/>
    <w:rsid w:val="00882D0D"/>
    <w:rsid w:val="00883ABA"/>
    <w:rsid w:val="00883B28"/>
    <w:rsid w:val="00883D06"/>
    <w:rsid w:val="00885AEC"/>
    <w:rsid w:val="00886A05"/>
    <w:rsid w:val="008909EE"/>
    <w:rsid w:val="00890C97"/>
    <w:rsid w:val="00891305"/>
    <w:rsid w:val="008924D9"/>
    <w:rsid w:val="00895699"/>
    <w:rsid w:val="0089679A"/>
    <w:rsid w:val="0089730C"/>
    <w:rsid w:val="008979C3"/>
    <w:rsid w:val="008A015E"/>
    <w:rsid w:val="008A0FE8"/>
    <w:rsid w:val="008A2D08"/>
    <w:rsid w:val="008A361E"/>
    <w:rsid w:val="008A4298"/>
    <w:rsid w:val="008A4DD9"/>
    <w:rsid w:val="008A67E1"/>
    <w:rsid w:val="008B0CC2"/>
    <w:rsid w:val="008B12DD"/>
    <w:rsid w:val="008B193F"/>
    <w:rsid w:val="008B2704"/>
    <w:rsid w:val="008B2CA6"/>
    <w:rsid w:val="008B588C"/>
    <w:rsid w:val="008B5DE0"/>
    <w:rsid w:val="008B72A9"/>
    <w:rsid w:val="008B7B3B"/>
    <w:rsid w:val="008B7D0C"/>
    <w:rsid w:val="008C20A9"/>
    <w:rsid w:val="008C25C3"/>
    <w:rsid w:val="008C399B"/>
    <w:rsid w:val="008C511F"/>
    <w:rsid w:val="008C7036"/>
    <w:rsid w:val="008D140B"/>
    <w:rsid w:val="008D1A7E"/>
    <w:rsid w:val="008D2836"/>
    <w:rsid w:val="008D2EE5"/>
    <w:rsid w:val="008D3C08"/>
    <w:rsid w:val="008D4682"/>
    <w:rsid w:val="008D6446"/>
    <w:rsid w:val="008D7CDD"/>
    <w:rsid w:val="008E1173"/>
    <w:rsid w:val="008E14B7"/>
    <w:rsid w:val="008E3151"/>
    <w:rsid w:val="008E31A9"/>
    <w:rsid w:val="008E491A"/>
    <w:rsid w:val="008E521C"/>
    <w:rsid w:val="008E5BAE"/>
    <w:rsid w:val="008E639B"/>
    <w:rsid w:val="008E713A"/>
    <w:rsid w:val="008E7D2B"/>
    <w:rsid w:val="008F199D"/>
    <w:rsid w:val="008F1FE6"/>
    <w:rsid w:val="008F3550"/>
    <w:rsid w:val="008F3A32"/>
    <w:rsid w:val="008F46B6"/>
    <w:rsid w:val="008F5621"/>
    <w:rsid w:val="008F7756"/>
    <w:rsid w:val="008F7DDC"/>
    <w:rsid w:val="00900715"/>
    <w:rsid w:val="00902006"/>
    <w:rsid w:val="009023E0"/>
    <w:rsid w:val="009025C5"/>
    <w:rsid w:val="00902678"/>
    <w:rsid w:val="00906AEA"/>
    <w:rsid w:val="00910089"/>
    <w:rsid w:val="0091117B"/>
    <w:rsid w:val="009128B5"/>
    <w:rsid w:val="00912BCD"/>
    <w:rsid w:val="00914868"/>
    <w:rsid w:val="009152CA"/>
    <w:rsid w:val="00917C58"/>
    <w:rsid w:val="00920338"/>
    <w:rsid w:val="009212AB"/>
    <w:rsid w:val="009220C7"/>
    <w:rsid w:val="009222D6"/>
    <w:rsid w:val="00922BAF"/>
    <w:rsid w:val="009250EA"/>
    <w:rsid w:val="0093018F"/>
    <w:rsid w:val="00931745"/>
    <w:rsid w:val="00934458"/>
    <w:rsid w:val="00934E12"/>
    <w:rsid w:val="00935A10"/>
    <w:rsid w:val="00937E94"/>
    <w:rsid w:val="00943F9A"/>
    <w:rsid w:val="00945729"/>
    <w:rsid w:val="00945EEC"/>
    <w:rsid w:val="009462D8"/>
    <w:rsid w:val="009474A4"/>
    <w:rsid w:val="00947CC3"/>
    <w:rsid w:val="00951B14"/>
    <w:rsid w:val="009531B7"/>
    <w:rsid w:val="00953B60"/>
    <w:rsid w:val="0095430A"/>
    <w:rsid w:val="00955062"/>
    <w:rsid w:val="00955A4B"/>
    <w:rsid w:val="00955C0D"/>
    <w:rsid w:val="009615D6"/>
    <w:rsid w:val="0096214C"/>
    <w:rsid w:val="00962BC1"/>
    <w:rsid w:val="0096375B"/>
    <w:rsid w:val="009675BC"/>
    <w:rsid w:val="00967BDE"/>
    <w:rsid w:val="00970852"/>
    <w:rsid w:val="00970A79"/>
    <w:rsid w:val="0097136C"/>
    <w:rsid w:val="0097145A"/>
    <w:rsid w:val="00972BF7"/>
    <w:rsid w:val="00972C62"/>
    <w:rsid w:val="00973190"/>
    <w:rsid w:val="00973487"/>
    <w:rsid w:val="00974DF6"/>
    <w:rsid w:val="00975861"/>
    <w:rsid w:val="009758D4"/>
    <w:rsid w:val="00975F9D"/>
    <w:rsid w:val="009806D1"/>
    <w:rsid w:val="00980799"/>
    <w:rsid w:val="0098332B"/>
    <w:rsid w:val="009842F3"/>
    <w:rsid w:val="00986F1E"/>
    <w:rsid w:val="00987FE7"/>
    <w:rsid w:val="009913CB"/>
    <w:rsid w:val="009917FD"/>
    <w:rsid w:val="0099195A"/>
    <w:rsid w:val="009931FA"/>
    <w:rsid w:val="00994B75"/>
    <w:rsid w:val="00994C53"/>
    <w:rsid w:val="00996F93"/>
    <w:rsid w:val="009A00DA"/>
    <w:rsid w:val="009A4192"/>
    <w:rsid w:val="009A55AA"/>
    <w:rsid w:val="009A5C2B"/>
    <w:rsid w:val="009A6798"/>
    <w:rsid w:val="009B04E1"/>
    <w:rsid w:val="009B12B2"/>
    <w:rsid w:val="009B12C5"/>
    <w:rsid w:val="009B1314"/>
    <w:rsid w:val="009B2D4F"/>
    <w:rsid w:val="009B38D3"/>
    <w:rsid w:val="009B5559"/>
    <w:rsid w:val="009B6980"/>
    <w:rsid w:val="009B7A7A"/>
    <w:rsid w:val="009C2A77"/>
    <w:rsid w:val="009C77FE"/>
    <w:rsid w:val="009D385E"/>
    <w:rsid w:val="009D4AB9"/>
    <w:rsid w:val="009D5028"/>
    <w:rsid w:val="009D56AB"/>
    <w:rsid w:val="009D5AA5"/>
    <w:rsid w:val="009E17CB"/>
    <w:rsid w:val="009E1B76"/>
    <w:rsid w:val="009E5925"/>
    <w:rsid w:val="009E7177"/>
    <w:rsid w:val="009F1265"/>
    <w:rsid w:val="009F1B4F"/>
    <w:rsid w:val="009F2274"/>
    <w:rsid w:val="009F299D"/>
    <w:rsid w:val="009F2A99"/>
    <w:rsid w:val="009F38D2"/>
    <w:rsid w:val="009F38F7"/>
    <w:rsid w:val="009F3FC5"/>
    <w:rsid w:val="009F676B"/>
    <w:rsid w:val="00A00F03"/>
    <w:rsid w:val="00A02F87"/>
    <w:rsid w:val="00A0429B"/>
    <w:rsid w:val="00A04A2D"/>
    <w:rsid w:val="00A04D68"/>
    <w:rsid w:val="00A07A1A"/>
    <w:rsid w:val="00A07D67"/>
    <w:rsid w:val="00A07F42"/>
    <w:rsid w:val="00A1069C"/>
    <w:rsid w:val="00A129D2"/>
    <w:rsid w:val="00A12D06"/>
    <w:rsid w:val="00A13B94"/>
    <w:rsid w:val="00A13D8B"/>
    <w:rsid w:val="00A146F7"/>
    <w:rsid w:val="00A16315"/>
    <w:rsid w:val="00A17F3E"/>
    <w:rsid w:val="00A21F11"/>
    <w:rsid w:val="00A23712"/>
    <w:rsid w:val="00A23BFF"/>
    <w:rsid w:val="00A27718"/>
    <w:rsid w:val="00A30B3C"/>
    <w:rsid w:val="00A336F7"/>
    <w:rsid w:val="00A33EA9"/>
    <w:rsid w:val="00A35326"/>
    <w:rsid w:val="00A3663D"/>
    <w:rsid w:val="00A40138"/>
    <w:rsid w:val="00A40BA7"/>
    <w:rsid w:val="00A40F09"/>
    <w:rsid w:val="00A42EF8"/>
    <w:rsid w:val="00A45C95"/>
    <w:rsid w:val="00A46C62"/>
    <w:rsid w:val="00A47496"/>
    <w:rsid w:val="00A47869"/>
    <w:rsid w:val="00A508D3"/>
    <w:rsid w:val="00A54DB0"/>
    <w:rsid w:val="00A5667B"/>
    <w:rsid w:val="00A6136E"/>
    <w:rsid w:val="00A618F2"/>
    <w:rsid w:val="00A61CEA"/>
    <w:rsid w:val="00A62DEF"/>
    <w:rsid w:val="00A6372D"/>
    <w:rsid w:val="00A64BEC"/>
    <w:rsid w:val="00A65244"/>
    <w:rsid w:val="00A65F68"/>
    <w:rsid w:val="00A65FE4"/>
    <w:rsid w:val="00A66AC5"/>
    <w:rsid w:val="00A7198E"/>
    <w:rsid w:val="00A736E5"/>
    <w:rsid w:val="00A7502A"/>
    <w:rsid w:val="00A80846"/>
    <w:rsid w:val="00A81598"/>
    <w:rsid w:val="00A81C29"/>
    <w:rsid w:val="00A81EA4"/>
    <w:rsid w:val="00A824A8"/>
    <w:rsid w:val="00A8438E"/>
    <w:rsid w:val="00A8533F"/>
    <w:rsid w:val="00A86B5E"/>
    <w:rsid w:val="00A86E0C"/>
    <w:rsid w:val="00A87C40"/>
    <w:rsid w:val="00A91141"/>
    <w:rsid w:val="00A9419E"/>
    <w:rsid w:val="00A94329"/>
    <w:rsid w:val="00A94D8A"/>
    <w:rsid w:val="00A94E05"/>
    <w:rsid w:val="00A96726"/>
    <w:rsid w:val="00A978B9"/>
    <w:rsid w:val="00AA0E75"/>
    <w:rsid w:val="00AA1339"/>
    <w:rsid w:val="00AA30AD"/>
    <w:rsid w:val="00AA4392"/>
    <w:rsid w:val="00AA557E"/>
    <w:rsid w:val="00AA5F77"/>
    <w:rsid w:val="00AA773A"/>
    <w:rsid w:val="00AA7BA3"/>
    <w:rsid w:val="00AB2912"/>
    <w:rsid w:val="00AB4ACF"/>
    <w:rsid w:val="00AB4E5D"/>
    <w:rsid w:val="00AB7292"/>
    <w:rsid w:val="00AC4F1D"/>
    <w:rsid w:val="00AC51D0"/>
    <w:rsid w:val="00AC5A3F"/>
    <w:rsid w:val="00AC7D2A"/>
    <w:rsid w:val="00AD0EF6"/>
    <w:rsid w:val="00AD1129"/>
    <w:rsid w:val="00AD24D1"/>
    <w:rsid w:val="00AD5BBA"/>
    <w:rsid w:val="00AD5D4C"/>
    <w:rsid w:val="00AD6DF1"/>
    <w:rsid w:val="00AD77C4"/>
    <w:rsid w:val="00AD7C32"/>
    <w:rsid w:val="00AE0AF9"/>
    <w:rsid w:val="00AE3600"/>
    <w:rsid w:val="00AE3B10"/>
    <w:rsid w:val="00AE4ADC"/>
    <w:rsid w:val="00AE7401"/>
    <w:rsid w:val="00AF0672"/>
    <w:rsid w:val="00AF0AA5"/>
    <w:rsid w:val="00AF13EF"/>
    <w:rsid w:val="00AF1523"/>
    <w:rsid w:val="00AF42A4"/>
    <w:rsid w:val="00AF50DE"/>
    <w:rsid w:val="00AF5F68"/>
    <w:rsid w:val="00AF74A7"/>
    <w:rsid w:val="00AF7A01"/>
    <w:rsid w:val="00B020F4"/>
    <w:rsid w:val="00B050AA"/>
    <w:rsid w:val="00B052EB"/>
    <w:rsid w:val="00B0566E"/>
    <w:rsid w:val="00B0582E"/>
    <w:rsid w:val="00B0610C"/>
    <w:rsid w:val="00B07FC9"/>
    <w:rsid w:val="00B1067C"/>
    <w:rsid w:val="00B10743"/>
    <w:rsid w:val="00B10F39"/>
    <w:rsid w:val="00B111C2"/>
    <w:rsid w:val="00B15DCE"/>
    <w:rsid w:val="00B178F3"/>
    <w:rsid w:val="00B17DC4"/>
    <w:rsid w:val="00B2091B"/>
    <w:rsid w:val="00B20BE2"/>
    <w:rsid w:val="00B2176E"/>
    <w:rsid w:val="00B24BF7"/>
    <w:rsid w:val="00B24E56"/>
    <w:rsid w:val="00B26AB0"/>
    <w:rsid w:val="00B3170E"/>
    <w:rsid w:val="00B36BA1"/>
    <w:rsid w:val="00B37257"/>
    <w:rsid w:val="00B373F5"/>
    <w:rsid w:val="00B3782A"/>
    <w:rsid w:val="00B40029"/>
    <w:rsid w:val="00B40E2A"/>
    <w:rsid w:val="00B417F2"/>
    <w:rsid w:val="00B41F30"/>
    <w:rsid w:val="00B4311A"/>
    <w:rsid w:val="00B43F80"/>
    <w:rsid w:val="00B4661C"/>
    <w:rsid w:val="00B47372"/>
    <w:rsid w:val="00B47A38"/>
    <w:rsid w:val="00B517FC"/>
    <w:rsid w:val="00B51E11"/>
    <w:rsid w:val="00B526E3"/>
    <w:rsid w:val="00B52A0C"/>
    <w:rsid w:val="00B531DB"/>
    <w:rsid w:val="00B55DE3"/>
    <w:rsid w:val="00B6153F"/>
    <w:rsid w:val="00B6178D"/>
    <w:rsid w:val="00B61994"/>
    <w:rsid w:val="00B6233D"/>
    <w:rsid w:val="00B624EA"/>
    <w:rsid w:val="00B62F7E"/>
    <w:rsid w:val="00B646D6"/>
    <w:rsid w:val="00B67651"/>
    <w:rsid w:val="00B71DC2"/>
    <w:rsid w:val="00B723BE"/>
    <w:rsid w:val="00B73633"/>
    <w:rsid w:val="00B746D6"/>
    <w:rsid w:val="00B74F6C"/>
    <w:rsid w:val="00B74F87"/>
    <w:rsid w:val="00B7645B"/>
    <w:rsid w:val="00B810BD"/>
    <w:rsid w:val="00B81E9F"/>
    <w:rsid w:val="00B82705"/>
    <w:rsid w:val="00B82AB0"/>
    <w:rsid w:val="00B8318D"/>
    <w:rsid w:val="00B833D3"/>
    <w:rsid w:val="00B84DFB"/>
    <w:rsid w:val="00B85FBD"/>
    <w:rsid w:val="00B865EF"/>
    <w:rsid w:val="00B868C3"/>
    <w:rsid w:val="00B918AB"/>
    <w:rsid w:val="00B931C8"/>
    <w:rsid w:val="00B9382F"/>
    <w:rsid w:val="00B93C91"/>
    <w:rsid w:val="00B94499"/>
    <w:rsid w:val="00B94878"/>
    <w:rsid w:val="00BA0DD9"/>
    <w:rsid w:val="00BA1AA6"/>
    <w:rsid w:val="00BA1ADC"/>
    <w:rsid w:val="00BA3622"/>
    <w:rsid w:val="00BA39D6"/>
    <w:rsid w:val="00BA5FD1"/>
    <w:rsid w:val="00BB1874"/>
    <w:rsid w:val="00BB2356"/>
    <w:rsid w:val="00BB24A0"/>
    <w:rsid w:val="00BB4BA1"/>
    <w:rsid w:val="00BB4F9B"/>
    <w:rsid w:val="00BB5137"/>
    <w:rsid w:val="00BB5F51"/>
    <w:rsid w:val="00BB6E77"/>
    <w:rsid w:val="00BC01A5"/>
    <w:rsid w:val="00BC44B8"/>
    <w:rsid w:val="00BD00A9"/>
    <w:rsid w:val="00BD3D99"/>
    <w:rsid w:val="00BD4359"/>
    <w:rsid w:val="00BD452D"/>
    <w:rsid w:val="00BD4990"/>
    <w:rsid w:val="00BE2E40"/>
    <w:rsid w:val="00BE3538"/>
    <w:rsid w:val="00BE3729"/>
    <w:rsid w:val="00BF296F"/>
    <w:rsid w:val="00BF2A80"/>
    <w:rsid w:val="00BF2B56"/>
    <w:rsid w:val="00BF2C89"/>
    <w:rsid w:val="00BF6387"/>
    <w:rsid w:val="00BF7B57"/>
    <w:rsid w:val="00C018D8"/>
    <w:rsid w:val="00C01C94"/>
    <w:rsid w:val="00C02083"/>
    <w:rsid w:val="00C02BCB"/>
    <w:rsid w:val="00C02CF4"/>
    <w:rsid w:val="00C067BF"/>
    <w:rsid w:val="00C07169"/>
    <w:rsid w:val="00C07192"/>
    <w:rsid w:val="00C07580"/>
    <w:rsid w:val="00C14AB8"/>
    <w:rsid w:val="00C15BF9"/>
    <w:rsid w:val="00C20C4B"/>
    <w:rsid w:val="00C219FF"/>
    <w:rsid w:val="00C21B6F"/>
    <w:rsid w:val="00C226EE"/>
    <w:rsid w:val="00C233AC"/>
    <w:rsid w:val="00C27BC1"/>
    <w:rsid w:val="00C27D57"/>
    <w:rsid w:val="00C318D6"/>
    <w:rsid w:val="00C31EE8"/>
    <w:rsid w:val="00C3277C"/>
    <w:rsid w:val="00C33103"/>
    <w:rsid w:val="00C36171"/>
    <w:rsid w:val="00C40155"/>
    <w:rsid w:val="00C40AE3"/>
    <w:rsid w:val="00C42B1A"/>
    <w:rsid w:val="00C43B4C"/>
    <w:rsid w:val="00C43CFE"/>
    <w:rsid w:val="00C468AF"/>
    <w:rsid w:val="00C47EC3"/>
    <w:rsid w:val="00C527DF"/>
    <w:rsid w:val="00C53DDE"/>
    <w:rsid w:val="00C57F59"/>
    <w:rsid w:val="00C607C5"/>
    <w:rsid w:val="00C60E20"/>
    <w:rsid w:val="00C62A8D"/>
    <w:rsid w:val="00C65BC0"/>
    <w:rsid w:val="00C67DC9"/>
    <w:rsid w:val="00C708C0"/>
    <w:rsid w:val="00C71319"/>
    <w:rsid w:val="00C714D6"/>
    <w:rsid w:val="00C74B9B"/>
    <w:rsid w:val="00C82CBA"/>
    <w:rsid w:val="00C846A6"/>
    <w:rsid w:val="00C84DDE"/>
    <w:rsid w:val="00C85A27"/>
    <w:rsid w:val="00C85EA7"/>
    <w:rsid w:val="00C86B52"/>
    <w:rsid w:val="00C877D8"/>
    <w:rsid w:val="00C87F4B"/>
    <w:rsid w:val="00C87FD4"/>
    <w:rsid w:val="00C90241"/>
    <w:rsid w:val="00C91C30"/>
    <w:rsid w:val="00C93D94"/>
    <w:rsid w:val="00C94314"/>
    <w:rsid w:val="00C94B64"/>
    <w:rsid w:val="00C96030"/>
    <w:rsid w:val="00CA0CD6"/>
    <w:rsid w:val="00CA103C"/>
    <w:rsid w:val="00CA1A9C"/>
    <w:rsid w:val="00CA54C5"/>
    <w:rsid w:val="00CA68CD"/>
    <w:rsid w:val="00CB140D"/>
    <w:rsid w:val="00CB1F73"/>
    <w:rsid w:val="00CB2BCF"/>
    <w:rsid w:val="00CB3B3D"/>
    <w:rsid w:val="00CB3F10"/>
    <w:rsid w:val="00CB6012"/>
    <w:rsid w:val="00CB71DD"/>
    <w:rsid w:val="00CB757E"/>
    <w:rsid w:val="00CC00A6"/>
    <w:rsid w:val="00CC03D7"/>
    <w:rsid w:val="00CC04EB"/>
    <w:rsid w:val="00CC2E97"/>
    <w:rsid w:val="00CC7CF6"/>
    <w:rsid w:val="00CD1E5A"/>
    <w:rsid w:val="00CD24DF"/>
    <w:rsid w:val="00CD354C"/>
    <w:rsid w:val="00CD6086"/>
    <w:rsid w:val="00CD7FAA"/>
    <w:rsid w:val="00CE0FA5"/>
    <w:rsid w:val="00CE1A4E"/>
    <w:rsid w:val="00CE1C84"/>
    <w:rsid w:val="00CE2A31"/>
    <w:rsid w:val="00CE34FC"/>
    <w:rsid w:val="00CE5CDC"/>
    <w:rsid w:val="00CE677F"/>
    <w:rsid w:val="00CE6E44"/>
    <w:rsid w:val="00CF2B6E"/>
    <w:rsid w:val="00CF3671"/>
    <w:rsid w:val="00CF5F9A"/>
    <w:rsid w:val="00CF67C0"/>
    <w:rsid w:val="00CF6BC0"/>
    <w:rsid w:val="00D00032"/>
    <w:rsid w:val="00D017D3"/>
    <w:rsid w:val="00D01EBC"/>
    <w:rsid w:val="00D05352"/>
    <w:rsid w:val="00D05CE6"/>
    <w:rsid w:val="00D061F5"/>
    <w:rsid w:val="00D06700"/>
    <w:rsid w:val="00D11B9B"/>
    <w:rsid w:val="00D11C80"/>
    <w:rsid w:val="00D1326C"/>
    <w:rsid w:val="00D13DF0"/>
    <w:rsid w:val="00D15DEC"/>
    <w:rsid w:val="00D16A16"/>
    <w:rsid w:val="00D17234"/>
    <w:rsid w:val="00D219BC"/>
    <w:rsid w:val="00D21A48"/>
    <w:rsid w:val="00D223AD"/>
    <w:rsid w:val="00D2377F"/>
    <w:rsid w:val="00D246B7"/>
    <w:rsid w:val="00D24951"/>
    <w:rsid w:val="00D24995"/>
    <w:rsid w:val="00D310A0"/>
    <w:rsid w:val="00D331A0"/>
    <w:rsid w:val="00D36C0A"/>
    <w:rsid w:val="00D3736C"/>
    <w:rsid w:val="00D37D4D"/>
    <w:rsid w:val="00D4029A"/>
    <w:rsid w:val="00D41F55"/>
    <w:rsid w:val="00D435DE"/>
    <w:rsid w:val="00D46FFE"/>
    <w:rsid w:val="00D47DAB"/>
    <w:rsid w:val="00D5115F"/>
    <w:rsid w:val="00D516FB"/>
    <w:rsid w:val="00D51707"/>
    <w:rsid w:val="00D526EE"/>
    <w:rsid w:val="00D55AF3"/>
    <w:rsid w:val="00D60358"/>
    <w:rsid w:val="00D614DD"/>
    <w:rsid w:val="00D61D31"/>
    <w:rsid w:val="00D62477"/>
    <w:rsid w:val="00D63801"/>
    <w:rsid w:val="00D63ECD"/>
    <w:rsid w:val="00D65F4E"/>
    <w:rsid w:val="00D72948"/>
    <w:rsid w:val="00D766B8"/>
    <w:rsid w:val="00D776B9"/>
    <w:rsid w:val="00D805AB"/>
    <w:rsid w:val="00D8063B"/>
    <w:rsid w:val="00D823A8"/>
    <w:rsid w:val="00D840CC"/>
    <w:rsid w:val="00D86142"/>
    <w:rsid w:val="00D8667C"/>
    <w:rsid w:val="00D86AB9"/>
    <w:rsid w:val="00D87845"/>
    <w:rsid w:val="00D919B7"/>
    <w:rsid w:val="00D91EE9"/>
    <w:rsid w:val="00D9515C"/>
    <w:rsid w:val="00D97AA1"/>
    <w:rsid w:val="00DA1735"/>
    <w:rsid w:val="00DA2D31"/>
    <w:rsid w:val="00DA4912"/>
    <w:rsid w:val="00DA4FCD"/>
    <w:rsid w:val="00DA5337"/>
    <w:rsid w:val="00DA6B1D"/>
    <w:rsid w:val="00DA77D1"/>
    <w:rsid w:val="00DB0687"/>
    <w:rsid w:val="00DB09FF"/>
    <w:rsid w:val="00DB25E4"/>
    <w:rsid w:val="00DB2DD5"/>
    <w:rsid w:val="00DB44FF"/>
    <w:rsid w:val="00DB46AA"/>
    <w:rsid w:val="00DB5EE9"/>
    <w:rsid w:val="00DB6066"/>
    <w:rsid w:val="00DC0B49"/>
    <w:rsid w:val="00DC0D49"/>
    <w:rsid w:val="00DC10A5"/>
    <w:rsid w:val="00DC2B32"/>
    <w:rsid w:val="00DC2CB7"/>
    <w:rsid w:val="00DC3F09"/>
    <w:rsid w:val="00DC7657"/>
    <w:rsid w:val="00DC7FDC"/>
    <w:rsid w:val="00DD2D4D"/>
    <w:rsid w:val="00DD5780"/>
    <w:rsid w:val="00DD63E6"/>
    <w:rsid w:val="00DD71C9"/>
    <w:rsid w:val="00DE09FA"/>
    <w:rsid w:val="00DE1A6A"/>
    <w:rsid w:val="00DE24C9"/>
    <w:rsid w:val="00DE24E2"/>
    <w:rsid w:val="00DE3D91"/>
    <w:rsid w:val="00DE5C68"/>
    <w:rsid w:val="00DF20CE"/>
    <w:rsid w:val="00DF288F"/>
    <w:rsid w:val="00DF3CD1"/>
    <w:rsid w:val="00DF6C68"/>
    <w:rsid w:val="00E04463"/>
    <w:rsid w:val="00E07FA2"/>
    <w:rsid w:val="00E14A96"/>
    <w:rsid w:val="00E1674E"/>
    <w:rsid w:val="00E17AAD"/>
    <w:rsid w:val="00E202A7"/>
    <w:rsid w:val="00E21D04"/>
    <w:rsid w:val="00E25CDF"/>
    <w:rsid w:val="00E30D7D"/>
    <w:rsid w:val="00E31E7C"/>
    <w:rsid w:val="00E33317"/>
    <w:rsid w:val="00E33B11"/>
    <w:rsid w:val="00E34301"/>
    <w:rsid w:val="00E3440E"/>
    <w:rsid w:val="00E35A61"/>
    <w:rsid w:val="00E40037"/>
    <w:rsid w:val="00E40774"/>
    <w:rsid w:val="00E42284"/>
    <w:rsid w:val="00E43387"/>
    <w:rsid w:val="00E4394D"/>
    <w:rsid w:val="00E43987"/>
    <w:rsid w:val="00E442D4"/>
    <w:rsid w:val="00E442FD"/>
    <w:rsid w:val="00E45332"/>
    <w:rsid w:val="00E4564F"/>
    <w:rsid w:val="00E47CD3"/>
    <w:rsid w:val="00E51095"/>
    <w:rsid w:val="00E52BD9"/>
    <w:rsid w:val="00E52F53"/>
    <w:rsid w:val="00E53EBD"/>
    <w:rsid w:val="00E55804"/>
    <w:rsid w:val="00E560D7"/>
    <w:rsid w:val="00E606CA"/>
    <w:rsid w:val="00E61947"/>
    <w:rsid w:val="00E6237C"/>
    <w:rsid w:val="00E624BC"/>
    <w:rsid w:val="00E646CC"/>
    <w:rsid w:val="00E65BB4"/>
    <w:rsid w:val="00E66297"/>
    <w:rsid w:val="00E666CB"/>
    <w:rsid w:val="00E70306"/>
    <w:rsid w:val="00E70658"/>
    <w:rsid w:val="00E710B1"/>
    <w:rsid w:val="00E717E1"/>
    <w:rsid w:val="00E725BF"/>
    <w:rsid w:val="00E758A1"/>
    <w:rsid w:val="00E76754"/>
    <w:rsid w:val="00E80038"/>
    <w:rsid w:val="00E8372F"/>
    <w:rsid w:val="00E839AD"/>
    <w:rsid w:val="00E84231"/>
    <w:rsid w:val="00E86B19"/>
    <w:rsid w:val="00E90D20"/>
    <w:rsid w:val="00E90EC6"/>
    <w:rsid w:val="00E916BF"/>
    <w:rsid w:val="00E925E2"/>
    <w:rsid w:val="00E9273E"/>
    <w:rsid w:val="00E93140"/>
    <w:rsid w:val="00E97513"/>
    <w:rsid w:val="00EA042C"/>
    <w:rsid w:val="00EA19A4"/>
    <w:rsid w:val="00EA348F"/>
    <w:rsid w:val="00EA3C78"/>
    <w:rsid w:val="00EA4F2C"/>
    <w:rsid w:val="00EA7A49"/>
    <w:rsid w:val="00EA7D4F"/>
    <w:rsid w:val="00EB16F7"/>
    <w:rsid w:val="00EB1BFF"/>
    <w:rsid w:val="00EB207D"/>
    <w:rsid w:val="00EB2331"/>
    <w:rsid w:val="00EB406A"/>
    <w:rsid w:val="00EB62C7"/>
    <w:rsid w:val="00EB6EA6"/>
    <w:rsid w:val="00EB7722"/>
    <w:rsid w:val="00EC1997"/>
    <w:rsid w:val="00EC2954"/>
    <w:rsid w:val="00EC2EC5"/>
    <w:rsid w:val="00EC41AD"/>
    <w:rsid w:val="00EC4256"/>
    <w:rsid w:val="00EC4E15"/>
    <w:rsid w:val="00EC504C"/>
    <w:rsid w:val="00EC6914"/>
    <w:rsid w:val="00EC7D91"/>
    <w:rsid w:val="00ED04EC"/>
    <w:rsid w:val="00ED1A2D"/>
    <w:rsid w:val="00ED1C4D"/>
    <w:rsid w:val="00ED44F4"/>
    <w:rsid w:val="00ED51B7"/>
    <w:rsid w:val="00ED5BDE"/>
    <w:rsid w:val="00ED6EFE"/>
    <w:rsid w:val="00ED748E"/>
    <w:rsid w:val="00EE1095"/>
    <w:rsid w:val="00EE185B"/>
    <w:rsid w:val="00EE3D14"/>
    <w:rsid w:val="00EE493E"/>
    <w:rsid w:val="00EE5199"/>
    <w:rsid w:val="00EE63E0"/>
    <w:rsid w:val="00EF1016"/>
    <w:rsid w:val="00EF1594"/>
    <w:rsid w:val="00EF1E80"/>
    <w:rsid w:val="00EF27BC"/>
    <w:rsid w:val="00EF413C"/>
    <w:rsid w:val="00EF5E9A"/>
    <w:rsid w:val="00EF6825"/>
    <w:rsid w:val="00F01320"/>
    <w:rsid w:val="00F01DAB"/>
    <w:rsid w:val="00F02A9A"/>
    <w:rsid w:val="00F02C05"/>
    <w:rsid w:val="00F0704C"/>
    <w:rsid w:val="00F103C6"/>
    <w:rsid w:val="00F1074B"/>
    <w:rsid w:val="00F13843"/>
    <w:rsid w:val="00F13D9E"/>
    <w:rsid w:val="00F149F9"/>
    <w:rsid w:val="00F2087D"/>
    <w:rsid w:val="00F20B8F"/>
    <w:rsid w:val="00F21C5F"/>
    <w:rsid w:val="00F21E7D"/>
    <w:rsid w:val="00F30EAD"/>
    <w:rsid w:val="00F316E6"/>
    <w:rsid w:val="00F33EA3"/>
    <w:rsid w:val="00F34E68"/>
    <w:rsid w:val="00F37411"/>
    <w:rsid w:val="00F37C86"/>
    <w:rsid w:val="00F37DC4"/>
    <w:rsid w:val="00F40510"/>
    <w:rsid w:val="00F412E7"/>
    <w:rsid w:val="00F41B69"/>
    <w:rsid w:val="00F41D4B"/>
    <w:rsid w:val="00F41E7A"/>
    <w:rsid w:val="00F43115"/>
    <w:rsid w:val="00F4316F"/>
    <w:rsid w:val="00F43D23"/>
    <w:rsid w:val="00F452FD"/>
    <w:rsid w:val="00F477A3"/>
    <w:rsid w:val="00F50E3E"/>
    <w:rsid w:val="00F511BC"/>
    <w:rsid w:val="00F51D39"/>
    <w:rsid w:val="00F51FA1"/>
    <w:rsid w:val="00F557CD"/>
    <w:rsid w:val="00F611EA"/>
    <w:rsid w:val="00F61E71"/>
    <w:rsid w:val="00F61E72"/>
    <w:rsid w:val="00F62F8D"/>
    <w:rsid w:val="00F6323A"/>
    <w:rsid w:val="00F65A40"/>
    <w:rsid w:val="00F6767B"/>
    <w:rsid w:val="00F70BFE"/>
    <w:rsid w:val="00F714E2"/>
    <w:rsid w:val="00F71502"/>
    <w:rsid w:val="00F71855"/>
    <w:rsid w:val="00F71FE9"/>
    <w:rsid w:val="00F7213C"/>
    <w:rsid w:val="00F7296C"/>
    <w:rsid w:val="00F73417"/>
    <w:rsid w:val="00F73B15"/>
    <w:rsid w:val="00F73F48"/>
    <w:rsid w:val="00F744F1"/>
    <w:rsid w:val="00F74913"/>
    <w:rsid w:val="00F74FBE"/>
    <w:rsid w:val="00F76D85"/>
    <w:rsid w:val="00F77172"/>
    <w:rsid w:val="00F77937"/>
    <w:rsid w:val="00F8011A"/>
    <w:rsid w:val="00F83B3B"/>
    <w:rsid w:val="00F85631"/>
    <w:rsid w:val="00F85A66"/>
    <w:rsid w:val="00F929CA"/>
    <w:rsid w:val="00F932F7"/>
    <w:rsid w:val="00F93B11"/>
    <w:rsid w:val="00F95705"/>
    <w:rsid w:val="00F9645F"/>
    <w:rsid w:val="00F96C49"/>
    <w:rsid w:val="00F96DFB"/>
    <w:rsid w:val="00FA073C"/>
    <w:rsid w:val="00FA0EF4"/>
    <w:rsid w:val="00FA3740"/>
    <w:rsid w:val="00FA49DA"/>
    <w:rsid w:val="00FA6F56"/>
    <w:rsid w:val="00FA6FEA"/>
    <w:rsid w:val="00FA7180"/>
    <w:rsid w:val="00FB20E5"/>
    <w:rsid w:val="00FB259C"/>
    <w:rsid w:val="00FB27BF"/>
    <w:rsid w:val="00FB2ABC"/>
    <w:rsid w:val="00FB5D57"/>
    <w:rsid w:val="00FC169D"/>
    <w:rsid w:val="00FC1CEB"/>
    <w:rsid w:val="00FC1FCE"/>
    <w:rsid w:val="00FC255A"/>
    <w:rsid w:val="00FC4739"/>
    <w:rsid w:val="00FC4E70"/>
    <w:rsid w:val="00FC5E1B"/>
    <w:rsid w:val="00FD10AB"/>
    <w:rsid w:val="00FD30D5"/>
    <w:rsid w:val="00FD397F"/>
    <w:rsid w:val="00FD45A9"/>
    <w:rsid w:val="00FD4B4C"/>
    <w:rsid w:val="00FD5769"/>
    <w:rsid w:val="00FD58D9"/>
    <w:rsid w:val="00FD5E11"/>
    <w:rsid w:val="00FD6844"/>
    <w:rsid w:val="00FE2016"/>
    <w:rsid w:val="00FE2BCC"/>
    <w:rsid w:val="00FE3007"/>
    <w:rsid w:val="00FE3206"/>
    <w:rsid w:val="00FE3E10"/>
    <w:rsid w:val="00FE3E48"/>
    <w:rsid w:val="00FE4BD6"/>
    <w:rsid w:val="00FE72C6"/>
    <w:rsid w:val="00FE7721"/>
    <w:rsid w:val="00FE7819"/>
    <w:rsid w:val="00FE7D9F"/>
    <w:rsid w:val="00FF2160"/>
    <w:rsid w:val="00FF277C"/>
    <w:rsid w:val="00FF3A4F"/>
    <w:rsid w:val="01267A55"/>
    <w:rsid w:val="0143C08A"/>
    <w:rsid w:val="0173976B"/>
    <w:rsid w:val="0205DC28"/>
    <w:rsid w:val="022AA879"/>
    <w:rsid w:val="023C9283"/>
    <w:rsid w:val="0256B56D"/>
    <w:rsid w:val="025FDDE1"/>
    <w:rsid w:val="0294EF58"/>
    <w:rsid w:val="029CC309"/>
    <w:rsid w:val="02BD8EE9"/>
    <w:rsid w:val="02E6A8F7"/>
    <w:rsid w:val="02FB98B2"/>
    <w:rsid w:val="030E54D5"/>
    <w:rsid w:val="034D07E4"/>
    <w:rsid w:val="035215D2"/>
    <w:rsid w:val="038E1869"/>
    <w:rsid w:val="03ACF57B"/>
    <w:rsid w:val="03CB7E2B"/>
    <w:rsid w:val="03D17278"/>
    <w:rsid w:val="03EDAA77"/>
    <w:rsid w:val="03F17795"/>
    <w:rsid w:val="03FAE574"/>
    <w:rsid w:val="0410D8D3"/>
    <w:rsid w:val="0414F6C3"/>
    <w:rsid w:val="04261559"/>
    <w:rsid w:val="042D5236"/>
    <w:rsid w:val="0486CA41"/>
    <w:rsid w:val="048A9B97"/>
    <w:rsid w:val="04C087BB"/>
    <w:rsid w:val="04F07CA5"/>
    <w:rsid w:val="052A9723"/>
    <w:rsid w:val="054C8800"/>
    <w:rsid w:val="058FE391"/>
    <w:rsid w:val="05B7A263"/>
    <w:rsid w:val="05E4A20E"/>
    <w:rsid w:val="05F4BE10"/>
    <w:rsid w:val="060C9973"/>
    <w:rsid w:val="061731AD"/>
    <w:rsid w:val="062C1AC4"/>
    <w:rsid w:val="065189E7"/>
    <w:rsid w:val="066CB9ED"/>
    <w:rsid w:val="0678D812"/>
    <w:rsid w:val="068C9441"/>
    <w:rsid w:val="069646AB"/>
    <w:rsid w:val="06E8707A"/>
    <w:rsid w:val="06EA8E08"/>
    <w:rsid w:val="07000D38"/>
    <w:rsid w:val="07380E82"/>
    <w:rsid w:val="07511D47"/>
    <w:rsid w:val="0781F817"/>
    <w:rsid w:val="07C6EF06"/>
    <w:rsid w:val="08413A31"/>
    <w:rsid w:val="0891404C"/>
    <w:rsid w:val="08923B41"/>
    <w:rsid w:val="08D93630"/>
    <w:rsid w:val="08DB2948"/>
    <w:rsid w:val="08DFAC13"/>
    <w:rsid w:val="09415992"/>
    <w:rsid w:val="097F13C6"/>
    <w:rsid w:val="09902190"/>
    <w:rsid w:val="0A021601"/>
    <w:rsid w:val="0A255FE3"/>
    <w:rsid w:val="0A3613D0"/>
    <w:rsid w:val="0A528853"/>
    <w:rsid w:val="0AC3F053"/>
    <w:rsid w:val="0AE21948"/>
    <w:rsid w:val="0B34C5B4"/>
    <w:rsid w:val="0B4482D6"/>
    <w:rsid w:val="0B5447BA"/>
    <w:rsid w:val="0B724E2F"/>
    <w:rsid w:val="0B84E63E"/>
    <w:rsid w:val="0BDE0212"/>
    <w:rsid w:val="0BEE58B4"/>
    <w:rsid w:val="0C2B27AE"/>
    <w:rsid w:val="0C3993D4"/>
    <w:rsid w:val="0C3F2228"/>
    <w:rsid w:val="0C3F4BAE"/>
    <w:rsid w:val="0C4288C5"/>
    <w:rsid w:val="0C92D845"/>
    <w:rsid w:val="0C9B058D"/>
    <w:rsid w:val="0CC0C103"/>
    <w:rsid w:val="0D0162F0"/>
    <w:rsid w:val="0D10AAB8"/>
    <w:rsid w:val="0D40A72F"/>
    <w:rsid w:val="0D4A2D6E"/>
    <w:rsid w:val="0D4ECEF1"/>
    <w:rsid w:val="0D66A46B"/>
    <w:rsid w:val="0D6BB38F"/>
    <w:rsid w:val="0D859E1E"/>
    <w:rsid w:val="0DC5F97C"/>
    <w:rsid w:val="0E04AA19"/>
    <w:rsid w:val="0E2FB1D4"/>
    <w:rsid w:val="0E491C91"/>
    <w:rsid w:val="0E65A7E0"/>
    <w:rsid w:val="0E98C605"/>
    <w:rsid w:val="0EA31070"/>
    <w:rsid w:val="0ECDFF40"/>
    <w:rsid w:val="0ED290C6"/>
    <w:rsid w:val="0EE0E10B"/>
    <w:rsid w:val="0EE56833"/>
    <w:rsid w:val="0EED8091"/>
    <w:rsid w:val="0F052F72"/>
    <w:rsid w:val="0F18A2C9"/>
    <w:rsid w:val="0F55510C"/>
    <w:rsid w:val="0FC7C400"/>
    <w:rsid w:val="0FCEEA40"/>
    <w:rsid w:val="0FDBC0ED"/>
    <w:rsid w:val="0FE808C9"/>
    <w:rsid w:val="0FF69568"/>
    <w:rsid w:val="0FF7927D"/>
    <w:rsid w:val="0FF861C5"/>
    <w:rsid w:val="10352479"/>
    <w:rsid w:val="103C29C4"/>
    <w:rsid w:val="106C7CD0"/>
    <w:rsid w:val="10C8B83B"/>
    <w:rsid w:val="10ED23E5"/>
    <w:rsid w:val="10F268CD"/>
    <w:rsid w:val="10F4DAD4"/>
    <w:rsid w:val="11047DCD"/>
    <w:rsid w:val="110A623A"/>
    <w:rsid w:val="1127397A"/>
    <w:rsid w:val="1129C2D4"/>
    <w:rsid w:val="1177914E"/>
    <w:rsid w:val="117B1AAC"/>
    <w:rsid w:val="11943226"/>
    <w:rsid w:val="11A40738"/>
    <w:rsid w:val="1224E321"/>
    <w:rsid w:val="123A72D6"/>
    <w:rsid w:val="126F9B8C"/>
    <w:rsid w:val="12A15825"/>
    <w:rsid w:val="12A54376"/>
    <w:rsid w:val="12BF0C91"/>
    <w:rsid w:val="12E2FD1F"/>
    <w:rsid w:val="1354F190"/>
    <w:rsid w:val="1375B323"/>
    <w:rsid w:val="13846E28"/>
    <w:rsid w:val="13B8275C"/>
    <w:rsid w:val="13EE3DD4"/>
    <w:rsid w:val="13F8741A"/>
    <w:rsid w:val="14609971"/>
    <w:rsid w:val="147BA020"/>
    <w:rsid w:val="149D59E2"/>
    <w:rsid w:val="14F09C7C"/>
    <w:rsid w:val="14FF2EE0"/>
    <w:rsid w:val="1501438F"/>
    <w:rsid w:val="150446BB"/>
    <w:rsid w:val="150BB13A"/>
    <w:rsid w:val="155D6F06"/>
    <w:rsid w:val="1563EF74"/>
    <w:rsid w:val="1570844E"/>
    <w:rsid w:val="1572FA11"/>
    <w:rsid w:val="15BF307C"/>
    <w:rsid w:val="15FE4DA9"/>
    <w:rsid w:val="1604452B"/>
    <w:rsid w:val="1627829A"/>
    <w:rsid w:val="164703EB"/>
    <w:rsid w:val="16959170"/>
    <w:rsid w:val="16EFC81E"/>
    <w:rsid w:val="16F93F67"/>
    <w:rsid w:val="172AECCD"/>
    <w:rsid w:val="174DBE3B"/>
    <w:rsid w:val="179F43EC"/>
    <w:rsid w:val="17F38C38"/>
    <w:rsid w:val="1811C033"/>
    <w:rsid w:val="1814BF64"/>
    <w:rsid w:val="1814D5D8"/>
    <w:rsid w:val="181CD718"/>
    <w:rsid w:val="181DB103"/>
    <w:rsid w:val="1850CC3D"/>
    <w:rsid w:val="1892CF40"/>
    <w:rsid w:val="18DABFF4"/>
    <w:rsid w:val="19244502"/>
    <w:rsid w:val="193F68F1"/>
    <w:rsid w:val="1952F751"/>
    <w:rsid w:val="199CD160"/>
    <w:rsid w:val="19B0A639"/>
    <w:rsid w:val="19C09BDC"/>
    <w:rsid w:val="19CA8C08"/>
    <w:rsid w:val="1A122DAD"/>
    <w:rsid w:val="1A4B72B9"/>
    <w:rsid w:val="1A5259B8"/>
    <w:rsid w:val="1A58557B"/>
    <w:rsid w:val="1A5C01CA"/>
    <w:rsid w:val="1A6CA624"/>
    <w:rsid w:val="1A981C23"/>
    <w:rsid w:val="1AD10449"/>
    <w:rsid w:val="1B5645EA"/>
    <w:rsid w:val="1BC83A5B"/>
    <w:rsid w:val="1BFE0F55"/>
    <w:rsid w:val="1C2FDE97"/>
    <w:rsid w:val="1C8944BE"/>
    <w:rsid w:val="1C9B063A"/>
    <w:rsid w:val="1CA7CD1F"/>
    <w:rsid w:val="1D3942E1"/>
    <w:rsid w:val="1D76D861"/>
    <w:rsid w:val="1D773191"/>
    <w:rsid w:val="1D88D842"/>
    <w:rsid w:val="1DAC9187"/>
    <w:rsid w:val="1DE40ACC"/>
    <w:rsid w:val="1E0FAF92"/>
    <w:rsid w:val="1E2E2868"/>
    <w:rsid w:val="1E3CAD14"/>
    <w:rsid w:val="1E8381DC"/>
    <w:rsid w:val="1E8F2034"/>
    <w:rsid w:val="1E9DE82C"/>
    <w:rsid w:val="1EA833E2"/>
    <w:rsid w:val="1EED74B5"/>
    <w:rsid w:val="1F35F166"/>
    <w:rsid w:val="1F505953"/>
    <w:rsid w:val="1F8B6BB7"/>
    <w:rsid w:val="1F923B4A"/>
    <w:rsid w:val="1F99DF7A"/>
    <w:rsid w:val="1FC6DCFC"/>
    <w:rsid w:val="1FC9F8C9"/>
    <w:rsid w:val="202B553C"/>
    <w:rsid w:val="2031E32E"/>
    <w:rsid w:val="2038D16D"/>
    <w:rsid w:val="20EECD2B"/>
    <w:rsid w:val="211BBE30"/>
    <w:rsid w:val="21454139"/>
    <w:rsid w:val="21708C7C"/>
    <w:rsid w:val="2173B65E"/>
    <w:rsid w:val="217FFB0F"/>
    <w:rsid w:val="218CA962"/>
    <w:rsid w:val="21B4D90B"/>
    <w:rsid w:val="21B57124"/>
    <w:rsid w:val="21E8B6D3"/>
    <w:rsid w:val="22667C37"/>
    <w:rsid w:val="227F66E6"/>
    <w:rsid w:val="2294F869"/>
    <w:rsid w:val="229C962F"/>
    <w:rsid w:val="22D571B3"/>
    <w:rsid w:val="238F5C08"/>
    <w:rsid w:val="23A8C015"/>
    <w:rsid w:val="2417ABB7"/>
    <w:rsid w:val="245CBE71"/>
    <w:rsid w:val="246A296F"/>
    <w:rsid w:val="247113A9"/>
    <w:rsid w:val="24A8F90E"/>
    <w:rsid w:val="24C5AD72"/>
    <w:rsid w:val="24F73E7B"/>
    <w:rsid w:val="252B44E3"/>
    <w:rsid w:val="2542D2CE"/>
    <w:rsid w:val="25584153"/>
    <w:rsid w:val="25E1D3FD"/>
    <w:rsid w:val="25ED5746"/>
    <w:rsid w:val="26025707"/>
    <w:rsid w:val="2627FDA7"/>
    <w:rsid w:val="2663A0BF"/>
    <w:rsid w:val="26D89D43"/>
    <w:rsid w:val="27096403"/>
    <w:rsid w:val="274309D0"/>
    <w:rsid w:val="27485959"/>
    <w:rsid w:val="2785B5BE"/>
    <w:rsid w:val="279F8F06"/>
    <w:rsid w:val="27A093FD"/>
    <w:rsid w:val="28164E58"/>
    <w:rsid w:val="2848353B"/>
    <w:rsid w:val="28554599"/>
    <w:rsid w:val="28888924"/>
    <w:rsid w:val="288AFF1E"/>
    <w:rsid w:val="29263399"/>
    <w:rsid w:val="29395B12"/>
    <w:rsid w:val="293F2E29"/>
    <w:rsid w:val="294983E9"/>
    <w:rsid w:val="297E30CB"/>
    <w:rsid w:val="29919036"/>
    <w:rsid w:val="2A13FCAB"/>
    <w:rsid w:val="2A17805D"/>
    <w:rsid w:val="2A2B150F"/>
    <w:rsid w:val="2A2B6721"/>
    <w:rsid w:val="2A6E7945"/>
    <w:rsid w:val="2AC36917"/>
    <w:rsid w:val="2AC691ED"/>
    <w:rsid w:val="2AD88975"/>
    <w:rsid w:val="2ADF34F3"/>
    <w:rsid w:val="2B0CC5BB"/>
    <w:rsid w:val="2B725FC2"/>
    <w:rsid w:val="2BB8B38C"/>
    <w:rsid w:val="2BD77851"/>
    <w:rsid w:val="2C0A49A6"/>
    <w:rsid w:val="2C2D0974"/>
    <w:rsid w:val="2C4535D8"/>
    <w:rsid w:val="2C4F2A7E"/>
    <w:rsid w:val="2C66A026"/>
    <w:rsid w:val="2C6C8AEC"/>
    <w:rsid w:val="2C79B3CA"/>
    <w:rsid w:val="2C9F8FB7"/>
    <w:rsid w:val="2CE23797"/>
    <w:rsid w:val="2D7AACAF"/>
    <w:rsid w:val="2D7B353D"/>
    <w:rsid w:val="2D895CBB"/>
    <w:rsid w:val="2D95536C"/>
    <w:rsid w:val="2DBE4FE2"/>
    <w:rsid w:val="2E2FA729"/>
    <w:rsid w:val="2E342F4F"/>
    <w:rsid w:val="2E3F17AD"/>
    <w:rsid w:val="2E9C8D2A"/>
    <w:rsid w:val="2EF335C8"/>
    <w:rsid w:val="2F2E02EC"/>
    <w:rsid w:val="2F63738E"/>
    <w:rsid w:val="2F9AAB99"/>
    <w:rsid w:val="2FB32A72"/>
    <w:rsid w:val="2FB7109F"/>
    <w:rsid w:val="2FD449F2"/>
    <w:rsid w:val="2FDEE2F7"/>
    <w:rsid w:val="2FE4703D"/>
    <w:rsid w:val="2FE68AD3"/>
    <w:rsid w:val="2FFDB45B"/>
    <w:rsid w:val="3005D681"/>
    <w:rsid w:val="302CDBA0"/>
    <w:rsid w:val="3050EE70"/>
    <w:rsid w:val="3062C0BF"/>
    <w:rsid w:val="30B8306F"/>
    <w:rsid w:val="30D7B425"/>
    <w:rsid w:val="311C9490"/>
    <w:rsid w:val="3124C56C"/>
    <w:rsid w:val="31329FE7"/>
    <w:rsid w:val="316003D4"/>
    <w:rsid w:val="31893A4A"/>
    <w:rsid w:val="32231B4F"/>
    <w:rsid w:val="32783F4B"/>
    <w:rsid w:val="3282FF56"/>
    <w:rsid w:val="3290E9FD"/>
    <w:rsid w:val="32ABFE67"/>
    <w:rsid w:val="3303FE29"/>
    <w:rsid w:val="33686730"/>
    <w:rsid w:val="33755EF9"/>
    <w:rsid w:val="337B1BF1"/>
    <w:rsid w:val="338F35BF"/>
    <w:rsid w:val="33DA6ADA"/>
    <w:rsid w:val="33ED9DEF"/>
    <w:rsid w:val="341E5994"/>
    <w:rsid w:val="342CB196"/>
    <w:rsid w:val="3433BD84"/>
    <w:rsid w:val="346A40A9"/>
    <w:rsid w:val="348B5BCC"/>
    <w:rsid w:val="34B26127"/>
    <w:rsid w:val="34B99DD5"/>
    <w:rsid w:val="352AA7A4"/>
    <w:rsid w:val="35312E6A"/>
    <w:rsid w:val="3551996C"/>
    <w:rsid w:val="35534AF1"/>
    <w:rsid w:val="355899BB"/>
    <w:rsid w:val="356638C5"/>
    <w:rsid w:val="357E27C6"/>
    <w:rsid w:val="35812072"/>
    <w:rsid w:val="3606110A"/>
    <w:rsid w:val="362FCFE5"/>
    <w:rsid w:val="36443A01"/>
    <w:rsid w:val="365CEB1A"/>
    <w:rsid w:val="367A2B4B"/>
    <w:rsid w:val="36872F9D"/>
    <w:rsid w:val="368BC682"/>
    <w:rsid w:val="36AE68AE"/>
    <w:rsid w:val="374E9CDA"/>
    <w:rsid w:val="375E2DC2"/>
    <w:rsid w:val="37A1E16B"/>
    <w:rsid w:val="37B65459"/>
    <w:rsid w:val="380EEA0A"/>
    <w:rsid w:val="381671EE"/>
    <w:rsid w:val="38187F19"/>
    <w:rsid w:val="381A027B"/>
    <w:rsid w:val="38225D2A"/>
    <w:rsid w:val="3856DB48"/>
    <w:rsid w:val="385A96ED"/>
    <w:rsid w:val="387BAB72"/>
    <w:rsid w:val="38A65419"/>
    <w:rsid w:val="38AD8179"/>
    <w:rsid w:val="38BC7E02"/>
    <w:rsid w:val="38D0035E"/>
    <w:rsid w:val="38EFD1E1"/>
    <w:rsid w:val="3969FEFC"/>
    <w:rsid w:val="398F5E6F"/>
    <w:rsid w:val="39B7ACBF"/>
    <w:rsid w:val="39C36744"/>
    <w:rsid w:val="39C55907"/>
    <w:rsid w:val="39ECA9AF"/>
    <w:rsid w:val="3A2169A1"/>
    <w:rsid w:val="3A596390"/>
    <w:rsid w:val="3A841055"/>
    <w:rsid w:val="3AAEA986"/>
    <w:rsid w:val="3ABB64E9"/>
    <w:rsid w:val="3ACCB0D9"/>
    <w:rsid w:val="3AE4FAB3"/>
    <w:rsid w:val="3B944ED3"/>
    <w:rsid w:val="3BC7DB3F"/>
    <w:rsid w:val="3BD7B6A2"/>
    <w:rsid w:val="3BE2FDD4"/>
    <w:rsid w:val="3BFC8C73"/>
    <w:rsid w:val="3BFD69D0"/>
    <w:rsid w:val="3C0DCE52"/>
    <w:rsid w:val="3C67C561"/>
    <w:rsid w:val="3C765B09"/>
    <w:rsid w:val="3C94C2E3"/>
    <w:rsid w:val="3CE1DFA9"/>
    <w:rsid w:val="3D43D497"/>
    <w:rsid w:val="3D4E9D47"/>
    <w:rsid w:val="3D4F1C95"/>
    <w:rsid w:val="3D8E9680"/>
    <w:rsid w:val="3DB59FB5"/>
    <w:rsid w:val="3DC6F7A2"/>
    <w:rsid w:val="3DF7A8AB"/>
    <w:rsid w:val="3E324433"/>
    <w:rsid w:val="3E9DDEB5"/>
    <w:rsid w:val="3EB18204"/>
    <w:rsid w:val="3EB46A0B"/>
    <w:rsid w:val="3F19B2A7"/>
    <w:rsid w:val="3F350A92"/>
    <w:rsid w:val="3F586CFB"/>
    <w:rsid w:val="3F6C10E0"/>
    <w:rsid w:val="3FE89C39"/>
    <w:rsid w:val="3FF3C917"/>
    <w:rsid w:val="40328BD9"/>
    <w:rsid w:val="405C8EC7"/>
    <w:rsid w:val="406D5A4B"/>
    <w:rsid w:val="40749023"/>
    <w:rsid w:val="40B8566A"/>
    <w:rsid w:val="40CDF921"/>
    <w:rsid w:val="4149A1FB"/>
    <w:rsid w:val="4155E504"/>
    <w:rsid w:val="4161C599"/>
    <w:rsid w:val="41966468"/>
    <w:rsid w:val="42262D2A"/>
    <w:rsid w:val="42A4B3C8"/>
    <w:rsid w:val="42A913BF"/>
    <w:rsid w:val="42C67FE3"/>
    <w:rsid w:val="434566A8"/>
    <w:rsid w:val="435A4DBD"/>
    <w:rsid w:val="437AA02C"/>
    <w:rsid w:val="43A51698"/>
    <w:rsid w:val="43A6EC19"/>
    <w:rsid w:val="44034730"/>
    <w:rsid w:val="44306451"/>
    <w:rsid w:val="443DED39"/>
    <w:rsid w:val="44615425"/>
    <w:rsid w:val="448094D0"/>
    <w:rsid w:val="44A64B14"/>
    <w:rsid w:val="44F2F39C"/>
    <w:rsid w:val="45028A90"/>
    <w:rsid w:val="4504B8C6"/>
    <w:rsid w:val="45241D87"/>
    <w:rsid w:val="45377823"/>
    <w:rsid w:val="45574227"/>
    <w:rsid w:val="45C7852A"/>
    <w:rsid w:val="45F33944"/>
    <w:rsid w:val="461AFB4A"/>
    <w:rsid w:val="4633BF19"/>
    <w:rsid w:val="46484293"/>
    <w:rsid w:val="466B5898"/>
    <w:rsid w:val="46830705"/>
    <w:rsid w:val="4690AF75"/>
    <w:rsid w:val="471A4D93"/>
    <w:rsid w:val="472EE6CF"/>
    <w:rsid w:val="4794C34A"/>
    <w:rsid w:val="479F7DF4"/>
    <w:rsid w:val="47BD7F52"/>
    <w:rsid w:val="47BF66A4"/>
    <w:rsid w:val="47DEDDFA"/>
    <w:rsid w:val="47F2E608"/>
    <w:rsid w:val="48249250"/>
    <w:rsid w:val="482A80F4"/>
    <w:rsid w:val="4849C21E"/>
    <w:rsid w:val="48F3F5F5"/>
    <w:rsid w:val="48FFADD9"/>
    <w:rsid w:val="4907C7C6"/>
    <w:rsid w:val="4917FB1D"/>
    <w:rsid w:val="49BEB326"/>
    <w:rsid w:val="49E6C86C"/>
    <w:rsid w:val="49F068A3"/>
    <w:rsid w:val="4A232B66"/>
    <w:rsid w:val="4A716901"/>
    <w:rsid w:val="4AA0C06B"/>
    <w:rsid w:val="4AB133DC"/>
    <w:rsid w:val="4AC21D59"/>
    <w:rsid w:val="4AD6EE9D"/>
    <w:rsid w:val="4ADC2992"/>
    <w:rsid w:val="4B04A086"/>
    <w:rsid w:val="4B2B4E9D"/>
    <w:rsid w:val="4B42EEC1"/>
    <w:rsid w:val="4B627366"/>
    <w:rsid w:val="4BA51F95"/>
    <w:rsid w:val="4C504E1A"/>
    <w:rsid w:val="4C6B4AAF"/>
    <w:rsid w:val="4C7E9400"/>
    <w:rsid w:val="4C9B8869"/>
    <w:rsid w:val="4CA71E38"/>
    <w:rsid w:val="4CB0C581"/>
    <w:rsid w:val="4CBB9FC7"/>
    <w:rsid w:val="4CD046D2"/>
    <w:rsid w:val="4CD45381"/>
    <w:rsid w:val="4CD9165C"/>
    <w:rsid w:val="4CFFF0F9"/>
    <w:rsid w:val="4D02A6CD"/>
    <w:rsid w:val="4D08EF85"/>
    <w:rsid w:val="4D67B0E1"/>
    <w:rsid w:val="4D748D0A"/>
    <w:rsid w:val="4DD17D66"/>
    <w:rsid w:val="4E8319F0"/>
    <w:rsid w:val="4E931C62"/>
    <w:rsid w:val="4EA95387"/>
    <w:rsid w:val="4ECAFA4B"/>
    <w:rsid w:val="4ED601C1"/>
    <w:rsid w:val="4F402035"/>
    <w:rsid w:val="4F4187C5"/>
    <w:rsid w:val="4F658D04"/>
    <w:rsid w:val="4FB5DBE7"/>
    <w:rsid w:val="4FB996F8"/>
    <w:rsid w:val="4FD2EBEC"/>
    <w:rsid w:val="4FDC4556"/>
    <w:rsid w:val="5008F178"/>
    <w:rsid w:val="50256A57"/>
    <w:rsid w:val="5065B025"/>
    <w:rsid w:val="506D0E03"/>
    <w:rsid w:val="508377AD"/>
    <w:rsid w:val="50F122B3"/>
    <w:rsid w:val="51573922"/>
    <w:rsid w:val="516EBC4D"/>
    <w:rsid w:val="51706084"/>
    <w:rsid w:val="517ACED1"/>
    <w:rsid w:val="517C56FE"/>
    <w:rsid w:val="51AAF726"/>
    <w:rsid w:val="51CA9061"/>
    <w:rsid w:val="51F0D853"/>
    <w:rsid w:val="52333FA6"/>
    <w:rsid w:val="528D9524"/>
    <w:rsid w:val="529D031E"/>
    <w:rsid w:val="52A70755"/>
    <w:rsid w:val="52F32731"/>
    <w:rsid w:val="52FB18E4"/>
    <w:rsid w:val="53054079"/>
    <w:rsid w:val="531C15D7"/>
    <w:rsid w:val="536401D5"/>
    <w:rsid w:val="53747C2A"/>
    <w:rsid w:val="53960425"/>
    <w:rsid w:val="5398546A"/>
    <w:rsid w:val="53C2EEFC"/>
    <w:rsid w:val="53C87A15"/>
    <w:rsid w:val="540A48DB"/>
    <w:rsid w:val="543A6E86"/>
    <w:rsid w:val="5444AF1C"/>
    <w:rsid w:val="546669DE"/>
    <w:rsid w:val="54743047"/>
    <w:rsid w:val="54A8D627"/>
    <w:rsid w:val="54B219DB"/>
    <w:rsid w:val="55455D47"/>
    <w:rsid w:val="55558973"/>
    <w:rsid w:val="557DA77A"/>
    <w:rsid w:val="5596BA46"/>
    <w:rsid w:val="55AFB0E6"/>
    <w:rsid w:val="55CDD936"/>
    <w:rsid w:val="55F26491"/>
    <w:rsid w:val="56302D17"/>
    <w:rsid w:val="564BEB6D"/>
    <w:rsid w:val="56561430"/>
    <w:rsid w:val="5673F752"/>
    <w:rsid w:val="568531A6"/>
    <w:rsid w:val="57070B43"/>
    <w:rsid w:val="571BE298"/>
    <w:rsid w:val="574C0232"/>
    <w:rsid w:val="575598C8"/>
    <w:rsid w:val="57A03A0A"/>
    <w:rsid w:val="57A96036"/>
    <w:rsid w:val="57B0B957"/>
    <w:rsid w:val="57D4B0B6"/>
    <w:rsid w:val="57DD77F4"/>
    <w:rsid w:val="582985C4"/>
    <w:rsid w:val="589075CB"/>
    <w:rsid w:val="58C1A5C5"/>
    <w:rsid w:val="591C196B"/>
    <w:rsid w:val="59956A25"/>
    <w:rsid w:val="59D2C8F7"/>
    <w:rsid w:val="59EFF78B"/>
    <w:rsid w:val="5A0ADE1E"/>
    <w:rsid w:val="5A192D03"/>
    <w:rsid w:val="5A1D30CE"/>
    <w:rsid w:val="5A56700B"/>
    <w:rsid w:val="5A60F445"/>
    <w:rsid w:val="5AC4606C"/>
    <w:rsid w:val="5ACFB648"/>
    <w:rsid w:val="5AE8E482"/>
    <w:rsid w:val="5AED17EF"/>
    <w:rsid w:val="5B5A5EA4"/>
    <w:rsid w:val="5B5BA5C7"/>
    <w:rsid w:val="5B5DC901"/>
    <w:rsid w:val="5B7A4462"/>
    <w:rsid w:val="5B828FB7"/>
    <w:rsid w:val="5BCF132B"/>
    <w:rsid w:val="5BD2F482"/>
    <w:rsid w:val="5BD779B8"/>
    <w:rsid w:val="5BF5A167"/>
    <w:rsid w:val="5BFB3B14"/>
    <w:rsid w:val="5C12BAF0"/>
    <w:rsid w:val="5C436797"/>
    <w:rsid w:val="5C7029B2"/>
    <w:rsid w:val="5CEC045F"/>
    <w:rsid w:val="5CFBD453"/>
    <w:rsid w:val="5D05D795"/>
    <w:rsid w:val="5D1AE4A4"/>
    <w:rsid w:val="5D4A7060"/>
    <w:rsid w:val="5D5EF7E1"/>
    <w:rsid w:val="5D604B71"/>
    <w:rsid w:val="5D84223E"/>
    <w:rsid w:val="5DF79F0F"/>
    <w:rsid w:val="5E321ADA"/>
    <w:rsid w:val="5E98EF52"/>
    <w:rsid w:val="5E9A431D"/>
    <w:rsid w:val="5EE3435C"/>
    <w:rsid w:val="5EFF1BE9"/>
    <w:rsid w:val="5F377478"/>
    <w:rsid w:val="5F4FA116"/>
    <w:rsid w:val="5FCD5EBD"/>
    <w:rsid w:val="5FE364FA"/>
    <w:rsid w:val="5FEDE6AE"/>
    <w:rsid w:val="607F5C70"/>
    <w:rsid w:val="60928F85"/>
    <w:rsid w:val="60AC59F2"/>
    <w:rsid w:val="60EA431D"/>
    <w:rsid w:val="60EBECCA"/>
    <w:rsid w:val="6110D232"/>
    <w:rsid w:val="61298232"/>
    <w:rsid w:val="614CACAB"/>
    <w:rsid w:val="6168FC36"/>
    <w:rsid w:val="616AE1B9"/>
    <w:rsid w:val="61AA1C12"/>
    <w:rsid w:val="61C49569"/>
    <w:rsid w:val="61E985E6"/>
    <w:rsid w:val="622E8E76"/>
    <w:rsid w:val="6244EB6B"/>
    <w:rsid w:val="6247E4CD"/>
    <w:rsid w:val="62859E8E"/>
    <w:rsid w:val="62AA44E0"/>
    <w:rsid w:val="62EDF4DA"/>
    <w:rsid w:val="6307F2FC"/>
    <w:rsid w:val="6312AD6F"/>
    <w:rsid w:val="6330B19D"/>
    <w:rsid w:val="634BF92D"/>
    <w:rsid w:val="63796D78"/>
    <w:rsid w:val="637B7B04"/>
    <w:rsid w:val="63C06944"/>
    <w:rsid w:val="63C25432"/>
    <w:rsid w:val="63E88B18"/>
    <w:rsid w:val="64147EE5"/>
    <w:rsid w:val="643927CB"/>
    <w:rsid w:val="647B347B"/>
    <w:rsid w:val="64971BDB"/>
    <w:rsid w:val="64A4F7E6"/>
    <w:rsid w:val="64FB15BC"/>
    <w:rsid w:val="65086BFA"/>
    <w:rsid w:val="65260EF6"/>
    <w:rsid w:val="6543FFAE"/>
    <w:rsid w:val="655261BF"/>
    <w:rsid w:val="655E78C4"/>
    <w:rsid w:val="6582A315"/>
    <w:rsid w:val="65E3CE7C"/>
    <w:rsid w:val="6609B8F3"/>
    <w:rsid w:val="660A3BC8"/>
    <w:rsid w:val="660C17E0"/>
    <w:rsid w:val="661E8A37"/>
    <w:rsid w:val="6635B8AE"/>
    <w:rsid w:val="66751949"/>
    <w:rsid w:val="6689101D"/>
    <w:rsid w:val="668A8A5B"/>
    <w:rsid w:val="66A6D9E6"/>
    <w:rsid w:val="671B7FA4"/>
    <w:rsid w:val="67215617"/>
    <w:rsid w:val="67316A18"/>
    <w:rsid w:val="674175BB"/>
    <w:rsid w:val="675ACFEE"/>
    <w:rsid w:val="679EF133"/>
    <w:rsid w:val="67A7E841"/>
    <w:rsid w:val="67E21834"/>
    <w:rsid w:val="6800F2BB"/>
    <w:rsid w:val="6803BC09"/>
    <w:rsid w:val="6804E6B5"/>
    <w:rsid w:val="6817E26C"/>
    <w:rsid w:val="68330897"/>
    <w:rsid w:val="684EEC27"/>
    <w:rsid w:val="689C424F"/>
    <w:rsid w:val="68A9582E"/>
    <w:rsid w:val="68C3FF7E"/>
    <w:rsid w:val="68D2229A"/>
    <w:rsid w:val="69129974"/>
    <w:rsid w:val="691B6DD5"/>
    <w:rsid w:val="69336200"/>
    <w:rsid w:val="6934E025"/>
    <w:rsid w:val="6939DB16"/>
    <w:rsid w:val="6980FDB5"/>
    <w:rsid w:val="6987768F"/>
    <w:rsid w:val="69A23C09"/>
    <w:rsid w:val="69C5E884"/>
    <w:rsid w:val="69F1E389"/>
    <w:rsid w:val="69F94134"/>
    <w:rsid w:val="69FF7428"/>
    <w:rsid w:val="6A1620F1"/>
    <w:rsid w:val="6A1EB6D2"/>
    <w:rsid w:val="6A28E392"/>
    <w:rsid w:val="6A2E3850"/>
    <w:rsid w:val="6A338816"/>
    <w:rsid w:val="6A737047"/>
    <w:rsid w:val="6A91D938"/>
    <w:rsid w:val="6AABF609"/>
    <w:rsid w:val="6AAF39FA"/>
    <w:rsid w:val="6AB66DB5"/>
    <w:rsid w:val="6AC4F452"/>
    <w:rsid w:val="6AEA4C81"/>
    <w:rsid w:val="6B0FD436"/>
    <w:rsid w:val="6B2346F0"/>
    <w:rsid w:val="6B2DCF3D"/>
    <w:rsid w:val="6B2FD7EB"/>
    <w:rsid w:val="6B33AFE3"/>
    <w:rsid w:val="6B4695E0"/>
    <w:rsid w:val="6B8BD024"/>
    <w:rsid w:val="6B9B6A89"/>
    <w:rsid w:val="6BC8680B"/>
    <w:rsid w:val="6BCAC057"/>
    <w:rsid w:val="6C08FB90"/>
    <w:rsid w:val="6C291FFD"/>
    <w:rsid w:val="6C774E43"/>
    <w:rsid w:val="6C7B5964"/>
    <w:rsid w:val="6C842B1F"/>
    <w:rsid w:val="6C86A4A5"/>
    <w:rsid w:val="6CBF1751"/>
    <w:rsid w:val="6CECCEB9"/>
    <w:rsid w:val="6D3C8F2F"/>
    <w:rsid w:val="6D5098F5"/>
    <w:rsid w:val="6D5D4800"/>
    <w:rsid w:val="6D7D63B7"/>
    <w:rsid w:val="6D80E24F"/>
    <w:rsid w:val="6DA3A531"/>
    <w:rsid w:val="6DBC3CEC"/>
    <w:rsid w:val="6DE735DE"/>
    <w:rsid w:val="6DFFBCC8"/>
    <w:rsid w:val="6E1BC930"/>
    <w:rsid w:val="6E328EE1"/>
    <w:rsid w:val="6E592A4F"/>
    <w:rsid w:val="6E6CFB73"/>
    <w:rsid w:val="6E729867"/>
    <w:rsid w:val="6EFA9616"/>
    <w:rsid w:val="6F15351B"/>
    <w:rsid w:val="6F7CEC30"/>
    <w:rsid w:val="6F891005"/>
    <w:rsid w:val="6FC98FCA"/>
    <w:rsid w:val="6FF03F39"/>
    <w:rsid w:val="6FFC53C4"/>
    <w:rsid w:val="70253939"/>
    <w:rsid w:val="70332DFD"/>
    <w:rsid w:val="70797CD4"/>
    <w:rsid w:val="70816347"/>
    <w:rsid w:val="70F371BF"/>
    <w:rsid w:val="71189AD3"/>
    <w:rsid w:val="713E73E5"/>
    <w:rsid w:val="717A6E1F"/>
    <w:rsid w:val="71CDF816"/>
    <w:rsid w:val="727E39B4"/>
    <w:rsid w:val="728C5846"/>
    <w:rsid w:val="7295CAAE"/>
    <w:rsid w:val="72A6D0E1"/>
    <w:rsid w:val="72CFC747"/>
    <w:rsid w:val="72E01C9F"/>
    <w:rsid w:val="72FBCD6C"/>
    <w:rsid w:val="730489C2"/>
    <w:rsid w:val="73146F34"/>
    <w:rsid w:val="7357A7A7"/>
    <w:rsid w:val="73A5E4F6"/>
    <w:rsid w:val="73F2BAA8"/>
    <w:rsid w:val="740D2311"/>
    <w:rsid w:val="7417D967"/>
    <w:rsid w:val="74218AB2"/>
    <w:rsid w:val="743208A0"/>
    <w:rsid w:val="7480A7C5"/>
    <w:rsid w:val="74A94F29"/>
    <w:rsid w:val="74D53DDD"/>
    <w:rsid w:val="74F20924"/>
    <w:rsid w:val="75040B71"/>
    <w:rsid w:val="75260F9B"/>
    <w:rsid w:val="752E78B7"/>
    <w:rsid w:val="7553EC4D"/>
    <w:rsid w:val="75917E80"/>
    <w:rsid w:val="7619D37C"/>
    <w:rsid w:val="762A2930"/>
    <w:rsid w:val="763151FA"/>
    <w:rsid w:val="7655833E"/>
    <w:rsid w:val="7663A4BC"/>
    <w:rsid w:val="76787600"/>
    <w:rsid w:val="768A6405"/>
    <w:rsid w:val="76A03DC1"/>
    <w:rsid w:val="76BF7BA1"/>
    <w:rsid w:val="76D6C722"/>
    <w:rsid w:val="76EFFE66"/>
    <w:rsid w:val="770C76FA"/>
    <w:rsid w:val="7710FA98"/>
    <w:rsid w:val="771A901C"/>
    <w:rsid w:val="772344DA"/>
    <w:rsid w:val="772C79A3"/>
    <w:rsid w:val="77346C5F"/>
    <w:rsid w:val="777BE033"/>
    <w:rsid w:val="77AF55F6"/>
    <w:rsid w:val="77CB552D"/>
    <w:rsid w:val="77E24101"/>
    <w:rsid w:val="77EF3AF2"/>
    <w:rsid w:val="783EA995"/>
    <w:rsid w:val="78708BC1"/>
    <w:rsid w:val="788BCEC7"/>
    <w:rsid w:val="789ECBB7"/>
    <w:rsid w:val="78CEF2D1"/>
    <w:rsid w:val="78D3FF09"/>
    <w:rsid w:val="794985CA"/>
    <w:rsid w:val="797304C9"/>
    <w:rsid w:val="7994DAEF"/>
    <w:rsid w:val="79A90F3B"/>
    <w:rsid w:val="79C1C084"/>
    <w:rsid w:val="79DB1F09"/>
    <w:rsid w:val="7A03AB86"/>
    <w:rsid w:val="7A0E76CB"/>
    <w:rsid w:val="7A1FD58C"/>
    <w:rsid w:val="7A244CB6"/>
    <w:rsid w:val="7A24E56D"/>
    <w:rsid w:val="7A85687E"/>
    <w:rsid w:val="7ABCC29B"/>
    <w:rsid w:val="7AF7AA7E"/>
    <w:rsid w:val="7B30BBF0"/>
    <w:rsid w:val="7B36D7AD"/>
    <w:rsid w:val="7B7E314C"/>
    <w:rsid w:val="7B94A11E"/>
    <w:rsid w:val="7BB76B6C"/>
    <w:rsid w:val="7BE1C994"/>
    <w:rsid w:val="7BF20C8B"/>
    <w:rsid w:val="7C008F67"/>
    <w:rsid w:val="7C0BF5E1"/>
    <w:rsid w:val="7C582777"/>
    <w:rsid w:val="7C8C0027"/>
    <w:rsid w:val="7C9265A0"/>
    <w:rsid w:val="7CA767BA"/>
    <w:rsid w:val="7CD17B72"/>
    <w:rsid w:val="7CEFDF76"/>
    <w:rsid w:val="7D063CB6"/>
    <w:rsid w:val="7D582671"/>
    <w:rsid w:val="7D8E11C0"/>
    <w:rsid w:val="7DCF53AB"/>
    <w:rsid w:val="7DDD8D19"/>
    <w:rsid w:val="7E021F05"/>
    <w:rsid w:val="7E483798"/>
    <w:rsid w:val="7EB1FCA1"/>
    <w:rsid w:val="7EB31618"/>
    <w:rsid w:val="7EB5F493"/>
    <w:rsid w:val="7EC7CA76"/>
    <w:rsid w:val="7F14662F"/>
    <w:rsid w:val="7F3FB164"/>
    <w:rsid w:val="7F4A8027"/>
    <w:rsid w:val="7F4A8B54"/>
    <w:rsid w:val="7F93E46C"/>
    <w:rsid w:val="7FAB988D"/>
    <w:rsid w:val="7FDA5074"/>
    <w:rsid w:val="7FE7867C"/>
    <w:rsid w:val="7FE8820F"/>
    <w:rsid w:val="7FFBA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35D96389-773A-4551-A6B9-3576D47C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06"/>
    <w:pPr>
      <w:spacing w:after="0" w:line="240" w:lineRule="auto"/>
    </w:p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3436"/>
    <w:pPr>
      <w:spacing w:before="100" w:beforeAutospacing="1" w:after="100" w:afterAutospacing="1"/>
    </w:pPr>
  </w:style>
  <w:style w:type="character" w:customStyle="1" w:styleId="normaltextrun">
    <w:name w:val="normaltextrun"/>
    <w:basedOn w:val="DefaultParagraphFont"/>
    <w:rsid w:val="00813436"/>
  </w:style>
  <w:style w:type="character" w:customStyle="1" w:styleId="eop">
    <w:name w:val="eop"/>
    <w:basedOn w:val="DefaultParagraphFont"/>
    <w:rsid w:val="00E97513"/>
  </w:style>
  <w:style w:type="table" w:customStyle="1" w:styleId="TableGrid1">
    <w:name w:val="Table Grid1"/>
    <w:basedOn w:val="TableNormal"/>
    <w:next w:val="TableGrid"/>
    <w:uiPriority w:val="39"/>
    <w:rsid w:val="00D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19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13B0D"/>
    <w:rPr>
      <w:b/>
      <w:bCs/>
    </w:rPr>
  </w:style>
  <w:style w:type="character" w:customStyle="1" w:styleId="CommentSubjectChar">
    <w:name w:val="Comment Subject Char"/>
    <w:basedOn w:val="CommentTextChar"/>
    <w:link w:val="CommentSubject"/>
    <w:uiPriority w:val="99"/>
    <w:semiHidden/>
    <w:rsid w:val="00713B0D"/>
    <w:rPr>
      <w:rFonts w:ascii="Arial" w:eastAsia="Times New Roman" w:hAnsi="Arial" w:cs="Times New Roman"/>
      <w:b/>
      <w:bCs/>
      <w:sz w:val="20"/>
      <w:szCs w:val="20"/>
    </w:rPr>
  </w:style>
  <w:style w:type="paragraph" w:customStyle="1" w:styleId="Default">
    <w:name w:val="Default"/>
    <w:rsid w:val="007D79DA"/>
    <w:pPr>
      <w:autoSpaceDE w:val="0"/>
      <w:autoSpaceDN w:val="0"/>
      <w:adjustRightInd w:val="0"/>
      <w:spacing w:after="0" w:line="240" w:lineRule="auto"/>
    </w:pPr>
    <w:rPr>
      <w:color w:val="000000"/>
    </w:rPr>
  </w:style>
  <w:style w:type="character" w:styleId="UnresolvedMention">
    <w:name w:val="Unresolved Mention"/>
    <w:basedOn w:val="DefaultParagraphFont"/>
    <w:uiPriority w:val="99"/>
    <w:unhideWhenUsed/>
    <w:rsid w:val="00842A86"/>
    <w:rPr>
      <w:color w:val="605E5C"/>
      <w:shd w:val="clear" w:color="auto" w:fill="E1DFDD"/>
    </w:rPr>
  </w:style>
  <w:style w:type="table" w:styleId="GridTable1Light">
    <w:name w:val="Grid Table 1 Light"/>
    <w:basedOn w:val="TableNormal"/>
    <w:uiPriority w:val="46"/>
    <w:rsid w:val="00AE0A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AE0AF9"/>
    <w:pPr>
      <w:spacing w:before="24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AE0AF9"/>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E72"/>
    <w:pPr>
      <w:spacing w:after="0" w:line="240" w:lineRule="auto"/>
    </w:pPr>
  </w:style>
  <w:style w:type="character" w:customStyle="1" w:styleId="findhit">
    <w:name w:val="findhit"/>
    <w:basedOn w:val="DefaultParagraphFont"/>
    <w:rsid w:val="00084E4C"/>
  </w:style>
  <w:style w:type="character" w:customStyle="1" w:styleId="markl53lclc1z">
    <w:name w:val="markl53lclc1z"/>
    <w:basedOn w:val="DefaultParagraphFont"/>
    <w:rsid w:val="00F2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590">
      <w:bodyDiv w:val="1"/>
      <w:marLeft w:val="0"/>
      <w:marRight w:val="0"/>
      <w:marTop w:val="0"/>
      <w:marBottom w:val="0"/>
      <w:divBdr>
        <w:top w:val="none" w:sz="0" w:space="0" w:color="auto"/>
        <w:left w:val="none" w:sz="0" w:space="0" w:color="auto"/>
        <w:bottom w:val="none" w:sz="0" w:space="0" w:color="auto"/>
        <w:right w:val="none" w:sz="0" w:space="0" w:color="auto"/>
      </w:divBdr>
    </w:div>
    <w:div w:id="66151744">
      <w:bodyDiv w:val="1"/>
      <w:marLeft w:val="0"/>
      <w:marRight w:val="0"/>
      <w:marTop w:val="0"/>
      <w:marBottom w:val="0"/>
      <w:divBdr>
        <w:top w:val="none" w:sz="0" w:space="0" w:color="auto"/>
        <w:left w:val="none" w:sz="0" w:space="0" w:color="auto"/>
        <w:bottom w:val="none" w:sz="0" w:space="0" w:color="auto"/>
        <w:right w:val="none" w:sz="0" w:space="0" w:color="auto"/>
      </w:divBdr>
    </w:div>
    <w:div w:id="193814469">
      <w:bodyDiv w:val="1"/>
      <w:marLeft w:val="0"/>
      <w:marRight w:val="0"/>
      <w:marTop w:val="0"/>
      <w:marBottom w:val="0"/>
      <w:divBdr>
        <w:top w:val="none" w:sz="0" w:space="0" w:color="auto"/>
        <w:left w:val="none" w:sz="0" w:space="0" w:color="auto"/>
        <w:bottom w:val="none" w:sz="0" w:space="0" w:color="auto"/>
        <w:right w:val="none" w:sz="0" w:space="0" w:color="auto"/>
      </w:divBdr>
    </w:div>
    <w:div w:id="227231783">
      <w:bodyDiv w:val="1"/>
      <w:marLeft w:val="0"/>
      <w:marRight w:val="0"/>
      <w:marTop w:val="0"/>
      <w:marBottom w:val="0"/>
      <w:divBdr>
        <w:top w:val="none" w:sz="0" w:space="0" w:color="auto"/>
        <w:left w:val="none" w:sz="0" w:space="0" w:color="auto"/>
        <w:bottom w:val="none" w:sz="0" w:space="0" w:color="auto"/>
        <w:right w:val="none" w:sz="0" w:space="0" w:color="auto"/>
      </w:divBdr>
    </w:div>
    <w:div w:id="253560758">
      <w:bodyDiv w:val="1"/>
      <w:marLeft w:val="0"/>
      <w:marRight w:val="0"/>
      <w:marTop w:val="0"/>
      <w:marBottom w:val="0"/>
      <w:divBdr>
        <w:top w:val="none" w:sz="0" w:space="0" w:color="auto"/>
        <w:left w:val="none" w:sz="0" w:space="0" w:color="auto"/>
        <w:bottom w:val="none" w:sz="0" w:space="0" w:color="auto"/>
        <w:right w:val="none" w:sz="0" w:space="0" w:color="auto"/>
      </w:divBdr>
    </w:div>
    <w:div w:id="361831710">
      <w:bodyDiv w:val="1"/>
      <w:marLeft w:val="0"/>
      <w:marRight w:val="0"/>
      <w:marTop w:val="0"/>
      <w:marBottom w:val="0"/>
      <w:divBdr>
        <w:top w:val="none" w:sz="0" w:space="0" w:color="auto"/>
        <w:left w:val="none" w:sz="0" w:space="0" w:color="auto"/>
        <w:bottom w:val="none" w:sz="0" w:space="0" w:color="auto"/>
        <w:right w:val="none" w:sz="0" w:space="0" w:color="auto"/>
      </w:divBdr>
    </w:div>
    <w:div w:id="552733982">
      <w:bodyDiv w:val="1"/>
      <w:marLeft w:val="0"/>
      <w:marRight w:val="0"/>
      <w:marTop w:val="0"/>
      <w:marBottom w:val="0"/>
      <w:divBdr>
        <w:top w:val="none" w:sz="0" w:space="0" w:color="auto"/>
        <w:left w:val="none" w:sz="0" w:space="0" w:color="auto"/>
        <w:bottom w:val="none" w:sz="0" w:space="0" w:color="auto"/>
        <w:right w:val="none" w:sz="0" w:space="0" w:color="auto"/>
      </w:divBdr>
    </w:div>
    <w:div w:id="709844907">
      <w:bodyDiv w:val="1"/>
      <w:marLeft w:val="0"/>
      <w:marRight w:val="0"/>
      <w:marTop w:val="0"/>
      <w:marBottom w:val="0"/>
      <w:divBdr>
        <w:top w:val="none" w:sz="0" w:space="0" w:color="auto"/>
        <w:left w:val="none" w:sz="0" w:space="0" w:color="auto"/>
        <w:bottom w:val="none" w:sz="0" w:space="0" w:color="auto"/>
        <w:right w:val="none" w:sz="0" w:space="0" w:color="auto"/>
      </w:divBdr>
    </w:div>
    <w:div w:id="851645633">
      <w:bodyDiv w:val="1"/>
      <w:marLeft w:val="0"/>
      <w:marRight w:val="0"/>
      <w:marTop w:val="0"/>
      <w:marBottom w:val="0"/>
      <w:divBdr>
        <w:top w:val="none" w:sz="0" w:space="0" w:color="auto"/>
        <w:left w:val="none" w:sz="0" w:space="0" w:color="auto"/>
        <w:bottom w:val="none" w:sz="0" w:space="0" w:color="auto"/>
        <w:right w:val="none" w:sz="0" w:space="0" w:color="auto"/>
      </w:divBdr>
    </w:div>
    <w:div w:id="920917393">
      <w:bodyDiv w:val="1"/>
      <w:marLeft w:val="0"/>
      <w:marRight w:val="0"/>
      <w:marTop w:val="0"/>
      <w:marBottom w:val="0"/>
      <w:divBdr>
        <w:top w:val="none" w:sz="0" w:space="0" w:color="auto"/>
        <w:left w:val="none" w:sz="0" w:space="0" w:color="auto"/>
        <w:bottom w:val="none" w:sz="0" w:space="0" w:color="auto"/>
        <w:right w:val="none" w:sz="0" w:space="0" w:color="auto"/>
      </w:divBdr>
    </w:div>
    <w:div w:id="951404132">
      <w:bodyDiv w:val="1"/>
      <w:marLeft w:val="0"/>
      <w:marRight w:val="0"/>
      <w:marTop w:val="0"/>
      <w:marBottom w:val="0"/>
      <w:divBdr>
        <w:top w:val="none" w:sz="0" w:space="0" w:color="auto"/>
        <w:left w:val="none" w:sz="0" w:space="0" w:color="auto"/>
        <w:bottom w:val="none" w:sz="0" w:space="0" w:color="auto"/>
        <w:right w:val="none" w:sz="0" w:space="0" w:color="auto"/>
      </w:divBdr>
    </w:div>
    <w:div w:id="1244989931">
      <w:bodyDiv w:val="1"/>
      <w:marLeft w:val="0"/>
      <w:marRight w:val="0"/>
      <w:marTop w:val="0"/>
      <w:marBottom w:val="0"/>
      <w:divBdr>
        <w:top w:val="none" w:sz="0" w:space="0" w:color="auto"/>
        <w:left w:val="none" w:sz="0" w:space="0" w:color="auto"/>
        <w:bottom w:val="none" w:sz="0" w:space="0" w:color="auto"/>
        <w:right w:val="none" w:sz="0" w:space="0" w:color="auto"/>
      </w:divBdr>
    </w:div>
    <w:div w:id="1312640573">
      <w:bodyDiv w:val="1"/>
      <w:marLeft w:val="0"/>
      <w:marRight w:val="0"/>
      <w:marTop w:val="0"/>
      <w:marBottom w:val="0"/>
      <w:divBdr>
        <w:top w:val="none" w:sz="0" w:space="0" w:color="auto"/>
        <w:left w:val="none" w:sz="0" w:space="0" w:color="auto"/>
        <w:bottom w:val="none" w:sz="0" w:space="0" w:color="auto"/>
        <w:right w:val="none" w:sz="0" w:space="0" w:color="auto"/>
      </w:divBdr>
      <w:divsChild>
        <w:div w:id="780686125">
          <w:marLeft w:val="0"/>
          <w:marRight w:val="0"/>
          <w:marTop w:val="0"/>
          <w:marBottom w:val="0"/>
          <w:divBdr>
            <w:top w:val="none" w:sz="0" w:space="0" w:color="auto"/>
            <w:left w:val="none" w:sz="0" w:space="0" w:color="auto"/>
            <w:bottom w:val="none" w:sz="0" w:space="0" w:color="auto"/>
            <w:right w:val="none" w:sz="0" w:space="0" w:color="auto"/>
          </w:divBdr>
        </w:div>
        <w:div w:id="1386291057">
          <w:marLeft w:val="0"/>
          <w:marRight w:val="0"/>
          <w:marTop w:val="0"/>
          <w:marBottom w:val="0"/>
          <w:divBdr>
            <w:top w:val="none" w:sz="0" w:space="0" w:color="auto"/>
            <w:left w:val="none" w:sz="0" w:space="0" w:color="auto"/>
            <w:bottom w:val="none" w:sz="0" w:space="0" w:color="auto"/>
            <w:right w:val="none" w:sz="0" w:space="0" w:color="auto"/>
          </w:divBdr>
        </w:div>
      </w:divsChild>
    </w:div>
    <w:div w:id="1434088223">
      <w:bodyDiv w:val="1"/>
      <w:marLeft w:val="0"/>
      <w:marRight w:val="0"/>
      <w:marTop w:val="0"/>
      <w:marBottom w:val="0"/>
      <w:divBdr>
        <w:top w:val="none" w:sz="0" w:space="0" w:color="auto"/>
        <w:left w:val="none" w:sz="0" w:space="0" w:color="auto"/>
        <w:bottom w:val="none" w:sz="0" w:space="0" w:color="auto"/>
        <w:right w:val="none" w:sz="0" w:space="0" w:color="auto"/>
      </w:divBdr>
    </w:div>
    <w:div w:id="1477142158">
      <w:bodyDiv w:val="1"/>
      <w:marLeft w:val="0"/>
      <w:marRight w:val="0"/>
      <w:marTop w:val="0"/>
      <w:marBottom w:val="0"/>
      <w:divBdr>
        <w:top w:val="none" w:sz="0" w:space="0" w:color="auto"/>
        <w:left w:val="none" w:sz="0" w:space="0" w:color="auto"/>
        <w:bottom w:val="none" w:sz="0" w:space="0" w:color="auto"/>
        <w:right w:val="none" w:sz="0" w:space="0" w:color="auto"/>
      </w:divBdr>
    </w:div>
    <w:div w:id="1491562491">
      <w:bodyDiv w:val="1"/>
      <w:marLeft w:val="0"/>
      <w:marRight w:val="0"/>
      <w:marTop w:val="0"/>
      <w:marBottom w:val="0"/>
      <w:divBdr>
        <w:top w:val="none" w:sz="0" w:space="0" w:color="auto"/>
        <w:left w:val="none" w:sz="0" w:space="0" w:color="auto"/>
        <w:bottom w:val="none" w:sz="0" w:space="0" w:color="auto"/>
        <w:right w:val="none" w:sz="0" w:space="0" w:color="auto"/>
      </w:divBdr>
    </w:div>
    <w:div w:id="1516189989">
      <w:bodyDiv w:val="1"/>
      <w:marLeft w:val="0"/>
      <w:marRight w:val="0"/>
      <w:marTop w:val="0"/>
      <w:marBottom w:val="0"/>
      <w:divBdr>
        <w:top w:val="none" w:sz="0" w:space="0" w:color="auto"/>
        <w:left w:val="none" w:sz="0" w:space="0" w:color="auto"/>
        <w:bottom w:val="none" w:sz="0" w:space="0" w:color="auto"/>
        <w:right w:val="none" w:sz="0" w:space="0" w:color="auto"/>
      </w:divBdr>
    </w:div>
    <w:div w:id="1699425543">
      <w:bodyDiv w:val="1"/>
      <w:marLeft w:val="0"/>
      <w:marRight w:val="0"/>
      <w:marTop w:val="0"/>
      <w:marBottom w:val="0"/>
      <w:divBdr>
        <w:top w:val="none" w:sz="0" w:space="0" w:color="auto"/>
        <w:left w:val="none" w:sz="0" w:space="0" w:color="auto"/>
        <w:bottom w:val="none" w:sz="0" w:space="0" w:color="auto"/>
        <w:right w:val="none" w:sz="0" w:space="0" w:color="auto"/>
      </w:divBdr>
    </w:div>
    <w:div w:id="1954635037">
      <w:bodyDiv w:val="1"/>
      <w:marLeft w:val="0"/>
      <w:marRight w:val="0"/>
      <w:marTop w:val="0"/>
      <w:marBottom w:val="0"/>
      <w:divBdr>
        <w:top w:val="none" w:sz="0" w:space="0" w:color="auto"/>
        <w:left w:val="none" w:sz="0" w:space="0" w:color="auto"/>
        <w:bottom w:val="none" w:sz="0" w:space="0" w:color="auto"/>
        <w:right w:val="none" w:sz="0" w:space="0" w:color="auto"/>
      </w:divBdr>
    </w:div>
    <w:div w:id="21170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cde.ca.gov/caaspp/" TargetMode="External"/><Relationship Id="rId18" Type="http://schemas.openxmlformats.org/officeDocument/2006/relationships/hyperlink" Target="https://www.smartertoolsforteachers.org/" TargetMode="External"/><Relationship Id="rId26" Type="http://schemas.openxmlformats.org/officeDocument/2006/relationships/hyperlink" Target="https://www.cde.ca.gov/be/ag/ag/yr21/documents/sep21item02.docx" TargetMode="External"/><Relationship Id="rId39" Type="http://schemas.openxmlformats.org/officeDocument/2006/relationships/hyperlink" Target="http://www.cde.ca.gov/be/ag/ag/yr14/documents/nov14item03.doc" TargetMode="External"/><Relationship Id="rId3" Type="http://schemas.openxmlformats.org/officeDocument/2006/relationships/customXml" Target="../customXml/item3.xml"/><Relationship Id="rId21" Type="http://schemas.openxmlformats.org/officeDocument/2006/relationships/hyperlink" Target="https://nces.ed.gov/surveys/pisa/" TargetMode="External"/><Relationship Id="rId34" Type="http://schemas.openxmlformats.org/officeDocument/2006/relationships/hyperlink" Target="https://www.cde.ca.gov/be/ag/ag/yr18/documents/jul18item03.docx" TargetMode="External"/><Relationship Id="rId42" Type="http://schemas.openxmlformats.org/officeDocument/2006/relationships/header" Target="header4.xml"/><Relationship Id="rId50"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2/documents/jan22item03rev.docx" TargetMode="External"/><Relationship Id="rId25" Type="http://schemas.openxmlformats.org/officeDocument/2006/relationships/hyperlink" Target="https://www.cde.ca.gov/be/ag/ag/yr22/documents/jan22item03rev.docx" TargetMode="External"/><Relationship Id="rId33" Type="http://schemas.openxmlformats.org/officeDocument/2006/relationships/hyperlink" Target="https://www.cde.ca.gov/be/ag/ag/yr18/documents/sep18item03.docx" TargetMode="External"/><Relationship Id="rId38" Type="http://schemas.openxmlformats.org/officeDocument/2006/relationships/hyperlink" Target="https://www.cde.ca.gov/be/ag/ag/yr15/documents/may15item01.doc" TargetMode="External"/><Relationship Id="rId2" Type="http://schemas.openxmlformats.org/officeDocument/2006/relationships/customXml" Target="../customXml/item2.xml"/><Relationship Id="rId16" Type="http://schemas.openxmlformats.org/officeDocument/2006/relationships/hyperlink" Target="https://urldefense.com/v3/__https:/caaspp-elpac.ets.org__;!!KlnUNGHvdQ!6ivKThw7v0fPtiin1NhZqy9NGA8I6iZ0Vk-3kJg-c36BtXQzaxobQn1ilnj6c5baVQkmk56-bsqXhuIXPg$" TargetMode="External"/><Relationship Id="rId20" Type="http://schemas.openxmlformats.org/officeDocument/2006/relationships/hyperlink" Target="https://nces.ed.gov/surveys/icils/" TargetMode="External"/><Relationship Id="rId29" Type="http://schemas.openxmlformats.org/officeDocument/2006/relationships/hyperlink" Target="https://www.cde.ca.gov/be/ag/ag/yr20/documents/jul20item05.doc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22/documents/may22item03.docx" TargetMode="External"/><Relationship Id="rId32" Type="http://schemas.openxmlformats.org/officeDocument/2006/relationships/hyperlink" Target="https://www.cde.ca.gov/be/ag/ag/yr18/documents/nov18item08.docx" TargetMode="External"/><Relationship Id="rId37" Type="http://schemas.openxmlformats.org/officeDocument/2006/relationships/hyperlink" Target="https://www.cde.ca.gov/be/pn/im/documents/memo-pptb-adad-dec17item03a03.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ntentexplorer.smarterbalanced.org/test-development" TargetMode="External"/><Relationship Id="rId23" Type="http://schemas.openxmlformats.org/officeDocument/2006/relationships/hyperlink" Target="https://www.cde.ca.gov/be/pn/im/documents/aug22memoadad01.docx" TargetMode="External"/><Relationship Id="rId28" Type="http://schemas.openxmlformats.org/officeDocument/2006/relationships/hyperlink" Target="https://www.cde.ca.gov/be/ag/ag/yr20/documents/nov20item04.docx" TargetMode="External"/><Relationship Id="rId36" Type="http://schemas.openxmlformats.org/officeDocument/2006/relationships/hyperlink" Target="https://www.cde.ca.gov/be/pn/im/documents/memo-pptb-adad-dec17item03a01.pdf" TargetMode="External"/><Relationship Id="rId10" Type="http://schemas.openxmlformats.org/officeDocument/2006/relationships/endnotes" Target="endnotes.xml"/><Relationship Id="rId19" Type="http://schemas.openxmlformats.org/officeDocument/2006/relationships/hyperlink" Target="https://nces.ed.gov/nationsreportcard/" TargetMode="External"/><Relationship Id="rId31" Type="http://schemas.openxmlformats.org/officeDocument/2006/relationships/hyperlink" Target="https://www.cde.ca.gov/be/ag/ag/yr19/documents/jan19item15.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aug22memoadad01.docx" TargetMode="External"/><Relationship Id="rId22" Type="http://schemas.openxmlformats.org/officeDocument/2006/relationships/hyperlink" Target="https://nces.ed.gov/timss/" TargetMode="External"/><Relationship Id="rId27" Type="http://schemas.openxmlformats.org/officeDocument/2006/relationships/hyperlink" Target="https://www.cde.ca.gov/be/ag/ag/yr21/documents/jul21item03.docx" TargetMode="External"/><Relationship Id="rId30" Type="http://schemas.openxmlformats.org/officeDocument/2006/relationships/hyperlink" Target="https://www.cde.ca.gov/be/ag/ag/yr19/documents/sep19item01.docx" TargetMode="External"/><Relationship Id="rId35" Type="http://schemas.openxmlformats.org/officeDocument/2006/relationships/hyperlink" Target="https://www.cde.ca.gov/be/pn/im/documents/memo-pptb-adad-dec17item03.docx" TargetMode="External"/><Relationship Id="rId43" Type="http://schemas.openxmlformats.org/officeDocument/2006/relationships/header" Target="header5.xml"/></Relationships>
</file>

<file path=word/documenttasks/documenttasks1.xml><?xml version="1.0" encoding="utf-8"?>
<t:Tasks xmlns:t="http://schemas.microsoft.com/office/tasks/2019/documenttasks" xmlns:oel="http://schemas.microsoft.com/office/2019/extlst">
  <t:Task id="{52C6D5FA-B5B1-4A5E-86E9-2043B50D7AD9}">
    <t:Anchor>
      <t:Comment id="643666950"/>
    </t:Anchor>
    <t:History>
      <t:Event id="{24283E2B-08AE-4E6E-BBE6-1FDCEC5BC104}" time="2022-06-22T20:35:03.497Z">
        <t:Attribution userId="S::chudson@cde.ca.gov::60e836f3-086d-4d77-a502-597c1d1b80a8" userProvider="AD" userName="Charissa Hudson"/>
        <t:Anchor>
          <t:Comment id="5042547"/>
        </t:Anchor>
        <t:Create/>
      </t:Event>
      <t:Event id="{836BFD40-0214-4AC3-8EDC-F7B8669460FF}" time="2022-06-22T20:35:03.497Z">
        <t:Attribution userId="S::chudson@cde.ca.gov::60e836f3-086d-4d77-a502-597c1d1b80a8" userProvider="AD" userName="Charissa Hudson"/>
        <t:Anchor>
          <t:Comment id="5042547"/>
        </t:Anchor>
        <t:Assign userId="S::BrDoan@cde.ca.gov::8d25270d-b810-49e6-a4c0-7652dd5fac68" userProvider="AD" userName="Brandon Doan"/>
      </t:Event>
      <t:Event id="{7095C6D9-C214-4FAB-B456-F407EB1C4FDA}" time="2022-06-22T20:35:03.497Z">
        <t:Attribution userId="S::chudson@cde.ca.gov::60e836f3-086d-4d77-a502-597c1d1b80a8" userProvider="AD" userName="Charissa Hudson"/>
        <t:Anchor>
          <t:Comment id="5042547"/>
        </t:Anchor>
        <t:SetTitle title="@Brandon Doan we need to ask Mao in the SBE meeting."/>
      </t:Event>
    </t:History>
  </t:Task>
  <t:Task id="{36278F66-4C23-42EA-8D2D-6501DD89B452}">
    <t:Anchor>
      <t:Comment id="1141025566"/>
    </t:Anchor>
    <t:History>
      <t:Event id="{B9787E85-2CE7-4FAF-B886-5DD363153012}" time="2022-06-28T15:56:30.767Z">
        <t:Attribution userId="S::dtriplett@cde.ca.gov::5d249411-ceac-47d2-87f9-1e557a4ea237" userProvider="AD" userName="Devin Triplett"/>
        <t:Anchor>
          <t:Comment id="1141025566"/>
        </t:Anchor>
        <t:Create/>
      </t:Event>
      <t:Event id="{85F38C19-A83F-41CE-9BA8-6D134B9EEB9E}" time="2022-06-28T15:56:30.767Z">
        <t:Attribution userId="S::dtriplett@cde.ca.gov::5d249411-ceac-47d2-87f9-1e557a4ea237" userProvider="AD" userName="Devin Triplett"/>
        <t:Anchor>
          <t:Comment id="1141025566"/>
        </t:Anchor>
        <t:Assign userId="S::MTan@cde.ca.gov::9e895131-3294-4a5b-b98d-6c0f4353e907" userProvider="AD" userName="Mei Tan"/>
      </t:Event>
      <t:Event id="{4FCF3A1C-546F-42C5-A42F-F176CA8366D0}" time="2022-06-28T15:56:30.767Z">
        <t:Attribution userId="S::dtriplett@cde.ca.gov::5d249411-ceac-47d2-87f9-1e557a4ea237" userProvider="AD" userName="Devin Triplett"/>
        <t:Anchor>
          <t:Comment id="1141025566"/>
        </t:Anchor>
        <t:SetTitle title="@Mei Tan Added &quot;12&quot;"/>
      </t:Event>
      <t:Event id="{2106C34C-4C92-449B-9D64-CA18473BE6ED}" time="2022-06-28T16:03:04.559Z">
        <t:Attribution userId="S::mtan@cde.ca.gov::9e895131-3294-4a5b-b98d-6c0f4353e907" userProvider="AD" userName="Mei T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DD4159B5-85D7-4DFA-9CCA-FF21D9B98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3FC59-225B-4F90-8B33-AE5B3F0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8303</Words>
  <Characters>47332</Characters>
  <DocSecurity>0</DocSecurity>
  <Lines>394</Lines>
  <Paragraphs>111</Paragraphs>
  <ScaleCrop>false</ScaleCrop>
  <HeadingPairs>
    <vt:vector size="2" baseType="variant">
      <vt:variant>
        <vt:lpstr>Title</vt:lpstr>
      </vt:variant>
      <vt:variant>
        <vt:i4>1</vt:i4>
      </vt:variant>
    </vt:vector>
  </HeadingPairs>
  <TitlesOfParts>
    <vt:vector size="1" baseType="lpstr">
      <vt:lpstr>September 2022 Agenda Item 04 - Meeting Agendas (CA State Board of Education)</vt:lpstr>
    </vt:vector>
  </TitlesOfParts>
  <Company>California State Board of Education</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04 - Meeting Agendas (CA State Board of Education)</dc:title>
  <dc:subject>The California Assessment of Student Performance and Progress System and the English Proficiency Assessments for California Update.</dc:subject>
  <dc:creator/>
  <cp:keywords/>
  <dc:description/>
  <cp:lastPrinted>2017-10-30T17:36:00Z</cp:lastPrinted>
  <dcterms:created xsi:type="dcterms:W3CDTF">2022-05-18T22:42:00Z</dcterms:created>
  <dcterms:modified xsi:type="dcterms:W3CDTF">2022-08-31T21:04:00Z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