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F337" w14:textId="77777777" w:rsidR="00996B0A" w:rsidRDefault="00996B0A" w:rsidP="00996B0A">
      <w:pPr>
        <w:pStyle w:val="NoSpacing"/>
        <w:jc w:val="right"/>
      </w:pPr>
      <w:bookmarkStart w:id="0" w:name="_GoBack"/>
      <w:bookmarkEnd w:id="0"/>
      <w:r w:rsidRPr="005746A3">
        <w:t>ofab-eed-jan23item01</w:t>
      </w:r>
    </w:p>
    <w:p w14:paraId="2A0CF413" w14:textId="77777777" w:rsidR="00996B0A" w:rsidRDefault="00996B0A" w:rsidP="00996B0A">
      <w:pPr>
        <w:pStyle w:val="NoSpacing"/>
        <w:jc w:val="right"/>
      </w:pPr>
      <w:r>
        <w:t>Attachment 05</w:t>
      </w:r>
    </w:p>
    <w:p w14:paraId="3CC7D0A3" w14:textId="114204FE" w:rsidR="00996B0A" w:rsidRDefault="00996B0A" w:rsidP="00996B0A">
      <w:pPr>
        <w:pStyle w:val="NoSpacing"/>
        <w:jc w:val="right"/>
      </w:pPr>
      <w:r>
        <w:t xml:space="preserve">Page 1 of </w:t>
      </w:r>
      <w:r w:rsidR="00D57B2E">
        <w:t>8</w:t>
      </w:r>
    </w:p>
    <w:p w14:paraId="67368E15" w14:textId="77777777" w:rsidR="007E01C9" w:rsidRDefault="00996B0A" w:rsidP="00996B0A">
      <w:pPr>
        <w:pStyle w:val="Heading1"/>
        <w:spacing w:after="240"/>
        <w:rPr>
          <w:rFonts w:ascii="Arial" w:eastAsia="Arial" w:hAnsi="Arial" w:cs="Arial"/>
          <w:b/>
          <w:bCs/>
          <w:color w:val="auto"/>
        </w:rPr>
      </w:pPr>
      <w:r w:rsidRPr="46D15744">
        <w:rPr>
          <w:rFonts w:ascii="Arial" w:eastAsia="Arial" w:hAnsi="Arial" w:cs="Arial"/>
          <w:b/>
          <w:bCs/>
          <w:color w:val="auto"/>
        </w:rPr>
        <w:t xml:space="preserve">Attachment 5: Universal </w:t>
      </w:r>
      <w:proofErr w:type="spellStart"/>
      <w:r w:rsidRPr="46D15744">
        <w:rPr>
          <w:rFonts w:ascii="Arial" w:eastAsia="Arial" w:hAnsi="Arial" w:cs="Arial"/>
          <w:b/>
          <w:bCs/>
          <w:color w:val="auto"/>
        </w:rPr>
        <w:t>PreKindergarten</w:t>
      </w:r>
      <w:proofErr w:type="spellEnd"/>
      <w:r w:rsidRPr="46D15744">
        <w:rPr>
          <w:rFonts w:ascii="Arial" w:eastAsia="Arial" w:hAnsi="Arial" w:cs="Arial"/>
          <w:b/>
          <w:bCs/>
          <w:color w:val="auto"/>
        </w:rPr>
        <w:t xml:space="preserve"> Teacher Pipeline and Professional Learning Resources</w:t>
      </w:r>
    </w:p>
    <w:p w14:paraId="14480F6B" w14:textId="270CA9FC" w:rsidR="00B40A53" w:rsidRPr="00B40A53" w:rsidRDefault="00B40A53" w:rsidP="00B40A53">
      <w:pPr>
        <w:pStyle w:val="Caption"/>
        <w:keepNext/>
        <w:rPr>
          <w:rFonts w:ascii="Arial" w:hAnsi="Arial" w:cs="Arial"/>
          <w:b/>
          <w:i w:val="0"/>
          <w:color w:val="auto"/>
          <w:sz w:val="24"/>
          <w:szCs w:val="24"/>
        </w:rPr>
      </w:pPr>
      <w:r w:rsidRPr="00B40A53">
        <w:rPr>
          <w:rFonts w:ascii="Arial" w:hAnsi="Arial" w:cs="Arial"/>
          <w:b/>
          <w:i w:val="0"/>
          <w:color w:val="auto"/>
          <w:sz w:val="24"/>
          <w:szCs w:val="24"/>
        </w:rPr>
        <w:t xml:space="preserve">Table </w:t>
      </w:r>
      <w:r w:rsidRPr="00B40A53">
        <w:rPr>
          <w:rFonts w:ascii="Arial" w:hAnsi="Arial" w:cs="Arial"/>
          <w:b/>
          <w:i w:val="0"/>
          <w:color w:val="auto"/>
          <w:sz w:val="24"/>
          <w:szCs w:val="24"/>
        </w:rPr>
        <w:fldChar w:fldCharType="begin"/>
      </w:r>
      <w:r w:rsidRPr="00B40A53">
        <w:rPr>
          <w:rFonts w:ascii="Arial" w:hAnsi="Arial" w:cs="Arial"/>
          <w:b/>
          <w:i w:val="0"/>
          <w:color w:val="auto"/>
          <w:sz w:val="24"/>
          <w:szCs w:val="24"/>
        </w:rPr>
        <w:instrText xml:space="preserve"> SEQ Table \* ARABIC </w:instrText>
      </w:r>
      <w:r w:rsidRPr="00B40A53">
        <w:rPr>
          <w:rFonts w:ascii="Arial" w:hAnsi="Arial" w:cs="Arial"/>
          <w:b/>
          <w:i w:val="0"/>
          <w:color w:val="auto"/>
          <w:sz w:val="24"/>
          <w:szCs w:val="24"/>
        </w:rPr>
        <w:fldChar w:fldCharType="separate"/>
      </w:r>
      <w:r w:rsidRPr="00B40A53">
        <w:rPr>
          <w:rFonts w:ascii="Arial" w:hAnsi="Arial" w:cs="Arial"/>
          <w:b/>
          <w:i w:val="0"/>
          <w:noProof/>
          <w:color w:val="auto"/>
          <w:sz w:val="24"/>
          <w:szCs w:val="24"/>
        </w:rPr>
        <w:t>1</w:t>
      </w:r>
      <w:r w:rsidRPr="00B40A53">
        <w:rPr>
          <w:rFonts w:ascii="Arial" w:hAnsi="Arial" w:cs="Arial"/>
          <w:b/>
          <w:i w:val="0"/>
          <w:color w:val="auto"/>
          <w:sz w:val="24"/>
          <w:szCs w:val="24"/>
        </w:rPr>
        <w:fldChar w:fldCharType="end"/>
      </w:r>
      <w:r w:rsidRPr="00B40A53">
        <w:rPr>
          <w:rFonts w:ascii="Arial" w:hAnsi="Arial" w:cs="Arial"/>
          <w:b/>
          <w:i w:val="0"/>
          <w:color w:val="auto"/>
          <w:sz w:val="24"/>
          <w:szCs w:val="24"/>
        </w:rPr>
        <w:t>. Funding and Resources</w:t>
      </w:r>
    </w:p>
    <w:tbl>
      <w:tblPr>
        <w:tblStyle w:val="TableGrid"/>
        <w:tblW w:w="12955" w:type="dxa"/>
        <w:tblLayout w:type="fixed"/>
        <w:tblLook w:val="04A0" w:firstRow="1" w:lastRow="0" w:firstColumn="1" w:lastColumn="0" w:noHBand="0" w:noVBand="1"/>
      </w:tblPr>
      <w:tblGrid>
        <w:gridCol w:w="1964"/>
        <w:gridCol w:w="1245"/>
        <w:gridCol w:w="9746"/>
      </w:tblGrid>
      <w:tr w:rsidR="00996B0A" w14:paraId="67614049" w14:textId="77777777" w:rsidTr="50F433E3">
        <w:trPr>
          <w:cantSplit/>
          <w:tblHeader/>
        </w:trPr>
        <w:tc>
          <w:tcPr>
            <w:tcW w:w="1964" w:type="dxa"/>
            <w:shd w:val="clear" w:color="auto" w:fill="2F5496" w:themeFill="accent1" w:themeFillShade="BF"/>
          </w:tcPr>
          <w:p w14:paraId="0D909AED" w14:textId="77777777" w:rsidR="00996B0A" w:rsidRPr="009A5BA4" w:rsidRDefault="00996B0A" w:rsidP="00996B0A">
            <w:pPr>
              <w:rPr>
                <w:rFonts w:ascii="Arial" w:hAnsi="Arial" w:cs="Arial"/>
                <w:b/>
                <w:color w:val="FFFFFF" w:themeColor="background1"/>
                <w:sz w:val="24"/>
                <w:szCs w:val="24"/>
              </w:rPr>
            </w:pPr>
            <w:r w:rsidRPr="009A5BA4">
              <w:rPr>
                <w:rFonts w:ascii="Arial" w:hAnsi="Arial" w:cs="Arial"/>
                <w:b/>
                <w:color w:val="FFFFFF" w:themeColor="background1"/>
                <w:sz w:val="24"/>
                <w:szCs w:val="24"/>
              </w:rPr>
              <w:t>Name</w:t>
            </w:r>
          </w:p>
        </w:tc>
        <w:tc>
          <w:tcPr>
            <w:tcW w:w="1245" w:type="dxa"/>
            <w:shd w:val="clear" w:color="auto" w:fill="2F5496" w:themeFill="accent1" w:themeFillShade="BF"/>
          </w:tcPr>
          <w:p w14:paraId="029925E5" w14:textId="77777777" w:rsidR="00996B0A" w:rsidRPr="009A5BA4" w:rsidRDefault="00996B0A" w:rsidP="00996B0A">
            <w:pPr>
              <w:rPr>
                <w:rFonts w:ascii="Arial" w:hAnsi="Arial" w:cs="Arial"/>
                <w:b/>
                <w:color w:val="FFFFFF" w:themeColor="background1"/>
                <w:sz w:val="24"/>
                <w:szCs w:val="24"/>
              </w:rPr>
            </w:pPr>
            <w:r w:rsidRPr="009A5BA4">
              <w:rPr>
                <w:rFonts w:ascii="Arial" w:hAnsi="Arial" w:cs="Arial"/>
                <w:b/>
                <w:color w:val="FFFFFF" w:themeColor="background1"/>
                <w:sz w:val="24"/>
                <w:szCs w:val="24"/>
              </w:rPr>
              <w:t>Funding Amount</w:t>
            </w:r>
          </w:p>
        </w:tc>
        <w:tc>
          <w:tcPr>
            <w:tcW w:w="9746" w:type="dxa"/>
            <w:shd w:val="clear" w:color="auto" w:fill="2F5496" w:themeFill="accent1" w:themeFillShade="BF"/>
          </w:tcPr>
          <w:p w14:paraId="31FF54C8" w14:textId="77777777" w:rsidR="00996B0A" w:rsidRPr="009A5BA4" w:rsidRDefault="00996B0A" w:rsidP="00996B0A">
            <w:pPr>
              <w:rPr>
                <w:rFonts w:ascii="Arial" w:hAnsi="Arial" w:cs="Arial"/>
                <w:b/>
                <w:color w:val="FFFFFF" w:themeColor="background1"/>
                <w:sz w:val="24"/>
                <w:szCs w:val="24"/>
              </w:rPr>
            </w:pPr>
            <w:r w:rsidRPr="009A5BA4">
              <w:rPr>
                <w:rFonts w:ascii="Arial" w:hAnsi="Arial" w:cs="Arial"/>
                <w:b/>
                <w:color w:val="FFFFFF" w:themeColor="background1"/>
                <w:sz w:val="24"/>
                <w:szCs w:val="24"/>
              </w:rPr>
              <w:t>Description</w:t>
            </w:r>
          </w:p>
        </w:tc>
      </w:tr>
      <w:tr w:rsidR="00996B0A" w14:paraId="4712F930" w14:textId="77777777" w:rsidTr="50F433E3">
        <w:trPr>
          <w:cantSplit/>
        </w:trPr>
        <w:tc>
          <w:tcPr>
            <w:tcW w:w="1964" w:type="dxa"/>
          </w:tcPr>
          <w:p w14:paraId="3BFFC9A6" w14:textId="77777777" w:rsidR="00996B0A" w:rsidRPr="00996B0A" w:rsidRDefault="00996B0A" w:rsidP="00996B0A">
            <w:pPr>
              <w:rPr>
                <w:rFonts w:ascii="Arial" w:hAnsi="Arial" w:cs="Arial"/>
                <w:sz w:val="24"/>
                <w:szCs w:val="24"/>
              </w:rPr>
            </w:pPr>
            <w:r w:rsidRPr="00996B0A">
              <w:rPr>
                <w:rFonts w:ascii="Arial" w:hAnsi="Arial" w:cs="Arial"/>
                <w:sz w:val="24"/>
                <w:szCs w:val="24"/>
              </w:rPr>
              <w:t>Educator Effectiveness Block Grant</w:t>
            </w:r>
          </w:p>
        </w:tc>
        <w:tc>
          <w:tcPr>
            <w:tcW w:w="1245" w:type="dxa"/>
          </w:tcPr>
          <w:p w14:paraId="466C38E7" w14:textId="77777777" w:rsidR="00996B0A" w:rsidRPr="00996B0A" w:rsidRDefault="00996B0A" w:rsidP="00996B0A">
            <w:pPr>
              <w:rPr>
                <w:rFonts w:ascii="Arial" w:hAnsi="Arial" w:cs="Arial"/>
                <w:sz w:val="24"/>
                <w:szCs w:val="24"/>
              </w:rPr>
            </w:pPr>
            <w:r w:rsidRPr="00E635C0">
              <w:rPr>
                <w:rFonts w:ascii="Arial" w:hAnsi="Arial" w:cs="Arial"/>
                <w:sz w:val="24"/>
                <w:szCs w:val="24"/>
              </w:rPr>
              <w:t>$1.5 billion</w:t>
            </w:r>
          </w:p>
        </w:tc>
        <w:tc>
          <w:tcPr>
            <w:tcW w:w="9746" w:type="dxa"/>
          </w:tcPr>
          <w:p w14:paraId="7D519F7E" w14:textId="77777777" w:rsidR="00996B0A" w:rsidRPr="00E635C0" w:rsidRDefault="00996B0A" w:rsidP="00996B0A">
            <w:pPr>
              <w:rPr>
                <w:rFonts w:ascii="Arial" w:hAnsi="Arial" w:cs="Arial"/>
                <w:sz w:val="24"/>
                <w:szCs w:val="24"/>
              </w:rPr>
            </w:pPr>
            <w:r w:rsidRPr="00E635C0">
              <w:rPr>
                <w:rFonts w:ascii="Arial" w:hAnsi="Arial" w:cs="Arial"/>
                <w:sz w:val="24"/>
                <w:szCs w:val="24"/>
              </w:rPr>
              <w:t xml:space="preserve">This funding requires the State Superintendent of Public Instruction to apportion </w:t>
            </w:r>
          </w:p>
          <w:p w14:paraId="03211DFB" w14:textId="77777777" w:rsidR="00996B0A" w:rsidRDefault="00996B0A" w:rsidP="00324BCC">
            <w:pPr>
              <w:rPr>
                <w:rFonts w:ascii="Arial" w:hAnsi="Arial" w:cs="Arial"/>
                <w:sz w:val="24"/>
                <w:szCs w:val="24"/>
              </w:rPr>
            </w:pPr>
            <w:r w:rsidRPr="00E635C0">
              <w:rPr>
                <w:rFonts w:ascii="Arial" w:hAnsi="Arial" w:cs="Arial"/>
                <w:sz w:val="24"/>
                <w:szCs w:val="24"/>
              </w:rPr>
              <w:t xml:space="preserve">funds to school districts, </w:t>
            </w:r>
            <w:r>
              <w:rPr>
                <w:rFonts w:ascii="Arial" w:hAnsi="Arial" w:cs="Arial"/>
                <w:sz w:val="24"/>
                <w:szCs w:val="24"/>
              </w:rPr>
              <w:t>county offices of education (CO</w:t>
            </w:r>
            <w:r w:rsidRPr="00E635C0">
              <w:rPr>
                <w:rFonts w:ascii="Arial" w:hAnsi="Arial" w:cs="Arial"/>
                <w:sz w:val="24"/>
                <w:szCs w:val="24"/>
              </w:rPr>
              <w:t>Es</w:t>
            </w:r>
            <w:r>
              <w:rPr>
                <w:rFonts w:ascii="Arial" w:hAnsi="Arial" w:cs="Arial"/>
                <w:sz w:val="24"/>
                <w:szCs w:val="24"/>
              </w:rPr>
              <w:t>)</w:t>
            </w:r>
            <w:r w:rsidRPr="00E635C0">
              <w:rPr>
                <w:rFonts w:ascii="Arial" w:hAnsi="Arial" w:cs="Arial"/>
                <w:sz w:val="24"/>
                <w:szCs w:val="24"/>
              </w:rPr>
              <w:t xml:space="preserve">, charter schools, and state special schools to provide professional learning for teachers, administrators, paraprofessionals who </w:t>
            </w:r>
            <w:r w:rsidRPr="46D15744">
              <w:rPr>
                <w:rFonts w:ascii="Arial" w:hAnsi="Arial" w:cs="Arial"/>
                <w:sz w:val="24"/>
                <w:szCs w:val="24"/>
              </w:rPr>
              <w:t>work with students, and classified staff that interact with students. The funds can be used, but not limited to, the following:</w:t>
            </w:r>
          </w:p>
          <w:p w14:paraId="45E6DA17" w14:textId="77777777" w:rsidR="00996B0A" w:rsidRPr="00E635C0" w:rsidRDefault="00996B0A" w:rsidP="00996B0A">
            <w:pPr>
              <w:pStyle w:val="ListParagraph"/>
              <w:numPr>
                <w:ilvl w:val="0"/>
                <w:numId w:val="1"/>
              </w:numPr>
              <w:rPr>
                <w:rFonts w:ascii="Arial" w:hAnsi="Arial" w:cs="Arial"/>
                <w:sz w:val="24"/>
                <w:szCs w:val="24"/>
              </w:rPr>
            </w:pPr>
            <w:r w:rsidRPr="00E635C0">
              <w:rPr>
                <w:rFonts w:ascii="Arial" w:hAnsi="Arial" w:cs="Arial"/>
                <w:sz w:val="24"/>
                <w:szCs w:val="24"/>
              </w:rPr>
              <w:t>coaching and mentoring;</w:t>
            </w:r>
          </w:p>
          <w:p w14:paraId="050CD9E3" w14:textId="77777777" w:rsidR="00996B0A" w:rsidRPr="00E635C0" w:rsidRDefault="00996B0A" w:rsidP="00996B0A">
            <w:pPr>
              <w:pStyle w:val="ListParagraph"/>
              <w:numPr>
                <w:ilvl w:val="0"/>
                <w:numId w:val="1"/>
              </w:numPr>
              <w:rPr>
                <w:rFonts w:ascii="Arial" w:hAnsi="Arial" w:cs="Arial"/>
                <w:sz w:val="24"/>
                <w:szCs w:val="24"/>
              </w:rPr>
            </w:pPr>
            <w:r w:rsidRPr="5EF687F6">
              <w:rPr>
                <w:rFonts w:ascii="Arial" w:hAnsi="Arial" w:cs="Arial"/>
                <w:sz w:val="24"/>
                <w:szCs w:val="24"/>
              </w:rPr>
              <w:t xml:space="preserve">instruction and education to support implementing effective language </w:t>
            </w:r>
          </w:p>
          <w:p w14:paraId="164CA324" w14:textId="77777777" w:rsidR="00996B0A" w:rsidRPr="00E635C0" w:rsidRDefault="00996B0A" w:rsidP="00996B0A">
            <w:pPr>
              <w:pStyle w:val="ListParagraph"/>
              <w:rPr>
                <w:rFonts w:ascii="Arial" w:hAnsi="Arial" w:cs="Arial"/>
                <w:sz w:val="24"/>
                <w:szCs w:val="24"/>
              </w:rPr>
            </w:pPr>
            <w:r w:rsidRPr="00E635C0">
              <w:rPr>
                <w:rFonts w:ascii="Arial" w:hAnsi="Arial" w:cs="Arial"/>
                <w:sz w:val="24"/>
                <w:szCs w:val="24"/>
              </w:rPr>
              <w:t>acquisition programs for English learners;</w:t>
            </w:r>
          </w:p>
          <w:p w14:paraId="0C1D0964" w14:textId="77777777" w:rsidR="00996B0A" w:rsidRPr="00E635C0" w:rsidRDefault="00996B0A" w:rsidP="00996B0A">
            <w:pPr>
              <w:pStyle w:val="ListParagraph"/>
              <w:numPr>
                <w:ilvl w:val="0"/>
                <w:numId w:val="1"/>
              </w:numPr>
              <w:rPr>
                <w:rFonts w:ascii="Arial" w:hAnsi="Arial" w:cs="Arial"/>
                <w:sz w:val="24"/>
                <w:szCs w:val="24"/>
              </w:rPr>
            </w:pPr>
            <w:r w:rsidRPr="00E635C0">
              <w:rPr>
                <w:rFonts w:ascii="Arial" w:hAnsi="Arial" w:cs="Arial"/>
                <w:sz w:val="24"/>
                <w:szCs w:val="24"/>
              </w:rPr>
              <w:t>new professional learning networks for educators;</w:t>
            </w:r>
          </w:p>
          <w:p w14:paraId="6E56E924" w14:textId="77777777" w:rsidR="00996B0A" w:rsidRPr="00E635C0" w:rsidRDefault="00996B0A" w:rsidP="00996B0A">
            <w:pPr>
              <w:pStyle w:val="ListParagraph"/>
              <w:numPr>
                <w:ilvl w:val="0"/>
                <w:numId w:val="1"/>
              </w:numPr>
              <w:rPr>
                <w:rFonts w:ascii="Arial" w:hAnsi="Arial" w:cs="Arial"/>
                <w:sz w:val="24"/>
                <w:szCs w:val="24"/>
              </w:rPr>
            </w:pPr>
            <w:r>
              <w:rPr>
                <w:rFonts w:ascii="Arial" w:hAnsi="Arial" w:cs="Arial"/>
                <w:sz w:val="24"/>
                <w:szCs w:val="24"/>
              </w:rPr>
              <w:t>i</w:t>
            </w:r>
            <w:r w:rsidRPr="00E635C0">
              <w:rPr>
                <w:rFonts w:ascii="Arial" w:hAnsi="Arial" w:cs="Arial"/>
                <w:sz w:val="24"/>
                <w:szCs w:val="24"/>
              </w:rPr>
              <w:t xml:space="preserve">nstruction, education, and strategies for certificated and classified educators </w:t>
            </w:r>
          </w:p>
          <w:p w14:paraId="72D8B117" w14:textId="77777777" w:rsidR="00996B0A" w:rsidRPr="00E635C0" w:rsidRDefault="00996B0A" w:rsidP="00996B0A">
            <w:pPr>
              <w:pStyle w:val="ListParagraph"/>
              <w:rPr>
                <w:rFonts w:ascii="Arial" w:hAnsi="Arial" w:cs="Arial"/>
                <w:sz w:val="24"/>
                <w:szCs w:val="24"/>
              </w:rPr>
            </w:pPr>
            <w:r w:rsidRPr="00E635C0">
              <w:rPr>
                <w:rFonts w:ascii="Arial" w:hAnsi="Arial" w:cs="Arial"/>
                <w:sz w:val="24"/>
                <w:szCs w:val="24"/>
              </w:rPr>
              <w:t>in early childhood education or childhood development; and</w:t>
            </w:r>
          </w:p>
          <w:p w14:paraId="4342D280" w14:textId="77777777" w:rsidR="00996B0A" w:rsidRPr="00E635C0" w:rsidRDefault="00996B0A" w:rsidP="00996B0A">
            <w:pPr>
              <w:pStyle w:val="ListParagraph"/>
              <w:numPr>
                <w:ilvl w:val="0"/>
                <w:numId w:val="1"/>
              </w:numPr>
              <w:rPr>
                <w:rFonts w:ascii="Arial" w:hAnsi="Arial" w:cs="Arial"/>
                <w:sz w:val="24"/>
                <w:szCs w:val="24"/>
              </w:rPr>
            </w:pPr>
            <w:r w:rsidRPr="00E635C0">
              <w:rPr>
                <w:rFonts w:ascii="Arial" w:hAnsi="Arial" w:cs="Arial"/>
                <w:sz w:val="24"/>
                <w:szCs w:val="24"/>
              </w:rPr>
              <w:t xml:space="preserve">practices to create a positive school climate, including restorative justice, </w:t>
            </w:r>
          </w:p>
          <w:p w14:paraId="3D5AAF41" w14:textId="77777777" w:rsidR="00996B0A" w:rsidRDefault="00996B0A" w:rsidP="00996B0A">
            <w:pPr>
              <w:pStyle w:val="ListParagraph"/>
              <w:rPr>
                <w:rFonts w:ascii="Arial" w:hAnsi="Arial" w:cs="Arial"/>
                <w:sz w:val="24"/>
                <w:szCs w:val="24"/>
              </w:rPr>
            </w:pPr>
            <w:r w:rsidRPr="00E635C0">
              <w:rPr>
                <w:rFonts w:ascii="Arial" w:hAnsi="Arial" w:cs="Arial"/>
                <w:sz w:val="24"/>
                <w:szCs w:val="24"/>
              </w:rPr>
              <w:t>training around implicit bias, providing positive behavioral support</w:t>
            </w:r>
            <w:r>
              <w:rPr>
                <w:rFonts w:ascii="Arial" w:hAnsi="Arial" w:cs="Arial"/>
                <w:sz w:val="24"/>
                <w:szCs w:val="24"/>
              </w:rPr>
              <w:t>;</w:t>
            </w:r>
          </w:p>
          <w:p w14:paraId="3E166F8E" w14:textId="77777777" w:rsidR="00996B0A" w:rsidRPr="00324BCC" w:rsidRDefault="00996B0A" w:rsidP="00324BCC">
            <w:pPr>
              <w:pStyle w:val="ListParagraph"/>
              <w:numPr>
                <w:ilvl w:val="0"/>
                <w:numId w:val="1"/>
              </w:numPr>
              <w:spacing w:after="240"/>
              <w:rPr>
                <w:rFonts w:ascii="Arial" w:hAnsi="Arial" w:cs="Arial"/>
                <w:sz w:val="24"/>
                <w:szCs w:val="24"/>
              </w:rPr>
            </w:pPr>
            <w:r w:rsidRPr="5EF687F6">
              <w:rPr>
                <w:rFonts w:ascii="Arial" w:hAnsi="Arial" w:cs="Arial"/>
                <w:sz w:val="24"/>
                <w:szCs w:val="24"/>
              </w:rPr>
              <w:t xml:space="preserve">for coursework that would allow existing staff to become credentialed, fully credentialed for their assignment, or meet the requirements of subdivision (g) of California </w:t>
            </w:r>
            <w:r w:rsidRPr="00205C74">
              <w:rPr>
                <w:rFonts w:ascii="Arial" w:hAnsi="Arial" w:cs="Arial"/>
                <w:i/>
                <w:sz w:val="24"/>
                <w:szCs w:val="24"/>
              </w:rPr>
              <w:t>Education Code</w:t>
            </w:r>
            <w:r>
              <w:rPr>
                <w:rFonts w:ascii="Arial" w:hAnsi="Arial" w:cs="Arial"/>
                <w:sz w:val="24"/>
                <w:szCs w:val="24"/>
              </w:rPr>
              <w:t xml:space="preserve"> (EC)</w:t>
            </w:r>
            <w:r w:rsidRPr="5EF687F6">
              <w:rPr>
                <w:rFonts w:ascii="Arial" w:hAnsi="Arial" w:cs="Arial"/>
                <w:sz w:val="24"/>
                <w:szCs w:val="24"/>
              </w:rPr>
              <w:t xml:space="preserve"> Section 48000.</w:t>
            </w:r>
          </w:p>
          <w:p w14:paraId="4A2DA304" w14:textId="77777777" w:rsidR="00996B0A" w:rsidRPr="00996B0A" w:rsidRDefault="00996B0A" w:rsidP="00996B0A">
            <w:pPr>
              <w:rPr>
                <w:rFonts w:ascii="Arial" w:hAnsi="Arial" w:cs="Arial"/>
                <w:sz w:val="24"/>
                <w:szCs w:val="24"/>
              </w:rPr>
            </w:pPr>
            <w:r w:rsidRPr="5EF687F6">
              <w:rPr>
                <w:rFonts w:ascii="Arial" w:hAnsi="Arial" w:cs="Arial"/>
                <w:sz w:val="24"/>
                <w:szCs w:val="24"/>
              </w:rPr>
              <w:t xml:space="preserve">Funding is available until June 30, 2026. Additional grant information can be found </w:t>
            </w:r>
            <w:r>
              <w:rPr>
                <w:rFonts w:ascii="Arial" w:hAnsi="Arial" w:cs="Arial"/>
                <w:sz w:val="24"/>
                <w:szCs w:val="24"/>
              </w:rPr>
              <w:t>at</w:t>
            </w:r>
            <w:r w:rsidRPr="5EF687F6">
              <w:rPr>
                <w:rFonts w:ascii="Arial" w:hAnsi="Arial" w:cs="Arial"/>
                <w:sz w:val="24"/>
                <w:szCs w:val="24"/>
              </w:rPr>
              <w:t xml:space="preserve"> the following website: </w:t>
            </w:r>
            <w:hyperlink r:id="rId10">
              <w:r w:rsidRPr="5EF687F6">
                <w:rPr>
                  <w:rStyle w:val="Hyperlink"/>
                  <w:rFonts w:ascii="Arial" w:hAnsi="Arial" w:cs="Arial"/>
                  <w:sz w:val="24"/>
                  <w:szCs w:val="24"/>
                </w:rPr>
                <w:t>https://www.cde.ca.gov/pd/ee/eef2021.asp</w:t>
              </w:r>
            </w:hyperlink>
            <w:r>
              <w:t>.</w:t>
            </w:r>
          </w:p>
        </w:tc>
      </w:tr>
      <w:tr w:rsidR="00996B0A" w14:paraId="54401D08" w14:textId="77777777" w:rsidTr="50F433E3">
        <w:trPr>
          <w:cantSplit/>
        </w:trPr>
        <w:tc>
          <w:tcPr>
            <w:tcW w:w="1964" w:type="dxa"/>
          </w:tcPr>
          <w:p w14:paraId="77FFC545" w14:textId="563CB6BC" w:rsidR="00996B0A" w:rsidRPr="00996B0A" w:rsidRDefault="00996B0A" w:rsidP="00996B0A">
            <w:pPr>
              <w:rPr>
                <w:rFonts w:ascii="Arial" w:hAnsi="Arial" w:cs="Arial"/>
                <w:sz w:val="24"/>
                <w:szCs w:val="24"/>
              </w:rPr>
            </w:pPr>
            <w:r>
              <w:rPr>
                <w:rFonts w:ascii="Arial" w:hAnsi="Arial" w:cs="Arial"/>
                <w:sz w:val="24"/>
                <w:szCs w:val="24"/>
              </w:rPr>
              <w:lastRenderedPageBreak/>
              <w:t>Teacher Residency Grant Program</w:t>
            </w:r>
          </w:p>
        </w:tc>
        <w:tc>
          <w:tcPr>
            <w:tcW w:w="1245" w:type="dxa"/>
          </w:tcPr>
          <w:p w14:paraId="3333186A" w14:textId="77777777" w:rsidR="00996B0A" w:rsidRPr="00996B0A" w:rsidRDefault="00996B0A" w:rsidP="00996B0A">
            <w:pPr>
              <w:rPr>
                <w:rFonts w:ascii="Arial" w:hAnsi="Arial" w:cs="Arial"/>
                <w:sz w:val="24"/>
                <w:szCs w:val="24"/>
              </w:rPr>
            </w:pPr>
            <w:r>
              <w:rPr>
                <w:rFonts w:ascii="Arial" w:hAnsi="Arial" w:cs="Arial"/>
                <w:sz w:val="24"/>
                <w:szCs w:val="24"/>
              </w:rPr>
              <w:t>$650 million</w:t>
            </w:r>
          </w:p>
        </w:tc>
        <w:tc>
          <w:tcPr>
            <w:tcW w:w="9746" w:type="dxa"/>
          </w:tcPr>
          <w:p w14:paraId="6E5440C1" w14:textId="77777777" w:rsidR="00996B0A" w:rsidRDefault="00996B0A" w:rsidP="00324BCC">
            <w:pPr>
              <w:spacing w:after="240"/>
              <w:rPr>
                <w:rFonts w:ascii="Arial" w:hAnsi="Arial" w:cs="Arial"/>
                <w:sz w:val="24"/>
                <w:szCs w:val="24"/>
              </w:rPr>
            </w:pPr>
            <w:r w:rsidRPr="46D15744">
              <w:rPr>
                <w:rFonts w:ascii="Arial" w:hAnsi="Arial" w:cs="Arial"/>
                <w:sz w:val="24"/>
                <w:szCs w:val="24"/>
              </w:rPr>
              <w:t>This funding, administered by the Commission on Teacher Credentialing (CTC</w:t>
            </w:r>
            <w:r w:rsidRPr="46D15744">
              <w:rPr>
                <w:rFonts w:ascii="Arial" w:eastAsia="Arial" w:hAnsi="Arial" w:cs="Arial"/>
                <w:sz w:val="24"/>
                <w:szCs w:val="24"/>
              </w:rPr>
              <w:t xml:space="preserve">), is </w:t>
            </w:r>
            <w:r w:rsidRPr="46D15744">
              <w:rPr>
                <w:rFonts w:ascii="Arial" w:eastAsia="Arial" w:hAnsi="Arial" w:cs="Arial"/>
                <w:color w:val="333333"/>
                <w:sz w:val="24"/>
                <w:szCs w:val="24"/>
              </w:rPr>
              <w:t>for competitive grants to support a collaborative partnership between an eligible Local Education Agency (LEA) or a consortium of LEAs partnering with one or more Commission-approved teacher preparation programs offered by a regionally accredited institution of higher education (IHE) to expand, strengthen, improve access to, or create teacher residency programs.</w:t>
            </w:r>
            <w:r w:rsidRPr="46D15744">
              <w:rPr>
                <w:rFonts w:ascii="Arial" w:eastAsia="Arial" w:hAnsi="Arial" w:cs="Arial"/>
                <w:sz w:val="24"/>
                <w:szCs w:val="24"/>
              </w:rPr>
              <w:t xml:space="preserve"> The state appropriated $500 million for this grant in the 2021–22 fiscal year (FY), and another $150 million in the 2022–23 FY.</w:t>
            </w:r>
          </w:p>
          <w:p w14:paraId="3C4EFE57" w14:textId="77777777" w:rsidR="00996B0A" w:rsidRDefault="00996B0A" w:rsidP="00996B0A">
            <w:pPr>
              <w:rPr>
                <w:rFonts w:ascii="Arial" w:eastAsia="Arial" w:hAnsi="Arial" w:cs="Arial"/>
                <w:sz w:val="24"/>
                <w:szCs w:val="24"/>
              </w:rPr>
            </w:pPr>
            <w:r w:rsidRPr="5EF687F6">
              <w:rPr>
                <w:rFonts w:ascii="Arial" w:eastAsia="Arial" w:hAnsi="Arial" w:cs="Arial"/>
                <w:sz w:val="24"/>
                <w:szCs w:val="24"/>
              </w:rPr>
              <w:t xml:space="preserve">The following grants are available through the program: </w:t>
            </w:r>
          </w:p>
          <w:p w14:paraId="26C232EE" w14:textId="77777777" w:rsidR="00996B0A" w:rsidRPr="00A01465" w:rsidRDefault="00996B0A" w:rsidP="00996B0A">
            <w:pPr>
              <w:pStyle w:val="ListParagraph"/>
              <w:numPr>
                <w:ilvl w:val="0"/>
                <w:numId w:val="1"/>
              </w:numPr>
              <w:rPr>
                <w:rFonts w:ascii="Arial" w:eastAsia="Arial" w:hAnsi="Arial" w:cs="Arial"/>
                <w:sz w:val="24"/>
                <w:szCs w:val="24"/>
              </w:rPr>
            </w:pPr>
            <w:r w:rsidRPr="00A01465">
              <w:rPr>
                <w:rFonts w:ascii="Arial" w:eastAsia="Arial" w:hAnsi="Arial" w:cs="Arial"/>
                <w:sz w:val="24"/>
                <w:szCs w:val="24"/>
              </w:rPr>
              <w:t xml:space="preserve">The Teacher Residency Capacity Grant is for building capacity or designing a program. The Fall 2022 application due date is November 18, 2022. </w:t>
            </w:r>
          </w:p>
          <w:p w14:paraId="1DD1F369" w14:textId="77777777" w:rsidR="00996B0A" w:rsidRPr="00A01465" w:rsidRDefault="00996B0A" w:rsidP="00996B0A">
            <w:pPr>
              <w:pStyle w:val="ListParagraph"/>
              <w:numPr>
                <w:ilvl w:val="0"/>
                <w:numId w:val="1"/>
              </w:numPr>
              <w:rPr>
                <w:rFonts w:ascii="Arial" w:eastAsia="Arial" w:hAnsi="Arial" w:cs="Arial"/>
                <w:sz w:val="24"/>
                <w:szCs w:val="24"/>
              </w:rPr>
            </w:pPr>
            <w:r w:rsidRPr="00A01465">
              <w:rPr>
                <w:rFonts w:ascii="Arial" w:eastAsia="Arial" w:hAnsi="Arial" w:cs="Arial"/>
                <w:sz w:val="24"/>
                <w:szCs w:val="24"/>
              </w:rPr>
              <w:t xml:space="preserve">The Teacher Residency Expansion Grant is for supporting additional residents or adding additional credential areas. The Fall 2022 window will close January 18, 2023. </w:t>
            </w:r>
          </w:p>
          <w:p w14:paraId="4D13D3BB" w14:textId="77777777" w:rsidR="00996B0A" w:rsidRPr="00324BCC" w:rsidRDefault="00996B0A" w:rsidP="00324BCC">
            <w:pPr>
              <w:pStyle w:val="ListParagraph"/>
              <w:numPr>
                <w:ilvl w:val="0"/>
                <w:numId w:val="1"/>
              </w:numPr>
              <w:spacing w:after="240"/>
              <w:rPr>
                <w:rFonts w:ascii="Arial" w:eastAsia="Arial" w:hAnsi="Arial" w:cs="Arial"/>
                <w:sz w:val="24"/>
                <w:szCs w:val="24"/>
              </w:rPr>
            </w:pPr>
            <w:r w:rsidRPr="00A01465">
              <w:rPr>
                <w:rFonts w:ascii="Arial" w:eastAsia="Arial" w:hAnsi="Arial" w:cs="Arial"/>
                <w:sz w:val="24"/>
                <w:szCs w:val="24"/>
              </w:rPr>
              <w:t>The Teacher Residency Grant is to support residents. The Fall 2022 application window will close October 14, 2022.</w:t>
            </w:r>
          </w:p>
          <w:p w14:paraId="3F7EF5D1" w14:textId="77777777" w:rsidR="00996B0A" w:rsidRDefault="00996B0A" w:rsidP="00996B0A">
            <w:pPr>
              <w:rPr>
                <w:rFonts w:ascii="Arial" w:eastAsia="Arial" w:hAnsi="Arial" w:cs="Arial"/>
                <w:sz w:val="24"/>
                <w:szCs w:val="24"/>
              </w:rPr>
            </w:pPr>
            <w:r w:rsidRPr="5EF687F6">
              <w:rPr>
                <w:rFonts w:ascii="Arial" w:eastAsia="Arial" w:hAnsi="Arial" w:cs="Arial"/>
                <w:sz w:val="24"/>
                <w:szCs w:val="24"/>
              </w:rPr>
              <w:t>The CTC can award one-time grants to develop new or expand, strengthen, or improve access to existing teacher residency programs that support:</w:t>
            </w:r>
          </w:p>
          <w:p w14:paraId="02430001" w14:textId="77777777" w:rsidR="00996B0A" w:rsidRPr="0018703B" w:rsidRDefault="00996B0A" w:rsidP="00996B0A">
            <w:pPr>
              <w:pStyle w:val="ListParagraph"/>
              <w:numPr>
                <w:ilvl w:val="0"/>
                <w:numId w:val="1"/>
              </w:numPr>
              <w:rPr>
                <w:rFonts w:ascii="Arial" w:hAnsi="Arial" w:cs="Arial"/>
                <w:sz w:val="24"/>
                <w:szCs w:val="24"/>
              </w:rPr>
            </w:pPr>
            <w:r w:rsidRPr="5EF687F6">
              <w:rPr>
                <w:rFonts w:ascii="Arial" w:hAnsi="Arial" w:cs="Arial"/>
                <w:sz w:val="24"/>
                <w:szCs w:val="24"/>
              </w:rPr>
              <w:t xml:space="preserve">designated shortage fields, including </w:t>
            </w:r>
            <w:r>
              <w:rPr>
                <w:rFonts w:ascii="Arial" w:hAnsi="Arial" w:cs="Arial"/>
                <w:sz w:val="24"/>
                <w:szCs w:val="24"/>
              </w:rPr>
              <w:t>Transitional Kindergarten (</w:t>
            </w:r>
            <w:r w:rsidRPr="5EF687F6">
              <w:rPr>
                <w:rFonts w:ascii="Arial" w:hAnsi="Arial" w:cs="Arial"/>
                <w:sz w:val="24"/>
                <w:szCs w:val="24"/>
              </w:rPr>
              <w:t>TK</w:t>
            </w:r>
            <w:r>
              <w:rPr>
                <w:rFonts w:ascii="Arial" w:hAnsi="Arial" w:cs="Arial"/>
                <w:sz w:val="24"/>
                <w:szCs w:val="24"/>
              </w:rPr>
              <w:t>)</w:t>
            </w:r>
            <w:r w:rsidRPr="5EF687F6">
              <w:rPr>
                <w:rFonts w:ascii="Arial" w:hAnsi="Arial" w:cs="Arial"/>
                <w:sz w:val="24"/>
                <w:szCs w:val="24"/>
              </w:rPr>
              <w:t xml:space="preserve">, </w:t>
            </w:r>
            <w:r>
              <w:rPr>
                <w:rFonts w:ascii="Arial" w:hAnsi="Arial" w:cs="Arial"/>
                <w:sz w:val="24"/>
                <w:szCs w:val="24"/>
              </w:rPr>
              <w:t>kindergarten</w:t>
            </w:r>
            <w:r w:rsidRPr="5EF687F6">
              <w:rPr>
                <w:rFonts w:ascii="Arial" w:hAnsi="Arial" w:cs="Arial"/>
                <w:sz w:val="24"/>
                <w:szCs w:val="24"/>
              </w:rPr>
              <w:t>, and bilingual education; and</w:t>
            </w:r>
          </w:p>
          <w:p w14:paraId="480E31F3" w14:textId="77777777" w:rsidR="00996B0A" w:rsidRPr="0018703B" w:rsidRDefault="00996B0A" w:rsidP="00996B0A">
            <w:pPr>
              <w:pStyle w:val="ListParagraph"/>
              <w:numPr>
                <w:ilvl w:val="0"/>
                <w:numId w:val="1"/>
              </w:numPr>
              <w:rPr>
                <w:rFonts w:ascii="Arial" w:hAnsi="Arial" w:cs="Arial"/>
                <w:sz w:val="24"/>
                <w:szCs w:val="24"/>
              </w:rPr>
            </w:pPr>
            <w:r w:rsidRPr="5EF687F6">
              <w:rPr>
                <w:rFonts w:ascii="Arial" w:hAnsi="Arial" w:cs="Arial"/>
                <w:sz w:val="24"/>
                <w:szCs w:val="24"/>
              </w:rPr>
              <w:t xml:space="preserve">local efforts to recruit, develop support systems for, provide outreach and </w:t>
            </w:r>
          </w:p>
          <w:p w14:paraId="4909FD9F" w14:textId="77777777" w:rsidR="00996B0A" w:rsidRPr="0018703B" w:rsidRDefault="00996B0A" w:rsidP="00996B0A">
            <w:pPr>
              <w:pStyle w:val="ListParagraph"/>
              <w:rPr>
                <w:rFonts w:ascii="Arial" w:hAnsi="Arial" w:cs="Arial"/>
                <w:sz w:val="24"/>
                <w:szCs w:val="24"/>
              </w:rPr>
            </w:pPr>
            <w:r w:rsidRPr="5EF687F6">
              <w:rPr>
                <w:rFonts w:ascii="Arial" w:hAnsi="Arial" w:cs="Arial"/>
                <w:sz w:val="24"/>
                <w:szCs w:val="24"/>
              </w:rPr>
              <w:t xml:space="preserve">communication strategies, and retain a diverse teacher workforce that reflects </w:t>
            </w:r>
          </w:p>
          <w:p w14:paraId="0E8E4DED" w14:textId="77777777" w:rsidR="00996B0A" w:rsidRDefault="00996B0A" w:rsidP="00996B0A">
            <w:pPr>
              <w:pStyle w:val="ListParagraph"/>
              <w:rPr>
                <w:rFonts w:ascii="Arial" w:hAnsi="Arial" w:cs="Arial"/>
                <w:sz w:val="24"/>
                <w:szCs w:val="24"/>
              </w:rPr>
            </w:pPr>
            <w:r w:rsidRPr="5EF687F6">
              <w:rPr>
                <w:rFonts w:ascii="Arial" w:hAnsi="Arial" w:cs="Arial"/>
                <w:sz w:val="24"/>
                <w:szCs w:val="24"/>
              </w:rPr>
              <w:t>an LEA community’s diversity; and</w:t>
            </w:r>
          </w:p>
          <w:p w14:paraId="56C9BE70" w14:textId="77777777" w:rsidR="00996B0A" w:rsidRPr="00324BCC" w:rsidRDefault="00996B0A" w:rsidP="00324BCC">
            <w:pPr>
              <w:pStyle w:val="ListParagraph"/>
              <w:numPr>
                <w:ilvl w:val="0"/>
                <w:numId w:val="1"/>
              </w:numPr>
              <w:spacing w:after="240"/>
              <w:rPr>
                <w:rFonts w:ascii="Arial" w:hAnsi="Arial" w:cs="Arial"/>
                <w:sz w:val="24"/>
                <w:szCs w:val="24"/>
              </w:rPr>
            </w:pPr>
            <w:r w:rsidRPr="5EF687F6">
              <w:rPr>
                <w:rFonts w:ascii="Arial" w:hAnsi="Arial" w:cs="Arial"/>
                <w:sz w:val="24"/>
                <w:szCs w:val="24"/>
              </w:rPr>
              <w:t>to establish new school counselor residency programs or add school counselor residencies to existing teacher residency programs that support local efforts to recruit, develop support systems for, provide outreach and communication strategies to, and retain a diverse school counselor workforce that reflects an LEA community’s diversity.</w:t>
            </w:r>
          </w:p>
          <w:p w14:paraId="05C03A5F" w14:textId="77777777" w:rsidR="00996B0A" w:rsidRPr="00996B0A" w:rsidRDefault="00996B0A" w:rsidP="00996B0A">
            <w:pPr>
              <w:rPr>
                <w:rFonts w:ascii="Arial" w:hAnsi="Arial" w:cs="Arial"/>
                <w:sz w:val="24"/>
                <w:szCs w:val="24"/>
              </w:rPr>
            </w:pPr>
            <w:r w:rsidRPr="5EF687F6">
              <w:rPr>
                <w:rFonts w:ascii="Arial" w:eastAsia="Arial" w:hAnsi="Arial" w:cs="Arial"/>
                <w:sz w:val="24"/>
                <w:szCs w:val="24"/>
              </w:rPr>
              <w:t xml:space="preserve">The CTC will have two application windows for each type of residency grant each year until all funds are awarded. </w:t>
            </w:r>
            <w:r w:rsidRPr="5EF687F6">
              <w:rPr>
                <w:rFonts w:ascii="Arial" w:hAnsi="Arial" w:cs="Arial"/>
                <w:sz w:val="24"/>
                <w:szCs w:val="24"/>
              </w:rPr>
              <w:t xml:space="preserve">Additional information can be found at the following website: </w:t>
            </w:r>
            <w:hyperlink r:id="rId11" w:history="1">
              <w:r w:rsidRPr="5EF687F6">
                <w:rPr>
                  <w:rStyle w:val="Hyperlink"/>
                  <w:rFonts w:ascii="Arial" w:hAnsi="Arial" w:cs="Arial"/>
                  <w:sz w:val="24"/>
                  <w:szCs w:val="24"/>
                </w:rPr>
                <w:t>https://www.ctc.ca.gov/educator-prep/grant-funded-programs/teacher-residency-grant-program</w:t>
              </w:r>
            </w:hyperlink>
            <w:r>
              <w:t>.</w:t>
            </w:r>
          </w:p>
        </w:tc>
      </w:tr>
      <w:tr w:rsidR="00996B0A" w14:paraId="7DDF8C8D" w14:textId="77777777" w:rsidTr="50F433E3">
        <w:trPr>
          <w:cantSplit/>
        </w:trPr>
        <w:tc>
          <w:tcPr>
            <w:tcW w:w="1964" w:type="dxa"/>
          </w:tcPr>
          <w:p w14:paraId="7E13B811" w14:textId="77777777" w:rsidR="00996B0A" w:rsidRPr="00996B0A" w:rsidRDefault="00996B0A" w:rsidP="00996B0A">
            <w:pPr>
              <w:rPr>
                <w:rFonts w:ascii="Arial" w:hAnsi="Arial" w:cs="Arial"/>
                <w:sz w:val="24"/>
                <w:szCs w:val="24"/>
              </w:rPr>
            </w:pPr>
            <w:r>
              <w:rPr>
                <w:rFonts w:ascii="Arial" w:hAnsi="Arial" w:cs="Arial"/>
                <w:sz w:val="24"/>
                <w:szCs w:val="24"/>
              </w:rPr>
              <w:lastRenderedPageBreak/>
              <w:t>Golden State Teacher Grant Program</w:t>
            </w:r>
          </w:p>
        </w:tc>
        <w:tc>
          <w:tcPr>
            <w:tcW w:w="1245" w:type="dxa"/>
          </w:tcPr>
          <w:p w14:paraId="2B03BF0F" w14:textId="77777777" w:rsidR="00996B0A" w:rsidRPr="00996B0A" w:rsidRDefault="00996B0A" w:rsidP="00996B0A">
            <w:pPr>
              <w:rPr>
                <w:rFonts w:ascii="Arial" w:hAnsi="Arial" w:cs="Arial"/>
                <w:sz w:val="24"/>
                <w:szCs w:val="24"/>
              </w:rPr>
            </w:pPr>
            <w:r>
              <w:rPr>
                <w:rFonts w:ascii="Arial" w:hAnsi="Arial" w:cs="Arial"/>
                <w:sz w:val="24"/>
                <w:szCs w:val="24"/>
              </w:rPr>
              <w:t>$500 million</w:t>
            </w:r>
          </w:p>
        </w:tc>
        <w:tc>
          <w:tcPr>
            <w:tcW w:w="9746" w:type="dxa"/>
          </w:tcPr>
          <w:p w14:paraId="4BAB2EB4" w14:textId="77777777" w:rsidR="00996B0A" w:rsidRDefault="00996B0A" w:rsidP="00324BCC">
            <w:pPr>
              <w:spacing w:after="240"/>
              <w:rPr>
                <w:rFonts w:ascii="Arial" w:hAnsi="Arial" w:cs="Arial"/>
                <w:sz w:val="24"/>
                <w:szCs w:val="24"/>
              </w:rPr>
            </w:pPr>
            <w:r>
              <w:rPr>
                <w:rFonts w:ascii="Arial" w:hAnsi="Arial" w:cs="Arial"/>
                <w:sz w:val="24"/>
                <w:szCs w:val="24"/>
              </w:rPr>
              <w:t xml:space="preserve">This funding, administered by the California Student Aid Commission (CSAC), provides individual teachers or pupil personnel services candidates </w:t>
            </w:r>
            <w:r w:rsidRPr="00BD7A85">
              <w:rPr>
                <w:rFonts w:ascii="Arial" w:hAnsi="Arial" w:cs="Arial"/>
                <w:sz w:val="24"/>
                <w:szCs w:val="24"/>
              </w:rPr>
              <w:t>$100 million per FY between 2021 and 2026 in one-time grant funds of up to $20,000 to each student enrolled on, or after, January 1, 2020, in a professional preparation program leading to a preliminary teaching credential, approved by the CTC, if the student commits to working in a high-need field</w:t>
            </w:r>
            <w:r>
              <w:rPr>
                <w:rFonts w:ascii="Arial" w:hAnsi="Arial" w:cs="Arial"/>
                <w:sz w:val="24"/>
                <w:szCs w:val="24"/>
              </w:rPr>
              <w:t>, including TK,</w:t>
            </w:r>
            <w:r w:rsidRPr="00BD7A85">
              <w:rPr>
                <w:rFonts w:ascii="Arial" w:hAnsi="Arial" w:cs="Arial"/>
                <w:sz w:val="24"/>
                <w:szCs w:val="24"/>
              </w:rPr>
              <w:t xml:space="preserve"> at a priority school for four years after the student receives the teaching credential.</w:t>
            </w:r>
          </w:p>
          <w:p w14:paraId="1A2DF869" w14:textId="77777777" w:rsidR="00996B0A" w:rsidRDefault="00996B0A" w:rsidP="00996B0A">
            <w:pPr>
              <w:rPr>
                <w:rFonts w:ascii="Arial" w:hAnsi="Arial" w:cs="Arial"/>
                <w:sz w:val="24"/>
                <w:szCs w:val="24"/>
              </w:rPr>
            </w:pPr>
            <w:r>
              <w:rPr>
                <w:rFonts w:ascii="Arial" w:hAnsi="Arial" w:cs="Arial"/>
                <w:sz w:val="24"/>
                <w:szCs w:val="24"/>
              </w:rPr>
              <w:t>Grant recipients must meet the following criteria:</w:t>
            </w:r>
          </w:p>
          <w:p w14:paraId="23A6565A" w14:textId="77777777" w:rsidR="00996B0A" w:rsidRPr="00BD7A85" w:rsidRDefault="00996B0A" w:rsidP="00996B0A">
            <w:pPr>
              <w:pStyle w:val="ListParagraph"/>
              <w:numPr>
                <w:ilvl w:val="0"/>
                <w:numId w:val="1"/>
              </w:numPr>
              <w:rPr>
                <w:rFonts w:ascii="Arial" w:hAnsi="Arial" w:cs="Arial"/>
                <w:sz w:val="24"/>
                <w:szCs w:val="24"/>
              </w:rPr>
            </w:pPr>
            <w:r w:rsidRPr="00BD7A85">
              <w:rPr>
                <w:rFonts w:ascii="Arial" w:hAnsi="Arial" w:cs="Arial"/>
                <w:sz w:val="24"/>
                <w:szCs w:val="24"/>
              </w:rPr>
              <w:t xml:space="preserve">be enrolled in, or have successfully completed, a teacher preparation </w:t>
            </w:r>
          </w:p>
          <w:p w14:paraId="47FE93D0" w14:textId="77777777" w:rsidR="00996B0A" w:rsidRPr="00BD7A85" w:rsidRDefault="00996B0A" w:rsidP="00996B0A">
            <w:pPr>
              <w:pStyle w:val="ListParagraph"/>
              <w:rPr>
                <w:rFonts w:ascii="Arial" w:hAnsi="Arial" w:cs="Arial"/>
                <w:sz w:val="24"/>
                <w:szCs w:val="24"/>
              </w:rPr>
            </w:pPr>
            <w:r w:rsidRPr="00BD7A85">
              <w:rPr>
                <w:rFonts w:ascii="Arial" w:hAnsi="Arial" w:cs="Arial"/>
                <w:sz w:val="24"/>
                <w:szCs w:val="24"/>
              </w:rPr>
              <w:t>program approved by the CTC;</w:t>
            </w:r>
          </w:p>
          <w:p w14:paraId="6063150E" w14:textId="77777777" w:rsidR="00996B0A" w:rsidRPr="00BD7A85" w:rsidRDefault="00996B0A" w:rsidP="00996B0A">
            <w:pPr>
              <w:pStyle w:val="ListParagraph"/>
              <w:numPr>
                <w:ilvl w:val="0"/>
                <w:numId w:val="1"/>
              </w:numPr>
              <w:rPr>
                <w:rFonts w:ascii="Arial" w:hAnsi="Arial" w:cs="Arial"/>
                <w:sz w:val="24"/>
                <w:szCs w:val="24"/>
              </w:rPr>
            </w:pPr>
            <w:r w:rsidRPr="00BD7A85">
              <w:rPr>
                <w:rFonts w:ascii="Arial" w:hAnsi="Arial" w:cs="Arial"/>
                <w:sz w:val="24"/>
                <w:szCs w:val="24"/>
              </w:rPr>
              <w:t>maintain good academic standing;</w:t>
            </w:r>
          </w:p>
          <w:p w14:paraId="4A483993" w14:textId="77777777" w:rsidR="00996B0A" w:rsidRPr="00BD7A85" w:rsidRDefault="00996B0A" w:rsidP="00996B0A">
            <w:pPr>
              <w:pStyle w:val="ListParagraph"/>
              <w:numPr>
                <w:ilvl w:val="0"/>
                <w:numId w:val="1"/>
              </w:numPr>
              <w:rPr>
                <w:rFonts w:ascii="Arial" w:hAnsi="Arial" w:cs="Arial"/>
                <w:sz w:val="24"/>
                <w:szCs w:val="24"/>
              </w:rPr>
            </w:pPr>
            <w:r w:rsidRPr="00BD7A85">
              <w:rPr>
                <w:rFonts w:ascii="Arial" w:hAnsi="Arial" w:cs="Arial"/>
                <w:sz w:val="24"/>
                <w:szCs w:val="24"/>
              </w:rPr>
              <w:t xml:space="preserve">upon completion of the teacher preparation program, satisfy the state basic </w:t>
            </w:r>
          </w:p>
          <w:p w14:paraId="5C04060C" w14:textId="77777777" w:rsidR="00996B0A" w:rsidRPr="00BD7A85" w:rsidRDefault="00996B0A" w:rsidP="00996B0A">
            <w:pPr>
              <w:pStyle w:val="ListParagraph"/>
              <w:rPr>
                <w:rFonts w:ascii="Arial" w:hAnsi="Arial" w:cs="Arial"/>
                <w:sz w:val="24"/>
                <w:szCs w:val="24"/>
              </w:rPr>
            </w:pPr>
            <w:r w:rsidRPr="00BD7A85">
              <w:rPr>
                <w:rFonts w:ascii="Arial" w:hAnsi="Arial" w:cs="Arial"/>
                <w:sz w:val="24"/>
                <w:szCs w:val="24"/>
              </w:rPr>
              <w:t>skills proficiency test requirement;</w:t>
            </w:r>
          </w:p>
          <w:p w14:paraId="4CF34E7A" w14:textId="77777777" w:rsidR="00996B0A" w:rsidRPr="00BD7A85" w:rsidRDefault="00996B0A" w:rsidP="00996B0A">
            <w:pPr>
              <w:pStyle w:val="ListParagraph"/>
              <w:numPr>
                <w:ilvl w:val="0"/>
                <w:numId w:val="1"/>
              </w:numPr>
              <w:rPr>
                <w:rFonts w:ascii="Arial" w:hAnsi="Arial" w:cs="Arial"/>
                <w:sz w:val="24"/>
                <w:szCs w:val="24"/>
              </w:rPr>
            </w:pPr>
            <w:r w:rsidRPr="00BD7A85">
              <w:rPr>
                <w:rFonts w:ascii="Arial" w:hAnsi="Arial" w:cs="Arial"/>
                <w:sz w:val="24"/>
                <w:szCs w:val="24"/>
              </w:rPr>
              <w:t xml:space="preserve">complete the required teaching service following completion of the recipient’s </w:t>
            </w:r>
          </w:p>
          <w:p w14:paraId="1BC8E6C4" w14:textId="77777777" w:rsidR="00996B0A" w:rsidRPr="00BD7A85" w:rsidRDefault="00996B0A" w:rsidP="00996B0A">
            <w:pPr>
              <w:pStyle w:val="ListParagraph"/>
              <w:rPr>
                <w:rFonts w:ascii="Arial" w:hAnsi="Arial" w:cs="Arial"/>
                <w:sz w:val="24"/>
                <w:szCs w:val="24"/>
              </w:rPr>
            </w:pPr>
            <w:r w:rsidRPr="00BD7A85">
              <w:rPr>
                <w:rFonts w:ascii="Arial" w:hAnsi="Arial" w:cs="Arial"/>
                <w:sz w:val="24"/>
                <w:szCs w:val="24"/>
              </w:rPr>
              <w:t>teacher preparation program;</w:t>
            </w:r>
          </w:p>
          <w:p w14:paraId="59058CF3" w14:textId="77777777" w:rsidR="00996B0A" w:rsidRPr="00BD7A85" w:rsidRDefault="00996B0A" w:rsidP="00996B0A">
            <w:pPr>
              <w:pStyle w:val="ListParagraph"/>
              <w:numPr>
                <w:ilvl w:val="0"/>
                <w:numId w:val="1"/>
              </w:numPr>
              <w:rPr>
                <w:rFonts w:ascii="Arial" w:hAnsi="Arial" w:cs="Arial"/>
                <w:sz w:val="24"/>
                <w:szCs w:val="24"/>
              </w:rPr>
            </w:pPr>
            <w:r w:rsidRPr="00BD7A85">
              <w:rPr>
                <w:rFonts w:ascii="Arial" w:hAnsi="Arial" w:cs="Arial"/>
                <w:sz w:val="24"/>
                <w:szCs w:val="24"/>
              </w:rPr>
              <w:t>teach in a high-need field at a priority school; and</w:t>
            </w:r>
          </w:p>
          <w:p w14:paraId="22013DCA" w14:textId="77777777" w:rsidR="00996B0A" w:rsidRPr="00324BCC" w:rsidRDefault="00996B0A" w:rsidP="00324BCC">
            <w:pPr>
              <w:pStyle w:val="ListParagraph"/>
              <w:numPr>
                <w:ilvl w:val="0"/>
                <w:numId w:val="1"/>
              </w:numPr>
              <w:spacing w:after="240"/>
              <w:rPr>
                <w:rFonts w:ascii="Arial" w:hAnsi="Arial" w:cs="Arial"/>
                <w:sz w:val="24"/>
                <w:szCs w:val="24"/>
              </w:rPr>
            </w:pPr>
            <w:r w:rsidRPr="00BD7A85">
              <w:rPr>
                <w:rFonts w:ascii="Arial" w:hAnsi="Arial" w:cs="Arial"/>
                <w:sz w:val="24"/>
                <w:szCs w:val="24"/>
              </w:rPr>
              <w:t>complete obligations within five years</w:t>
            </w:r>
          </w:p>
          <w:p w14:paraId="4F785BB6" w14:textId="77777777" w:rsidR="00996B0A" w:rsidRPr="00324BCC" w:rsidRDefault="00996B0A" w:rsidP="00324BCC">
            <w:pPr>
              <w:spacing w:after="240"/>
            </w:pPr>
            <w:r w:rsidRPr="5EF687F6">
              <w:rPr>
                <w:rFonts w:ascii="Arial" w:eastAsia="Arial" w:hAnsi="Arial" w:cs="Arial"/>
                <w:sz w:val="24"/>
                <w:szCs w:val="24"/>
              </w:rPr>
              <w:t>This funding expands the Golden State Teacher Grant Program to include TK as a high-need field.</w:t>
            </w:r>
          </w:p>
          <w:p w14:paraId="6A0EB8E7" w14:textId="77777777" w:rsidR="00996B0A" w:rsidRPr="00324BCC" w:rsidRDefault="00996B0A" w:rsidP="00324BCC">
            <w:pPr>
              <w:spacing w:after="240"/>
            </w:pPr>
            <w:r w:rsidRPr="5EF687F6">
              <w:rPr>
                <w:rFonts w:ascii="Arial" w:eastAsia="Arial" w:hAnsi="Arial" w:cs="Arial"/>
                <w:sz w:val="24"/>
                <w:szCs w:val="24"/>
              </w:rPr>
              <w:t>“Priority school” is defined as a school with 55 percent or more of its pupils being unduplicated pupils.</w:t>
            </w:r>
          </w:p>
          <w:p w14:paraId="335E2002" w14:textId="77777777" w:rsidR="00996B0A" w:rsidRDefault="00996B0A" w:rsidP="00996B0A">
            <w:pPr>
              <w:rPr>
                <w:rFonts w:ascii="Arial" w:hAnsi="Arial" w:cs="Arial"/>
                <w:sz w:val="24"/>
                <w:szCs w:val="24"/>
              </w:rPr>
            </w:pPr>
            <w:r w:rsidRPr="5EF687F6">
              <w:rPr>
                <w:rFonts w:ascii="Arial" w:hAnsi="Arial" w:cs="Arial"/>
                <w:sz w:val="24"/>
                <w:szCs w:val="24"/>
              </w:rPr>
              <w:t>Funding is available until June 30, 2026. More information can be found at the following website:</w:t>
            </w:r>
          </w:p>
          <w:p w14:paraId="2800D2D1" w14:textId="77777777" w:rsidR="00996B0A" w:rsidRPr="00996B0A" w:rsidRDefault="00CF44C0" w:rsidP="00996B0A">
            <w:pPr>
              <w:rPr>
                <w:rFonts w:ascii="Arial" w:hAnsi="Arial" w:cs="Arial"/>
                <w:sz w:val="24"/>
                <w:szCs w:val="24"/>
              </w:rPr>
            </w:pPr>
            <w:hyperlink r:id="rId12" w:history="1">
              <w:r w:rsidR="00996B0A" w:rsidRPr="007B4BE7">
                <w:rPr>
                  <w:rStyle w:val="Hyperlink"/>
                  <w:rFonts w:ascii="Arial" w:hAnsi="Arial" w:cs="Arial"/>
                  <w:sz w:val="24"/>
                  <w:szCs w:val="24"/>
                </w:rPr>
                <w:t>https://www.csac.ca.gov/golden-state-teacher-grant-program</w:t>
              </w:r>
            </w:hyperlink>
            <w:r w:rsidR="00996B0A">
              <w:rPr>
                <w:rStyle w:val="Hyperlink"/>
                <w:rFonts w:ascii="Arial" w:hAnsi="Arial" w:cs="Arial"/>
                <w:sz w:val="24"/>
                <w:szCs w:val="24"/>
              </w:rPr>
              <w:t>.</w:t>
            </w:r>
          </w:p>
        </w:tc>
      </w:tr>
      <w:tr w:rsidR="00996B0A" w14:paraId="25C641F7" w14:textId="77777777" w:rsidTr="50F433E3">
        <w:trPr>
          <w:cantSplit/>
        </w:trPr>
        <w:tc>
          <w:tcPr>
            <w:tcW w:w="1964" w:type="dxa"/>
          </w:tcPr>
          <w:p w14:paraId="19F07C0B" w14:textId="77777777" w:rsidR="00996B0A" w:rsidRPr="00996B0A" w:rsidRDefault="00996B0A" w:rsidP="00996B0A">
            <w:pPr>
              <w:rPr>
                <w:rFonts w:ascii="Arial" w:hAnsi="Arial" w:cs="Arial"/>
                <w:sz w:val="24"/>
                <w:szCs w:val="24"/>
              </w:rPr>
            </w:pPr>
            <w:r w:rsidRPr="00AD434F">
              <w:rPr>
                <w:rFonts w:ascii="Arial" w:hAnsi="Arial" w:cs="Arial"/>
                <w:sz w:val="24"/>
                <w:szCs w:val="24"/>
              </w:rPr>
              <w:lastRenderedPageBreak/>
              <w:t xml:space="preserve">California </w:t>
            </w:r>
            <w:proofErr w:type="spellStart"/>
            <w:r w:rsidRPr="00AD434F">
              <w:rPr>
                <w:rFonts w:ascii="Arial" w:hAnsi="Arial" w:cs="Arial"/>
                <w:sz w:val="24"/>
                <w:szCs w:val="24"/>
              </w:rPr>
              <w:t>PreKindergarten</w:t>
            </w:r>
            <w:proofErr w:type="spellEnd"/>
            <w:r w:rsidRPr="00AD434F">
              <w:rPr>
                <w:rFonts w:ascii="Arial" w:hAnsi="Arial" w:cs="Arial"/>
                <w:sz w:val="24"/>
                <w:szCs w:val="24"/>
              </w:rPr>
              <w:t xml:space="preserve"> Planning &amp; Implementation Grant Progra</w:t>
            </w:r>
            <w:r>
              <w:rPr>
                <w:rFonts w:ascii="Arial" w:hAnsi="Arial" w:cs="Arial"/>
                <w:sz w:val="24"/>
                <w:szCs w:val="24"/>
              </w:rPr>
              <w:t>m</w:t>
            </w:r>
          </w:p>
        </w:tc>
        <w:tc>
          <w:tcPr>
            <w:tcW w:w="1245" w:type="dxa"/>
          </w:tcPr>
          <w:p w14:paraId="28891C6A" w14:textId="77777777" w:rsidR="00996B0A" w:rsidRPr="00996B0A" w:rsidRDefault="00996B0A" w:rsidP="00996B0A">
            <w:pPr>
              <w:rPr>
                <w:rFonts w:ascii="Arial" w:hAnsi="Arial" w:cs="Arial"/>
                <w:sz w:val="24"/>
                <w:szCs w:val="24"/>
              </w:rPr>
            </w:pPr>
            <w:r>
              <w:rPr>
                <w:rFonts w:ascii="Arial" w:hAnsi="Arial" w:cs="Arial"/>
                <w:sz w:val="24"/>
                <w:szCs w:val="24"/>
              </w:rPr>
              <w:t>$500 million</w:t>
            </w:r>
          </w:p>
        </w:tc>
        <w:tc>
          <w:tcPr>
            <w:tcW w:w="9746" w:type="dxa"/>
          </w:tcPr>
          <w:p w14:paraId="773D37D4" w14:textId="77777777" w:rsidR="00996B0A" w:rsidRDefault="00996B0A" w:rsidP="00324BCC">
            <w:pPr>
              <w:spacing w:after="240"/>
              <w:rPr>
                <w:rFonts w:ascii="Arial" w:hAnsi="Arial" w:cs="Arial"/>
                <w:sz w:val="24"/>
                <w:szCs w:val="24"/>
              </w:rPr>
            </w:pPr>
            <w:r w:rsidRPr="5EF687F6">
              <w:rPr>
                <w:rFonts w:ascii="Arial" w:hAnsi="Arial" w:cs="Arial"/>
                <w:sz w:val="24"/>
                <w:szCs w:val="24"/>
              </w:rPr>
              <w:t>This funding, administered by the</w:t>
            </w:r>
            <w:r>
              <w:rPr>
                <w:rFonts w:ascii="Arial" w:hAnsi="Arial" w:cs="Arial"/>
                <w:sz w:val="24"/>
                <w:szCs w:val="24"/>
              </w:rPr>
              <w:t xml:space="preserve"> </w:t>
            </w:r>
            <w:r w:rsidRPr="5EF687F6">
              <w:rPr>
                <w:rFonts w:ascii="Arial" w:hAnsi="Arial" w:cs="Arial"/>
                <w:sz w:val="24"/>
                <w:szCs w:val="24"/>
              </w:rPr>
              <w:t>CDE</w:t>
            </w:r>
            <w:r>
              <w:rPr>
                <w:rFonts w:ascii="Arial" w:hAnsi="Arial" w:cs="Arial"/>
                <w:sz w:val="24"/>
                <w:szCs w:val="24"/>
              </w:rPr>
              <w:t>,</w:t>
            </w:r>
            <w:r w:rsidRPr="5EF687F6">
              <w:rPr>
                <w:rFonts w:ascii="Arial" w:hAnsi="Arial" w:cs="Arial"/>
                <w:sz w:val="24"/>
                <w:szCs w:val="24"/>
              </w:rPr>
              <w:t xml:space="preserve"> provides early learning planning and capacity building initiative with the goal of expanding access for preschool-age students to </w:t>
            </w:r>
            <w:proofErr w:type="spellStart"/>
            <w:r w:rsidRPr="5EF687F6">
              <w:rPr>
                <w:rFonts w:ascii="Arial" w:hAnsi="Arial" w:cs="Arial"/>
                <w:sz w:val="24"/>
                <w:szCs w:val="24"/>
              </w:rPr>
              <w:t>Pre</w:t>
            </w:r>
            <w:r>
              <w:rPr>
                <w:rFonts w:ascii="Arial" w:hAnsi="Arial" w:cs="Arial"/>
                <w:sz w:val="24"/>
                <w:szCs w:val="24"/>
              </w:rPr>
              <w:t>Kindergarten</w:t>
            </w:r>
            <w:proofErr w:type="spellEnd"/>
            <w:r w:rsidRPr="5EF687F6">
              <w:rPr>
                <w:rFonts w:ascii="Arial" w:hAnsi="Arial" w:cs="Arial"/>
                <w:sz w:val="24"/>
                <w:szCs w:val="24"/>
              </w:rPr>
              <w:t xml:space="preserve"> programs at Local Education Agencies (LEAs). LEAs have broad flexibility in how they can use funds for planning and implementation of </w:t>
            </w:r>
            <w:r>
              <w:rPr>
                <w:rFonts w:ascii="Arial" w:hAnsi="Arial" w:cs="Arial"/>
                <w:sz w:val="24"/>
                <w:szCs w:val="24"/>
              </w:rPr>
              <w:t xml:space="preserve">Universal </w:t>
            </w:r>
            <w:proofErr w:type="spellStart"/>
            <w:r>
              <w:rPr>
                <w:rFonts w:ascii="Arial" w:hAnsi="Arial" w:cs="Arial"/>
                <w:sz w:val="24"/>
                <w:szCs w:val="24"/>
              </w:rPr>
              <w:t>PreKindergarten</w:t>
            </w:r>
            <w:proofErr w:type="spellEnd"/>
            <w:r>
              <w:rPr>
                <w:rFonts w:ascii="Arial" w:hAnsi="Arial" w:cs="Arial"/>
                <w:sz w:val="24"/>
                <w:szCs w:val="24"/>
              </w:rPr>
              <w:t xml:space="preserve"> (</w:t>
            </w:r>
            <w:r w:rsidRPr="5EF687F6">
              <w:rPr>
                <w:rFonts w:ascii="Arial" w:hAnsi="Arial" w:cs="Arial"/>
                <w:sz w:val="24"/>
                <w:szCs w:val="24"/>
              </w:rPr>
              <w:t>UPK</w:t>
            </w:r>
            <w:r>
              <w:rPr>
                <w:rFonts w:ascii="Arial" w:hAnsi="Arial" w:cs="Arial"/>
                <w:sz w:val="24"/>
                <w:szCs w:val="24"/>
              </w:rPr>
              <w:t>)</w:t>
            </w:r>
            <w:r w:rsidRPr="5EF687F6">
              <w:rPr>
                <w:rFonts w:ascii="Arial" w:hAnsi="Arial" w:cs="Arial"/>
                <w:sz w:val="24"/>
                <w:szCs w:val="24"/>
              </w:rPr>
              <w:t>, including hiring and recruitment costs, staff training and professional development, planning costs, classroom materials, and supplies. The state appropriated $200 million for this grant in the 2021</w:t>
            </w:r>
            <w:r w:rsidRPr="46D15744">
              <w:rPr>
                <w:rFonts w:ascii="Arial" w:eastAsia="Arial" w:hAnsi="Arial" w:cs="Arial"/>
                <w:sz w:val="24"/>
                <w:szCs w:val="24"/>
              </w:rPr>
              <w:t>–</w:t>
            </w:r>
            <w:r w:rsidRPr="5EF687F6">
              <w:rPr>
                <w:rFonts w:ascii="Arial" w:hAnsi="Arial" w:cs="Arial"/>
                <w:sz w:val="24"/>
                <w:szCs w:val="24"/>
              </w:rPr>
              <w:t xml:space="preserve">22 </w:t>
            </w:r>
            <w:r>
              <w:rPr>
                <w:rFonts w:ascii="Arial" w:hAnsi="Arial" w:cs="Arial"/>
                <w:sz w:val="24"/>
                <w:szCs w:val="24"/>
              </w:rPr>
              <w:t>FY</w:t>
            </w:r>
            <w:r w:rsidRPr="5EF687F6">
              <w:rPr>
                <w:rFonts w:ascii="Arial" w:hAnsi="Arial" w:cs="Arial"/>
                <w:sz w:val="24"/>
                <w:szCs w:val="24"/>
              </w:rPr>
              <w:t>, and another $300 million in the 2022</w:t>
            </w:r>
            <w:r w:rsidRPr="46D15744">
              <w:rPr>
                <w:rFonts w:ascii="Arial" w:eastAsia="Arial" w:hAnsi="Arial" w:cs="Arial"/>
                <w:sz w:val="24"/>
                <w:szCs w:val="24"/>
              </w:rPr>
              <w:t>–</w:t>
            </w:r>
            <w:r w:rsidRPr="5EF687F6">
              <w:rPr>
                <w:rFonts w:ascii="Arial" w:hAnsi="Arial" w:cs="Arial"/>
                <w:sz w:val="24"/>
                <w:szCs w:val="24"/>
              </w:rPr>
              <w:t>23 fiscal year. While rules are slightly different for LEAs across fiscal years, LEAs are allowed to use funds for workforce related activities across either of the award years.</w:t>
            </w:r>
          </w:p>
          <w:p w14:paraId="62371DBA" w14:textId="77777777" w:rsidR="00996B0A" w:rsidRDefault="00996B0A" w:rsidP="00996B0A">
            <w:pPr>
              <w:rPr>
                <w:rFonts w:ascii="Arial" w:hAnsi="Arial" w:cs="Arial"/>
                <w:sz w:val="24"/>
                <w:szCs w:val="24"/>
              </w:rPr>
            </w:pPr>
            <w:r w:rsidRPr="5EF687F6">
              <w:rPr>
                <w:rFonts w:ascii="Arial" w:hAnsi="Arial" w:cs="Arial"/>
                <w:sz w:val="24"/>
                <w:szCs w:val="24"/>
              </w:rPr>
              <w:t>Funding is available until June 30, 2026. Additional information can be found at the following website:</w:t>
            </w:r>
          </w:p>
          <w:p w14:paraId="74B37C3E" w14:textId="77777777" w:rsidR="00996B0A" w:rsidRPr="00996B0A" w:rsidRDefault="00CF44C0" w:rsidP="00996B0A">
            <w:pPr>
              <w:rPr>
                <w:rFonts w:ascii="Arial" w:hAnsi="Arial" w:cs="Arial"/>
                <w:sz w:val="24"/>
                <w:szCs w:val="24"/>
              </w:rPr>
            </w:pPr>
            <w:hyperlink r:id="rId13" w:history="1">
              <w:r w:rsidR="00996B0A" w:rsidRPr="007B4BE7">
                <w:rPr>
                  <w:rStyle w:val="Hyperlink"/>
                  <w:rFonts w:ascii="Arial" w:hAnsi="Arial" w:cs="Arial"/>
                  <w:sz w:val="24"/>
                  <w:szCs w:val="24"/>
                </w:rPr>
                <w:t>https://www.cde.ca.gov/fg/fo/profile.asp?id=5753&amp;recID=5753</w:t>
              </w:r>
            </w:hyperlink>
            <w:r w:rsidR="00996B0A">
              <w:t>.</w:t>
            </w:r>
          </w:p>
        </w:tc>
      </w:tr>
      <w:tr w:rsidR="00996B0A" w14:paraId="45152460" w14:textId="77777777" w:rsidTr="50F433E3">
        <w:trPr>
          <w:cantSplit/>
        </w:trPr>
        <w:tc>
          <w:tcPr>
            <w:tcW w:w="1964" w:type="dxa"/>
          </w:tcPr>
          <w:p w14:paraId="260C9AF0" w14:textId="77777777" w:rsidR="00996B0A" w:rsidRPr="00D146FA" w:rsidRDefault="00996B0A" w:rsidP="00996B0A">
            <w:pPr>
              <w:rPr>
                <w:rFonts w:ascii="Arial" w:hAnsi="Arial" w:cs="Arial"/>
                <w:sz w:val="24"/>
                <w:szCs w:val="24"/>
              </w:rPr>
            </w:pPr>
            <w:r w:rsidRPr="00D146FA">
              <w:rPr>
                <w:rFonts w:ascii="Arial" w:hAnsi="Arial" w:cs="Arial"/>
                <w:sz w:val="24"/>
                <w:szCs w:val="24"/>
              </w:rPr>
              <w:t xml:space="preserve">National Board for Professional Teaching Standards Certification </w:t>
            </w:r>
          </w:p>
          <w:p w14:paraId="6EDCF6D2" w14:textId="77777777" w:rsidR="00996B0A" w:rsidRPr="00996B0A" w:rsidRDefault="00996B0A" w:rsidP="00996B0A">
            <w:pPr>
              <w:rPr>
                <w:rFonts w:ascii="Arial" w:hAnsi="Arial" w:cs="Arial"/>
                <w:sz w:val="24"/>
                <w:szCs w:val="24"/>
              </w:rPr>
            </w:pPr>
            <w:r w:rsidRPr="00D146FA">
              <w:rPr>
                <w:rFonts w:ascii="Arial" w:hAnsi="Arial" w:cs="Arial"/>
                <w:sz w:val="24"/>
                <w:szCs w:val="24"/>
              </w:rPr>
              <w:t>Incentive Progra</w:t>
            </w:r>
            <w:r>
              <w:rPr>
                <w:rFonts w:ascii="Arial" w:hAnsi="Arial" w:cs="Arial"/>
                <w:sz w:val="24"/>
                <w:szCs w:val="24"/>
              </w:rPr>
              <w:t>m</w:t>
            </w:r>
          </w:p>
        </w:tc>
        <w:tc>
          <w:tcPr>
            <w:tcW w:w="1245" w:type="dxa"/>
          </w:tcPr>
          <w:p w14:paraId="44F3DA92" w14:textId="77777777" w:rsidR="00996B0A" w:rsidRPr="00996B0A" w:rsidRDefault="00996B0A" w:rsidP="00996B0A">
            <w:pPr>
              <w:rPr>
                <w:rFonts w:ascii="Arial" w:hAnsi="Arial" w:cs="Arial"/>
                <w:sz w:val="24"/>
                <w:szCs w:val="24"/>
              </w:rPr>
            </w:pPr>
            <w:r>
              <w:rPr>
                <w:rFonts w:ascii="Arial" w:hAnsi="Arial" w:cs="Arial"/>
                <w:sz w:val="24"/>
                <w:szCs w:val="24"/>
              </w:rPr>
              <w:t>$250 million</w:t>
            </w:r>
          </w:p>
        </w:tc>
        <w:tc>
          <w:tcPr>
            <w:tcW w:w="9746" w:type="dxa"/>
          </w:tcPr>
          <w:p w14:paraId="304E76A6" w14:textId="77777777" w:rsidR="00996B0A" w:rsidRDefault="00996B0A" w:rsidP="00324BCC">
            <w:pPr>
              <w:spacing w:after="240"/>
              <w:rPr>
                <w:rFonts w:ascii="Arial" w:hAnsi="Arial" w:cs="Arial"/>
                <w:sz w:val="24"/>
                <w:szCs w:val="24"/>
              </w:rPr>
            </w:pPr>
            <w:r>
              <w:rPr>
                <w:rFonts w:ascii="Arial" w:hAnsi="Arial" w:cs="Arial"/>
                <w:sz w:val="24"/>
                <w:szCs w:val="24"/>
              </w:rPr>
              <w:t xml:space="preserve">This funding, administered by the CDE, provides award grants to school districts of up to </w:t>
            </w:r>
            <w:r w:rsidRPr="003653A1">
              <w:rPr>
                <w:rFonts w:ascii="Arial" w:hAnsi="Arial" w:cs="Arial"/>
                <w:sz w:val="24"/>
                <w:szCs w:val="24"/>
              </w:rPr>
              <w:t>$25,000 to any teacher who has attained certification from the National Board for Professional Teaching Standards, as long as the teacher agrees to teach at a high-priority school for at least five years.</w:t>
            </w:r>
          </w:p>
          <w:p w14:paraId="5CE97166" w14:textId="77777777" w:rsidR="00996B0A" w:rsidRPr="003653A1" w:rsidRDefault="00996B0A" w:rsidP="00996B0A">
            <w:pPr>
              <w:rPr>
                <w:rFonts w:ascii="Arial" w:hAnsi="Arial" w:cs="Arial"/>
                <w:sz w:val="24"/>
                <w:szCs w:val="24"/>
              </w:rPr>
            </w:pPr>
            <w:r w:rsidRPr="003653A1">
              <w:rPr>
                <w:rFonts w:ascii="Arial" w:hAnsi="Arial" w:cs="Arial"/>
                <w:sz w:val="24"/>
                <w:szCs w:val="24"/>
              </w:rPr>
              <w:t xml:space="preserve">It will also award grants of $2,500 to any teacher who initiates the process of </w:t>
            </w:r>
          </w:p>
          <w:p w14:paraId="594E143B" w14:textId="77777777" w:rsidR="00996B0A" w:rsidRDefault="00996B0A" w:rsidP="00324BCC">
            <w:pPr>
              <w:spacing w:after="240"/>
              <w:rPr>
                <w:rFonts w:ascii="Arial" w:hAnsi="Arial" w:cs="Arial"/>
                <w:sz w:val="24"/>
                <w:szCs w:val="24"/>
              </w:rPr>
            </w:pPr>
            <w:r w:rsidRPr="003653A1">
              <w:rPr>
                <w:rFonts w:ascii="Arial" w:hAnsi="Arial" w:cs="Arial"/>
                <w:sz w:val="24"/>
                <w:szCs w:val="24"/>
              </w:rPr>
              <w:t>pursuing National Board certification when teaching at a high-priority school.</w:t>
            </w:r>
          </w:p>
          <w:p w14:paraId="1A1A6C23" w14:textId="77777777" w:rsidR="00996B0A" w:rsidRPr="00324BCC" w:rsidRDefault="00996B0A" w:rsidP="00324BCC">
            <w:pPr>
              <w:spacing w:after="240"/>
            </w:pPr>
            <w:r w:rsidRPr="5EF687F6">
              <w:rPr>
                <w:rFonts w:ascii="Arial" w:eastAsia="Arial" w:hAnsi="Arial" w:cs="Arial"/>
                <w:sz w:val="24"/>
                <w:szCs w:val="24"/>
              </w:rPr>
              <w:t>The Candidate Subsidy Award Application opened in September 2022. The California Teacher Incentive Award Application opened in December 2022.</w:t>
            </w:r>
          </w:p>
          <w:p w14:paraId="5F81C42D" w14:textId="77777777" w:rsidR="00996B0A" w:rsidRDefault="00996B0A" w:rsidP="00996B0A">
            <w:pPr>
              <w:rPr>
                <w:rFonts w:ascii="Arial" w:hAnsi="Arial" w:cs="Arial"/>
                <w:sz w:val="24"/>
                <w:szCs w:val="24"/>
              </w:rPr>
            </w:pPr>
            <w:r w:rsidRPr="5EF687F6">
              <w:rPr>
                <w:rFonts w:ascii="Arial" w:hAnsi="Arial" w:cs="Arial"/>
                <w:sz w:val="24"/>
                <w:szCs w:val="24"/>
              </w:rPr>
              <w:t>Funding is available until June 30, 2026. Additional information can be found at the following website:</w:t>
            </w:r>
          </w:p>
          <w:p w14:paraId="326FE2DC" w14:textId="77777777" w:rsidR="00996B0A" w:rsidRPr="00996B0A" w:rsidRDefault="00CF44C0" w:rsidP="00996B0A">
            <w:pPr>
              <w:rPr>
                <w:rFonts w:ascii="Arial" w:hAnsi="Arial" w:cs="Arial"/>
                <w:sz w:val="24"/>
                <w:szCs w:val="24"/>
              </w:rPr>
            </w:pPr>
            <w:hyperlink r:id="rId14" w:history="1">
              <w:r w:rsidR="00996B0A" w:rsidRPr="007B4BE7">
                <w:rPr>
                  <w:rStyle w:val="Hyperlink"/>
                  <w:rFonts w:ascii="Arial" w:hAnsi="Arial" w:cs="Arial"/>
                  <w:sz w:val="24"/>
                  <w:szCs w:val="24"/>
                </w:rPr>
                <w:t>https://www.cde.ca.gov/pd/ps/nbptsprogram.asp</w:t>
              </w:r>
            </w:hyperlink>
            <w:r w:rsidR="00996B0A">
              <w:t>.</w:t>
            </w:r>
          </w:p>
        </w:tc>
      </w:tr>
      <w:tr w:rsidR="00996B0A" w14:paraId="1A353927" w14:textId="77777777" w:rsidTr="50F433E3">
        <w:trPr>
          <w:cantSplit/>
        </w:trPr>
        <w:tc>
          <w:tcPr>
            <w:tcW w:w="1964" w:type="dxa"/>
          </w:tcPr>
          <w:p w14:paraId="536CFD9C" w14:textId="77777777" w:rsidR="00996B0A" w:rsidRPr="00996B0A" w:rsidRDefault="00996B0A" w:rsidP="00996B0A">
            <w:pPr>
              <w:rPr>
                <w:rFonts w:ascii="Arial" w:hAnsi="Arial" w:cs="Arial"/>
                <w:sz w:val="24"/>
                <w:szCs w:val="24"/>
              </w:rPr>
            </w:pPr>
            <w:r w:rsidRPr="5EF687F6">
              <w:rPr>
                <w:rFonts w:ascii="Arial" w:hAnsi="Arial" w:cs="Arial"/>
                <w:sz w:val="24"/>
                <w:szCs w:val="24"/>
              </w:rPr>
              <w:lastRenderedPageBreak/>
              <w:t>Early Education Teacher Development Grant</w:t>
            </w:r>
          </w:p>
        </w:tc>
        <w:tc>
          <w:tcPr>
            <w:tcW w:w="1245" w:type="dxa"/>
          </w:tcPr>
          <w:p w14:paraId="748718C7" w14:textId="77777777" w:rsidR="00996B0A" w:rsidRPr="00996B0A" w:rsidRDefault="00996B0A" w:rsidP="00996B0A">
            <w:pPr>
              <w:rPr>
                <w:rFonts w:ascii="Arial" w:hAnsi="Arial" w:cs="Arial"/>
                <w:sz w:val="24"/>
                <w:szCs w:val="24"/>
              </w:rPr>
            </w:pPr>
            <w:r>
              <w:rPr>
                <w:rFonts w:ascii="Arial" w:hAnsi="Arial" w:cs="Arial"/>
                <w:sz w:val="24"/>
                <w:szCs w:val="24"/>
              </w:rPr>
              <w:t>$100 million</w:t>
            </w:r>
          </w:p>
        </w:tc>
        <w:tc>
          <w:tcPr>
            <w:tcW w:w="9746" w:type="dxa"/>
          </w:tcPr>
          <w:p w14:paraId="4FDD37B7" w14:textId="77777777" w:rsidR="00996B0A" w:rsidRDefault="00996B0A" w:rsidP="00943B54">
            <w:pPr>
              <w:rPr>
                <w:rFonts w:ascii="Arial" w:eastAsia="Arial" w:hAnsi="Arial" w:cs="Arial"/>
                <w:color w:val="000000" w:themeColor="text1"/>
                <w:sz w:val="24"/>
                <w:szCs w:val="24"/>
              </w:rPr>
            </w:pPr>
            <w:r w:rsidRPr="5EF687F6">
              <w:rPr>
                <w:rFonts w:ascii="Arial" w:hAnsi="Arial" w:cs="Arial"/>
                <w:sz w:val="24"/>
                <w:szCs w:val="24"/>
              </w:rPr>
              <w:t xml:space="preserve">This funding, administered by the CDE, is for </w:t>
            </w:r>
            <w:r w:rsidRPr="5EF687F6">
              <w:rPr>
                <w:rFonts w:ascii="Arial" w:eastAsia="Arial" w:hAnsi="Arial" w:cs="Arial"/>
                <w:color w:val="000000" w:themeColor="text1"/>
                <w:sz w:val="24"/>
                <w:szCs w:val="24"/>
              </w:rPr>
              <w:t>eligible LEAs, which includes school districts, county offices of education (COEs), and charter schools, or a consortium of the aforementioned entities, to apply for grant funding to:</w:t>
            </w:r>
          </w:p>
          <w:p w14:paraId="0353D40E" w14:textId="77777777" w:rsidR="00996B0A" w:rsidRDefault="00996B0A" w:rsidP="00943B54">
            <w:pPr>
              <w:ind w:left="720"/>
              <w:rPr>
                <w:rFonts w:ascii="Arial" w:eastAsia="Arial" w:hAnsi="Arial" w:cs="Arial"/>
                <w:color w:val="000000" w:themeColor="text1"/>
                <w:sz w:val="24"/>
                <w:szCs w:val="24"/>
              </w:rPr>
            </w:pPr>
            <w:r w:rsidRPr="5EF687F6">
              <w:rPr>
                <w:rFonts w:ascii="Arial" w:eastAsia="Arial" w:hAnsi="Arial" w:cs="Arial"/>
                <w:color w:val="000000" w:themeColor="text1"/>
                <w:sz w:val="24"/>
                <w:szCs w:val="24"/>
              </w:rPr>
              <w:t>1. Increase the number of highly-qualified California State Preschool Program (CSPP) and TK program teachers, and;</w:t>
            </w:r>
          </w:p>
          <w:p w14:paraId="32371802" w14:textId="77777777" w:rsidR="00996B0A" w:rsidRDefault="00996B0A" w:rsidP="00943B54">
            <w:pPr>
              <w:ind w:left="720"/>
              <w:rPr>
                <w:rFonts w:ascii="Arial" w:eastAsia="Arial" w:hAnsi="Arial" w:cs="Arial"/>
                <w:color w:val="000000" w:themeColor="text1"/>
                <w:sz w:val="24"/>
                <w:szCs w:val="24"/>
              </w:rPr>
            </w:pPr>
            <w:r w:rsidRPr="5EF687F6">
              <w:rPr>
                <w:rFonts w:ascii="Arial" w:eastAsia="Arial" w:hAnsi="Arial" w:cs="Arial"/>
                <w:color w:val="000000" w:themeColor="text1"/>
                <w:sz w:val="24"/>
                <w:szCs w:val="24"/>
              </w:rPr>
              <w:t xml:space="preserve">2. Increase specific competencies for CSPP, TK, and </w:t>
            </w:r>
            <w:r>
              <w:rPr>
                <w:rFonts w:ascii="Arial" w:eastAsia="Arial" w:hAnsi="Arial" w:cs="Arial"/>
                <w:color w:val="000000" w:themeColor="text1"/>
                <w:sz w:val="24"/>
                <w:szCs w:val="24"/>
              </w:rPr>
              <w:t>k</w:t>
            </w:r>
            <w:r w:rsidRPr="5EF687F6">
              <w:rPr>
                <w:rFonts w:ascii="Arial" w:eastAsia="Arial" w:hAnsi="Arial" w:cs="Arial"/>
                <w:color w:val="000000" w:themeColor="text1"/>
                <w:sz w:val="24"/>
                <w:szCs w:val="24"/>
              </w:rPr>
              <w:t>indergarten teachers.</w:t>
            </w:r>
          </w:p>
          <w:p w14:paraId="168FB461" w14:textId="77777777" w:rsidR="00996B0A" w:rsidRPr="00324BCC" w:rsidRDefault="00996B0A" w:rsidP="00943B54">
            <w:p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 xml:space="preserve">The Early Education Teacher Development (EETD) Grant Program is part of the California </w:t>
            </w:r>
            <w:proofErr w:type="spellStart"/>
            <w:r w:rsidRPr="5EF687F6">
              <w:rPr>
                <w:rFonts w:ascii="Arial" w:eastAsia="Arial" w:hAnsi="Arial" w:cs="Arial"/>
                <w:color w:val="000000" w:themeColor="text1"/>
                <w:sz w:val="24"/>
                <w:szCs w:val="24"/>
              </w:rPr>
              <w:t>PreKindergarten</w:t>
            </w:r>
            <w:proofErr w:type="spellEnd"/>
            <w:r w:rsidRPr="5EF687F6">
              <w:rPr>
                <w:rFonts w:ascii="Arial" w:eastAsia="Arial" w:hAnsi="Arial" w:cs="Arial"/>
                <w:color w:val="000000" w:themeColor="text1"/>
                <w:sz w:val="24"/>
                <w:szCs w:val="24"/>
              </w:rPr>
              <w:t xml:space="preserve"> (Pre-K) Planning and Implementation Grant Program, which also includes non-competitive apportionments to LEAs for </w:t>
            </w:r>
            <w:r>
              <w:rPr>
                <w:rFonts w:ascii="Arial" w:eastAsia="Arial" w:hAnsi="Arial" w:cs="Arial"/>
                <w:color w:val="000000" w:themeColor="text1"/>
                <w:sz w:val="24"/>
                <w:szCs w:val="24"/>
              </w:rPr>
              <w:t xml:space="preserve">UPK </w:t>
            </w:r>
            <w:r w:rsidRPr="5EF687F6">
              <w:rPr>
                <w:rFonts w:ascii="Arial" w:eastAsia="Arial" w:hAnsi="Arial" w:cs="Arial"/>
                <w:color w:val="000000" w:themeColor="text1"/>
                <w:sz w:val="24"/>
                <w:szCs w:val="24"/>
              </w:rPr>
              <w:t>planning and implementation. The EETD Grant Program provides funding on a competitive basis to LEAs to identify, recruit, and retain a robust early education workforce, as well as increase specific competencies for their workforce.</w:t>
            </w:r>
          </w:p>
          <w:p w14:paraId="44E83F15" w14:textId="77777777" w:rsidR="00996B0A" w:rsidRDefault="00996B0A" w:rsidP="00943B54">
            <w:p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 xml:space="preserve">The EETD Grant funds must be used for any purposes consistent with activities that directly support workforce development and capacity building including, but not limited to, purposes specified in California </w:t>
            </w:r>
            <w:r w:rsidRPr="00205C74">
              <w:rPr>
                <w:rFonts w:ascii="Arial" w:eastAsia="Arial" w:hAnsi="Arial" w:cs="Arial"/>
                <w:i/>
                <w:color w:val="000000" w:themeColor="text1"/>
                <w:sz w:val="24"/>
                <w:szCs w:val="24"/>
              </w:rPr>
              <w:t>EC</w:t>
            </w:r>
            <w:r w:rsidRPr="5EF687F6">
              <w:rPr>
                <w:rFonts w:ascii="Arial" w:eastAsia="Arial" w:hAnsi="Arial" w:cs="Arial"/>
                <w:color w:val="000000" w:themeColor="text1"/>
                <w:sz w:val="24"/>
                <w:szCs w:val="24"/>
              </w:rPr>
              <w:t xml:space="preserve"> Section 8281.5 (d)(</w:t>
            </w:r>
            <w:proofErr w:type="gramStart"/>
            <w:r w:rsidRPr="5EF687F6">
              <w:rPr>
                <w:rFonts w:ascii="Arial" w:eastAsia="Arial" w:hAnsi="Arial" w:cs="Arial"/>
                <w:color w:val="000000" w:themeColor="text1"/>
                <w:sz w:val="24"/>
                <w:szCs w:val="24"/>
              </w:rPr>
              <w:t>6)(</w:t>
            </w:r>
            <w:proofErr w:type="gramEnd"/>
            <w:r w:rsidRPr="5EF687F6">
              <w:rPr>
                <w:rFonts w:ascii="Arial" w:eastAsia="Arial" w:hAnsi="Arial" w:cs="Arial"/>
                <w:color w:val="000000" w:themeColor="text1"/>
                <w:sz w:val="24"/>
                <w:szCs w:val="24"/>
              </w:rPr>
              <w:t>A-H):</w:t>
            </w:r>
          </w:p>
          <w:p w14:paraId="77813286" w14:textId="77777777" w:rsidR="00996B0A" w:rsidRDefault="00996B0A" w:rsidP="00943B54">
            <w:pPr>
              <w:pStyle w:val="ListParagraph"/>
              <w:numPr>
                <w:ilvl w:val="0"/>
                <w:numId w:val="2"/>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Tuition, supplies, and other related educational expenses</w:t>
            </w:r>
          </w:p>
          <w:p w14:paraId="55A94B22" w14:textId="77777777" w:rsidR="00996B0A" w:rsidRDefault="00996B0A" w:rsidP="00943B54">
            <w:pPr>
              <w:pStyle w:val="ListParagraph"/>
              <w:numPr>
                <w:ilvl w:val="0"/>
                <w:numId w:val="2"/>
              </w:numPr>
              <w:rPr>
                <w:rFonts w:ascii="Arial" w:eastAsia="Arial" w:hAnsi="Arial" w:cs="Arial"/>
                <w:color w:val="000000" w:themeColor="text1"/>
                <w:sz w:val="24"/>
                <w:szCs w:val="24"/>
              </w:rPr>
            </w:pPr>
            <w:r w:rsidRPr="46D15744">
              <w:rPr>
                <w:rFonts w:ascii="Arial" w:eastAsia="Arial" w:hAnsi="Arial" w:cs="Arial"/>
                <w:color w:val="000000" w:themeColor="text1"/>
                <w:sz w:val="24"/>
                <w:szCs w:val="24"/>
              </w:rPr>
              <w:t>Transportation and childcare costs incurred as a result of attending classes</w:t>
            </w:r>
          </w:p>
          <w:p w14:paraId="57235D58" w14:textId="77777777" w:rsidR="00996B0A" w:rsidRDefault="00996B0A" w:rsidP="00943B54">
            <w:pPr>
              <w:pStyle w:val="ListParagraph"/>
              <w:numPr>
                <w:ilvl w:val="0"/>
                <w:numId w:val="2"/>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Substitute teacher pay for CSPP, TK, and K professionals that are currently working in a CSPP, TK, or K classroom</w:t>
            </w:r>
          </w:p>
          <w:p w14:paraId="58D15A5A" w14:textId="77777777" w:rsidR="00996B0A" w:rsidRDefault="00996B0A" w:rsidP="00943B54">
            <w:pPr>
              <w:pStyle w:val="ListParagraph"/>
              <w:numPr>
                <w:ilvl w:val="0"/>
                <w:numId w:val="2"/>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Stipends and professional development expenses, as determined by the Superintendent</w:t>
            </w:r>
          </w:p>
          <w:p w14:paraId="13D2A9EC" w14:textId="77777777" w:rsidR="00996B0A" w:rsidRDefault="00996B0A" w:rsidP="00943B54">
            <w:pPr>
              <w:pStyle w:val="ListParagraph"/>
              <w:numPr>
                <w:ilvl w:val="0"/>
                <w:numId w:val="2"/>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Career, course, and professional development coaching, counseling, and navigation services</w:t>
            </w:r>
          </w:p>
          <w:p w14:paraId="5DFEA641" w14:textId="77777777" w:rsidR="00996B0A" w:rsidRDefault="00996B0A" w:rsidP="00943B54">
            <w:pPr>
              <w:pStyle w:val="ListParagraph"/>
              <w:numPr>
                <w:ilvl w:val="0"/>
                <w:numId w:val="2"/>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Linked courses, cohorts, or apprenticeship models</w:t>
            </w:r>
          </w:p>
          <w:p w14:paraId="2D403BA5" w14:textId="77777777" w:rsidR="00996B0A" w:rsidRDefault="00996B0A" w:rsidP="00943B54">
            <w:pPr>
              <w:pStyle w:val="ListParagraph"/>
              <w:numPr>
                <w:ilvl w:val="0"/>
                <w:numId w:val="2"/>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Training and professional development for principals and other administrators of TK, K, and grades one through twelve, inclusive, on the value and tenets of effective instruction for young children</w:t>
            </w:r>
          </w:p>
          <w:p w14:paraId="4796B405" w14:textId="77777777" w:rsidR="00996B0A" w:rsidRPr="00324BCC" w:rsidRDefault="00996B0A" w:rsidP="00943B54">
            <w:pPr>
              <w:pStyle w:val="ListParagraph"/>
              <w:numPr>
                <w:ilvl w:val="0"/>
                <w:numId w:val="2"/>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 xml:space="preserve">Other educational expenses, as determined by the </w:t>
            </w:r>
            <w:r>
              <w:rPr>
                <w:rFonts w:ascii="Arial" w:eastAsia="Arial" w:hAnsi="Arial" w:cs="Arial"/>
                <w:color w:val="000000" w:themeColor="text1"/>
                <w:sz w:val="24"/>
                <w:szCs w:val="24"/>
              </w:rPr>
              <w:t xml:space="preserve">State </w:t>
            </w:r>
            <w:r w:rsidRPr="5EF687F6">
              <w:rPr>
                <w:rFonts w:ascii="Arial" w:eastAsia="Arial" w:hAnsi="Arial" w:cs="Arial"/>
                <w:color w:val="000000" w:themeColor="text1"/>
                <w:sz w:val="24"/>
                <w:szCs w:val="24"/>
              </w:rPr>
              <w:t>Superintendent</w:t>
            </w:r>
            <w:r>
              <w:rPr>
                <w:rFonts w:ascii="Arial" w:eastAsia="Arial" w:hAnsi="Arial" w:cs="Arial"/>
                <w:color w:val="000000" w:themeColor="text1"/>
                <w:sz w:val="24"/>
                <w:szCs w:val="24"/>
              </w:rPr>
              <w:t xml:space="preserve"> of Public Instruction</w:t>
            </w:r>
          </w:p>
          <w:p w14:paraId="07CA0780" w14:textId="77777777" w:rsidR="00996B0A" w:rsidRDefault="00996B0A" w:rsidP="00943B54">
            <w:pPr>
              <w:rPr>
                <w:rFonts w:ascii="Arial" w:eastAsia="Arial" w:hAnsi="Arial" w:cs="Arial"/>
                <w:sz w:val="24"/>
                <w:szCs w:val="24"/>
              </w:rPr>
            </w:pPr>
            <w:r w:rsidRPr="5EF687F6">
              <w:rPr>
                <w:rFonts w:ascii="Arial" w:hAnsi="Arial" w:cs="Arial"/>
                <w:sz w:val="24"/>
                <w:szCs w:val="24"/>
              </w:rPr>
              <w:t>The request for applications for this grant has passed. Additional information can be f</w:t>
            </w:r>
            <w:r w:rsidRPr="5EF687F6">
              <w:rPr>
                <w:rFonts w:ascii="Arial" w:eastAsia="Arial" w:hAnsi="Arial" w:cs="Arial"/>
                <w:sz w:val="24"/>
                <w:szCs w:val="24"/>
              </w:rPr>
              <w:t>ound at the following website:</w:t>
            </w:r>
          </w:p>
          <w:p w14:paraId="3ED3C3F3" w14:textId="77777777" w:rsidR="00996B0A" w:rsidRDefault="00CF44C0" w:rsidP="00943B54">
            <w:pPr>
              <w:spacing w:line="257" w:lineRule="auto"/>
              <w:rPr>
                <w:rFonts w:ascii="Arial" w:eastAsia="Arial" w:hAnsi="Arial" w:cs="Arial"/>
                <w:sz w:val="24"/>
                <w:szCs w:val="24"/>
              </w:rPr>
            </w:pPr>
            <w:hyperlink r:id="rId15">
              <w:r w:rsidR="00996B0A" w:rsidRPr="5EF687F6">
                <w:rPr>
                  <w:rStyle w:val="Hyperlink"/>
                  <w:rFonts w:ascii="Arial" w:eastAsia="Arial" w:hAnsi="Arial" w:cs="Arial"/>
                  <w:sz w:val="24"/>
                  <w:szCs w:val="24"/>
                </w:rPr>
                <w:t>https://www.cde.ca.gov/fg/fo/r2/eetdg22rfa.asp</w:t>
              </w:r>
            </w:hyperlink>
            <w:r w:rsidR="00996B0A">
              <w:t>.</w:t>
            </w:r>
          </w:p>
        </w:tc>
      </w:tr>
      <w:tr w:rsidR="00996B0A" w14:paraId="57E69BE5" w14:textId="77777777" w:rsidTr="50F433E3">
        <w:trPr>
          <w:cantSplit/>
        </w:trPr>
        <w:tc>
          <w:tcPr>
            <w:tcW w:w="1964" w:type="dxa"/>
          </w:tcPr>
          <w:p w14:paraId="5F9406F2" w14:textId="77777777" w:rsidR="00996B0A" w:rsidRPr="00996B0A" w:rsidRDefault="00996B0A" w:rsidP="00996B0A">
            <w:pPr>
              <w:rPr>
                <w:rFonts w:ascii="Arial" w:hAnsi="Arial" w:cs="Arial"/>
                <w:sz w:val="24"/>
                <w:szCs w:val="24"/>
              </w:rPr>
            </w:pPr>
            <w:r w:rsidRPr="00CB70A2">
              <w:rPr>
                <w:rFonts w:ascii="Arial" w:hAnsi="Arial" w:cs="Arial"/>
                <w:sz w:val="24"/>
                <w:szCs w:val="24"/>
              </w:rPr>
              <w:lastRenderedPageBreak/>
              <w:t>Teacher Assessment Fee Waiver</w:t>
            </w:r>
          </w:p>
        </w:tc>
        <w:tc>
          <w:tcPr>
            <w:tcW w:w="1245" w:type="dxa"/>
          </w:tcPr>
          <w:p w14:paraId="400A74E2" w14:textId="77777777" w:rsidR="00996B0A" w:rsidRPr="00996B0A" w:rsidRDefault="00996B0A" w:rsidP="00996B0A">
            <w:pPr>
              <w:rPr>
                <w:rFonts w:ascii="Arial" w:hAnsi="Arial" w:cs="Arial"/>
                <w:sz w:val="24"/>
                <w:szCs w:val="24"/>
              </w:rPr>
            </w:pPr>
            <w:r>
              <w:rPr>
                <w:rFonts w:ascii="Arial" w:hAnsi="Arial" w:cs="Arial"/>
                <w:sz w:val="24"/>
                <w:szCs w:val="24"/>
              </w:rPr>
              <w:t>$24 million</w:t>
            </w:r>
          </w:p>
        </w:tc>
        <w:tc>
          <w:tcPr>
            <w:tcW w:w="9746" w:type="dxa"/>
          </w:tcPr>
          <w:p w14:paraId="32F36979" w14:textId="77777777" w:rsidR="00996B0A" w:rsidRDefault="00996B0A" w:rsidP="00996B0A">
            <w:pPr>
              <w:spacing w:after="240"/>
              <w:rPr>
                <w:rFonts w:ascii="Arial" w:hAnsi="Arial" w:cs="Arial"/>
                <w:sz w:val="24"/>
                <w:szCs w:val="24"/>
              </w:rPr>
            </w:pPr>
            <w:r w:rsidRPr="5EF687F6">
              <w:rPr>
                <w:rFonts w:ascii="Arial" w:hAnsi="Arial" w:cs="Arial"/>
                <w:sz w:val="24"/>
                <w:szCs w:val="24"/>
              </w:rPr>
              <w:t>This funding is available each of the fiscal years 2022–23 and 2023–24 and is administered by the CTC.</w:t>
            </w:r>
          </w:p>
          <w:p w14:paraId="0E45073B" w14:textId="77777777" w:rsidR="00996B0A" w:rsidRDefault="00996B0A" w:rsidP="00324BCC">
            <w:pPr>
              <w:spacing w:after="240"/>
              <w:rPr>
                <w:rFonts w:ascii="Arial" w:hAnsi="Arial" w:cs="Arial"/>
                <w:sz w:val="24"/>
                <w:szCs w:val="24"/>
              </w:rPr>
            </w:pPr>
            <w:r w:rsidRPr="5EF687F6">
              <w:rPr>
                <w:rFonts w:ascii="Arial" w:hAnsi="Arial" w:cs="Arial"/>
                <w:sz w:val="24"/>
                <w:szCs w:val="24"/>
              </w:rPr>
              <w:t>Provides exam waivers for the following examinations:</w:t>
            </w:r>
          </w:p>
          <w:p w14:paraId="1CC94F06" w14:textId="77777777" w:rsidR="00996B0A" w:rsidRDefault="00996B0A" w:rsidP="00996B0A">
            <w:pPr>
              <w:pStyle w:val="ListParagraph"/>
              <w:numPr>
                <w:ilvl w:val="0"/>
                <w:numId w:val="3"/>
              </w:numPr>
              <w:rPr>
                <w:rFonts w:ascii="Arial" w:hAnsi="Arial" w:cs="Arial"/>
                <w:sz w:val="24"/>
                <w:szCs w:val="24"/>
              </w:rPr>
            </w:pPr>
            <w:r w:rsidRPr="00CB70A2">
              <w:rPr>
                <w:rFonts w:ascii="Arial" w:hAnsi="Arial" w:cs="Arial"/>
                <w:sz w:val="24"/>
                <w:szCs w:val="24"/>
              </w:rPr>
              <w:t>California Administrator Performance Assessment (</w:t>
            </w:r>
            <w:proofErr w:type="spellStart"/>
            <w:r w:rsidRPr="00CB70A2">
              <w:rPr>
                <w:rFonts w:ascii="Arial" w:hAnsi="Arial" w:cs="Arial"/>
                <w:sz w:val="24"/>
                <w:szCs w:val="24"/>
              </w:rPr>
              <w:t>CalAPA</w:t>
            </w:r>
            <w:proofErr w:type="spellEnd"/>
            <w:r w:rsidRPr="00CB70A2">
              <w:rPr>
                <w:rFonts w:ascii="Arial" w:hAnsi="Arial" w:cs="Arial"/>
                <w:sz w:val="24"/>
                <w:szCs w:val="24"/>
              </w:rPr>
              <w:t>)</w:t>
            </w:r>
          </w:p>
          <w:p w14:paraId="3EBB69B1" w14:textId="77777777" w:rsidR="00996B0A" w:rsidRDefault="00996B0A" w:rsidP="00996B0A">
            <w:pPr>
              <w:pStyle w:val="ListParagraph"/>
              <w:numPr>
                <w:ilvl w:val="0"/>
                <w:numId w:val="3"/>
              </w:numPr>
              <w:rPr>
                <w:rFonts w:ascii="Arial" w:hAnsi="Arial" w:cs="Arial"/>
                <w:sz w:val="24"/>
                <w:szCs w:val="24"/>
              </w:rPr>
            </w:pPr>
            <w:r w:rsidRPr="00CB70A2">
              <w:rPr>
                <w:rFonts w:ascii="Arial" w:hAnsi="Arial" w:cs="Arial"/>
                <w:sz w:val="24"/>
                <w:szCs w:val="24"/>
              </w:rPr>
              <w:t>California Teaching Performance Assessment (</w:t>
            </w:r>
            <w:proofErr w:type="spellStart"/>
            <w:r w:rsidRPr="00CB70A2">
              <w:rPr>
                <w:rFonts w:ascii="Arial" w:hAnsi="Arial" w:cs="Arial"/>
                <w:sz w:val="24"/>
                <w:szCs w:val="24"/>
              </w:rPr>
              <w:t>CalTPA</w:t>
            </w:r>
            <w:proofErr w:type="spellEnd"/>
            <w:r w:rsidRPr="00CB70A2">
              <w:rPr>
                <w:rFonts w:ascii="Arial" w:hAnsi="Arial" w:cs="Arial"/>
                <w:sz w:val="24"/>
                <w:szCs w:val="24"/>
              </w:rPr>
              <w:t>)</w:t>
            </w:r>
          </w:p>
          <w:p w14:paraId="2F02E9A5" w14:textId="77777777" w:rsidR="00996B0A" w:rsidRDefault="00996B0A" w:rsidP="00996B0A">
            <w:pPr>
              <w:pStyle w:val="ListParagraph"/>
              <w:numPr>
                <w:ilvl w:val="0"/>
                <w:numId w:val="3"/>
              </w:numPr>
              <w:rPr>
                <w:rFonts w:ascii="Arial" w:hAnsi="Arial" w:cs="Arial"/>
                <w:sz w:val="24"/>
                <w:szCs w:val="24"/>
              </w:rPr>
            </w:pPr>
            <w:r w:rsidRPr="00CB70A2">
              <w:rPr>
                <w:rFonts w:ascii="Arial" w:hAnsi="Arial" w:cs="Arial"/>
                <w:sz w:val="24"/>
                <w:szCs w:val="24"/>
              </w:rPr>
              <w:t>California Basic Educational Skills Test (CBEST)</w:t>
            </w:r>
          </w:p>
          <w:p w14:paraId="3B4109BC" w14:textId="77777777" w:rsidR="00996B0A" w:rsidRDefault="00996B0A" w:rsidP="00996B0A">
            <w:pPr>
              <w:pStyle w:val="ListParagraph"/>
              <w:numPr>
                <w:ilvl w:val="0"/>
                <w:numId w:val="3"/>
              </w:numPr>
              <w:rPr>
                <w:rFonts w:ascii="Arial" w:hAnsi="Arial" w:cs="Arial"/>
                <w:sz w:val="24"/>
                <w:szCs w:val="24"/>
              </w:rPr>
            </w:pPr>
            <w:r w:rsidRPr="00CB70A2">
              <w:rPr>
                <w:rFonts w:ascii="Arial" w:hAnsi="Arial" w:cs="Arial"/>
                <w:sz w:val="24"/>
                <w:szCs w:val="24"/>
              </w:rPr>
              <w:t>California Subject Examinations for Teachers (CSET)</w:t>
            </w:r>
          </w:p>
          <w:p w14:paraId="20FBD05F" w14:textId="77777777" w:rsidR="00996B0A" w:rsidRDefault="00996B0A" w:rsidP="00996B0A">
            <w:pPr>
              <w:pStyle w:val="ListParagraph"/>
              <w:numPr>
                <w:ilvl w:val="0"/>
                <w:numId w:val="3"/>
              </w:numPr>
              <w:rPr>
                <w:rFonts w:ascii="Arial" w:hAnsi="Arial" w:cs="Arial"/>
                <w:sz w:val="24"/>
                <w:szCs w:val="24"/>
              </w:rPr>
            </w:pPr>
            <w:proofErr w:type="spellStart"/>
            <w:r w:rsidRPr="00CB70A2">
              <w:rPr>
                <w:rFonts w:ascii="Arial" w:hAnsi="Arial" w:cs="Arial"/>
                <w:sz w:val="24"/>
                <w:szCs w:val="24"/>
              </w:rPr>
              <w:t>edTPA</w:t>
            </w:r>
            <w:proofErr w:type="spellEnd"/>
            <w:r w:rsidRPr="00CB70A2">
              <w:rPr>
                <w:rFonts w:ascii="Arial" w:hAnsi="Arial" w:cs="Arial"/>
                <w:sz w:val="24"/>
                <w:szCs w:val="24"/>
              </w:rPr>
              <w:t xml:space="preserve"> Teaching Performance Assessment</w:t>
            </w:r>
          </w:p>
          <w:p w14:paraId="6D5F3E30" w14:textId="77777777" w:rsidR="00996B0A" w:rsidRDefault="00996B0A" w:rsidP="00996B0A">
            <w:pPr>
              <w:pStyle w:val="ListParagraph"/>
              <w:numPr>
                <w:ilvl w:val="0"/>
                <w:numId w:val="3"/>
              </w:numPr>
              <w:rPr>
                <w:rFonts w:ascii="Arial" w:hAnsi="Arial" w:cs="Arial"/>
                <w:sz w:val="24"/>
                <w:szCs w:val="24"/>
              </w:rPr>
            </w:pPr>
            <w:r w:rsidRPr="00CB70A2">
              <w:rPr>
                <w:rFonts w:ascii="Arial" w:hAnsi="Arial" w:cs="Arial"/>
                <w:sz w:val="24"/>
                <w:szCs w:val="24"/>
              </w:rPr>
              <w:t>California Teacher of English Learners (CTEL)</w:t>
            </w:r>
          </w:p>
          <w:p w14:paraId="79C0154F" w14:textId="77777777" w:rsidR="00996B0A" w:rsidRDefault="00996B0A" w:rsidP="00996B0A">
            <w:pPr>
              <w:pStyle w:val="ListParagraph"/>
              <w:numPr>
                <w:ilvl w:val="0"/>
                <w:numId w:val="3"/>
              </w:numPr>
              <w:rPr>
                <w:rFonts w:ascii="Arial" w:hAnsi="Arial" w:cs="Arial"/>
                <w:sz w:val="24"/>
                <w:szCs w:val="24"/>
              </w:rPr>
            </w:pPr>
            <w:r w:rsidRPr="00CB70A2">
              <w:rPr>
                <w:rFonts w:ascii="Arial" w:hAnsi="Arial" w:cs="Arial"/>
                <w:sz w:val="24"/>
                <w:szCs w:val="24"/>
              </w:rPr>
              <w:t>California Preliminary Administrative Credential Exam (CPACE)</w:t>
            </w:r>
          </w:p>
          <w:p w14:paraId="0BF61991" w14:textId="77777777" w:rsidR="00996B0A" w:rsidRPr="00996B0A" w:rsidRDefault="00996B0A" w:rsidP="00996B0A">
            <w:pPr>
              <w:pStyle w:val="ListParagraph"/>
              <w:numPr>
                <w:ilvl w:val="0"/>
                <w:numId w:val="3"/>
              </w:numPr>
              <w:spacing w:after="240"/>
              <w:rPr>
                <w:rFonts w:ascii="Arial" w:hAnsi="Arial" w:cs="Arial"/>
                <w:sz w:val="24"/>
                <w:szCs w:val="24"/>
              </w:rPr>
            </w:pPr>
            <w:r w:rsidRPr="5EF687F6">
              <w:rPr>
                <w:rFonts w:ascii="Arial" w:hAnsi="Arial" w:cs="Arial"/>
                <w:sz w:val="24"/>
                <w:szCs w:val="24"/>
              </w:rPr>
              <w:t>Reading Instruction Competence Assessment (RICA)</w:t>
            </w:r>
          </w:p>
          <w:p w14:paraId="38B3F8AB" w14:textId="77777777" w:rsidR="00996B0A" w:rsidRPr="00996B0A" w:rsidRDefault="00996B0A" w:rsidP="00996B0A">
            <w:pPr>
              <w:rPr>
                <w:rFonts w:ascii="Arial" w:hAnsi="Arial" w:cs="Arial"/>
                <w:sz w:val="24"/>
                <w:szCs w:val="24"/>
              </w:rPr>
            </w:pPr>
            <w:r w:rsidRPr="5EF687F6">
              <w:rPr>
                <w:rFonts w:ascii="Arial" w:eastAsia="Arial" w:hAnsi="Arial" w:cs="Arial"/>
                <w:sz w:val="24"/>
                <w:szCs w:val="24"/>
              </w:rPr>
              <w:t xml:space="preserve">Fee waivers will be available until the funding for each year runs out. </w:t>
            </w:r>
            <w:r w:rsidRPr="5EF687F6">
              <w:rPr>
                <w:rFonts w:ascii="Arial" w:hAnsi="Arial" w:cs="Arial"/>
                <w:sz w:val="24"/>
                <w:szCs w:val="24"/>
              </w:rPr>
              <w:t xml:space="preserve">Additional information can be found at the following website: </w:t>
            </w:r>
            <w:hyperlink r:id="rId16">
              <w:r w:rsidRPr="5EF687F6">
                <w:rPr>
                  <w:rStyle w:val="Hyperlink"/>
                  <w:rFonts w:ascii="Arial" w:hAnsi="Arial" w:cs="Arial"/>
                  <w:sz w:val="24"/>
                  <w:szCs w:val="24"/>
                </w:rPr>
                <w:t>https://www.ctcexams.nesinc.com/PageView.aspx?f=HTML_FRAG/GENRB_AnnounceFeeWaiver.html</w:t>
              </w:r>
            </w:hyperlink>
            <w:r>
              <w:t>.</w:t>
            </w:r>
          </w:p>
        </w:tc>
      </w:tr>
      <w:tr w:rsidR="00996B0A" w14:paraId="21FA7F5B" w14:textId="77777777" w:rsidTr="50F433E3">
        <w:trPr>
          <w:cantSplit/>
        </w:trPr>
        <w:tc>
          <w:tcPr>
            <w:tcW w:w="1964" w:type="dxa"/>
          </w:tcPr>
          <w:p w14:paraId="096D18C1" w14:textId="77777777" w:rsidR="00996B0A" w:rsidRPr="00996B0A" w:rsidRDefault="00996B0A" w:rsidP="00996B0A">
            <w:pPr>
              <w:rPr>
                <w:rFonts w:ascii="Arial" w:hAnsi="Arial" w:cs="Arial"/>
                <w:sz w:val="24"/>
                <w:szCs w:val="24"/>
              </w:rPr>
            </w:pPr>
            <w:r>
              <w:rPr>
                <w:rFonts w:ascii="Arial" w:hAnsi="Arial" w:cs="Arial"/>
                <w:sz w:val="24"/>
                <w:szCs w:val="24"/>
              </w:rPr>
              <w:t>I</w:t>
            </w:r>
            <w:r w:rsidRPr="000F235D">
              <w:rPr>
                <w:rFonts w:ascii="Arial" w:hAnsi="Arial" w:cs="Arial"/>
                <w:sz w:val="24"/>
                <w:szCs w:val="24"/>
              </w:rPr>
              <w:t>ntegrated Undergraduate Teacher Preparation Grants</w:t>
            </w:r>
          </w:p>
        </w:tc>
        <w:tc>
          <w:tcPr>
            <w:tcW w:w="1245" w:type="dxa"/>
          </w:tcPr>
          <w:p w14:paraId="6E6133E6" w14:textId="77777777" w:rsidR="00996B0A" w:rsidRPr="00996B0A" w:rsidRDefault="00996B0A" w:rsidP="00996B0A">
            <w:pPr>
              <w:rPr>
                <w:rFonts w:ascii="Arial" w:hAnsi="Arial" w:cs="Arial"/>
                <w:sz w:val="24"/>
                <w:szCs w:val="24"/>
              </w:rPr>
            </w:pPr>
            <w:r>
              <w:rPr>
                <w:rFonts w:ascii="Arial" w:hAnsi="Arial" w:cs="Arial"/>
                <w:sz w:val="24"/>
                <w:szCs w:val="24"/>
              </w:rPr>
              <w:t>$20 million</w:t>
            </w:r>
          </w:p>
        </w:tc>
        <w:tc>
          <w:tcPr>
            <w:tcW w:w="9746" w:type="dxa"/>
          </w:tcPr>
          <w:p w14:paraId="5FB46D5F" w14:textId="77777777" w:rsidR="00996B0A" w:rsidRDefault="00996B0A" w:rsidP="00996B0A">
            <w:pPr>
              <w:spacing w:after="240"/>
              <w:rPr>
                <w:rFonts w:ascii="Arial" w:hAnsi="Arial" w:cs="Arial"/>
                <w:sz w:val="24"/>
                <w:szCs w:val="24"/>
              </w:rPr>
            </w:pPr>
            <w:r w:rsidRPr="46D15744">
              <w:rPr>
                <w:rFonts w:ascii="Arial" w:hAnsi="Arial" w:cs="Arial"/>
                <w:sz w:val="24"/>
                <w:szCs w:val="24"/>
              </w:rPr>
              <w:t>This on</w:t>
            </w:r>
            <w:r w:rsidRPr="46D15744">
              <w:rPr>
                <w:rFonts w:ascii="Arial" w:eastAsia="Arial" w:hAnsi="Arial" w:cs="Arial"/>
                <w:sz w:val="24"/>
                <w:szCs w:val="24"/>
              </w:rPr>
              <w:t xml:space="preserve">e-time funding, administered by the CTC, </w:t>
            </w:r>
            <w:r w:rsidRPr="46D15744">
              <w:rPr>
                <w:rFonts w:ascii="Arial" w:eastAsia="Arial" w:hAnsi="Arial" w:cs="Arial"/>
                <w:color w:val="333333"/>
                <w:sz w:val="24"/>
                <w:szCs w:val="24"/>
              </w:rPr>
              <w:t>supports the planning for, creation of, or expansion of four-year integrated programs of professional preparation that produce teachers in the designated shortage fields of special education, bilingual education, science, health, computer science, technology, engineering, mathematics, transitional kindergarten, or kindergarten and/or that partner with a California community college to create an integrated program of professional preparation.</w:t>
            </w:r>
            <w:r w:rsidRPr="46D15744">
              <w:rPr>
                <w:rFonts w:ascii="Arial" w:eastAsia="Arial" w:hAnsi="Arial" w:cs="Arial"/>
                <w:sz w:val="24"/>
                <w:szCs w:val="24"/>
              </w:rPr>
              <w:t xml:space="preserve"> </w:t>
            </w:r>
            <w:r w:rsidRPr="46D15744">
              <w:rPr>
                <w:rFonts w:ascii="Arial" w:eastAsia="Arial" w:hAnsi="Arial" w:cs="Arial"/>
                <w:color w:val="313131"/>
                <w:sz w:val="24"/>
                <w:szCs w:val="24"/>
              </w:rPr>
              <w:t>Applications are due to the Commission by February 13, 2023</w:t>
            </w:r>
            <w:r w:rsidRPr="46D15744">
              <w:rPr>
                <w:rFonts w:ascii="Arial" w:eastAsia="Arial" w:hAnsi="Arial" w:cs="Arial"/>
                <w:sz w:val="24"/>
                <w:szCs w:val="24"/>
              </w:rPr>
              <w:t>.</w:t>
            </w:r>
          </w:p>
          <w:p w14:paraId="59F1A156" w14:textId="77777777" w:rsidR="00996B0A" w:rsidRDefault="00996B0A" w:rsidP="00996B0A">
            <w:pPr>
              <w:rPr>
                <w:rFonts w:ascii="Arial" w:hAnsi="Arial" w:cs="Arial"/>
                <w:sz w:val="24"/>
                <w:szCs w:val="24"/>
              </w:rPr>
            </w:pPr>
            <w:r>
              <w:rPr>
                <w:rFonts w:ascii="Arial" w:hAnsi="Arial" w:cs="Arial"/>
                <w:sz w:val="24"/>
                <w:szCs w:val="24"/>
              </w:rPr>
              <w:t>Additional information can be found at the following website:</w:t>
            </w:r>
          </w:p>
          <w:p w14:paraId="0D2111E8" w14:textId="77777777" w:rsidR="00996B0A" w:rsidRPr="00996B0A" w:rsidRDefault="00CF44C0" w:rsidP="00996B0A">
            <w:pPr>
              <w:rPr>
                <w:rFonts w:ascii="Arial" w:hAnsi="Arial" w:cs="Arial"/>
                <w:sz w:val="24"/>
                <w:szCs w:val="24"/>
              </w:rPr>
            </w:pPr>
            <w:hyperlink r:id="rId17" w:history="1">
              <w:r w:rsidR="00996B0A" w:rsidRPr="007B4BE7">
                <w:rPr>
                  <w:rStyle w:val="Hyperlink"/>
                  <w:rFonts w:ascii="Arial" w:hAnsi="Arial" w:cs="Arial"/>
                  <w:sz w:val="24"/>
                  <w:szCs w:val="24"/>
                </w:rPr>
                <w:t>https://www.ctc.ca.gov/educator-prep/grant-funded-programs/Integrated-Undergraduate-Teacher-Prep-Grants</w:t>
              </w:r>
            </w:hyperlink>
            <w:r w:rsidR="00996B0A">
              <w:t>.</w:t>
            </w:r>
          </w:p>
        </w:tc>
      </w:tr>
      <w:tr w:rsidR="00996B0A" w14:paraId="62540D2C" w14:textId="77777777" w:rsidTr="50F433E3">
        <w:trPr>
          <w:cantSplit/>
        </w:trPr>
        <w:tc>
          <w:tcPr>
            <w:tcW w:w="1964" w:type="dxa"/>
          </w:tcPr>
          <w:p w14:paraId="5C1C210F" w14:textId="77777777" w:rsidR="00996B0A" w:rsidRPr="00996B0A" w:rsidRDefault="00996B0A" w:rsidP="00996B0A">
            <w:pPr>
              <w:rPr>
                <w:rFonts w:ascii="Arial" w:hAnsi="Arial" w:cs="Arial"/>
                <w:sz w:val="24"/>
                <w:szCs w:val="24"/>
              </w:rPr>
            </w:pPr>
            <w:r w:rsidRPr="00AB4478">
              <w:rPr>
                <w:rFonts w:ascii="Arial" w:hAnsi="Arial" w:cs="Arial"/>
                <w:sz w:val="24"/>
                <w:szCs w:val="24"/>
              </w:rPr>
              <w:lastRenderedPageBreak/>
              <w:t>Antibias Education Grant Program</w:t>
            </w:r>
          </w:p>
        </w:tc>
        <w:tc>
          <w:tcPr>
            <w:tcW w:w="1245" w:type="dxa"/>
          </w:tcPr>
          <w:p w14:paraId="404EE381" w14:textId="77777777" w:rsidR="00996B0A" w:rsidRPr="00996B0A" w:rsidRDefault="00996B0A" w:rsidP="00996B0A">
            <w:pPr>
              <w:rPr>
                <w:rFonts w:ascii="Arial" w:hAnsi="Arial" w:cs="Arial"/>
                <w:sz w:val="24"/>
                <w:szCs w:val="24"/>
              </w:rPr>
            </w:pPr>
            <w:r>
              <w:rPr>
                <w:rFonts w:ascii="Arial" w:hAnsi="Arial" w:cs="Arial"/>
                <w:sz w:val="24"/>
                <w:szCs w:val="24"/>
              </w:rPr>
              <w:t>$20 million</w:t>
            </w:r>
          </w:p>
        </w:tc>
        <w:tc>
          <w:tcPr>
            <w:tcW w:w="9746" w:type="dxa"/>
          </w:tcPr>
          <w:p w14:paraId="404772A7" w14:textId="77777777" w:rsidR="00996B0A" w:rsidRDefault="00996B0A" w:rsidP="00324BCC">
            <w:pPr>
              <w:spacing w:after="240"/>
              <w:rPr>
                <w:rFonts w:ascii="Arial" w:hAnsi="Arial" w:cs="Arial"/>
                <w:sz w:val="24"/>
                <w:szCs w:val="24"/>
              </w:rPr>
            </w:pPr>
            <w:r>
              <w:rPr>
                <w:rFonts w:ascii="Arial" w:hAnsi="Arial" w:cs="Arial"/>
                <w:sz w:val="24"/>
                <w:szCs w:val="24"/>
              </w:rPr>
              <w:t>This funding, administered by the CDE, provides LEAs funding for</w:t>
            </w:r>
            <w:r w:rsidRPr="00AB4478">
              <w:rPr>
                <w:rFonts w:ascii="Arial" w:hAnsi="Arial" w:cs="Arial"/>
                <w:sz w:val="24"/>
                <w:szCs w:val="24"/>
              </w:rPr>
              <w:t xml:space="preserve"> training and curriculum to prevent and address bias or prejudice toward any group of people based on race, ethnicity, religion, gender, gender identity, sexual orientation, disability, immigration status, language, or any actual or perceived characteristic listed in </w:t>
            </w:r>
            <w:r w:rsidRPr="00205C74">
              <w:rPr>
                <w:rFonts w:ascii="Arial" w:hAnsi="Arial" w:cs="Arial"/>
                <w:i/>
                <w:sz w:val="24"/>
                <w:szCs w:val="24"/>
              </w:rPr>
              <w:t>Penal Code</w:t>
            </w:r>
            <w:r w:rsidRPr="00AB4478">
              <w:rPr>
                <w:rFonts w:ascii="Arial" w:hAnsi="Arial" w:cs="Arial"/>
                <w:sz w:val="24"/>
                <w:szCs w:val="24"/>
              </w:rPr>
              <w:t xml:space="preserve"> Section 422.55. Emphasis shall be on preventing anti-Semitism and bias or prejudice toward groups including, but not limited to, African Americans, Asian Pacific Islanders, and Latino</w:t>
            </w:r>
            <w:r>
              <w:rPr>
                <w:rFonts w:ascii="Arial" w:hAnsi="Arial" w:cs="Arial"/>
                <w:sz w:val="24"/>
                <w:szCs w:val="24"/>
              </w:rPr>
              <w:t>s.</w:t>
            </w:r>
          </w:p>
          <w:p w14:paraId="2CFC703F" w14:textId="77777777" w:rsidR="00996B0A" w:rsidRDefault="00996B0A" w:rsidP="00324BCC">
            <w:pPr>
              <w:spacing w:after="240"/>
              <w:rPr>
                <w:rFonts w:ascii="Arial" w:eastAsia="Arial" w:hAnsi="Arial" w:cs="Arial"/>
                <w:color w:val="000000" w:themeColor="text1"/>
                <w:sz w:val="24"/>
                <w:szCs w:val="24"/>
              </w:rPr>
            </w:pPr>
            <w:r w:rsidRPr="5EF687F6">
              <w:rPr>
                <w:rFonts w:ascii="Arial" w:eastAsia="Arial" w:hAnsi="Arial" w:cs="Arial"/>
                <w:color w:val="000000" w:themeColor="text1"/>
                <w:sz w:val="24"/>
                <w:szCs w:val="24"/>
              </w:rPr>
              <w:t>Eligible activities for an Antibias Education Grant may include, but are not limited to, any of the following:</w:t>
            </w:r>
          </w:p>
          <w:p w14:paraId="7DFC48D0" w14:textId="77777777" w:rsidR="00996B0A" w:rsidRDefault="00996B0A" w:rsidP="00996B0A">
            <w:pPr>
              <w:pStyle w:val="ListParagraph"/>
              <w:numPr>
                <w:ilvl w:val="0"/>
                <w:numId w:val="1"/>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Professional development on topics that address hate, bigotry, racism, or any form of bias or prejudice, including, but not limited to, classroom management techniques, self-regulation, and strategies designed to increase teachers’ skills for managing pupils in academic and disciplinary settings.</w:t>
            </w:r>
          </w:p>
          <w:p w14:paraId="25C6F9D4" w14:textId="77777777" w:rsidR="00996B0A" w:rsidRDefault="00996B0A" w:rsidP="00996B0A">
            <w:pPr>
              <w:pStyle w:val="ListParagraph"/>
              <w:numPr>
                <w:ilvl w:val="0"/>
                <w:numId w:val="1"/>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Opportunities for teachers, administrators, pupils, other school staff, and members of the governing board or body of the LEA to review policies, practices, and procedures that can promote bias, such as referrals for discipline, special education, and course placement, and to update those policies, practices, and procedures to foster in pupils a sense of belonging and connection.</w:t>
            </w:r>
          </w:p>
          <w:p w14:paraId="01D3E12B" w14:textId="77777777" w:rsidR="00996B0A" w:rsidRDefault="00996B0A" w:rsidP="00996B0A">
            <w:pPr>
              <w:pStyle w:val="ListParagraph"/>
              <w:numPr>
                <w:ilvl w:val="0"/>
                <w:numId w:val="1"/>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The development of a comprehensive diversity plan based on the identified needs of the LEA using its data and tied to specific outcomes, such as increasing staff diversity or more racially proportionate pupil discipline referrals.</w:t>
            </w:r>
          </w:p>
          <w:p w14:paraId="169FC83E" w14:textId="77777777" w:rsidR="00996B0A" w:rsidRDefault="00996B0A" w:rsidP="00996B0A">
            <w:pPr>
              <w:pStyle w:val="ListParagraph"/>
              <w:numPr>
                <w:ilvl w:val="0"/>
                <w:numId w:val="1"/>
              </w:numPr>
              <w:rPr>
                <w:rFonts w:ascii="Arial" w:eastAsia="Arial" w:hAnsi="Arial" w:cs="Arial"/>
                <w:color w:val="000000" w:themeColor="text1"/>
                <w:sz w:val="24"/>
                <w:szCs w:val="24"/>
              </w:rPr>
            </w:pPr>
            <w:r w:rsidRPr="5EF687F6">
              <w:rPr>
                <w:rFonts w:ascii="Arial" w:eastAsia="Arial" w:hAnsi="Arial" w:cs="Arial"/>
                <w:color w:val="000000" w:themeColor="text1"/>
                <w:sz w:val="24"/>
                <w:szCs w:val="24"/>
              </w:rPr>
              <w:t>Curriculum that is appropriate for pupils in kindergarten or any of grades one to twelve, inclusive, on topics that address hate, bigotry, racism, or any form of bias or prejudice.</w:t>
            </w:r>
          </w:p>
          <w:p w14:paraId="516AFBCC" w14:textId="77777777" w:rsidR="00996B0A" w:rsidRPr="00324BCC" w:rsidRDefault="00996B0A" w:rsidP="00324BCC">
            <w:pPr>
              <w:pStyle w:val="ListParagraph"/>
              <w:numPr>
                <w:ilvl w:val="0"/>
                <w:numId w:val="1"/>
              </w:numPr>
              <w:spacing w:after="240"/>
              <w:rPr>
                <w:rFonts w:ascii="Arial" w:eastAsia="Arial" w:hAnsi="Arial" w:cs="Arial"/>
                <w:color w:val="000000" w:themeColor="text1"/>
                <w:sz w:val="24"/>
                <w:szCs w:val="24"/>
              </w:rPr>
            </w:pPr>
            <w:r w:rsidRPr="5EF687F6">
              <w:rPr>
                <w:rFonts w:ascii="Arial" w:eastAsia="Arial" w:hAnsi="Arial" w:cs="Arial"/>
                <w:color w:val="000000" w:themeColor="text1"/>
                <w:sz w:val="24"/>
                <w:szCs w:val="24"/>
              </w:rPr>
              <w:t>Support of pupil-initiated efforts to combat hate, bigotry, racism, or any form of bias or prejudice.</w:t>
            </w:r>
          </w:p>
          <w:p w14:paraId="3CDB0928" w14:textId="77777777" w:rsidR="00996B0A" w:rsidRPr="00996B0A" w:rsidRDefault="009A5BA4" w:rsidP="00996B0A">
            <w:pPr>
              <w:rPr>
                <w:rFonts w:ascii="Arial" w:hAnsi="Arial" w:cs="Arial"/>
                <w:sz w:val="24"/>
                <w:szCs w:val="24"/>
              </w:rPr>
            </w:pPr>
            <w:r w:rsidRPr="5EF687F6">
              <w:rPr>
                <w:rFonts w:ascii="Arial" w:eastAsia="Arial" w:hAnsi="Arial" w:cs="Arial"/>
                <w:sz w:val="24"/>
                <w:szCs w:val="24"/>
              </w:rPr>
              <w:t xml:space="preserve">Applications were due September 30, 2022. </w:t>
            </w:r>
            <w:r w:rsidRPr="5EF687F6">
              <w:rPr>
                <w:rFonts w:ascii="Arial" w:hAnsi="Arial" w:cs="Arial"/>
                <w:sz w:val="24"/>
                <w:szCs w:val="24"/>
              </w:rPr>
              <w:t xml:space="preserve">Additional information can be found at the following website: </w:t>
            </w:r>
            <w:hyperlink r:id="rId18">
              <w:r w:rsidRPr="5EF687F6">
                <w:rPr>
                  <w:rStyle w:val="Hyperlink"/>
                  <w:rFonts w:ascii="Arial" w:hAnsi="Arial" w:cs="Arial"/>
                  <w:sz w:val="24"/>
                  <w:szCs w:val="24"/>
                </w:rPr>
                <w:t>https://www.cde.ca.gov/pd/ps/antibiasgrant.asp</w:t>
              </w:r>
            </w:hyperlink>
            <w:r>
              <w:t>.</w:t>
            </w:r>
          </w:p>
        </w:tc>
      </w:tr>
      <w:tr w:rsidR="00996B0A" w14:paraId="548C7E1A" w14:textId="77777777" w:rsidTr="50F433E3">
        <w:trPr>
          <w:cantSplit/>
        </w:trPr>
        <w:tc>
          <w:tcPr>
            <w:tcW w:w="1964" w:type="dxa"/>
          </w:tcPr>
          <w:p w14:paraId="4CDE48B5" w14:textId="77777777" w:rsidR="00996B0A" w:rsidRPr="00996B0A" w:rsidRDefault="009A5BA4" w:rsidP="00996B0A">
            <w:pPr>
              <w:rPr>
                <w:rFonts w:ascii="Arial" w:hAnsi="Arial" w:cs="Arial"/>
                <w:sz w:val="24"/>
                <w:szCs w:val="24"/>
              </w:rPr>
            </w:pPr>
            <w:r w:rsidRPr="0014734D">
              <w:rPr>
                <w:rFonts w:ascii="Arial" w:hAnsi="Arial" w:cs="Arial"/>
                <w:sz w:val="24"/>
                <w:szCs w:val="24"/>
              </w:rPr>
              <w:lastRenderedPageBreak/>
              <w:t>Supporting Inclusive Practices</w:t>
            </w:r>
          </w:p>
        </w:tc>
        <w:tc>
          <w:tcPr>
            <w:tcW w:w="1245" w:type="dxa"/>
          </w:tcPr>
          <w:p w14:paraId="6B6E5DAB" w14:textId="77777777" w:rsidR="00996B0A" w:rsidRPr="00996B0A" w:rsidRDefault="009A5BA4" w:rsidP="00996B0A">
            <w:pPr>
              <w:rPr>
                <w:rFonts w:ascii="Arial" w:hAnsi="Arial" w:cs="Arial"/>
                <w:sz w:val="24"/>
                <w:szCs w:val="24"/>
              </w:rPr>
            </w:pPr>
            <w:r>
              <w:rPr>
                <w:rFonts w:ascii="Arial" w:hAnsi="Arial" w:cs="Arial"/>
                <w:sz w:val="24"/>
                <w:szCs w:val="24"/>
              </w:rPr>
              <w:t>$15 million</w:t>
            </w:r>
          </w:p>
        </w:tc>
        <w:tc>
          <w:tcPr>
            <w:tcW w:w="9746" w:type="dxa"/>
          </w:tcPr>
          <w:p w14:paraId="22A5D87E" w14:textId="77777777" w:rsidR="009A5BA4" w:rsidRPr="00124F08" w:rsidRDefault="009A5BA4" w:rsidP="009A5BA4">
            <w:pPr>
              <w:rPr>
                <w:rFonts w:ascii="Arial" w:hAnsi="Arial" w:cs="Arial"/>
                <w:sz w:val="24"/>
                <w:szCs w:val="24"/>
              </w:rPr>
            </w:pPr>
            <w:r>
              <w:rPr>
                <w:rFonts w:ascii="Arial" w:hAnsi="Arial" w:cs="Arial"/>
                <w:sz w:val="24"/>
                <w:szCs w:val="24"/>
              </w:rPr>
              <w:t>This funding, administered by the CDE and allocated to the Riverside County Office of Education COE and the El Dorado COE, provides</w:t>
            </w:r>
            <w:r w:rsidRPr="00124F08">
              <w:rPr>
                <w:rFonts w:ascii="Arial" w:hAnsi="Arial" w:cs="Arial"/>
                <w:sz w:val="24"/>
                <w:szCs w:val="24"/>
              </w:rPr>
              <w:t xml:space="preserve"> tiered technical </w:t>
            </w:r>
          </w:p>
          <w:p w14:paraId="6DEB9B00" w14:textId="77777777" w:rsidR="009A5BA4" w:rsidRPr="00124F08" w:rsidRDefault="009A5BA4" w:rsidP="009A5BA4">
            <w:pPr>
              <w:rPr>
                <w:rFonts w:ascii="Arial" w:hAnsi="Arial" w:cs="Arial"/>
                <w:sz w:val="24"/>
                <w:szCs w:val="24"/>
              </w:rPr>
            </w:pPr>
            <w:r w:rsidRPr="00124F08">
              <w:rPr>
                <w:rFonts w:ascii="Arial" w:hAnsi="Arial" w:cs="Arial"/>
                <w:sz w:val="24"/>
                <w:szCs w:val="24"/>
              </w:rPr>
              <w:t xml:space="preserve">assistance and grants to LEAs focused on envisioning, building, implementing, and </w:t>
            </w:r>
          </w:p>
          <w:p w14:paraId="743FAB32" w14:textId="77777777" w:rsidR="009A5BA4" w:rsidRDefault="009A5BA4" w:rsidP="00324BCC">
            <w:pPr>
              <w:spacing w:after="240"/>
              <w:rPr>
                <w:rFonts w:ascii="Arial" w:hAnsi="Arial" w:cs="Arial"/>
                <w:sz w:val="24"/>
                <w:szCs w:val="24"/>
              </w:rPr>
            </w:pPr>
            <w:r w:rsidRPr="5EF687F6">
              <w:rPr>
                <w:rFonts w:ascii="Arial" w:hAnsi="Arial" w:cs="Arial"/>
                <w:sz w:val="24"/>
                <w:szCs w:val="24"/>
              </w:rPr>
              <w:t xml:space="preserve">scaling up evidence-based practices to increase inclusion of children and pupils with disabilities in Pre-K, </w:t>
            </w:r>
            <w:r>
              <w:rPr>
                <w:rFonts w:ascii="Arial" w:hAnsi="Arial" w:cs="Arial"/>
                <w:sz w:val="24"/>
                <w:szCs w:val="24"/>
              </w:rPr>
              <w:t>kindergarten</w:t>
            </w:r>
            <w:r w:rsidRPr="5EF687F6">
              <w:rPr>
                <w:rFonts w:ascii="Arial" w:hAnsi="Arial" w:cs="Arial"/>
                <w:sz w:val="24"/>
                <w:szCs w:val="24"/>
              </w:rPr>
              <w:t>, and grades one through twelve, in general education settings. Priority is given to LEAs that are identified by the CDE as requiring intensive support to improve outcomes for pupils with disabilities.</w:t>
            </w:r>
          </w:p>
          <w:p w14:paraId="6B69805F" w14:textId="77777777" w:rsidR="009A5BA4" w:rsidRDefault="009A5BA4" w:rsidP="009A5BA4">
            <w:pPr>
              <w:rPr>
                <w:rFonts w:ascii="Arial" w:hAnsi="Arial" w:cs="Arial"/>
                <w:sz w:val="24"/>
                <w:szCs w:val="24"/>
              </w:rPr>
            </w:pPr>
            <w:r w:rsidRPr="5EF687F6">
              <w:rPr>
                <w:rFonts w:ascii="Arial" w:hAnsi="Arial" w:cs="Arial"/>
                <w:sz w:val="24"/>
                <w:szCs w:val="24"/>
              </w:rPr>
              <w:t>Funding is available until June 30, 2026. Additional information can be found at the following website:</w:t>
            </w:r>
          </w:p>
          <w:p w14:paraId="139350BA" w14:textId="77777777" w:rsidR="00996B0A" w:rsidRPr="00996B0A" w:rsidRDefault="00CF44C0" w:rsidP="009A5BA4">
            <w:pPr>
              <w:rPr>
                <w:rFonts w:ascii="Arial" w:hAnsi="Arial" w:cs="Arial"/>
                <w:sz w:val="24"/>
                <w:szCs w:val="24"/>
              </w:rPr>
            </w:pPr>
            <w:hyperlink r:id="rId19" w:history="1">
              <w:r w:rsidR="009A5BA4" w:rsidRPr="007B4BE7">
                <w:rPr>
                  <w:rStyle w:val="Hyperlink"/>
                  <w:rFonts w:ascii="Arial" w:hAnsi="Arial" w:cs="Arial"/>
                  <w:sz w:val="24"/>
                  <w:szCs w:val="24"/>
                </w:rPr>
                <w:t>https://leginfo.legislature.ca.gov/faces/billNavClient.xhtml?bill_id=202120220AB130</w:t>
              </w:r>
            </w:hyperlink>
            <w:r w:rsidR="009A5BA4">
              <w:rPr>
                <w:rFonts w:ascii="Arial" w:hAnsi="Arial" w:cs="Arial"/>
                <w:sz w:val="24"/>
                <w:szCs w:val="24"/>
              </w:rPr>
              <w:t>.</w:t>
            </w:r>
          </w:p>
        </w:tc>
      </w:tr>
      <w:tr w:rsidR="00996B0A" w14:paraId="13A3EEF2" w14:textId="77777777" w:rsidTr="50F433E3">
        <w:trPr>
          <w:cantSplit/>
        </w:trPr>
        <w:tc>
          <w:tcPr>
            <w:tcW w:w="1964" w:type="dxa"/>
          </w:tcPr>
          <w:p w14:paraId="1CB17665" w14:textId="77777777" w:rsidR="00996B0A" w:rsidRPr="00996B0A" w:rsidRDefault="009A5BA4" w:rsidP="00996B0A">
            <w:pPr>
              <w:rPr>
                <w:rFonts w:ascii="Arial" w:hAnsi="Arial" w:cs="Arial"/>
                <w:sz w:val="24"/>
                <w:szCs w:val="24"/>
              </w:rPr>
            </w:pPr>
            <w:r>
              <w:rPr>
                <w:rFonts w:ascii="Arial" w:hAnsi="Arial" w:cs="Arial"/>
                <w:sz w:val="24"/>
                <w:szCs w:val="24"/>
              </w:rPr>
              <w:t>Accelerated Reading Support</w:t>
            </w:r>
          </w:p>
        </w:tc>
        <w:tc>
          <w:tcPr>
            <w:tcW w:w="1245" w:type="dxa"/>
          </w:tcPr>
          <w:p w14:paraId="19B1A976" w14:textId="77777777" w:rsidR="00996B0A" w:rsidRPr="00996B0A" w:rsidRDefault="009A5BA4" w:rsidP="00996B0A">
            <w:pPr>
              <w:rPr>
                <w:rFonts w:ascii="Arial" w:hAnsi="Arial" w:cs="Arial"/>
                <w:sz w:val="24"/>
                <w:szCs w:val="24"/>
              </w:rPr>
            </w:pPr>
            <w:r>
              <w:rPr>
                <w:rFonts w:ascii="Arial" w:hAnsi="Arial" w:cs="Arial"/>
                <w:sz w:val="24"/>
                <w:szCs w:val="24"/>
              </w:rPr>
              <w:t>$15 million</w:t>
            </w:r>
          </w:p>
        </w:tc>
        <w:tc>
          <w:tcPr>
            <w:tcW w:w="9746" w:type="dxa"/>
          </w:tcPr>
          <w:p w14:paraId="5118C6F0" w14:textId="77777777" w:rsidR="00996B0A" w:rsidRPr="00996B0A" w:rsidRDefault="009A5BA4" w:rsidP="00996B0A">
            <w:pPr>
              <w:rPr>
                <w:rFonts w:ascii="Arial" w:hAnsi="Arial" w:cs="Arial"/>
                <w:sz w:val="24"/>
                <w:szCs w:val="24"/>
              </w:rPr>
            </w:pPr>
            <w:r w:rsidRPr="5EF687F6">
              <w:rPr>
                <w:rFonts w:ascii="Arial" w:hAnsi="Arial" w:cs="Arial"/>
                <w:sz w:val="24"/>
                <w:szCs w:val="24"/>
              </w:rPr>
              <w:t>One-time funding, administered by the CDE, over three years to support 6,000 teachers complete the necessary coursework to receive supplementary state certification in reading and literacy.</w:t>
            </w:r>
          </w:p>
        </w:tc>
      </w:tr>
    </w:tbl>
    <w:p w14:paraId="672A6659" w14:textId="77777777" w:rsidR="00996B0A" w:rsidRPr="00996B0A" w:rsidRDefault="00996B0A" w:rsidP="00996B0A"/>
    <w:sectPr w:rsidR="00996B0A" w:rsidRPr="00996B0A" w:rsidSect="00943B54">
      <w:headerReference w:type="default" r:id="rId20"/>
      <w:pgSz w:w="15840" w:h="12240" w:orient="landscape"/>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770E" w14:textId="77777777" w:rsidR="00CF44C0" w:rsidRDefault="00CF44C0" w:rsidP="009A5BA4">
      <w:pPr>
        <w:spacing w:after="0" w:line="240" w:lineRule="auto"/>
      </w:pPr>
      <w:r>
        <w:separator/>
      </w:r>
    </w:p>
  </w:endnote>
  <w:endnote w:type="continuationSeparator" w:id="0">
    <w:p w14:paraId="3476DC4B" w14:textId="77777777" w:rsidR="00CF44C0" w:rsidRDefault="00CF44C0" w:rsidP="009A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4CE5" w14:textId="77777777" w:rsidR="00CF44C0" w:rsidRDefault="00CF44C0" w:rsidP="009A5BA4">
      <w:pPr>
        <w:spacing w:after="0" w:line="240" w:lineRule="auto"/>
      </w:pPr>
      <w:r>
        <w:separator/>
      </w:r>
    </w:p>
  </w:footnote>
  <w:footnote w:type="continuationSeparator" w:id="0">
    <w:p w14:paraId="7C4EBD5B" w14:textId="77777777" w:rsidR="00CF44C0" w:rsidRDefault="00CF44C0" w:rsidP="009A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318336367"/>
      <w:docPartObj>
        <w:docPartGallery w:val="Page Numbers (Top of Page)"/>
        <w:docPartUnique/>
      </w:docPartObj>
    </w:sdtPr>
    <w:sdtEndPr/>
    <w:sdtContent>
      <w:p w14:paraId="0E89DDDB" w14:textId="77777777" w:rsidR="009A5BA4" w:rsidRDefault="009A5BA4">
        <w:pPr>
          <w:pStyle w:val="Header"/>
          <w:jc w:val="right"/>
          <w:rPr>
            <w:rFonts w:ascii="Arial" w:hAnsi="Arial" w:cs="Arial"/>
            <w:sz w:val="24"/>
            <w:szCs w:val="24"/>
          </w:rPr>
        </w:pPr>
        <w:r>
          <w:rPr>
            <w:rFonts w:ascii="Arial" w:hAnsi="Arial" w:cs="Arial"/>
            <w:sz w:val="24"/>
            <w:szCs w:val="24"/>
          </w:rPr>
          <w:t>ofab-eed-jan23item01</w:t>
        </w:r>
      </w:p>
      <w:p w14:paraId="476F78AD" w14:textId="77777777" w:rsidR="009A5BA4" w:rsidRDefault="009A5BA4">
        <w:pPr>
          <w:pStyle w:val="Header"/>
          <w:jc w:val="right"/>
          <w:rPr>
            <w:rFonts w:ascii="Arial" w:hAnsi="Arial" w:cs="Arial"/>
            <w:sz w:val="24"/>
            <w:szCs w:val="24"/>
          </w:rPr>
        </w:pPr>
        <w:r>
          <w:rPr>
            <w:rFonts w:ascii="Arial" w:hAnsi="Arial" w:cs="Arial"/>
            <w:sz w:val="24"/>
            <w:szCs w:val="24"/>
          </w:rPr>
          <w:t>Attachment 05</w:t>
        </w:r>
      </w:p>
      <w:p w14:paraId="6CB141C1" w14:textId="77777777" w:rsidR="009A5BA4" w:rsidRPr="009A5BA4" w:rsidRDefault="009A5BA4">
        <w:pPr>
          <w:pStyle w:val="Header"/>
          <w:jc w:val="right"/>
          <w:rPr>
            <w:rFonts w:ascii="Arial" w:hAnsi="Arial" w:cs="Arial"/>
            <w:sz w:val="24"/>
            <w:szCs w:val="24"/>
          </w:rPr>
        </w:pPr>
        <w:r w:rsidRPr="009A5BA4">
          <w:rPr>
            <w:rFonts w:ascii="Arial" w:hAnsi="Arial" w:cs="Arial"/>
            <w:sz w:val="24"/>
            <w:szCs w:val="24"/>
          </w:rPr>
          <w:t xml:space="preserve">Page </w:t>
        </w:r>
        <w:r w:rsidRPr="009A5BA4">
          <w:rPr>
            <w:rFonts w:ascii="Arial" w:hAnsi="Arial" w:cs="Arial"/>
            <w:bCs/>
            <w:sz w:val="24"/>
            <w:szCs w:val="24"/>
          </w:rPr>
          <w:fldChar w:fldCharType="begin"/>
        </w:r>
        <w:r w:rsidRPr="009A5BA4">
          <w:rPr>
            <w:rFonts w:ascii="Arial" w:hAnsi="Arial" w:cs="Arial"/>
            <w:bCs/>
            <w:sz w:val="24"/>
            <w:szCs w:val="24"/>
          </w:rPr>
          <w:instrText xml:space="preserve"> PAGE </w:instrText>
        </w:r>
        <w:r w:rsidRPr="009A5BA4">
          <w:rPr>
            <w:rFonts w:ascii="Arial" w:hAnsi="Arial" w:cs="Arial"/>
            <w:bCs/>
            <w:sz w:val="24"/>
            <w:szCs w:val="24"/>
          </w:rPr>
          <w:fldChar w:fldCharType="separate"/>
        </w:r>
        <w:r w:rsidRPr="009A5BA4">
          <w:rPr>
            <w:rFonts w:ascii="Arial" w:hAnsi="Arial" w:cs="Arial"/>
            <w:bCs/>
            <w:noProof/>
            <w:sz w:val="24"/>
            <w:szCs w:val="24"/>
          </w:rPr>
          <w:t>2</w:t>
        </w:r>
        <w:r w:rsidRPr="009A5BA4">
          <w:rPr>
            <w:rFonts w:ascii="Arial" w:hAnsi="Arial" w:cs="Arial"/>
            <w:bCs/>
            <w:sz w:val="24"/>
            <w:szCs w:val="24"/>
          </w:rPr>
          <w:fldChar w:fldCharType="end"/>
        </w:r>
        <w:r w:rsidRPr="009A5BA4">
          <w:rPr>
            <w:rFonts w:ascii="Arial" w:hAnsi="Arial" w:cs="Arial"/>
            <w:sz w:val="24"/>
            <w:szCs w:val="24"/>
          </w:rPr>
          <w:t xml:space="preserve"> of </w:t>
        </w:r>
        <w:r w:rsidRPr="009A5BA4">
          <w:rPr>
            <w:rFonts w:ascii="Arial" w:hAnsi="Arial" w:cs="Arial"/>
            <w:bCs/>
            <w:sz w:val="24"/>
            <w:szCs w:val="24"/>
          </w:rPr>
          <w:fldChar w:fldCharType="begin"/>
        </w:r>
        <w:r w:rsidRPr="009A5BA4">
          <w:rPr>
            <w:rFonts w:ascii="Arial" w:hAnsi="Arial" w:cs="Arial"/>
            <w:bCs/>
            <w:sz w:val="24"/>
            <w:szCs w:val="24"/>
          </w:rPr>
          <w:instrText xml:space="preserve"> NUMPAGES  </w:instrText>
        </w:r>
        <w:r w:rsidRPr="009A5BA4">
          <w:rPr>
            <w:rFonts w:ascii="Arial" w:hAnsi="Arial" w:cs="Arial"/>
            <w:bCs/>
            <w:sz w:val="24"/>
            <w:szCs w:val="24"/>
          </w:rPr>
          <w:fldChar w:fldCharType="separate"/>
        </w:r>
        <w:r w:rsidRPr="009A5BA4">
          <w:rPr>
            <w:rFonts w:ascii="Arial" w:hAnsi="Arial" w:cs="Arial"/>
            <w:bCs/>
            <w:noProof/>
            <w:sz w:val="24"/>
            <w:szCs w:val="24"/>
          </w:rPr>
          <w:t>2</w:t>
        </w:r>
        <w:r w:rsidRPr="009A5BA4">
          <w:rPr>
            <w:rFonts w:ascii="Arial" w:hAnsi="Arial" w:cs="Arial"/>
            <w:bCs/>
            <w:sz w:val="24"/>
            <w:szCs w:val="24"/>
          </w:rPr>
          <w:fldChar w:fldCharType="end"/>
        </w:r>
      </w:p>
    </w:sdtContent>
  </w:sdt>
  <w:p w14:paraId="0A37501D" w14:textId="77777777" w:rsidR="009A5BA4" w:rsidRDefault="009A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7BB"/>
    <w:multiLevelType w:val="hybridMultilevel"/>
    <w:tmpl w:val="3AF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0C657"/>
    <w:multiLevelType w:val="hybridMultilevel"/>
    <w:tmpl w:val="A96E676C"/>
    <w:lvl w:ilvl="0" w:tplc="23FE41E4">
      <w:start w:val="1"/>
      <w:numFmt w:val="bullet"/>
      <w:lvlText w:val=""/>
      <w:lvlJc w:val="left"/>
      <w:pPr>
        <w:ind w:left="720" w:hanging="360"/>
      </w:pPr>
      <w:rPr>
        <w:rFonts w:ascii="Symbol" w:hAnsi="Symbol" w:hint="default"/>
      </w:rPr>
    </w:lvl>
    <w:lvl w:ilvl="1" w:tplc="236C329E">
      <w:start w:val="1"/>
      <w:numFmt w:val="bullet"/>
      <w:lvlText w:val="o"/>
      <w:lvlJc w:val="left"/>
      <w:pPr>
        <w:ind w:left="1440" w:hanging="360"/>
      </w:pPr>
      <w:rPr>
        <w:rFonts w:ascii="Courier New" w:hAnsi="Courier New" w:hint="default"/>
      </w:rPr>
    </w:lvl>
    <w:lvl w:ilvl="2" w:tplc="6868F602">
      <w:start w:val="1"/>
      <w:numFmt w:val="bullet"/>
      <w:lvlText w:val=""/>
      <w:lvlJc w:val="left"/>
      <w:pPr>
        <w:ind w:left="2160" w:hanging="360"/>
      </w:pPr>
      <w:rPr>
        <w:rFonts w:ascii="Wingdings" w:hAnsi="Wingdings" w:hint="default"/>
      </w:rPr>
    </w:lvl>
    <w:lvl w:ilvl="3" w:tplc="5B7C41E6">
      <w:start w:val="1"/>
      <w:numFmt w:val="bullet"/>
      <w:lvlText w:val=""/>
      <w:lvlJc w:val="left"/>
      <w:pPr>
        <w:ind w:left="2880" w:hanging="360"/>
      </w:pPr>
      <w:rPr>
        <w:rFonts w:ascii="Symbol" w:hAnsi="Symbol" w:hint="default"/>
      </w:rPr>
    </w:lvl>
    <w:lvl w:ilvl="4" w:tplc="86583E70">
      <w:start w:val="1"/>
      <w:numFmt w:val="bullet"/>
      <w:lvlText w:val="o"/>
      <w:lvlJc w:val="left"/>
      <w:pPr>
        <w:ind w:left="3600" w:hanging="360"/>
      </w:pPr>
      <w:rPr>
        <w:rFonts w:ascii="Courier New" w:hAnsi="Courier New" w:hint="default"/>
      </w:rPr>
    </w:lvl>
    <w:lvl w:ilvl="5" w:tplc="DF58EF8E">
      <w:start w:val="1"/>
      <w:numFmt w:val="bullet"/>
      <w:lvlText w:val=""/>
      <w:lvlJc w:val="left"/>
      <w:pPr>
        <w:ind w:left="4320" w:hanging="360"/>
      </w:pPr>
      <w:rPr>
        <w:rFonts w:ascii="Wingdings" w:hAnsi="Wingdings" w:hint="default"/>
      </w:rPr>
    </w:lvl>
    <w:lvl w:ilvl="6" w:tplc="BFFC9C04">
      <w:start w:val="1"/>
      <w:numFmt w:val="bullet"/>
      <w:lvlText w:val=""/>
      <w:lvlJc w:val="left"/>
      <w:pPr>
        <w:ind w:left="5040" w:hanging="360"/>
      </w:pPr>
      <w:rPr>
        <w:rFonts w:ascii="Symbol" w:hAnsi="Symbol" w:hint="default"/>
      </w:rPr>
    </w:lvl>
    <w:lvl w:ilvl="7" w:tplc="D46A6E60">
      <w:start w:val="1"/>
      <w:numFmt w:val="bullet"/>
      <w:lvlText w:val="o"/>
      <w:lvlJc w:val="left"/>
      <w:pPr>
        <w:ind w:left="5760" w:hanging="360"/>
      </w:pPr>
      <w:rPr>
        <w:rFonts w:ascii="Courier New" w:hAnsi="Courier New" w:hint="default"/>
      </w:rPr>
    </w:lvl>
    <w:lvl w:ilvl="8" w:tplc="D624CBDC">
      <w:start w:val="1"/>
      <w:numFmt w:val="bullet"/>
      <w:lvlText w:val=""/>
      <w:lvlJc w:val="left"/>
      <w:pPr>
        <w:ind w:left="6480" w:hanging="360"/>
      </w:pPr>
      <w:rPr>
        <w:rFonts w:ascii="Wingdings" w:hAnsi="Wingdings" w:hint="default"/>
      </w:rPr>
    </w:lvl>
  </w:abstractNum>
  <w:abstractNum w:abstractNumId="2" w15:restartNumberingAfterBreak="0">
    <w:nsid w:val="4509324B"/>
    <w:multiLevelType w:val="hybridMultilevel"/>
    <w:tmpl w:val="BEC0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0A"/>
    <w:rsid w:val="00077704"/>
    <w:rsid w:val="000A25FF"/>
    <w:rsid w:val="002E269F"/>
    <w:rsid w:val="00324BCC"/>
    <w:rsid w:val="0036235B"/>
    <w:rsid w:val="008567D2"/>
    <w:rsid w:val="00943B54"/>
    <w:rsid w:val="00996B0A"/>
    <w:rsid w:val="009A5BA4"/>
    <w:rsid w:val="00B40A53"/>
    <w:rsid w:val="00C16BCC"/>
    <w:rsid w:val="00CF44C0"/>
    <w:rsid w:val="00D57B2E"/>
    <w:rsid w:val="00E60595"/>
    <w:rsid w:val="00E63947"/>
    <w:rsid w:val="00E72669"/>
    <w:rsid w:val="50F4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AA10"/>
  <w15:chartTrackingRefBased/>
  <w15:docId w15:val="{2B34867C-1DC5-4AB1-8961-94320C65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B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B0A"/>
    <w:pPr>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996B0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9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B0A"/>
    <w:pPr>
      <w:ind w:left="720"/>
      <w:contextualSpacing/>
    </w:pPr>
  </w:style>
  <w:style w:type="character" w:styleId="Hyperlink">
    <w:name w:val="Hyperlink"/>
    <w:basedOn w:val="DefaultParagraphFont"/>
    <w:uiPriority w:val="99"/>
    <w:unhideWhenUsed/>
    <w:rsid w:val="00996B0A"/>
    <w:rPr>
      <w:color w:val="0563C1" w:themeColor="hyperlink"/>
      <w:u w:val="single"/>
    </w:rPr>
  </w:style>
  <w:style w:type="paragraph" w:styleId="Header">
    <w:name w:val="header"/>
    <w:basedOn w:val="Normal"/>
    <w:link w:val="HeaderChar"/>
    <w:uiPriority w:val="99"/>
    <w:unhideWhenUsed/>
    <w:rsid w:val="009A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A4"/>
  </w:style>
  <w:style w:type="paragraph" w:styleId="Footer">
    <w:name w:val="footer"/>
    <w:basedOn w:val="Normal"/>
    <w:link w:val="FooterChar"/>
    <w:uiPriority w:val="99"/>
    <w:unhideWhenUsed/>
    <w:rsid w:val="009A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A4"/>
  </w:style>
  <w:style w:type="paragraph" w:styleId="BalloonText">
    <w:name w:val="Balloon Text"/>
    <w:basedOn w:val="Normal"/>
    <w:link w:val="BalloonTextChar"/>
    <w:uiPriority w:val="99"/>
    <w:semiHidden/>
    <w:unhideWhenUsed/>
    <w:rsid w:val="009A5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A4"/>
    <w:rPr>
      <w:rFonts w:ascii="Segoe UI" w:hAnsi="Segoe UI" w:cs="Segoe UI"/>
      <w:sz w:val="18"/>
      <w:szCs w:val="18"/>
    </w:rPr>
  </w:style>
  <w:style w:type="paragraph" w:styleId="Caption">
    <w:name w:val="caption"/>
    <w:basedOn w:val="Normal"/>
    <w:next w:val="Normal"/>
    <w:uiPriority w:val="35"/>
    <w:unhideWhenUsed/>
    <w:qFormat/>
    <w:rsid w:val="00B40A5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fg/fo/profile.asp?id=5753&amp;recID=5753" TargetMode="External"/><Relationship Id="rId18" Type="http://schemas.openxmlformats.org/officeDocument/2006/relationships/hyperlink" Target="https://www.cde.ca.gov/pd/ps/antibiasgrant.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sac.ca.gov/golden-state-teacher-grant-program" TargetMode="External"/><Relationship Id="rId17" Type="http://schemas.openxmlformats.org/officeDocument/2006/relationships/hyperlink" Target="https://www.ctc.ca.gov/educator-prep/grant-funded-programs/Integrated-Undergraduate-Teacher-Prep-Grants" TargetMode="External"/><Relationship Id="rId2" Type="http://schemas.openxmlformats.org/officeDocument/2006/relationships/customXml" Target="../customXml/item2.xml"/><Relationship Id="rId16" Type="http://schemas.openxmlformats.org/officeDocument/2006/relationships/hyperlink" Target="https://www.ctcexams.nesinc.com/PageView.aspx?f=HTML_FRAG/GENRB_AnnounceFeeWaiver.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c.ca.gov/educator-prep/grant-funded-programs/teacher-residency-grant-program" TargetMode="External"/><Relationship Id="rId5" Type="http://schemas.openxmlformats.org/officeDocument/2006/relationships/styles" Target="styles.xml"/><Relationship Id="rId15" Type="http://schemas.openxmlformats.org/officeDocument/2006/relationships/hyperlink" Target="https://www.cde.ca.gov/fg/fo/r2/eetdg22rfa.asp" TargetMode="External"/><Relationship Id="rId10" Type="http://schemas.openxmlformats.org/officeDocument/2006/relationships/hyperlink" Target="https://www.cde.ca.gov/pd/ee/eef2021.asp" TargetMode="External"/><Relationship Id="rId19" Type="http://schemas.openxmlformats.org/officeDocument/2006/relationships/hyperlink" Target="https://leginfo.legislature.ca.gov/faces/billNavClient.xhtml?bill_id=202120220AB1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pd/ps/nbptsprogram.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92aa00-d659-46d6-b4cf-e266ad63a1ef" xsi:nil="true"/>
    <lcf76f155ced4ddcb4097134ff3c332f xmlns="d173ea53-e63a-4839-8c69-aececa15c4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15" ma:contentTypeDescription="Create a new document." ma:contentTypeScope="" ma:versionID="002731b133eef8537b576990d75e1e13">
  <xsd:schema xmlns:xsd="http://www.w3.org/2001/XMLSchema" xmlns:xs="http://www.w3.org/2001/XMLSchema" xmlns:p="http://schemas.microsoft.com/office/2006/metadata/properties" xmlns:ns2="d173ea53-e63a-4839-8c69-aececa15c404" xmlns:ns3="6a92aa00-d659-46d6-b4cf-e266ad63a1ef" targetNamespace="http://schemas.microsoft.com/office/2006/metadata/properties" ma:root="true" ma:fieldsID="70640a7e95593793bd1bd28d8e5d8fe6" ns2:_="" ns3:_="">
    <xsd:import namespace="d173ea53-e63a-4839-8c69-aececa15c404"/>
    <xsd:import namespace="6a92aa00-d659-46d6-b4cf-e266ad63a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2aa00-d659-46d6-b4cf-e266ad63a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82f5b4-51a7-4175-a92b-3646e7a3fcc1}" ma:internalName="TaxCatchAll" ma:showField="CatchAllData" ma:web="6a92aa00-d659-46d6-b4cf-e266ad63a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5E2C6-33A6-4D51-8DAB-6D726A94DFED}">
  <ds:schemaRefs>
    <ds:schemaRef ds:uri="http://schemas.microsoft.com/sharepoint/v3/contenttype/forms"/>
  </ds:schemaRefs>
</ds:datastoreItem>
</file>

<file path=customXml/itemProps2.xml><?xml version="1.0" encoding="utf-8"?>
<ds:datastoreItem xmlns:ds="http://schemas.openxmlformats.org/officeDocument/2006/customXml" ds:itemID="{E0B2041D-51BC-4B4F-BF95-91152E7AF541}">
  <ds:schemaRefs>
    <ds:schemaRef ds:uri="http://schemas.microsoft.com/office/2006/metadata/properties"/>
    <ds:schemaRef ds:uri="http://schemas.microsoft.com/office/infopath/2007/PartnerControls"/>
    <ds:schemaRef ds:uri="6a92aa00-d659-46d6-b4cf-e266ad63a1ef"/>
    <ds:schemaRef ds:uri="d173ea53-e63a-4839-8c69-aececa15c404"/>
  </ds:schemaRefs>
</ds:datastoreItem>
</file>

<file path=customXml/itemProps3.xml><?xml version="1.0" encoding="utf-8"?>
<ds:datastoreItem xmlns:ds="http://schemas.openxmlformats.org/officeDocument/2006/customXml" ds:itemID="{C4A1D87F-144F-42FD-B596-0A897A2DC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6a92aa00-d659-46d6-b4cf-e266ad6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2177</Words>
  <Characters>12414</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January 2023 Agenda Item 10 Attachment 5 - Meeting Agendas (CA State Board of Education)</vt:lpstr>
    </vt:vector>
  </TitlesOfParts>
  <Company>California State Board of Education</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10 Attachment 5 - Meeting Agendas (CA State Board of Education)</dc:title>
  <dc:subject>Universal PreKindergarten Teacher Pipeline and Professional Learning Resources.</dc:subject>
  <cp:keywords/>
  <dc:description/>
  <dcterms:created xsi:type="dcterms:W3CDTF">2023-01-06T18:23:00Z</dcterms:created>
  <dcterms:modified xsi:type="dcterms:W3CDTF">2023-01-07T01:50:00Z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0x0101008C7A379D3C8A3145B9B5460A5FBAA94E</vt:lpwstr>
  </property>
  <property fmtid="{D5CDD505-2E9C-101B-9397-08002B2CF9AE}" pid="3" name="MediaServiceImageTags">
    <vt:lpwstr/>
  </property>
</Properties>
</file>