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6E97F428" w:rsidR="004F304D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 xml:space="preserve">: </w:t>
      </w:r>
      <w:r w:rsidR="00775A2B">
        <w:rPr>
          <w:sz w:val="32"/>
          <w:szCs w:val="36"/>
        </w:rPr>
        <w:t>202</w:t>
      </w:r>
      <w:r w:rsidR="00D27F12">
        <w:rPr>
          <w:sz w:val="32"/>
          <w:szCs w:val="36"/>
        </w:rPr>
        <w:t>2</w:t>
      </w:r>
      <w:r w:rsidR="00775A2B">
        <w:rPr>
          <w:sz w:val="32"/>
          <w:szCs w:val="36"/>
        </w:rPr>
        <w:t>–2</w:t>
      </w:r>
      <w:r w:rsidR="00D27F12">
        <w:rPr>
          <w:sz w:val="32"/>
          <w:szCs w:val="36"/>
        </w:rPr>
        <w:t>3</w:t>
      </w:r>
      <w:r w:rsidR="00775A2B">
        <w:rPr>
          <w:sz w:val="32"/>
          <w:szCs w:val="36"/>
        </w:rPr>
        <w:t xml:space="preserve"> </w:t>
      </w:r>
      <w:r w:rsidRPr="00C73480">
        <w:rPr>
          <w:sz w:val="32"/>
          <w:szCs w:val="36"/>
        </w:rPr>
        <w:t>Career Technical Education Incentive Grant Specific Proposed Funding Amounts and Number of Grant Awards</w:t>
      </w:r>
      <w:r w:rsidR="00775A2B">
        <w:rPr>
          <w:sz w:val="32"/>
          <w:szCs w:val="36"/>
        </w:rPr>
        <w:t xml:space="preserve"> Round 8B</w:t>
      </w:r>
    </w:p>
    <w:p w14:paraId="79848310" w14:textId="72635063" w:rsidR="001951B8" w:rsidRPr="004F27AA" w:rsidRDefault="001951B8" w:rsidP="001951B8">
      <w:r w:rsidRPr="004F27AA">
        <w:t>*Award amounts listed in the tables below may vary from what was posted on</w:t>
      </w:r>
      <w:r w:rsidRPr="004F27AA">
        <w:br/>
      </w:r>
      <w:r w:rsidR="00791AD7" w:rsidRPr="004F27AA">
        <w:t>February 6</w:t>
      </w:r>
      <w:r w:rsidRPr="004F27AA">
        <w:t>, 202</w:t>
      </w:r>
      <w:r w:rsidR="00791AD7" w:rsidRPr="004F27AA">
        <w:t>3</w:t>
      </w:r>
      <w:r w:rsidRPr="004F27AA">
        <w:t xml:space="preserve">. The California Department of Education and State Board of Education (SBE) staff determined that the values for positive consideration factors for Round </w:t>
      </w:r>
      <w:r w:rsidR="00B8641C" w:rsidRPr="004F27AA">
        <w:t>8</w:t>
      </w:r>
      <w:r w:rsidRPr="004F27AA">
        <w:t xml:space="preserve">B should be the same as what the SBE approved in </w:t>
      </w:r>
      <w:r w:rsidR="00496316" w:rsidRPr="004F27AA">
        <w:t>January</w:t>
      </w:r>
      <w:r w:rsidRPr="004F27AA">
        <w:t xml:space="preserve"> 202</w:t>
      </w:r>
      <w:r w:rsidR="00791AD7" w:rsidRPr="004F27AA">
        <w:t>3</w:t>
      </w:r>
      <w:r w:rsidRPr="004F27AA">
        <w:t xml:space="preserve"> for Round</w:t>
      </w:r>
      <w:r w:rsidR="00B8641C" w:rsidRPr="004F27AA">
        <w:t xml:space="preserve"> 8</w:t>
      </w:r>
      <w:r w:rsidRPr="004F27AA">
        <w:t xml:space="preserve">A. Due to this recalculation, </w:t>
      </w:r>
      <w:r w:rsidR="00791AD7" w:rsidRPr="004F27AA">
        <w:t>one preliminary a</w:t>
      </w:r>
      <w:r w:rsidRPr="004F27AA">
        <w:t>llocation</w:t>
      </w:r>
      <w:r w:rsidR="00791AD7" w:rsidRPr="004F27AA">
        <w:t xml:space="preserve"> de</w:t>
      </w:r>
      <w:r w:rsidRPr="004F27AA">
        <w:t>creased, as noted by the asterisk in Table</w:t>
      </w:r>
      <w:r w:rsidR="00791AD7" w:rsidRPr="004F27AA">
        <w:t xml:space="preserve"> </w:t>
      </w:r>
      <w:r w:rsidRPr="004F27AA">
        <w:t>3 below.</w:t>
      </w:r>
    </w:p>
    <w:p w14:paraId="68D78530" w14:textId="3CB048CE" w:rsidR="00466FC3" w:rsidRPr="00C73480" w:rsidRDefault="004F304D" w:rsidP="004F27AA">
      <w:pPr>
        <w:pStyle w:val="Heading2"/>
        <w:spacing w:after="120"/>
      </w:pPr>
      <w:r w:rsidRPr="00B00B07">
        <w:t>Table 1</w:t>
      </w:r>
      <w:r w:rsidR="004547EF" w:rsidRPr="00B00B07">
        <w:t>.</w:t>
      </w:r>
      <w:r w:rsidRPr="00B00B07">
        <w:t xml:space="preserve"> Small Category: </w:t>
      </w:r>
      <w:r w:rsidR="00F64437" w:rsidRPr="00B00B07">
        <w:t>A</w:t>
      </w:r>
      <w:r w:rsidR="003D4AB8" w:rsidRPr="00B00B07">
        <w:t xml:space="preserve">verage </w:t>
      </w:r>
      <w:r w:rsidR="00F64437" w:rsidRPr="00B00B07">
        <w:t>D</w:t>
      </w:r>
      <w:r w:rsidR="003D4AB8" w:rsidRPr="00B00B07">
        <w:t xml:space="preserve">aily </w:t>
      </w:r>
      <w:r w:rsidR="00F64437" w:rsidRPr="00B00B07">
        <w:t>A</w:t>
      </w:r>
      <w:r w:rsidR="003D4AB8" w:rsidRPr="00B00B07">
        <w:t>ttendance (ADA)</w:t>
      </w:r>
      <w:r w:rsidR="004547EF" w:rsidRPr="00B00B07">
        <w:t xml:space="preserve"> of less than or equal to 140</w:t>
      </w:r>
    </w:p>
    <w:tbl>
      <w:tblPr>
        <w:tblStyle w:val="TableGrid"/>
        <w:tblW w:w="10080" w:type="dxa"/>
        <w:tblLook w:val="04A0" w:firstRow="1" w:lastRow="0" w:firstColumn="1" w:lastColumn="0" w:noHBand="0" w:noVBand="1"/>
        <w:tblDescription w:val="Table 1 Small Category Preliminary Allocation Funding Results."/>
      </w:tblPr>
      <w:tblGrid>
        <w:gridCol w:w="960"/>
        <w:gridCol w:w="2160"/>
        <w:gridCol w:w="4680"/>
        <w:gridCol w:w="2280"/>
      </w:tblGrid>
      <w:tr w:rsidR="008079A2" w:rsidRPr="00C73480" w14:paraId="42C32D32" w14:textId="77777777" w:rsidTr="003C58CF">
        <w:trPr>
          <w:cantSplit/>
          <w:trHeight w:val="782"/>
          <w:tblHeader/>
        </w:trPr>
        <w:tc>
          <w:tcPr>
            <w:tcW w:w="960" w:type="dxa"/>
            <w:hideMark/>
          </w:tcPr>
          <w:p w14:paraId="112C1E01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hideMark/>
          </w:tcPr>
          <w:p w14:paraId="6487D56B" w14:textId="0A2C747E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C</w:t>
            </w:r>
            <w:r w:rsidR="003D4AB8" w:rsidRPr="00C73480">
              <w:rPr>
                <w:rFonts w:cs="Arial"/>
                <w:b/>
                <w:bCs/>
                <w:color w:val="000000"/>
              </w:rPr>
              <w:t>ounty-</w:t>
            </w:r>
            <w:r w:rsidRPr="00C73480">
              <w:rPr>
                <w:rFonts w:cs="Arial"/>
                <w:b/>
                <w:bCs/>
                <w:color w:val="000000"/>
              </w:rPr>
              <w:t>D</w:t>
            </w:r>
            <w:r w:rsidR="003D4AB8" w:rsidRPr="00C73480">
              <w:rPr>
                <w:rFonts w:cs="Arial"/>
                <w:b/>
                <w:bCs/>
                <w:color w:val="000000"/>
              </w:rPr>
              <w:t>istrict-</w:t>
            </w:r>
            <w:r w:rsidRPr="00C73480">
              <w:rPr>
                <w:rFonts w:cs="Arial"/>
                <w:b/>
                <w:bCs/>
                <w:color w:val="000000"/>
              </w:rPr>
              <w:t>S</w:t>
            </w:r>
            <w:r w:rsidR="003D4AB8" w:rsidRPr="00C73480">
              <w:rPr>
                <w:rFonts w:cs="Arial"/>
                <w:b/>
                <w:bCs/>
                <w:color w:val="000000"/>
              </w:rPr>
              <w:t>chool (CDS)</w:t>
            </w:r>
            <w:r w:rsidRPr="00C73480">
              <w:rPr>
                <w:rFonts w:cs="Arial"/>
                <w:b/>
                <w:bCs/>
                <w:color w:val="000000"/>
              </w:rPr>
              <w:t xml:space="preserve"> Code</w:t>
            </w:r>
          </w:p>
        </w:tc>
        <w:tc>
          <w:tcPr>
            <w:tcW w:w="4680" w:type="dxa"/>
            <w:hideMark/>
          </w:tcPr>
          <w:p w14:paraId="4A134788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80" w:type="dxa"/>
            <w:hideMark/>
          </w:tcPr>
          <w:p w14:paraId="60AC0831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D226E4" w:rsidRPr="00C73480" w14:paraId="5489586A" w14:textId="77777777" w:rsidTr="006558FB">
        <w:trPr>
          <w:cantSplit/>
          <w:trHeight w:val="310"/>
          <w:tblHeader/>
        </w:trPr>
        <w:tc>
          <w:tcPr>
            <w:tcW w:w="960" w:type="dxa"/>
            <w:noWrap/>
            <w:vAlign w:val="bottom"/>
            <w:hideMark/>
          </w:tcPr>
          <w:p w14:paraId="54A9B87F" w14:textId="5E027B49" w:rsidR="00D226E4" w:rsidRPr="00C73480" w:rsidRDefault="00D226E4" w:rsidP="00D226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14:paraId="0E17B81B" w14:textId="6961D7B5" w:rsidR="00D226E4" w:rsidRPr="00C73480" w:rsidRDefault="00D226E4" w:rsidP="00D226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11626530000000</w:t>
            </w:r>
          </w:p>
        </w:tc>
        <w:tc>
          <w:tcPr>
            <w:tcW w:w="4680" w:type="dxa"/>
            <w:noWrap/>
            <w:vAlign w:val="bottom"/>
            <w:hideMark/>
          </w:tcPr>
          <w:p w14:paraId="3EFEA0BA" w14:textId="4B0C12CE" w:rsidR="00D226E4" w:rsidRPr="00C73480" w:rsidRDefault="00D226E4" w:rsidP="00D226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Stony Creek Joint Unified</w:t>
            </w:r>
          </w:p>
        </w:tc>
        <w:tc>
          <w:tcPr>
            <w:tcW w:w="2280" w:type="dxa"/>
            <w:noWrap/>
            <w:vAlign w:val="bottom"/>
            <w:hideMark/>
          </w:tcPr>
          <w:p w14:paraId="4968CCE5" w14:textId="38DDD263" w:rsidR="00D226E4" w:rsidRPr="00C73480" w:rsidRDefault="00D226E4" w:rsidP="00D226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$15,000</w:t>
            </w:r>
          </w:p>
        </w:tc>
      </w:tr>
    </w:tbl>
    <w:p w14:paraId="4318D1CB" w14:textId="7911D74F" w:rsidR="00BE0925" w:rsidRPr="00C73480" w:rsidRDefault="004F304D" w:rsidP="004F27AA">
      <w:pPr>
        <w:spacing w:before="12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 xml:space="preserve">Total Small Category Preliminary </w:t>
      </w:r>
      <w:r w:rsidRPr="00C73480">
        <w:t>Allocation</w:t>
      </w:r>
      <w:r w:rsidR="00BE0925" w:rsidRPr="00C73480">
        <w:t xml:space="preserve"> </w:t>
      </w:r>
      <w:r w:rsidR="00A62170" w:rsidRPr="00775A2B">
        <w:t>$</w:t>
      </w:r>
      <w:r w:rsidR="00D226E4" w:rsidRPr="00775A2B">
        <w:t>15,000</w:t>
      </w:r>
    </w:p>
    <w:p w14:paraId="438CA119" w14:textId="3A9D3E02" w:rsidR="004F304D" w:rsidRPr="00C73480" w:rsidRDefault="004F304D" w:rsidP="004F27AA">
      <w:pPr>
        <w:pStyle w:val="Heading2"/>
        <w:spacing w:before="0" w:after="120"/>
      </w:pPr>
      <w:r w:rsidRPr="00C73480">
        <w:t>Table 2</w:t>
      </w:r>
      <w:r w:rsidR="004547EF" w:rsidRPr="00C73480">
        <w:t>.</w:t>
      </w:r>
      <w:r w:rsidRPr="00C73480">
        <w:t xml:space="preserve"> Medium Category: </w:t>
      </w:r>
      <w:r w:rsidR="004547EF" w:rsidRPr="00C73480">
        <w:t>ADA of 141 to 550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Table 2 Medium Category Preliminary Allocation Funding Results."/>
      </w:tblPr>
      <w:tblGrid>
        <w:gridCol w:w="960"/>
        <w:gridCol w:w="2160"/>
        <w:gridCol w:w="4705"/>
        <w:gridCol w:w="2250"/>
      </w:tblGrid>
      <w:tr w:rsidR="008079A2" w:rsidRPr="00C73480" w14:paraId="4DF18EAC" w14:textId="77777777" w:rsidTr="00C87642">
        <w:trPr>
          <w:cantSplit/>
          <w:trHeight w:val="539"/>
          <w:tblHeader/>
        </w:trPr>
        <w:tc>
          <w:tcPr>
            <w:tcW w:w="960" w:type="dxa"/>
            <w:vAlign w:val="center"/>
            <w:hideMark/>
          </w:tcPr>
          <w:p w14:paraId="62850636" w14:textId="77777777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244C248E" w14:textId="77777777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05" w:type="dxa"/>
            <w:vAlign w:val="center"/>
            <w:hideMark/>
          </w:tcPr>
          <w:p w14:paraId="18231462" w14:textId="51AB3176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50" w:type="dxa"/>
            <w:vAlign w:val="center"/>
            <w:hideMark/>
          </w:tcPr>
          <w:p w14:paraId="14D1C14E" w14:textId="77777777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D226E4" w:rsidRPr="00D226E4" w14:paraId="4D788B8D" w14:textId="77777777" w:rsidTr="00C87642">
        <w:trPr>
          <w:cantSplit/>
          <w:trHeight w:val="310"/>
        </w:trPr>
        <w:tc>
          <w:tcPr>
            <w:tcW w:w="960" w:type="dxa"/>
            <w:noWrap/>
            <w:hideMark/>
          </w:tcPr>
          <w:p w14:paraId="0C1FDE2D" w14:textId="77777777" w:rsidR="00D226E4" w:rsidRPr="00D226E4" w:rsidRDefault="00D226E4" w:rsidP="00D226E4">
            <w:pPr>
              <w:jc w:val="center"/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14:paraId="3D9B1E0B" w14:textId="77777777" w:rsidR="00D226E4" w:rsidRPr="00D226E4" w:rsidRDefault="00D226E4" w:rsidP="00D226E4">
            <w:pPr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30666700135897</w:t>
            </w:r>
          </w:p>
        </w:tc>
        <w:tc>
          <w:tcPr>
            <w:tcW w:w="4705" w:type="dxa"/>
            <w:noWrap/>
            <w:hideMark/>
          </w:tcPr>
          <w:p w14:paraId="02DC6098" w14:textId="77777777" w:rsidR="00D226E4" w:rsidRPr="00D226E4" w:rsidRDefault="00D226E4" w:rsidP="00D226E4">
            <w:pPr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Advanced Learning Academy</w:t>
            </w:r>
          </w:p>
        </w:tc>
        <w:tc>
          <w:tcPr>
            <w:tcW w:w="2250" w:type="dxa"/>
            <w:hideMark/>
          </w:tcPr>
          <w:p w14:paraId="5B725D77" w14:textId="77777777" w:rsidR="00D226E4" w:rsidRPr="00D226E4" w:rsidRDefault="00D226E4" w:rsidP="00D226E4">
            <w:pPr>
              <w:jc w:val="center"/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$164,288</w:t>
            </w:r>
          </w:p>
        </w:tc>
      </w:tr>
      <w:tr w:rsidR="00D226E4" w:rsidRPr="00D226E4" w14:paraId="370A8FA0" w14:textId="77777777" w:rsidTr="00C87642">
        <w:trPr>
          <w:cantSplit/>
          <w:trHeight w:val="620"/>
        </w:trPr>
        <w:tc>
          <w:tcPr>
            <w:tcW w:w="960" w:type="dxa"/>
            <w:noWrap/>
            <w:hideMark/>
          </w:tcPr>
          <w:p w14:paraId="248E9197" w14:textId="77777777" w:rsidR="00D226E4" w:rsidRPr="00D226E4" w:rsidRDefault="00D226E4" w:rsidP="00D226E4">
            <w:pPr>
              <w:jc w:val="center"/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14:paraId="0C7420E1" w14:textId="77777777" w:rsidR="00D226E4" w:rsidRPr="00D226E4" w:rsidRDefault="00D226E4" w:rsidP="00D226E4">
            <w:pPr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36678763630993</w:t>
            </w:r>
          </w:p>
        </w:tc>
        <w:tc>
          <w:tcPr>
            <w:tcW w:w="4705" w:type="dxa"/>
            <w:hideMark/>
          </w:tcPr>
          <w:p w14:paraId="5E1E151A" w14:textId="77777777" w:rsidR="00D226E4" w:rsidRPr="00D226E4" w:rsidRDefault="00D226E4" w:rsidP="00D226E4">
            <w:pPr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Provisional Accelerated Learning Academy</w:t>
            </w:r>
          </w:p>
        </w:tc>
        <w:tc>
          <w:tcPr>
            <w:tcW w:w="2250" w:type="dxa"/>
            <w:noWrap/>
            <w:hideMark/>
          </w:tcPr>
          <w:p w14:paraId="431C7D95" w14:textId="77777777" w:rsidR="00D226E4" w:rsidRPr="00D226E4" w:rsidRDefault="00D226E4" w:rsidP="00D226E4">
            <w:pPr>
              <w:jc w:val="center"/>
              <w:rPr>
                <w:rFonts w:cs="Arial"/>
                <w:color w:val="000000"/>
              </w:rPr>
            </w:pPr>
            <w:r w:rsidRPr="00D226E4">
              <w:rPr>
                <w:rFonts w:cs="Arial"/>
                <w:color w:val="000000"/>
              </w:rPr>
              <w:t>$200,000</w:t>
            </w:r>
          </w:p>
        </w:tc>
      </w:tr>
    </w:tbl>
    <w:p w14:paraId="166CF683" w14:textId="2F46CEDC" w:rsidR="00B81142" w:rsidRPr="00C73480" w:rsidRDefault="004F304D" w:rsidP="004F27AA">
      <w:pPr>
        <w:spacing w:before="12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>Total Medium C</w:t>
      </w:r>
      <w:r w:rsidR="00CC00B0" w:rsidRPr="00C73480">
        <w:rPr>
          <w:rFonts w:cs="Arial"/>
        </w:rPr>
        <w:t>ategory Preliminary Allocation</w:t>
      </w:r>
      <w:r w:rsidR="00BE0925" w:rsidRPr="00C73480">
        <w:rPr>
          <w:rFonts w:cs="Arial"/>
        </w:rPr>
        <w:t xml:space="preserve"> </w:t>
      </w:r>
      <w:r w:rsidR="00A62170" w:rsidRPr="00775A2B">
        <w:rPr>
          <w:rFonts w:cs="Arial"/>
        </w:rPr>
        <w:t>$</w:t>
      </w:r>
      <w:r w:rsidR="00D226E4" w:rsidRPr="00775A2B">
        <w:rPr>
          <w:rFonts w:cs="Arial"/>
        </w:rPr>
        <w:t>364,288</w:t>
      </w:r>
    </w:p>
    <w:p w14:paraId="5C7FE35A" w14:textId="37E7B665" w:rsidR="004F304D" w:rsidRPr="00C73480" w:rsidRDefault="004F304D" w:rsidP="004F27AA">
      <w:pPr>
        <w:pStyle w:val="Heading2"/>
        <w:spacing w:after="120"/>
      </w:pPr>
      <w:r w:rsidRPr="00C73480">
        <w:t>Table 3</w:t>
      </w:r>
      <w:r w:rsidR="000F32C8" w:rsidRPr="00C73480">
        <w:t>.</w:t>
      </w:r>
      <w:r w:rsidRPr="00C73480">
        <w:t xml:space="preserve"> Large Category: ADA</w:t>
      </w:r>
      <w:r w:rsidR="000F32C8" w:rsidRPr="00C73480">
        <w:t xml:space="preserve"> of more than 550</w:t>
      </w:r>
    </w:p>
    <w:tbl>
      <w:tblPr>
        <w:tblStyle w:val="TableGrid"/>
        <w:tblW w:w="10065" w:type="dxa"/>
        <w:tblLook w:val="04A0" w:firstRow="1" w:lastRow="0" w:firstColumn="1" w:lastColumn="0" w:noHBand="0" w:noVBand="1"/>
        <w:tblDescription w:val="Table 3 Large Category Preliminary Allocation Funding Results."/>
      </w:tblPr>
      <w:tblGrid>
        <w:gridCol w:w="1002"/>
        <w:gridCol w:w="2255"/>
        <w:gridCol w:w="4537"/>
        <w:gridCol w:w="2271"/>
      </w:tblGrid>
      <w:tr w:rsidR="008079A2" w:rsidRPr="00C73480" w14:paraId="1921D919" w14:textId="77777777" w:rsidTr="00C87642">
        <w:trPr>
          <w:cantSplit/>
          <w:trHeight w:val="1019"/>
          <w:tblHeader/>
        </w:trPr>
        <w:tc>
          <w:tcPr>
            <w:tcW w:w="1002" w:type="dxa"/>
            <w:hideMark/>
          </w:tcPr>
          <w:p w14:paraId="351B09C3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255" w:type="dxa"/>
            <w:hideMark/>
          </w:tcPr>
          <w:p w14:paraId="69525A4D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537" w:type="dxa"/>
            <w:hideMark/>
          </w:tcPr>
          <w:p w14:paraId="175F1B5C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71" w:type="dxa"/>
            <w:hideMark/>
          </w:tcPr>
          <w:p w14:paraId="36A954AA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DB330C" w:rsidRPr="00DB330C" w14:paraId="50151965" w14:textId="77777777" w:rsidTr="00C87642">
        <w:trPr>
          <w:cantSplit/>
          <w:trHeight w:val="310"/>
        </w:trPr>
        <w:tc>
          <w:tcPr>
            <w:tcW w:w="1002" w:type="dxa"/>
            <w:noWrap/>
            <w:hideMark/>
          </w:tcPr>
          <w:p w14:paraId="35F88AAA" w14:textId="77777777" w:rsidR="00DB330C" w:rsidRPr="00DB330C" w:rsidRDefault="00DB330C" w:rsidP="00DB330C">
            <w:pPr>
              <w:jc w:val="center"/>
              <w:rPr>
                <w:rFonts w:cs="Arial"/>
                <w:color w:val="000000"/>
              </w:rPr>
            </w:pPr>
            <w:r w:rsidRPr="00DB330C">
              <w:rPr>
                <w:rFonts w:cs="Arial"/>
                <w:color w:val="000000"/>
              </w:rPr>
              <w:t>1</w:t>
            </w:r>
          </w:p>
        </w:tc>
        <w:tc>
          <w:tcPr>
            <w:tcW w:w="2255" w:type="dxa"/>
            <w:noWrap/>
            <w:hideMark/>
          </w:tcPr>
          <w:p w14:paraId="1AEC7932" w14:textId="77777777" w:rsidR="00DB330C" w:rsidRPr="00DB330C" w:rsidRDefault="00DB330C" w:rsidP="00DB330C">
            <w:pPr>
              <w:rPr>
                <w:rFonts w:cs="Arial"/>
                <w:color w:val="000000"/>
              </w:rPr>
            </w:pPr>
            <w:r w:rsidRPr="00DB330C">
              <w:rPr>
                <w:rFonts w:cs="Arial"/>
                <w:color w:val="000000"/>
              </w:rPr>
              <w:t>19743360000000</w:t>
            </w:r>
          </w:p>
        </w:tc>
        <w:tc>
          <w:tcPr>
            <w:tcW w:w="4537" w:type="dxa"/>
            <w:noWrap/>
            <w:hideMark/>
          </w:tcPr>
          <w:p w14:paraId="7CF23A0B" w14:textId="77777777" w:rsidR="00DB330C" w:rsidRPr="00DB330C" w:rsidRDefault="00DB330C" w:rsidP="00DB330C">
            <w:pPr>
              <w:rPr>
                <w:rFonts w:cs="Arial"/>
                <w:color w:val="000000"/>
              </w:rPr>
            </w:pPr>
            <w:r w:rsidRPr="00DB330C">
              <w:rPr>
                <w:rFonts w:cs="Arial"/>
                <w:color w:val="000000"/>
              </w:rPr>
              <w:t>Southern California ROC</w:t>
            </w:r>
          </w:p>
        </w:tc>
        <w:tc>
          <w:tcPr>
            <w:tcW w:w="2271" w:type="dxa"/>
            <w:noWrap/>
            <w:hideMark/>
          </w:tcPr>
          <w:p w14:paraId="73A9B1C0" w14:textId="77777777" w:rsidR="00DB330C" w:rsidRPr="00DB330C" w:rsidRDefault="00DB330C" w:rsidP="00DB330C">
            <w:pPr>
              <w:jc w:val="center"/>
              <w:rPr>
                <w:rFonts w:cs="Arial"/>
                <w:color w:val="000000"/>
              </w:rPr>
            </w:pPr>
            <w:r w:rsidRPr="00DB330C">
              <w:rPr>
                <w:rFonts w:cs="Arial"/>
                <w:color w:val="000000"/>
              </w:rPr>
              <w:t>$500,000</w:t>
            </w:r>
          </w:p>
        </w:tc>
      </w:tr>
      <w:tr w:rsidR="00DB330C" w:rsidRPr="004F27AA" w14:paraId="299D025F" w14:textId="77777777" w:rsidTr="00C87642">
        <w:trPr>
          <w:cantSplit/>
          <w:trHeight w:val="314"/>
        </w:trPr>
        <w:tc>
          <w:tcPr>
            <w:tcW w:w="1002" w:type="dxa"/>
            <w:noWrap/>
            <w:hideMark/>
          </w:tcPr>
          <w:p w14:paraId="547C2144" w14:textId="77777777" w:rsidR="00DB330C" w:rsidRPr="004F27AA" w:rsidRDefault="00DB330C" w:rsidP="00DB330C">
            <w:pPr>
              <w:jc w:val="center"/>
              <w:rPr>
                <w:rFonts w:cs="Arial"/>
                <w:color w:val="000000"/>
              </w:rPr>
            </w:pPr>
            <w:r w:rsidRPr="004F27AA">
              <w:rPr>
                <w:rFonts w:cs="Arial"/>
                <w:color w:val="000000"/>
              </w:rPr>
              <w:t>2</w:t>
            </w:r>
          </w:p>
        </w:tc>
        <w:tc>
          <w:tcPr>
            <w:tcW w:w="2255" w:type="dxa"/>
            <w:noWrap/>
            <w:hideMark/>
          </w:tcPr>
          <w:p w14:paraId="391504EC" w14:textId="77777777" w:rsidR="00DB330C" w:rsidRPr="004F27AA" w:rsidRDefault="00DB330C" w:rsidP="00DB330C">
            <w:pPr>
              <w:rPr>
                <w:rFonts w:cs="Arial"/>
                <w:color w:val="000000"/>
              </w:rPr>
            </w:pPr>
            <w:r w:rsidRPr="004F27AA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537" w:type="dxa"/>
            <w:noWrap/>
            <w:hideMark/>
          </w:tcPr>
          <w:p w14:paraId="766A95B1" w14:textId="5099DA8E" w:rsidR="00DB330C" w:rsidRPr="004F27AA" w:rsidRDefault="00DB330C" w:rsidP="00DB330C">
            <w:pPr>
              <w:rPr>
                <w:rFonts w:cs="Arial"/>
                <w:color w:val="000000"/>
              </w:rPr>
            </w:pPr>
            <w:r w:rsidRPr="004F27AA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2271" w:type="dxa"/>
            <w:noWrap/>
            <w:hideMark/>
          </w:tcPr>
          <w:p w14:paraId="71FD9DD6" w14:textId="3D336364" w:rsidR="00DB330C" w:rsidRPr="004F27AA" w:rsidRDefault="00DB330C" w:rsidP="006C0D15">
            <w:pPr>
              <w:jc w:val="center"/>
              <w:rPr>
                <w:rFonts w:cs="Arial"/>
                <w:color w:val="000000"/>
              </w:rPr>
            </w:pPr>
            <w:r w:rsidRPr="004F27AA">
              <w:rPr>
                <w:rFonts w:cs="Arial"/>
                <w:color w:val="000000"/>
              </w:rPr>
              <w:t>$</w:t>
            </w:r>
            <w:r w:rsidR="00141FEA" w:rsidRPr="004F27AA">
              <w:rPr>
                <w:rFonts w:cs="Arial"/>
                <w:color w:val="000000"/>
              </w:rPr>
              <w:t>1,602,998</w:t>
            </w:r>
            <w:r w:rsidR="00B54950" w:rsidRPr="004F27AA">
              <w:rPr>
                <w:rFonts w:cs="Arial"/>
                <w:color w:val="000000"/>
              </w:rPr>
              <w:t>*</w:t>
            </w:r>
          </w:p>
        </w:tc>
      </w:tr>
    </w:tbl>
    <w:p w14:paraId="5192712A" w14:textId="3F928A44" w:rsidR="009375B3" w:rsidRPr="004F27AA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4F27AA">
        <w:rPr>
          <w:rFonts w:cs="Arial"/>
        </w:rPr>
        <w:t>Total Large Category Preliminary Allocation</w:t>
      </w:r>
      <w:r w:rsidR="00BE0925" w:rsidRPr="004F27AA">
        <w:rPr>
          <w:rFonts w:cs="Arial"/>
        </w:rPr>
        <w:t xml:space="preserve"> </w:t>
      </w:r>
      <w:r w:rsidR="00A03EBC" w:rsidRPr="004F27AA">
        <w:rPr>
          <w:rFonts w:cs="Arial"/>
        </w:rPr>
        <w:t>$</w:t>
      </w:r>
      <w:r w:rsidR="00D226E4" w:rsidRPr="004F27AA">
        <w:rPr>
          <w:rFonts w:cs="Arial"/>
        </w:rPr>
        <w:t>2,</w:t>
      </w:r>
      <w:r w:rsidR="00141FEA" w:rsidRPr="004F27AA">
        <w:rPr>
          <w:rFonts w:cs="Arial"/>
        </w:rPr>
        <w:t>102,998</w:t>
      </w:r>
    </w:p>
    <w:p w14:paraId="7A0C4BCC" w14:textId="37089DF9" w:rsidR="00C230D8" w:rsidRPr="004F27AA" w:rsidRDefault="004F304D" w:rsidP="003C58CF">
      <w:pPr>
        <w:jc w:val="right"/>
        <w:rPr>
          <w:rFonts w:cs="Arial"/>
        </w:rPr>
      </w:pPr>
      <w:r w:rsidRPr="004F27AA">
        <w:rPr>
          <w:rFonts w:cs="Arial"/>
        </w:rPr>
        <w:t xml:space="preserve">Total </w:t>
      </w:r>
      <w:r w:rsidR="00314BD0" w:rsidRPr="004F27AA">
        <w:rPr>
          <w:rFonts w:cs="Arial"/>
        </w:rPr>
        <w:t>202</w:t>
      </w:r>
      <w:r w:rsidR="009F23A2" w:rsidRPr="004F27AA">
        <w:rPr>
          <w:rFonts w:cs="Arial"/>
        </w:rPr>
        <w:t>2</w:t>
      </w:r>
      <w:r w:rsidR="005A4324" w:rsidRPr="004F27AA">
        <w:rPr>
          <w:rFonts w:cs="Arial"/>
        </w:rPr>
        <w:t>–</w:t>
      </w:r>
      <w:r w:rsidR="00314BD0" w:rsidRPr="004F27AA">
        <w:rPr>
          <w:rFonts w:cs="Arial"/>
        </w:rPr>
        <w:t>2</w:t>
      </w:r>
      <w:r w:rsidR="009F23A2" w:rsidRPr="004F27AA">
        <w:rPr>
          <w:rFonts w:cs="Arial"/>
        </w:rPr>
        <w:t>3</w:t>
      </w:r>
      <w:r w:rsidR="00314BD0" w:rsidRPr="004F27AA">
        <w:rPr>
          <w:rFonts w:cs="Arial"/>
        </w:rPr>
        <w:t xml:space="preserve"> </w:t>
      </w:r>
      <w:r w:rsidRPr="004F27AA">
        <w:rPr>
          <w:rFonts w:cs="Arial"/>
        </w:rPr>
        <w:t>CTEIG Allocation</w:t>
      </w:r>
      <w:r w:rsidR="00A03EBC" w:rsidRPr="004F27AA">
        <w:rPr>
          <w:rFonts w:cs="Arial"/>
        </w:rPr>
        <w:t xml:space="preserve"> for</w:t>
      </w:r>
      <w:r w:rsidR="00F82883" w:rsidRPr="004F27AA">
        <w:rPr>
          <w:rFonts w:cs="Arial"/>
        </w:rPr>
        <w:t xml:space="preserve"> </w:t>
      </w:r>
      <w:r w:rsidR="008079A2" w:rsidRPr="004F27AA">
        <w:rPr>
          <w:rFonts w:cs="Arial"/>
        </w:rPr>
        <w:t xml:space="preserve">Round </w:t>
      </w:r>
      <w:r w:rsidR="009F23A2" w:rsidRPr="004F27AA">
        <w:rPr>
          <w:rFonts w:cs="Arial"/>
        </w:rPr>
        <w:t>8</w:t>
      </w:r>
      <w:r w:rsidR="008079A2" w:rsidRPr="004F27AA">
        <w:rPr>
          <w:rFonts w:cs="Arial"/>
        </w:rPr>
        <w:t>B</w:t>
      </w:r>
      <w:r w:rsidRPr="004F27AA">
        <w:rPr>
          <w:rFonts w:cs="Arial"/>
        </w:rPr>
        <w:t>:</w:t>
      </w:r>
      <w:r w:rsidR="00BE0925" w:rsidRPr="004F27AA">
        <w:rPr>
          <w:rFonts w:cs="Arial"/>
        </w:rPr>
        <w:t xml:space="preserve"> </w:t>
      </w:r>
      <w:r w:rsidR="00A03EBC" w:rsidRPr="004F27AA">
        <w:rPr>
          <w:rFonts w:cs="Arial"/>
        </w:rPr>
        <w:t>$</w:t>
      </w:r>
      <w:r w:rsidR="00D226E4" w:rsidRPr="004F27AA">
        <w:rPr>
          <w:rFonts w:cs="Arial"/>
        </w:rPr>
        <w:t>2,</w:t>
      </w:r>
      <w:r w:rsidR="00141FEA" w:rsidRPr="004F27AA">
        <w:rPr>
          <w:rFonts w:cs="Arial"/>
        </w:rPr>
        <w:t>482,286</w:t>
      </w:r>
    </w:p>
    <w:p w14:paraId="60A133F8" w14:textId="77777777" w:rsidR="004F27AA" w:rsidRPr="00775A2B" w:rsidRDefault="004F27AA" w:rsidP="003C58CF">
      <w:pPr>
        <w:jc w:val="right"/>
        <w:rPr>
          <w:rFonts w:cs="Arial"/>
          <w:color w:val="000000"/>
        </w:rPr>
      </w:pPr>
    </w:p>
    <w:p w14:paraId="44C4B9DC" w14:textId="2AABBD0E" w:rsidR="004F304D" w:rsidRPr="00775A2B" w:rsidRDefault="00314BD0" w:rsidP="003D4AB8">
      <w:pPr>
        <w:spacing w:after="240"/>
        <w:jc w:val="right"/>
        <w:rPr>
          <w:rFonts w:cs="Arial"/>
        </w:rPr>
      </w:pPr>
      <w:r w:rsidRPr="00775A2B">
        <w:rPr>
          <w:rFonts w:cs="Arial"/>
        </w:rPr>
        <w:t xml:space="preserve">Total </w:t>
      </w:r>
      <w:r w:rsidR="004F304D" w:rsidRPr="00775A2B">
        <w:rPr>
          <w:rFonts w:cs="Arial"/>
        </w:rPr>
        <w:t xml:space="preserve">Number of </w:t>
      </w:r>
      <w:r w:rsidRPr="00775A2B">
        <w:rPr>
          <w:rFonts w:cs="Arial"/>
        </w:rPr>
        <w:t>202</w:t>
      </w:r>
      <w:r w:rsidR="009F23A2" w:rsidRPr="00775A2B">
        <w:rPr>
          <w:rFonts w:cs="Arial"/>
        </w:rPr>
        <w:t>2</w:t>
      </w:r>
      <w:r w:rsidR="005A4324" w:rsidRPr="00775A2B">
        <w:rPr>
          <w:rFonts w:cs="Arial"/>
        </w:rPr>
        <w:t>–</w:t>
      </w:r>
      <w:r w:rsidRPr="00775A2B">
        <w:rPr>
          <w:rFonts w:cs="Arial"/>
        </w:rPr>
        <w:t>2</w:t>
      </w:r>
      <w:r w:rsidR="009F23A2" w:rsidRPr="00775A2B">
        <w:rPr>
          <w:rFonts w:cs="Arial"/>
        </w:rPr>
        <w:t>3</w:t>
      </w:r>
      <w:r w:rsidRPr="00775A2B">
        <w:rPr>
          <w:rFonts w:cs="Arial"/>
        </w:rPr>
        <w:t xml:space="preserve"> </w:t>
      </w:r>
      <w:r w:rsidR="004F304D" w:rsidRPr="00775A2B">
        <w:rPr>
          <w:rFonts w:cs="Arial"/>
        </w:rPr>
        <w:t>grant awards</w:t>
      </w:r>
      <w:r w:rsidR="00F37A1C" w:rsidRPr="00775A2B">
        <w:rPr>
          <w:rFonts w:cs="Arial"/>
        </w:rPr>
        <w:t xml:space="preserve"> </w:t>
      </w:r>
      <w:r w:rsidR="00A03EBC" w:rsidRPr="00775A2B">
        <w:rPr>
          <w:rFonts w:cs="Arial"/>
        </w:rPr>
        <w:t xml:space="preserve">for </w:t>
      </w:r>
      <w:r w:rsidR="00F37A1C" w:rsidRPr="00775A2B">
        <w:rPr>
          <w:rFonts w:cs="Arial"/>
        </w:rPr>
        <w:t xml:space="preserve">Round </w:t>
      </w:r>
      <w:r w:rsidR="009F23A2" w:rsidRPr="00775A2B">
        <w:rPr>
          <w:rFonts w:cs="Arial"/>
        </w:rPr>
        <w:t>8</w:t>
      </w:r>
      <w:r w:rsidR="00F37A1C" w:rsidRPr="00775A2B">
        <w:rPr>
          <w:rFonts w:cs="Arial"/>
        </w:rPr>
        <w:t>B</w:t>
      </w:r>
      <w:r w:rsidR="004F304D" w:rsidRPr="00775A2B">
        <w:rPr>
          <w:rFonts w:cs="Arial"/>
        </w:rPr>
        <w:t>:</w:t>
      </w:r>
      <w:r w:rsidR="00F37A1C" w:rsidRPr="00775A2B">
        <w:rPr>
          <w:rFonts w:cs="Arial"/>
        </w:rPr>
        <w:t xml:space="preserve"> </w:t>
      </w:r>
      <w:r w:rsidR="009F0ACE" w:rsidRPr="00775A2B">
        <w:rPr>
          <w:rFonts w:cs="Arial"/>
        </w:rPr>
        <w:t>5</w:t>
      </w:r>
    </w:p>
    <w:p w14:paraId="2E781D5B" w14:textId="5FF5FCC7" w:rsidR="006971D0" w:rsidRPr="003C58CF" w:rsidRDefault="006971D0" w:rsidP="003C58CF">
      <w:pPr>
        <w:jc w:val="right"/>
        <w:rPr>
          <w:rFonts w:cs="Arial"/>
          <w:color w:val="000000"/>
        </w:rPr>
      </w:pPr>
      <w:r w:rsidRPr="00775A2B">
        <w:t xml:space="preserve">Remaining </w:t>
      </w:r>
      <w:r w:rsidRPr="004F27AA">
        <w:t>balance:</w:t>
      </w:r>
      <w:bookmarkStart w:id="0" w:name="_GoBack"/>
      <w:bookmarkEnd w:id="0"/>
      <w:r w:rsidR="00BE0925" w:rsidRPr="004F27AA">
        <w:t xml:space="preserve"> </w:t>
      </w:r>
      <w:r w:rsidR="00A03EBC" w:rsidRPr="004F27AA">
        <w:rPr>
          <w:rFonts w:cs="Arial"/>
          <w:color w:val="000000"/>
        </w:rPr>
        <w:t>$</w:t>
      </w:r>
      <w:r w:rsidR="00AD4450" w:rsidRPr="004F27AA">
        <w:rPr>
          <w:rFonts w:cs="Arial"/>
          <w:color w:val="000000"/>
        </w:rPr>
        <w:t>31,</w:t>
      </w:r>
      <w:r w:rsidR="00141FEA" w:rsidRPr="004F27AA">
        <w:rPr>
          <w:rFonts w:cs="Arial"/>
          <w:color w:val="000000"/>
        </w:rPr>
        <w:t>945,367</w:t>
      </w:r>
    </w:p>
    <w:sectPr w:rsidR="006971D0" w:rsidRPr="003C5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6529" w14:textId="77777777" w:rsidR="00D03923" w:rsidRDefault="00D03923" w:rsidP="004F304D">
      <w:r>
        <w:separator/>
      </w:r>
    </w:p>
  </w:endnote>
  <w:endnote w:type="continuationSeparator" w:id="0">
    <w:p w14:paraId="177772DB" w14:textId="77777777" w:rsidR="00D03923" w:rsidRDefault="00D03923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0055" w14:textId="77777777" w:rsidR="00D03923" w:rsidRDefault="00D03923" w:rsidP="004F304D">
      <w:r>
        <w:separator/>
      </w:r>
    </w:p>
  </w:footnote>
  <w:footnote w:type="continuationSeparator" w:id="0">
    <w:p w14:paraId="7F11E7AF" w14:textId="77777777" w:rsidR="00D03923" w:rsidRDefault="00D03923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64584664" w:rsidR="00EA6F88" w:rsidRPr="00775A2B" w:rsidRDefault="00EA6F88" w:rsidP="008D2B78">
        <w:pPr>
          <w:pStyle w:val="Header"/>
          <w:jc w:val="right"/>
        </w:pPr>
        <w:r w:rsidRPr="00775A2B">
          <w:t>sssb-cctd-ma</w:t>
        </w:r>
        <w:r w:rsidR="009F23A2" w:rsidRPr="00775A2B">
          <w:t>r</w:t>
        </w:r>
        <w:r w:rsidRPr="00775A2B">
          <w:t>2</w:t>
        </w:r>
        <w:r w:rsidR="009F23A2" w:rsidRPr="00775A2B">
          <w:t>3</w:t>
        </w:r>
        <w:r w:rsidRPr="00775A2B">
          <w:t>item</w:t>
        </w:r>
        <w:r w:rsidR="00E14DCD">
          <w:t>02</w:t>
        </w:r>
        <w:r w:rsidRPr="00775A2B">
          <w:t>a</w:t>
        </w:r>
        <w:r w:rsidR="00C73480" w:rsidRPr="00775A2B">
          <w:t>0</w:t>
        </w:r>
        <w:r w:rsidR="00914835" w:rsidRPr="00775A2B">
          <w:t>1</w:t>
        </w:r>
      </w:p>
      <w:p w14:paraId="4E778AA1" w14:textId="13205904" w:rsidR="00EA6F88" w:rsidRPr="00A03B51" w:rsidRDefault="00EA6F88" w:rsidP="008D2B78">
        <w:pPr>
          <w:pStyle w:val="Header"/>
          <w:jc w:val="right"/>
        </w:pPr>
        <w:r w:rsidRPr="00775A2B">
          <w:t>Attachment</w:t>
        </w:r>
        <w:r w:rsidRPr="00A03B51">
          <w:t xml:space="preserve"> </w:t>
        </w:r>
        <w:r w:rsidR="00914835">
          <w:t>1</w:t>
        </w:r>
      </w:p>
      <w:p w14:paraId="5B0E1C1A" w14:textId="77777777" w:rsidR="00EA6F88" w:rsidRDefault="00EA6F88" w:rsidP="00775A2B">
        <w:pPr>
          <w:pStyle w:val="Header"/>
          <w:spacing w:after="24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36F6F"/>
    <w:rsid w:val="00141FEA"/>
    <w:rsid w:val="00155988"/>
    <w:rsid w:val="00161238"/>
    <w:rsid w:val="00165E30"/>
    <w:rsid w:val="00170421"/>
    <w:rsid w:val="001767A7"/>
    <w:rsid w:val="00176ABF"/>
    <w:rsid w:val="00183553"/>
    <w:rsid w:val="00190B74"/>
    <w:rsid w:val="001917BD"/>
    <w:rsid w:val="00192916"/>
    <w:rsid w:val="001951B8"/>
    <w:rsid w:val="001A0CA5"/>
    <w:rsid w:val="001A38D2"/>
    <w:rsid w:val="001B06C9"/>
    <w:rsid w:val="001B2A17"/>
    <w:rsid w:val="001B3E1C"/>
    <w:rsid w:val="001B469D"/>
    <w:rsid w:val="001B642F"/>
    <w:rsid w:val="001B7EBA"/>
    <w:rsid w:val="001C5725"/>
    <w:rsid w:val="001D7866"/>
    <w:rsid w:val="001F70B4"/>
    <w:rsid w:val="00205D05"/>
    <w:rsid w:val="002103F4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C2EB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C58CF"/>
    <w:rsid w:val="003D4AB8"/>
    <w:rsid w:val="003E3E1F"/>
    <w:rsid w:val="003F4B52"/>
    <w:rsid w:val="003F5155"/>
    <w:rsid w:val="0040397A"/>
    <w:rsid w:val="00407F15"/>
    <w:rsid w:val="00411240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96316"/>
    <w:rsid w:val="004A0404"/>
    <w:rsid w:val="004B497F"/>
    <w:rsid w:val="004C430F"/>
    <w:rsid w:val="004D0509"/>
    <w:rsid w:val="004D056C"/>
    <w:rsid w:val="004D58E8"/>
    <w:rsid w:val="004D6647"/>
    <w:rsid w:val="004E7AC1"/>
    <w:rsid w:val="004F27AA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2E6A"/>
    <w:rsid w:val="00576280"/>
    <w:rsid w:val="00576690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40EF0"/>
    <w:rsid w:val="00674AE8"/>
    <w:rsid w:val="00694BF0"/>
    <w:rsid w:val="006971D0"/>
    <w:rsid w:val="006A0C2C"/>
    <w:rsid w:val="006C0D15"/>
    <w:rsid w:val="006C24C1"/>
    <w:rsid w:val="006C32BE"/>
    <w:rsid w:val="006E612C"/>
    <w:rsid w:val="006E64D2"/>
    <w:rsid w:val="006E7360"/>
    <w:rsid w:val="00703706"/>
    <w:rsid w:val="00703F08"/>
    <w:rsid w:val="00713AE5"/>
    <w:rsid w:val="00713F95"/>
    <w:rsid w:val="007428B8"/>
    <w:rsid w:val="00747085"/>
    <w:rsid w:val="007474FB"/>
    <w:rsid w:val="00761B34"/>
    <w:rsid w:val="0076552A"/>
    <w:rsid w:val="00775052"/>
    <w:rsid w:val="00775A2B"/>
    <w:rsid w:val="00791AD7"/>
    <w:rsid w:val="0079536D"/>
    <w:rsid w:val="007A6523"/>
    <w:rsid w:val="007B3135"/>
    <w:rsid w:val="007E5BF1"/>
    <w:rsid w:val="007E64ED"/>
    <w:rsid w:val="007F5F3F"/>
    <w:rsid w:val="00806A37"/>
    <w:rsid w:val="008079A2"/>
    <w:rsid w:val="0081256C"/>
    <w:rsid w:val="00834B7D"/>
    <w:rsid w:val="0083523F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27725"/>
    <w:rsid w:val="009375B3"/>
    <w:rsid w:val="009523DF"/>
    <w:rsid w:val="009527A9"/>
    <w:rsid w:val="00954601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9F0ACE"/>
    <w:rsid w:val="009F23A2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D4450"/>
    <w:rsid w:val="00AE0C8E"/>
    <w:rsid w:val="00AE2B83"/>
    <w:rsid w:val="00AF0211"/>
    <w:rsid w:val="00AF2149"/>
    <w:rsid w:val="00B00B07"/>
    <w:rsid w:val="00B01266"/>
    <w:rsid w:val="00B12E1F"/>
    <w:rsid w:val="00B25320"/>
    <w:rsid w:val="00B54950"/>
    <w:rsid w:val="00B571B7"/>
    <w:rsid w:val="00B64BBE"/>
    <w:rsid w:val="00B81142"/>
    <w:rsid w:val="00B8641C"/>
    <w:rsid w:val="00B92BFB"/>
    <w:rsid w:val="00BA37C6"/>
    <w:rsid w:val="00BB1847"/>
    <w:rsid w:val="00BB5DD2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0F0B"/>
    <w:rsid w:val="00C51595"/>
    <w:rsid w:val="00C60BBB"/>
    <w:rsid w:val="00C73480"/>
    <w:rsid w:val="00C82975"/>
    <w:rsid w:val="00C87642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3923"/>
    <w:rsid w:val="00D063A0"/>
    <w:rsid w:val="00D11680"/>
    <w:rsid w:val="00D13268"/>
    <w:rsid w:val="00D15074"/>
    <w:rsid w:val="00D226E4"/>
    <w:rsid w:val="00D23432"/>
    <w:rsid w:val="00D27F12"/>
    <w:rsid w:val="00D41632"/>
    <w:rsid w:val="00D46BBF"/>
    <w:rsid w:val="00D47DAB"/>
    <w:rsid w:val="00D50C4E"/>
    <w:rsid w:val="00D550B3"/>
    <w:rsid w:val="00DA52B3"/>
    <w:rsid w:val="00DB330C"/>
    <w:rsid w:val="00DC2B60"/>
    <w:rsid w:val="00DC52B0"/>
    <w:rsid w:val="00DC6AE6"/>
    <w:rsid w:val="00DC774C"/>
    <w:rsid w:val="00DD411D"/>
    <w:rsid w:val="00DE422F"/>
    <w:rsid w:val="00DF4FCE"/>
    <w:rsid w:val="00E02F4D"/>
    <w:rsid w:val="00E06F4E"/>
    <w:rsid w:val="00E14DCD"/>
    <w:rsid w:val="00E24A2A"/>
    <w:rsid w:val="00E405FC"/>
    <w:rsid w:val="00E472C3"/>
    <w:rsid w:val="00E51009"/>
    <w:rsid w:val="00E634EC"/>
    <w:rsid w:val="00E72DCE"/>
    <w:rsid w:val="00E772F7"/>
    <w:rsid w:val="00E83EAC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0737"/>
    <w:rsid w:val="00F25009"/>
    <w:rsid w:val="00F37A1C"/>
    <w:rsid w:val="00F558B4"/>
    <w:rsid w:val="00F64437"/>
    <w:rsid w:val="00F71CC2"/>
    <w:rsid w:val="00F82883"/>
    <w:rsid w:val="00F83037"/>
    <w:rsid w:val="00F847EB"/>
    <w:rsid w:val="00F92BE3"/>
    <w:rsid w:val="00FA6044"/>
    <w:rsid w:val="00FC19FC"/>
    <w:rsid w:val="00FC3B85"/>
    <w:rsid w:val="00FC7604"/>
    <w:rsid w:val="00FD003D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43EE-C8E8-42B9-80C7-0D42966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23 Agenda Item xx Attachment 1 - Meeting Agendas (CA State Board of Education)</vt:lpstr>
    </vt:vector>
  </TitlesOfParts>
  <Company>California State Board of Education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07 Attachment 1 - Meeting Agendas (CA State Board of Education)</dc:title>
  <dc:subject>2022-23 Career Technical Education Incentive Grant Specific Proposed Funding Amounts and Number of Grant Awards Round 8B.</dc:subject>
  <cp:keywords/>
  <dc:description/>
  <cp:lastPrinted>2020-02-25T16:23:00Z</cp:lastPrinted>
  <dcterms:created xsi:type="dcterms:W3CDTF">2023-02-16T16:57:00Z</dcterms:created>
  <dcterms:modified xsi:type="dcterms:W3CDTF">2023-02-17T17:13:00Z</dcterms:modified>
  <cp:category/>
</cp:coreProperties>
</file>