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31B7D" w14:textId="77777777" w:rsidR="00FE6950" w:rsidRDefault="00FE6950" w:rsidP="00FE6950">
      <w:pPr>
        <w:widowControl w:val="0"/>
        <w:ind w:right="-72"/>
        <w:rPr>
          <w:rFonts w:cs="Arial"/>
        </w:rPr>
      </w:pPr>
      <w:r w:rsidRPr="00D274C4">
        <w:rPr>
          <w:rFonts w:cs="Arial"/>
        </w:rPr>
        <w:t xml:space="preserve">The State Board of Education has illustrated changes to the original text in the following manner: text originally proposed to be added is </w:t>
      </w:r>
      <w:r w:rsidRPr="00D274C4">
        <w:rPr>
          <w:rFonts w:cs="Arial"/>
          <w:u w:val="single"/>
        </w:rPr>
        <w:t>underlined</w:t>
      </w:r>
      <w:r w:rsidRPr="00D274C4">
        <w:rPr>
          <w:rFonts w:cs="Arial"/>
        </w:rPr>
        <w:t xml:space="preserve">; text proposed to be deleted is displayed in </w:t>
      </w:r>
      <w:r w:rsidRPr="00D274C4">
        <w:rPr>
          <w:rFonts w:cs="Arial"/>
          <w:strike/>
          <w:noProof/>
        </w:rPr>
        <w:t>strikeout</w:t>
      </w:r>
      <w:r w:rsidRPr="00D274C4">
        <w:rPr>
          <w:rFonts w:cs="Arial"/>
        </w:rPr>
        <w:t xml:space="preserve">. </w:t>
      </w:r>
    </w:p>
    <w:p w14:paraId="46F4A2C6" w14:textId="4969D204" w:rsidR="00F11F52" w:rsidRPr="00FE6950" w:rsidRDefault="00FE6950" w:rsidP="00FE6950">
      <w:pPr>
        <w:pStyle w:val="Heading1"/>
        <w:spacing w:before="0" w:after="240" w:line="360" w:lineRule="auto"/>
        <w:jc w:val="center"/>
        <w:rPr>
          <w:rFonts w:eastAsia="Times New Roman" w:cs="Arial"/>
          <w:sz w:val="28"/>
        </w:rPr>
      </w:pPr>
      <w:r w:rsidRPr="00FE6950">
        <w:rPr>
          <w:sz w:val="24"/>
        </w:rPr>
        <w:t>Title 5. EDUCATION</w:t>
      </w:r>
      <w:r w:rsidRPr="00FE6950">
        <w:rPr>
          <w:sz w:val="24"/>
        </w:rPr>
        <w:br/>
        <w:t>Division 1. California Department of Education</w:t>
      </w:r>
      <w:r w:rsidRPr="00FE6950">
        <w:rPr>
          <w:sz w:val="24"/>
        </w:rPr>
        <w:br/>
        <w:t>Chapter 20. State Board of Education Procedures</w:t>
      </w:r>
      <w:r w:rsidRPr="00FE6950">
        <w:rPr>
          <w:sz w:val="24"/>
        </w:rPr>
        <w:br/>
        <w:t>Subchapter 5. State Board of Education Conflict-of-Interest Code</w:t>
      </w:r>
    </w:p>
    <w:p w14:paraId="78ABB24E" w14:textId="77777777" w:rsidR="00FE6950" w:rsidRPr="00FE6950" w:rsidRDefault="00FE6950" w:rsidP="00FE6950">
      <w:pPr>
        <w:pStyle w:val="Heading2"/>
        <w:rPr>
          <w:sz w:val="24"/>
        </w:rPr>
      </w:pPr>
      <w:r w:rsidRPr="00FE6950">
        <w:rPr>
          <w:sz w:val="24"/>
        </w:rPr>
        <w:t>§ 18660. General Provision</w:t>
      </w:r>
      <w:bookmarkStart w:id="0" w:name="I5A7E850073C811E1816AD2287F92C4E1"/>
      <w:bookmarkEnd w:id="0"/>
    </w:p>
    <w:p w14:paraId="2F08E748" w14:textId="6DE449FA" w:rsidR="00F11F52" w:rsidRPr="006B26CF" w:rsidRDefault="00F11F52" w:rsidP="00C80299">
      <w:pPr>
        <w:widowControl w:val="0"/>
        <w:spacing w:line="360" w:lineRule="auto"/>
        <w:ind w:right="-72"/>
        <w:rPr>
          <w:rFonts w:cs="Arial"/>
          <w:color w:val="000000"/>
        </w:rPr>
      </w:pPr>
      <w:r w:rsidRPr="006B26CF">
        <w:rPr>
          <w:rFonts w:cs="Arial"/>
          <w:color w:val="000000"/>
        </w:rPr>
        <w:t>The Political Reform Act (Government Code sections 81000, et seq.) requires state and local government agencies to adopt and promulgate conflict-of-interest codes. The Fair Political Practices Commission has adopted a regulation (2 Cal. Code of Regulations Section 18730) that contains the terms of a standard conflict-of-interest code, which can be incorporated by reference in an agency's code. After public notice and hearing, the standard code may be amended by the Fair Political Practices Commission to conform to amendments in the Political Reform Act. Therefore, the terms of 2 Cal. Code of Regulations section 18730 and any amendments to it duly adopted by the Fair Political Practices Commission are hereby incorporated by reference. This regulation and the attached Appendix, designating positions and establishing disclosure categories, shall constitute the conflict-of-interest code of the State Board of Education (Agency), except as provided below.</w:t>
      </w:r>
    </w:p>
    <w:p w14:paraId="039D8123" w14:textId="77777777" w:rsidR="00F11F52" w:rsidRPr="00D16FAE" w:rsidRDefault="00F11F52" w:rsidP="00C80299">
      <w:pPr>
        <w:pStyle w:val="NormalWeb"/>
        <w:spacing w:line="360" w:lineRule="auto"/>
        <w:jc w:val="both"/>
        <w:rPr>
          <w:rFonts w:ascii="Arial" w:hAnsi="Arial" w:cs="Arial"/>
          <w:iCs/>
          <w:u w:val="single"/>
          <w:lang w:val="en"/>
        </w:rPr>
      </w:pPr>
      <w:r w:rsidRPr="00D16FAE">
        <w:rPr>
          <w:rFonts w:ascii="Arial" w:hAnsi="Arial" w:cs="Arial"/>
          <w:bCs/>
          <w:iCs/>
          <w:u w:val="single"/>
          <w:lang w:val="en"/>
        </w:rPr>
        <w:t>Board members and the Executive Director</w:t>
      </w:r>
      <w:r w:rsidRPr="00D16FAE">
        <w:rPr>
          <w:rFonts w:ascii="Arial" w:hAnsi="Arial" w:cs="Arial"/>
          <w:iCs/>
          <w:u w:val="single"/>
          <w:lang w:val="en"/>
        </w:rPr>
        <w:t xml:space="preserve"> must file their statements of economic interests electronically with the </w:t>
      </w:r>
      <w:r w:rsidRPr="00D16FAE">
        <w:rPr>
          <w:rFonts w:ascii="Arial" w:hAnsi="Arial" w:cs="Arial"/>
          <w:bCs/>
          <w:iCs/>
          <w:u w:val="single"/>
          <w:lang w:val="en"/>
        </w:rPr>
        <w:t>Fair Political Practices Commission</w:t>
      </w:r>
      <w:r w:rsidRPr="00D16FAE">
        <w:rPr>
          <w:rFonts w:ascii="Arial" w:hAnsi="Arial" w:cs="Arial"/>
          <w:iCs/>
          <w:u w:val="single"/>
          <w:lang w:val="en"/>
        </w:rPr>
        <w:t xml:space="preserve">. All other individuals holding designated positions must file their statements with the </w:t>
      </w:r>
      <w:r>
        <w:rPr>
          <w:rFonts w:ascii="Arial" w:hAnsi="Arial" w:cs="Arial"/>
          <w:bCs/>
          <w:iCs/>
          <w:u w:val="single"/>
          <w:lang w:val="en"/>
        </w:rPr>
        <w:t>a</w:t>
      </w:r>
      <w:r w:rsidRPr="00D16FAE">
        <w:rPr>
          <w:rFonts w:ascii="Arial" w:hAnsi="Arial" w:cs="Arial"/>
          <w:bCs/>
          <w:iCs/>
          <w:u w:val="single"/>
          <w:lang w:val="en"/>
        </w:rPr>
        <w:t>gency</w:t>
      </w:r>
      <w:r w:rsidRPr="00D16FAE">
        <w:rPr>
          <w:rFonts w:ascii="Arial" w:hAnsi="Arial" w:cs="Arial"/>
          <w:iCs/>
          <w:u w:val="single"/>
          <w:lang w:val="en"/>
        </w:rPr>
        <w:t>. All statements must be made available for public inspection and reproduction under Government Code Section 81008.</w:t>
      </w:r>
    </w:p>
    <w:p w14:paraId="4C6FD63C" w14:textId="77777777" w:rsidR="00F11F52" w:rsidRPr="00D16FAE" w:rsidRDefault="00F11F52" w:rsidP="00C80299">
      <w:pPr>
        <w:spacing w:after="240" w:line="360" w:lineRule="auto"/>
        <w:rPr>
          <w:rFonts w:cs="Arial"/>
          <w:strike/>
          <w:color w:val="000000"/>
        </w:rPr>
      </w:pPr>
      <w:r w:rsidRPr="00D16FAE">
        <w:rPr>
          <w:rFonts w:cs="Arial"/>
          <w:strike/>
          <w:color w:val="000000"/>
        </w:rPr>
        <w:t xml:space="preserve">Individuals holding designated positions shall file statements of economic interests with the Agency, which will make the statements available for public inspection and reproduction. (Gov. Code Sec. 81008.) Upon receipt of the statements of members of the board and the Executive Director, the agency shall make and retain a copy and </w:t>
      </w:r>
      <w:r w:rsidRPr="00D16FAE">
        <w:rPr>
          <w:rFonts w:cs="Arial"/>
          <w:strike/>
          <w:color w:val="000000"/>
        </w:rPr>
        <w:lastRenderedPageBreak/>
        <w:t>forward the originals of these statements to the Fair Political Practices Commission. All other statements will be retained by the Agency.</w:t>
      </w:r>
    </w:p>
    <w:p w14:paraId="6DFF4911" w14:textId="4D7C1FB8" w:rsidR="00F11F52" w:rsidRDefault="00F11F52" w:rsidP="00C80299">
      <w:pPr>
        <w:spacing w:line="360" w:lineRule="auto"/>
      </w:pPr>
      <w:proofErr w:type="gramStart"/>
      <w:r w:rsidRPr="006B26CF">
        <w:rPr>
          <w:rFonts w:cs="Arial"/>
          <w:color w:val="000000"/>
        </w:rPr>
        <w:t>EXCEPTION: As provided in 2 Cal. Code of Regulations section 18730(b)(1), the definitions contained in the Political Reform Act of 1974 shall apply to the terms used in this Code except that neither the term “investment” nor the term “business entity” shall operate to exclude any private school in California, whether or not such school is operated for profit.</w:t>
      </w:r>
      <w:r>
        <w:br w:type="page"/>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signated Persons and Disclosure Category table."/>
      </w:tblPr>
      <w:tblGrid>
        <w:gridCol w:w="6655"/>
        <w:gridCol w:w="2695"/>
      </w:tblGrid>
      <w:tr w:rsidR="00F11F52" w14:paraId="052A9C6A" w14:textId="77777777" w:rsidTr="00916CB3">
        <w:trPr>
          <w:cantSplit/>
          <w:trHeight w:val="20"/>
          <w:tblHeader/>
        </w:trPr>
        <w:tc>
          <w:tcPr>
            <w:tcW w:w="6655" w:type="dxa"/>
          </w:tcPr>
          <w:p w14:paraId="75A302B0" w14:textId="77777777" w:rsidR="00F11F52" w:rsidRDefault="00F11F52" w:rsidP="00916CB3">
            <w:pPr>
              <w:tabs>
                <w:tab w:val="left" w:pos="6750"/>
              </w:tabs>
              <w:spacing w:after="240"/>
              <w:rPr>
                <w:rFonts w:cs="Arial"/>
                <w:b/>
                <w:i/>
                <w:color w:val="000000"/>
              </w:rPr>
            </w:pPr>
            <w:bookmarkStart w:id="1" w:name="_GoBack"/>
            <w:r w:rsidRPr="0049481B">
              <w:rPr>
                <w:rFonts w:cs="Arial"/>
                <w:b/>
                <w:i/>
                <w:color w:val="000000"/>
              </w:rPr>
              <w:lastRenderedPageBreak/>
              <w:t>Designated Positions</w:t>
            </w:r>
          </w:p>
        </w:tc>
        <w:tc>
          <w:tcPr>
            <w:tcW w:w="2695" w:type="dxa"/>
          </w:tcPr>
          <w:p w14:paraId="09AB2156" w14:textId="77777777" w:rsidR="00F11F52" w:rsidRDefault="00F11F52" w:rsidP="00916CB3">
            <w:pPr>
              <w:tabs>
                <w:tab w:val="left" w:pos="6750"/>
              </w:tabs>
              <w:spacing w:after="240"/>
              <w:rPr>
                <w:rFonts w:cs="Arial"/>
                <w:b/>
                <w:i/>
                <w:color w:val="000000"/>
              </w:rPr>
            </w:pPr>
            <w:r w:rsidRPr="0049481B">
              <w:rPr>
                <w:rFonts w:cs="Arial"/>
                <w:b/>
                <w:i/>
                <w:color w:val="000000"/>
              </w:rPr>
              <w:t>Disclosure Category</w:t>
            </w:r>
          </w:p>
        </w:tc>
      </w:tr>
      <w:tr w:rsidR="00F11F52" w14:paraId="12A635B8" w14:textId="77777777" w:rsidTr="00916CB3">
        <w:trPr>
          <w:cantSplit/>
          <w:trHeight w:val="20"/>
        </w:trPr>
        <w:tc>
          <w:tcPr>
            <w:tcW w:w="6655" w:type="dxa"/>
          </w:tcPr>
          <w:p w14:paraId="4EBF3C83" w14:textId="77777777" w:rsidR="00F11F52" w:rsidRDefault="00F11F52" w:rsidP="00916CB3">
            <w:pPr>
              <w:tabs>
                <w:tab w:val="left" w:pos="6750"/>
              </w:tabs>
              <w:spacing w:after="240"/>
              <w:rPr>
                <w:rFonts w:cs="Arial"/>
                <w:b/>
                <w:i/>
                <w:color w:val="000000"/>
              </w:rPr>
            </w:pPr>
            <w:r>
              <w:rPr>
                <w:rFonts w:cs="Arial"/>
                <w:color w:val="000000"/>
              </w:rPr>
              <w:t>Members of the State Board of Education</w:t>
            </w:r>
          </w:p>
        </w:tc>
        <w:tc>
          <w:tcPr>
            <w:tcW w:w="2695" w:type="dxa"/>
            <w:vAlign w:val="center"/>
          </w:tcPr>
          <w:p w14:paraId="19815BAA"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69000721" w14:textId="77777777" w:rsidTr="00916CB3">
        <w:trPr>
          <w:cantSplit/>
          <w:trHeight w:val="20"/>
        </w:trPr>
        <w:tc>
          <w:tcPr>
            <w:tcW w:w="6655" w:type="dxa"/>
          </w:tcPr>
          <w:p w14:paraId="0D6786B9" w14:textId="77777777" w:rsidR="00F11F52" w:rsidRDefault="00F11F52" w:rsidP="00916CB3">
            <w:pPr>
              <w:tabs>
                <w:tab w:val="left" w:pos="6750"/>
              </w:tabs>
              <w:spacing w:after="240"/>
              <w:rPr>
                <w:rFonts w:cs="Arial"/>
                <w:b/>
                <w:i/>
                <w:color w:val="000000"/>
              </w:rPr>
            </w:pPr>
            <w:r>
              <w:rPr>
                <w:rFonts w:cs="Arial"/>
                <w:color w:val="000000"/>
              </w:rPr>
              <w:t>Members of the Instructional Quality Commission and</w:t>
            </w:r>
            <w:r>
              <w:rPr>
                <w:rFonts w:cs="Arial"/>
                <w:color w:val="000000"/>
              </w:rPr>
              <w:br/>
              <w:t xml:space="preserve">  respective instruction materials evaluation panels</w:t>
            </w:r>
          </w:p>
        </w:tc>
        <w:tc>
          <w:tcPr>
            <w:tcW w:w="2695" w:type="dxa"/>
            <w:vAlign w:val="center"/>
          </w:tcPr>
          <w:p w14:paraId="57A8277F"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561E5CAB" w14:textId="77777777" w:rsidTr="00916CB3">
        <w:trPr>
          <w:cantSplit/>
          <w:trHeight w:val="20"/>
        </w:trPr>
        <w:tc>
          <w:tcPr>
            <w:tcW w:w="6655" w:type="dxa"/>
          </w:tcPr>
          <w:p w14:paraId="411E6E94" w14:textId="77777777" w:rsidR="00F11F52" w:rsidRDefault="00F11F52" w:rsidP="00916CB3">
            <w:pPr>
              <w:tabs>
                <w:tab w:val="left" w:pos="6750"/>
              </w:tabs>
              <w:spacing w:after="240"/>
              <w:rPr>
                <w:rFonts w:cs="Arial"/>
                <w:b/>
                <w:i/>
                <w:color w:val="000000"/>
              </w:rPr>
            </w:pPr>
            <w:r>
              <w:rPr>
                <w:rFonts w:cs="Arial"/>
                <w:color w:val="000000"/>
              </w:rPr>
              <w:t>Advisory Commission on Special Education</w:t>
            </w:r>
          </w:p>
        </w:tc>
        <w:tc>
          <w:tcPr>
            <w:tcW w:w="2695" w:type="dxa"/>
            <w:vAlign w:val="center"/>
          </w:tcPr>
          <w:p w14:paraId="47850BB1"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6CEEE09C" w14:textId="77777777" w:rsidTr="00916CB3">
        <w:trPr>
          <w:cantSplit/>
          <w:trHeight w:val="475"/>
        </w:trPr>
        <w:tc>
          <w:tcPr>
            <w:tcW w:w="6655" w:type="dxa"/>
          </w:tcPr>
          <w:p w14:paraId="65D5DE04" w14:textId="77777777" w:rsidR="00F11F52" w:rsidRPr="00636931" w:rsidRDefault="00F11F52" w:rsidP="00916CB3">
            <w:pPr>
              <w:rPr>
                <w:rFonts w:cs="Arial"/>
                <w:strike/>
                <w:color w:val="000000"/>
              </w:rPr>
            </w:pPr>
            <w:r w:rsidRPr="00636931">
              <w:rPr>
                <w:rFonts w:cs="Arial"/>
                <w:strike/>
                <w:color w:val="000000"/>
              </w:rPr>
              <w:t>Child Nutrition Advisory Council</w:t>
            </w:r>
          </w:p>
        </w:tc>
        <w:tc>
          <w:tcPr>
            <w:tcW w:w="2695" w:type="dxa"/>
          </w:tcPr>
          <w:p w14:paraId="58B32DBF" w14:textId="77777777" w:rsidR="00F11F52" w:rsidRPr="00636931" w:rsidRDefault="00F11F52" w:rsidP="00916CB3">
            <w:pPr>
              <w:jc w:val="center"/>
              <w:rPr>
                <w:rFonts w:cs="Arial"/>
                <w:strike/>
                <w:color w:val="000000"/>
              </w:rPr>
            </w:pPr>
            <w:r w:rsidRPr="00636931">
              <w:rPr>
                <w:rFonts w:cs="Arial"/>
                <w:strike/>
                <w:color w:val="000000"/>
              </w:rPr>
              <w:t>1, 2</w:t>
            </w:r>
          </w:p>
        </w:tc>
      </w:tr>
      <w:tr w:rsidR="00F11F52" w14:paraId="02248D69" w14:textId="77777777" w:rsidTr="00916CB3">
        <w:trPr>
          <w:cantSplit/>
          <w:trHeight w:val="20"/>
        </w:trPr>
        <w:tc>
          <w:tcPr>
            <w:tcW w:w="6655" w:type="dxa"/>
          </w:tcPr>
          <w:p w14:paraId="232BB3EA" w14:textId="77777777" w:rsidR="00F11F52" w:rsidRDefault="00F11F52" w:rsidP="00916CB3">
            <w:pPr>
              <w:tabs>
                <w:tab w:val="left" w:pos="6750"/>
              </w:tabs>
              <w:spacing w:after="240"/>
              <w:rPr>
                <w:rFonts w:cs="Arial"/>
                <w:b/>
                <w:i/>
                <w:color w:val="000000"/>
              </w:rPr>
            </w:pPr>
            <w:r w:rsidRPr="003D7CEF">
              <w:rPr>
                <w:rFonts w:cs="Arial"/>
                <w:color w:val="000000"/>
                <w:u w:val="single"/>
              </w:rPr>
              <w:t>California Practitioners Advisory Group</w:t>
            </w:r>
          </w:p>
        </w:tc>
        <w:tc>
          <w:tcPr>
            <w:tcW w:w="2695" w:type="dxa"/>
            <w:vAlign w:val="center"/>
          </w:tcPr>
          <w:p w14:paraId="5EA1D992"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26E8934F" w14:textId="77777777" w:rsidTr="00916CB3">
        <w:trPr>
          <w:cantSplit/>
          <w:trHeight w:val="20"/>
        </w:trPr>
        <w:tc>
          <w:tcPr>
            <w:tcW w:w="6655" w:type="dxa"/>
          </w:tcPr>
          <w:p w14:paraId="4F51A0AD" w14:textId="77777777" w:rsidR="00F11F52" w:rsidRDefault="00F11F52" w:rsidP="00916CB3">
            <w:pPr>
              <w:tabs>
                <w:tab w:val="left" w:pos="6750"/>
              </w:tabs>
              <w:spacing w:after="240"/>
              <w:rPr>
                <w:rFonts w:cs="Arial"/>
                <w:b/>
                <w:i/>
                <w:color w:val="000000"/>
              </w:rPr>
            </w:pPr>
            <w:r>
              <w:rPr>
                <w:rFonts w:cs="Arial"/>
                <w:color w:val="000000"/>
              </w:rPr>
              <w:t>Advisory Commission on Charter Schools</w:t>
            </w:r>
          </w:p>
        </w:tc>
        <w:tc>
          <w:tcPr>
            <w:tcW w:w="2695" w:type="dxa"/>
            <w:vAlign w:val="center"/>
          </w:tcPr>
          <w:p w14:paraId="098DFB26"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39084E5F" w14:textId="77777777" w:rsidTr="00916CB3">
        <w:trPr>
          <w:cantSplit/>
          <w:trHeight w:val="20"/>
        </w:trPr>
        <w:tc>
          <w:tcPr>
            <w:tcW w:w="6655" w:type="dxa"/>
          </w:tcPr>
          <w:p w14:paraId="43680182" w14:textId="77777777" w:rsidR="00F11F52" w:rsidRDefault="00F11F52" w:rsidP="00916CB3">
            <w:pPr>
              <w:tabs>
                <w:tab w:val="left" w:pos="6750"/>
              </w:tabs>
              <w:spacing w:after="240"/>
              <w:rPr>
                <w:rFonts w:cs="Arial"/>
                <w:b/>
                <w:i/>
                <w:color w:val="000000"/>
              </w:rPr>
            </w:pPr>
            <w:r>
              <w:rPr>
                <w:rFonts w:cs="Arial"/>
                <w:color w:val="000000"/>
              </w:rPr>
              <w:t>Executive Director</w:t>
            </w:r>
          </w:p>
        </w:tc>
        <w:tc>
          <w:tcPr>
            <w:tcW w:w="2695" w:type="dxa"/>
            <w:vAlign w:val="center"/>
          </w:tcPr>
          <w:p w14:paraId="080EC0D5"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1A5E4146" w14:textId="77777777" w:rsidTr="00916CB3">
        <w:trPr>
          <w:cantSplit/>
          <w:trHeight w:val="20"/>
        </w:trPr>
        <w:tc>
          <w:tcPr>
            <w:tcW w:w="6655" w:type="dxa"/>
          </w:tcPr>
          <w:p w14:paraId="0EB365AF" w14:textId="77777777" w:rsidR="00F11F52" w:rsidRDefault="00F11F52" w:rsidP="00916CB3">
            <w:pPr>
              <w:tabs>
                <w:tab w:val="left" w:pos="6750"/>
              </w:tabs>
              <w:spacing w:after="240"/>
              <w:rPr>
                <w:rFonts w:cs="Arial"/>
                <w:b/>
                <w:i/>
                <w:color w:val="000000"/>
              </w:rPr>
            </w:pPr>
            <w:r>
              <w:rPr>
                <w:rFonts w:cs="Arial"/>
                <w:color w:val="000000"/>
              </w:rPr>
              <w:t>Deputy Director</w:t>
            </w:r>
          </w:p>
        </w:tc>
        <w:tc>
          <w:tcPr>
            <w:tcW w:w="2695" w:type="dxa"/>
            <w:vAlign w:val="center"/>
          </w:tcPr>
          <w:p w14:paraId="1350B5E1"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10A819A8" w14:textId="77777777" w:rsidTr="00916CB3">
        <w:trPr>
          <w:cantSplit/>
          <w:trHeight w:val="20"/>
        </w:trPr>
        <w:tc>
          <w:tcPr>
            <w:tcW w:w="6655" w:type="dxa"/>
          </w:tcPr>
          <w:p w14:paraId="2CFAC750" w14:textId="77777777" w:rsidR="00F11F52" w:rsidRDefault="00F11F52" w:rsidP="00916CB3">
            <w:pPr>
              <w:tabs>
                <w:tab w:val="left" w:pos="6750"/>
              </w:tabs>
              <w:spacing w:after="240"/>
              <w:rPr>
                <w:rFonts w:cs="Arial"/>
                <w:color w:val="000000"/>
              </w:rPr>
            </w:pPr>
            <w:r>
              <w:rPr>
                <w:rFonts w:cs="Arial"/>
                <w:color w:val="000000"/>
              </w:rPr>
              <w:t>Chief Counsel</w:t>
            </w:r>
          </w:p>
        </w:tc>
        <w:tc>
          <w:tcPr>
            <w:tcW w:w="2695" w:type="dxa"/>
            <w:vAlign w:val="center"/>
          </w:tcPr>
          <w:p w14:paraId="2BBD1A56"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294BF505" w14:textId="77777777" w:rsidTr="00916CB3">
        <w:trPr>
          <w:cantSplit/>
          <w:trHeight w:val="20"/>
        </w:trPr>
        <w:tc>
          <w:tcPr>
            <w:tcW w:w="6655" w:type="dxa"/>
          </w:tcPr>
          <w:p w14:paraId="1BECEF4A" w14:textId="77777777" w:rsidR="00F11F52" w:rsidRDefault="00F11F52" w:rsidP="00916CB3">
            <w:pPr>
              <w:tabs>
                <w:tab w:val="left" w:pos="6750"/>
              </w:tabs>
              <w:spacing w:after="240"/>
              <w:rPr>
                <w:rFonts w:cs="Arial"/>
                <w:color w:val="000000"/>
              </w:rPr>
            </w:pPr>
            <w:r w:rsidRPr="003D7CEF">
              <w:rPr>
                <w:rFonts w:cs="Arial"/>
                <w:color w:val="000000"/>
                <w:u w:val="single"/>
              </w:rPr>
              <w:t>Deputy Policy Director and Assistant Legal Counsel</w:t>
            </w:r>
          </w:p>
        </w:tc>
        <w:tc>
          <w:tcPr>
            <w:tcW w:w="2695" w:type="dxa"/>
            <w:vAlign w:val="center"/>
          </w:tcPr>
          <w:p w14:paraId="6BA4B8A1"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7FC7D8E6" w14:textId="77777777" w:rsidTr="00916CB3">
        <w:trPr>
          <w:cantSplit/>
          <w:trHeight w:val="20"/>
        </w:trPr>
        <w:tc>
          <w:tcPr>
            <w:tcW w:w="6655" w:type="dxa"/>
          </w:tcPr>
          <w:p w14:paraId="62039675" w14:textId="77777777" w:rsidR="00F11F52" w:rsidRDefault="00F11F52" w:rsidP="00916CB3">
            <w:pPr>
              <w:tabs>
                <w:tab w:val="left" w:pos="6750"/>
              </w:tabs>
              <w:spacing w:after="240"/>
              <w:rPr>
                <w:rFonts w:cs="Arial"/>
                <w:color w:val="000000"/>
              </w:rPr>
            </w:pPr>
            <w:r>
              <w:rPr>
                <w:rFonts w:cs="Arial"/>
                <w:color w:val="000000"/>
                <w:u w:val="single"/>
              </w:rPr>
              <w:t>Attorney IV (Retired Annuitant)</w:t>
            </w:r>
          </w:p>
        </w:tc>
        <w:tc>
          <w:tcPr>
            <w:tcW w:w="2695" w:type="dxa"/>
            <w:vAlign w:val="center"/>
          </w:tcPr>
          <w:p w14:paraId="3EAFF7F2"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3016DFC7" w14:textId="77777777" w:rsidTr="00916CB3">
        <w:trPr>
          <w:cantSplit/>
          <w:trHeight w:val="20"/>
        </w:trPr>
        <w:tc>
          <w:tcPr>
            <w:tcW w:w="6655" w:type="dxa"/>
          </w:tcPr>
          <w:p w14:paraId="30D8F587" w14:textId="77777777" w:rsidR="00F11F52" w:rsidRDefault="00F11F52" w:rsidP="00916CB3">
            <w:pPr>
              <w:tabs>
                <w:tab w:val="left" w:pos="6750"/>
              </w:tabs>
              <w:spacing w:after="240"/>
              <w:rPr>
                <w:rFonts w:cs="Arial"/>
                <w:color w:val="000000"/>
              </w:rPr>
            </w:pPr>
            <w:r>
              <w:rPr>
                <w:rFonts w:cs="Arial"/>
                <w:color w:val="000000"/>
                <w:u w:val="single"/>
              </w:rPr>
              <w:t>Director of Communications</w:t>
            </w:r>
          </w:p>
        </w:tc>
        <w:tc>
          <w:tcPr>
            <w:tcW w:w="2695" w:type="dxa"/>
            <w:vAlign w:val="center"/>
          </w:tcPr>
          <w:p w14:paraId="0E500D32"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64E28366" w14:textId="77777777" w:rsidTr="00916CB3">
        <w:trPr>
          <w:cantSplit/>
          <w:trHeight w:val="20"/>
        </w:trPr>
        <w:tc>
          <w:tcPr>
            <w:tcW w:w="6655" w:type="dxa"/>
          </w:tcPr>
          <w:p w14:paraId="78939A00" w14:textId="77777777" w:rsidR="00F11F52" w:rsidRDefault="00F11F52" w:rsidP="00916CB3">
            <w:pPr>
              <w:tabs>
                <w:tab w:val="left" w:pos="6750"/>
              </w:tabs>
              <w:spacing w:after="240"/>
              <w:rPr>
                <w:rFonts w:cs="Arial"/>
                <w:color w:val="000000"/>
              </w:rPr>
            </w:pPr>
            <w:r w:rsidRPr="003D7CEF">
              <w:rPr>
                <w:rFonts w:cs="Arial"/>
                <w:color w:val="000000"/>
                <w:u w:val="single"/>
              </w:rPr>
              <w:t>Education Administrator I</w:t>
            </w:r>
          </w:p>
        </w:tc>
        <w:tc>
          <w:tcPr>
            <w:tcW w:w="2695" w:type="dxa"/>
            <w:vAlign w:val="center"/>
          </w:tcPr>
          <w:p w14:paraId="5187E17E"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5D285BDD" w14:textId="77777777" w:rsidTr="00916CB3">
        <w:trPr>
          <w:cantSplit/>
          <w:trHeight w:val="20"/>
        </w:trPr>
        <w:tc>
          <w:tcPr>
            <w:tcW w:w="6655" w:type="dxa"/>
          </w:tcPr>
          <w:p w14:paraId="60D7DE15" w14:textId="77777777" w:rsidR="00F11F52" w:rsidRDefault="00F11F52" w:rsidP="00916CB3">
            <w:pPr>
              <w:tabs>
                <w:tab w:val="left" w:pos="6750"/>
              </w:tabs>
              <w:spacing w:after="240"/>
              <w:rPr>
                <w:rFonts w:cs="Arial"/>
                <w:color w:val="000000"/>
              </w:rPr>
            </w:pPr>
            <w:r>
              <w:rPr>
                <w:rFonts w:cs="Arial"/>
                <w:color w:val="000000"/>
                <w:u w:val="single"/>
              </w:rPr>
              <w:t>Staff Services Manager I</w:t>
            </w:r>
          </w:p>
        </w:tc>
        <w:tc>
          <w:tcPr>
            <w:tcW w:w="2695" w:type="dxa"/>
            <w:vAlign w:val="center"/>
          </w:tcPr>
          <w:p w14:paraId="546FB966" w14:textId="77777777" w:rsidR="00F11F52" w:rsidRPr="001C3692" w:rsidRDefault="00F11F52" w:rsidP="00916CB3">
            <w:pPr>
              <w:tabs>
                <w:tab w:val="left" w:pos="6750"/>
              </w:tabs>
              <w:spacing w:after="240"/>
              <w:jc w:val="center"/>
              <w:rPr>
                <w:rFonts w:cs="Arial"/>
                <w:b/>
                <w:i/>
                <w:color w:val="000000"/>
                <w:u w:val="single"/>
              </w:rPr>
            </w:pPr>
            <w:r w:rsidRPr="001C3692">
              <w:rPr>
                <w:rFonts w:cs="Arial"/>
                <w:color w:val="000000"/>
                <w:u w:val="single"/>
              </w:rPr>
              <w:t>1, 2</w:t>
            </w:r>
          </w:p>
        </w:tc>
      </w:tr>
      <w:tr w:rsidR="00F11F52" w14:paraId="092D75F9" w14:textId="77777777" w:rsidTr="00916CB3">
        <w:trPr>
          <w:cantSplit/>
          <w:trHeight w:val="20"/>
        </w:trPr>
        <w:tc>
          <w:tcPr>
            <w:tcW w:w="6655" w:type="dxa"/>
          </w:tcPr>
          <w:p w14:paraId="70591702" w14:textId="77777777" w:rsidR="00F11F52" w:rsidRDefault="00F11F52" w:rsidP="00916CB3">
            <w:pPr>
              <w:tabs>
                <w:tab w:val="left" w:pos="6750"/>
              </w:tabs>
              <w:spacing w:after="240"/>
              <w:rPr>
                <w:rFonts w:cs="Arial"/>
                <w:color w:val="000000"/>
              </w:rPr>
            </w:pPr>
            <w:r>
              <w:rPr>
                <w:rFonts w:cs="Arial"/>
                <w:color w:val="000000"/>
              </w:rPr>
              <w:t>Principal Education Policy Consultant</w:t>
            </w:r>
          </w:p>
        </w:tc>
        <w:tc>
          <w:tcPr>
            <w:tcW w:w="2695" w:type="dxa"/>
            <w:vAlign w:val="center"/>
          </w:tcPr>
          <w:p w14:paraId="24D48CE2" w14:textId="77777777" w:rsidR="00F11F52" w:rsidRDefault="00F11F52" w:rsidP="00916CB3">
            <w:pPr>
              <w:tabs>
                <w:tab w:val="left" w:pos="6750"/>
              </w:tabs>
              <w:spacing w:after="240"/>
              <w:jc w:val="center"/>
              <w:rPr>
                <w:rFonts w:cs="Arial"/>
                <w:b/>
                <w:i/>
                <w:color w:val="000000"/>
              </w:rPr>
            </w:pPr>
            <w:r>
              <w:rPr>
                <w:rFonts w:cs="Arial"/>
                <w:color w:val="000000"/>
              </w:rPr>
              <w:t>1, 2</w:t>
            </w:r>
          </w:p>
        </w:tc>
      </w:tr>
      <w:tr w:rsidR="00F11F52" w14:paraId="340B1634" w14:textId="77777777" w:rsidTr="00916CB3">
        <w:trPr>
          <w:cantSplit/>
          <w:trHeight w:val="20"/>
        </w:trPr>
        <w:tc>
          <w:tcPr>
            <w:tcW w:w="6655" w:type="dxa"/>
          </w:tcPr>
          <w:p w14:paraId="301389F4" w14:textId="77777777" w:rsidR="00F11F52" w:rsidRDefault="00F11F52" w:rsidP="00916CB3">
            <w:pPr>
              <w:tabs>
                <w:tab w:val="left" w:pos="6750"/>
              </w:tabs>
              <w:spacing w:after="240"/>
              <w:rPr>
                <w:rFonts w:cs="Arial"/>
                <w:color w:val="000000"/>
              </w:rPr>
            </w:pPr>
            <w:r>
              <w:rPr>
                <w:rFonts w:cs="Arial"/>
                <w:color w:val="000000"/>
              </w:rPr>
              <w:t>Education Programs Consultant</w:t>
            </w:r>
          </w:p>
        </w:tc>
        <w:tc>
          <w:tcPr>
            <w:tcW w:w="2695" w:type="dxa"/>
            <w:vAlign w:val="center"/>
          </w:tcPr>
          <w:p w14:paraId="78A02DD4" w14:textId="77777777" w:rsidR="00F11F52" w:rsidRPr="003C6082" w:rsidRDefault="00F11F52" w:rsidP="00916CB3">
            <w:pPr>
              <w:tabs>
                <w:tab w:val="left" w:pos="6750"/>
              </w:tabs>
              <w:spacing w:after="240"/>
              <w:jc w:val="center"/>
              <w:rPr>
                <w:rFonts w:cs="Arial"/>
                <w:color w:val="000000"/>
              </w:rPr>
            </w:pPr>
            <w:r w:rsidRPr="003C6082">
              <w:rPr>
                <w:rFonts w:cs="Arial"/>
                <w:color w:val="000000"/>
              </w:rPr>
              <w:t>1</w:t>
            </w:r>
          </w:p>
        </w:tc>
      </w:tr>
      <w:tr w:rsidR="00F11F52" w14:paraId="31430D00" w14:textId="77777777" w:rsidTr="00916CB3">
        <w:trPr>
          <w:cantSplit/>
          <w:trHeight w:val="20"/>
        </w:trPr>
        <w:tc>
          <w:tcPr>
            <w:tcW w:w="6655" w:type="dxa"/>
          </w:tcPr>
          <w:p w14:paraId="285F89DB" w14:textId="77777777" w:rsidR="00F11F52" w:rsidRDefault="00F11F52" w:rsidP="00916CB3">
            <w:pPr>
              <w:tabs>
                <w:tab w:val="left" w:pos="6750"/>
              </w:tabs>
              <w:spacing w:after="240"/>
              <w:rPr>
                <w:rFonts w:cs="Arial"/>
                <w:color w:val="000000"/>
              </w:rPr>
            </w:pPr>
            <w:r>
              <w:rPr>
                <w:rFonts w:cs="Arial"/>
                <w:color w:val="000000"/>
              </w:rPr>
              <w:t>Consultants/New Positions</w:t>
            </w:r>
          </w:p>
        </w:tc>
        <w:tc>
          <w:tcPr>
            <w:tcW w:w="2695" w:type="dxa"/>
            <w:vAlign w:val="center"/>
          </w:tcPr>
          <w:p w14:paraId="74385C8A" w14:textId="77777777" w:rsidR="00F11F52" w:rsidRPr="003C6082" w:rsidRDefault="00F11F52" w:rsidP="00916CB3">
            <w:pPr>
              <w:tabs>
                <w:tab w:val="left" w:pos="6750"/>
              </w:tabs>
              <w:spacing w:after="240"/>
              <w:jc w:val="center"/>
              <w:rPr>
                <w:rFonts w:cs="Arial"/>
                <w:color w:val="000000"/>
              </w:rPr>
            </w:pPr>
            <w:r>
              <w:rPr>
                <w:rFonts w:cs="Arial"/>
                <w:color w:val="000000"/>
              </w:rPr>
              <w:t>*</w:t>
            </w:r>
          </w:p>
        </w:tc>
      </w:tr>
    </w:tbl>
    <w:bookmarkEnd w:id="1"/>
    <w:p w14:paraId="74567E02" w14:textId="77777777" w:rsidR="00F11F52" w:rsidRPr="0049481B" w:rsidRDefault="00F11F52" w:rsidP="00C80299">
      <w:pPr>
        <w:spacing w:before="240" w:after="240" w:line="360" w:lineRule="auto"/>
        <w:rPr>
          <w:rFonts w:cs="Arial"/>
          <w:color w:val="000000"/>
        </w:rPr>
      </w:pPr>
      <w:r w:rsidRPr="0049481B">
        <w:rPr>
          <w:rFonts w:cs="Arial"/>
          <w:color w:val="000000"/>
        </w:rPr>
        <w:t>*Consultants/New Positions shall be included in the list of designated positions and shall disclose pursuant to the broadest disclosure category in the code, subject to the following limitation:</w:t>
      </w:r>
    </w:p>
    <w:p w14:paraId="352CF7BB" w14:textId="77777777" w:rsidR="00F11F52" w:rsidRPr="0049481B" w:rsidRDefault="00F11F52" w:rsidP="00C80299">
      <w:pPr>
        <w:spacing w:after="240" w:line="360" w:lineRule="auto"/>
        <w:rPr>
          <w:rFonts w:cs="Arial"/>
          <w:color w:val="000000"/>
        </w:rPr>
      </w:pPr>
      <w:r w:rsidRPr="0049481B">
        <w:rPr>
          <w:rFonts w:cs="Arial"/>
          <w:color w:val="000000"/>
        </w:rPr>
        <w:t xml:space="preserve">The Executive Director may determine in writing that a particular consultant or new position, although a “designated position,” is hired to perform a range of duties that is limited in scope, and thus, is not required to fully comply with the disclosure requirements in this section. Such written determination shall include a description of </w:t>
      </w:r>
      <w:r w:rsidRPr="0049481B">
        <w:rPr>
          <w:rFonts w:cs="Arial"/>
          <w:color w:val="000000"/>
        </w:rPr>
        <w:lastRenderedPageBreak/>
        <w:t>the consultant's or new position's duties and, based upon that description, a statement of the extent of disclosure requirements. The Executive Director's determination is a public record and shall be retained for public inspection in the same manner and location as this conflict-of-interest code. (Gov. Code Sec. 81008.)</w:t>
      </w:r>
    </w:p>
    <w:p w14:paraId="19289515" w14:textId="77777777" w:rsidR="00F11F52" w:rsidRPr="002335A6" w:rsidRDefault="00F11F52" w:rsidP="00C80299">
      <w:pPr>
        <w:pStyle w:val="Heading2"/>
        <w:spacing w:before="0" w:line="360" w:lineRule="auto"/>
        <w:rPr>
          <w:rFonts w:eastAsia="Times New Roman" w:cs="Arial"/>
          <w:b w:val="0"/>
          <w:i/>
          <w:sz w:val="24"/>
        </w:rPr>
      </w:pPr>
      <w:r w:rsidRPr="002335A6">
        <w:rPr>
          <w:rFonts w:eastAsia="Times New Roman" w:cs="Arial"/>
          <w:i/>
          <w:sz w:val="24"/>
        </w:rPr>
        <w:t>Disclosure Categories</w:t>
      </w:r>
    </w:p>
    <w:p w14:paraId="44EBF96E" w14:textId="77777777" w:rsidR="00F11F52" w:rsidRPr="006B26CF" w:rsidRDefault="00F11F52" w:rsidP="00C80299">
      <w:pPr>
        <w:spacing w:after="120" w:line="360" w:lineRule="auto"/>
        <w:rPr>
          <w:rFonts w:cs="Arial"/>
          <w:color w:val="000000"/>
        </w:rPr>
      </w:pPr>
      <w:r w:rsidRPr="006B26CF">
        <w:rPr>
          <w:rFonts w:cs="Arial"/>
          <w:i/>
          <w:iCs/>
          <w:color w:val="000000"/>
        </w:rPr>
        <w:t>Category 1.</w:t>
      </w:r>
      <w:r w:rsidRPr="006B26CF">
        <w:rPr>
          <w:rFonts w:cs="Arial"/>
          <w:color w:val="000000"/>
        </w:rPr>
        <w:t xml:space="preserve"> Persons in this category shall report investments, business positions, and income, including gifts, loans, and travel payments, from entities of the type that is a publisher, manufacturer, or vendor of instructional materials, or services offered to educational institutions in the State of California. They shall also report any investments, positions of management and income, including gifts, loans, and travel payments, from any private school in the State of California.</w:t>
      </w:r>
    </w:p>
    <w:p w14:paraId="5979B234" w14:textId="77777777" w:rsidR="00B45A92" w:rsidRDefault="00F11F52" w:rsidP="00B45A92">
      <w:pPr>
        <w:spacing w:line="360" w:lineRule="auto"/>
        <w:rPr>
          <w:rFonts w:cs="Arial"/>
          <w:color w:val="000000"/>
        </w:rPr>
      </w:pPr>
      <w:r w:rsidRPr="006B26CF">
        <w:rPr>
          <w:rFonts w:cs="Arial"/>
          <w:i/>
          <w:iCs/>
          <w:color w:val="000000"/>
        </w:rPr>
        <w:t>Category 2.</w:t>
      </w:r>
      <w:r w:rsidRPr="006B26CF">
        <w:rPr>
          <w:rFonts w:cs="Arial"/>
          <w:color w:val="000000"/>
        </w:rPr>
        <w:t xml:space="preserve"> Persons in this category shall report interests in real property in California.</w:t>
      </w:r>
    </w:p>
    <w:p w14:paraId="54942F14" w14:textId="77777777" w:rsidR="00B45A92" w:rsidRDefault="00B45A92" w:rsidP="00B45A92">
      <w:pPr>
        <w:spacing w:line="360" w:lineRule="auto"/>
        <w:rPr>
          <w:rFonts w:cs="Arial"/>
          <w:color w:val="000000"/>
        </w:rPr>
      </w:pPr>
    </w:p>
    <w:p w14:paraId="281831C5" w14:textId="2CB6691B" w:rsidR="00C0629D" w:rsidRPr="00B45A92" w:rsidRDefault="00F11F52" w:rsidP="00B45A92">
      <w:pPr>
        <w:spacing w:line="360" w:lineRule="auto"/>
        <w:rPr>
          <w:rFonts w:cs="Arial"/>
          <w:color w:val="000000"/>
        </w:rPr>
      </w:pPr>
      <w:r w:rsidRPr="00B65B31">
        <w:rPr>
          <w:rFonts w:cs="Arial"/>
          <w:color w:val="000000"/>
        </w:rPr>
        <w:t>Amendment of subchapter heading, se</w:t>
      </w:r>
      <w:r w:rsidR="00C80299">
        <w:rPr>
          <w:rFonts w:cs="Arial"/>
          <w:color w:val="000000"/>
        </w:rPr>
        <w:t>ction, Note and Appendix filed 10-17-2018</w:t>
      </w:r>
      <w:r w:rsidRPr="00B65B31">
        <w:rPr>
          <w:rFonts w:cs="Arial"/>
          <w:color w:val="000000"/>
        </w:rPr>
        <w:t xml:space="preserve">; operative </w:t>
      </w:r>
      <w:r w:rsidR="00C80299">
        <w:rPr>
          <w:rFonts w:cs="Arial"/>
          <w:color w:val="000000"/>
        </w:rPr>
        <w:t>11</w:t>
      </w:r>
      <w:r w:rsidRPr="00B65B31">
        <w:rPr>
          <w:rFonts w:cs="Arial"/>
          <w:color w:val="000000"/>
        </w:rPr>
        <w:t>-</w:t>
      </w:r>
      <w:r w:rsidR="00C80299">
        <w:rPr>
          <w:rFonts w:cs="Arial"/>
          <w:color w:val="000000"/>
        </w:rPr>
        <w:t>16-2018</w:t>
      </w:r>
      <w:r w:rsidRPr="00B65B31">
        <w:rPr>
          <w:rFonts w:cs="Arial"/>
          <w:color w:val="000000"/>
        </w:rPr>
        <w:t>. Approved by Fair Political Practices Com</w:t>
      </w:r>
      <w:r w:rsidR="00C80299">
        <w:rPr>
          <w:rFonts w:cs="Arial"/>
          <w:color w:val="000000"/>
        </w:rPr>
        <w:t>mission 9-</w:t>
      </w:r>
      <w:r w:rsidR="002A61E9">
        <w:rPr>
          <w:rFonts w:cs="Arial"/>
          <w:color w:val="000000"/>
        </w:rPr>
        <w:t>28-2018 (Register 2018, No. 31-Z</w:t>
      </w:r>
      <w:r w:rsidRPr="00B65B31">
        <w:rPr>
          <w:rFonts w:cs="Arial"/>
          <w:color w:val="000000"/>
        </w:rPr>
        <w:t>).</w:t>
      </w:r>
    </w:p>
    <w:sectPr w:rsidR="00C0629D" w:rsidRPr="00B45A92" w:rsidSect="00B45A92">
      <w:footerReference w:type="default" r:id="rId7"/>
      <w:pgSz w:w="12240" w:h="15840"/>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70C6" w14:textId="77777777" w:rsidR="00D45A2C" w:rsidRDefault="00D45A2C" w:rsidP="000E09DC">
      <w:r>
        <w:separator/>
      </w:r>
    </w:p>
  </w:endnote>
  <w:endnote w:type="continuationSeparator" w:id="0">
    <w:p w14:paraId="3B11BB79" w14:textId="77777777" w:rsidR="00D45A2C" w:rsidRDefault="00D45A2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6E60" w14:textId="4197E5DE" w:rsidR="00960E38" w:rsidRPr="00D274C4" w:rsidRDefault="00F11F52" w:rsidP="00C80299">
    <w:pPr>
      <w:pStyle w:val="Footer"/>
      <w:tabs>
        <w:tab w:val="clear" w:pos="9360"/>
      </w:tabs>
      <w:ind w:right="-270"/>
      <w:rPr>
        <w:rFonts w:cs="Arial"/>
      </w:rPr>
    </w:pPr>
    <w:r w:rsidRPr="00D274C4">
      <w:rPr>
        <w:rFonts w:cs="Arial"/>
      </w:rPr>
      <w:t>California State Board of Education | Title 5, Se</w:t>
    </w:r>
    <w:r w:rsidR="00C80299">
      <w:rPr>
        <w:rFonts w:cs="Arial"/>
      </w:rPr>
      <w:t>ction 18600 and Appendix | October</w:t>
    </w:r>
    <w:r w:rsidRPr="00D274C4">
      <w:rPr>
        <w:rFonts w:cs="Arial"/>
      </w:rPr>
      <w:t xml:space="preserve"> 201</w:t>
    </w:r>
    <w:r w:rsidR="00C80299">
      <w:rPr>
        <w:rFonts w:cs="Aria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9203" w14:textId="77777777" w:rsidR="00D45A2C" w:rsidRDefault="00D45A2C" w:rsidP="000E09DC">
      <w:r>
        <w:separator/>
      </w:r>
    </w:p>
  </w:footnote>
  <w:footnote w:type="continuationSeparator" w:id="0">
    <w:p w14:paraId="3B0795C1" w14:textId="77777777" w:rsidR="00D45A2C" w:rsidRDefault="00D45A2C" w:rsidP="000E0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CD5"/>
    <w:multiLevelType w:val="hybridMultilevel"/>
    <w:tmpl w:val="40D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1166F"/>
    <w:multiLevelType w:val="hybridMultilevel"/>
    <w:tmpl w:val="B78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9905AB"/>
    <w:multiLevelType w:val="hybridMultilevel"/>
    <w:tmpl w:val="2F0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1"/>
  </w:num>
  <w:num w:numId="7">
    <w:abstractNumId w:val="3"/>
  </w:num>
  <w:num w:numId="8">
    <w:abstractNumId w:val="9"/>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F83"/>
    <w:rsid w:val="000324AD"/>
    <w:rsid w:val="0008608B"/>
    <w:rsid w:val="000E09DC"/>
    <w:rsid w:val="001048F3"/>
    <w:rsid w:val="00130059"/>
    <w:rsid w:val="0018148D"/>
    <w:rsid w:val="001A0CA5"/>
    <w:rsid w:val="001B3958"/>
    <w:rsid w:val="001E1929"/>
    <w:rsid w:val="001E261B"/>
    <w:rsid w:val="00223112"/>
    <w:rsid w:val="00240B26"/>
    <w:rsid w:val="00247979"/>
    <w:rsid w:val="0027051A"/>
    <w:rsid w:val="002A61E9"/>
    <w:rsid w:val="002B4B14"/>
    <w:rsid w:val="002D1A82"/>
    <w:rsid w:val="002E4CB5"/>
    <w:rsid w:val="002E6FCA"/>
    <w:rsid w:val="002F279B"/>
    <w:rsid w:val="00315131"/>
    <w:rsid w:val="00346111"/>
    <w:rsid w:val="00363520"/>
    <w:rsid w:val="003675CD"/>
    <w:rsid w:val="003705FC"/>
    <w:rsid w:val="00384ACF"/>
    <w:rsid w:val="003D14DE"/>
    <w:rsid w:val="003D1ECD"/>
    <w:rsid w:val="003E1E8D"/>
    <w:rsid w:val="003E3694"/>
    <w:rsid w:val="003E4DF7"/>
    <w:rsid w:val="00406F50"/>
    <w:rsid w:val="00407E9B"/>
    <w:rsid w:val="004203BC"/>
    <w:rsid w:val="0044670C"/>
    <w:rsid w:val="0047534A"/>
    <w:rsid w:val="004C2D00"/>
    <w:rsid w:val="004E029B"/>
    <w:rsid w:val="00510625"/>
    <w:rsid w:val="00517C00"/>
    <w:rsid w:val="00527B0E"/>
    <w:rsid w:val="0055050B"/>
    <w:rsid w:val="00573C93"/>
    <w:rsid w:val="00692300"/>
    <w:rsid w:val="00693951"/>
    <w:rsid w:val="006B2111"/>
    <w:rsid w:val="006D0223"/>
    <w:rsid w:val="006E06C6"/>
    <w:rsid w:val="00726EDA"/>
    <w:rsid w:val="007313A3"/>
    <w:rsid w:val="007428B8"/>
    <w:rsid w:val="00746164"/>
    <w:rsid w:val="00780BB6"/>
    <w:rsid w:val="007A624A"/>
    <w:rsid w:val="007C5697"/>
    <w:rsid w:val="007D6A8F"/>
    <w:rsid w:val="007E73B4"/>
    <w:rsid w:val="00871FDF"/>
    <w:rsid w:val="008909EE"/>
    <w:rsid w:val="008C1DA6"/>
    <w:rsid w:val="0091117B"/>
    <w:rsid w:val="0097073B"/>
    <w:rsid w:val="009B04E1"/>
    <w:rsid w:val="009D5028"/>
    <w:rsid w:val="00A07F42"/>
    <w:rsid w:val="00A16315"/>
    <w:rsid w:val="00A30B3C"/>
    <w:rsid w:val="00AE511B"/>
    <w:rsid w:val="00B45A92"/>
    <w:rsid w:val="00B723BE"/>
    <w:rsid w:val="00B82705"/>
    <w:rsid w:val="00BC6B93"/>
    <w:rsid w:val="00BE7DC7"/>
    <w:rsid w:val="00C00F87"/>
    <w:rsid w:val="00C0629D"/>
    <w:rsid w:val="00C27D57"/>
    <w:rsid w:val="00C44224"/>
    <w:rsid w:val="00C80299"/>
    <w:rsid w:val="00C82CBA"/>
    <w:rsid w:val="00CB0CA1"/>
    <w:rsid w:val="00CC57FB"/>
    <w:rsid w:val="00CE1C84"/>
    <w:rsid w:val="00D073F9"/>
    <w:rsid w:val="00D45A2C"/>
    <w:rsid w:val="00D47DAB"/>
    <w:rsid w:val="00D5115F"/>
    <w:rsid w:val="00D8667C"/>
    <w:rsid w:val="00D86AB9"/>
    <w:rsid w:val="00E27FB1"/>
    <w:rsid w:val="00EA16D6"/>
    <w:rsid w:val="00EA7D4F"/>
    <w:rsid w:val="00EB16F7"/>
    <w:rsid w:val="00EC504C"/>
    <w:rsid w:val="00F11F52"/>
    <w:rsid w:val="00F40510"/>
    <w:rsid w:val="00F84375"/>
    <w:rsid w:val="00FC1FCE"/>
    <w:rsid w:val="00FE3007"/>
    <w:rsid w:val="00FE4BD6"/>
    <w:rsid w:val="00FE6950"/>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DD4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BC6B9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5050B"/>
    <w:rPr>
      <w:color w:val="954F72" w:themeColor="followedHyperlink"/>
      <w:u w:val="single"/>
    </w:rPr>
  </w:style>
  <w:style w:type="character" w:styleId="CommentReference">
    <w:name w:val="annotation reference"/>
    <w:basedOn w:val="DefaultParagraphFont"/>
    <w:uiPriority w:val="99"/>
    <w:semiHidden/>
    <w:unhideWhenUsed/>
    <w:rsid w:val="007A624A"/>
    <w:rPr>
      <w:sz w:val="16"/>
      <w:szCs w:val="16"/>
    </w:rPr>
  </w:style>
  <w:style w:type="paragraph" w:styleId="CommentText">
    <w:name w:val="annotation text"/>
    <w:basedOn w:val="Normal"/>
    <w:link w:val="CommentTextChar"/>
    <w:uiPriority w:val="99"/>
    <w:semiHidden/>
    <w:unhideWhenUsed/>
    <w:rsid w:val="007A624A"/>
    <w:rPr>
      <w:sz w:val="20"/>
      <w:szCs w:val="20"/>
    </w:rPr>
  </w:style>
  <w:style w:type="character" w:customStyle="1" w:styleId="CommentTextChar">
    <w:name w:val="Comment Text Char"/>
    <w:basedOn w:val="DefaultParagraphFont"/>
    <w:link w:val="CommentText"/>
    <w:uiPriority w:val="99"/>
    <w:semiHidden/>
    <w:rsid w:val="007A62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24A"/>
    <w:rPr>
      <w:b/>
      <w:bCs/>
    </w:rPr>
  </w:style>
  <w:style w:type="character" w:customStyle="1" w:styleId="CommentSubjectChar">
    <w:name w:val="Comment Subject Char"/>
    <w:basedOn w:val="CommentTextChar"/>
    <w:link w:val="CommentSubject"/>
    <w:uiPriority w:val="99"/>
    <w:semiHidden/>
    <w:rsid w:val="007A624A"/>
    <w:rPr>
      <w:rFonts w:ascii="Arial" w:eastAsia="Times New Roman" w:hAnsi="Arial" w:cs="Times New Roman"/>
      <w:b/>
      <w:bCs/>
      <w:sz w:val="20"/>
      <w:szCs w:val="20"/>
    </w:rPr>
  </w:style>
  <w:style w:type="paragraph" w:styleId="BodyTextIndent">
    <w:name w:val="Body Text Indent"/>
    <w:basedOn w:val="Normal"/>
    <w:link w:val="BodyTextIndentChar"/>
    <w:rsid w:val="00F11F52"/>
    <w:pPr>
      <w:ind w:left="1440" w:hanging="720"/>
    </w:pPr>
    <w:rPr>
      <w:rFonts w:ascii="Times New Roman" w:hAnsi="Times New Roman"/>
      <w:szCs w:val="20"/>
    </w:rPr>
  </w:style>
  <w:style w:type="character" w:customStyle="1" w:styleId="BodyTextIndentChar">
    <w:name w:val="Body Text Indent Char"/>
    <w:basedOn w:val="DefaultParagraphFont"/>
    <w:link w:val="BodyTextIndent"/>
    <w:rsid w:val="00F11F52"/>
    <w:rPr>
      <w:rFonts w:ascii="Times New Roman" w:eastAsia="Times New Roman" w:hAnsi="Times New Roman" w:cs="Times New Roman"/>
      <w:sz w:val="24"/>
      <w:szCs w:val="20"/>
    </w:rPr>
  </w:style>
  <w:style w:type="table" w:styleId="TableGrid">
    <w:name w:val="Table Grid"/>
    <w:basedOn w:val="TableNormal"/>
    <w:uiPriority w:val="59"/>
    <w:rsid w:val="00F11F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8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6841">
      <w:bodyDiv w:val="1"/>
      <w:marLeft w:val="0"/>
      <w:marRight w:val="0"/>
      <w:marTop w:val="0"/>
      <w:marBottom w:val="0"/>
      <w:divBdr>
        <w:top w:val="none" w:sz="0" w:space="0" w:color="auto"/>
        <w:left w:val="none" w:sz="0" w:space="0" w:color="auto"/>
        <w:bottom w:val="none" w:sz="0" w:space="0" w:color="auto"/>
        <w:right w:val="none" w:sz="0" w:space="0" w:color="auto"/>
      </w:divBdr>
      <w:divsChild>
        <w:div w:id="1529753885">
          <w:marLeft w:val="0"/>
          <w:marRight w:val="0"/>
          <w:marTop w:val="0"/>
          <w:marBottom w:val="0"/>
          <w:divBdr>
            <w:top w:val="none" w:sz="0" w:space="0" w:color="auto"/>
            <w:left w:val="none" w:sz="0" w:space="0" w:color="auto"/>
            <w:bottom w:val="none" w:sz="0" w:space="0" w:color="auto"/>
            <w:right w:val="none" w:sz="0" w:space="0" w:color="auto"/>
          </w:divBdr>
          <w:divsChild>
            <w:div w:id="1762482314">
              <w:marLeft w:val="0"/>
              <w:marRight w:val="0"/>
              <w:marTop w:val="0"/>
              <w:marBottom w:val="0"/>
              <w:divBdr>
                <w:top w:val="none" w:sz="0" w:space="0" w:color="auto"/>
                <w:left w:val="none" w:sz="0" w:space="0" w:color="auto"/>
                <w:bottom w:val="none" w:sz="0" w:space="0" w:color="auto"/>
                <w:right w:val="none" w:sz="0" w:space="0" w:color="auto"/>
              </w:divBdr>
              <w:divsChild>
                <w:div w:id="313267945">
                  <w:marLeft w:val="0"/>
                  <w:marRight w:val="0"/>
                  <w:marTop w:val="0"/>
                  <w:marBottom w:val="0"/>
                  <w:divBdr>
                    <w:top w:val="none" w:sz="0" w:space="0" w:color="auto"/>
                    <w:left w:val="none" w:sz="0" w:space="0" w:color="auto"/>
                    <w:bottom w:val="none" w:sz="0" w:space="0" w:color="auto"/>
                    <w:right w:val="none" w:sz="0" w:space="0" w:color="auto"/>
                  </w:divBdr>
                  <w:divsChild>
                    <w:div w:id="1481265862">
                      <w:marLeft w:val="0"/>
                      <w:marRight w:val="0"/>
                      <w:marTop w:val="0"/>
                      <w:marBottom w:val="0"/>
                      <w:divBdr>
                        <w:top w:val="none" w:sz="0" w:space="0" w:color="auto"/>
                        <w:left w:val="none" w:sz="0" w:space="0" w:color="auto"/>
                        <w:bottom w:val="none" w:sz="0" w:space="0" w:color="auto"/>
                        <w:right w:val="none" w:sz="0" w:space="0" w:color="auto"/>
                      </w:divBdr>
                      <w:divsChild>
                        <w:div w:id="1058824791">
                          <w:marLeft w:val="405"/>
                          <w:marRight w:val="0"/>
                          <w:marTop w:val="0"/>
                          <w:marBottom w:val="75"/>
                          <w:divBdr>
                            <w:top w:val="none" w:sz="0" w:space="0" w:color="auto"/>
                            <w:left w:val="none" w:sz="0" w:space="0" w:color="auto"/>
                            <w:bottom w:val="none" w:sz="0" w:space="0" w:color="auto"/>
                            <w:right w:val="none" w:sz="0" w:space="0" w:color="auto"/>
                          </w:divBdr>
                          <w:divsChild>
                            <w:div w:id="963385894">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0"/>
                                      <w:marRight w:val="0"/>
                                      <w:marTop w:val="60"/>
                                      <w:marBottom w:val="0"/>
                                      <w:divBdr>
                                        <w:top w:val="none" w:sz="0" w:space="0" w:color="auto"/>
                                        <w:left w:val="none" w:sz="0" w:space="0" w:color="auto"/>
                                        <w:bottom w:val="none" w:sz="0" w:space="0" w:color="auto"/>
                                        <w:right w:val="none" w:sz="0" w:space="0" w:color="auto"/>
                                      </w:divBdr>
                                      <w:divsChild>
                                        <w:div w:id="1912231381">
                                          <w:marLeft w:val="0"/>
                                          <w:marRight w:val="0"/>
                                          <w:marTop w:val="0"/>
                                          <w:marBottom w:val="0"/>
                                          <w:divBdr>
                                            <w:top w:val="none" w:sz="0" w:space="0" w:color="auto"/>
                                            <w:left w:val="none" w:sz="0" w:space="0" w:color="auto"/>
                                            <w:bottom w:val="none" w:sz="0" w:space="0" w:color="auto"/>
                                            <w:right w:val="none" w:sz="0" w:space="0" w:color="auto"/>
                                          </w:divBdr>
                                          <w:divsChild>
                                            <w:div w:id="1037122504">
                                              <w:marLeft w:val="0"/>
                                              <w:marRight w:val="0"/>
                                              <w:marTop w:val="0"/>
                                              <w:marBottom w:val="0"/>
                                              <w:divBdr>
                                                <w:top w:val="none" w:sz="0" w:space="0" w:color="auto"/>
                                                <w:left w:val="none" w:sz="0" w:space="0" w:color="auto"/>
                                                <w:bottom w:val="none" w:sz="0" w:space="0" w:color="auto"/>
                                                <w:right w:val="none" w:sz="0" w:space="0" w:color="auto"/>
                                              </w:divBdr>
                                              <w:divsChild>
                                                <w:div w:id="1241793435">
                                                  <w:marLeft w:val="0"/>
                                                  <w:marRight w:val="0"/>
                                                  <w:marTop w:val="0"/>
                                                  <w:marBottom w:val="0"/>
                                                  <w:divBdr>
                                                    <w:top w:val="none" w:sz="0" w:space="0" w:color="auto"/>
                                                    <w:left w:val="none" w:sz="0" w:space="0" w:color="auto"/>
                                                    <w:bottom w:val="none" w:sz="0" w:space="0" w:color="auto"/>
                                                    <w:right w:val="none" w:sz="0" w:space="0" w:color="auto"/>
                                                  </w:divBdr>
                                                  <w:divsChild>
                                                    <w:div w:id="710887988">
                                                      <w:marLeft w:val="0"/>
                                                      <w:marRight w:val="0"/>
                                                      <w:marTop w:val="0"/>
                                                      <w:marBottom w:val="0"/>
                                                      <w:divBdr>
                                                        <w:top w:val="none" w:sz="0" w:space="0" w:color="auto"/>
                                                        <w:left w:val="none" w:sz="0" w:space="0" w:color="auto"/>
                                                        <w:bottom w:val="none" w:sz="0" w:space="0" w:color="auto"/>
                                                        <w:right w:val="none" w:sz="0" w:space="0" w:color="auto"/>
                                                      </w:divBdr>
                                                      <w:divsChild>
                                                        <w:div w:id="921571287">
                                                          <w:marLeft w:val="0"/>
                                                          <w:marRight w:val="0"/>
                                                          <w:marTop w:val="0"/>
                                                          <w:marBottom w:val="0"/>
                                                          <w:divBdr>
                                                            <w:top w:val="none" w:sz="0" w:space="0" w:color="auto"/>
                                                            <w:left w:val="none" w:sz="0" w:space="0" w:color="auto"/>
                                                            <w:bottom w:val="none" w:sz="0" w:space="0" w:color="auto"/>
                                                            <w:right w:val="none" w:sz="0" w:space="0" w:color="auto"/>
                                                          </w:divBdr>
                                                          <w:divsChild>
                                                            <w:div w:id="1069693297">
                                                              <w:marLeft w:val="0"/>
                                                              <w:marRight w:val="0"/>
                                                              <w:marTop w:val="0"/>
                                                              <w:marBottom w:val="0"/>
                                                              <w:divBdr>
                                                                <w:top w:val="none" w:sz="0" w:space="0" w:color="auto"/>
                                                                <w:left w:val="none" w:sz="0" w:space="0" w:color="auto"/>
                                                                <w:bottom w:val="none" w:sz="0" w:space="0" w:color="auto"/>
                                                                <w:right w:val="none" w:sz="0" w:space="0" w:color="auto"/>
                                                              </w:divBdr>
                                                              <w:divsChild>
                                                                <w:div w:id="90049161">
                                                                  <w:marLeft w:val="0"/>
                                                                  <w:marRight w:val="0"/>
                                                                  <w:marTop w:val="0"/>
                                                                  <w:marBottom w:val="0"/>
                                                                  <w:divBdr>
                                                                    <w:top w:val="none" w:sz="0" w:space="0" w:color="auto"/>
                                                                    <w:left w:val="none" w:sz="0" w:space="0" w:color="auto"/>
                                                                    <w:bottom w:val="none" w:sz="0" w:space="0" w:color="auto"/>
                                                                    <w:right w:val="none" w:sz="0" w:space="0" w:color="auto"/>
                                                                  </w:divBdr>
                                                                  <w:divsChild>
                                                                    <w:div w:id="1896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SBE Conflict of Interest - Laws and Regulations (CA Dept of Education)</vt:lpstr>
    </vt:vector>
  </TitlesOfParts>
  <Company>CA Department of Education</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 Conflict of Interest - Laws and Regulations (CA Dept of Education)</dc:title>
  <dc:subject>The SBE Conflict of Interest Code Approved Regulations for the State Board of Education. </dc:subject>
  <dc:creator>Kathleen Souza</dc:creator>
  <cp:keywords>SBE, Conflict, Regs</cp:keywords>
  <dc:description/>
  <cp:lastModifiedBy>Clayton Silva</cp:lastModifiedBy>
  <cp:revision>5</cp:revision>
  <cp:lastPrinted>2017-10-30T17:36:00Z</cp:lastPrinted>
  <dcterms:created xsi:type="dcterms:W3CDTF">2018-10-31T20:35:00Z</dcterms:created>
  <dcterms:modified xsi:type="dcterms:W3CDTF">2018-11-01T21:02:00Z</dcterms:modified>
</cp:coreProperties>
</file>